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center"/>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7435850" cy="5578475"/>
            <wp:effectExtent l="0" t="0" r="3175" b="12700"/>
            <wp:docPr id="1" name="图片 1" descr="dde0587993ae2fc98c73c229dc50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e0587993ae2fc98c73c229dc501bd"/>
                    <pic:cNvPicPr>
                      <a:picLocks noChangeAspect="1"/>
                    </pic:cNvPicPr>
                  </pic:nvPicPr>
                  <pic:blipFill>
                    <a:blip r:embed="rId9"/>
                    <a:stretch>
                      <a:fillRect/>
                    </a:stretch>
                  </pic:blipFill>
                  <pic:spPr>
                    <a:xfrm rot="16200000">
                      <a:off x="0" y="0"/>
                      <a:ext cx="7435850" cy="5578475"/>
                    </a:xfrm>
                    <a:prstGeom prst="rect">
                      <a:avLst/>
                    </a:prstGeom>
                  </pic:spPr>
                </pic:pic>
              </a:graphicData>
            </a:graphic>
          </wp:inline>
        </w:drawing>
      </w:r>
      <w:r>
        <w:rPr>
          <w:rFonts w:hint="eastAsia" w:ascii="宋体" w:hAnsi="宋体" w:eastAsia="宋体"/>
          <w:sz w:val="32"/>
          <w:szCs w:val="32"/>
          <w:lang w:eastAsia="zh-CN"/>
        </w:rPr>
        <w:drawing>
          <wp:inline distT="0" distB="0" distL="114300" distR="114300">
            <wp:extent cx="7837170" cy="5880100"/>
            <wp:effectExtent l="0" t="0" r="6350" b="11430"/>
            <wp:docPr id="5" name="图片 5" descr="acf7270a4f2ab2ee514d8b8e2b2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f7270a4f2ab2ee514d8b8e2b20875"/>
                    <pic:cNvPicPr>
                      <a:picLocks noChangeAspect="1"/>
                    </pic:cNvPicPr>
                  </pic:nvPicPr>
                  <pic:blipFill>
                    <a:blip r:embed="rId10"/>
                    <a:stretch>
                      <a:fillRect/>
                    </a:stretch>
                  </pic:blipFill>
                  <pic:spPr>
                    <a:xfrm rot="16200000">
                      <a:off x="0" y="0"/>
                      <a:ext cx="7837170" cy="5880100"/>
                    </a:xfrm>
                    <a:prstGeom prst="rect">
                      <a:avLst/>
                    </a:prstGeom>
                  </pic:spPr>
                </pic:pic>
              </a:graphicData>
            </a:graphic>
          </wp:inline>
        </w:drawing>
      </w:r>
      <w:r>
        <w:rPr>
          <w:rFonts w:hint="eastAsia" w:ascii="宋体" w:hAnsi="宋体" w:eastAsia="宋体"/>
          <w:sz w:val="32"/>
          <w:szCs w:val="32"/>
          <w:lang w:eastAsia="zh-CN"/>
        </w:rPr>
        <w:drawing>
          <wp:inline distT="0" distB="0" distL="114300" distR="114300">
            <wp:extent cx="7275195" cy="5458460"/>
            <wp:effectExtent l="0" t="0" r="8890" b="1905"/>
            <wp:docPr id="6" name="图片 6" descr="72390723f6748eb933bf3872797f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2390723f6748eb933bf3872797f4b8"/>
                    <pic:cNvPicPr>
                      <a:picLocks noChangeAspect="1"/>
                    </pic:cNvPicPr>
                  </pic:nvPicPr>
                  <pic:blipFill>
                    <a:blip r:embed="rId11"/>
                    <a:stretch>
                      <a:fillRect/>
                    </a:stretch>
                  </pic:blipFill>
                  <pic:spPr>
                    <a:xfrm rot="16200000">
                      <a:off x="0" y="0"/>
                      <a:ext cx="7275195" cy="5458460"/>
                    </a:xfrm>
                    <a:prstGeom prst="rect">
                      <a:avLst/>
                    </a:prstGeom>
                  </pic:spPr>
                </pic:pic>
              </a:graphicData>
            </a:graphic>
          </wp:inline>
        </w:drawing>
      </w:r>
      <w:r>
        <w:rPr>
          <w:rFonts w:hint="eastAsia" w:ascii="宋体" w:hAnsi="宋体" w:eastAsia="宋体"/>
          <w:sz w:val="32"/>
          <w:szCs w:val="32"/>
          <w:lang w:eastAsia="zh-CN"/>
        </w:rPr>
        <w:drawing>
          <wp:inline distT="0" distB="0" distL="114300" distR="114300">
            <wp:extent cx="5608320" cy="7474585"/>
            <wp:effectExtent l="0" t="0" r="11430" b="12065"/>
            <wp:docPr id="7" name="图片 7" descr="f68d510def93ba5288964c5bdcf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68d510def93ba5288964c5bdcf0363"/>
                    <pic:cNvPicPr>
                      <a:picLocks noChangeAspect="1"/>
                    </pic:cNvPicPr>
                  </pic:nvPicPr>
                  <pic:blipFill>
                    <a:blip r:embed="rId12"/>
                    <a:stretch>
                      <a:fillRect/>
                    </a:stretch>
                  </pic:blipFill>
                  <pic:spPr>
                    <a:xfrm>
                      <a:off x="0" y="0"/>
                      <a:ext cx="5608320" cy="7474585"/>
                    </a:xfrm>
                    <a:prstGeom prst="rect">
                      <a:avLst/>
                    </a:prstGeom>
                  </pic:spPr>
                </pic:pic>
              </a:graphicData>
            </a:graphic>
          </wp:inline>
        </w:drawing>
      </w:r>
      <w:r>
        <w:rPr>
          <w:rFonts w:hint="eastAsia" w:ascii="宋体" w:hAnsi="宋体" w:eastAsia="宋体"/>
          <w:sz w:val="32"/>
          <w:szCs w:val="32"/>
          <w:lang w:eastAsia="zh-CN"/>
        </w:rPr>
        <w:drawing>
          <wp:inline distT="0" distB="0" distL="114300" distR="114300">
            <wp:extent cx="5608320" cy="7474585"/>
            <wp:effectExtent l="0" t="0" r="11430" b="12065"/>
            <wp:docPr id="8" name="图片 8" descr="678b31c5132b36393c84336bfaaf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78b31c5132b36393c84336bfaaf566"/>
                    <pic:cNvPicPr>
                      <a:picLocks noChangeAspect="1"/>
                    </pic:cNvPicPr>
                  </pic:nvPicPr>
                  <pic:blipFill>
                    <a:blip r:embed="rId13"/>
                    <a:stretch>
                      <a:fillRect/>
                    </a:stretch>
                  </pic:blipFill>
                  <pic:spPr>
                    <a:xfrm>
                      <a:off x="0" y="0"/>
                      <a:ext cx="5608320" cy="7474585"/>
                    </a:xfrm>
                    <a:prstGeom prst="rect">
                      <a:avLst/>
                    </a:prstGeom>
                  </pic:spPr>
                </pic:pic>
              </a:graphicData>
            </a:graphic>
          </wp:inline>
        </w:drawing>
      </w:r>
    </w:p>
    <w:p>
      <w:pPr>
        <w:adjustRightInd w:val="0"/>
        <w:snapToGrid w:val="0"/>
        <w:spacing w:line="288" w:lineRule="auto"/>
        <w:ind w:firstLine="1040"/>
        <w:rPr>
          <w:rFonts w:ascii="宋体" w:hAnsi="宋体" w:eastAsia="宋体"/>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3"/>
      </w:pPr>
      <w:r>
        <w:rPr>
          <w:rFonts w:hint="eastAsia"/>
        </w:rPr>
        <w:t>一、建设项目基本情况</w:t>
      </w:r>
    </w:p>
    <w:tbl>
      <w:tblPr>
        <w:tblStyle w:val="88"/>
        <w:tblW w:w="8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86"/>
        <w:gridCol w:w="2369"/>
        <w:gridCol w:w="1180"/>
        <w:gridCol w:w="35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pStyle w:val="160"/>
              <w:spacing w:line="240" w:lineRule="auto"/>
              <w:ind w:firstLine="0" w:firstLineChars="0"/>
              <w:jc w:val="center"/>
              <w:rPr>
                <w:rFonts w:cs="Times New Roman"/>
              </w:rPr>
            </w:pPr>
            <w:bookmarkStart w:id="0" w:name="_Hlk68455079"/>
            <w:r>
              <w:rPr>
                <w:rFonts w:cs="Times New Roman"/>
              </w:rPr>
              <w:t>建设项目名称</w:t>
            </w:r>
          </w:p>
        </w:tc>
        <w:tc>
          <w:tcPr>
            <w:tcW w:w="7138" w:type="dxa"/>
            <w:gridSpan w:val="3"/>
            <w:vAlign w:val="center"/>
          </w:tcPr>
          <w:p>
            <w:pPr>
              <w:pStyle w:val="160"/>
              <w:spacing w:line="240" w:lineRule="auto"/>
              <w:ind w:firstLine="0" w:firstLineChars="0"/>
              <w:jc w:val="center"/>
              <w:rPr>
                <w:rFonts w:cs="Times New Roman"/>
              </w:rPr>
            </w:pPr>
            <w:r>
              <w:rPr>
                <w:rFonts w:cs="Times New Roman"/>
              </w:rPr>
              <w:t>重庆展成家俱制造有限公司二期扩建项目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pStyle w:val="160"/>
              <w:spacing w:line="240" w:lineRule="auto"/>
              <w:ind w:firstLine="0" w:firstLineChars="0"/>
              <w:jc w:val="center"/>
              <w:rPr>
                <w:rFonts w:cs="Times New Roman"/>
              </w:rPr>
            </w:pPr>
            <w:r>
              <w:rPr>
                <w:rFonts w:cs="Times New Roman"/>
              </w:rPr>
              <w:t>项目代码</w:t>
            </w:r>
          </w:p>
        </w:tc>
        <w:tc>
          <w:tcPr>
            <w:tcW w:w="7138" w:type="dxa"/>
            <w:gridSpan w:val="3"/>
            <w:vAlign w:val="center"/>
          </w:tcPr>
          <w:p>
            <w:pPr>
              <w:pStyle w:val="160"/>
              <w:spacing w:line="240" w:lineRule="auto"/>
              <w:ind w:firstLine="480"/>
              <w:jc w:val="center"/>
              <w:rPr>
                <w:rFonts w:cs="Times New Roman"/>
              </w:rPr>
            </w:pPr>
            <w:r>
              <w:rPr>
                <w:rFonts w:cs="Times New Roman"/>
              </w:rPr>
              <w:t>2204-500151-04-05-648264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pStyle w:val="160"/>
              <w:spacing w:line="240" w:lineRule="auto"/>
              <w:ind w:firstLine="0" w:firstLineChars="0"/>
              <w:jc w:val="center"/>
              <w:rPr>
                <w:rFonts w:cs="Times New Roman"/>
              </w:rPr>
            </w:pPr>
            <w:r>
              <w:rPr>
                <w:rFonts w:cs="Times New Roman"/>
              </w:rPr>
              <w:t>建设单位联系人</w:t>
            </w:r>
          </w:p>
        </w:tc>
        <w:tc>
          <w:tcPr>
            <w:tcW w:w="2369" w:type="dxa"/>
            <w:vAlign w:val="center"/>
          </w:tcPr>
          <w:p>
            <w:pPr>
              <w:pStyle w:val="160"/>
              <w:spacing w:line="240" w:lineRule="auto"/>
              <w:ind w:firstLine="0" w:firstLineChars="0"/>
              <w:jc w:val="center"/>
              <w:rPr>
                <w:rFonts w:cs="Times New Roman"/>
              </w:rPr>
            </w:pPr>
            <w:r>
              <w:rPr>
                <w:rFonts w:hint="eastAsia" w:cs="Times New Roman"/>
              </w:rPr>
              <w:t>李本群</w:t>
            </w:r>
          </w:p>
        </w:tc>
        <w:tc>
          <w:tcPr>
            <w:tcW w:w="1180" w:type="dxa"/>
            <w:vAlign w:val="center"/>
          </w:tcPr>
          <w:p>
            <w:pPr>
              <w:pStyle w:val="160"/>
              <w:spacing w:line="240" w:lineRule="auto"/>
              <w:ind w:firstLine="0" w:firstLineChars="0"/>
              <w:jc w:val="center"/>
              <w:rPr>
                <w:rFonts w:cs="Times New Roman"/>
              </w:rPr>
            </w:pPr>
            <w:r>
              <w:rPr>
                <w:rFonts w:cs="Times New Roman"/>
              </w:rPr>
              <w:t>联系方式</w:t>
            </w:r>
          </w:p>
        </w:tc>
        <w:tc>
          <w:tcPr>
            <w:tcW w:w="3589" w:type="dxa"/>
            <w:vAlign w:val="center"/>
          </w:tcPr>
          <w:p>
            <w:pPr>
              <w:pStyle w:val="160"/>
              <w:spacing w:line="240" w:lineRule="auto"/>
              <w:ind w:firstLine="0" w:firstLineChars="0"/>
              <w:jc w:val="center"/>
              <w:rPr>
                <w:rFonts w:hint="default" w:eastAsia="宋体" w:cs="Times New Roman"/>
                <w:lang w:val="en-US" w:eastAsia="zh-CN"/>
              </w:rPr>
            </w:pPr>
            <w:r>
              <w:rPr>
                <w:rFonts w:cs="Times New Roman"/>
              </w:rPr>
              <w:t>173</w:t>
            </w:r>
            <w:r>
              <w:rPr>
                <w:rFonts w:hint="eastAsia" w:cs="Times New Roman"/>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pStyle w:val="160"/>
              <w:spacing w:line="240" w:lineRule="auto"/>
              <w:ind w:firstLine="0" w:firstLineChars="0"/>
              <w:jc w:val="center"/>
              <w:rPr>
                <w:rFonts w:cs="Times New Roman"/>
              </w:rPr>
            </w:pPr>
            <w:r>
              <w:rPr>
                <w:rFonts w:cs="Times New Roman"/>
              </w:rPr>
              <w:t>建设地点</w:t>
            </w:r>
          </w:p>
        </w:tc>
        <w:tc>
          <w:tcPr>
            <w:tcW w:w="7138" w:type="dxa"/>
            <w:gridSpan w:val="3"/>
            <w:vAlign w:val="center"/>
          </w:tcPr>
          <w:p>
            <w:pPr>
              <w:pStyle w:val="160"/>
              <w:spacing w:line="240" w:lineRule="auto"/>
              <w:ind w:firstLine="0" w:firstLineChars="0"/>
              <w:jc w:val="center"/>
              <w:rPr>
                <w:rFonts w:cs="Times New Roman"/>
              </w:rPr>
            </w:pPr>
            <w:r>
              <w:rPr>
                <w:rFonts w:hint="eastAsia" w:cs="Times New Roman"/>
              </w:rPr>
              <w:t>铜梁高新区姜家岩片区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pStyle w:val="160"/>
              <w:spacing w:line="240" w:lineRule="auto"/>
              <w:ind w:firstLine="0" w:firstLineChars="0"/>
              <w:jc w:val="center"/>
              <w:rPr>
                <w:rFonts w:cs="Times New Roman"/>
              </w:rPr>
            </w:pPr>
            <w:r>
              <w:rPr>
                <w:rFonts w:cs="Times New Roman"/>
              </w:rPr>
              <w:t>地理坐标</w:t>
            </w:r>
          </w:p>
        </w:tc>
        <w:tc>
          <w:tcPr>
            <w:tcW w:w="7138" w:type="dxa"/>
            <w:gridSpan w:val="3"/>
            <w:vAlign w:val="center"/>
          </w:tcPr>
          <w:p>
            <w:pPr>
              <w:pStyle w:val="160"/>
              <w:spacing w:line="240" w:lineRule="auto"/>
              <w:ind w:firstLine="0" w:firstLineChars="0"/>
              <w:jc w:val="center"/>
              <w:rPr>
                <w:rFonts w:cs="Times New Roman"/>
              </w:rPr>
            </w:pPr>
            <w:r>
              <w:rPr>
                <w:rFonts w:cs="Times New Roman"/>
              </w:rPr>
              <w:t>东经：106°5'42.576"，北纬：29°51'26.856"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国民经济行业类别</w:t>
            </w:r>
          </w:p>
        </w:tc>
        <w:tc>
          <w:tcPr>
            <w:tcW w:w="2369"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C2110木质家具制造</w:t>
            </w:r>
          </w:p>
        </w:tc>
        <w:tc>
          <w:tcPr>
            <w:tcW w:w="1180" w:type="dxa"/>
            <w:vAlign w:val="center"/>
          </w:tcPr>
          <w:p>
            <w:pPr>
              <w:jc w:val="center"/>
              <w:rPr>
                <w:rFonts w:ascii="Times New Roman" w:hAnsi="Times New Roman" w:eastAsia="宋体" w:cs="Times New Roman"/>
                <w:sz w:val="24"/>
              </w:rPr>
            </w:pPr>
            <w:bookmarkStart w:id="1" w:name="_Hlk49843745"/>
            <w:r>
              <w:rPr>
                <w:rFonts w:ascii="Times New Roman" w:hAnsi="Times New Roman" w:eastAsia="宋体" w:cs="Times New Roman"/>
                <w:sz w:val="24"/>
              </w:rPr>
              <w:t>建设项目</w:t>
            </w:r>
          </w:p>
          <w:p>
            <w:pPr>
              <w:jc w:val="center"/>
              <w:rPr>
                <w:rFonts w:ascii="Times New Roman" w:hAnsi="Times New Roman" w:eastAsia="宋体" w:cs="Times New Roman"/>
                <w:sz w:val="24"/>
              </w:rPr>
            </w:pPr>
            <w:r>
              <w:rPr>
                <w:rFonts w:ascii="Times New Roman" w:hAnsi="Times New Roman" w:eastAsia="宋体" w:cs="Times New Roman"/>
                <w:sz w:val="24"/>
              </w:rPr>
              <w:t>行业类别</w:t>
            </w:r>
            <w:bookmarkEnd w:id="1"/>
          </w:p>
        </w:tc>
        <w:tc>
          <w:tcPr>
            <w:tcW w:w="3589" w:type="dxa"/>
            <w:vAlign w:val="center"/>
          </w:tcPr>
          <w:p>
            <w:pPr>
              <w:pStyle w:val="160"/>
              <w:spacing w:line="240" w:lineRule="auto"/>
              <w:ind w:firstLine="0" w:firstLineChars="0"/>
              <w:jc w:val="center"/>
              <w:rPr>
                <w:rFonts w:cs="Times New Roman"/>
              </w:rPr>
            </w:pPr>
            <w:r>
              <w:rPr>
                <w:rFonts w:hint="eastAsia" w:cs="Times New Roman"/>
              </w:rPr>
              <w:t>家具制造业2</w:t>
            </w:r>
            <w:r>
              <w:rPr>
                <w:rFonts w:cs="Times New Roman"/>
              </w:rPr>
              <w:t>1</w:t>
            </w:r>
            <w:r>
              <w:rPr>
                <w:rFonts w:hint="eastAsia" w:cs="Times New Roman"/>
              </w:rPr>
              <w:t>-</w:t>
            </w:r>
            <w:r>
              <w:rPr>
                <w:rFonts w:cs="Times New Roman"/>
              </w:rPr>
              <w:t>木质家具制造 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建设性质</w:t>
            </w:r>
          </w:p>
        </w:tc>
        <w:tc>
          <w:tcPr>
            <w:tcW w:w="2369" w:type="dxa"/>
            <w:vAlign w:val="center"/>
          </w:tcPr>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新建（迁建）</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改建</w:t>
            </w:r>
          </w:p>
          <w:p>
            <w:pPr>
              <w:jc w:val="left"/>
              <w:textAlignment w:val="top"/>
              <w:rPr>
                <w:rFonts w:ascii="Times New Roman" w:hAnsi="Times New Roman" w:eastAsia="宋体" w:cs="Times New Roman"/>
                <w:sz w:val="24"/>
              </w:rPr>
            </w:pPr>
            <w:r>
              <w:rPr>
                <w:rFonts w:ascii="Times New Roman" w:hAnsi="Times New Roman" w:eastAsia="宋体" w:cs="Times New Roman"/>
                <w:sz w:val="24"/>
              </w:rPr>
              <w:sym w:font="Wingdings 2" w:char="F052"/>
            </w:r>
            <w:r>
              <w:rPr>
                <w:rFonts w:hint="eastAsia" w:ascii="Times New Roman" w:hAnsi="Times New Roman" w:eastAsia="宋体" w:cs="Times New Roman"/>
                <w:sz w:val="24"/>
              </w:rPr>
              <w:t>扩建</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技术改造</w:t>
            </w:r>
          </w:p>
        </w:tc>
        <w:tc>
          <w:tcPr>
            <w:tcW w:w="1180"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建设项目</w:t>
            </w:r>
          </w:p>
          <w:p>
            <w:pPr>
              <w:jc w:val="center"/>
              <w:rPr>
                <w:rFonts w:ascii="Times New Roman" w:hAnsi="Times New Roman" w:eastAsia="宋体" w:cs="Times New Roman"/>
                <w:sz w:val="24"/>
              </w:rPr>
            </w:pPr>
            <w:r>
              <w:rPr>
                <w:rFonts w:ascii="Times New Roman" w:hAnsi="Times New Roman" w:eastAsia="宋体" w:cs="Times New Roman"/>
                <w:sz w:val="24"/>
              </w:rPr>
              <w:t>申报情形</w:t>
            </w:r>
          </w:p>
        </w:tc>
        <w:tc>
          <w:tcPr>
            <w:tcW w:w="3589" w:type="dxa"/>
            <w:vAlign w:val="center"/>
          </w:tcPr>
          <w:p>
            <w:pPr>
              <w:jc w:val="left"/>
              <w:rPr>
                <w:rFonts w:ascii="Times New Roman" w:hAnsi="Times New Roman" w:eastAsia="宋体" w:cs="Times New Roman"/>
                <w:sz w:val="24"/>
              </w:rPr>
            </w:pPr>
            <w:r>
              <w:rPr>
                <w:rFonts w:ascii="Times New Roman" w:hAnsi="Times New Roman" w:eastAsia="宋体" w:cs="Times New Roman"/>
                <w:sz w:val="24"/>
              </w:rPr>
              <w:sym w:font="Wingdings 2" w:char="F052"/>
            </w:r>
            <w:r>
              <w:rPr>
                <w:rFonts w:ascii="Times New Roman" w:hAnsi="Times New Roman" w:eastAsia="宋体" w:cs="Times New Roman"/>
                <w:sz w:val="24"/>
              </w:rPr>
              <w:t>首次申报项目</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不予批准后再次申报项目</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超五年重新审核项目</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项目备案部门</w:t>
            </w:r>
          </w:p>
        </w:tc>
        <w:tc>
          <w:tcPr>
            <w:tcW w:w="2369" w:type="dxa"/>
            <w:vAlign w:val="center"/>
          </w:tcPr>
          <w:p>
            <w:pPr>
              <w:jc w:val="center"/>
              <w:rPr>
                <w:rFonts w:ascii="Times New Roman" w:hAnsi="Times New Roman" w:eastAsia="宋体" w:cs="Times New Roman"/>
                <w:sz w:val="24"/>
                <w:vertAlign w:val="subscript"/>
              </w:rPr>
            </w:pPr>
            <w:r>
              <w:rPr>
                <w:rFonts w:ascii="Times New Roman" w:hAnsi="Times New Roman" w:eastAsia="宋体" w:cs="Times New Roman"/>
                <w:sz w:val="24"/>
              </w:rPr>
              <w:softHyphen/>
            </w:r>
            <w:r>
              <w:rPr>
                <w:rFonts w:ascii="Times New Roman" w:hAnsi="Times New Roman" w:eastAsia="宋体" w:cs="Times New Roman"/>
                <w:sz w:val="24"/>
              </w:rPr>
              <w:t>重庆市铜梁区发展和改革委员会</w:t>
            </w:r>
          </w:p>
        </w:tc>
        <w:tc>
          <w:tcPr>
            <w:tcW w:w="1180"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项目备案文号</w:t>
            </w:r>
          </w:p>
        </w:tc>
        <w:tc>
          <w:tcPr>
            <w:tcW w:w="3589"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2204-500151-04-05-648264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总投资（万元）</w:t>
            </w:r>
          </w:p>
        </w:tc>
        <w:tc>
          <w:tcPr>
            <w:tcW w:w="2369" w:type="dxa"/>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4500</w:t>
            </w:r>
          </w:p>
        </w:tc>
        <w:tc>
          <w:tcPr>
            <w:tcW w:w="1180"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环保投资</w:t>
            </w:r>
          </w:p>
          <w:p>
            <w:pPr>
              <w:jc w:val="center"/>
              <w:rPr>
                <w:rFonts w:ascii="Times New Roman" w:hAnsi="Times New Roman" w:eastAsia="宋体" w:cs="Times New Roman"/>
                <w:sz w:val="24"/>
              </w:rPr>
            </w:pPr>
            <w:r>
              <w:rPr>
                <w:rFonts w:ascii="Times New Roman" w:hAnsi="Times New Roman" w:eastAsia="宋体" w:cs="Times New Roman"/>
                <w:sz w:val="24"/>
              </w:rPr>
              <w:t>（万元）</w:t>
            </w:r>
          </w:p>
        </w:tc>
        <w:tc>
          <w:tcPr>
            <w:tcW w:w="3589" w:type="dxa"/>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环保投资占比（%）</w:t>
            </w:r>
          </w:p>
        </w:tc>
        <w:tc>
          <w:tcPr>
            <w:tcW w:w="2369" w:type="dxa"/>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11.1</w:t>
            </w:r>
          </w:p>
        </w:tc>
        <w:tc>
          <w:tcPr>
            <w:tcW w:w="1180"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施工工期</w:t>
            </w:r>
          </w:p>
        </w:tc>
        <w:tc>
          <w:tcPr>
            <w:tcW w:w="3589" w:type="dxa"/>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686" w:type="dxa"/>
            <w:tcMar>
              <w:top w:w="16" w:type="dxa"/>
              <w:left w:w="16" w:type="dxa"/>
              <w:right w:w="16" w:type="dxa"/>
            </w:tcMar>
            <w:vAlign w:val="center"/>
          </w:tcPr>
          <w:p>
            <w:pPr>
              <w:jc w:val="center"/>
              <w:rPr>
                <w:rFonts w:ascii="Times New Roman" w:hAnsi="Times New Roman" w:eastAsia="宋体" w:cs="Times New Roman"/>
                <w:sz w:val="24"/>
              </w:rPr>
            </w:pPr>
            <w:r>
              <w:rPr>
                <w:rFonts w:ascii="Times New Roman" w:hAnsi="Times New Roman" w:eastAsia="宋体" w:cs="Times New Roman"/>
                <w:sz w:val="24"/>
              </w:rPr>
              <w:t>是否开工建设</w:t>
            </w:r>
          </w:p>
        </w:tc>
        <w:tc>
          <w:tcPr>
            <w:tcW w:w="2369" w:type="dxa"/>
            <w:vAlign w:val="center"/>
          </w:tcPr>
          <w:p>
            <w:pPr>
              <w:jc w:val="left"/>
              <w:rPr>
                <w:rFonts w:ascii="Times New Roman" w:hAnsi="Times New Roman" w:eastAsia="宋体" w:cs="Times New Roman"/>
                <w:sz w:val="24"/>
              </w:rPr>
            </w:pPr>
            <w:r>
              <w:rPr>
                <w:rFonts w:ascii="Times New Roman" w:hAnsi="Times New Roman" w:eastAsia="宋体" w:cs="Times New Roman"/>
                <w:sz w:val="24"/>
              </w:rPr>
              <w:sym w:font="Wingdings 2" w:char="F052"/>
            </w:r>
            <w:r>
              <w:rPr>
                <w:rFonts w:ascii="Times New Roman" w:hAnsi="Times New Roman" w:eastAsia="宋体" w:cs="Times New Roman"/>
                <w:sz w:val="24"/>
              </w:rPr>
              <w:t>否</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是：</w:t>
            </w:r>
          </w:p>
        </w:tc>
        <w:tc>
          <w:tcPr>
            <w:tcW w:w="1180" w:type="dxa"/>
            <w:tcMar>
              <w:top w:w="16" w:type="dxa"/>
              <w:left w:w="16" w:type="dxa"/>
              <w:right w:w="16" w:type="dxa"/>
            </w:tcMar>
            <w:vAlign w:val="center"/>
          </w:tcPr>
          <w:p>
            <w:pPr>
              <w:jc w:val="center"/>
              <w:rPr>
                <w:rFonts w:ascii="Times New Roman" w:hAnsi="Times New Roman" w:eastAsia="宋体" w:cs="Times New Roman"/>
                <w:spacing w:val="-6"/>
                <w:sz w:val="24"/>
              </w:rPr>
            </w:pPr>
            <w:r>
              <w:rPr>
                <w:rFonts w:ascii="Times New Roman" w:hAnsi="Times New Roman" w:eastAsia="宋体" w:cs="Times New Roman"/>
                <w:spacing w:val="-6"/>
                <w:sz w:val="24"/>
              </w:rPr>
              <w:t>用地面积（m</w:t>
            </w:r>
            <w:r>
              <w:rPr>
                <w:rFonts w:ascii="Times New Roman" w:hAnsi="Times New Roman" w:eastAsia="宋体" w:cs="Times New Roman"/>
                <w:spacing w:val="-6"/>
                <w:sz w:val="24"/>
                <w:vertAlign w:val="superscript"/>
              </w:rPr>
              <w:t>2</w:t>
            </w:r>
            <w:r>
              <w:rPr>
                <w:rFonts w:ascii="Times New Roman" w:hAnsi="Times New Roman" w:eastAsia="宋体" w:cs="Times New Roman"/>
                <w:spacing w:val="-6"/>
                <w:sz w:val="24"/>
              </w:rPr>
              <w:t>）</w:t>
            </w:r>
          </w:p>
        </w:tc>
        <w:tc>
          <w:tcPr>
            <w:tcW w:w="3589"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2600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6" w:type="dxa"/>
          </w:tcPr>
          <w:p>
            <w:pPr>
              <w:autoSpaceDE w:val="0"/>
              <w:autoSpaceDN w:val="0"/>
              <w:jc w:val="center"/>
              <w:rPr>
                <w:rFonts w:ascii="Times New Roman" w:hAnsi="Times New Roman" w:eastAsia="宋体" w:cs="Times New Roman"/>
                <w:kern w:val="0"/>
                <w:sz w:val="24"/>
              </w:rPr>
            </w:pPr>
            <w:r>
              <w:rPr>
                <w:rFonts w:ascii="Times New Roman" w:hAnsi="Times New Roman" w:eastAsia="宋体" w:cs="Times New Roman"/>
                <w:kern w:val="0"/>
                <w:sz w:val="24"/>
              </w:rPr>
              <w:t>专项评价设置情况</w:t>
            </w:r>
          </w:p>
        </w:tc>
        <w:tc>
          <w:tcPr>
            <w:tcW w:w="7138" w:type="dxa"/>
            <w:gridSpan w:val="3"/>
            <w:shd w:val="clear" w:color="auto" w:fill="auto"/>
          </w:tcPr>
          <w:p>
            <w:pPr>
              <w:pStyle w:val="160"/>
              <w:ind w:firstLine="480"/>
            </w:pPr>
            <w:r>
              <w:rPr>
                <w:rFonts w:hint="eastAsia"/>
              </w:rPr>
              <w:t>根据《建设项目环境影响报告表编制技术指南（污染影响类）试行》中专项评价设置原则，项目</w:t>
            </w:r>
            <w:r>
              <w:t>各环境要素专项评价筛选情况见表1。</w:t>
            </w:r>
          </w:p>
          <w:p>
            <w:pPr>
              <w:pStyle w:val="164"/>
            </w:pPr>
            <w:r>
              <w:t>表1  项目专项评价筛选一览表</w:t>
            </w:r>
          </w:p>
          <w:tbl>
            <w:tblPr>
              <w:tblStyle w:val="88"/>
              <w:tblW w:w="6912" w:type="dxa"/>
              <w:jc w:val="center"/>
              <w:tblInd w:w="0" w:type="dxa"/>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
            <w:tblGrid>
              <w:gridCol w:w="855"/>
              <w:gridCol w:w="4335"/>
              <w:gridCol w:w="1253"/>
              <w:gridCol w:w="469"/>
            </w:tblGrid>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类别</w:t>
                  </w:r>
                </w:p>
              </w:tc>
              <w:tc>
                <w:tcPr>
                  <w:tcW w:w="4335" w:type="dxa"/>
                  <w:tcMar>
                    <w:top w:w="0" w:type="dxa"/>
                    <w:left w:w="28" w:type="dxa"/>
                    <w:bottom w:w="0" w:type="dxa"/>
                    <w:right w:w="28" w:type="dxa"/>
                  </w:tcMar>
                  <w:vAlign w:val="center"/>
                </w:tcPr>
                <w:p>
                  <w:pPr>
                    <w:pStyle w:val="164"/>
                  </w:pPr>
                  <w:r>
                    <w:t>专项评价设置原则</w:t>
                  </w:r>
                </w:p>
              </w:tc>
              <w:tc>
                <w:tcPr>
                  <w:tcW w:w="1253" w:type="dxa"/>
                  <w:tcMar>
                    <w:top w:w="0" w:type="dxa"/>
                    <w:left w:w="28" w:type="dxa"/>
                    <w:bottom w:w="0" w:type="dxa"/>
                    <w:right w:w="28" w:type="dxa"/>
                  </w:tcMar>
                  <w:vAlign w:val="center"/>
                </w:tcPr>
                <w:p>
                  <w:pPr>
                    <w:pStyle w:val="164"/>
                  </w:pPr>
                  <w:r>
                    <w:t>扩建项目情况</w:t>
                  </w:r>
                </w:p>
              </w:tc>
              <w:tc>
                <w:tcPr>
                  <w:tcW w:w="469" w:type="dxa"/>
                  <w:tcMar>
                    <w:top w:w="0" w:type="dxa"/>
                    <w:left w:w="28" w:type="dxa"/>
                    <w:bottom w:w="0" w:type="dxa"/>
                    <w:right w:w="28" w:type="dxa"/>
                  </w:tcMar>
                  <w:vAlign w:val="center"/>
                </w:tcPr>
                <w:p>
                  <w:pPr>
                    <w:pStyle w:val="164"/>
                  </w:pPr>
                  <w:r>
                    <w:t>是否设置</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大气</w:t>
                  </w:r>
                </w:p>
              </w:tc>
              <w:tc>
                <w:tcPr>
                  <w:tcW w:w="4335" w:type="dxa"/>
                  <w:tcMar>
                    <w:top w:w="0" w:type="dxa"/>
                    <w:left w:w="28" w:type="dxa"/>
                    <w:bottom w:w="0" w:type="dxa"/>
                    <w:right w:w="28" w:type="dxa"/>
                  </w:tcMar>
                  <w:vAlign w:val="center"/>
                </w:tcPr>
                <w:p>
                  <w:pPr>
                    <w:pStyle w:val="164"/>
                  </w:pPr>
                  <w:r>
                    <w:t>排放废气含有毒有害污染物、二嗯英、苯并[a]芘、氰化物、氯气且厂界外500米范围内有环境空气保护目标的建设项目。</w:t>
                  </w:r>
                </w:p>
              </w:tc>
              <w:tc>
                <w:tcPr>
                  <w:tcW w:w="1253" w:type="dxa"/>
                  <w:tcMar>
                    <w:top w:w="0" w:type="dxa"/>
                    <w:left w:w="28" w:type="dxa"/>
                    <w:bottom w:w="0" w:type="dxa"/>
                    <w:right w:w="28" w:type="dxa"/>
                  </w:tcMar>
                  <w:vAlign w:val="center"/>
                </w:tcPr>
                <w:p>
                  <w:pPr>
                    <w:pStyle w:val="164"/>
                  </w:pPr>
                  <w:r>
                    <w:t>不属于</w:t>
                  </w:r>
                  <w:r>
                    <w:rPr>
                      <w:rFonts w:hint="eastAsia"/>
                    </w:rPr>
                    <w:t>*</w:t>
                  </w:r>
                </w:p>
              </w:tc>
              <w:tc>
                <w:tcPr>
                  <w:tcW w:w="469" w:type="dxa"/>
                  <w:tcMar>
                    <w:top w:w="0" w:type="dxa"/>
                    <w:left w:w="28" w:type="dxa"/>
                    <w:bottom w:w="0" w:type="dxa"/>
                    <w:right w:w="28" w:type="dxa"/>
                  </w:tcMar>
                  <w:vAlign w:val="center"/>
                </w:tcPr>
                <w:p>
                  <w:pPr>
                    <w:pStyle w:val="164"/>
                  </w:pPr>
                  <w:r>
                    <w:t>否</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地表水</w:t>
                  </w:r>
                </w:p>
              </w:tc>
              <w:tc>
                <w:tcPr>
                  <w:tcW w:w="4335" w:type="dxa"/>
                  <w:tcMar>
                    <w:top w:w="0" w:type="dxa"/>
                    <w:left w:w="28" w:type="dxa"/>
                    <w:bottom w:w="0" w:type="dxa"/>
                    <w:right w:w="28" w:type="dxa"/>
                  </w:tcMar>
                  <w:vAlign w:val="center"/>
                </w:tcPr>
                <w:p>
                  <w:pPr>
                    <w:pStyle w:val="164"/>
                  </w:pPr>
                  <w:r>
                    <w:rPr>
                      <w:rFonts w:hint="eastAsia" w:ascii="宋体" w:hAnsi="宋体" w:cs="宋体"/>
                    </w:rPr>
                    <w:t>①</w:t>
                  </w:r>
                  <w:r>
                    <w:t>新增工业废水直排建设项目（槽罐车外送污水处理厂的除外）；</w:t>
                  </w:r>
                  <w:r>
                    <w:rPr>
                      <w:rFonts w:hint="eastAsia" w:ascii="宋体" w:hAnsi="宋体" w:cs="宋体"/>
                    </w:rPr>
                    <w:t>②</w:t>
                  </w:r>
                  <w:r>
                    <w:t>新增废水直排的污水集中处理厂。</w:t>
                  </w:r>
                </w:p>
              </w:tc>
              <w:tc>
                <w:tcPr>
                  <w:tcW w:w="1253" w:type="dxa"/>
                  <w:tcMar>
                    <w:top w:w="0" w:type="dxa"/>
                    <w:left w:w="28" w:type="dxa"/>
                    <w:bottom w:w="0" w:type="dxa"/>
                    <w:right w:w="28" w:type="dxa"/>
                  </w:tcMar>
                  <w:vAlign w:val="center"/>
                </w:tcPr>
                <w:p>
                  <w:pPr>
                    <w:pStyle w:val="164"/>
                  </w:pPr>
                  <w:r>
                    <w:t>不属于</w:t>
                  </w:r>
                </w:p>
              </w:tc>
              <w:tc>
                <w:tcPr>
                  <w:tcW w:w="469" w:type="dxa"/>
                  <w:tcMar>
                    <w:top w:w="0" w:type="dxa"/>
                    <w:left w:w="28" w:type="dxa"/>
                    <w:bottom w:w="0" w:type="dxa"/>
                    <w:right w:w="28" w:type="dxa"/>
                  </w:tcMar>
                  <w:vAlign w:val="center"/>
                </w:tcPr>
                <w:p>
                  <w:pPr>
                    <w:pStyle w:val="164"/>
                  </w:pPr>
                  <w:r>
                    <w:t>否</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环境风险</w:t>
                  </w:r>
                </w:p>
              </w:tc>
              <w:tc>
                <w:tcPr>
                  <w:tcW w:w="4335" w:type="dxa"/>
                  <w:tcMar>
                    <w:top w:w="0" w:type="dxa"/>
                    <w:left w:w="28" w:type="dxa"/>
                    <w:bottom w:w="0" w:type="dxa"/>
                    <w:right w:w="28" w:type="dxa"/>
                  </w:tcMar>
                  <w:vAlign w:val="center"/>
                </w:tcPr>
                <w:p>
                  <w:pPr>
                    <w:pStyle w:val="164"/>
                  </w:pPr>
                  <w:r>
                    <w:t>有毒有害和易燃易爆危险物质存储量超过临界量的建设项目。</w:t>
                  </w:r>
                </w:p>
              </w:tc>
              <w:tc>
                <w:tcPr>
                  <w:tcW w:w="1253" w:type="dxa"/>
                  <w:tcMar>
                    <w:top w:w="0" w:type="dxa"/>
                    <w:left w:w="28" w:type="dxa"/>
                    <w:bottom w:w="0" w:type="dxa"/>
                    <w:right w:w="28" w:type="dxa"/>
                  </w:tcMar>
                  <w:vAlign w:val="center"/>
                </w:tcPr>
                <w:p>
                  <w:pPr>
                    <w:pStyle w:val="164"/>
                  </w:pPr>
                  <w:r>
                    <w:t>不属于</w:t>
                  </w:r>
                </w:p>
              </w:tc>
              <w:tc>
                <w:tcPr>
                  <w:tcW w:w="469" w:type="dxa"/>
                  <w:tcMar>
                    <w:top w:w="0" w:type="dxa"/>
                    <w:left w:w="28" w:type="dxa"/>
                    <w:bottom w:w="0" w:type="dxa"/>
                    <w:right w:w="28" w:type="dxa"/>
                  </w:tcMar>
                  <w:vAlign w:val="center"/>
                </w:tcPr>
                <w:p>
                  <w:pPr>
                    <w:pStyle w:val="164"/>
                  </w:pPr>
                  <w:r>
                    <w:t>否</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生态</w:t>
                  </w:r>
                </w:p>
              </w:tc>
              <w:tc>
                <w:tcPr>
                  <w:tcW w:w="4335" w:type="dxa"/>
                  <w:tcMar>
                    <w:top w:w="0" w:type="dxa"/>
                    <w:left w:w="28" w:type="dxa"/>
                    <w:bottom w:w="0" w:type="dxa"/>
                    <w:right w:w="28" w:type="dxa"/>
                  </w:tcMar>
                  <w:vAlign w:val="center"/>
                </w:tcPr>
                <w:p>
                  <w:pPr>
                    <w:pStyle w:val="164"/>
                  </w:pPr>
                  <w:r>
                    <w:t>取水口下游500米范围内有重要水生生物的自然产卵场、索饵场、越冬场和回游通道的新增河道取水的污染类建设项目。</w:t>
                  </w:r>
                </w:p>
              </w:tc>
              <w:tc>
                <w:tcPr>
                  <w:tcW w:w="1253" w:type="dxa"/>
                  <w:tcMar>
                    <w:top w:w="0" w:type="dxa"/>
                    <w:left w:w="28" w:type="dxa"/>
                    <w:bottom w:w="0" w:type="dxa"/>
                    <w:right w:w="28" w:type="dxa"/>
                  </w:tcMar>
                  <w:vAlign w:val="center"/>
                </w:tcPr>
                <w:p>
                  <w:pPr>
                    <w:pStyle w:val="164"/>
                  </w:pPr>
                  <w:r>
                    <w:t>不属于</w:t>
                  </w:r>
                </w:p>
              </w:tc>
              <w:tc>
                <w:tcPr>
                  <w:tcW w:w="469" w:type="dxa"/>
                  <w:tcMar>
                    <w:top w:w="0" w:type="dxa"/>
                    <w:left w:w="28" w:type="dxa"/>
                    <w:bottom w:w="0" w:type="dxa"/>
                    <w:right w:w="28" w:type="dxa"/>
                  </w:tcMar>
                  <w:vAlign w:val="center"/>
                </w:tcPr>
                <w:p>
                  <w:pPr>
                    <w:pStyle w:val="164"/>
                  </w:pPr>
                  <w:r>
                    <w:t>否</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海洋</w:t>
                  </w:r>
                </w:p>
              </w:tc>
              <w:tc>
                <w:tcPr>
                  <w:tcW w:w="4335" w:type="dxa"/>
                  <w:tcMar>
                    <w:top w:w="0" w:type="dxa"/>
                    <w:left w:w="28" w:type="dxa"/>
                    <w:bottom w:w="0" w:type="dxa"/>
                    <w:right w:w="28" w:type="dxa"/>
                  </w:tcMar>
                  <w:vAlign w:val="center"/>
                </w:tcPr>
                <w:p>
                  <w:pPr>
                    <w:pStyle w:val="164"/>
                  </w:pPr>
                  <w:r>
                    <w:t>直接向海排放污染物的海洋工程建设项目。</w:t>
                  </w:r>
                </w:p>
              </w:tc>
              <w:tc>
                <w:tcPr>
                  <w:tcW w:w="1253" w:type="dxa"/>
                  <w:tcMar>
                    <w:top w:w="0" w:type="dxa"/>
                    <w:left w:w="28" w:type="dxa"/>
                    <w:bottom w:w="0" w:type="dxa"/>
                    <w:right w:w="28" w:type="dxa"/>
                  </w:tcMar>
                  <w:vAlign w:val="center"/>
                </w:tcPr>
                <w:p>
                  <w:pPr>
                    <w:pStyle w:val="164"/>
                  </w:pPr>
                  <w:r>
                    <w:t>不属于</w:t>
                  </w:r>
                </w:p>
              </w:tc>
              <w:tc>
                <w:tcPr>
                  <w:tcW w:w="469" w:type="dxa"/>
                  <w:tcMar>
                    <w:top w:w="0" w:type="dxa"/>
                    <w:left w:w="28" w:type="dxa"/>
                    <w:bottom w:w="0" w:type="dxa"/>
                    <w:right w:w="28" w:type="dxa"/>
                  </w:tcMar>
                  <w:vAlign w:val="center"/>
                </w:tcPr>
                <w:p>
                  <w:pPr>
                    <w:pStyle w:val="164"/>
                  </w:pPr>
                  <w:r>
                    <w:t>否</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地下水</w:t>
                  </w:r>
                </w:p>
              </w:tc>
              <w:tc>
                <w:tcPr>
                  <w:tcW w:w="4335" w:type="dxa"/>
                  <w:tcMar>
                    <w:top w:w="0" w:type="dxa"/>
                    <w:left w:w="28" w:type="dxa"/>
                    <w:bottom w:w="0" w:type="dxa"/>
                    <w:right w:w="28" w:type="dxa"/>
                  </w:tcMar>
                  <w:vAlign w:val="center"/>
                </w:tcPr>
                <w:p>
                  <w:pPr>
                    <w:pStyle w:val="164"/>
                  </w:pPr>
                  <w:r>
                    <w:t>涉及集中式饮用水水源和热水、矿泉水、温泉等特殊地下水资源保护区的建设项目。</w:t>
                  </w:r>
                </w:p>
              </w:tc>
              <w:tc>
                <w:tcPr>
                  <w:tcW w:w="1253" w:type="dxa"/>
                  <w:tcMar>
                    <w:top w:w="0" w:type="dxa"/>
                    <w:left w:w="28" w:type="dxa"/>
                    <w:bottom w:w="0" w:type="dxa"/>
                    <w:right w:w="28" w:type="dxa"/>
                  </w:tcMar>
                  <w:vAlign w:val="center"/>
                </w:tcPr>
                <w:p>
                  <w:pPr>
                    <w:pStyle w:val="164"/>
                  </w:pPr>
                  <w:r>
                    <w:t>不属于</w:t>
                  </w:r>
                </w:p>
              </w:tc>
              <w:tc>
                <w:tcPr>
                  <w:tcW w:w="469" w:type="dxa"/>
                  <w:tcMar>
                    <w:top w:w="0" w:type="dxa"/>
                    <w:left w:w="28" w:type="dxa"/>
                    <w:bottom w:w="0" w:type="dxa"/>
                    <w:right w:w="28" w:type="dxa"/>
                  </w:tcMar>
                  <w:vAlign w:val="center"/>
                </w:tcPr>
                <w:p>
                  <w:pPr>
                    <w:pStyle w:val="164"/>
                  </w:pPr>
                  <w:r>
                    <w:t>否</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28" w:type="dxa"/>
                  <w:bottom w:w="0" w:type="dxa"/>
                  <w:right w:w="28" w:type="dxa"/>
                </w:tblCellMar>
              </w:tblPrEx>
              <w:trPr>
                <w:trHeight w:val="340" w:hRule="atLeast"/>
                <w:jc w:val="center"/>
              </w:trPr>
              <w:tc>
                <w:tcPr>
                  <w:tcW w:w="855" w:type="dxa"/>
                  <w:tcMar>
                    <w:top w:w="0" w:type="dxa"/>
                    <w:left w:w="28" w:type="dxa"/>
                    <w:bottom w:w="0" w:type="dxa"/>
                    <w:right w:w="28" w:type="dxa"/>
                  </w:tcMar>
                  <w:vAlign w:val="center"/>
                </w:tcPr>
                <w:p>
                  <w:pPr>
                    <w:pStyle w:val="164"/>
                  </w:pPr>
                  <w:r>
                    <w:t>土壤、声环境</w:t>
                  </w:r>
                </w:p>
              </w:tc>
              <w:tc>
                <w:tcPr>
                  <w:tcW w:w="4335" w:type="dxa"/>
                  <w:tcMar>
                    <w:top w:w="0" w:type="dxa"/>
                    <w:left w:w="28" w:type="dxa"/>
                    <w:bottom w:w="0" w:type="dxa"/>
                    <w:right w:w="28" w:type="dxa"/>
                  </w:tcMar>
                  <w:vAlign w:val="center"/>
                </w:tcPr>
                <w:p>
                  <w:pPr>
                    <w:pStyle w:val="164"/>
                  </w:pPr>
                  <w:r>
                    <w:t>不开展专项评价。</w:t>
                  </w:r>
                </w:p>
              </w:tc>
              <w:tc>
                <w:tcPr>
                  <w:tcW w:w="1253" w:type="dxa"/>
                  <w:tcMar>
                    <w:top w:w="0" w:type="dxa"/>
                    <w:left w:w="28" w:type="dxa"/>
                    <w:bottom w:w="0" w:type="dxa"/>
                    <w:right w:w="28" w:type="dxa"/>
                  </w:tcMar>
                  <w:vAlign w:val="center"/>
                </w:tcPr>
                <w:p>
                  <w:pPr>
                    <w:pStyle w:val="164"/>
                  </w:pPr>
                  <w:r>
                    <w:t>/</w:t>
                  </w:r>
                </w:p>
              </w:tc>
              <w:tc>
                <w:tcPr>
                  <w:tcW w:w="469" w:type="dxa"/>
                  <w:tcMar>
                    <w:top w:w="0" w:type="dxa"/>
                    <w:left w:w="28" w:type="dxa"/>
                    <w:bottom w:w="0" w:type="dxa"/>
                    <w:right w:w="28" w:type="dxa"/>
                  </w:tcMar>
                  <w:vAlign w:val="center"/>
                </w:tcPr>
                <w:p>
                  <w:pPr>
                    <w:pStyle w:val="164"/>
                  </w:pPr>
                  <w:r>
                    <w:t>否</w:t>
                  </w:r>
                </w:p>
              </w:tc>
            </w:tr>
          </w:tbl>
          <w:p>
            <w:pPr>
              <w:pStyle w:val="164"/>
              <w:jc w:val="left"/>
            </w:pPr>
            <w:r>
              <w:rPr>
                <w:rFonts w:hint="eastAsia"/>
              </w:rPr>
              <w:t>*扩建项目所用涂料、稀释剂、固化剂、热熔</w:t>
            </w:r>
            <w:r>
              <w:rPr>
                <w:rFonts w:hint="eastAsia"/>
                <w:color w:val="auto"/>
              </w:rPr>
              <w:t>胶、</w:t>
            </w:r>
            <w:r>
              <w:rPr>
                <w:rFonts w:hint="eastAsia"/>
                <w:bCs/>
                <w:color w:val="auto"/>
              </w:rPr>
              <w:t>拼板胶、喷胶、白乳胶</w:t>
            </w:r>
            <w:r>
              <w:rPr>
                <w:rFonts w:hint="eastAsia"/>
                <w:color w:val="auto"/>
              </w:rPr>
              <w:t>等成分中均不涉及</w:t>
            </w:r>
            <w:r>
              <w:rPr>
                <w:color w:val="auto"/>
              </w:rPr>
              <w:t>含有毒有害污染物成分</w:t>
            </w:r>
            <w:r>
              <w:rPr>
                <w:rFonts w:hint="eastAsia"/>
              </w:rPr>
              <w:t>。同时扩建项目所用胶合板均采用</w:t>
            </w:r>
            <w:r>
              <w:rPr>
                <w:rFonts w:hint="eastAsia"/>
                <w:color w:val="auto"/>
              </w:rPr>
              <w:t>E1、E0级</w:t>
            </w:r>
            <w:r>
              <w:rPr>
                <w:rFonts w:hint="eastAsia"/>
              </w:rPr>
              <w:t>板材，仅在开板过程中有微量残留于板材内的甲醛挥发，本次评价不进行统计分析。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6" w:type="dxa"/>
          </w:tcPr>
          <w:p>
            <w:pPr>
              <w:pStyle w:val="4086"/>
              <w:spacing w:before="24"/>
              <w:ind w:firstLine="0" w:firstLineChars="0"/>
            </w:pPr>
            <w:r>
              <w:rPr>
                <w:rFonts w:hint="eastAsia"/>
              </w:rPr>
              <w:t>专项评价设置情况</w:t>
            </w:r>
          </w:p>
        </w:tc>
        <w:tc>
          <w:tcPr>
            <w:tcW w:w="7138" w:type="dxa"/>
            <w:gridSpan w:val="3"/>
            <w:shd w:val="clear" w:color="auto" w:fill="auto"/>
            <w:vAlign w:val="center"/>
          </w:tcPr>
          <w:p>
            <w:pPr>
              <w:pStyle w:val="4086"/>
              <w:spacing w:before="24"/>
              <w:ind w:firstLine="48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6" w:type="dxa"/>
          </w:tcPr>
          <w:p>
            <w:pPr>
              <w:autoSpaceDE w:val="0"/>
              <w:autoSpaceDN w:val="0"/>
              <w:jc w:val="center"/>
              <w:rPr>
                <w:rFonts w:ascii="Times New Roman" w:hAnsi="Times New Roman" w:eastAsia="宋体" w:cs="Times New Roman"/>
                <w:kern w:val="0"/>
                <w:sz w:val="24"/>
              </w:rPr>
            </w:pPr>
            <w:r>
              <w:rPr>
                <w:rFonts w:ascii="Times New Roman" w:hAnsi="Times New Roman" w:eastAsia="宋体" w:cs="Times New Roman"/>
                <w:sz w:val="24"/>
              </w:rPr>
              <w:t>规划情况</w:t>
            </w:r>
          </w:p>
        </w:tc>
        <w:tc>
          <w:tcPr>
            <w:tcW w:w="7138" w:type="dxa"/>
            <w:gridSpan w:val="3"/>
            <w:vAlign w:val="center"/>
          </w:tcPr>
          <w:p>
            <w:pPr>
              <w:pStyle w:val="4075"/>
              <w:ind w:firstLine="255"/>
            </w:pPr>
            <w:r>
              <w:rPr>
                <w:rFonts w:hint="eastAsia"/>
              </w:rPr>
              <w:t>《铜梁区控制性详细规划整合（</w:t>
            </w:r>
            <w:r>
              <w:t>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6" w:type="dxa"/>
          </w:tcPr>
          <w:p>
            <w:pPr>
              <w:jc w:val="center"/>
              <w:rPr>
                <w:rFonts w:ascii="Times New Roman" w:hAnsi="Times New Roman" w:eastAsia="宋体" w:cs="Times New Roman"/>
                <w:sz w:val="24"/>
              </w:rPr>
            </w:pPr>
            <w:r>
              <w:rPr>
                <w:rFonts w:ascii="Times New Roman" w:hAnsi="Times New Roman" w:eastAsia="宋体" w:cs="Times New Roman"/>
                <w:sz w:val="24"/>
              </w:rPr>
              <w:t>规划环境影响评价情况</w:t>
            </w:r>
          </w:p>
        </w:tc>
        <w:tc>
          <w:tcPr>
            <w:tcW w:w="7138" w:type="dxa"/>
            <w:gridSpan w:val="3"/>
            <w:vAlign w:val="center"/>
          </w:tcPr>
          <w:p>
            <w:pPr>
              <w:pStyle w:val="4086"/>
              <w:spacing w:before="24"/>
              <w:ind w:firstLine="480"/>
            </w:pPr>
            <w:r>
              <w:rPr>
                <w:rFonts w:hint="eastAsia"/>
              </w:rPr>
              <w:t>①规划环评名称：《重庆铜梁高新区铜梁片区及全蒲片区规划环境影响跟踪评价报告书》；</w:t>
            </w:r>
          </w:p>
          <w:p>
            <w:pPr>
              <w:pStyle w:val="4086"/>
              <w:spacing w:before="24"/>
              <w:ind w:firstLine="480"/>
            </w:pPr>
            <w:r>
              <w:rPr>
                <w:rFonts w:hint="eastAsia"/>
              </w:rPr>
              <w:t>②审查机关：重庆市生态环境局；</w:t>
            </w:r>
          </w:p>
          <w:p>
            <w:pPr>
              <w:pStyle w:val="4086"/>
              <w:spacing w:before="24"/>
              <w:ind w:firstLine="480"/>
            </w:pPr>
            <w:r>
              <w:rPr>
                <w:rFonts w:hint="eastAsia"/>
              </w:rPr>
              <w:t>③审查文件：《重庆市生态环境局关于重庆铜梁高新区铜梁片区及全蒲片区规划环境影响跟踪评价报告书审查意见的函》（渝环函〔2019〕94号）；</w:t>
            </w:r>
          </w:p>
          <w:p>
            <w:pPr>
              <w:pStyle w:val="4086"/>
              <w:spacing w:before="24"/>
              <w:ind w:firstLine="480"/>
            </w:pPr>
            <w:r>
              <w:rPr>
                <w:rFonts w:hint="eastAsia"/>
              </w:rPr>
              <w:t>④审查时间：2019年1月29日。</w:t>
            </w:r>
          </w:p>
        </w:tc>
      </w:tr>
    </w:tbl>
    <w:p>
      <w:pPr>
        <w:sectPr>
          <w:footerReference r:id="rId5" w:type="default"/>
          <w:pgSz w:w="11906" w:h="16838"/>
          <w:pgMar w:top="1701" w:right="1531" w:bottom="1701" w:left="1531" w:header="851" w:footer="851" w:gutter="0"/>
          <w:pgNumType w:start="1"/>
          <w:cols w:space="720" w:num="1"/>
          <w:docGrid w:linePitch="312" w:charSpace="0"/>
        </w:sectPr>
      </w:pPr>
    </w:p>
    <w:p/>
    <w:tbl>
      <w:tblPr>
        <w:tblStyle w:val="88"/>
        <w:tblW w:w="1365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4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1242" w:type="dxa"/>
            <w:vAlign w:val="center"/>
          </w:tcPr>
          <w:p>
            <w:pPr>
              <w:autoSpaceDE w:val="0"/>
              <w:autoSpaceDN w:val="0"/>
              <w:jc w:val="center"/>
              <w:rPr>
                <w:rFonts w:ascii="Times New Roman" w:hAnsi="Times New Roman" w:eastAsia="宋体" w:cs="Times New Roman"/>
                <w:kern w:val="0"/>
                <w:sz w:val="24"/>
              </w:rPr>
            </w:pPr>
            <w:r>
              <w:rPr>
                <w:rFonts w:ascii="Times New Roman" w:hAnsi="Times New Roman" w:eastAsia="宋体" w:cs="Times New Roman"/>
                <w:kern w:val="0"/>
                <w:sz w:val="24"/>
              </w:rPr>
              <w:t>规划及规划环境影响评价符合性分析</w:t>
            </w:r>
          </w:p>
        </w:tc>
        <w:tc>
          <w:tcPr>
            <w:tcW w:w="12410" w:type="dxa"/>
            <w:vAlign w:val="center"/>
          </w:tcPr>
          <w:p>
            <w:pPr>
              <w:pStyle w:val="4086"/>
              <w:spacing w:before="24"/>
              <w:ind w:firstLine="482"/>
              <w:rPr>
                <w:b/>
              </w:rPr>
            </w:pPr>
            <w:r>
              <w:rPr>
                <w:rFonts w:hint="eastAsia"/>
                <w:b/>
              </w:rPr>
              <w:t>1.1规划环境影响评价符合性分析</w:t>
            </w:r>
          </w:p>
          <w:p>
            <w:pPr>
              <w:pStyle w:val="4086"/>
              <w:spacing w:before="24"/>
              <w:ind w:firstLine="482"/>
              <w:rPr>
                <w:b/>
              </w:rPr>
            </w:pPr>
            <w:r>
              <w:rPr>
                <w:rFonts w:hint="eastAsia"/>
                <w:b/>
              </w:rPr>
              <w:t>1.1.1与《重庆铜梁高新区铜梁片区及全蒲片区规划环境影响跟踪评价报告书》符合性分析</w:t>
            </w:r>
          </w:p>
          <w:p>
            <w:pPr>
              <w:pStyle w:val="4086"/>
              <w:spacing w:before="24"/>
              <w:ind w:firstLine="482"/>
              <w:rPr>
                <w:b/>
              </w:rPr>
            </w:pPr>
            <w:r>
              <w:rPr>
                <w:rFonts w:hint="eastAsia"/>
                <w:b/>
              </w:rPr>
              <w:t>（1）规划布局</w:t>
            </w:r>
          </w:p>
          <w:p>
            <w:pPr>
              <w:pStyle w:val="4086"/>
              <w:spacing w:before="24"/>
              <w:ind w:firstLine="480"/>
            </w:pPr>
            <w:r>
              <w:rPr>
                <w:rFonts w:hint="eastAsia"/>
              </w:rPr>
              <w:t>“一区四组团”为主、镇街特色工业为辅助的工业格局。</w:t>
            </w:r>
          </w:p>
          <w:p>
            <w:pPr>
              <w:pStyle w:val="4086"/>
              <w:spacing w:before="24"/>
              <w:ind w:firstLine="480"/>
            </w:pPr>
            <w:r>
              <w:rPr>
                <w:rFonts w:hint="eastAsia"/>
              </w:rPr>
              <w:t>蒲吕片区：以装备制造、电子信息、新材料、大健康产业为主要发展方向，培育新型工业。电子信息主要依托蒲旧大道相对集中布局，约1700亩符合城市总规；装备制造主要沿渝遂高速、龙腾大道（东）延伸段进行连片布置，以形成相对连续的产业链，发挥集群效应，约2100亩符合城市总规，包含中车集团及拦河堰水库面积约600亩；新材料类企业用地主要规划于蒲旧大道与渝遂高速交汇处南侧及旧县场镇以西区域，约1700亩符合城市总规，剩余部分作为远景用地进行控制。</w:t>
            </w:r>
          </w:p>
          <w:p>
            <w:pPr>
              <w:pStyle w:val="4086"/>
              <w:spacing w:before="24"/>
              <w:ind w:firstLine="480"/>
            </w:pPr>
            <w:r>
              <w:rPr>
                <w:rFonts w:hint="eastAsia"/>
              </w:rPr>
              <w:t>白土坝片区：基本建成，采取“腾笼换鸟”的方式，发展以物流、生产资料交易为主的生产性服务业，推动传统产业提档升级，打造2.5代产业园。</w:t>
            </w:r>
          </w:p>
          <w:p>
            <w:pPr>
              <w:pStyle w:val="4086"/>
              <w:spacing w:before="24"/>
              <w:ind w:firstLine="480"/>
            </w:pPr>
            <w:r>
              <w:rPr>
                <w:rFonts w:hint="eastAsia"/>
              </w:rPr>
              <w:t>姜家岩片区：以改造提升现有产业为重点，对机械制造业、生物医药等企业进行改造升级，同时引进发展先进装备制造业，符合规划面积约0.8平方公里。其中大健康产业分两个区域分别规划布局于北环路周边及小安溪、小安溪交汇处。其中，依托腊梅园休闲农业及赛维药业等进行集中布局的北环路周边规划面积约1410亩，小安溪、小安溪交汇处区域规划面积约2060亩。其中约650亩符合城市总规，剩余部分作为远景用地进行控制。</w:t>
            </w:r>
          </w:p>
          <w:p>
            <w:pPr>
              <w:pStyle w:val="4086"/>
              <w:spacing w:before="24"/>
              <w:ind w:firstLine="480"/>
            </w:pPr>
            <w:r>
              <w:rPr>
                <w:rFonts w:hint="eastAsia"/>
              </w:rPr>
              <w:t>扩建项目位于重庆市铜梁区东城街道金山大道，属于铜梁高新区姜家岩片区，主要以装备制造、电子信息、新材料、大健康产业为主要发展方向，培育新型工业。扩建项目位于东城污水处理厂的收纳范围，扩建项目产生的污废水进入东城污水处理厂处理达到《城镇污水处理厂污染物排放标准》（GB18918-2002）中一级 B 标准后排放。扩建项目为</w:t>
            </w:r>
            <w:r>
              <w:rPr>
                <w:rFonts w:hint="eastAsia"/>
                <w:b/>
                <w:bCs/>
              </w:rPr>
              <w:t>家具制造业</w:t>
            </w:r>
            <w:r>
              <w:rPr>
                <w:b/>
                <w:bCs/>
              </w:rPr>
              <w:t>21-木质家具制造 211</w:t>
            </w:r>
            <w:r>
              <w:rPr>
                <w:rFonts w:hint="eastAsia"/>
              </w:rPr>
              <w:t>，所属行业不与园区主导产业相悖，不属于园区禁止类或限制类扩建项目，为园区允许类扩建项目，符合园区入园条件。</w:t>
            </w:r>
          </w:p>
          <w:p>
            <w:pPr>
              <w:pStyle w:val="4086"/>
              <w:spacing w:before="24"/>
              <w:ind w:firstLine="482"/>
              <w:rPr>
                <w:b/>
              </w:rPr>
            </w:pPr>
            <w:r>
              <w:rPr>
                <w:rFonts w:hint="eastAsia"/>
                <w:b/>
              </w:rPr>
              <w:t>（2）与规划环评及审查意见函的符合性分析</w:t>
            </w:r>
          </w:p>
          <w:p>
            <w:pPr>
              <w:pStyle w:val="4086"/>
              <w:spacing w:before="24"/>
              <w:ind w:firstLine="480"/>
              <w:rPr>
                <w:rFonts w:ascii="宋体" w:hAnsi="宋体" w:cs="宋体"/>
              </w:rPr>
            </w:pPr>
            <w:r>
              <w:rPr>
                <w:rFonts w:hint="eastAsia"/>
              </w:rPr>
              <w:t>扩建项目与《重庆铜梁高新区铜梁片区及全蒲片区规划环境影响跟踪评价报告书》（2019.1）的符合性分析见表1.1-1，与其审查意见函（渝环函〔2019〕94号）的符合性对比分析详见表1.1-2。</w:t>
            </w:r>
          </w:p>
          <w:p>
            <w:pPr>
              <w:pStyle w:val="4087"/>
              <w:spacing w:before="24"/>
            </w:pPr>
            <w:r>
              <w:rPr>
                <w:rFonts w:hint="eastAsia"/>
              </w:rPr>
              <w:t>表1.1-1  与规划环评符合性分析</w:t>
            </w:r>
          </w:p>
          <w:tbl>
            <w:tblPr>
              <w:tblStyle w:val="88"/>
              <w:tblW w:w="121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10"/>
              <w:gridCol w:w="3923"/>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110" w:type="dxa"/>
                  <w:vAlign w:val="center"/>
                </w:tcPr>
                <w:p>
                  <w:pPr>
                    <w:pStyle w:val="4087"/>
                    <w:spacing w:before="24"/>
                  </w:pPr>
                  <w:r>
                    <w:rPr>
                      <w:rFonts w:hint="eastAsia"/>
                    </w:rPr>
                    <w:t>规划环评结论</w:t>
                  </w:r>
                </w:p>
              </w:tc>
              <w:tc>
                <w:tcPr>
                  <w:tcW w:w="3923" w:type="dxa"/>
                  <w:vAlign w:val="center"/>
                </w:tcPr>
                <w:p>
                  <w:pPr>
                    <w:pStyle w:val="4087"/>
                    <w:spacing w:before="24"/>
                  </w:pPr>
                  <w:r>
                    <w:rPr>
                      <w:rFonts w:hint="eastAsia"/>
                    </w:rPr>
                    <w:t>扩建项目情况</w:t>
                  </w:r>
                </w:p>
              </w:tc>
              <w:tc>
                <w:tcPr>
                  <w:tcW w:w="1161" w:type="dxa"/>
                  <w:vAlign w:val="center"/>
                </w:tcPr>
                <w:p>
                  <w:pPr>
                    <w:pStyle w:val="4087"/>
                    <w:spacing w:before="24"/>
                  </w:pPr>
                  <w:r>
                    <w:rPr>
                      <w:rFonts w:hint="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110" w:type="dxa"/>
                  <w:vAlign w:val="center"/>
                </w:tcPr>
                <w:p>
                  <w:pPr>
                    <w:pStyle w:val="4087"/>
                    <w:spacing w:before="24"/>
                  </w:pPr>
                  <w:r>
                    <w:rPr>
                      <w:rFonts w:hint="eastAsia"/>
                    </w:rPr>
                    <w:t>根据《重庆市工业项目环境准入规定（2012 年修订）》、《重庆市人民政府关于贯彻落实大气污染防治行动计划的实施意见》、《铜梁区十三五生态文明建设规划》等相关要求，后续规划实施应采用天然气等清洁能源作为燃料，禁止使用燃煤等高污染燃料。</w:t>
                  </w:r>
                </w:p>
              </w:tc>
              <w:tc>
                <w:tcPr>
                  <w:tcW w:w="3923" w:type="dxa"/>
                  <w:vAlign w:val="center"/>
                </w:tcPr>
                <w:p>
                  <w:pPr>
                    <w:pStyle w:val="4087"/>
                    <w:spacing w:before="24"/>
                  </w:pPr>
                  <w:r>
                    <w:rPr>
                      <w:rFonts w:hint="eastAsia"/>
                    </w:rPr>
                    <w:t>扩建项目采用电作为能源</w:t>
                  </w:r>
                </w:p>
              </w:tc>
              <w:tc>
                <w:tcPr>
                  <w:tcW w:w="1161"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110" w:type="dxa"/>
                  <w:vAlign w:val="center"/>
                </w:tcPr>
                <w:p>
                  <w:pPr>
                    <w:pStyle w:val="4087"/>
                    <w:spacing w:before="24"/>
                  </w:pPr>
                  <w:r>
                    <w:rPr>
                      <w:rFonts w:hint="eastAsia"/>
                    </w:rPr>
                    <w:t>合理布局，产生有毒有害气体、粉尘的项目尽量远离生活配套服务区等集中居住区。入驻企业应对工艺废气采取相应治理措施，确保废气达标排放。涂装类工艺项目应优先采用非溶剂性涂料</w:t>
                  </w:r>
                </w:p>
              </w:tc>
              <w:tc>
                <w:tcPr>
                  <w:tcW w:w="3923" w:type="dxa"/>
                  <w:vAlign w:val="center"/>
                </w:tcPr>
                <w:p>
                  <w:pPr>
                    <w:pStyle w:val="4087"/>
                    <w:spacing w:before="24"/>
                  </w:pPr>
                  <w:r>
                    <w:rPr>
                      <w:rFonts w:hint="eastAsia"/>
                    </w:rPr>
                    <w:t>扩建项目不产生有毒有害气体，排放的粉尘量和非甲烷总烃量较小，扩建项目工艺废气均采用了相应的治理措施，确保废气达标排放；新增产能涂装采用水性漆及UV漆、并对原油性漆生产线实施水性漆部分替代及废气处理设施改造，实现了增产减污。</w:t>
                  </w:r>
                </w:p>
              </w:tc>
              <w:tc>
                <w:tcPr>
                  <w:tcW w:w="1161"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110" w:type="dxa"/>
                  <w:vAlign w:val="center"/>
                </w:tcPr>
                <w:p>
                  <w:pPr>
                    <w:pStyle w:val="4087"/>
                    <w:spacing w:before="24"/>
                  </w:pPr>
                  <w:r>
                    <w:rPr>
                      <w:rFonts w:hint="eastAsia"/>
                    </w:rPr>
                    <w:t>各入驻企业产噪设备通过合理布局，基础减振，厂房隔声，进、出口加装消声器，厂界达标排放。</w:t>
                  </w:r>
                </w:p>
              </w:tc>
              <w:tc>
                <w:tcPr>
                  <w:tcW w:w="3923" w:type="dxa"/>
                  <w:vAlign w:val="center"/>
                </w:tcPr>
                <w:p>
                  <w:pPr>
                    <w:pStyle w:val="4087"/>
                    <w:spacing w:before="24"/>
                  </w:pPr>
                  <w:r>
                    <w:rPr>
                      <w:rFonts w:hint="eastAsia"/>
                    </w:rPr>
                    <w:t>扩建项目选用低噪声生产设备，建筑隔声，合理布局，基础减振</w:t>
                  </w:r>
                </w:p>
              </w:tc>
              <w:tc>
                <w:tcPr>
                  <w:tcW w:w="1161"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110" w:type="dxa"/>
                  <w:vAlign w:val="center"/>
                </w:tcPr>
                <w:p>
                  <w:pPr>
                    <w:pStyle w:val="4087"/>
                    <w:spacing w:before="24"/>
                  </w:pPr>
                  <w:r>
                    <w:rPr>
                      <w:rFonts w:hint="eastAsia"/>
                    </w:rPr>
                    <w:t>生活垃圾经收集后由铜梁区环卫部门统一清运处置；一般工业固废综合回收利用；危险废物交有资质单位处理；餐厨垃圾应按照《重庆市餐厨垃圾管理办法》（重庆市人民政府令第 226 号）的要求进行妥善收集、处理。</w:t>
                  </w:r>
                </w:p>
              </w:tc>
              <w:tc>
                <w:tcPr>
                  <w:tcW w:w="3923" w:type="dxa"/>
                  <w:vAlign w:val="center"/>
                </w:tcPr>
                <w:p>
                  <w:pPr>
                    <w:pStyle w:val="4087"/>
                    <w:spacing w:before="24"/>
                  </w:pPr>
                  <w:r>
                    <w:rPr>
                      <w:rFonts w:hint="eastAsia"/>
                    </w:rPr>
                    <w:t>扩建项目生活垃圾经市政环卫部门统一收集处理；一般工业固废综合回收利用；危废统一暂存后交有资质单位进行处理；餐厨垃圾应按照《重庆市餐厨垃圾管理办法》（重庆市人民政府令第 226 号）的要求进行妥善收集、处理</w:t>
                  </w:r>
                </w:p>
              </w:tc>
              <w:tc>
                <w:tcPr>
                  <w:tcW w:w="1161"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110" w:type="dxa"/>
                  <w:vAlign w:val="center"/>
                </w:tcPr>
                <w:p>
                  <w:pPr>
                    <w:pStyle w:val="4087"/>
                    <w:spacing w:before="24"/>
                  </w:pPr>
                  <w:r>
                    <w:rPr>
                      <w:rFonts w:hint="eastAsia"/>
                    </w:rPr>
                    <w:t>对规划区环境准入条件提出“三类”控制。</w:t>
                  </w:r>
                </w:p>
                <w:p>
                  <w:pPr>
                    <w:pStyle w:val="4087"/>
                    <w:spacing w:before="24"/>
                  </w:pPr>
                  <w:r>
                    <w:rPr>
                      <w:rFonts w:hint="eastAsia"/>
                    </w:rPr>
                    <w:t>1 鼓励类：在满足规划区功能及产业定位的前提下，优先引进《产业结构调整指导目录》、《外商投资产业指导目录》中的“鼓励类”项目。优先引进与规划区功能及产业定位相符合，污染物排放少、环境风险小以及能促进规划区区域循环经济发展的项目。</w:t>
                  </w:r>
                </w:p>
                <w:p>
                  <w:pPr>
                    <w:pStyle w:val="4087"/>
                    <w:spacing w:before="24"/>
                  </w:pPr>
                  <w:r>
                    <w:rPr>
                      <w:rFonts w:hint="eastAsia"/>
                    </w:rPr>
                    <w:t>2 限制类：严格限制《限制用地项目目录（2012 年本）》中所列项目，限制引进食品发酵工业等高耗水、水污染物排放强度高企业、限制引进高能耗企业入驻。</w:t>
                  </w:r>
                </w:p>
                <w:p>
                  <w:pPr>
                    <w:pStyle w:val="4087"/>
                    <w:spacing w:before="24"/>
                  </w:pPr>
                  <w:r>
                    <w:rPr>
                      <w:rFonts w:hint="eastAsia"/>
                    </w:rPr>
                    <w:t>严格限制居住区周边布设企业类型，不宜引入废气、噪声影响明显及存在重大环境风险源的工业企业。食品、医药等对环境较敏感企业选址应考虑周边企业影响，不宜布置于重污染企业附近，应留足防护距离。</w:t>
                  </w:r>
                </w:p>
                <w:p>
                  <w:pPr>
                    <w:pStyle w:val="4087"/>
                    <w:spacing w:before="24"/>
                  </w:pPr>
                  <w:r>
                    <w:rPr>
                      <w:rFonts w:hint="eastAsia"/>
                    </w:rPr>
                    <w:t>3 禁止类：禁止引进《产业结构调整指导目录》、《外商投资产业指导目录》中所列“限制类”“淘汰类”项目；禁止引进《禁止用地项目目录》中所列项目。禁止引进涉及《部分工业行业淘汰落后生产工艺装备和产品指导目录》的项目；禁止引进存在重大环境安全隐患的工业项目；不得采用国家和重庆市淘汰的或禁止使用的工艺、技术和设备；禁止引进生产工艺或污染防治技术不成熟的项目。禁止引进产出强度低于80亿元/平方公里的工业项目。</w:t>
                  </w:r>
                </w:p>
                <w:p>
                  <w:pPr>
                    <w:pStyle w:val="4087"/>
                    <w:spacing w:before="24"/>
                  </w:pPr>
                  <w:r>
                    <w:rPr>
                      <w:rFonts w:hint="eastAsia"/>
                    </w:rPr>
                    <w:t>严格执行《重庆市电镀行业准入条件（2013 年修订）》、《重庆市工业项目环境准入规定》、《重庆市人民政府关于印发贯彻落实国务院水污染防治行动计划实施方案的通知》、《重庆市贯彻落实土壤污染防治行动计划工作方案》、《重庆市建设国家重要现代制造业基地“十三五”规划》、渝府办发〔2014〕80号等相关规定要求。在蒲吕片区小安溪河沿岸 1 公里范围内禁止引进可能排放重金属、持久性有机污染物、剧毒物质或可能产生水环境安全隐患的项目。禁止在生态红线控制区、生态环境敏感区、人口聚集区新建涉重金属排放项目。严格执行涉重金属排放建设项目周边安全防护距离相关规定。</w:t>
                  </w:r>
                </w:p>
                <w:p>
                  <w:pPr>
                    <w:pStyle w:val="4087"/>
                    <w:spacing w:before="24"/>
                  </w:pPr>
                  <w:r>
                    <w:rPr>
                      <w:rFonts w:hint="eastAsia"/>
                    </w:rPr>
                    <w:t>禁止钢铁冶炼、重化工、造纸、印染等重污染行业入驻园区。禁止新建、扩建化学合成药类项目。</w:t>
                  </w:r>
                </w:p>
                <w:p>
                  <w:pPr>
                    <w:pStyle w:val="4087"/>
                    <w:spacing w:before="24"/>
                  </w:pPr>
                  <w:r>
                    <w:rPr>
                      <w:rFonts w:hint="eastAsia"/>
                    </w:rPr>
                    <w:t>工业园区禁止燃煤。</w:t>
                  </w:r>
                </w:p>
                <w:p>
                  <w:pPr>
                    <w:pStyle w:val="4087"/>
                    <w:spacing w:before="24"/>
                  </w:pPr>
                  <w:r>
                    <w:rPr>
                      <w:rFonts w:hint="eastAsia"/>
                    </w:rPr>
                    <w:t>电镀企业应进入表面处理园。</w:t>
                  </w:r>
                </w:p>
              </w:tc>
              <w:tc>
                <w:tcPr>
                  <w:tcW w:w="3923" w:type="dxa"/>
                  <w:vAlign w:val="center"/>
                </w:tcPr>
                <w:p>
                  <w:pPr>
                    <w:pStyle w:val="4087"/>
                    <w:spacing w:before="24"/>
                  </w:pPr>
                  <w:r>
                    <w:rPr>
                      <w:rFonts w:hint="eastAsia"/>
                    </w:rPr>
                    <w:t>扩建项目不属于规划区准入条件中的限制类和禁止类项目，为允许类项目；扩建项目满足《重庆市工业项目环境准入规定》、《重庆市人民政府关于印发贯彻落实国务院水污染防治行动计划实施方案的通知》、《重庆市贯彻落实土壤污染防治行动计划工作方案》、《重庆市建设国家重要现代制造业基地“十三五”规划》、渝府办发〔2014〕80号等相关规定要求，扩建项目营运期不涉及使用和排放重金属、持久性有机污染物、剧毒物质或可能产生水环境安全隐患的项目；扩建项目不涉及生态红线控制区、生态环境敏感区、人口聚集区；扩建项目为家具制造业，不属于钢铁冶炼、重化工、造纸、印染等重污染行业，不属于化学合成药类扩建项目；扩建项目生产过程中使用电能为燃料，不使用燃煤。</w:t>
                  </w:r>
                </w:p>
              </w:tc>
              <w:tc>
                <w:tcPr>
                  <w:tcW w:w="1161" w:type="dxa"/>
                  <w:vAlign w:val="center"/>
                </w:tcPr>
                <w:p>
                  <w:pPr>
                    <w:pStyle w:val="4087"/>
                    <w:spacing w:before="24"/>
                  </w:pPr>
                </w:p>
              </w:tc>
            </w:tr>
          </w:tbl>
          <w:p>
            <w:pPr>
              <w:pStyle w:val="4087"/>
              <w:spacing w:before="24"/>
            </w:pPr>
          </w:p>
          <w:p>
            <w:pPr>
              <w:pStyle w:val="4087"/>
              <w:spacing w:before="24"/>
            </w:pPr>
            <w:r>
              <w:rPr>
                <w:rFonts w:hint="eastAsia"/>
              </w:rPr>
              <w:t>表1.1-2  与规划环评及审查意见函（渝环函〔2019〕94号）符合性分析</w:t>
            </w:r>
          </w:p>
          <w:tbl>
            <w:tblPr>
              <w:tblStyle w:val="88"/>
              <w:tblW w:w="121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54"/>
              <w:gridCol w:w="3355"/>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554" w:type="dxa"/>
                  <w:vAlign w:val="center"/>
                </w:tcPr>
                <w:p>
                  <w:pPr>
                    <w:pStyle w:val="4087"/>
                    <w:spacing w:before="24"/>
                    <w:jc w:val="both"/>
                  </w:pPr>
                  <w:r>
                    <w:rPr>
                      <w:rFonts w:hint="eastAsia"/>
                    </w:rPr>
                    <w:t>审查意见内容</w:t>
                  </w:r>
                </w:p>
              </w:tc>
              <w:tc>
                <w:tcPr>
                  <w:tcW w:w="3355" w:type="dxa"/>
                  <w:vAlign w:val="center"/>
                </w:tcPr>
                <w:p>
                  <w:pPr>
                    <w:pStyle w:val="4087"/>
                    <w:spacing w:before="24"/>
                    <w:jc w:val="both"/>
                  </w:pPr>
                  <w:r>
                    <w:rPr>
                      <w:rFonts w:hint="eastAsia"/>
                    </w:rPr>
                    <w:t>扩建项目情况</w:t>
                  </w:r>
                </w:p>
              </w:tc>
              <w:tc>
                <w:tcPr>
                  <w:tcW w:w="1247" w:type="dxa"/>
                  <w:vAlign w:val="center"/>
                </w:tcPr>
                <w:p>
                  <w:pPr>
                    <w:pStyle w:val="4087"/>
                    <w:spacing w:before="24"/>
                    <w:jc w:val="both"/>
                  </w:pPr>
                  <w:r>
                    <w:rPr>
                      <w:rFonts w:hint="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8" w:hRule="atLeast"/>
                <w:jc w:val="center"/>
              </w:trPr>
              <w:tc>
                <w:tcPr>
                  <w:tcW w:w="7554" w:type="dxa"/>
                  <w:vAlign w:val="center"/>
                </w:tcPr>
                <w:p>
                  <w:pPr>
                    <w:pStyle w:val="4087"/>
                    <w:spacing w:before="24"/>
                    <w:jc w:val="both"/>
                  </w:pPr>
                  <w:r>
                    <w:rPr>
                      <w:rFonts w:hint="eastAsia"/>
                    </w:rPr>
                    <w:t>（一）严格环境准入：规划区应不断优化产业发展方向，按照报告书提出的“三线一单”管理要求，以资源利用上线、环境质量底线为约束，严格建设项目环境准入，入驻工业企业应满足《重庆市工业环境准入规定（修订）》《报告书》确定的环境准入清单要求，禁止发展印染、化学合成药类等重污染企业，限制引进食品发酵业等耗水量大、水污染物排放强度高的项目。</w:t>
                  </w:r>
                </w:p>
              </w:tc>
              <w:tc>
                <w:tcPr>
                  <w:tcW w:w="3355" w:type="dxa"/>
                  <w:vAlign w:val="center"/>
                </w:tcPr>
                <w:p>
                  <w:pPr>
                    <w:pStyle w:val="4087"/>
                    <w:spacing w:before="24"/>
                    <w:jc w:val="both"/>
                  </w:pPr>
                  <w:r>
                    <w:rPr>
                      <w:rFonts w:hint="eastAsia"/>
                    </w:rPr>
                    <w:t>扩建项目满足《重庆市工业项目环境准入规定（修订）》，符合园区环境准入清单要求，不属于印染、化学合成药类等重污染企业，不属于食品发酵业等耗水量大、水污染物排放强度高的扩建项目。</w:t>
                  </w:r>
                </w:p>
              </w:tc>
              <w:tc>
                <w:tcPr>
                  <w:tcW w:w="1247" w:type="dxa"/>
                  <w:vAlign w:val="center"/>
                </w:tcPr>
                <w:p>
                  <w:pPr>
                    <w:pStyle w:val="4087"/>
                    <w:spacing w:before="24"/>
                    <w:jc w:val="both"/>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7" w:hRule="atLeast"/>
                <w:jc w:val="center"/>
              </w:trPr>
              <w:tc>
                <w:tcPr>
                  <w:tcW w:w="7554" w:type="dxa"/>
                  <w:vAlign w:val="center"/>
                </w:tcPr>
                <w:p>
                  <w:pPr>
                    <w:pStyle w:val="4087"/>
                    <w:spacing w:before="24"/>
                    <w:jc w:val="both"/>
                  </w:pPr>
                  <w:r>
                    <w:rPr>
                      <w:rFonts w:hint="eastAsia"/>
                    </w:rPr>
                    <w:t>（二）强化生态空间管控和景观优化：规划区内淮远河、小安溪等河流两岸以及拦河堰水库、生基嘴水库库岸应设置一定宽度的绿化缓冲带，绿化缓冲带要保持原有的状况和自然星带，原则上应为绿地，除护岸工程及必要的市政设施外，禁止修建任何建筑物和构筑物。规划区后续涉及环境防护距离的工业企业或项目，应通过选址或调整布局严格控制环境防护距离。</w:t>
                  </w:r>
                </w:p>
              </w:tc>
              <w:tc>
                <w:tcPr>
                  <w:tcW w:w="3355" w:type="dxa"/>
                  <w:vAlign w:val="center"/>
                </w:tcPr>
                <w:p>
                  <w:pPr>
                    <w:pStyle w:val="4087"/>
                    <w:spacing w:before="24"/>
                    <w:jc w:val="both"/>
                  </w:pPr>
                  <w:r>
                    <w:rPr>
                      <w:rFonts w:hint="eastAsia"/>
                    </w:rPr>
                    <w:t>扩建项目使用现有生产厂房进行设备及生产线布置，不新增占地。</w:t>
                  </w:r>
                </w:p>
              </w:tc>
              <w:tc>
                <w:tcPr>
                  <w:tcW w:w="1247" w:type="dxa"/>
                  <w:vAlign w:val="center"/>
                </w:tcPr>
                <w:p>
                  <w:pPr>
                    <w:pStyle w:val="4087"/>
                    <w:spacing w:before="24"/>
                    <w:jc w:val="both"/>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77" w:hRule="atLeast"/>
                <w:jc w:val="center"/>
              </w:trPr>
              <w:tc>
                <w:tcPr>
                  <w:tcW w:w="7554" w:type="dxa"/>
                  <w:vAlign w:val="center"/>
                </w:tcPr>
                <w:p>
                  <w:pPr>
                    <w:pStyle w:val="4087"/>
                    <w:spacing w:before="24"/>
                    <w:jc w:val="both"/>
                  </w:pPr>
                  <w:r>
                    <w:rPr>
                      <w:rFonts w:hint="eastAsia"/>
                    </w:rPr>
                    <w:t>（三）做好大气污染防治：严格环境准入。禁止燃煤、鼓励燃气锅炉采用低氮燃烧技术。加强现状企业大气污染治理和监管，各入驻企业采用清洁工艺，采取先进的污染防治措施，确保废气稳定达标排放。排放挥发性有机物的企业应符合《重庆市“十三五”挥发性有机物污染防治工作实施方案》等相关要求。合理布局，产生有毒有害气体、粉尘的项目尽量远离生活配套服务区等集中居住区，尽量降低企业达标扰民的影响。食品加工、生物医药等对环境要求较高企业布局应考虑周边企业污染排放，留足防护距离。</w:t>
                  </w:r>
                </w:p>
              </w:tc>
              <w:tc>
                <w:tcPr>
                  <w:tcW w:w="3355" w:type="dxa"/>
                  <w:vAlign w:val="center"/>
                </w:tcPr>
                <w:p>
                  <w:pPr>
                    <w:pStyle w:val="4087"/>
                    <w:spacing w:before="24"/>
                    <w:jc w:val="both"/>
                  </w:pPr>
                  <w:r>
                    <w:rPr>
                      <w:rFonts w:hint="eastAsia"/>
                    </w:rPr>
                    <w:t>扩建项目不使用锅炉，采用电能作为能源，扩建项目采用水性漆及UV漆进行涂装，并对原油性漆生产线实施水性漆部分替代及废气处理设施进行改造，符合清洁工艺要求，油性漆、水性漆及UV漆生产线涂装废气采用湿式过滤</w:t>
                  </w:r>
                  <w:r>
                    <w:t>+干式过滤+活性炭吸附浓缩+解析（催化燃烧）的处理工艺</w:t>
                  </w:r>
                  <w:r>
                    <w:rPr>
                      <w:rFonts w:hint="eastAsia"/>
                    </w:rPr>
                    <w:t>处理后达标排放，符合《重庆市“十三五”挥发性有机物污染防治工作实施方案》等相关要求。企业排气筒设置于厂房南侧，尽可能的远离了集中居住区，从选址上尽量降低企业扰民的影响。</w:t>
                  </w:r>
                </w:p>
              </w:tc>
              <w:tc>
                <w:tcPr>
                  <w:tcW w:w="1247" w:type="dxa"/>
                  <w:vAlign w:val="center"/>
                </w:tcPr>
                <w:p>
                  <w:pPr>
                    <w:pStyle w:val="4087"/>
                    <w:spacing w:before="24"/>
                    <w:jc w:val="both"/>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7" w:hRule="atLeast"/>
                <w:jc w:val="center"/>
              </w:trPr>
              <w:tc>
                <w:tcPr>
                  <w:tcW w:w="7554" w:type="dxa"/>
                  <w:vAlign w:val="center"/>
                </w:tcPr>
                <w:p>
                  <w:pPr>
                    <w:pStyle w:val="4087"/>
                    <w:spacing w:before="24"/>
                    <w:jc w:val="both"/>
                  </w:pPr>
                  <w:r>
                    <w:rPr>
                      <w:rFonts w:hint="eastAsia"/>
                    </w:rPr>
                    <w:t>（四）做好水环境保护：淮远河、小安溪水环境容量有限，规划实施必须采取严格的水污染防治措施，尽可能减小对区域地表水带来的不利影响。应根据《铜梁区小安溪流域水环境整治提升方案》（铜府办〔2016〕152号）《淮远河（含茨巴河）库综合治理工作坊》（2018-2020））（铜府﹝2018﹞134 号），进一步系统地开展淮远河、小安溪流域水污染环境综合整治工作，同时加快调整旧县街道水厂水源，保障饮用水安全。尽快实施铜梁污水处理厂和东城污水处理厂提标改造，园区污水处理厂新建或改扩建时，应根据当期地表水环境容量确定尾水排放标准，至少达到《城镇污水处理厂污染物排放标准》（GB18918-2002）中一级A标准，确保淮远河、小安溪水质满足水环境功能区划要求。采取源头控制为主的原则，落实分区、分级防渗措施，防止规划实施对区域地下水环境的污染。</w:t>
                  </w:r>
                </w:p>
              </w:tc>
              <w:tc>
                <w:tcPr>
                  <w:tcW w:w="3355" w:type="dxa"/>
                  <w:vAlign w:val="center"/>
                </w:tcPr>
                <w:p>
                  <w:pPr>
                    <w:pStyle w:val="4087"/>
                    <w:spacing w:before="24"/>
                    <w:jc w:val="both"/>
                  </w:pPr>
                  <w:r>
                    <w:rPr>
                      <w:rFonts w:hint="eastAsia"/>
                    </w:rPr>
                    <w:t>扩建项目新增的生产废水及生活污水依托厂区已建的污水处理设施（已通过环保验收）处理达《污水综合排放标准》（GB8978-1996）三级标准后排入园区管网，最后进入东城污水处理厂处理后达一级B标排放，目前东城污水处理厂正准备实施二期工程，届时将进行提标改造。</w:t>
                  </w:r>
                </w:p>
              </w:tc>
              <w:tc>
                <w:tcPr>
                  <w:tcW w:w="1247" w:type="dxa"/>
                  <w:vAlign w:val="center"/>
                </w:tcPr>
                <w:p>
                  <w:pPr>
                    <w:pStyle w:val="4087"/>
                    <w:spacing w:before="24"/>
                    <w:jc w:val="both"/>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7" w:hRule="atLeast"/>
                <w:jc w:val="center"/>
              </w:trPr>
              <w:tc>
                <w:tcPr>
                  <w:tcW w:w="7554" w:type="dxa"/>
                  <w:vAlign w:val="center"/>
                </w:tcPr>
                <w:p>
                  <w:pPr>
                    <w:pStyle w:val="4087"/>
                    <w:spacing w:before="24"/>
                    <w:jc w:val="both"/>
                  </w:pPr>
                  <w:r>
                    <w:rPr>
                      <w:rFonts w:hint="eastAsia"/>
                    </w:rPr>
                    <w:t>（五）强化噪声污染防控：合理布局企业噪声源，高噪声源企业选址和布局应满足相应的环境防护距离要求，尽量远离居住区；选用低噪声设备，采取消声、隔声、减震等措施，确保厂界噪声达标；合理布局、科学设定建筑物与交通干线的噪声距离，严格落实规划区内交通主干道两侧的防护绿化带要求。</w:t>
                  </w:r>
                </w:p>
              </w:tc>
              <w:tc>
                <w:tcPr>
                  <w:tcW w:w="3355" w:type="dxa"/>
                  <w:vAlign w:val="center"/>
                </w:tcPr>
                <w:p>
                  <w:pPr>
                    <w:pStyle w:val="4087"/>
                    <w:spacing w:before="24"/>
                    <w:jc w:val="both"/>
                  </w:pPr>
                  <w:r>
                    <w:rPr>
                      <w:rFonts w:hint="eastAsia"/>
                    </w:rPr>
                    <w:t>企业在设计阶段进行了生产设备的布局设计和低噪声设备的选型，采取厂房隔声、基础减震、合理布局等措施，厂界噪声能达标排放。</w:t>
                  </w:r>
                </w:p>
              </w:tc>
              <w:tc>
                <w:tcPr>
                  <w:tcW w:w="1247" w:type="dxa"/>
                  <w:vAlign w:val="center"/>
                </w:tcPr>
                <w:p>
                  <w:pPr>
                    <w:pStyle w:val="4087"/>
                    <w:spacing w:before="24"/>
                    <w:jc w:val="both"/>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7" w:hRule="atLeast"/>
                <w:jc w:val="center"/>
              </w:trPr>
              <w:tc>
                <w:tcPr>
                  <w:tcW w:w="7554" w:type="dxa"/>
                  <w:vAlign w:val="center"/>
                </w:tcPr>
                <w:p>
                  <w:pPr>
                    <w:pStyle w:val="4087"/>
                    <w:spacing w:before="24"/>
                    <w:jc w:val="both"/>
                  </w:pPr>
                  <w:r>
                    <w:rPr>
                      <w:rFonts w:hint="eastAsia"/>
                    </w:rPr>
                    <w:t>（六）做好土壤和固体废物污染防控：固体废物应按照相关要求进行妥善收集、处理。加强一般工业固体废物综合利用和处置；危险废物交由相应危险废物处理资质的单位进行处置；生活垃圾经收集后由环卫部门同意清运处置。严格执行土壤风险评估和污染土壤修复制度，对疑似污染地块开展调查评估，建立污染地块名录及其开发利用负面清单，土地开发利用必须满足规划用地土壤环境质量要求。</w:t>
                  </w:r>
                </w:p>
              </w:tc>
              <w:tc>
                <w:tcPr>
                  <w:tcW w:w="3355" w:type="dxa"/>
                  <w:vAlign w:val="center"/>
                </w:tcPr>
                <w:p>
                  <w:pPr>
                    <w:pStyle w:val="4087"/>
                    <w:spacing w:before="24"/>
                    <w:jc w:val="both"/>
                  </w:pPr>
                  <w:r>
                    <w:rPr>
                      <w:rFonts w:hint="eastAsia"/>
                    </w:rPr>
                    <w:t>扩建项目一般工业固废交回收单位回收利用，危废交由有危废处理资质的单位进行处置，生活垃圾经收集后由环卫部门统一清运处置。</w:t>
                  </w:r>
                </w:p>
              </w:tc>
              <w:tc>
                <w:tcPr>
                  <w:tcW w:w="1247" w:type="dxa"/>
                  <w:vAlign w:val="center"/>
                </w:tcPr>
                <w:p>
                  <w:pPr>
                    <w:pStyle w:val="4087"/>
                    <w:spacing w:before="24"/>
                    <w:jc w:val="both"/>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7" w:hRule="atLeast"/>
                <w:jc w:val="center"/>
              </w:trPr>
              <w:tc>
                <w:tcPr>
                  <w:tcW w:w="7554" w:type="dxa"/>
                  <w:vAlign w:val="center"/>
                </w:tcPr>
                <w:p>
                  <w:pPr>
                    <w:pStyle w:val="4087"/>
                    <w:spacing w:before="24"/>
                    <w:jc w:val="both"/>
                  </w:pPr>
                  <w:r>
                    <w:rPr>
                      <w:rFonts w:hint="eastAsia"/>
                    </w:rPr>
                    <w:t>（七）强化环境风险管控：环境风险防范和应急处置是确保环境安全的重要工作内容，园区应在现有基础上完善环境风险防范体系建设，相关企业尤其是涉及危险化学品的企业应严格落实各项环境风险风范措施，防范突发环境风险事故发生。完善环境污染事故应急预案，配备相应风险防范应急物资，定期做好应急演练，完善园区三级风险防范体系，保障环境安全。</w:t>
                  </w:r>
                </w:p>
              </w:tc>
              <w:tc>
                <w:tcPr>
                  <w:tcW w:w="3355" w:type="dxa"/>
                  <w:vAlign w:val="center"/>
                </w:tcPr>
                <w:p>
                  <w:pPr>
                    <w:pStyle w:val="4087"/>
                    <w:spacing w:before="24"/>
                    <w:jc w:val="both"/>
                  </w:pPr>
                  <w:r>
                    <w:rPr>
                      <w:rFonts w:hint="eastAsia"/>
                    </w:rPr>
                    <w:t>扩建项目涉及环境风险物质，后续应完善环境风险事故应急预案，配备相应风险防范应急物资。</w:t>
                  </w:r>
                </w:p>
              </w:tc>
              <w:tc>
                <w:tcPr>
                  <w:tcW w:w="1247" w:type="dxa"/>
                  <w:vAlign w:val="center"/>
                </w:tcPr>
                <w:p>
                  <w:pPr>
                    <w:pStyle w:val="4087"/>
                    <w:spacing w:before="24"/>
                    <w:jc w:val="both"/>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7" w:hRule="atLeast"/>
                <w:jc w:val="center"/>
              </w:trPr>
              <w:tc>
                <w:tcPr>
                  <w:tcW w:w="7554" w:type="dxa"/>
                  <w:vAlign w:val="center"/>
                </w:tcPr>
                <w:p>
                  <w:pPr>
                    <w:pStyle w:val="4087"/>
                    <w:spacing w:before="24"/>
                    <w:jc w:val="both"/>
                  </w:pPr>
                  <w:r>
                    <w:rPr>
                      <w:rFonts w:hint="eastAsia"/>
                    </w:rPr>
                    <w:t>（八）加强环境管理：严格执行规划环评、跟踪评价和环境准入负面清单的有关规定，加强日常环境监管，建设项目应严格执行环境影响评价和环保“三同时”制度，特别应强化对标准厂房内企业的环境监管；园区应尽快建立起环境质量跟踪监测体系，并按规定开展环境影响跟踪评价。</w:t>
                  </w:r>
                </w:p>
              </w:tc>
              <w:tc>
                <w:tcPr>
                  <w:tcW w:w="3355" w:type="dxa"/>
                  <w:vAlign w:val="center"/>
                </w:tcPr>
                <w:p>
                  <w:pPr>
                    <w:pStyle w:val="4087"/>
                    <w:spacing w:before="24"/>
                    <w:jc w:val="both"/>
                  </w:pPr>
                  <w:r>
                    <w:rPr>
                      <w:rFonts w:hint="eastAsia"/>
                    </w:rPr>
                    <w:t>扩建项目严格执行环评和“三同时”制度。企业设置有专门的环保岗位，园区有安全环保部，进行园区内环境保护管理工作。</w:t>
                  </w:r>
                </w:p>
              </w:tc>
              <w:tc>
                <w:tcPr>
                  <w:tcW w:w="1247" w:type="dxa"/>
                  <w:vAlign w:val="center"/>
                </w:tcPr>
                <w:p>
                  <w:pPr>
                    <w:pStyle w:val="4087"/>
                    <w:spacing w:before="24"/>
                    <w:jc w:val="both"/>
                  </w:pPr>
                  <w:r>
                    <w:rPr>
                      <w:rFonts w:hint="eastAsia"/>
                    </w:rPr>
                    <w:t>符合</w:t>
                  </w:r>
                </w:p>
              </w:tc>
            </w:tr>
          </w:tbl>
          <w:p>
            <w:pPr>
              <w:pStyle w:val="4086"/>
              <w:spacing w:before="24"/>
              <w:ind w:firstLine="480"/>
            </w:pPr>
          </w:p>
          <w:p>
            <w:pPr>
              <w:pStyle w:val="4086"/>
              <w:spacing w:before="24"/>
              <w:ind w:firstLine="482"/>
              <w:rPr>
                <w:b/>
              </w:rPr>
            </w:pPr>
            <w:r>
              <w:rPr>
                <w:rFonts w:hint="eastAsia"/>
                <w:b/>
              </w:rPr>
              <w:t>1.1.3重庆市“三线一单”符合性分析</w:t>
            </w:r>
          </w:p>
          <w:p>
            <w:pPr>
              <w:pStyle w:val="4086"/>
              <w:spacing w:before="24"/>
              <w:ind w:firstLine="480"/>
            </w:pPr>
            <w:r>
              <w:rPr>
                <w:rFonts w:hint="eastAsia"/>
              </w:rPr>
              <w:t>（1）环境管控单元划分</w:t>
            </w:r>
          </w:p>
          <w:p>
            <w:pPr>
              <w:pStyle w:val="4086"/>
              <w:spacing w:before="24"/>
              <w:ind w:firstLine="480"/>
            </w:pPr>
            <w:r>
              <w:rPr>
                <w:rFonts w:hint="eastAsia"/>
              </w:rPr>
              <w:t>根据《重庆市人民政府关于落实生态保护红线、环境质量底线、资源利用上线制定生态环境准入清单实施生态环境分区管控的实施意见》（渝府发〔2020〕11号），环境管控单元包括优先保护单元、重点管控单元、一般管控单元三类。</w:t>
            </w:r>
          </w:p>
          <w:p>
            <w:pPr>
              <w:pStyle w:val="4086"/>
              <w:spacing w:before="24"/>
              <w:ind w:firstLine="480"/>
            </w:pPr>
            <w:r>
              <w:rPr>
                <w:rFonts w:hint="eastAsia"/>
              </w:rPr>
              <w:t>①优先保护单元指以生态环境保护为主的区域，主要包括饮用水水源保护区、环境空气一类功能区等。</w:t>
            </w:r>
          </w:p>
          <w:p>
            <w:pPr>
              <w:pStyle w:val="4086"/>
              <w:spacing w:before="24"/>
              <w:ind w:firstLine="480"/>
            </w:pPr>
            <w:r>
              <w:rPr>
                <w:rFonts w:hint="eastAsia"/>
              </w:rPr>
              <w:t>②重点管控单元指涉及水、大气、土壤、自然资源等资源环境要素重点管控的区域，主要包括人口密集的城镇规划区和产业集聚的工业园区（工业集聚区）。</w:t>
            </w:r>
          </w:p>
          <w:p>
            <w:pPr>
              <w:pStyle w:val="4086"/>
              <w:spacing w:before="24"/>
              <w:ind w:firstLine="480"/>
            </w:pPr>
            <w:r>
              <w:rPr>
                <w:rFonts w:hint="eastAsia"/>
              </w:rPr>
              <w:t>③一般管控单元指除优先保护单元和重点管控单元之外的其他区域。</w:t>
            </w:r>
          </w:p>
          <w:p>
            <w:pPr>
              <w:pStyle w:val="4086"/>
              <w:spacing w:before="24"/>
              <w:ind w:firstLine="480"/>
            </w:pPr>
            <w:r>
              <w:rPr>
                <w:rFonts w:hint="eastAsia"/>
              </w:rPr>
              <w:t>全市国土空间按优先保护、重点管控、一般管控三大类划分为785个环境管控单元。其中，优先保护单元479个，面积占比37.4%；重点管控单元188个，面积占比18.2%；一般管控单元118个，面积占比44.4%。</w:t>
            </w:r>
          </w:p>
          <w:p>
            <w:pPr>
              <w:pStyle w:val="4086"/>
              <w:spacing w:before="24"/>
              <w:ind w:firstLine="480"/>
            </w:pPr>
            <w:r>
              <w:rPr>
                <w:rFonts w:hint="eastAsia"/>
              </w:rPr>
              <w:t>主城都市区、渝东北三峡库区城镇群、渝东南武陵山区城镇群优先保护单元面积占比分别为21.6%、44.4%、48.2%，重点管控单元面积占比分别为40.4%、7.6%、4.3%，一般管控单元面积占比分别为38%、48%、47.5%。</w:t>
            </w:r>
          </w:p>
          <w:p>
            <w:pPr>
              <w:pStyle w:val="4086"/>
              <w:spacing w:before="24"/>
              <w:ind w:firstLine="480"/>
            </w:pPr>
            <w:r>
              <w:rPr>
                <w:rFonts w:hint="eastAsia"/>
              </w:rPr>
              <w:t>铜梁区“优先保护单元”10个，“重点管控单元”4个，“一般管控单元”3个。经查询重庆“三线一单”智检服务系统，扩建项目所在区域属于</w:t>
            </w:r>
            <w:r>
              <w:t>铜梁区重点管控单元</w:t>
            </w:r>
            <w:r>
              <w:rPr>
                <w:rFonts w:hint="eastAsia"/>
              </w:rPr>
              <w:t>－</w:t>
            </w:r>
            <w:r>
              <w:t>淮远河众志桥</w:t>
            </w:r>
            <w:r>
              <w:rPr>
                <w:rFonts w:hint="eastAsia"/>
              </w:rPr>
              <w:t>（</w:t>
            </w:r>
            <w:r>
              <w:t>环境管控单元编码ZH50015120002</w:t>
            </w:r>
            <w:r>
              <w:rPr>
                <w:rFonts w:hint="eastAsia"/>
              </w:rPr>
              <w:t>）。</w:t>
            </w:r>
          </w:p>
          <w:p>
            <w:pPr>
              <w:pStyle w:val="4086"/>
              <w:spacing w:before="24"/>
              <w:ind w:firstLine="480"/>
            </w:pPr>
            <w:r>
              <w:rPr>
                <w:rFonts w:hint="eastAsia"/>
              </w:rPr>
              <w:t>（2）分区环境管控要求</w:t>
            </w:r>
          </w:p>
          <w:p>
            <w:pPr>
              <w:pStyle w:val="4086"/>
              <w:spacing w:before="24"/>
              <w:ind w:firstLine="480"/>
            </w:pPr>
            <w:r>
              <w:rPr>
                <w:rFonts w:hint="eastAsia"/>
              </w:rPr>
              <w:t>实施差异化管理，推动“一区两群”协调发展，促进各片区发挥优势、彰显特色、协调发展。</w:t>
            </w:r>
          </w:p>
          <w:p>
            <w:pPr>
              <w:pStyle w:val="4086"/>
              <w:spacing w:before="24"/>
              <w:ind w:firstLine="480"/>
            </w:pPr>
            <w:r>
              <w:rPr>
                <w:rFonts w:hint="eastAsia"/>
              </w:rPr>
              <w:t>①主城都市区重点推进产业升级，优化工业区、商业区、居住区布局，优化水资源配置和排污口、取水口及饮用水水源地布局、保护和修复“四山”生态、强化污染物排放控制和环境风险防控。</w:t>
            </w:r>
          </w:p>
          <w:p>
            <w:pPr>
              <w:pStyle w:val="4086"/>
              <w:spacing w:before="24"/>
              <w:ind w:firstLine="480"/>
            </w:pPr>
            <w:r>
              <w:rPr>
                <w:rFonts w:hint="eastAsia"/>
              </w:rPr>
              <w:t>②渝东北三峡库区城镇群突出秦巴山区、三峡库区生态涵养和生物多样性保护，推进水污染治理、水生态修复、水资源保护，加强水土流失、消落带和农业农村污染治理，确保三峡库区水环境安全。</w:t>
            </w:r>
          </w:p>
          <w:p>
            <w:pPr>
              <w:pStyle w:val="4086"/>
              <w:spacing w:before="24"/>
              <w:ind w:firstLine="480"/>
            </w:pPr>
            <w:r>
              <w:rPr>
                <w:rFonts w:hint="eastAsia"/>
              </w:rPr>
              <w:t>③渝东南武陵山区城镇群突出武陵山区生物多样性维护，推进生态修复，加强石漠化治理和重金属污染防控，增强生态产品供给能力。</w:t>
            </w:r>
          </w:p>
          <w:p>
            <w:pPr>
              <w:pStyle w:val="4086"/>
              <w:spacing w:before="24"/>
              <w:ind w:firstLine="480"/>
            </w:pPr>
            <w:r>
              <w:rPr>
                <w:rFonts w:hint="eastAsia"/>
              </w:rPr>
              <w:t>扩建项目属于铜梁区重点管控单元，扩建项目位于工业园区，在采取严格污染防治措施、风险管控措施前提条件下，污染物可稳定达标排放，环境风险可控。按照《重庆市铜梁区人民政府办公室关于印发重庆市铜梁区环境空气质量限期达标规划（2017—2025年）的通知》（铜府办〔2019〕50号）和《重庆市铜梁区人民政府办公室关于印发铜梁区贯彻落实打赢蓝天保卫战三年行动计划实施方案的通知》（铜府办〔2019〕65号），落实细颗粒物防治措施，加强扩建项目的颗粒物治理措施，总体来说，扩建项目符合《重庆市人民政府关于落实生态保护红线、环境质量底线、资源利用上线制定生态环境准入清单实施生态环境分区管控的实施意见》重点管控区相关要求。</w:t>
            </w:r>
          </w:p>
          <w:p>
            <w:pPr>
              <w:pStyle w:val="4086"/>
              <w:spacing w:before="24"/>
              <w:ind w:firstLine="480"/>
            </w:pPr>
            <w:r>
              <w:t>与重庆市“三线一单”总体管控要求的符合性分析见表</w:t>
            </w:r>
            <w:r>
              <w:rPr>
                <w:rFonts w:hint="eastAsia"/>
              </w:rPr>
              <w:t>1.1-3。</w:t>
            </w:r>
          </w:p>
          <w:p>
            <w:pPr>
              <w:pStyle w:val="4087"/>
              <w:spacing w:before="24"/>
            </w:pPr>
            <w:r>
              <w:t>表</w:t>
            </w:r>
            <w:r>
              <w:rPr>
                <w:rFonts w:hint="eastAsia"/>
              </w:rPr>
              <w:t xml:space="preserve">1.1-3    </w:t>
            </w:r>
            <w:r>
              <w:rPr>
                <w:rFonts w:cs="Times New Roman"/>
              </w:rPr>
              <w:t>重庆市三线一单总体管控要求的符合性分析</w:t>
            </w:r>
          </w:p>
          <w:tbl>
            <w:tblPr>
              <w:tblStyle w:val="88"/>
              <w:tblW w:w="12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5852"/>
              <w:gridCol w:w="5005"/>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51" w:type="dxa"/>
                  <w:vAlign w:val="center"/>
                </w:tcPr>
                <w:p>
                  <w:pPr>
                    <w:pStyle w:val="4087"/>
                    <w:spacing w:before="24"/>
                  </w:pPr>
                  <w:r>
                    <w:t>管控类别</w:t>
                  </w:r>
                </w:p>
              </w:tc>
              <w:tc>
                <w:tcPr>
                  <w:tcW w:w="5852" w:type="dxa"/>
                  <w:vAlign w:val="center"/>
                </w:tcPr>
                <w:p>
                  <w:pPr>
                    <w:pStyle w:val="4087"/>
                    <w:spacing w:before="24"/>
                  </w:pPr>
                  <w:r>
                    <w:t>总体管控要求</w:t>
                  </w:r>
                </w:p>
              </w:tc>
              <w:tc>
                <w:tcPr>
                  <w:tcW w:w="5005" w:type="dxa"/>
                  <w:vAlign w:val="center"/>
                </w:tcPr>
                <w:p>
                  <w:pPr>
                    <w:pStyle w:val="4087"/>
                    <w:spacing w:before="24"/>
                  </w:pPr>
                  <w:r>
                    <w:t>扩建项目情况</w:t>
                  </w:r>
                </w:p>
              </w:tc>
              <w:tc>
                <w:tcPr>
                  <w:tcW w:w="588" w:type="dxa"/>
                  <w:vAlign w:val="center"/>
                </w:tcPr>
                <w:p>
                  <w:pPr>
                    <w:pStyle w:val="4087"/>
                    <w:spacing w:before="24"/>
                    <w:jc w:val="both"/>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1" w:type="dxa"/>
                  <w:vAlign w:val="center"/>
                </w:tcPr>
                <w:p>
                  <w:pPr>
                    <w:pStyle w:val="4087"/>
                    <w:spacing w:before="24"/>
                  </w:pPr>
                  <w:r>
                    <w:t>环境管控划分</w:t>
                  </w:r>
                </w:p>
              </w:tc>
              <w:tc>
                <w:tcPr>
                  <w:tcW w:w="5852" w:type="dxa"/>
                  <w:vAlign w:val="center"/>
                </w:tcPr>
                <w:p>
                  <w:pPr>
                    <w:pStyle w:val="4087"/>
                    <w:spacing w:before="24"/>
                  </w:pPr>
                  <w:r>
                    <w:t>环境管控单元包括优先保护单元、重点管控单元、一般管控单元三类。优先保护单元指以生态环境保护为主的区域，主要包括饮用水水源保护区、环境空气一类功能区等。重点管控单元指涉及水、大气、土壤、自然资源等资源环境要素重点管控的区域，主要包括人口密集的城镇规划区和产业集聚的工业园区（工业集聚区）。一般管控单元指除优先保护单元和重点管控单元之外的其他区域</w:t>
                  </w:r>
                </w:p>
              </w:tc>
              <w:tc>
                <w:tcPr>
                  <w:tcW w:w="5005" w:type="dxa"/>
                  <w:vAlign w:val="center"/>
                </w:tcPr>
                <w:p>
                  <w:pPr>
                    <w:pStyle w:val="4087"/>
                    <w:spacing w:before="24"/>
                  </w:pPr>
                  <w:r>
                    <w:t>扩建项目位于</w:t>
                  </w:r>
                  <w:r>
                    <w:rPr>
                      <w:rFonts w:hint="eastAsia"/>
                    </w:rPr>
                    <w:t>重庆铜梁高新区姜家岩片区</w:t>
                  </w:r>
                  <w:r>
                    <w:t>，属于重点管控单元，重点管控单元指涉及水、大气、土壤、自然资源等资源环境要素重点管控的区域，主要包括人口密集的城镇规划区和产业集聚的工业园区（工业集聚区）。</w:t>
                  </w:r>
                </w:p>
              </w:tc>
              <w:tc>
                <w:tcPr>
                  <w:tcW w:w="588" w:type="dxa"/>
                  <w:vAlign w:val="center"/>
                </w:tcPr>
                <w:p>
                  <w:pPr>
                    <w:pStyle w:val="4087"/>
                    <w:spacing w:before="24"/>
                    <w:jc w:val="both"/>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1" w:type="dxa"/>
                  <w:vAlign w:val="center"/>
                </w:tcPr>
                <w:p>
                  <w:pPr>
                    <w:pStyle w:val="4087"/>
                    <w:spacing w:before="24"/>
                  </w:pPr>
                  <w:r>
                    <w:t>分区环境管控要求</w:t>
                  </w:r>
                </w:p>
              </w:tc>
              <w:tc>
                <w:tcPr>
                  <w:tcW w:w="5852" w:type="dxa"/>
                  <w:vAlign w:val="center"/>
                </w:tcPr>
                <w:p>
                  <w:pPr>
                    <w:pStyle w:val="4087"/>
                    <w:spacing w:before="24"/>
                  </w:pPr>
                  <w: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w:t>
                  </w:r>
                  <w:r>
                    <w:cr/>
                  </w:r>
                  <w:r>
                    <w:t>环境保护基本要求。</w:t>
                  </w:r>
                </w:p>
              </w:tc>
              <w:tc>
                <w:tcPr>
                  <w:tcW w:w="5005" w:type="dxa"/>
                  <w:vAlign w:val="center"/>
                </w:tcPr>
                <w:p>
                  <w:pPr>
                    <w:pStyle w:val="4087"/>
                    <w:spacing w:before="24"/>
                  </w:pPr>
                  <w:r>
                    <w:t>扩建项目位于重庆铜梁高新区姜家岩片区内，扩建项目采用了严格的废气、废水、固废及噪声污染治理措施，污染防治措施技术经济可行，能确保各种污染物稳定达标排放，且排放的污染物对周围环境影响可接受，不会改变区域环境功能；采取严格的风险防范措</w:t>
                  </w:r>
                  <w:r>
                    <w:cr/>
                  </w:r>
                  <w:r>
                    <w:t>后，环境风险可控。</w:t>
                  </w:r>
                </w:p>
              </w:tc>
              <w:tc>
                <w:tcPr>
                  <w:tcW w:w="588" w:type="dxa"/>
                  <w:vAlign w:val="center"/>
                </w:tcPr>
                <w:p>
                  <w:pPr>
                    <w:pStyle w:val="4087"/>
                    <w:spacing w:before="24"/>
                    <w:jc w:val="both"/>
                  </w:pPr>
                  <w:r>
                    <w:t>符合</w:t>
                  </w:r>
                </w:p>
              </w:tc>
            </w:tr>
          </w:tbl>
          <w:p>
            <w:pPr>
              <w:pStyle w:val="4087"/>
              <w:spacing w:before="24"/>
            </w:pPr>
          </w:p>
          <w:p>
            <w:pPr>
              <w:pStyle w:val="4086"/>
              <w:spacing w:before="24"/>
              <w:ind w:firstLine="480"/>
            </w:pPr>
            <w:r>
              <w:t>与全市产业布局总体管控要求的符合性分析见表</w:t>
            </w:r>
            <w:r>
              <w:rPr>
                <w:rFonts w:hint="eastAsia"/>
              </w:rPr>
              <w:t>1.1-4</w:t>
            </w:r>
            <w:r>
              <w:t>。</w:t>
            </w:r>
          </w:p>
          <w:p>
            <w:pPr>
              <w:pStyle w:val="4087"/>
              <w:spacing w:before="24"/>
            </w:pPr>
            <w:r>
              <w:t>表</w:t>
            </w:r>
            <w:r>
              <w:rPr>
                <w:rFonts w:hint="eastAsia"/>
              </w:rPr>
              <w:t xml:space="preserve">1.1-4     </w:t>
            </w:r>
            <w:r>
              <w:t>与重庆市“三线一单”全市产业布局总体管控要求符合性分析</w:t>
            </w:r>
          </w:p>
          <w:tbl>
            <w:tblPr>
              <w:tblStyle w:val="88"/>
              <w:tblW w:w="12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6451"/>
              <w:gridCol w:w="4237"/>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Align w:val="center"/>
                </w:tcPr>
                <w:p>
                  <w:pPr>
                    <w:pStyle w:val="4087"/>
                    <w:spacing w:before="24"/>
                  </w:pPr>
                  <w:r>
                    <w:t>管控类别</w:t>
                  </w:r>
                </w:p>
              </w:tc>
              <w:tc>
                <w:tcPr>
                  <w:tcW w:w="6451" w:type="dxa"/>
                  <w:vAlign w:val="center"/>
                </w:tcPr>
                <w:p>
                  <w:pPr>
                    <w:pStyle w:val="4087"/>
                    <w:spacing w:before="24"/>
                  </w:pPr>
                  <w:r>
                    <w:t>管控要求（节选）</w:t>
                  </w:r>
                </w:p>
              </w:tc>
              <w:tc>
                <w:tcPr>
                  <w:tcW w:w="4237" w:type="dxa"/>
                  <w:vAlign w:val="center"/>
                </w:tcPr>
                <w:p>
                  <w:pPr>
                    <w:pStyle w:val="4087"/>
                    <w:spacing w:before="24"/>
                  </w:pPr>
                  <w:r>
                    <w:t>扩建项目情况</w:t>
                  </w:r>
                </w:p>
              </w:tc>
              <w:tc>
                <w:tcPr>
                  <w:tcW w:w="621" w:type="dxa"/>
                  <w:vAlign w:val="center"/>
                </w:tcPr>
                <w:p>
                  <w:pPr>
                    <w:pStyle w:val="4087"/>
                    <w:spacing w:before="24"/>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Align w:val="center"/>
                </w:tcPr>
                <w:p>
                  <w:pPr>
                    <w:pStyle w:val="4087"/>
                    <w:spacing w:before="24"/>
                  </w:pPr>
                  <w:r>
                    <w:t>总体要求</w:t>
                  </w:r>
                </w:p>
              </w:tc>
              <w:tc>
                <w:tcPr>
                  <w:tcW w:w="6451" w:type="dxa"/>
                  <w:vAlign w:val="center"/>
                </w:tcPr>
                <w:p>
                  <w:pPr>
                    <w:pStyle w:val="4087"/>
                    <w:spacing w:before="24"/>
                  </w:pPr>
                  <w:r>
                    <w:t>我市产业准入应首先符合《重庆市产业投资准入工作手册》（渝发改投[2018]541 号）。资源环境绩效水平超过《重庆市工业项目环境准入规定》（渝办发[2012]142 号）限值以及不符合生态建设和环境保护规划区域布局规定的工业项目禁止准入</w:t>
                  </w:r>
                </w:p>
              </w:tc>
              <w:tc>
                <w:tcPr>
                  <w:tcW w:w="4237" w:type="dxa"/>
                  <w:vAlign w:val="center"/>
                </w:tcPr>
                <w:p>
                  <w:pPr>
                    <w:pStyle w:val="4087"/>
                    <w:spacing w:before="24"/>
                  </w:pPr>
                  <w:r>
                    <w:t>扩建项目符合《重庆市产业投资准入工作手册》（渝发改投[2018]541 号）要求；资源环境绩效水平满足《重庆市工业项目环境准入规定》要求</w:t>
                  </w:r>
                </w:p>
              </w:tc>
              <w:tc>
                <w:tcPr>
                  <w:tcW w:w="621" w:type="dxa"/>
                  <w:vAlign w:val="center"/>
                </w:tcPr>
                <w:p>
                  <w:pPr>
                    <w:pStyle w:val="4087"/>
                    <w:spacing w:before="24"/>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Align w:val="center"/>
                </w:tcPr>
                <w:p>
                  <w:pPr>
                    <w:pStyle w:val="4087"/>
                    <w:spacing w:before="24"/>
                  </w:pPr>
                  <w:r>
                    <w:t>产业布 局总体要求</w:t>
                  </w:r>
                </w:p>
              </w:tc>
              <w:tc>
                <w:tcPr>
                  <w:tcW w:w="6451" w:type="dxa"/>
                  <w:vAlign w:val="center"/>
                </w:tcPr>
                <w:p>
                  <w:pPr>
                    <w:pStyle w:val="4087"/>
                    <w:spacing w:before="24"/>
                  </w:pPr>
                  <w:r>
                    <w:t>坚决禁止在长江、嘉陵江、乌江干流岸线一公里范围内新建重化工、纺织、造纸等存在污染风险的工业项目，5 公里范围内除现有园区拓展外严禁新布局工业园区</w:t>
                  </w:r>
                </w:p>
              </w:tc>
              <w:tc>
                <w:tcPr>
                  <w:tcW w:w="4237" w:type="dxa"/>
                  <w:vAlign w:val="center"/>
                </w:tcPr>
                <w:p>
                  <w:pPr>
                    <w:pStyle w:val="4087"/>
                    <w:spacing w:before="24"/>
                  </w:pPr>
                  <w:r>
                    <w:t>扩建项目位于建成的重庆铜梁高新区姜家岩片区，不属于上述区域。</w:t>
                  </w:r>
                </w:p>
              </w:tc>
              <w:tc>
                <w:tcPr>
                  <w:tcW w:w="621" w:type="dxa"/>
                  <w:vAlign w:val="center"/>
                </w:tcPr>
                <w:p>
                  <w:pPr>
                    <w:pStyle w:val="4087"/>
                    <w:spacing w:before="24"/>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restart"/>
                  <w:vAlign w:val="center"/>
                </w:tcPr>
                <w:p>
                  <w:pPr>
                    <w:pStyle w:val="4087"/>
                    <w:spacing w:before="24"/>
                  </w:pPr>
                  <w:r>
                    <w:t>项目入园要求</w:t>
                  </w:r>
                </w:p>
              </w:tc>
              <w:tc>
                <w:tcPr>
                  <w:tcW w:w="6451" w:type="dxa"/>
                  <w:vAlign w:val="center"/>
                </w:tcPr>
                <w:p>
                  <w:pPr>
                    <w:pStyle w:val="4087"/>
                    <w:spacing w:before="24"/>
                  </w:pPr>
                  <w:r>
                    <w:t>除在安全生产或产业布局方面有特殊要求外，新建加工制造项目原则上应当进入工业园区或工业集</w:t>
                  </w:r>
                  <w:r>
                    <w:cr/>
                  </w:r>
                  <w:r>
                    <w:t>区（中小企业基地）（指符合“两规”的工业园区规划建设范围）</w:t>
                  </w:r>
                </w:p>
              </w:tc>
              <w:tc>
                <w:tcPr>
                  <w:tcW w:w="4237" w:type="dxa"/>
                  <w:vMerge w:val="restart"/>
                  <w:vAlign w:val="center"/>
                </w:tcPr>
                <w:p>
                  <w:pPr>
                    <w:pStyle w:val="4087"/>
                    <w:spacing w:before="24"/>
                  </w:pPr>
                  <w:r>
                    <w:t>扩建项目位于建成的重庆铜梁高新区姜家岩片区，不属于上述区域。</w:t>
                  </w:r>
                </w:p>
              </w:tc>
              <w:tc>
                <w:tcPr>
                  <w:tcW w:w="621" w:type="dxa"/>
                  <w:vAlign w:val="center"/>
                </w:tcPr>
                <w:p>
                  <w:pPr>
                    <w:pStyle w:val="4087"/>
                    <w:spacing w:before="24"/>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continue"/>
                  <w:vAlign w:val="center"/>
                </w:tcPr>
                <w:p>
                  <w:pPr>
                    <w:pStyle w:val="4087"/>
                    <w:spacing w:before="24"/>
                  </w:pPr>
                </w:p>
              </w:tc>
              <w:tc>
                <w:tcPr>
                  <w:tcW w:w="6451" w:type="dxa"/>
                  <w:vAlign w:val="center"/>
                </w:tcPr>
                <w:p>
                  <w:pPr>
                    <w:pStyle w:val="4087"/>
                    <w:spacing w:before="24"/>
                  </w:pPr>
                  <w:r>
                    <w:t>不得在工业园区以外区域实施单纯增加产能的技改（扩建）项目。加快布局分散的企业向园区集中。</w:t>
                  </w:r>
                </w:p>
              </w:tc>
              <w:tc>
                <w:tcPr>
                  <w:tcW w:w="4237" w:type="dxa"/>
                  <w:vMerge w:val="continue"/>
                  <w:vAlign w:val="center"/>
                </w:tcPr>
                <w:p>
                  <w:pPr>
                    <w:pStyle w:val="4087"/>
                    <w:spacing w:before="24"/>
                  </w:pPr>
                </w:p>
              </w:tc>
              <w:tc>
                <w:tcPr>
                  <w:tcW w:w="621" w:type="dxa"/>
                  <w:vAlign w:val="center"/>
                </w:tcPr>
                <w:p>
                  <w:pPr>
                    <w:pStyle w:val="4087"/>
                    <w:spacing w:before="24"/>
                  </w:pPr>
                  <w:r>
                    <w:t>符合</w:t>
                  </w:r>
                </w:p>
              </w:tc>
            </w:tr>
          </w:tbl>
          <w:p>
            <w:pPr>
              <w:pStyle w:val="4086"/>
              <w:spacing w:before="24"/>
              <w:ind w:firstLine="480"/>
            </w:pPr>
            <w:r>
              <w:rPr>
                <w:rFonts w:hint="eastAsia"/>
              </w:rPr>
              <w:t>根据上表分析，扩建项目的建设符合</w:t>
            </w:r>
            <w:r>
              <w:t>重庆市“三线一单”总体管控要求</w:t>
            </w:r>
            <w:r>
              <w:rPr>
                <w:rFonts w:hint="eastAsia"/>
              </w:rPr>
              <w:t>和</w:t>
            </w:r>
            <w:r>
              <w:t>全市产业布局总体管控要求</w:t>
            </w:r>
            <w:r>
              <w:rPr>
                <w:rFonts w:hint="eastAsia"/>
              </w:rPr>
              <w:t>。</w:t>
            </w:r>
          </w:p>
          <w:p>
            <w:pPr>
              <w:pStyle w:val="4086"/>
              <w:spacing w:before="24"/>
              <w:ind w:firstLine="482"/>
              <w:rPr>
                <w:b/>
              </w:rPr>
            </w:pPr>
            <w:r>
              <w:rPr>
                <w:rFonts w:hint="eastAsia"/>
                <w:b/>
              </w:rPr>
              <w:t>1.1.4与《长江经济带战略环境评价重庆市铜梁区“三线一单”研究报告》符合性分析</w:t>
            </w:r>
          </w:p>
          <w:p>
            <w:pPr>
              <w:pStyle w:val="4086"/>
              <w:spacing w:before="24"/>
              <w:ind w:firstLine="480"/>
            </w:pPr>
            <w:r>
              <w:rPr>
                <w:rFonts w:hint="eastAsia"/>
              </w:rPr>
              <w:t>1）环境管控单元划分</w:t>
            </w:r>
          </w:p>
          <w:p>
            <w:pPr>
              <w:pStyle w:val="4086"/>
              <w:spacing w:before="24"/>
              <w:ind w:firstLine="480"/>
            </w:pPr>
            <w:r>
              <w:rPr>
                <w:rFonts w:hint="eastAsia"/>
              </w:rPr>
              <w:t>根据《重庆市铜梁区人民政府关于落实生态保护红线、环境质量底线、资源利用上线制定生态环境准入清单实施生态环境分区管控的实施意见》（</w:t>
            </w:r>
            <w:r>
              <w:t>铜府发〔2020</w:t>
            </w:r>
            <w:r>
              <w:rPr>
                <w:rFonts w:hint="eastAsia"/>
              </w:rPr>
              <w:t>〕8号），将环境管控单元包括优先保护单元、重点管控单元、一般管控单元三类。</w:t>
            </w:r>
          </w:p>
          <w:p>
            <w:pPr>
              <w:pStyle w:val="4086"/>
              <w:spacing w:before="24"/>
              <w:ind w:firstLine="480"/>
            </w:pPr>
            <w:r>
              <w:rPr>
                <w:rFonts w:hint="eastAsia"/>
              </w:rPr>
              <w:t>根据《长江经济带战略环境评价重庆市铜梁区“三线一单”研究报告》划定成果，并查询重庆“三线一单”智检服务系统，扩建项目所在区域属于</w:t>
            </w:r>
            <w:r>
              <w:t>铜梁区重点管控单元</w:t>
            </w:r>
            <w:r>
              <w:rPr>
                <w:rFonts w:hint="eastAsia"/>
              </w:rPr>
              <w:t>－</w:t>
            </w:r>
            <w:r>
              <w:t>淮远河众志桥</w:t>
            </w:r>
            <w:r>
              <w:rPr>
                <w:rFonts w:hint="eastAsia"/>
              </w:rPr>
              <w:t>（</w:t>
            </w:r>
            <w:r>
              <w:t>环境管控单元编码ZH50015120002</w:t>
            </w:r>
            <w:r>
              <w:rPr>
                <w:rFonts w:hint="eastAsia"/>
              </w:rPr>
              <w:t>），评价区域不涉及生态保护红线等有限保护单元和一般生态空间。</w:t>
            </w:r>
          </w:p>
          <w:p>
            <w:pPr>
              <w:pStyle w:val="4086"/>
              <w:ind w:left="1260" w:firstLine="0" w:firstLineChars="0"/>
              <w:jc w:val="center"/>
            </w:pPr>
            <w:r>
              <mc:AlternateContent>
                <mc:Choice Requires="wps">
                  <w:drawing>
                    <wp:anchor distT="0" distB="0" distL="114300" distR="114300" simplePos="0" relativeHeight="251660288" behindDoc="0" locked="0" layoutInCell="1" allowOverlap="1">
                      <wp:simplePos x="0" y="0"/>
                      <wp:positionH relativeFrom="column">
                        <wp:posOffset>2898775</wp:posOffset>
                      </wp:positionH>
                      <wp:positionV relativeFrom="paragraph">
                        <wp:posOffset>1517650</wp:posOffset>
                      </wp:positionV>
                      <wp:extent cx="2210435" cy="1221740"/>
                      <wp:effectExtent l="0" t="0" r="0" b="6350"/>
                      <wp:wrapNone/>
                      <wp:docPr id="4" name="文本框 1"/>
                      <wp:cNvGraphicFramePr/>
                      <a:graphic xmlns:a="http://schemas.openxmlformats.org/drawingml/2006/main">
                        <a:graphicData uri="http://schemas.microsoft.com/office/word/2010/wordprocessingShape">
                          <wps:wsp>
                            <wps:cNvSpPr txBox="1"/>
                            <wps:spPr>
                              <a:xfrm>
                                <a:off x="0" y="0"/>
                                <a:ext cx="2210435" cy="1221740"/>
                              </a:xfrm>
                              <a:prstGeom prst="rect">
                                <a:avLst/>
                              </a:prstGeom>
                              <a:solidFill>
                                <a:srgbClr val="EEECE1">
                                  <a:alpha val="26999"/>
                                </a:srgbClr>
                              </a:solidFill>
                              <a:ln w="9525">
                                <a:noFill/>
                              </a:ln>
                            </wps:spPr>
                            <wps:txbx>
                              <w:txbxContent>
                                <w:p>
                                  <w:pPr>
                                    <w:pStyle w:val="4086"/>
                                    <w:ind w:firstLine="480"/>
                                  </w:pPr>
                                  <w:r>
                                    <w:rPr>
                                      <w:rFonts w:hint="eastAsia"/>
                                    </w:rPr>
                                    <w:t>铜梁区重点管控单元-淮远河众志桥</w:t>
                                  </w:r>
                                </w:p>
                                <w:p>
                                  <w:pPr>
                                    <w:pStyle w:val="4086"/>
                                    <w:ind w:firstLine="480"/>
                                  </w:pPr>
                                  <w:r>
                                    <w:rPr>
                                      <w:rFonts w:hint="eastAsia"/>
                                    </w:rPr>
                                    <w:t>（环境管控单元编码ZH50015120002）</w:t>
                                  </w:r>
                                </w:p>
                              </w:txbxContent>
                            </wps:txbx>
                            <wps:bodyPr lIns="18000" tIns="18000" rIns="18000" bIns="18000" upright="1">
                              <a:spAutoFit/>
                            </wps:bodyPr>
                          </wps:wsp>
                        </a:graphicData>
                      </a:graphic>
                    </wp:anchor>
                  </w:drawing>
                </mc:Choice>
                <mc:Fallback>
                  <w:pict>
                    <v:shape id="文本框 1" o:spid="_x0000_s1026" o:spt="202" type="#_x0000_t202" style="position:absolute;left:0pt;margin-left:228.25pt;margin-top:119.5pt;height:96.2pt;width:174.05pt;z-index:251660288;mso-width-relative:page;mso-height-relative:page;" fillcolor="#EEECE1" filled="t" stroked="f" coordsize="21600,21600" o:gfxdata="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XPt4DaAAAACwEAAA8A&#10;AAAAAAAAAQAgAAAAIgAAAGRycy9kb3ducmV2LnhtbFBLAQIUABQAAAAIAIdO4kC0WL9t3AEAAKID&#10;AAAOAAAAAAAAAAEAIAAAACkBAABkcnMvZTJvRG9jLnhtbFBLBQYAAAAABgAGAFkBAAB3BQAAAAA=&#10;">
                      <v:fill on="t" opacity="17694f" focussize="0,0"/>
                      <v:stroke on="f"/>
                      <v:imagedata o:title=""/>
                      <o:lock v:ext="edit" aspectratio="f"/>
                      <v:textbox inset="0.5mm,0.5mm,0.5mm,0.5mm" style="mso-fit-shape-to-text:t;">
                        <w:txbxContent>
                          <w:p>
                            <w:pPr>
                              <w:pStyle w:val="4086"/>
                              <w:ind w:firstLine="480"/>
                            </w:pPr>
                            <w:r>
                              <w:rPr>
                                <w:rFonts w:hint="eastAsia"/>
                              </w:rPr>
                              <w:t>铜梁区重点管控单元-淮远河众志桥</w:t>
                            </w:r>
                          </w:p>
                          <w:p>
                            <w:pPr>
                              <w:pStyle w:val="4086"/>
                              <w:ind w:firstLine="480"/>
                            </w:pPr>
                            <w:r>
                              <w:rPr>
                                <w:rFonts w:hint="eastAsia"/>
                              </w:rPr>
                              <w:t>（环境管控单元编码ZH50015120002）</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3666490</wp:posOffset>
                      </wp:positionH>
                      <wp:positionV relativeFrom="paragraph">
                        <wp:posOffset>1807210</wp:posOffset>
                      </wp:positionV>
                      <wp:extent cx="75565" cy="75565"/>
                      <wp:effectExtent l="19050" t="38100" r="38735" b="38735"/>
                      <wp:wrapNone/>
                      <wp:docPr id="3" name="五角星 2"/>
                      <wp:cNvGraphicFramePr/>
                      <a:graphic xmlns:a="http://schemas.openxmlformats.org/drawingml/2006/main">
                        <a:graphicData uri="http://schemas.microsoft.com/office/word/2010/wordprocessingShape">
                          <wps:wsp>
                            <wps:cNvSpPr/>
                            <wps:spPr>
                              <a:xfrm>
                                <a:off x="0" y="0"/>
                                <a:ext cx="75565" cy="75565"/>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五角星 2" o:spid="_x0000_s1026" style="position:absolute;left:0pt;margin-left:288.7pt;margin-top:142.3pt;height:5.95pt;width:5.95pt;z-index:251659264;mso-width-relative:page;mso-height-relative:page;" fillcolor="#FF0000" filled="t" stroked="t" coordsize="75565,75565" o:gfxdata="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6D0ytoA&#10;AAALAQAADwAAAAAAAAABACAAAAAiAAAAZHJzL2Rvd25yZXYueG1sUEsBAhQAFAAAAAgAh07iQNFq&#10;dG3kAQAA0QMAAA4AAAAAAAAAAQAgAAAAKQEAAGRycy9lMm9Eb2MueG1sUEsFBgAAAAAGAAYAWQEA&#10;AH8FAAAAAA==&#10;" path="m0,28863l28863,28863,37782,0,46701,28863,75564,28863,52213,46701,61133,75564,37782,57726,14431,75564,23351,46701xe">
                      <v:path o:connectlocs="37782,0;0,28863;14431,75564;61133,75564;75564,28863" o:connectangles="247,164,82,82,0"/>
                      <v:fill on="t" focussize="0,0"/>
                      <v:stroke color="#000000" joinstyle="miter"/>
                      <v:imagedata o:title=""/>
                      <o:lock v:ext="edit" aspectratio="f"/>
                    </v:shape>
                  </w:pict>
                </mc:Fallback>
              </mc:AlternateContent>
            </w:r>
            <w:r>
              <w:drawing>
                <wp:inline distT="0" distB="0" distL="0" distR="0">
                  <wp:extent cx="5191125" cy="3581400"/>
                  <wp:effectExtent l="19050" t="0" r="9525" b="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noChangeArrowheads="1"/>
                          </pic:cNvPicPr>
                        </pic:nvPicPr>
                        <pic:blipFill>
                          <a:blip r:embed="rId14"/>
                          <a:srcRect/>
                          <a:stretch>
                            <a:fillRect/>
                          </a:stretch>
                        </pic:blipFill>
                        <pic:spPr>
                          <a:xfrm>
                            <a:off x="0" y="0"/>
                            <a:ext cx="5191125" cy="3581400"/>
                          </a:xfrm>
                          <a:prstGeom prst="rect">
                            <a:avLst/>
                          </a:prstGeom>
                          <a:noFill/>
                          <a:ln w="9525" cmpd="sng">
                            <a:noFill/>
                            <a:miter lim="800000"/>
                            <a:headEnd/>
                            <a:tailEnd/>
                          </a:ln>
                        </pic:spPr>
                      </pic:pic>
                    </a:graphicData>
                  </a:graphic>
                </wp:inline>
              </w:drawing>
            </w:r>
          </w:p>
          <w:p>
            <w:pPr>
              <w:pStyle w:val="4087"/>
              <w:spacing w:before="24"/>
            </w:pPr>
            <w:r>
              <w:rPr>
                <w:rFonts w:hint="eastAsia"/>
              </w:rPr>
              <w:t>图1.1-1  扩建项目所在环境管控单元</w:t>
            </w:r>
          </w:p>
          <w:p>
            <w:pPr>
              <w:pStyle w:val="4086"/>
              <w:spacing w:before="24"/>
              <w:ind w:firstLine="480"/>
            </w:pPr>
            <w:r>
              <w:rPr>
                <w:rFonts w:hint="eastAsia"/>
              </w:rPr>
              <w:t>2）总体管控要求</w:t>
            </w:r>
          </w:p>
          <w:p>
            <w:pPr>
              <w:pStyle w:val="4086"/>
              <w:spacing w:before="24"/>
              <w:ind w:firstLine="480"/>
            </w:pPr>
            <w:r>
              <w:rPr>
                <w:rFonts w:hint="eastAsia"/>
              </w:rPr>
              <w:t>根据《重庆市铜梁区人民政府关于落实生态保护红线、环境质量底线、资源利用上线制定生态环境准入清单实施生态环境分区管控的实施意见》（</w:t>
            </w:r>
            <w:r>
              <w:t>铜府发〔2020</w:t>
            </w:r>
            <w:r>
              <w:rPr>
                <w:rFonts w:hint="eastAsia"/>
              </w:rPr>
              <w:t>〕8号），</w:t>
            </w:r>
            <w:r>
              <w:t>实施生态环境分区管控</w:t>
            </w:r>
            <w:r>
              <w:rPr>
                <w:rFonts w:hint="eastAsia"/>
              </w:rPr>
              <w:t>。</w:t>
            </w:r>
          </w:p>
          <w:p>
            <w:pPr>
              <w:pStyle w:val="4086"/>
              <w:spacing w:before="24"/>
              <w:ind w:firstLine="480"/>
            </w:pPr>
            <w:r>
              <w:t>优先保护单元依法禁止或限制大规模、高强度的工业和城镇建设，在功能受损的优先保护单元优先开展生态保护修复活动，恢复生态系统服务功能。重点管控单元优化空间布局，不断提升资源利用效率，有针对性地加强污染物排放控制和环境风险防控，解决生态环境质量不达标、生态环境风险高等问题。一般管控单元主要落实生态环境保护基本要求。</w:t>
            </w:r>
          </w:p>
          <w:p>
            <w:pPr>
              <w:pStyle w:val="4086"/>
              <w:spacing w:before="24"/>
              <w:ind w:firstLine="480"/>
            </w:pPr>
            <w:r>
              <w:rPr>
                <w:rFonts w:hint="eastAsia"/>
              </w:rPr>
              <w:t>实施差异化管理，保护好巴岳山、毓青山等自然生态环境，形成以生态功能区为支撑，国家禁止开发区域为重要组成部分的生态空间体系。强化污染物排放控制和环境风险防控，持续改善水环境质量，严控用水总量，全方位建设节水型社会；持续改善大气环境质量，建立区域污染联防联控长效机制；优化产业结构布局，强化布局约束，优化人居环境。</w:t>
            </w:r>
          </w:p>
          <w:p>
            <w:pPr>
              <w:pStyle w:val="4086"/>
              <w:spacing w:before="24"/>
              <w:ind w:firstLine="480"/>
            </w:pPr>
            <w:r>
              <w:rPr>
                <w:rFonts w:hint="eastAsia"/>
              </w:rPr>
              <w:t>扩建项目位于铜梁高新区姜家岩片区内，属于污染影响类建设项目，位于重点管控单元，与铜梁区“三线一单”</w:t>
            </w:r>
            <w:r>
              <w:t>铜梁区总体管控要求</w:t>
            </w:r>
            <w:r>
              <w:rPr>
                <w:rFonts w:hint="eastAsia"/>
              </w:rPr>
              <w:t>符合性见表1.1-5。</w:t>
            </w:r>
          </w:p>
          <w:p>
            <w:pPr>
              <w:pStyle w:val="4087"/>
              <w:spacing w:before="24"/>
            </w:pPr>
            <w:r>
              <w:rPr>
                <w:rFonts w:hint="eastAsia"/>
              </w:rPr>
              <w:t>表1.1-5        扩建项目与铜梁区“三线一单”总体管控要求符合性</w:t>
            </w:r>
          </w:p>
          <w:tbl>
            <w:tblPr>
              <w:tblStyle w:val="89"/>
              <w:tblW w:w="121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5752"/>
              <w:gridCol w:w="4647"/>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7" w:type="dxa"/>
                  <w:vAlign w:val="center"/>
                </w:tcPr>
                <w:p>
                  <w:pPr>
                    <w:pStyle w:val="4087"/>
                    <w:spacing w:before="24"/>
                  </w:pPr>
                  <w:r>
                    <w:rPr>
                      <w:rFonts w:hint="eastAsia"/>
                    </w:rPr>
                    <w:t>管控类别</w:t>
                  </w:r>
                </w:p>
              </w:tc>
              <w:tc>
                <w:tcPr>
                  <w:tcW w:w="5752" w:type="dxa"/>
                  <w:vAlign w:val="center"/>
                </w:tcPr>
                <w:p>
                  <w:pPr>
                    <w:pStyle w:val="4087"/>
                    <w:spacing w:before="24"/>
                  </w:pPr>
                  <w:r>
                    <w:rPr>
                      <w:rFonts w:hint="eastAsia"/>
                    </w:rPr>
                    <w:t>总体管控要求</w:t>
                  </w:r>
                </w:p>
              </w:tc>
              <w:tc>
                <w:tcPr>
                  <w:tcW w:w="4647" w:type="dxa"/>
                  <w:vAlign w:val="center"/>
                </w:tcPr>
                <w:p>
                  <w:pPr>
                    <w:pStyle w:val="4087"/>
                    <w:keepLines/>
                    <w:autoSpaceDE/>
                    <w:autoSpaceDN/>
                    <w:adjustRightInd w:val="0"/>
                    <w:snapToGrid w:val="0"/>
                    <w:spacing w:before="24"/>
                  </w:pPr>
                  <w:r>
                    <w:rPr>
                      <w:rFonts w:hint="eastAsia"/>
                    </w:rPr>
                    <w:t>扩建项目情况</w:t>
                  </w:r>
                </w:p>
              </w:tc>
              <w:tc>
                <w:tcPr>
                  <w:tcW w:w="808" w:type="dxa"/>
                  <w:vAlign w:val="center"/>
                </w:tcPr>
                <w:p>
                  <w:pPr>
                    <w:pStyle w:val="4087"/>
                    <w:keepLines/>
                    <w:autoSpaceDE/>
                    <w:autoSpaceDN/>
                    <w:adjustRightInd w:val="0"/>
                    <w:snapToGrid w:val="0"/>
                    <w:spacing w:before="24"/>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7" w:type="dxa"/>
                  <w:vMerge w:val="restart"/>
                  <w:vAlign w:val="center"/>
                </w:tcPr>
                <w:p>
                  <w:pPr>
                    <w:pStyle w:val="4087"/>
                    <w:spacing w:before="24"/>
                  </w:pPr>
                  <w:r>
                    <w:rPr>
                      <w:rFonts w:hint="eastAsia"/>
                    </w:rPr>
                    <w:t>空间布局约束</w:t>
                  </w:r>
                </w:p>
              </w:tc>
              <w:tc>
                <w:tcPr>
                  <w:tcW w:w="5752" w:type="dxa"/>
                  <w:vAlign w:val="center"/>
                </w:tcPr>
                <w:p>
                  <w:pPr>
                    <w:pStyle w:val="4087"/>
                    <w:spacing w:before="24"/>
                  </w:pPr>
                  <w:r>
                    <w:rPr>
                      <w:rFonts w:hint="eastAsia"/>
                    </w:rPr>
                    <w:t>第一条保护好巴岳山、毓青山等自然生态环境，形成以生态功能区为支撑，国家禁止开发区域为重要组成部分的生态空间体系。</w:t>
                  </w:r>
                </w:p>
              </w:tc>
              <w:tc>
                <w:tcPr>
                  <w:tcW w:w="4647" w:type="dxa"/>
                  <w:vAlign w:val="center"/>
                </w:tcPr>
                <w:p>
                  <w:pPr>
                    <w:pStyle w:val="4087"/>
                    <w:spacing w:before="24"/>
                  </w:pPr>
                  <w:r>
                    <w:rPr>
                      <w:rFonts w:hint="eastAsia"/>
                    </w:rPr>
                    <w:t>扩建项目位于已批准建设的工业园区内，不涉及巴岳山、毓青山等自然生态环境区域。</w:t>
                  </w:r>
                </w:p>
              </w:tc>
              <w:tc>
                <w:tcPr>
                  <w:tcW w:w="80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7" w:type="dxa"/>
                  <w:vMerge w:val="continue"/>
                  <w:vAlign w:val="center"/>
                </w:tcPr>
                <w:p>
                  <w:pPr>
                    <w:pStyle w:val="4087"/>
                    <w:spacing w:before="24"/>
                  </w:pPr>
                </w:p>
              </w:tc>
              <w:tc>
                <w:tcPr>
                  <w:tcW w:w="5752" w:type="dxa"/>
                  <w:vAlign w:val="center"/>
                </w:tcPr>
                <w:p>
                  <w:pPr>
                    <w:pStyle w:val="4087"/>
                    <w:spacing w:before="24"/>
                  </w:pPr>
                  <w:r>
                    <w:rPr>
                      <w:rFonts w:hint="eastAsia"/>
                    </w:rPr>
                    <w:t>第二条铜梁高新区白土坝片区采取“腾笼换鸟”的方式，推动现有产业提档升级，发展环境影响小、风险可控的产业。</w:t>
                  </w:r>
                </w:p>
              </w:tc>
              <w:tc>
                <w:tcPr>
                  <w:tcW w:w="4647" w:type="dxa"/>
                  <w:vAlign w:val="center"/>
                </w:tcPr>
                <w:p>
                  <w:pPr>
                    <w:pStyle w:val="4087"/>
                    <w:spacing w:before="24"/>
                  </w:pPr>
                  <w:r>
                    <w:rPr>
                      <w:rFonts w:hint="eastAsia"/>
                    </w:rPr>
                    <w:t>扩建项目不属于白土坝片区。</w:t>
                  </w:r>
                </w:p>
              </w:tc>
              <w:tc>
                <w:tcPr>
                  <w:tcW w:w="80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7" w:type="dxa"/>
                  <w:vMerge w:val="restart"/>
                  <w:vAlign w:val="center"/>
                </w:tcPr>
                <w:p>
                  <w:pPr>
                    <w:pStyle w:val="4087"/>
                    <w:spacing w:before="24"/>
                  </w:pPr>
                  <w:r>
                    <w:rPr>
                      <w:rFonts w:hint="eastAsia"/>
                    </w:rPr>
                    <w:t>污染物排放管控</w:t>
                  </w:r>
                </w:p>
              </w:tc>
              <w:tc>
                <w:tcPr>
                  <w:tcW w:w="5752" w:type="dxa"/>
                  <w:vAlign w:val="center"/>
                </w:tcPr>
                <w:p>
                  <w:pPr>
                    <w:pStyle w:val="4087"/>
                    <w:spacing w:before="24"/>
                  </w:pPr>
                  <w:r>
                    <w:rPr>
                      <w:rFonts w:hint="eastAsia"/>
                    </w:rPr>
                    <w:t>第三条城市生活污水处理厂全面达到《城镇污水处理厂污染物排放标准》（GB18919-2002）一级A排放标准。</w:t>
                  </w:r>
                </w:p>
              </w:tc>
              <w:tc>
                <w:tcPr>
                  <w:tcW w:w="4647" w:type="dxa"/>
                  <w:vAlign w:val="center"/>
                </w:tcPr>
                <w:p>
                  <w:pPr>
                    <w:pStyle w:val="4087"/>
                    <w:spacing w:before="24"/>
                  </w:pPr>
                  <w:r>
                    <w:rPr>
                      <w:rFonts w:hint="eastAsia"/>
                    </w:rPr>
                    <w:t>扩建项目排水依托厂区已建污水处理设施处理后排入东城污水处理厂处理达《城镇污水处理厂污染物排放标准》（GB18919-2002）一级B排放标准后排放，目前东城污水处理厂正在实施二期工程，届时将完成提标改造</w:t>
                  </w:r>
                </w:p>
              </w:tc>
              <w:tc>
                <w:tcPr>
                  <w:tcW w:w="80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7" w:type="dxa"/>
                  <w:vMerge w:val="continue"/>
                  <w:vAlign w:val="center"/>
                </w:tcPr>
                <w:p>
                  <w:pPr>
                    <w:pStyle w:val="4087"/>
                    <w:spacing w:before="24"/>
                  </w:pPr>
                </w:p>
              </w:tc>
              <w:tc>
                <w:tcPr>
                  <w:tcW w:w="5752" w:type="dxa"/>
                  <w:vAlign w:val="center"/>
                </w:tcPr>
                <w:p>
                  <w:pPr>
                    <w:pStyle w:val="4087"/>
                    <w:spacing w:before="24"/>
                  </w:pPr>
                  <w:r>
                    <w:rPr>
                      <w:rFonts w:hint="eastAsia"/>
                    </w:rPr>
                    <w:t>第四条持续推进企业大气污染防治。二氧化硫、氮氧化物、颗粒物、VOCs严格执行大气污染物特别排放限值，鼓励辖区内水泥、烧结砖瓦窑企业错峰生产。</w:t>
                  </w:r>
                </w:p>
                <w:p>
                  <w:pPr>
                    <w:pStyle w:val="4087"/>
                    <w:spacing w:before="24"/>
                  </w:pPr>
                  <w:r>
                    <w:rPr>
                      <w:rFonts w:hint="eastAsia"/>
                    </w:rPr>
                    <w:t>第五条新建、改建、扩建涉VOCs的项目，要加强源头控制，使用低（无）VOCs含量的原辅料，加强废气收集，安装高效治理设施。</w:t>
                  </w:r>
                </w:p>
              </w:tc>
              <w:tc>
                <w:tcPr>
                  <w:tcW w:w="4647" w:type="dxa"/>
                  <w:vAlign w:val="center"/>
                </w:tcPr>
                <w:p>
                  <w:pPr>
                    <w:pStyle w:val="4087"/>
                    <w:spacing w:before="24"/>
                  </w:pPr>
                  <w:r>
                    <w:rPr>
                      <w:rFonts w:hint="eastAsia"/>
                    </w:rPr>
                    <w:t>扩建项目新增产能采用UV涂料、水性涂料进行涂装，均为低挥发性的涂料，并对油性漆生产线废气处理设施进行改造，并对原油性漆生产线实施水性漆部分替代及废气处理设施改造，涂装废气采用“湿式过滤</w:t>
                  </w:r>
                  <w:r>
                    <w:t>+干式过滤+活性炭吸附浓缩+解析（催化燃烧）</w:t>
                  </w:r>
                  <w:r>
                    <w:rPr>
                      <w:rFonts w:hint="eastAsia"/>
                    </w:rPr>
                    <w:t>”处理后经15m排气筒排放。</w:t>
                  </w:r>
                </w:p>
              </w:tc>
              <w:tc>
                <w:tcPr>
                  <w:tcW w:w="80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7" w:type="dxa"/>
                  <w:vMerge w:val="continue"/>
                  <w:vAlign w:val="center"/>
                </w:tcPr>
                <w:p>
                  <w:pPr>
                    <w:pStyle w:val="4087"/>
                    <w:spacing w:before="24"/>
                  </w:pPr>
                </w:p>
              </w:tc>
              <w:tc>
                <w:tcPr>
                  <w:tcW w:w="5752" w:type="dxa"/>
                  <w:vAlign w:val="center"/>
                </w:tcPr>
                <w:p>
                  <w:pPr>
                    <w:pStyle w:val="4087"/>
                    <w:spacing w:before="24"/>
                  </w:pPr>
                  <w:r>
                    <w:rPr>
                      <w:rFonts w:hint="eastAsia"/>
                    </w:rPr>
                    <w:t>第六条持续推进小安溪综合整治，加强农业面源污染防治；加快农村分散污水有效处理，推进农村生活垃圾进行集中收集并转运统一处置。</w:t>
                  </w:r>
                </w:p>
                <w:p>
                  <w:pPr>
                    <w:pStyle w:val="4087"/>
                    <w:spacing w:before="24"/>
                  </w:pPr>
                  <w:r>
                    <w:rPr>
                      <w:rFonts w:hint="eastAsia"/>
                    </w:rPr>
                    <w:t>第七条严格落实畜禽养殖规划，取缔或搬迁流小安溪流域禁养区畜禽养殖场。</w:t>
                  </w:r>
                </w:p>
              </w:tc>
              <w:tc>
                <w:tcPr>
                  <w:tcW w:w="4647" w:type="dxa"/>
                  <w:vAlign w:val="center"/>
                </w:tcPr>
                <w:p>
                  <w:pPr>
                    <w:pStyle w:val="4087"/>
                    <w:spacing w:before="24"/>
                  </w:pPr>
                  <w:r>
                    <w:rPr>
                      <w:rFonts w:hint="eastAsia"/>
                    </w:rPr>
                    <w:t>扩建项目不属于农业面源污染。</w:t>
                  </w:r>
                </w:p>
              </w:tc>
              <w:tc>
                <w:tcPr>
                  <w:tcW w:w="80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87" w:type="dxa"/>
                  <w:vAlign w:val="center"/>
                </w:tcPr>
                <w:p>
                  <w:pPr>
                    <w:pStyle w:val="4087"/>
                    <w:spacing w:before="24"/>
                  </w:pPr>
                  <w:r>
                    <w:rPr>
                      <w:rFonts w:hint="eastAsia"/>
                    </w:rPr>
                    <w:t>资源利用效率</w:t>
                  </w:r>
                </w:p>
              </w:tc>
              <w:tc>
                <w:tcPr>
                  <w:tcW w:w="5752" w:type="dxa"/>
                  <w:vAlign w:val="center"/>
                </w:tcPr>
                <w:p>
                  <w:pPr>
                    <w:pStyle w:val="4087"/>
                    <w:spacing w:before="24"/>
                  </w:pPr>
                  <w:r>
                    <w:rPr>
                      <w:rFonts w:hint="eastAsia"/>
                    </w:rPr>
                    <w:t>第八条推行节水措施和中水回用提高水资源回用率，鼓励工业企业提高中水回用率。</w:t>
                  </w:r>
                </w:p>
              </w:tc>
              <w:tc>
                <w:tcPr>
                  <w:tcW w:w="4647" w:type="dxa"/>
                  <w:vAlign w:val="center"/>
                </w:tcPr>
                <w:p>
                  <w:pPr>
                    <w:pStyle w:val="4087"/>
                    <w:spacing w:before="24"/>
                  </w:pPr>
                  <w:r>
                    <w:rPr>
                      <w:rFonts w:hint="eastAsia"/>
                    </w:rPr>
                    <w:t>扩建项目营运期用排水量较小，喷淋废水循环使用。</w:t>
                  </w:r>
                </w:p>
              </w:tc>
              <w:tc>
                <w:tcPr>
                  <w:tcW w:w="808" w:type="dxa"/>
                  <w:vAlign w:val="center"/>
                </w:tcPr>
                <w:p>
                  <w:pPr>
                    <w:pStyle w:val="4087"/>
                    <w:spacing w:before="24"/>
                  </w:pPr>
                  <w:r>
                    <w:rPr>
                      <w:rFonts w:hint="eastAsia"/>
                    </w:rPr>
                    <w:t>符合</w:t>
                  </w:r>
                </w:p>
              </w:tc>
            </w:tr>
          </w:tbl>
          <w:p>
            <w:pPr>
              <w:pStyle w:val="4087"/>
              <w:spacing w:before="24"/>
            </w:pPr>
            <w:r>
              <w:rPr>
                <w:rFonts w:hint="eastAsia"/>
              </w:rPr>
              <w:t>表1.1-5        扩建项目管控单元要求符合性</w:t>
            </w:r>
          </w:p>
          <w:tbl>
            <w:tblPr>
              <w:tblStyle w:val="88"/>
              <w:tblW w:w="121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134"/>
              <w:gridCol w:w="5707"/>
              <w:gridCol w:w="279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69" w:type="dxa"/>
                  <w:vAlign w:val="center"/>
                </w:tcPr>
                <w:p>
                  <w:pPr>
                    <w:pStyle w:val="4087"/>
                    <w:spacing w:before="24"/>
                  </w:pPr>
                  <w:r>
                    <w:t>管控要求层级</w:t>
                  </w:r>
                </w:p>
              </w:tc>
              <w:tc>
                <w:tcPr>
                  <w:tcW w:w="1134" w:type="dxa"/>
                  <w:vAlign w:val="center"/>
                </w:tcPr>
                <w:p>
                  <w:pPr>
                    <w:pStyle w:val="4087"/>
                    <w:spacing w:before="24"/>
                  </w:pPr>
                  <w:r>
                    <w:t>管控类型</w:t>
                  </w:r>
                </w:p>
              </w:tc>
              <w:tc>
                <w:tcPr>
                  <w:tcW w:w="5707" w:type="dxa"/>
                  <w:vAlign w:val="center"/>
                </w:tcPr>
                <w:p>
                  <w:pPr>
                    <w:pStyle w:val="4087"/>
                    <w:spacing w:before="24"/>
                  </w:pPr>
                  <w:r>
                    <w:t>管控要求</w:t>
                  </w:r>
                </w:p>
              </w:tc>
              <w:tc>
                <w:tcPr>
                  <w:tcW w:w="2798" w:type="dxa"/>
                  <w:vAlign w:val="center"/>
                </w:tcPr>
                <w:p>
                  <w:pPr>
                    <w:pStyle w:val="4087"/>
                    <w:spacing w:before="24"/>
                  </w:pPr>
                  <w:r>
                    <w:t>建设项目</w:t>
                  </w:r>
                  <w:r>
                    <w:rPr>
                      <w:rFonts w:hint="eastAsia"/>
                    </w:rPr>
                    <w:t>相关情况</w:t>
                  </w:r>
                </w:p>
              </w:tc>
              <w:tc>
                <w:tcPr>
                  <w:tcW w:w="1388" w:type="dxa"/>
                  <w:vAlign w:val="center"/>
                </w:tcPr>
                <w:p>
                  <w:pPr>
                    <w:pStyle w:val="4087"/>
                    <w:spacing w:before="24"/>
                  </w:pPr>
                  <w: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69" w:type="dxa"/>
                  <w:vMerge w:val="restart"/>
                  <w:vAlign w:val="center"/>
                </w:tcPr>
                <w:p>
                  <w:pPr>
                    <w:pStyle w:val="4087"/>
                    <w:spacing w:before="24"/>
                  </w:pPr>
                  <w:r>
                    <w:rPr>
                      <w:rFonts w:hint="eastAsia" w:cs="Times New Roman"/>
                    </w:rPr>
                    <w:t>铜梁区重点管控单元-淮远河众志桥</w:t>
                  </w:r>
                  <w:r>
                    <w:t>管控要求</w:t>
                  </w:r>
                </w:p>
              </w:tc>
              <w:tc>
                <w:tcPr>
                  <w:tcW w:w="1134" w:type="dxa"/>
                  <w:vAlign w:val="center"/>
                </w:tcPr>
                <w:p>
                  <w:pPr>
                    <w:pStyle w:val="4087"/>
                    <w:spacing w:before="24"/>
                  </w:pPr>
                  <w:r>
                    <w:t>空间布局约束</w:t>
                  </w:r>
                </w:p>
              </w:tc>
              <w:tc>
                <w:tcPr>
                  <w:tcW w:w="5707" w:type="dxa"/>
                  <w:vAlign w:val="center"/>
                </w:tcPr>
                <w:p>
                  <w:pPr>
                    <w:pStyle w:val="4087"/>
                    <w:spacing w:before="24"/>
                  </w:pPr>
                  <w:r>
                    <w:t>1</w:t>
                  </w:r>
                  <w:r>
                    <w:rPr>
                      <w:rFonts w:hint="eastAsia"/>
                    </w:rPr>
                    <w:t>.除在安全或产业布局等方面有特殊要求的项目外，新建有污染物排放的工业项目，应当进入工业园区/工业集聚区。</w:t>
                  </w:r>
                </w:p>
                <w:p>
                  <w:pPr>
                    <w:pStyle w:val="4087"/>
                    <w:spacing w:before="24"/>
                  </w:pPr>
                  <w:r>
                    <w:t>2</w:t>
                  </w:r>
                  <w:r>
                    <w:rPr>
                      <w:rFonts w:hint="eastAsia"/>
                    </w:rPr>
                    <w:t>.限制引入高耗水、高排水项目。</w:t>
                  </w:r>
                </w:p>
                <w:p>
                  <w:pPr>
                    <w:pStyle w:val="4087"/>
                    <w:spacing w:before="24"/>
                  </w:pPr>
                  <w:r>
                    <w:t>3</w:t>
                  </w:r>
                  <w:r>
                    <w:rPr>
                      <w:rFonts w:hint="eastAsia"/>
                    </w:rPr>
                    <w:t>.铜梁高新区的白土坝片区采取“腾笼换鸟”的方式，推动现有产业提档升级，发展</w:t>
                  </w:r>
                  <w:r>
                    <w:t>环境影响小、风险可控</w:t>
                  </w:r>
                  <w:r>
                    <w:rPr>
                      <w:rFonts w:hint="eastAsia"/>
                    </w:rPr>
                    <w:t>的产业。</w:t>
                  </w:r>
                </w:p>
              </w:tc>
              <w:tc>
                <w:tcPr>
                  <w:tcW w:w="2798" w:type="dxa"/>
                  <w:vAlign w:val="center"/>
                </w:tcPr>
                <w:p>
                  <w:pPr>
                    <w:pStyle w:val="4087"/>
                    <w:spacing w:before="24"/>
                  </w:pPr>
                  <w:r>
                    <w:rPr>
                      <w:rFonts w:hint="eastAsia"/>
                    </w:rPr>
                    <w:t>1、扩建项目位于工业园区；</w:t>
                  </w:r>
                </w:p>
                <w:p>
                  <w:pPr>
                    <w:pStyle w:val="4087"/>
                    <w:spacing w:before="24"/>
                  </w:pPr>
                  <w:r>
                    <w:rPr>
                      <w:rFonts w:hint="eastAsia"/>
                    </w:rPr>
                    <w:t>2、扩建项目不属于高耗水、高排水扩建项目。</w:t>
                  </w:r>
                </w:p>
              </w:tc>
              <w:tc>
                <w:tcPr>
                  <w:tcW w:w="1388" w:type="dxa"/>
                  <w:vAlign w:val="center"/>
                </w:tcPr>
                <w:p>
                  <w:pPr>
                    <w:pStyle w:val="4087"/>
                    <w:spacing w:before="24"/>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69" w:type="dxa"/>
                  <w:vMerge w:val="continue"/>
                  <w:vAlign w:val="center"/>
                </w:tcPr>
                <w:p>
                  <w:pPr>
                    <w:pStyle w:val="4087"/>
                    <w:spacing w:before="24"/>
                  </w:pPr>
                </w:p>
              </w:tc>
              <w:tc>
                <w:tcPr>
                  <w:tcW w:w="1134" w:type="dxa"/>
                  <w:vAlign w:val="center"/>
                </w:tcPr>
                <w:p>
                  <w:pPr>
                    <w:pStyle w:val="4087"/>
                    <w:spacing w:before="24"/>
                  </w:pPr>
                  <w:r>
                    <w:t>污染物排放管控</w:t>
                  </w:r>
                </w:p>
              </w:tc>
              <w:tc>
                <w:tcPr>
                  <w:tcW w:w="5707" w:type="dxa"/>
                  <w:vAlign w:val="center"/>
                </w:tcPr>
                <w:p>
                  <w:pPr>
                    <w:pStyle w:val="4087"/>
                    <w:spacing w:before="24"/>
                  </w:pPr>
                  <w:r>
                    <w:rPr>
                      <w:rFonts w:hint="eastAsia"/>
                    </w:rPr>
                    <w:t>1.城市建成区生活污水集中处理率达到95%；镇街生活污水集中处理率达到85%。</w:t>
                  </w:r>
                </w:p>
                <w:p>
                  <w:pPr>
                    <w:pStyle w:val="4087"/>
                    <w:spacing w:before="24"/>
                  </w:pPr>
                  <w:r>
                    <w:rPr>
                      <w:rFonts w:hint="eastAsia"/>
                    </w:rPr>
                    <w:t>2.城市生活污水处理厂全面达到一级A排放标准，生活污水处理厂污泥无害化处置率达到1</w:t>
                  </w:r>
                  <w:r>
                    <w:t>00</w:t>
                  </w:r>
                  <w:r>
                    <w:rPr>
                      <w:rFonts w:hint="eastAsia"/>
                    </w:rPr>
                    <w:t>%。</w:t>
                  </w:r>
                </w:p>
                <w:p>
                  <w:pPr>
                    <w:pStyle w:val="4087"/>
                    <w:spacing w:before="24"/>
                  </w:pPr>
                  <w:r>
                    <w:rPr>
                      <w:rFonts w:hint="eastAsia"/>
                    </w:rPr>
                    <w:t>3.大力推广清洁能源，禁止新建</w:t>
                  </w:r>
                  <w:r>
                    <w:t>2</w:t>
                  </w:r>
                  <w:r>
                    <w:rPr>
                      <w:rFonts w:hint="eastAsia"/>
                    </w:rPr>
                    <w:t>0蒸吨以下小燃煤锅炉。</w:t>
                  </w:r>
                </w:p>
                <w:p>
                  <w:pPr>
                    <w:pStyle w:val="4087"/>
                    <w:spacing w:before="24"/>
                  </w:pPr>
                  <w:r>
                    <w:rPr>
                      <w:rFonts w:hint="eastAsia"/>
                    </w:rPr>
                    <w:t>4.鼓励烧结砖瓦窑开展错峰生产。</w:t>
                  </w:r>
                </w:p>
                <w:p>
                  <w:pPr>
                    <w:pStyle w:val="4087"/>
                    <w:spacing w:before="24"/>
                  </w:pPr>
                  <w:r>
                    <w:t>5.</w:t>
                  </w:r>
                  <w:r>
                    <w:rPr>
                      <w:rFonts w:hint="eastAsia"/>
                    </w:rPr>
                    <w:t>持续推进企业大气污染防治，加强涉及挥发性有机物排放企业的VOCs的治理，新建涉及喷涂的建设项目鼓励使用环保涂料。</w:t>
                  </w:r>
                </w:p>
              </w:tc>
              <w:tc>
                <w:tcPr>
                  <w:tcW w:w="2798" w:type="dxa"/>
                  <w:vAlign w:val="center"/>
                </w:tcPr>
                <w:p>
                  <w:pPr>
                    <w:pStyle w:val="4087"/>
                    <w:spacing w:before="24"/>
                  </w:pPr>
                  <w:r>
                    <w:rPr>
                      <w:rFonts w:hint="eastAsia"/>
                    </w:rPr>
                    <w:t>扩建项目新增产能采用UV涂料、水性涂料进行涂装，均为低挥发性的涂料，并对原油性漆生产线实施水性漆部分替代及废气处理设施改造，涂装废气采用“湿式过滤</w:t>
                  </w:r>
                  <w:r>
                    <w:t>+干式过滤+活性炭吸附浓缩+解析（催化燃烧）</w:t>
                  </w:r>
                  <w:r>
                    <w:rPr>
                      <w:rFonts w:hint="eastAsia"/>
                    </w:rPr>
                    <w:t>”处理后经15m排气筒排放。</w:t>
                  </w:r>
                </w:p>
              </w:tc>
              <w:tc>
                <w:tcPr>
                  <w:tcW w:w="1388" w:type="dxa"/>
                  <w:vAlign w:val="center"/>
                </w:tcPr>
                <w:p>
                  <w:pPr>
                    <w:pStyle w:val="4087"/>
                    <w:spacing w:before="24"/>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69" w:type="dxa"/>
                  <w:vMerge w:val="continue"/>
                  <w:vAlign w:val="center"/>
                </w:tcPr>
                <w:p>
                  <w:pPr>
                    <w:pStyle w:val="4087"/>
                    <w:spacing w:before="24"/>
                  </w:pPr>
                </w:p>
              </w:tc>
              <w:tc>
                <w:tcPr>
                  <w:tcW w:w="1134" w:type="dxa"/>
                  <w:vAlign w:val="center"/>
                </w:tcPr>
                <w:p>
                  <w:pPr>
                    <w:pStyle w:val="4087"/>
                    <w:spacing w:before="24"/>
                  </w:pPr>
                  <w:r>
                    <w:t>环境风险防控</w:t>
                  </w:r>
                </w:p>
              </w:tc>
              <w:tc>
                <w:tcPr>
                  <w:tcW w:w="5707" w:type="dxa"/>
                  <w:vAlign w:val="center"/>
                </w:tcPr>
                <w:p>
                  <w:pPr>
                    <w:pStyle w:val="4087"/>
                    <w:spacing w:before="24"/>
                  </w:pPr>
                  <w:r>
                    <w:t>1</w:t>
                  </w:r>
                  <w:r>
                    <w:rPr>
                      <w:rFonts w:hint="eastAsia"/>
                    </w:rPr>
                    <w:t>.严格限制居住区周边布设企业类型，不宜引入存在重大环境风险的工业企业。</w:t>
                  </w:r>
                </w:p>
                <w:p>
                  <w:pPr>
                    <w:pStyle w:val="4087"/>
                    <w:spacing w:before="24"/>
                  </w:pPr>
                  <w:r>
                    <w:t>2</w:t>
                  </w:r>
                  <w:r>
                    <w:rPr>
                      <w:rFonts w:hint="eastAsia"/>
                    </w:rPr>
                    <w:t>.小企业基地应开展环境影响评价工作，并建立环境风险防控体系。</w:t>
                  </w:r>
                </w:p>
                <w:p>
                  <w:pPr>
                    <w:pStyle w:val="4087"/>
                    <w:spacing w:before="24"/>
                  </w:pPr>
                  <w:r>
                    <w:t>3</w:t>
                  </w:r>
                  <w:r>
                    <w:rPr>
                      <w:rFonts w:hint="eastAsia"/>
                    </w:rPr>
                    <w:t>.产生、利用或处置固体废物（含危险废物）的企业，在贮存、转移、利用、处置固体废物（含危险废物）过程中，应配套防扬散、防流失、防渗漏及其他防止污染环境的措施。</w:t>
                  </w:r>
                </w:p>
              </w:tc>
              <w:tc>
                <w:tcPr>
                  <w:tcW w:w="2798" w:type="dxa"/>
                  <w:vAlign w:val="center"/>
                </w:tcPr>
                <w:p>
                  <w:pPr>
                    <w:pStyle w:val="4087"/>
                    <w:spacing w:before="24"/>
                  </w:pPr>
                  <w:r>
                    <w:rPr>
                      <w:rFonts w:hint="eastAsia"/>
                    </w:rPr>
                    <w:t>1、扩建项目不属于重大环境风险项目；</w:t>
                  </w:r>
                </w:p>
                <w:p>
                  <w:pPr>
                    <w:pStyle w:val="4087"/>
                    <w:spacing w:before="24"/>
                  </w:pPr>
                  <w:r>
                    <w:rPr>
                      <w:rFonts w:hint="eastAsia"/>
                    </w:rPr>
                    <w:t>2、危废得到了妥善处置。</w:t>
                  </w:r>
                </w:p>
              </w:tc>
              <w:tc>
                <w:tcPr>
                  <w:tcW w:w="1388" w:type="dxa"/>
                  <w:vAlign w:val="center"/>
                </w:tcPr>
                <w:p>
                  <w:pPr>
                    <w:pStyle w:val="4087"/>
                    <w:spacing w:before="24"/>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69" w:type="dxa"/>
                  <w:vMerge w:val="continue"/>
                  <w:vAlign w:val="center"/>
                </w:tcPr>
                <w:p>
                  <w:pPr>
                    <w:pStyle w:val="4087"/>
                    <w:spacing w:before="24"/>
                  </w:pPr>
                </w:p>
              </w:tc>
              <w:tc>
                <w:tcPr>
                  <w:tcW w:w="1134" w:type="dxa"/>
                  <w:vAlign w:val="center"/>
                </w:tcPr>
                <w:p>
                  <w:pPr>
                    <w:pStyle w:val="4087"/>
                    <w:spacing w:before="24"/>
                  </w:pPr>
                  <w:r>
                    <w:t>资源开发利用效率</w:t>
                  </w:r>
                </w:p>
              </w:tc>
              <w:tc>
                <w:tcPr>
                  <w:tcW w:w="5707" w:type="dxa"/>
                  <w:vAlign w:val="center"/>
                </w:tcPr>
                <w:p>
                  <w:pPr>
                    <w:pStyle w:val="4087"/>
                    <w:spacing w:before="24"/>
                  </w:pPr>
                  <w:r>
                    <w:rPr>
                      <w:rFonts w:hint="eastAsia"/>
                    </w:rPr>
                    <w:t>1.在禁燃区内，禁止销售、燃用高污染燃料；禁止新建、扩建燃用高污染燃料的设施，已建成的，应当在城市人民政府规定的期限内改用天然气、页岩气、液化石油气、电或者其他清洁能源。</w:t>
                  </w:r>
                </w:p>
                <w:p>
                  <w:pPr>
                    <w:pStyle w:val="4087"/>
                    <w:spacing w:before="24"/>
                  </w:pPr>
                  <w:r>
                    <w:t>2</w:t>
                  </w:r>
                  <w:r>
                    <w:rPr>
                      <w:rFonts w:hint="eastAsia"/>
                    </w:rPr>
                    <w:t>.推行节水措施和中水回用提高水资源回用率。鼓励工业企业实施中水回用。</w:t>
                  </w:r>
                </w:p>
              </w:tc>
              <w:tc>
                <w:tcPr>
                  <w:tcW w:w="2798" w:type="dxa"/>
                  <w:vAlign w:val="center"/>
                </w:tcPr>
                <w:p>
                  <w:pPr>
                    <w:pStyle w:val="4087"/>
                    <w:spacing w:before="24"/>
                  </w:pPr>
                  <w:r>
                    <w:rPr>
                      <w:rFonts w:hint="eastAsia"/>
                    </w:rPr>
                    <w:t>1、扩建项目不涉及高污染燃料使用。</w:t>
                  </w:r>
                </w:p>
              </w:tc>
              <w:tc>
                <w:tcPr>
                  <w:tcW w:w="1388" w:type="dxa"/>
                  <w:vAlign w:val="center"/>
                </w:tcPr>
                <w:p>
                  <w:pPr>
                    <w:pStyle w:val="4087"/>
                    <w:spacing w:before="24"/>
                  </w:pPr>
                  <w:r>
                    <w:t>符合</w:t>
                  </w:r>
                </w:p>
              </w:tc>
            </w:tr>
          </w:tbl>
          <w:p>
            <w:pPr>
              <w:pStyle w:val="4086"/>
              <w:spacing w:before="24"/>
              <w:ind w:firstLine="480"/>
            </w:pPr>
            <w:r>
              <w:rPr>
                <w:rFonts w:hint="eastAsia"/>
              </w:rPr>
              <w:t>经查询重庆“三线一单”智检服务系统，与“生态环境准入清单”的符合性见表1.1-6。</w:t>
            </w:r>
          </w:p>
          <w:p>
            <w:pPr>
              <w:pStyle w:val="4087"/>
              <w:spacing w:before="24"/>
            </w:pPr>
            <w:r>
              <w:rPr>
                <w:rFonts w:hint="eastAsia"/>
              </w:rPr>
              <w:t>表1.1-6       与“生态环境准入清单”的符合性</w:t>
            </w:r>
          </w:p>
          <w:tbl>
            <w:tblPr>
              <w:tblStyle w:val="89"/>
              <w:tblW w:w="12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973"/>
              <w:gridCol w:w="1395"/>
              <w:gridCol w:w="890"/>
              <w:gridCol w:w="3629"/>
              <w:gridCol w:w="2977"/>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vAlign w:val="center"/>
                </w:tcPr>
                <w:p>
                  <w:pPr>
                    <w:pStyle w:val="4087"/>
                    <w:spacing w:before="24"/>
                  </w:pPr>
                  <w:r>
                    <w:rPr>
                      <w:rFonts w:hint="eastAsia"/>
                    </w:rPr>
                    <w:t>环境管控单元名称及编码</w:t>
                  </w:r>
                </w:p>
              </w:tc>
              <w:tc>
                <w:tcPr>
                  <w:tcW w:w="973" w:type="dxa"/>
                  <w:vAlign w:val="center"/>
                </w:tcPr>
                <w:p>
                  <w:pPr>
                    <w:pStyle w:val="4087"/>
                    <w:spacing w:before="24"/>
                  </w:pPr>
                  <w:r>
                    <w:rPr>
                      <w:rFonts w:hint="eastAsia"/>
                    </w:rPr>
                    <w:t>环境管控</w:t>
                  </w:r>
                </w:p>
                <w:p>
                  <w:pPr>
                    <w:pStyle w:val="4087"/>
                    <w:spacing w:before="24"/>
                  </w:pPr>
                  <w:r>
                    <w:rPr>
                      <w:rFonts w:hint="eastAsia"/>
                    </w:rPr>
                    <w:t>单元分类</w:t>
                  </w:r>
                </w:p>
              </w:tc>
              <w:tc>
                <w:tcPr>
                  <w:tcW w:w="1395" w:type="dxa"/>
                  <w:vAlign w:val="center"/>
                </w:tcPr>
                <w:p>
                  <w:pPr>
                    <w:pStyle w:val="4087"/>
                    <w:spacing w:before="24"/>
                  </w:pPr>
                  <w:r>
                    <w:rPr>
                      <w:rFonts w:hint="eastAsia"/>
                    </w:rPr>
                    <w:t>执行的市级总体管控要求</w:t>
                  </w:r>
                </w:p>
              </w:tc>
              <w:tc>
                <w:tcPr>
                  <w:tcW w:w="890" w:type="dxa"/>
                  <w:vAlign w:val="center"/>
                </w:tcPr>
                <w:p>
                  <w:pPr>
                    <w:pStyle w:val="4087"/>
                    <w:spacing w:before="24"/>
                  </w:pPr>
                  <w:r>
                    <w:rPr>
                      <w:rFonts w:hint="eastAsia"/>
                    </w:rPr>
                    <w:t>管控类别</w:t>
                  </w:r>
                </w:p>
              </w:tc>
              <w:tc>
                <w:tcPr>
                  <w:tcW w:w="3629" w:type="dxa"/>
                  <w:vAlign w:val="center"/>
                </w:tcPr>
                <w:p>
                  <w:pPr>
                    <w:pStyle w:val="4087"/>
                    <w:spacing w:before="24"/>
                  </w:pPr>
                  <w:r>
                    <w:rPr>
                      <w:rFonts w:hint="eastAsia"/>
                    </w:rPr>
                    <w:t>管控要求</w:t>
                  </w:r>
                </w:p>
              </w:tc>
              <w:tc>
                <w:tcPr>
                  <w:tcW w:w="2977" w:type="dxa"/>
                  <w:vAlign w:val="center"/>
                </w:tcPr>
                <w:p>
                  <w:pPr>
                    <w:pStyle w:val="4087"/>
                    <w:spacing w:before="24"/>
                  </w:pPr>
                  <w:r>
                    <w:rPr>
                      <w:rFonts w:hint="eastAsia"/>
                    </w:rPr>
                    <w:t>扩建项目</w:t>
                  </w:r>
                </w:p>
              </w:tc>
              <w:tc>
                <w:tcPr>
                  <w:tcW w:w="678" w:type="dxa"/>
                  <w:vAlign w:val="center"/>
                </w:tcPr>
                <w:p>
                  <w:pPr>
                    <w:pStyle w:val="4087"/>
                    <w:spacing w:before="24"/>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vMerge w:val="restart"/>
                  <w:vAlign w:val="center"/>
                </w:tcPr>
                <w:p>
                  <w:pPr>
                    <w:pStyle w:val="4087"/>
                    <w:spacing w:before="24"/>
                  </w:pPr>
                  <w:r>
                    <w:rPr>
                      <w:rFonts w:hint="eastAsia"/>
                    </w:rPr>
                    <w:t>铜梁区重点管控单元－淮远河众志桥ZH50015120002</w:t>
                  </w:r>
                </w:p>
              </w:tc>
              <w:tc>
                <w:tcPr>
                  <w:tcW w:w="973" w:type="dxa"/>
                  <w:vMerge w:val="restart"/>
                  <w:vAlign w:val="center"/>
                </w:tcPr>
                <w:p>
                  <w:pPr>
                    <w:pStyle w:val="4087"/>
                    <w:spacing w:before="24"/>
                  </w:pPr>
                  <w:r>
                    <w:rPr>
                      <w:rFonts w:hint="eastAsia"/>
                    </w:rPr>
                    <w:t>重点管控单元2</w:t>
                  </w:r>
                </w:p>
              </w:tc>
              <w:tc>
                <w:tcPr>
                  <w:tcW w:w="1395" w:type="dxa"/>
                  <w:vMerge w:val="restart"/>
                  <w:vAlign w:val="center"/>
                </w:tcPr>
                <w:p>
                  <w:pPr>
                    <w:pStyle w:val="4087"/>
                    <w:spacing w:before="24"/>
                  </w:pPr>
                  <w:r>
                    <w:rPr>
                      <w:rFonts w:hint="eastAsia"/>
                    </w:rPr>
                    <w:t>铜梁区总体管控要求，重点管控单元，近郊区（主城西）总体管控方向</w:t>
                  </w:r>
                </w:p>
              </w:tc>
              <w:tc>
                <w:tcPr>
                  <w:tcW w:w="890" w:type="dxa"/>
                  <w:vAlign w:val="center"/>
                </w:tcPr>
                <w:p>
                  <w:pPr>
                    <w:pStyle w:val="4087"/>
                    <w:spacing w:before="24"/>
                  </w:pPr>
                  <w:r>
                    <w:rPr>
                      <w:rFonts w:hint="eastAsia"/>
                    </w:rPr>
                    <w:t>空间布局约束</w:t>
                  </w:r>
                </w:p>
              </w:tc>
              <w:tc>
                <w:tcPr>
                  <w:tcW w:w="3629" w:type="dxa"/>
                  <w:vAlign w:val="center"/>
                </w:tcPr>
                <w:p>
                  <w:pPr>
                    <w:pStyle w:val="4087"/>
                    <w:spacing w:before="24"/>
                  </w:pPr>
                  <w:r>
                    <w:rPr>
                      <w:rFonts w:hint="eastAsia"/>
                    </w:rPr>
                    <w:t>除在安全或产业布局等方面有特殊要求的项目外，新建有污染物排放的工业项目，应当进入工业园区/工业集聚区。限制引入高耗水、高排水项目。铜梁高新区的白土坝片区采取“腾笼换鸟”的方式，推动现有产业提档升级，发展环境影响小、风险可控的产业。</w:t>
                  </w:r>
                </w:p>
              </w:tc>
              <w:tc>
                <w:tcPr>
                  <w:tcW w:w="2977" w:type="dxa"/>
                  <w:vAlign w:val="center"/>
                </w:tcPr>
                <w:p>
                  <w:pPr>
                    <w:pStyle w:val="4087"/>
                    <w:spacing w:before="24"/>
                  </w:pPr>
                  <w:r>
                    <w:rPr>
                      <w:rFonts w:hint="eastAsia"/>
                    </w:rPr>
                    <w:t>扩建项目位于已批准建设的铜梁高新区姜家岩片区，不属于高水耗高排水的扩建项目。同时扩建项目选址不属于白土坝片区。</w:t>
                  </w:r>
                </w:p>
              </w:tc>
              <w:tc>
                <w:tcPr>
                  <w:tcW w:w="67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vMerge w:val="continue"/>
                  <w:vAlign w:val="center"/>
                </w:tcPr>
                <w:p>
                  <w:pPr>
                    <w:pStyle w:val="4087"/>
                    <w:spacing w:before="24"/>
                  </w:pPr>
                </w:p>
              </w:tc>
              <w:tc>
                <w:tcPr>
                  <w:tcW w:w="973" w:type="dxa"/>
                  <w:vMerge w:val="continue"/>
                  <w:vAlign w:val="center"/>
                </w:tcPr>
                <w:p>
                  <w:pPr>
                    <w:pStyle w:val="4087"/>
                    <w:spacing w:before="24"/>
                  </w:pPr>
                </w:p>
              </w:tc>
              <w:tc>
                <w:tcPr>
                  <w:tcW w:w="1395" w:type="dxa"/>
                  <w:vMerge w:val="continue"/>
                  <w:vAlign w:val="center"/>
                </w:tcPr>
                <w:p>
                  <w:pPr>
                    <w:pStyle w:val="4087"/>
                    <w:spacing w:before="24"/>
                  </w:pPr>
                </w:p>
              </w:tc>
              <w:tc>
                <w:tcPr>
                  <w:tcW w:w="890" w:type="dxa"/>
                  <w:vAlign w:val="center"/>
                </w:tcPr>
                <w:p>
                  <w:pPr>
                    <w:pStyle w:val="4087"/>
                    <w:spacing w:before="24"/>
                  </w:pPr>
                  <w:r>
                    <w:rPr>
                      <w:rFonts w:hint="eastAsia"/>
                    </w:rPr>
                    <w:t>污染物排放管控</w:t>
                  </w:r>
                </w:p>
              </w:tc>
              <w:tc>
                <w:tcPr>
                  <w:tcW w:w="3629" w:type="dxa"/>
                  <w:vAlign w:val="center"/>
                </w:tcPr>
                <w:p>
                  <w:pPr>
                    <w:pStyle w:val="4087"/>
                    <w:spacing w:before="24"/>
                  </w:pPr>
                  <w:r>
                    <w:rPr>
                      <w:rFonts w:hint="eastAsia"/>
                    </w:rPr>
                    <w:t>城市建成区生活污水集中处理率达到95%；镇街生活污水集中处理率达到85%。城市生活污水处理厂全面达到一级A排放标准，生活污水处理厂污泥无害化处置率达到100%。大力推广清洁能源，禁止新建20蒸吨以下小燃煤锅炉。鼓励烧结砖瓦窑开展错峰生产。持续推进企业大气污染防治，加强涉及挥发性有机物排放企业的VOCs的治理，新建涉及喷涂的建设项目鼓励使用环保涂料。</w:t>
                  </w:r>
                </w:p>
              </w:tc>
              <w:tc>
                <w:tcPr>
                  <w:tcW w:w="2977" w:type="dxa"/>
                  <w:vAlign w:val="center"/>
                </w:tcPr>
                <w:p>
                  <w:pPr>
                    <w:pStyle w:val="4087"/>
                    <w:spacing w:before="24"/>
                  </w:pPr>
                  <w:r>
                    <w:rPr>
                      <w:rFonts w:hint="eastAsia"/>
                    </w:rPr>
                    <w:t>扩建项目排水利用厂区已建的废水站处理后排入东城污水处理厂进行处理达一级B标后排放，目前东城污水处理厂正准备实施提标改造工程。扩建项目新增产能采用UV涂料、水性涂料进行涂装，均为低VOCs挥发的涂料，并对原油性漆生产线实施水性漆部分替代及废气处理设施改造，涂装废气采用“湿式过滤</w:t>
                  </w:r>
                  <w:r>
                    <w:t>+干式过滤+活性炭吸附浓缩+解析（催化燃烧）</w:t>
                  </w:r>
                  <w:r>
                    <w:rPr>
                      <w:rFonts w:hint="eastAsia"/>
                    </w:rPr>
                    <w:t>”处理后经15m排气筒排放。</w:t>
                  </w:r>
                </w:p>
              </w:tc>
              <w:tc>
                <w:tcPr>
                  <w:tcW w:w="67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vMerge w:val="restart"/>
                  <w:vAlign w:val="center"/>
                </w:tcPr>
                <w:p>
                  <w:pPr>
                    <w:pStyle w:val="4087"/>
                    <w:spacing w:before="24"/>
                  </w:pPr>
                  <w:r>
                    <w:rPr>
                      <w:rFonts w:hint="eastAsia"/>
                    </w:rPr>
                    <w:t>铜梁区重点管控单元－淮远河众志桥ZH50015120002</w:t>
                  </w:r>
                </w:p>
              </w:tc>
              <w:tc>
                <w:tcPr>
                  <w:tcW w:w="973" w:type="dxa"/>
                  <w:vMerge w:val="restart"/>
                  <w:vAlign w:val="center"/>
                </w:tcPr>
                <w:p>
                  <w:pPr>
                    <w:pStyle w:val="4087"/>
                    <w:spacing w:before="24"/>
                  </w:pPr>
                  <w:r>
                    <w:rPr>
                      <w:rFonts w:hint="eastAsia"/>
                    </w:rPr>
                    <w:t>重点管控单元2</w:t>
                  </w:r>
                </w:p>
              </w:tc>
              <w:tc>
                <w:tcPr>
                  <w:tcW w:w="1395" w:type="dxa"/>
                  <w:vMerge w:val="restart"/>
                  <w:vAlign w:val="center"/>
                </w:tcPr>
                <w:p>
                  <w:pPr>
                    <w:pStyle w:val="4087"/>
                    <w:spacing w:before="24"/>
                  </w:pPr>
                  <w:r>
                    <w:rPr>
                      <w:rFonts w:hint="eastAsia"/>
                    </w:rPr>
                    <w:t>铜梁区总体管控要求，重点管控单元，近郊区（主城西）总体管控方向</w:t>
                  </w:r>
                </w:p>
              </w:tc>
              <w:tc>
                <w:tcPr>
                  <w:tcW w:w="890" w:type="dxa"/>
                  <w:vAlign w:val="center"/>
                </w:tcPr>
                <w:p>
                  <w:pPr>
                    <w:pStyle w:val="4087"/>
                    <w:spacing w:before="24"/>
                  </w:pPr>
                  <w:r>
                    <w:rPr>
                      <w:rFonts w:hint="eastAsia"/>
                    </w:rPr>
                    <w:t>环境风险防控</w:t>
                  </w:r>
                </w:p>
              </w:tc>
              <w:tc>
                <w:tcPr>
                  <w:tcW w:w="3629" w:type="dxa"/>
                  <w:vAlign w:val="center"/>
                </w:tcPr>
                <w:p>
                  <w:pPr>
                    <w:pStyle w:val="4087"/>
                    <w:spacing w:before="24"/>
                  </w:pPr>
                  <w:r>
                    <w:rPr>
                      <w:rFonts w:hint="eastAsia"/>
                    </w:rPr>
                    <w:t>严格限制居住区周边布设企业类型，不宜引入存在重大环境风险的工业企业。小企业基地应开展环境影响评价工作，并建立环境风险防控体系。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2977" w:type="dxa"/>
                  <w:vAlign w:val="center"/>
                </w:tcPr>
                <w:p>
                  <w:pPr>
                    <w:pStyle w:val="4087"/>
                    <w:spacing w:before="24"/>
                  </w:pPr>
                  <w:r>
                    <w:rPr>
                      <w:rFonts w:hint="eastAsia"/>
                    </w:rPr>
                    <w:t>扩建项目不存在重大环境风险，目前正在开展环境影响评价工作，通过落实完善环评提出的措施，扩建项目营运期固体废物将得到有效处置。</w:t>
                  </w:r>
                </w:p>
              </w:tc>
              <w:tc>
                <w:tcPr>
                  <w:tcW w:w="678" w:type="dxa"/>
                  <w:vAlign w:val="center"/>
                </w:tcPr>
                <w:p>
                  <w:pPr>
                    <w:pStyle w:val="4087"/>
                    <w:spacing w:before="2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vMerge w:val="continue"/>
                  <w:vAlign w:val="center"/>
                </w:tcPr>
                <w:p>
                  <w:pPr>
                    <w:pStyle w:val="4087"/>
                    <w:spacing w:before="24"/>
                  </w:pPr>
                </w:p>
              </w:tc>
              <w:tc>
                <w:tcPr>
                  <w:tcW w:w="973" w:type="dxa"/>
                  <w:vMerge w:val="continue"/>
                  <w:vAlign w:val="center"/>
                </w:tcPr>
                <w:p>
                  <w:pPr>
                    <w:pStyle w:val="4087"/>
                    <w:spacing w:before="24"/>
                  </w:pPr>
                </w:p>
              </w:tc>
              <w:tc>
                <w:tcPr>
                  <w:tcW w:w="1395" w:type="dxa"/>
                  <w:vMerge w:val="continue"/>
                  <w:vAlign w:val="center"/>
                </w:tcPr>
                <w:p>
                  <w:pPr>
                    <w:pStyle w:val="4087"/>
                    <w:spacing w:before="24"/>
                  </w:pPr>
                </w:p>
              </w:tc>
              <w:tc>
                <w:tcPr>
                  <w:tcW w:w="890" w:type="dxa"/>
                  <w:vAlign w:val="center"/>
                </w:tcPr>
                <w:p>
                  <w:pPr>
                    <w:pStyle w:val="4087"/>
                    <w:spacing w:before="24"/>
                  </w:pPr>
                  <w:r>
                    <w:rPr>
                      <w:rFonts w:hint="eastAsia"/>
                    </w:rPr>
                    <w:t>资源开发效率要求</w:t>
                  </w:r>
                </w:p>
              </w:tc>
              <w:tc>
                <w:tcPr>
                  <w:tcW w:w="3629" w:type="dxa"/>
                  <w:vAlign w:val="center"/>
                </w:tcPr>
                <w:p>
                  <w:pPr>
                    <w:pStyle w:val="4087"/>
                    <w:spacing w:before="24"/>
                  </w:pPr>
                  <w:r>
                    <w:rPr>
                      <w:rFonts w:hint="eastAsia"/>
                    </w:rPr>
                    <w:t>在禁燃区内，禁止销售、燃用高污染燃料；禁止新建、扩建燃用高污染燃料的设施，已建成的，应当在城市人民政府规定的期限内改用天然气、页岩气、液化石油气、电或者其他清洁能源。推行节水措施和中水回用提高水资源回用率。鼓励工业企业实施中水回用。</w:t>
                  </w:r>
                </w:p>
              </w:tc>
              <w:tc>
                <w:tcPr>
                  <w:tcW w:w="2977" w:type="dxa"/>
                  <w:vAlign w:val="center"/>
                </w:tcPr>
                <w:p>
                  <w:pPr>
                    <w:pStyle w:val="4087"/>
                    <w:spacing w:before="24"/>
                  </w:pPr>
                  <w:r>
                    <w:rPr>
                      <w:rFonts w:hint="eastAsia"/>
                    </w:rPr>
                    <w:t>扩建项目使用了先进生产设备，均为低能耗设备。扩建项目使用电作为能源，属于清洁能源。扩建项目营运期用排水量较小，企业喷淋废水循环使用。</w:t>
                  </w:r>
                </w:p>
              </w:tc>
              <w:tc>
                <w:tcPr>
                  <w:tcW w:w="678" w:type="dxa"/>
                  <w:vAlign w:val="center"/>
                </w:tcPr>
                <w:p>
                  <w:pPr>
                    <w:pStyle w:val="4087"/>
                    <w:spacing w:before="24"/>
                  </w:pPr>
                  <w:r>
                    <w:rPr>
                      <w:rFonts w:hint="eastAsia"/>
                    </w:rPr>
                    <w:t>符合</w:t>
                  </w:r>
                </w:p>
              </w:tc>
            </w:tr>
          </w:tbl>
          <w:p>
            <w:pPr>
              <w:pStyle w:val="160"/>
              <w:ind w:firstLine="480"/>
              <w:rPr>
                <w:rFonts w:cs="Times New Roman"/>
              </w:rPr>
            </w:pPr>
            <w:r>
              <w:rPr>
                <w:rFonts w:hint="eastAsia"/>
              </w:rPr>
              <w:t>根据前述分析可知，扩建项目的建设符合铜梁区三线一单管控要求。</w:t>
            </w:r>
          </w:p>
        </w:tc>
      </w:tr>
    </w:tbl>
    <w:p>
      <w:pPr>
        <w:sectPr>
          <w:pgSz w:w="16838" w:h="11906" w:orient="landscape"/>
          <w:pgMar w:top="1531" w:right="1701" w:bottom="1531" w:left="1701" w:header="851" w:footer="851" w:gutter="0"/>
          <w:cols w:space="720" w:num="1"/>
          <w:docGrid w:linePitch="312" w:charSpace="0"/>
        </w:sectPr>
      </w:pPr>
    </w:p>
    <w:tbl>
      <w:tblPr>
        <w:tblStyle w:val="88"/>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5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0" w:hRule="atLeast"/>
        </w:trPr>
        <w:tc>
          <w:tcPr>
            <w:tcW w:w="554" w:type="dxa"/>
            <w:vAlign w:val="center"/>
          </w:tcPr>
          <w:p>
            <w:pPr>
              <w:autoSpaceDE w:val="0"/>
              <w:autoSpaceDN w:val="0"/>
              <w:jc w:val="center"/>
              <w:rPr>
                <w:rFonts w:ascii="Times New Roman" w:hAnsi="Times New Roman" w:eastAsia="宋体" w:cs="Times New Roman"/>
                <w:kern w:val="0"/>
                <w:sz w:val="24"/>
              </w:rPr>
            </w:pPr>
            <w:r>
              <w:rPr>
                <w:rFonts w:ascii="Times New Roman" w:hAnsi="Times New Roman" w:eastAsia="宋体" w:cs="Times New Roman"/>
                <w:kern w:val="0"/>
                <w:sz w:val="24"/>
              </w:rPr>
              <w:t>其他符合性分析</w:t>
            </w:r>
          </w:p>
        </w:tc>
        <w:tc>
          <w:tcPr>
            <w:tcW w:w="8506" w:type="dxa"/>
            <w:vAlign w:val="center"/>
          </w:tcPr>
          <w:p>
            <w:pPr>
              <w:pStyle w:val="4"/>
            </w:pPr>
            <w:r>
              <w:rPr>
                <w:rFonts w:hint="eastAsia"/>
              </w:rPr>
              <w:t>1.1.5  国家</w:t>
            </w:r>
            <w:r>
              <w:t>产业政策符合性分析</w:t>
            </w:r>
          </w:p>
          <w:p>
            <w:pPr>
              <w:pStyle w:val="160"/>
              <w:ind w:firstLine="480"/>
              <w:rPr>
                <w:rFonts w:cs="Times New Roman"/>
              </w:rPr>
            </w:pPr>
            <w:r>
              <w:rPr>
                <w:rFonts w:hint="eastAsia" w:cs="Times New Roman"/>
              </w:rPr>
              <w:t>扩建项目于</w:t>
            </w:r>
            <w:r>
              <w:rPr>
                <w:rFonts w:cs="Times New Roman"/>
              </w:rPr>
              <w:t>202</w:t>
            </w:r>
            <w:r>
              <w:rPr>
                <w:rFonts w:hint="eastAsia" w:cs="Times New Roman"/>
              </w:rPr>
              <w:t>2</w:t>
            </w:r>
            <w:r>
              <w:rPr>
                <w:rFonts w:cs="Times New Roman"/>
              </w:rPr>
              <w:t>年</w:t>
            </w:r>
            <w:r>
              <w:rPr>
                <w:rFonts w:hint="eastAsia" w:cs="Times New Roman"/>
              </w:rPr>
              <w:t>4</w:t>
            </w:r>
            <w:r>
              <w:rPr>
                <w:rFonts w:cs="Times New Roman"/>
              </w:rPr>
              <w:t>月</w:t>
            </w:r>
            <w:r>
              <w:rPr>
                <w:rFonts w:hint="eastAsia" w:cs="Times New Roman"/>
              </w:rPr>
              <w:t>26</w:t>
            </w:r>
            <w:r>
              <w:rPr>
                <w:rFonts w:cs="Times New Roman"/>
              </w:rPr>
              <w:t>日在重庆市铜梁区发展和改革委员会工业园区委员会取得《重庆市企业投资项目备案证》（2112-500151-04-01-504925），扩建项目属于</w:t>
            </w:r>
            <w:r>
              <w:rPr>
                <w:rFonts w:hint="eastAsia" w:cs="Times New Roman"/>
              </w:rPr>
              <w:t>“</w:t>
            </w:r>
            <w:r>
              <w:rPr>
                <w:rFonts w:cs="Times New Roman"/>
              </w:rPr>
              <w:t>制造业</w:t>
            </w:r>
            <w:r>
              <w:rPr>
                <w:rFonts w:hint="eastAsia" w:cs="Times New Roman"/>
              </w:rPr>
              <w:t>”</w:t>
            </w:r>
            <w:r>
              <w:rPr>
                <w:rFonts w:cs="Times New Roman"/>
              </w:rPr>
              <w:t>中的</w:t>
            </w:r>
            <w:r>
              <w:rPr>
                <w:rFonts w:hint="eastAsia" w:cs="Times New Roman"/>
              </w:rPr>
              <w:t>“</w:t>
            </w:r>
            <w:r>
              <w:rPr>
                <w:rFonts w:cs="Times New Roman"/>
              </w:rPr>
              <w:t>C2110木质家具制造</w:t>
            </w:r>
            <w:r>
              <w:rPr>
                <w:rFonts w:hint="eastAsia" w:cs="Times New Roman"/>
              </w:rPr>
              <w:t>”</w:t>
            </w:r>
            <w:r>
              <w:rPr>
                <w:rFonts w:cs="Times New Roman"/>
              </w:rPr>
              <w:t>。</w:t>
            </w:r>
          </w:p>
          <w:p>
            <w:pPr>
              <w:pStyle w:val="160"/>
              <w:ind w:firstLine="480"/>
              <w:rPr>
                <w:rFonts w:cs="Times New Roman"/>
              </w:rPr>
            </w:pPr>
            <w:r>
              <w:rPr>
                <w:rFonts w:hint="eastAsia" w:cs="Times New Roman"/>
              </w:rPr>
              <w:t>根据《产业结构调整指导目录（</w:t>
            </w:r>
            <w:r>
              <w:rPr>
                <w:rFonts w:cs="Times New Roman"/>
              </w:rPr>
              <w:t>2019 年本）</w:t>
            </w:r>
            <w:r>
              <w:rPr>
                <w:rFonts w:hint="eastAsia" w:cs="Times New Roman"/>
              </w:rPr>
              <w:t>（2021年修正）</w:t>
            </w:r>
            <w:r>
              <w:rPr>
                <w:rFonts w:cs="Times New Roman"/>
              </w:rPr>
              <w:t>》可知，对照《产业结构调整指导目录（2019 年本）（2021年修正）》，扩建项目不属于该目录中限制和淘汰类，属于允许建设项目。项目采用的工艺设备不属于</w:t>
            </w:r>
            <w:r>
              <w:rPr>
                <w:rFonts w:hint="eastAsia" w:cs="Times New Roman"/>
              </w:rPr>
              <w:t>《淘汰落后生产能力工艺和产品的目录》（第一、二、三批）及《部分工业行业淘汰落后生产工艺装备和产品指导目录（</w:t>
            </w:r>
            <w:r>
              <w:rPr>
                <w:rFonts w:cs="Times New Roman"/>
              </w:rPr>
              <w:t>2010年本）》（工产业〔2010〕第122号）中淘汰范畴。扩建项目符合国家产业政策。</w:t>
            </w:r>
          </w:p>
          <w:p>
            <w:pPr>
              <w:pStyle w:val="160"/>
              <w:ind w:firstLine="480"/>
              <w:rPr>
                <w:rFonts w:cs="Times New Roman"/>
              </w:rPr>
            </w:pPr>
            <w:r>
              <w:rPr>
                <w:rFonts w:hint="eastAsia" w:cs="Times New Roman"/>
              </w:rPr>
              <w:t>扩建项目不属于《市场准入负面清单（</w:t>
            </w:r>
            <w:r>
              <w:rPr>
                <w:rFonts w:cs="Times New Roman"/>
              </w:rPr>
              <w:t>2020年版）》（发改体改规〔2020〕1880号）中禁止准入事项。</w:t>
            </w:r>
          </w:p>
          <w:p>
            <w:pPr>
              <w:pStyle w:val="4"/>
            </w:pPr>
            <w:r>
              <w:rPr>
                <w:rFonts w:hint="eastAsia"/>
              </w:rPr>
              <w:t>1.1.6</w:t>
            </w:r>
            <w:r>
              <w:t>用地规划符合性分析</w:t>
            </w:r>
          </w:p>
          <w:p>
            <w:pPr>
              <w:pStyle w:val="160"/>
              <w:ind w:firstLine="480"/>
            </w:pPr>
            <w:r>
              <w:t>扩建项目</w:t>
            </w:r>
            <w:r>
              <w:rPr>
                <w:rFonts w:hint="eastAsia"/>
              </w:rPr>
              <w:t>位于重庆市铜梁区工业园区姜家岩工业小区</w:t>
            </w:r>
            <w:r>
              <w:t>，扩建项目用地属于</w:t>
            </w:r>
            <w:r>
              <w:rPr>
                <w:rFonts w:hint="eastAsia"/>
              </w:rPr>
              <w:t>工业</w:t>
            </w:r>
            <w:r>
              <w:t>用地，扩建项目建设符合用地规划。</w:t>
            </w:r>
          </w:p>
          <w:p>
            <w:pPr>
              <w:pStyle w:val="4"/>
            </w:pPr>
            <w:r>
              <w:rPr>
                <w:rFonts w:hint="eastAsia"/>
              </w:rPr>
              <w:t>1.1.7环境准入符合性分析</w:t>
            </w:r>
          </w:p>
          <w:p>
            <w:pPr>
              <w:pStyle w:val="5"/>
              <w:tabs>
                <w:tab w:val="left" w:pos="0"/>
                <w:tab w:val="left" w:pos="91"/>
                <w:tab w:val="left" w:pos="132"/>
                <w:tab w:val="left" w:pos="377"/>
                <w:tab w:val="left" w:pos="479"/>
                <w:tab w:val="left" w:pos="561"/>
                <w:tab w:val="left" w:pos="582"/>
                <w:tab w:val="left" w:pos="643"/>
              </w:tabs>
              <w:rPr>
                <w:rFonts w:cs="Times New Roman"/>
              </w:rPr>
            </w:pPr>
            <w:r>
              <w:rPr>
                <w:rFonts w:hint="eastAsia" w:cs="Times New Roman"/>
              </w:rPr>
              <w:t>1.1.7.1</w:t>
            </w:r>
            <w:r>
              <w:rPr>
                <w:rFonts w:cs="Times New Roman"/>
              </w:rPr>
              <w:t>与《重庆市</w:t>
            </w:r>
            <w:r>
              <w:rPr>
                <w:rFonts w:hint="eastAsia" w:cs="Times New Roman"/>
              </w:rPr>
              <w:t>“</w:t>
            </w:r>
            <w:r>
              <w:rPr>
                <w:rFonts w:cs="Times New Roman"/>
              </w:rPr>
              <w:t>十三五”挥发性有机物大气污染防治工作实施方案》（</w:t>
            </w:r>
            <w:r>
              <w:rPr>
                <w:rFonts w:hint="eastAsia" w:cs="Times New Roman"/>
              </w:rPr>
              <w:t>渝</w:t>
            </w:r>
            <w:r>
              <w:rPr>
                <w:rFonts w:cs="Times New Roman"/>
              </w:rPr>
              <w:t>环[2017]252号）的符合性分析</w:t>
            </w:r>
          </w:p>
          <w:p>
            <w:pPr>
              <w:pStyle w:val="160"/>
              <w:ind w:firstLine="480"/>
            </w:pPr>
            <w:r>
              <w:t>扩建项目与</w:t>
            </w:r>
            <w:r>
              <w:rPr>
                <w:rFonts w:hint="eastAsia"/>
              </w:rPr>
              <w:t>《重庆市“十三五”挥发性有机物大气污染防治工作实施方案》（渝环</w:t>
            </w:r>
            <w:r>
              <w:t>[2017]252号）的符合性分析见</w:t>
            </w:r>
            <w:r>
              <w:fldChar w:fldCharType="begin"/>
            </w:r>
            <w:r>
              <w:instrText xml:space="preserve"> REF _Ref83826965 \h </w:instrText>
            </w:r>
            <w:r>
              <w:fldChar w:fldCharType="separate"/>
            </w:r>
            <w:r>
              <w:t>表1.</w:t>
            </w:r>
            <w:r>
              <w:rPr>
                <w:rFonts w:hint="eastAsia"/>
              </w:rPr>
              <w:t>1-8</w:t>
            </w:r>
            <w:r>
              <w:fldChar w:fldCharType="end"/>
            </w:r>
            <w:r>
              <w:t>。</w:t>
            </w:r>
          </w:p>
          <w:p>
            <w:pPr>
              <w:pStyle w:val="164"/>
            </w:pPr>
            <w:bookmarkStart w:id="2" w:name="_Ref83826965"/>
            <w:r>
              <w:t>表</w:t>
            </w:r>
            <w:bookmarkEnd w:id="2"/>
            <w:r>
              <w:rPr>
                <w:rFonts w:hint="eastAsia"/>
              </w:rPr>
              <w:t>1.1-8   与《重庆市“十三五”挥发性有机物大气污染防治工作实施方案》（渝环</w:t>
            </w:r>
            <w:r>
              <w:t>[2017]252号）的符合性分析</w:t>
            </w:r>
          </w:p>
          <w:tbl>
            <w:tblPr>
              <w:tblStyle w:val="162"/>
              <w:tblW w:w="828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0"/>
              <w:gridCol w:w="3953"/>
              <w:gridCol w:w="2973"/>
              <w:gridCol w:w="9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168" w:hRule="atLeast"/>
                <w:jc w:val="center"/>
              </w:trPr>
              <w:tc>
                <w:tcPr>
                  <w:tcW w:w="450" w:type="dxa"/>
                  <w:shd w:val="clear" w:color="auto" w:fill="auto"/>
                  <w:vAlign w:val="center"/>
                </w:tcPr>
                <w:p>
                  <w:pPr>
                    <w:pStyle w:val="164"/>
                    <w:rPr>
                      <w:b w:val="0"/>
                      <w:bCs/>
                    </w:rPr>
                  </w:pPr>
                  <w:r>
                    <w:rPr>
                      <w:rFonts w:hint="eastAsia"/>
                      <w:b/>
                      <w:bCs/>
                    </w:rPr>
                    <w:t>序号</w:t>
                  </w:r>
                </w:p>
              </w:tc>
              <w:tc>
                <w:tcPr>
                  <w:tcW w:w="3953" w:type="dxa"/>
                  <w:shd w:val="clear" w:color="auto" w:fill="auto"/>
                  <w:vAlign w:val="center"/>
                </w:tcPr>
                <w:p>
                  <w:pPr>
                    <w:pStyle w:val="164"/>
                    <w:rPr>
                      <w:b w:val="0"/>
                      <w:bCs/>
                    </w:rPr>
                  </w:pPr>
                  <w:r>
                    <w:rPr>
                      <w:b/>
                      <w:bCs/>
                    </w:rPr>
                    <w:t>与项目相关的要求</w:t>
                  </w:r>
                </w:p>
              </w:tc>
              <w:tc>
                <w:tcPr>
                  <w:tcW w:w="2973" w:type="dxa"/>
                  <w:shd w:val="clear" w:color="auto" w:fill="auto"/>
                  <w:vAlign w:val="center"/>
                </w:tcPr>
                <w:p>
                  <w:pPr>
                    <w:pStyle w:val="164"/>
                    <w:rPr>
                      <w:b w:val="0"/>
                      <w:bCs/>
                    </w:rPr>
                  </w:pPr>
                  <w:r>
                    <w:rPr>
                      <w:b/>
                      <w:bCs/>
                      <w:lang w:val="en-US"/>
                    </w:rPr>
                    <w:t>扩建项目</w:t>
                  </w:r>
                  <w:r>
                    <w:rPr>
                      <w:b/>
                      <w:bCs/>
                    </w:rPr>
                    <w:t>情况</w:t>
                  </w:r>
                </w:p>
              </w:tc>
              <w:tc>
                <w:tcPr>
                  <w:tcW w:w="904" w:type="dxa"/>
                  <w:shd w:val="clear" w:color="auto" w:fill="auto"/>
                  <w:vAlign w:val="center"/>
                </w:tcPr>
                <w:p>
                  <w:pPr>
                    <w:pStyle w:val="164"/>
                    <w:rPr>
                      <w:b w:val="0"/>
                      <w:bCs/>
                    </w:rPr>
                  </w:pPr>
                  <w:r>
                    <w:rPr>
                      <w:b/>
                      <w:bCs/>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8" w:hRule="atLeast"/>
                <w:jc w:val="center"/>
              </w:trPr>
              <w:tc>
                <w:tcPr>
                  <w:tcW w:w="450" w:type="dxa"/>
                  <w:shd w:val="clear" w:color="auto" w:fill="auto"/>
                  <w:vAlign w:val="center"/>
                </w:tcPr>
                <w:p>
                  <w:pPr>
                    <w:pStyle w:val="164"/>
                  </w:pPr>
                  <w:r>
                    <w:rPr>
                      <w:rFonts w:hint="eastAsia"/>
                    </w:rPr>
                    <w:t>1</w:t>
                  </w:r>
                </w:p>
              </w:tc>
              <w:tc>
                <w:tcPr>
                  <w:tcW w:w="3953" w:type="dxa"/>
                  <w:shd w:val="clear" w:color="auto" w:fill="auto"/>
                  <w:vAlign w:val="center"/>
                </w:tcPr>
                <w:p>
                  <w:pPr>
                    <w:pStyle w:val="164"/>
                    <w:jc w:val="left"/>
                  </w:pPr>
                  <w:r>
                    <w:t>新建、改建、扩建涉VOCs排放的项目，要加强源头控制，使用低（无）VOCs含量的原辅料，加强废气收集，安装高效治理设施</w:t>
                  </w:r>
                </w:p>
              </w:tc>
              <w:tc>
                <w:tcPr>
                  <w:tcW w:w="2973" w:type="dxa"/>
                  <w:shd w:val="clear" w:color="auto" w:fill="auto"/>
                  <w:vAlign w:val="center"/>
                </w:tcPr>
                <w:p>
                  <w:pPr>
                    <w:pStyle w:val="164"/>
                    <w:jc w:val="left"/>
                  </w:pPr>
                  <w:r>
                    <w:rPr>
                      <w:lang w:val="en-US"/>
                    </w:rPr>
                    <w:t>扩建项目</w:t>
                  </w:r>
                  <w:r>
                    <w:rPr>
                      <w:rFonts w:hint="eastAsia"/>
                      <w:color w:val="auto"/>
                    </w:rPr>
                    <w:t>水性漆及UV漆符合《低挥发性有机化合物含量涂料产品技术要求》（</w:t>
                  </w:r>
                  <w:r>
                    <w:rPr>
                      <w:color w:val="auto"/>
                    </w:rPr>
                    <w:t>GB/T 38597</w:t>
                  </w:r>
                  <w:r>
                    <w:rPr>
                      <w:rFonts w:hint="eastAsia"/>
                      <w:color w:val="auto"/>
                    </w:rPr>
                    <w:t>-</w:t>
                  </w:r>
                  <w:r>
                    <w:rPr>
                      <w:color w:val="auto"/>
                    </w:rPr>
                    <w:t>2020</w:t>
                  </w:r>
                  <w:r>
                    <w:rPr>
                      <w:rFonts w:hint="eastAsia"/>
                      <w:color w:val="auto"/>
                    </w:rPr>
                    <w:t>）及《木器涂料中有害物质限量》（</w:t>
                  </w:r>
                  <w:r>
                    <w:rPr>
                      <w:color w:val="auto"/>
                    </w:rPr>
                    <w:t>GB 18581-2020）要求</w:t>
                  </w:r>
                  <w:r>
                    <w:rPr>
                      <w:rFonts w:hint="eastAsia"/>
                      <w:color w:val="auto"/>
                    </w:rPr>
                    <w:t>，同时</w:t>
                  </w:r>
                  <w:r>
                    <w:rPr>
                      <w:rFonts w:hint="eastAsia"/>
                    </w:rPr>
                    <w:t>并且</w:t>
                  </w:r>
                  <w:r>
                    <w:t>加强了废气收集，安装了高效治理设施</w:t>
                  </w:r>
                </w:p>
              </w:tc>
              <w:tc>
                <w:tcPr>
                  <w:tcW w:w="904" w:type="dxa"/>
                  <w:shd w:val="clear" w:color="auto" w:fill="auto"/>
                  <w:vAlign w:val="center"/>
                </w:tcPr>
                <w:p>
                  <w:pPr>
                    <w:pStyle w:val="164"/>
                  </w:pPr>
                  <w: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8" w:hRule="atLeast"/>
                <w:jc w:val="center"/>
              </w:trPr>
              <w:tc>
                <w:tcPr>
                  <w:tcW w:w="450" w:type="dxa"/>
                  <w:shd w:val="clear" w:color="auto" w:fill="auto"/>
                  <w:vAlign w:val="center"/>
                </w:tcPr>
                <w:p>
                  <w:pPr>
                    <w:pStyle w:val="164"/>
                  </w:pPr>
                  <w:r>
                    <w:rPr>
                      <w:rFonts w:hint="eastAsia"/>
                    </w:rPr>
                    <w:t>2</w:t>
                  </w:r>
                </w:p>
              </w:tc>
              <w:tc>
                <w:tcPr>
                  <w:tcW w:w="3953" w:type="dxa"/>
                  <w:shd w:val="clear" w:color="auto" w:fill="auto"/>
                  <w:vAlign w:val="center"/>
                </w:tcPr>
                <w:p>
                  <w:pPr>
                    <w:pStyle w:val="164"/>
                    <w:jc w:val="left"/>
                  </w:pPr>
                  <w:r>
                    <w:t>新建涉VOCs排放的工业企业要入园区</w:t>
                  </w:r>
                </w:p>
              </w:tc>
              <w:tc>
                <w:tcPr>
                  <w:tcW w:w="2973" w:type="dxa"/>
                  <w:shd w:val="clear" w:color="auto" w:fill="auto"/>
                  <w:vAlign w:val="center"/>
                </w:tcPr>
                <w:p>
                  <w:pPr>
                    <w:pStyle w:val="164"/>
                    <w:jc w:val="left"/>
                  </w:pPr>
                  <w:r>
                    <w:rPr>
                      <w:lang w:val="en-US"/>
                    </w:rPr>
                    <w:t>扩建项目</w:t>
                  </w:r>
                  <w:r>
                    <w:t>位于</w:t>
                  </w:r>
                  <w:r>
                    <w:rPr>
                      <w:rFonts w:hint="eastAsia"/>
                    </w:rPr>
                    <w:t>铜梁工业园姜家岩片区</w:t>
                  </w:r>
                  <w:r>
                    <w:t>内</w:t>
                  </w:r>
                </w:p>
              </w:tc>
              <w:tc>
                <w:tcPr>
                  <w:tcW w:w="904" w:type="dxa"/>
                  <w:shd w:val="clear" w:color="auto" w:fill="auto"/>
                  <w:vAlign w:val="center"/>
                </w:tcPr>
                <w:p>
                  <w:pPr>
                    <w:pStyle w:val="164"/>
                  </w:pPr>
                  <w: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8" w:hRule="atLeast"/>
                <w:jc w:val="center"/>
              </w:trPr>
              <w:tc>
                <w:tcPr>
                  <w:tcW w:w="450" w:type="dxa"/>
                  <w:shd w:val="clear" w:color="auto" w:fill="auto"/>
                  <w:vAlign w:val="center"/>
                </w:tcPr>
                <w:p>
                  <w:pPr>
                    <w:pStyle w:val="164"/>
                  </w:pPr>
                  <w:r>
                    <w:rPr>
                      <w:rFonts w:hint="eastAsia"/>
                    </w:rPr>
                    <w:t>3</w:t>
                  </w:r>
                </w:p>
              </w:tc>
              <w:tc>
                <w:tcPr>
                  <w:tcW w:w="3953" w:type="dxa"/>
                  <w:shd w:val="clear" w:color="auto" w:fill="auto"/>
                  <w:vAlign w:val="center"/>
                </w:tcPr>
                <w:p>
                  <w:pPr>
                    <w:pStyle w:val="164"/>
                    <w:jc w:val="left"/>
                  </w:pPr>
                  <w:r>
                    <w:t>鼓励推广使用高固体分、粉末涂料和水性涂料。积极采用自动喷涂、静电喷涂等先进涂装技术，加强有机废气收集与治理，有机废气收集率不低于90%，建设吸附燃烧等高效治理设施，实现达标排放</w:t>
                  </w:r>
                </w:p>
              </w:tc>
              <w:tc>
                <w:tcPr>
                  <w:tcW w:w="2973" w:type="dxa"/>
                  <w:shd w:val="clear" w:color="auto" w:fill="auto"/>
                  <w:vAlign w:val="center"/>
                </w:tcPr>
                <w:p>
                  <w:pPr>
                    <w:pStyle w:val="164"/>
                    <w:jc w:val="left"/>
                  </w:pPr>
                  <w:r>
                    <w:rPr>
                      <w:lang w:val="en-US"/>
                    </w:rPr>
                    <w:t>扩建项目</w:t>
                  </w:r>
                  <w:r>
                    <w:t>配置密闭收集系统，新增涂装线</w:t>
                  </w:r>
                  <w:r>
                    <w:rPr>
                      <w:rFonts w:hint="eastAsia"/>
                      <w:lang w:val="en-US"/>
                    </w:rPr>
                    <w:t>及UV涂装线设置于密闭空间内、对原底漆涂装线进行改造、改造为密闭涂装车间进行涂装</w:t>
                  </w:r>
                  <w:r>
                    <w:t>，有机废气收集率不低于90%。对</w:t>
                  </w:r>
                  <w:r>
                    <w:rPr>
                      <w:rFonts w:hint="eastAsia"/>
                    </w:rPr>
                    <w:t>并对原油性漆生产线实施水性漆部分替代及废气处理设施改造，涂装废气采用“湿式过滤</w:t>
                  </w:r>
                  <w:r>
                    <w:t>+干式过滤+活性炭吸附浓缩+解析（催化燃烧）</w:t>
                  </w:r>
                  <w:r>
                    <w:rPr>
                      <w:rFonts w:hint="eastAsia"/>
                    </w:rPr>
                    <w:t>”处理后经15m排气筒排放。</w:t>
                  </w:r>
                </w:p>
              </w:tc>
              <w:tc>
                <w:tcPr>
                  <w:tcW w:w="904" w:type="dxa"/>
                  <w:shd w:val="clear" w:color="auto" w:fill="auto"/>
                  <w:vAlign w:val="center"/>
                </w:tcPr>
                <w:p>
                  <w:pPr>
                    <w:pStyle w:val="164"/>
                  </w:pPr>
                  <w: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8" w:hRule="atLeast"/>
                <w:jc w:val="center"/>
              </w:trPr>
              <w:tc>
                <w:tcPr>
                  <w:tcW w:w="450" w:type="dxa"/>
                  <w:shd w:val="clear" w:color="auto" w:fill="auto"/>
                  <w:vAlign w:val="center"/>
                </w:tcPr>
                <w:p>
                  <w:pPr>
                    <w:pStyle w:val="164"/>
                  </w:pPr>
                  <w:r>
                    <w:rPr>
                      <w:rFonts w:hint="eastAsia"/>
                    </w:rPr>
                    <w:t>4</w:t>
                  </w:r>
                </w:p>
              </w:tc>
              <w:tc>
                <w:tcPr>
                  <w:tcW w:w="3953" w:type="dxa"/>
                  <w:shd w:val="clear" w:color="auto" w:fill="auto"/>
                  <w:vAlign w:val="center"/>
                </w:tcPr>
                <w:p>
                  <w:pPr>
                    <w:pStyle w:val="164"/>
                    <w:jc w:val="left"/>
                  </w:pPr>
                  <w:r>
                    <w:t>加强废气收集与处理。对油墨、胶粘剂等有机原辅材料调配和使用等，要采取车间环境负压改造、安装高效集气装置等措施，有机废气收集率达到70%以上。对转运、储存等，要采取密闭措施，减少无组织排放。对烘干过程，要采取循环风烘干技术，减少废气排放。对收集的废气，要建设吸附回收、吸附燃烧等高效治理设施</w:t>
                  </w:r>
                </w:p>
              </w:tc>
              <w:tc>
                <w:tcPr>
                  <w:tcW w:w="2973" w:type="dxa"/>
                  <w:shd w:val="clear" w:color="auto" w:fill="auto"/>
                  <w:vAlign w:val="center"/>
                </w:tcPr>
                <w:p>
                  <w:pPr>
                    <w:pStyle w:val="164"/>
                    <w:jc w:val="left"/>
                    <w:rPr>
                      <w:color w:val="auto"/>
                    </w:rPr>
                  </w:pPr>
                  <w:r>
                    <w:rPr>
                      <w:rFonts w:hint="eastAsia"/>
                      <w:color w:val="auto"/>
                    </w:rPr>
                    <w:t>涂装</w:t>
                  </w:r>
                  <w:r>
                    <w:rPr>
                      <w:color w:val="auto"/>
                    </w:rPr>
                    <w:t>烘</w:t>
                  </w:r>
                  <w:r>
                    <w:rPr>
                      <w:rFonts w:hint="eastAsia"/>
                      <w:color w:val="auto"/>
                      <w:lang w:val="en-US"/>
                    </w:rPr>
                    <w:t>/晾</w:t>
                  </w:r>
                  <w:r>
                    <w:rPr>
                      <w:color w:val="auto"/>
                    </w:rPr>
                    <w:t>干</w:t>
                  </w:r>
                  <w:r>
                    <w:rPr>
                      <w:rFonts w:hint="eastAsia"/>
                      <w:color w:val="auto"/>
                    </w:rPr>
                    <w:t>工序采取密闭车间烘</w:t>
                  </w:r>
                  <w:r>
                    <w:rPr>
                      <w:rFonts w:hint="eastAsia"/>
                      <w:color w:val="auto"/>
                      <w:lang w:val="en-US"/>
                    </w:rPr>
                    <w:t>/</w:t>
                  </w:r>
                  <w:r>
                    <w:rPr>
                      <w:rFonts w:hint="eastAsia"/>
                      <w:color w:val="auto"/>
                    </w:rPr>
                    <w:t>晾干、收集率可达90%</w:t>
                  </w:r>
                  <w:r>
                    <w:rPr>
                      <w:color w:val="auto"/>
                    </w:rPr>
                    <w:t>；</w:t>
                  </w:r>
                  <w:r>
                    <w:rPr>
                      <w:rFonts w:hint="eastAsia"/>
                    </w:rPr>
                    <w:t>并对原油性漆生产线实施水性漆部分替代及废气处理设施改造，涂装废气采用“湿式过滤</w:t>
                  </w:r>
                  <w:r>
                    <w:t>+干式过滤+活性炭吸附浓缩+解析（催化燃烧）</w:t>
                  </w:r>
                  <w:r>
                    <w:rPr>
                      <w:rFonts w:hint="eastAsia"/>
                    </w:rPr>
                    <w:t>”处理后经15m排气筒排放。</w:t>
                  </w:r>
                </w:p>
              </w:tc>
              <w:tc>
                <w:tcPr>
                  <w:tcW w:w="904" w:type="dxa"/>
                  <w:shd w:val="clear" w:color="auto" w:fill="auto"/>
                  <w:vAlign w:val="center"/>
                </w:tcPr>
                <w:p>
                  <w:pPr>
                    <w:pStyle w:val="164"/>
                  </w:pPr>
                  <w:r>
                    <w:t>符合</w:t>
                  </w:r>
                </w:p>
              </w:tc>
            </w:tr>
          </w:tbl>
          <w:p>
            <w:pPr>
              <w:pStyle w:val="160"/>
              <w:ind w:firstLine="480"/>
            </w:pPr>
            <w:r>
              <w:rPr>
                <w:rFonts w:hint="eastAsia"/>
              </w:rPr>
              <w:t>综上，扩建项目与《重庆市“十三五”挥发性有机物大气污染防治工作实施方案》（渝环</w:t>
            </w:r>
            <w:r>
              <w:t>[2017]252号）</w:t>
            </w:r>
            <w:r>
              <w:rPr>
                <w:rFonts w:hint="eastAsia"/>
              </w:rPr>
              <w:t>相符</w:t>
            </w:r>
            <w:r>
              <w:t>。</w:t>
            </w:r>
          </w:p>
          <w:p>
            <w:pPr>
              <w:pStyle w:val="4"/>
            </w:pPr>
            <w:r>
              <w:rPr>
                <w:rFonts w:hint="eastAsia" w:cs="Times New Roman"/>
              </w:rPr>
              <w:t>1.1.7.2</w:t>
            </w:r>
            <w:r>
              <w:t>与《挥发性有机物无组织排放控制标准》符合性分析</w:t>
            </w:r>
          </w:p>
          <w:p>
            <w:pPr>
              <w:pStyle w:val="160"/>
              <w:ind w:firstLine="480"/>
            </w:pPr>
            <w:r>
              <w:t>扩建项目与</w:t>
            </w:r>
            <w:r>
              <w:rPr>
                <w:rFonts w:hint="eastAsia"/>
              </w:rPr>
              <w:t>《</w:t>
            </w:r>
            <w:r>
              <w:t>挥发性有机物无组织排放控制标准</w:t>
            </w:r>
            <w:r>
              <w:rPr>
                <w:rFonts w:hint="eastAsia"/>
              </w:rPr>
              <w:t>》</w:t>
            </w:r>
            <w:r>
              <w:t>的符合性分析见</w:t>
            </w:r>
            <w:r>
              <w:fldChar w:fldCharType="begin"/>
            </w:r>
            <w:r>
              <w:instrText xml:space="preserve"> REF _Ref83826965 \h  \* MERGEFORMAT </w:instrText>
            </w:r>
            <w:r>
              <w:fldChar w:fldCharType="separate"/>
            </w:r>
            <w:r>
              <w:t>表</w:t>
            </w:r>
            <w:r>
              <w:rPr>
                <w:rFonts w:hint="eastAsia"/>
              </w:rPr>
              <w:t>1.1-9</w:t>
            </w:r>
            <w:r>
              <w:fldChar w:fldCharType="end"/>
            </w:r>
            <w:r>
              <w:t>。</w:t>
            </w:r>
          </w:p>
          <w:p>
            <w:pPr>
              <w:pStyle w:val="164"/>
            </w:pPr>
            <w:r>
              <w:t>表</w:t>
            </w:r>
            <w:r>
              <w:rPr>
                <w:rFonts w:hint="eastAsia"/>
              </w:rPr>
              <w:t>1.1-9        与《</w:t>
            </w:r>
            <w:r>
              <w:t>挥发性有机物无组织排放控制标准</w:t>
            </w:r>
            <w:r>
              <w:rPr>
                <w:rFonts w:hint="eastAsia"/>
              </w:rPr>
              <w:t>》</w:t>
            </w:r>
            <w:r>
              <w:t>的符合性分析</w:t>
            </w:r>
          </w:p>
          <w:tbl>
            <w:tblPr>
              <w:tblStyle w:val="162"/>
              <w:tblW w:w="822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15"/>
              <w:gridCol w:w="3543"/>
              <w:gridCol w:w="2977"/>
              <w:gridCol w:w="5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shd w:val="clear" w:color="auto" w:fill="auto"/>
                  <w:vAlign w:val="center"/>
                </w:tcPr>
                <w:p>
                  <w:pPr>
                    <w:pStyle w:val="164"/>
                    <w:rPr>
                      <w:rFonts w:asciiTheme="minorEastAsia" w:hAnsiTheme="minorEastAsia" w:eastAsiaTheme="minorEastAsia"/>
                      <w:b/>
                      <w:bCs/>
                    </w:rPr>
                  </w:pPr>
                  <w:r>
                    <w:rPr>
                      <w:rFonts w:asciiTheme="minorEastAsia" w:hAnsiTheme="minorEastAsia" w:eastAsiaTheme="minorEastAsia"/>
                      <w:b w:val="0"/>
                      <w:bCs/>
                    </w:rPr>
                    <w:t>分类</w:t>
                  </w:r>
                </w:p>
              </w:tc>
              <w:tc>
                <w:tcPr>
                  <w:tcW w:w="3543" w:type="dxa"/>
                  <w:shd w:val="clear" w:color="auto" w:fill="auto"/>
                  <w:vAlign w:val="center"/>
                </w:tcPr>
                <w:p>
                  <w:pPr>
                    <w:pStyle w:val="164"/>
                    <w:rPr>
                      <w:rFonts w:asciiTheme="minorEastAsia" w:hAnsiTheme="minorEastAsia" w:eastAsiaTheme="minorEastAsia"/>
                      <w:b/>
                      <w:bCs/>
                    </w:rPr>
                  </w:pPr>
                  <w:r>
                    <w:rPr>
                      <w:rFonts w:asciiTheme="minorEastAsia" w:hAnsiTheme="minorEastAsia" w:eastAsiaTheme="minorEastAsia"/>
                      <w:b w:val="0"/>
                      <w:bCs/>
                    </w:rPr>
                    <w:t>文件要求</w:t>
                  </w:r>
                </w:p>
              </w:tc>
              <w:tc>
                <w:tcPr>
                  <w:tcW w:w="2977" w:type="dxa"/>
                  <w:shd w:val="clear" w:color="auto" w:fill="auto"/>
                  <w:vAlign w:val="center"/>
                </w:tcPr>
                <w:p>
                  <w:pPr>
                    <w:pStyle w:val="164"/>
                    <w:rPr>
                      <w:rFonts w:asciiTheme="minorEastAsia" w:hAnsiTheme="minorEastAsia" w:eastAsiaTheme="minorEastAsia"/>
                      <w:b/>
                      <w:bCs/>
                    </w:rPr>
                  </w:pPr>
                  <w:r>
                    <w:rPr>
                      <w:rFonts w:asciiTheme="minorEastAsia" w:hAnsiTheme="minorEastAsia" w:eastAsiaTheme="minorEastAsia"/>
                      <w:b w:val="0"/>
                      <w:bCs/>
                    </w:rPr>
                    <w:t>扩建项目情况</w:t>
                  </w:r>
                </w:p>
              </w:tc>
              <w:tc>
                <w:tcPr>
                  <w:tcW w:w="590" w:type="dxa"/>
                  <w:shd w:val="clear" w:color="auto" w:fill="auto"/>
                  <w:vAlign w:val="center"/>
                </w:tcPr>
                <w:p>
                  <w:pPr>
                    <w:pStyle w:val="164"/>
                    <w:rPr>
                      <w:rFonts w:asciiTheme="minorEastAsia" w:hAnsiTheme="minorEastAsia" w:eastAsiaTheme="minorEastAsia"/>
                      <w:b/>
                      <w:bCs/>
                    </w:rPr>
                  </w:pPr>
                  <w:r>
                    <w:rPr>
                      <w:rFonts w:asciiTheme="minorEastAsia" w:hAnsiTheme="minorEastAsia" w:eastAsiaTheme="minorEastAsia"/>
                      <w:b w:val="0"/>
                      <w:bCs/>
                    </w:rPr>
                    <w:t>是否符合规定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restart"/>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VOC</w:t>
                  </w:r>
                  <w:r>
                    <w:rPr>
                      <w:rFonts w:hint="eastAsia" w:asciiTheme="minorEastAsia" w:hAnsiTheme="minorEastAsia" w:eastAsiaTheme="minorEastAsia"/>
                    </w:rPr>
                    <w:t>s</w:t>
                  </w:r>
                  <w:r>
                    <w:rPr>
                      <w:rFonts w:asciiTheme="minorEastAsia" w:hAnsiTheme="minorEastAsia" w:eastAsiaTheme="minorEastAsia"/>
                    </w:rPr>
                    <w:t>物料储存无组织排放控制要求</w:t>
                  </w: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VOCs物料应储存于密闭的容器、包装袋、储罐、储库、料仓中</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扩建项目</w:t>
                  </w:r>
                  <w:r>
                    <w:rPr>
                      <w:rFonts w:hint="eastAsia" w:asciiTheme="minorEastAsia" w:hAnsiTheme="minorEastAsia" w:eastAsiaTheme="minorEastAsia"/>
                    </w:rPr>
                    <w:t>涂料</w:t>
                  </w:r>
                  <w:r>
                    <w:rPr>
                      <w:rFonts w:asciiTheme="minorEastAsia" w:hAnsiTheme="minorEastAsia" w:eastAsiaTheme="minorEastAsia"/>
                    </w:rPr>
                    <w:t>、白乳胶</w:t>
                  </w:r>
                  <w:r>
                    <w:rPr>
                      <w:rFonts w:hint="eastAsia" w:asciiTheme="minorEastAsia" w:hAnsiTheme="minorEastAsia" w:eastAsiaTheme="minorEastAsia"/>
                    </w:rPr>
                    <w:t>等物料</w:t>
                  </w:r>
                  <w:r>
                    <w:rPr>
                      <w:rFonts w:asciiTheme="minorEastAsia" w:hAnsiTheme="minorEastAsia" w:eastAsiaTheme="minorEastAsia"/>
                    </w:rPr>
                    <w:t>储存于密闭桶中，漆料库房除人员、物料进出时门窗处于关闭状态</w:t>
                  </w:r>
                </w:p>
              </w:tc>
              <w:tc>
                <w:tcPr>
                  <w:tcW w:w="590" w:type="dxa"/>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盛装VOCs物料的容器或包装袋应存放于室内，或放于设置有雨棚、遮阳和防渗设施的专用场地。盛装VOCs物料的容器或包装袋在非取用状态时应加盖、封口，保持密闭</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扩建项目</w:t>
                  </w:r>
                  <w:r>
                    <w:rPr>
                      <w:rFonts w:hint="eastAsia" w:asciiTheme="minorEastAsia" w:hAnsiTheme="minorEastAsia" w:eastAsiaTheme="minorEastAsia"/>
                    </w:rPr>
                    <w:t>涂料</w:t>
                  </w:r>
                  <w:r>
                    <w:rPr>
                      <w:rFonts w:asciiTheme="minorEastAsia" w:hAnsiTheme="minorEastAsia" w:eastAsiaTheme="minorEastAsia"/>
                    </w:rPr>
                    <w:t>、白乳胶</w:t>
                  </w:r>
                  <w:r>
                    <w:rPr>
                      <w:rFonts w:hint="eastAsia" w:asciiTheme="minorEastAsia" w:hAnsiTheme="minorEastAsia" w:eastAsiaTheme="minorEastAsia"/>
                    </w:rPr>
                    <w:t>等物料</w:t>
                  </w:r>
                  <w:r>
                    <w:rPr>
                      <w:rFonts w:asciiTheme="minorEastAsia" w:hAnsiTheme="minorEastAsia" w:eastAsiaTheme="minorEastAsia"/>
                    </w:rPr>
                    <w:t>的密闭物料桶（带盖）放于漆料库房内，漆料库房防风、防雨、防晒</w:t>
                  </w:r>
                  <w:r>
                    <w:rPr>
                      <w:rFonts w:hint="eastAsia" w:asciiTheme="minorEastAsia" w:hAnsiTheme="minorEastAsia" w:eastAsiaTheme="minorEastAsia"/>
                    </w:rPr>
                    <w:t>，</w:t>
                  </w:r>
                  <w:r>
                    <w:rPr>
                      <w:rFonts w:asciiTheme="minorEastAsia" w:hAnsiTheme="minorEastAsia" w:eastAsiaTheme="minorEastAsia"/>
                    </w:rPr>
                    <w:t>地面做重点防渗、防腐处理</w:t>
                  </w:r>
                </w:p>
              </w:tc>
              <w:tc>
                <w:tcPr>
                  <w:tcW w:w="590" w:type="dxa"/>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VOC</w:t>
                  </w:r>
                  <w:r>
                    <w:rPr>
                      <w:rFonts w:hint="eastAsia" w:asciiTheme="minorEastAsia" w:hAnsiTheme="minorEastAsia" w:eastAsiaTheme="minorEastAsia"/>
                    </w:rPr>
                    <w:t>s</w:t>
                  </w:r>
                  <w:r>
                    <w:rPr>
                      <w:rFonts w:asciiTheme="minorEastAsia" w:hAnsiTheme="minorEastAsia" w:eastAsiaTheme="minorEastAsia"/>
                    </w:rPr>
                    <w:t>物料储库、料仓应满足3.6条对密闭空间的要求。（3.6条密闭空间：利用完整的围护结构将污染物质、作业场所等与周围空间阻隔所形成的封闭区域或封闭式建筑物。该封闭区域或封闭式建筑物除人员、车辆、设备、物料进出时，以及依法设立的排气筒、通风口外，门窗及其他开口</w:t>
                  </w:r>
                  <w:r>
                    <w:rPr>
                      <w:rFonts w:hint="eastAsia" w:asciiTheme="minorEastAsia" w:hAnsiTheme="minorEastAsia" w:eastAsiaTheme="minorEastAsia"/>
                    </w:rPr>
                    <w:t>（</w:t>
                  </w:r>
                  <w:r>
                    <w:rPr>
                      <w:rFonts w:asciiTheme="minorEastAsia" w:hAnsiTheme="minorEastAsia" w:eastAsiaTheme="minorEastAsia"/>
                    </w:rPr>
                    <w:t>孔</w:t>
                  </w:r>
                  <w:r>
                    <w:rPr>
                      <w:rFonts w:hint="eastAsia" w:asciiTheme="minorEastAsia" w:hAnsiTheme="minorEastAsia" w:eastAsiaTheme="minorEastAsia"/>
                    </w:rPr>
                    <w:t>）</w:t>
                  </w:r>
                  <w:r>
                    <w:rPr>
                      <w:rFonts w:asciiTheme="minorEastAsia" w:hAnsiTheme="minorEastAsia" w:eastAsiaTheme="minorEastAsia"/>
                    </w:rPr>
                    <w:t>部位应随时保持关闭状态。）</w:t>
                  </w:r>
                </w:p>
              </w:tc>
              <w:tc>
                <w:tcPr>
                  <w:tcW w:w="2977" w:type="dxa"/>
                  <w:shd w:val="clear" w:color="auto" w:fill="auto"/>
                  <w:vAlign w:val="center"/>
                </w:tcPr>
                <w:p>
                  <w:pPr>
                    <w:pStyle w:val="164"/>
                    <w:jc w:val="both"/>
                    <w:rPr>
                      <w:rFonts w:asciiTheme="minorEastAsia" w:hAnsiTheme="minorEastAsia" w:eastAsiaTheme="minorEastAsia"/>
                    </w:rPr>
                  </w:pPr>
                  <w:r>
                    <w:rPr>
                      <w:rFonts w:hint="eastAsia" w:asciiTheme="minorEastAsia" w:hAnsiTheme="minorEastAsia" w:eastAsiaTheme="minorEastAsia"/>
                    </w:rPr>
                    <w:t>扩建项目漆料库房为独立带锁房间，防风、防雨、防晒、地面重点防渗防腐，漆料库房</w:t>
                  </w:r>
                  <w:r>
                    <w:rPr>
                      <w:rFonts w:asciiTheme="minorEastAsia" w:hAnsiTheme="minorEastAsia" w:eastAsiaTheme="minorEastAsia"/>
                    </w:rPr>
                    <w:t>除人员、物料进出时门窗处于关闭状态</w:t>
                  </w:r>
                </w:p>
              </w:tc>
              <w:tc>
                <w:tcPr>
                  <w:tcW w:w="590" w:type="dxa"/>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VOCs物料转移和输送无组织排放控制要求</w:t>
                  </w: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液态VOCs物料应采用密闭输送管道输送。采用非管道输送方式转移液态VOCs物料时，应采用密闭容器、罐车</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扩建项目</w:t>
                  </w:r>
                  <w:r>
                    <w:rPr>
                      <w:rFonts w:hint="eastAsia" w:asciiTheme="minorEastAsia" w:hAnsiTheme="minorEastAsia" w:eastAsiaTheme="minorEastAsia"/>
                    </w:rPr>
                    <w:t>涂料</w:t>
                  </w:r>
                  <w:r>
                    <w:rPr>
                      <w:rFonts w:asciiTheme="minorEastAsia" w:hAnsiTheme="minorEastAsia" w:eastAsiaTheme="minorEastAsia"/>
                    </w:rPr>
                    <w:t>、白乳胶</w:t>
                  </w:r>
                  <w:r>
                    <w:rPr>
                      <w:rFonts w:hint="eastAsia" w:asciiTheme="minorEastAsia" w:hAnsiTheme="minorEastAsia" w:eastAsiaTheme="minorEastAsia"/>
                    </w:rPr>
                    <w:t>等物料</w:t>
                  </w:r>
                  <w:r>
                    <w:rPr>
                      <w:rFonts w:asciiTheme="minorEastAsia" w:hAnsiTheme="minorEastAsia" w:eastAsiaTheme="minorEastAsia"/>
                    </w:rPr>
                    <w:t>采用密闭桶转运</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restart"/>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工艺过程VOCs无组织排放控制要求</w:t>
                  </w: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含VOCs产品的使用过程VOCs质量占比大于等于10%的含VOCs产品，其使用过程应采用密闭设备或在密闭空间内操作，废气应排至VOCs废气收集处理系统；无法密闭的，应采用局部气体收集措施，废气应排至VOCs废气收集处理系统</w:t>
                  </w:r>
                </w:p>
              </w:tc>
              <w:tc>
                <w:tcPr>
                  <w:tcW w:w="2977" w:type="dxa"/>
                  <w:shd w:val="clear" w:color="auto" w:fill="auto"/>
                  <w:vAlign w:val="center"/>
                </w:tcPr>
                <w:p>
                  <w:pPr>
                    <w:pStyle w:val="164"/>
                    <w:jc w:val="both"/>
                    <w:rPr>
                      <w:rFonts w:asciiTheme="minorEastAsia" w:hAnsiTheme="minorEastAsia" w:eastAsiaTheme="minorEastAsia"/>
                    </w:rPr>
                  </w:pPr>
                  <w:r>
                    <w:rPr>
                      <w:rFonts w:hint="eastAsia" w:asciiTheme="minorEastAsia" w:hAnsiTheme="minorEastAsia" w:eastAsiaTheme="minorEastAsia"/>
                    </w:rPr>
                    <w:t>扩建项目调漆、喷漆、烘晾干</w:t>
                  </w:r>
                  <w:r>
                    <w:rPr>
                      <w:rFonts w:asciiTheme="minorEastAsia" w:hAnsiTheme="minorEastAsia" w:eastAsiaTheme="minorEastAsia"/>
                    </w:rPr>
                    <w:t>均位于密闭</w:t>
                  </w:r>
                  <w:r>
                    <w:rPr>
                      <w:rFonts w:hint="eastAsia" w:asciiTheme="minorEastAsia" w:hAnsiTheme="minorEastAsia" w:eastAsiaTheme="minorEastAsia"/>
                    </w:rPr>
                    <w:t>喷漆</w:t>
                  </w:r>
                  <w:r>
                    <w:rPr>
                      <w:rFonts w:asciiTheme="minorEastAsia" w:hAnsiTheme="minorEastAsia" w:eastAsiaTheme="minorEastAsia"/>
                    </w:rPr>
                    <w:t>房内，并对原油性漆生产线实施水性漆部分替代及废气处理设施改造，涂装废气采用“湿式过滤+干式过滤+活性炭吸附浓缩+解析（催化燃烧）</w:t>
                  </w:r>
                  <w:r>
                    <w:rPr>
                      <w:rFonts w:hint="eastAsia"/>
                    </w:rPr>
                    <w:t>”处理后经15m排气筒排放。</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其他要求</w:t>
                  </w:r>
                </w:p>
                <w:p>
                  <w:pPr>
                    <w:pStyle w:val="164"/>
                    <w:jc w:val="both"/>
                    <w:rPr>
                      <w:rFonts w:asciiTheme="minorEastAsia" w:hAnsiTheme="minorEastAsia" w:eastAsiaTheme="minorEastAsia"/>
                    </w:rPr>
                  </w:pPr>
                  <w:r>
                    <w:rPr>
                      <w:rFonts w:asciiTheme="minorEastAsia" w:hAnsiTheme="minorEastAsia" w:eastAsiaTheme="minorEastAsia"/>
                    </w:rPr>
                    <w:t>企业应建立台账，记录VOCs原辅料和含VOCs产品的名称、使用量、回收量、废弃量、去向以及VOCs含量等信息。台账保存期限不少于3年</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企业建立台账，记录原辅料和产品的名称、使用量、回收量、废弃量、去向等信息</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通风生产设备、操作工位、车间厂房等应在符合安全生产、职业卫生相关规定的前提下，根据行业作业规程与标准、工业建筑和洁净厂房通风设计规范等的要求，采用合理的通风量</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扩建项目</w:t>
                  </w:r>
                  <w:r>
                    <w:rPr>
                      <w:rFonts w:hint="eastAsia" w:asciiTheme="minorEastAsia" w:hAnsiTheme="minorEastAsia" w:eastAsiaTheme="minorEastAsia"/>
                    </w:rPr>
                    <w:t>调漆、喷漆、烘晾干</w:t>
                  </w:r>
                  <w:r>
                    <w:rPr>
                      <w:rFonts w:asciiTheme="minorEastAsia" w:hAnsiTheme="minorEastAsia" w:eastAsiaTheme="minorEastAsia"/>
                    </w:rPr>
                    <w:t>均</w:t>
                  </w:r>
                  <w:r>
                    <w:rPr>
                      <w:rFonts w:hint="eastAsia" w:asciiTheme="minorEastAsia" w:hAnsiTheme="minorEastAsia" w:eastAsiaTheme="minorEastAsia"/>
                    </w:rPr>
                    <w:t>在</w:t>
                  </w:r>
                  <w:r>
                    <w:rPr>
                      <w:rFonts w:asciiTheme="minorEastAsia" w:hAnsiTheme="minorEastAsia" w:eastAsiaTheme="minorEastAsia"/>
                    </w:rPr>
                    <w:t>密闭</w:t>
                  </w:r>
                  <w:r>
                    <w:rPr>
                      <w:rFonts w:hint="eastAsia" w:asciiTheme="minorEastAsia" w:hAnsiTheme="minorEastAsia" w:eastAsiaTheme="minorEastAsia"/>
                    </w:rPr>
                    <w:t>喷漆</w:t>
                  </w:r>
                  <w:r>
                    <w:rPr>
                      <w:rFonts w:asciiTheme="minorEastAsia" w:hAnsiTheme="minorEastAsia" w:eastAsiaTheme="minorEastAsia"/>
                    </w:rPr>
                    <w:t>房内</w:t>
                  </w:r>
                  <w:r>
                    <w:rPr>
                      <w:rFonts w:hint="eastAsia" w:asciiTheme="minorEastAsia" w:hAnsiTheme="minorEastAsia" w:eastAsiaTheme="minorEastAsia"/>
                    </w:rPr>
                    <w:t>进行</w:t>
                  </w:r>
                  <w:r>
                    <w:rPr>
                      <w:rFonts w:asciiTheme="minorEastAsia" w:hAnsiTheme="minorEastAsia" w:eastAsiaTheme="minorEastAsia"/>
                    </w:rPr>
                    <w:t>，其他工序采用合理的通风量</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载有VOCs物料的设备及其管道在开停工（车），检维修和清洗时，应在退料阶段将残存物料退净，并用密闭容器盛装，退料过程废气应排至VOCs废气收集处理系统；清洗及吹扫过程废气应排至VOCs废气收集处理系统</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载有VOCs物料的设备及其管道在开停工（车）</w:t>
                  </w:r>
                  <w:r>
                    <w:rPr>
                      <w:rFonts w:hint="eastAsia" w:asciiTheme="minorEastAsia" w:hAnsiTheme="minorEastAsia" w:eastAsiaTheme="minorEastAsia"/>
                    </w:rPr>
                    <w:t>、</w:t>
                  </w:r>
                  <w:r>
                    <w:rPr>
                      <w:rFonts w:asciiTheme="minorEastAsia" w:hAnsiTheme="minorEastAsia" w:eastAsiaTheme="minorEastAsia"/>
                    </w:rPr>
                    <w:t>检维修和清洗时，在退料阶段将残存物料退净，并用密闭容器盛装，退料过程废气排</w:t>
                  </w:r>
                  <w:r>
                    <w:rPr>
                      <w:rFonts w:hint="eastAsia" w:asciiTheme="minorEastAsia" w:hAnsiTheme="minorEastAsia" w:eastAsiaTheme="minorEastAsia"/>
                    </w:rPr>
                    <w:t>至</w:t>
                  </w:r>
                  <w:r>
                    <w:rPr>
                      <w:rFonts w:asciiTheme="minorEastAsia" w:hAnsiTheme="minorEastAsia" w:eastAsiaTheme="minorEastAsia"/>
                    </w:rPr>
                    <w:t>VOCs废气收集处理系统</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工艺过程中产生的含VOCs废料（渣、液）应按要求进行储存、转移和输送。盛装过VOCs物料的废包装容器应加盖密闭</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废油漆桶、废胶桶密闭后暂存于危险废物暂存间</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restart"/>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设备与管线组件VOCs泄露控制要求</w:t>
                  </w: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管控范围</w:t>
                  </w:r>
                </w:p>
                <w:p>
                  <w:pPr>
                    <w:pStyle w:val="164"/>
                    <w:jc w:val="both"/>
                    <w:rPr>
                      <w:rFonts w:asciiTheme="minorEastAsia" w:hAnsiTheme="minorEastAsia" w:eastAsiaTheme="minorEastAsia"/>
                    </w:rPr>
                  </w:pPr>
                  <w:r>
                    <w:rPr>
                      <w:rFonts w:asciiTheme="minorEastAsia" w:hAnsiTheme="minorEastAsia" w:eastAsiaTheme="minorEastAsia"/>
                    </w:rPr>
                    <w:t>企业中载有气态VOCs物料、液态VOCs物料的设备与管线组件的密封点≥2000个，应开展泄露检测与修复工作</w:t>
                  </w:r>
                </w:p>
              </w:tc>
              <w:tc>
                <w:tcPr>
                  <w:tcW w:w="2977" w:type="dxa"/>
                  <w:shd w:val="clear" w:color="auto" w:fill="auto"/>
                  <w:vAlign w:val="center"/>
                </w:tcPr>
                <w:p>
                  <w:pPr>
                    <w:pStyle w:val="164"/>
                    <w:jc w:val="both"/>
                    <w:rPr>
                      <w:rFonts w:asciiTheme="minorEastAsia" w:hAnsiTheme="minorEastAsia" w:eastAsiaTheme="minorEastAsia"/>
                    </w:rPr>
                  </w:pPr>
                  <w:r>
                    <w:rPr>
                      <w:rFonts w:hint="eastAsia" w:asciiTheme="minorEastAsia" w:hAnsiTheme="minorEastAsia" w:eastAsiaTheme="minorEastAsia"/>
                    </w:rPr>
                    <w:t>企业按规范定期对喷漆设备进行检测</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泄露源修复</w:t>
                  </w:r>
                </w:p>
                <w:p>
                  <w:pPr>
                    <w:pStyle w:val="164"/>
                    <w:jc w:val="both"/>
                    <w:rPr>
                      <w:rFonts w:asciiTheme="minorEastAsia" w:hAnsiTheme="minorEastAsia" w:eastAsiaTheme="minorEastAsia"/>
                    </w:rPr>
                  </w:pPr>
                  <w:r>
                    <w:rPr>
                      <w:rFonts w:asciiTheme="minorEastAsia" w:hAnsiTheme="minorEastAsia" w:eastAsiaTheme="minorEastAsia"/>
                    </w:rPr>
                    <w:t>当检测到泄露时，对泄露源应予以标识并及时修复。发现泄露之日起5d内应进行首次修复，除8.4.2条规定外，应在发现泄露之日起15d内完成修复</w:t>
                  </w:r>
                </w:p>
              </w:tc>
              <w:tc>
                <w:tcPr>
                  <w:tcW w:w="2977" w:type="dxa"/>
                  <w:shd w:val="clear" w:color="auto" w:fill="auto"/>
                  <w:vAlign w:val="center"/>
                </w:tcPr>
                <w:p>
                  <w:pPr>
                    <w:pStyle w:val="164"/>
                    <w:jc w:val="both"/>
                    <w:rPr>
                      <w:rFonts w:asciiTheme="minorEastAsia" w:hAnsiTheme="minorEastAsia" w:eastAsiaTheme="minorEastAsia"/>
                    </w:rPr>
                  </w:pPr>
                  <w:r>
                    <w:rPr>
                      <w:rFonts w:hint="eastAsia" w:asciiTheme="minorEastAsia" w:hAnsiTheme="minorEastAsia" w:eastAsiaTheme="minorEastAsia"/>
                    </w:rPr>
                    <w:t>当检测到喷漆设备泄露时，企业按规范对泄露源进行标识并及时修复</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记录要求</w:t>
                  </w:r>
                </w:p>
                <w:p>
                  <w:pPr>
                    <w:pStyle w:val="164"/>
                    <w:jc w:val="both"/>
                    <w:rPr>
                      <w:rFonts w:asciiTheme="minorEastAsia" w:hAnsiTheme="minorEastAsia" w:eastAsiaTheme="minorEastAsia"/>
                    </w:rPr>
                  </w:pPr>
                  <w:r>
                    <w:rPr>
                      <w:rFonts w:asciiTheme="minorEastAsia" w:hAnsiTheme="minorEastAsia" w:eastAsiaTheme="minorEastAsia"/>
                    </w:rPr>
                    <w:t>泄露检测应建立台账，记录检测时间、检测仪器读数、修复时间、采取的修复措施、修复后检测仪器读数等。台账保存期限不少于3年</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企业建立</w:t>
                  </w:r>
                  <w:r>
                    <w:rPr>
                      <w:rFonts w:hint="eastAsia" w:asciiTheme="minorEastAsia" w:hAnsiTheme="minorEastAsia" w:eastAsiaTheme="minorEastAsia"/>
                    </w:rPr>
                    <w:t>泄露检测</w:t>
                  </w:r>
                  <w:r>
                    <w:rPr>
                      <w:rFonts w:asciiTheme="minorEastAsia" w:hAnsiTheme="minorEastAsia" w:eastAsiaTheme="minorEastAsia"/>
                    </w:rPr>
                    <w:t>台账，记录时间、修复时间、采取的修复措施等。台账保存期限不少于3年</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restart"/>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VOCs无组织排放废气收集处理系统</w:t>
                  </w: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扩建项目</w:t>
                  </w:r>
                  <w:r>
                    <w:rPr>
                      <w:rFonts w:hint="eastAsia" w:asciiTheme="minorEastAsia" w:hAnsiTheme="minorEastAsia" w:eastAsiaTheme="minorEastAsia"/>
                    </w:rPr>
                    <w:t>调漆、喷漆、烘晾干</w:t>
                  </w:r>
                  <w:r>
                    <w:rPr>
                      <w:rFonts w:asciiTheme="minorEastAsia" w:hAnsiTheme="minorEastAsia" w:eastAsiaTheme="minorEastAsia"/>
                    </w:rPr>
                    <w:t>过程VOCs废气收集处理系统与生产工艺设备同步运行。VOCs废气收集处理系统发生故障或检修时，对应的生产工艺设备停止运行，待检修完毕后同步投入使用</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企业应考虑生产工艺、操作方式、废气性质、处理方法等因素，对VOCs废气进行分类收集</w:t>
                  </w:r>
                </w:p>
              </w:tc>
              <w:tc>
                <w:tcPr>
                  <w:tcW w:w="2977" w:type="dxa"/>
                  <w:shd w:val="clear" w:color="auto" w:fill="auto"/>
                  <w:vAlign w:val="center"/>
                </w:tcPr>
                <w:p>
                  <w:pPr>
                    <w:pStyle w:val="164"/>
                    <w:jc w:val="both"/>
                    <w:rPr>
                      <w:rFonts w:asciiTheme="minorEastAsia" w:hAnsiTheme="minorEastAsia" w:eastAsiaTheme="minorEastAsia"/>
                      <w:lang w:val="en-US"/>
                    </w:rPr>
                  </w:pPr>
                  <w:r>
                    <w:rPr>
                      <w:rFonts w:hint="eastAsia" w:asciiTheme="minorEastAsia" w:hAnsiTheme="minorEastAsia" w:eastAsiaTheme="minorEastAsia"/>
                    </w:rPr>
                    <w:t>扩建项目对</w:t>
                  </w:r>
                  <w:r>
                    <w:rPr>
                      <w:rFonts w:hint="eastAsia"/>
                    </w:rPr>
                    <w:t>对原油性漆生产线实施水性漆部分替代及废气处理设施改造</w:t>
                  </w:r>
                  <w:r>
                    <w:rPr>
                      <w:rFonts w:hint="eastAsia" w:asciiTheme="minorEastAsia" w:hAnsiTheme="minorEastAsia" w:eastAsiaTheme="minorEastAsia"/>
                    </w:rPr>
                    <w:t>，</w:t>
                  </w:r>
                  <w:r>
                    <w:rPr>
                      <w:rFonts w:hint="eastAsia"/>
                    </w:rPr>
                    <w:t>涂装废气采用“湿式过滤</w:t>
                  </w:r>
                  <w:r>
                    <w:t>+干式过滤+活性炭吸附浓缩+解析（催化燃烧）</w:t>
                  </w:r>
                  <w:r>
                    <w:rPr>
                      <w:rFonts w:hint="eastAsia"/>
                    </w:rPr>
                    <w:t>”处理后经15m排气筒排放。</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废气收集系统排风罩（集气罩）的设置应符合GB/T16758的规定。采用外部排风罩的，应按GB/T16758、AQ/T4274-2016规定方法测量控制风速，测量点应选取在离排风罩开口面最远处的VOCs无组织排放位置，控制风速不应低于0.3m/s（行业相关规范有具体规定的，按相关规定执行）</w:t>
                  </w:r>
                </w:p>
              </w:tc>
              <w:tc>
                <w:tcPr>
                  <w:tcW w:w="2977" w:type="dxa"/>
                  <w:shd w:val="clear" w:color="auto" w:fill="auto"/>
                  <w:vAlign w:val="center"/>
                </w:tcPr>
                <w:p>
                  <w:pPr>
                    <w:pStyle w:val="164"/>
                    <w:jc w:val="both"/>
                    <w:rPr>
                      <w:rFonts w:asciiTheme="minorEastAsia" w:hAnsiTheme="minorEastAsia" w:eastAsiaTheme="minorEastAsia"/>
                    </w:rPr>
                  </w:pPr>
                  <w:r>
                    <w:rPr>
                      <w:rFonts w:hint="eastAsia" w:asciiTheme="minorEastAsia" w:hAnsiTheme="minorEastAsia" w:eastAsiaTheme="minorEastAsia"/>
                    </w:rPr>
                    <w:t>扩建项目</w:t>
                  </w:r>
                  <w:r>
                    <w:rPr>
                      <w:rFonts w:asciiTheme="minorEastAsia" w:hAnsiTheme="minorEastAsia" w:eastAsiaTheme="minorEastAsia"/>
                    </w:rPr>
                    <w:t>废气收集系统排风罩（集气罩）的设置符合GB/T16758的规定</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废气收集系统的输送管道应密闭。废气收集系统应在负压下运行，若处于正压状态，应对输送管道组件的密封点进行泄露检测，泄露检测值不应超过500μmol/mol，亦不应有感官可察觉泄露。泄露检测频次、修复与记录的要求按照第8章规定执行</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扩建项目废气收集系统的输送管道密闭，并采用负压收集</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VOCs废气收集处理系统污染物排放应符GB16297或相关行业排放标准的规定</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扩建项目VOCs废气收集处理系统污染物排放符合《挥发性有机物排放标准第5部分：表面涂装行业》（DB37/2801.5-2018）相关标准要求的规定</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color w:val="auto"/>
                    </w:rPr>
                  </w:pPr>
                  <w:r>
                    <w:rPr>
                      <w:rFonts w:asciiTheme="minorEastAsia" w:hAnsiTheme="minorEastAsia" w:eastAsiaTheme="minorEastAsia"/>
                      <w:color w:val="auto"/>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2977" w:type="dxa"/>
                  <w:shd w:val="clear" w:color="auto" w:fill="auto"/>
                  <w:vAlign w:val="center"/>
                </w:tcPr>
                <w:p>
                  <w:pPr>
                    <w:pStyle w:val="164"/>
                    <w:jc w:val="both"/>
                    <w:rPr>
                      <w:rFonts w:asciiTheme="minorEastAsia" w:hAnsiTheme="minorEastAsia" w:eastAsiaTheme="minorEastAsia"/>
                      <w:color w:val="auto"/>
                    </w:rPr>
                  </w:pPr>
                  <w:r>
                    <w:rPr>
                      <w:rFonts w:asciiTheme="minorEastAsia" w:hAnsiTheme="minorEastAsia" w:eastAsiaTheme="minorEastAsia"/>
                    </w:rPr>
                    <w:t>原项目涂装废气处理设施</w:t>
                  </w:r>
                  <w:r>
                    <w:rPr>
                      <w:rFonts w:hint="eastAsia" w:asciiTheme="minorEastAsia" w:hAnsiTheme="minorEastAsia" w:eastAsiaTheme="minorEastAsia"/>
                    </w:rPr>
                    <w:t>改造</w:t>
                  </w:r>
                  <w:r>
                    <w:rPr>
                      <w:rFonts w:asciiTheme="minorEastAsia" w:hAnsiTheme="minorEastAsia" w:eastAsiaTheme="minorEastAsia"/>
                    </w:rPr>
                    <w:t>为</w:t>
                  </w:r>
                  <w:r>
                    <w:rPr>
                      <w:rFonts w:hint="eastAsia" w:asciiTheme="minorEastAsia" w:hAnsiTheme="minorEastAsia" w:eastAsiaTheme="minorEastAsia"/>
                    </w:rPr>
                    <w:t>“湿式过滤</w:t>
                  </w:r>
                  <w:r>
                    <w:rPr>
                      <w:rFonts w:asciiTheme="minorEastAsia" w:hAnsiTheme="minorEastAsia" w:eastAsiaTheme="minorEastAsia"/>
                    </w:rPr>
                    <w:t>+干式过滤+活性炭吸附浓缩+解析（催化燃烧）</w:t>
                  </w:r>
                  <w:r>
                    <w:rPr>
                      <w:rFonts w:hint="eastAsia" w:asciiTheme="minorEastAsia" w:hAnsiTheme="minorEastAsia" w:eastAsiaTheme="minorEastAsia"/>
                    </w:rPr>
                    <w:t>”；</w:t>
                  </w:r>
                  <w:r>
                    <w:rPr>
                      <w:rFonts w:hint="eastAsia"/>
                    </w:rPr>
                    <w:t>新增水性漆涂装线、UV涂装废气采用“湿式过滤</w:t>
                  </w:r>
                  <w:r>
                    <w:t>+干式过滤+活性炭吸附浓缩+解析（催化燃烧）</w:t>
                  </w:r>
                  <w:r>
                    <w:rPr>
                      <w:rFonts w:hint="eastAsia"/>
                    </w:rPr>
                    <w:t>”处理后经15m排气筒排放。</w:t>
                  </w:r>
                  <w:r>
                    <w:rPr>
                      <w:rFonts w:hint="eastAsia" w:asciiTheme="minorEastAsia" w:hAnsiTheme="minorEastAsia" w:eastAsiaTheme="minorEastAsia"/>
                    </w:rPr>
                    <w:t>处理效率85.5%。</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5" w:type="dxa"/>
                  <w:vMerge w:val="continue"/>
                  <w:shd w:val="clear" w:color="auto" w:fill="auto"/>
                  <w:vAlign w:val="center"/>
                </w:tcPr>
                <w:p>
                  <w:pPr>
                    <w:pStyle w:val="164"/>
                    <w:jc w:val="both"/>
                    <w:rPr>
                      <w:rFonts w:asciiTheme="minorEastAsia" w:hAnsiTheme="minorEastAsia" w:eastAsiaTheme="minorEastAsia"/>
                    </w:rPr>
                  </w:pPr>
                </w:p>
              </w:tc>
              <w:tc>
                <w:tcPr>
                  <w:tcW w:w="3543"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977" w:type="dxa"/>
                  <w:shd w:val="clear" w:color="auto" w:fill="auto"/>
                  <w:vAlign w:val="center"/>
                </w:tcPr>
                <w:p>
                  <w:pPr>
                    <w:pStyle w:val="164"/>
                    <w:jc w:val="both"/>
                    <w:rPr>
                      <w:rFonts w:asciiTheme="minorEastAsia" w:hAnsiTheme="minorEastAsia" w:eastAsiaTheme="minorEastAsia"/>
                    </w:rPr>
                  </w:pPr>
                  <w:r>
                    <w:rPr>
                      <w:rFonts w:asciiTheme="minorEastAsia" w:hAnsiTheme="minorEastAsia" w:eastAsiaTheme="minorEastAsia"/>
                    </w:rPr>
                    <w:t>企业建立台账，记录废气收集系统、VOCs处理设施的运行时间、废气处理量、操作温度、停留时间、</w:t>
                  </w:r>
                  <w:r>
                    <w:rPr>
                      <w:rFonts w:hint="eastAsia" w:asciiTheme="minorEastAsia" w:hAnsiTheme="minorEastAsia" w:eastAsiaTheme="minorEastAsia"/>
                    </w:rPr>
                    <w:t>活性炭</w:t>
                  </w:r>
                  <w:r>
                    <w:rPr>
                      <w:rFonts w:asciiTheme="minorEastAsia" w:hAnsiTheme="minorEastAsia" w:eastAsiaTheme="minorEastAsia"/>
                    </w:rPr>
                    <w:t>更换周期和更换量等关键运行参数。台账保存期限不少于3年</w:t>
                  </w:r>
                </w:p>
              </w:tc>
              <w:tc>
                <w:tcPr>
                  <w:tcW w:w="590" w:type="dxa"/>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符合</w:t>
                  </w:r>
                </w:p>
              </w:tc>
            </w:tr>
          </w:tbl>
          <w:p>
            <w:pPr>
              <w:pStyle w:val="160"/>
              <w:ind w:firstLine="480"/>
              <w:rPr>
                <w:rFonts w:cs="Times New Roman"/>
              </w:rPr>
            </w:pPr>
            <w:r>
              <w:rPr>
                <w:rFonts w:cs="Times New Roman"/>
              </w:rPr>
              <w:t>综上，扩建项目满足《挥发性有机物无组织排放控制标准》（GB 37822-2019）相关要求。</w:t>
            </w:r>
          </w:p>
          <w:p>
            <w:pPr>
              <w:pStyle w:val="4"/>
            </w:pPr>
            <w:r>
              <w:rPr>
                <w:rFonts w:hint="eastAsia" w:cs="Times New Roman"/>
              </w:rPr>
              <w:t>1.1.7.3</w:t>
            </w:r>
            <w:r>
              <w:t>与《重庆市产业投资准入工作手册》（渝发改投[2018]541号）符合性</w:t>
            </w:r>
          </w:p>
          <w:p>
            <w:pPr>
              <w:pStyle w:val="160"/>
              <w:ind w:firstLine="480"/>
            </w:pPr>
            <w:r>
              <w:t>扩建项目与《重庆市发展和改革委员会关于印发重庆市产业投资准入工作手册的通知》（渝发改投[2018]541号）的符合性分析见</w:t>
            </w:r>
            <w:r>
              <w:fldChar w:fldCharType="begin"/>
            </w:r>
            <w:r>
              <w:instrText xml:space="preserve"> REF _Ref82512725 \h </w:instrText>
            </w:r>
            <w:r>
              <w:fldChar w:fldCharType="separate"/>
            </w:r>
            <w:r>
              <w:rPr>
                <w:rFonts w:hint="eastAsia"/>
              </w:rPr>
              <w:t>表1.1-11</w:t>
            </w:r>
            <w:r>
              <w:fldChar w:fldCharType="end"/>
            </w:r>
            <w:r>
              <w:t>。</w:t>
            </w:r>
          </w:p>
          <w:p>
            <w:pPr>
              <w:pStyle w:val="164"/>
            </w:pPr>
            <w:bookmarkStart w:id="3" w:name="_Ref82512725"/>
            <w:r>
              <w:rPr>
                <w:rFonts w:hint="eastAsia"/>
              </w:rPr>
              <w:t>表</w:t>
            </w:r>
            <w:bookmarkEnd w:id="3"/>
            <w:r>
              <w:rPr>
                <w:rFonts w:hint="eastAsia"/>
              </w:rPr>
              <w:t xml:space="preserve">1.1-11   </w:t>
            </w:r>
            <w:r>
              <w:t>与《重庆市产业投资准入工作手册》（渝发改投[2018]541号）符合性分析表</w:t>
            </w:r>
          </w:p>
          <w:tbl>
            <w:tblPr>
              <w:tblStyle w:val="162"/>
              <w:tblW w:w="828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6"/>
              <w:gridCol w:w="4575"/>
              <w:gridCol w:w="2041"/>
              <w:gridCol w:w="11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6" w:type="dxa"/>
                  <w:shd w:val="clear" w:color="auto" w:fill="auto"/>
                  <w:vAlign w:val="center"/>
                </w:tcPr>
                <w:p>
                  <w:pPr>
                    <w:pStyle w:val="164"/>
                    <w:rPr>
                      <w:b w:val="0"/>
                    </w:rPr>
                  </w:pPr>
                  <w:r>
                    <w:rPr>
                      <w:b/>
                    </w:rPr>
                    <w:t>序号</w:t>
                  </w:r>
                </w:p>
              </w:tc>
              <w:tc>
                <w:tcPr>
                  <w:tcW w:w="4575" w:type="dxa"/>
                  <w:shd w:val="clear" w:color="auto" w:fill="auto"/>
                  <w:vAlign w:val="center"/>
                </w:tcPr>
                <w:p>
                  <w:pPr>
                    <w:pStyle w:val="164"/>
                    <w:rPr>
                      <w:b w:val="0"/>
                    </w:rPr>
                  </w:pPr>
                  <w:r>
                    <w:rPr>
                      <w:b/>
                    </w:rPr>
                    <w:t>环境准入条件</w:t>
                  </w:r>
                </w:p>
              </w:tc>
              <w:tc>
                <w:tcPr>
                  <w:tcW w:w="2041" w:type="dxa"/>
                  <w:shd w:val="clear" w:color="auto" w:fill="auto"/>
                  <w:vAlign w:val="center"/>
                </w:tcPr>
                <w:p>
                  <w:pPr>
                    <w:pStyle w:val="164"/>
                    <w:rPr>
                      <w:b/>
                    </w:rPr>
                  </w:pPr>
                  <w:r>
                    <w:rPr>
                      <w:b/>
                    </w:rPr>
                    <w:t>扩建项目情况</w:t>
                  </w:r>
                </w:p>
              </w:tc>
              <w:tc>
                <w:tcPr>
                  <w:tcW w:w="1128" w:type="dxa"/>
                  <w:shd w:val="clear" w:color="auto" w:fill="auto"/>
                  <w:vAlign w:val="center"/>
                </w:tcPr>
                <w:p>
                  <w:pPr>
                    <w:pStyle w:val="164"/>
                    <w:rPr>
                      <w:b w:val="0"/>
                    </w:rPr>
                  </w:pPr>
                  <w:r>
                    <w:rPr>
                      <w:b/>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6" w:type="dxa"/>
                  <w:shd w:val="clear" w:color="auto" w:fill="auto"/>
                  <w:vAlign w:val="center"/>
                </w:tcPr>
                <w:p>
                  <w:pPr>
                    <w:pStyle w:val="152"/>
                    <w:numPr>
                      <w:ilvl w:val="0"/>
                      <w:numId w:val="1"/>
                    </w:numPr>
                    <w:ind w:firstLineChars="0"/>
                    <w:rPr>
                      <w:rFonts w:ascii="Times New Roman" w:hAnsi="Times New Roman" w:eastAsia="宋体"/>
                    </w:rPr>
                  </w:pPr>
                </w:p>
              </w:tc>
              <w:tc>
                <w:tcPr>
                  <w:tcW w:w="4575" w:type="dxa"/>
                  <w:shd w:val="clear" w:color="auto" w:fill="auto"/>
                  <w:vAlign w:val="center"/>
                </w:tcPr>
                <w:p>
                  <w:pPr>
                    <w:pStyle w:val="164"/>
                    <w:jc w:val="both"/>
                  </w:pPr>
                  <w:r>
                    <w:t>1）全市范围内不予准入的产业</w:t>
                  </w:r>
                </w:p>
                <w:p>
                  <w:pPr>
                    <w:pStyle w:val="164"/>
                    <w:jc w:val="both"/>
                  </w:pPr>
                  <w:r>
                    <w:t>1、国家产业结构调整指导目录中的淘汰类项目。</w:t>
                  </w:r>
                </w:p>
                <w:p>
                  <w:pPr>
                    <w:pStyle w:val="164"/>
                    <w:jc w:val="both"/>
                  </w:pPr>
                  <w:r>
                    <w:t>2、烟花爆竹生产。</w:t>
                  </w:r>
                </w:p>
                <w:p>
                  <w:pPr>
                    <w:pStyle w:val="164"/>
                    <w:jc w:val="both"/>
                  </w:pPr>
                  <w:r>
                    <w:t>3、400KVA以下电解铝生产线。</w:t>
                  </w:r>
                </w:p>
                <w:p>
                  <w:pPr>
                    <w:pStyle w:val="164"/>
                    <w:jc w:val="both"/>
                  </w:pPr>
                  <w:r>
                    <w:t>4、单机10万千瓦以下和设计寿命期满的单机20万千瓦以下常规燃煤火电机。</w:t>
                  </w:r>
                </w:p>
                <w:p>
                  <w:pPr>
                    <w:pStyle w:val="164"/>
                    <w:jc w:val="both"/>
                  </w:pPr>
                  <w:r>
                    <w:t>5、天然林商业性采伐。</w:t>
                  </w:r>
                </w:p>
                <w:p>
                  <w:pPr>
                    <w:pStyle w:val="164"/>
                    <w:jc w:val="both"/>
                  </w:pPr>
                  <w:r>
                    <w:t>6、资源环境绩效水平超过《重庆市工业项目环境准入规定》（渝办发〔2012〕142号）限值以及不符合生态建设和环境保护规划区域布局规定的工业项目。在环境容量超载的区域（流域）增加污染物排放的项目。</w:t>
                  </w:r>
                </w:p>
                <w:p>
                  <w:pPr>
                    <w:pStyle w:val="164"/>
                    <w:jc w:val="both"/>
                  </w:pPr>
                  <w:r>
                    <w:t>7、不符合《重庆市人民政府办公厅关于印发重庆市供给侧结构性改革去产能专项方案的通知》（渝府办发〔2016〕128号）要求的环保、能耗、工艺与装备标准的煤炭、钢铁、水泥、电解铝、平板玻璃和船舶制造等项目</w:t>
                  </w:r>
                </w:p>
              </w:tc>
              <w:tc>
                <w:tcPr>
                  <w:tcW w:w="2041" w:type="dxa"/>
                  <w:shd w:val="clear" w:color="auto" w:fill="auto"/>
                  <w:vAlign w:val="center"/>
                </w:tcPr>
                <w:p>
                  <w:pPr>
                    <w:pStyle w:val="164"/>
                    <w:jc w:val="both"/>
                  </w:pPr>
                  <w:r>
                    <w:t>扩建项目属于木质家具制造，符合国家产业政策，不属于全市范围内不予准入的产业。未使用国家和本市淘汰的或禁止使用的工艺、技术和设备，所在区域具有一定的环境容量，不属于</w:t>
                  </w:r>
                  <w:r>
                    <w:rPr>
                      <w:rFonts w:hint="eastAsia"/>
                    </w:rPr>
                    <w:t>煤炭、钢铁、水泥、电解铝、平板玻璃和船舶制造等扩建项目</w:t>
                  </w:r>
                </w:p>
              </w:tc>
              <w:tc>
                <w:tcPr>
                  <w:tcW w:w="1128" w:type="dxa"/>
                  <w:shd w:val="clear" w:color="auto" w:fill="auto"/>
                  <w:vAlign w:val="center"/>
                </w:tcPr>
                <w:p>
                  <w:pPr>
                    <w:pStyle w:val="164"/>
                    <w:jc w:val="both"/>
                  </w:pPr>
                  <w:r>
                    <w:t>扩建项目不属于全市范围内不予准入的产业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36" w:type="dxa"/>
                  <w:shd w:val="clear" w:color="auto" w:fill="auto"/>
                  <w:vAlign w:val="center"/>
                </w:tcPr>
                <w:p>
                  <w:pPr>
                    <w:pStyle w:val="152"/>
                    <w:numPr>
                      <w:ilvl w:val="0"/>
                      <w:numId w:val="1"/>
                    </w:numPr>
                    <w:ind w:firstLineChars="0"/>
                    <w:rPr>
                      <w:rFonts w:ascii="Times New Roman" w:hAnsi="Times New Roman" w:eastAsia="宋体"/>
                    </w:rPr>
                  </w:pPr>
                </w:p>
              </w:tc>
              <w:tc>
                <w:tcPr>
                  <w:tcW w:w="4575" w:type="dxa"/>
                  <w:shd w:val="clear" w:color="auto" w:fill="auto"/>
                  <w:vAlign w:val="center"/>
                </w:tcPr>
                <w:p>
                  <w:pPr>
                    <w:pStyle w:val="164"/>
                    <w:jc w:val="both"/>
                  </w:pPr>
                  <w:r>
                    <w:t>2）重点区域范围内不予准入的产业</w:t>
                  </w:r>
                </w:p>
                <w:p>
                  <w:pPr>
                    <w:pStyle w:val="164"/>
                    <w:jc w:val="both"/>
                  </w:pPr>
                  <w:r>
                    <w:t>1、四山保护区域内的工业项目。</w:t>
                  </w:r>
                </w:p>
                <w:p>
                  <w:pPr>
                    <w:pStyle w:val="164"/>
                    <w:jc w:val="both"/>
                  </w:pPr>
                  <w:r>
                    <w:t>2、长江鱼嘴以上江段及其一级支流汇入口上游20公里、嘉陵江及其一级支流汇入口上游20公里、集中式饮用水水源取水口上游20公里范围内的沿岸地区（江河50年一遇洪水位向陆域一侧1公里范围内）的重金属（铬、镉、汞、砷、铅等五类重金属，下同）、剧毒物质和持久性有机污染物的工业项目。</w:t>
                  </w:r>
                </w:p>
                <w:p>
                  <w:pPr>
                    <w:pStyle w:val="164"/>
                    <w:jc w:val="both"/>
                  </w:pPr>
                  <w:r>
                    <w:t>3、未进入国家和市政府批准的化工园区或化工集中区的化工项目。</w:t>
                  </w:r>
                </w:p>
                <w:p>
                  <w:pPr>
                    <w:pStyle w:val="164"/>
                    <w:jc w:val="both"/>
                  </w:pPr>
                  <w:r>
                    <w:t>4、大气污染防治重点控制区域内，燃煤火电、化工、水泥、采（碎）石场、烧结砖瓦窑以及燃煤锅炉等项目。</w:t>
                  </w:r>
                </w:p>
                <w:p>
                  <w:pPr>
                    <w:pStyle w:val="164"/>
                    <w:jc w:val="both"/>
                  </w:pPr>
                  <w:r>
                    <w:t>5、主城区以外的各区县城区及其主导上风向5公里范围内，燃煤电厂、水泥、冶炼等大气污染严重的项目。</w:t>
                  </w:r>
                </w:p>
                <w:p>
                  <w:pPr>
                    <w:pStyle w:val="164"/>
                    <w:jc w:val="both"/>
                  </w:pPr>
                  <w:r>
                    <w:t>6、二十五度以上陡坡地开垦种植农作物。</w:t>
                  </w:r>
                </w:p>
                <w:p>
                  <w:pPr>
                    <w:pStyle w:val="164"/>
                    <w:jc w:val="both"/>
                  </w:pPr>
                  <w:r>
                    <w:t>7、饮用水水源保护区、自然保护区、自然文化遗产地、湿地公园、森林公园、风景名胜区、地质公园等区域进行工业化城镇化开发。其中，饮用水水源保护区包括一级保护区和二级保护区；自然保护区包括县级及以上自然保护区的核心区、缓冲区、实验区；自然文化遗产地、湿地公园、森林公园、风景名胜区、地质公园包括规划范围以内全部区域。</w:t>
                  </w:r>
                </w:p>
                <w:p>
                  <w:pPr>
                    <w:pStyle w:val="164"/>
                    <w:jc w:val="both"/>
                  </w:pPr>
                  <w:r>
                    <w:t>8、生态红线控制区、生态环境敏感区、人口聚集区涉重金属排放项目。</w:t>
                  </w:r>
                </w:p>
                <w:p>
                  <w:pPr>
                    <w:pStyle w:val="164"/>
                    <w:jc w:val="both"/>
                  </w:pPr>
                  <w:r>
                    <w:t>9、长江干流及主要支流岸线1公里范围内重化工项目（除在建项目外）。</w:t>
                  </w:r>
                </w:p>
                <w:p>
                  <w:pPr>
                    <w:pStyle w:val="164"/>
                    <w:jc w:val="both"/>
                  </w:pPr>
                  <w:r>
                    <w:t>10、修改为长江干流及主要支流（指乌江、嘉陵江、大宁河、阿蓬江、涪江、渠江）175米库岸沿线至第一山脊线范围内采矿。</w:t>
                  </w:r>
                </w:p>
                <w:p>
                  <w:pPr>
                    <w:pStyle w:val="164"/>
                    <w:jc w:val="both"/>
                  </w:pPr>
                  <w:r>
                    <w:t>11、外环绕城高速公路以内长江、嘉陵江水域采砂。</w:t>
                  </w:r>
                </w:p>
                <w:p>
                  <w:pPr>
                    <w:pStyle w:val="164"/>
                    <w:jc w:val="both"/>
                  </w:pPr>
                  <w:r>
                    <w:t>12、主城区不符合</w:t>
                  </w:r>
                  <w:r>
                    <w:rPr>
                      <w:rFonts w:hint="eastAsia"/>
                    </w:rPr>
                    <w:t>“</w:t>
                  </w:r>
                  <w:r>
                    <w:t>两江四岸</w:t>
                  </w:r>
                  <w:r>
                    <w:rPr>
                      <w:rFonts w:hint="eastAsia"/>
                    </w:rPr>
                    <w:t>“</w:t>
                  </w:r>
                  <w:r>
                    <w:t>规划设计景观要求的项目以及造纸、印染、危险废物处置项目。</w:t>
                  </w:r>
                </w:p>
                <w:p>
                  <w:pPr>
                    <w:pStyle w:val="164"/>
                    <w:jc w:val="both"/>
                  </w:pPr>
                  <w:r>
                    <w:t>13、主城区内环以内工业项目；内环以外燃煤电厂（含热电）、重化工以及使用煤和重油为燃料的工业项目。</w:t>
                  </w:r>
                </w:p>
                <w:p>
                  <w:pPr>
                    <w:pStyle w:val="164"/>
                    <w:jc w:val="both"/>
                  </w:pPr>
                  <w:r>
                    <w:t>14、主城区及其主导上风向20公里范围内大气污染严重的燃煤电厂（含热电）、冶炼、水泥项目。</w:t>
                  </w:r>
                </w:p>
                <w:p>
                  <w:pPr>
                    <w:pStyle w:val="164"/>
                    <w:jc w:val="both"/>
                  </w:pPr>
                  <w:r>
                    <w:t>15、长江、嘉陵江主城区江段及其上游沿江河地区排放有毒有害物质、重金属以及存在严重环境安全风险的产业项目。</w:t>
                  </w:r>
                </w:p>
                <w:p>
                  <w:pPr>
                    <w:pStyle w:val="164"/>
                    <w:jc w:val="both"/>
                  </w:pPr>
                  <w:r>
                    <w:t>16、东北部地区和东南部地区的化工项目（万州区仅限于对现有主体化工产业链进行完善和升级改造）</w:t>
                  </w:r>
                </w:p>
              </w:tc>
              <w:tc>
                <w:tcPr>
                  <w:tcW w:w="2041" w:type="dxa"/>
                  <w:shd w:val="clear" w:color="auto" w:fill="auto"/>
                  <w:vAlign w:val="center"/>
                </w:tcPr>
                <w:p>
                  <w:pPr>
                    <w:pStyle w:val="164"/>
                    <w:jc w:val="both"/>
                  </w:pPr>
                  <w:r>
                    <w:t>扩建项目位于铜梁工业园姜家岩片区内，不在内环以内，不属于重点区域范围内，不属于不予准入的产业。</w:t>
                  </w:r>
                </w:p>
                <w:p>
                  <w:pPr>
                    <w:pStyle w:val="164"/>
                    <w:jc w:val="both"/>
                  </w:pPr>
                  <w:r>
                    <w:t>扩建项目不涉及重金属的排放，扩建项目不属于化工扩建项目，不涉及四山保护区、风景名胜区、饮用水源保护区、生态敏感区等敏感区域，不紧邻长江沿岸，不使用煤和重油为燃料</w:t>
                  </w:r>
                </w:p>
              </w:tc>
              <w:tc>
                <w:tcPr>
                  <w:tcW w:w="1128" w:type="dxa"/>
                  <w:shd w:val="clear" w:color="auto" w:fill="auto"/>
                  <w:vAlign w:val="center"/>
                </w:tcPr>
                <w:p>
                  <w:pPr>
                    <w:pStyle w:val="164"/>
                    <w:jc w:val="both"/>
                  </w:pPr>
                  <w:r>
                    <w:t>扩建项目不在重点区域范围内，不属于不予准入的产业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6" w:type="dxa"/>
                  <w:shd w:val="clear" w:color="auto" w:fill="auto"/>
                  <w:vAlign w:val="center"/>
                </w:tcPr>
                <w:p>
                  <w:pPr>
                    <w:pStyle w:val="152"/>
                    <w:numPr>
                      <w:ilvl w:val="0"/>
                      <w:numId w:val="1"/>
                    </w:numPr>
                    <w:ind w:firstLineChars="0"/>
                    <w:rPr>
                      <w:rFonts w:ascii="Times New Roman" w:hAnsi="Times New Roman" w:eastAsia="宋体"/>
                    </w:rPr>
                  </w:pPr>
                </w:p>
              </w:tc>
              <w:tc>
                <w:tcPr>
                  <w:tcW w:w="4575" w:type="dxa"/>
                  <w:shd w:val="clear" w:color="auto" w:fill="auto"/>
                  <w:vAlign w:val="center"/>
                </w:tcPr>
                <w:p>
                  <w:pPr>
                    <w:pStyle w:val="164"/>
                    <w:jc w:val="both"/>
                  </w:pPr>
                  <w:r>
                    <w:t>3）限制准入类</w:t>
                  </w:r>
                </w:p>
                <w:p>
                  <w:pPr>
                    <w:pStyle w:val="164"/>
                    <w:jc w:val="both"/>
                  </w:pPr>
                  <w:r>
                    <w:t>1、长江干流及主要支流岸线5公里范围内，除经国家和市政府批准设立、仍在建设的工业园区外，不再新布局工业园区（不包括现有工业园区拓展）。</w:t>
                  </w:r>
                </w:p>
                <w:p>
                  <w:pPr>
                    <w:pStyle w:val="164"/>
                    <w:jc w:val="both"/>
                  </w:pPr>
                  <w:r>
                    <w:t>2、大气污染防治一般控制区域内，限制建设大气污染严重项目。</w:t>
                  </w:r>
                </w:p>
                <w:p>
                  <w:pPr>
                    <w:pStyle w:val="164"/>
                    <w:jc w:val="both"/>
                  </w:pPr>
                  <w:r>
                    <w:t>3、其他区县的缺水区域严格限制建设高耗水的工业项目。</w:t>
                  </w:r>
                </w:p>
                <w:p>
                  <w:pPr>
                    <w:pStyle w:val="164"/>
                    <w:jc w:val="both"/>
                  </w:pPr>
                  <w:r>
                    <w:t>4、合川区、江津区、长寿区、璧山区等地区，严格限制新建可能对主城区大气产生影响的燃用煤、重油等高污染燃料的工业项目。</w:t>
                  </w:r>
                </w:p>
                <w:p>
                  <w:pPr>
                    <w:pStyle w:val="164"/>
                    <w:jc w:val="both"/>
                  </w:pPr>
                  <w:r>
                    <w:t>5、东北部地区、东南部地区限制发展易破坏生态植被的采矿业、建材等工业项目</w:t>
                  </w:r>
                </w:p>
              </w:tc>
              <w:tc>
                <w:tcPr>
                  <w:tcW w:w="2041" w:type="dxa"/>
                  <w:shd w:val="clear" w:color="auto" w:fill="auto"/>
                  <w:vAlign w:val="center"/>
                </w:tcPr>
                <w:p>
                  <w:pPr>
                    <w:pStyle w:val="164"/>
                    <w:jc w:val="both"/>
                  </w:pPr>
                  <w:r>
                    <w:t>扩建项目位于铜梁工业园姜家岩片区内，扩建项目不属于大气污染严重的扩建项目，扩建项目能耗较低，不使用燃用煤、重油等高污染燃料。扩建项目不属于限制准入类</w:t>
                  </w:r>
                </w:p>
              </w:tc>
              <w:tc>
                <w:tcPr>
                  <w:tcW w:w="1128" w:type="dxa"/>
                  <w:shd w:val="clear" w:color="auto" w:fill="auto"/>
                  <w:vAlign w:val="center"/>
                </w:tcPr>
                <w:p>
                  <w:pPr>
                    <w:pStyle w:val="164"/>
                    <w:jc w:val="both"/>
                  </w:pPr>
                  <w:r>
                    <w:t>扩建项目不属于限制准入类扩建项目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98" w:hRule="atLeast"/>
                <w:jc w:val="center"/>
              </w:trPr>
              <w:tc>
                <w:tcPr>
                  <w:tcW w:w="536" w:type="dxa"/>
                  <w:shd w:val="clear" w:color="auto" w:fill="auto"/>
                  <w:vAlign w:val="center"/>
                </w:tcPr>
                <w:p>
                  <w:pPr>
                    <w:pStyle w:val="152"/>
                    <w:numPr>
                      <w:ilvl w:val="0"/>
                      <w:numId w:val="1"/>
                    </w:numPr>
                    <w:ind w:firstLineChars="0"/>
                    <w:rPr>
                      <w:rFonts w:ascii="Times New Roman" w:hAnsi="Times New Roman" w:eastAsia="宋体"/>
                    </w:rPr>
                  </w:pPr>
                </w:p>
              </w:tc>
              <w:tc>
                <w:tcPr>
                  <w:tcW w:w="4575" w:type="dxa"/>
                  <w:shd w:val="clear" w:color="auto" w:fill="auto"/>
                  <w:vAlign w:val="center"/>
                </w:tcPr>
                <w:p>
                  <w:pPr>
                    <w:pStyle w:val="164"/>
                  </w:pPr>
                  <w:r>
                    <w:t>家具制造业主城区内环以内不予准入</w:t>
                  </w:r>
                </w:p>
              </w:tc>
              <w:tc>
                <w:tcPr>
                  <w:tcW w:w="2041" w:type="dxa"/>
                  <w:shd w:val="clear" w:color="auto" w:fill="auto"/>
                  <w:vAlign w:val="center"/>
                </w:tcPr>
                <w:p>
                  <w:pPr>
                    <w:pStyle w:val="164"/>
                    <w:jc w:val="both"/>
                  </w:pPr>
                  <w:r>
                    <w:t>扩建项目不在内环以内</w:t>
                  </w:r>
                </w:p>
              </w:tc>
              <w:tc>
                <w:tcPr>
                  <w:tcW w:w="1128" w:type="dxa"/>
                  <w:shd w:val="clear" w:color="auto" w:fill="auto"/>
                  <w:vAlign w:val="center"/>
                </w:tcPr>
                <w:p>
                  <w:pPr>
                    <w:pStyle w:val="164"/>
                    <w:jc w:val="both"/>
                  </w:pPr>
                  <w:r>
                    <w:t>扩建项目不属于不予准入类扩建项目</w:t>
                  </w:r>
                </w:p>
              </w:tc>
            </w:tr>
          </w:tbl>
          <w:p>
            <w:pPr>
              <w:pStyle w:val="160"/>
              <w:ind w:firstLine="480"/>
            </w:pPr>
            <w:r>
              <w:t>因此，扩建项目符合《重庆市发展和改革委员会重庆市产业投资准入工作手册》（渝发改投[2018]541号）产业政策的要求。</w:t>
            </w:r>
          </w:p>
          <w:p>
            <w:pPr>
              <w:pStyle w:val="160"/>
              <w:ind w:firstLine="0" w:firstLineChars="0"/>
              <w:rPr>
                <w:b/>
              </w:rPr>
            </w:pPr>
            <w:r>
              <w:rPr>
                <w:b/>
              </w:rPr>
              <w:t>1.1.7.</w:t>
            </w:r>
            <w:r>
              <w:rPr>
                <w:rFonts w:hint="eastAsia"/>
                <w:b/>
              </w:rPr>
              <w:t>4</w:t>
            </w:r>
            <w:r>
              <w:rPr>
                <w:b/>
              </w:rPr>
              <w:t>与</w:t>
            </w:r>
            <w:r>
              <w:rPr>
                <w:rFonts w:hint="eastAsia"/>
                <w:b/>
              </w:rPr>
              <w:t>《重庆市发展和改革委员会重庆市经济和信息化委员会关于严格工业布局和准入的通知》（渝发改〔</w:t>
            </w:r>
            <w:r>
              <w:rPr>
                <w:b/>
              </w:rPr>
              <w:t>2018〕781号）符合性分析</w:t>
            </w:r>
          </w:p>
          <w:p>
            <w:pPr>
              <w:pStyle w:val="160"/>
              <w:ind w:firstLine="480"/>
            </w:pPr>
            <w:r>
              <w:rPr>
                <w:rFonts w:hint="eastAsia"/>
              </w:rPr>
              <w:t>按照深化投融资体制改革相关要求，为持续提升全市投资便利化水平，我委结合近年来国家和我市出台的产业准入等政策调整情况，修订了《重庆市产业投资准入工作手册》</w:t>
            </w:r>
            <w:r>
              <w:t>。扩建项目与重庆市产业投资准入工作手册符合性分析见表1.1-12。</w:t>
            </w:r>
          </w:p>
          <w:p>
            <w:pPr>
              <w:pStyle w:val="164"/>
              <w:rPr>
                <w:color w:val="auto"/>
              </w:rPr>
            </w:pPr>
            <w:bookmarkStart w:id="4" w:name="_Ref83254851"/>
            <w:r>
              <w:rPr>
                <w:rFonts w:hint="eastAsia"/>
                <w:color w:val="auto"/>
              </w:rPr>
              <w:t>表</w:t>
            </w:r>
            <w:bookmarkEnd w:id="4"/>
            <w:r>
              <w:rPr>
                <w:rFonts w:hint="eastAsia"/>
                <w:color w:val="auto"/>
              </w:rPr>
              <w:t xml:space="preserve">1.1-12   </w:t>
            </w:r>
            <w:r>
              <w:rPr>
                <w:color w:val="auto"/>
              </w:rPr>
              <w:t>扩建项目与关于严格工业布局和准入的通知的符合性分析</w:t>
            </w:r>
          </w:p>
          <w:tbl>
            <w:tblPr>
              <w:tblStyle w:val="88"/>
              <w:tblW w:w="8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2198"/>
              <w:gridCol w:w="3318"/>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2199" w:type="dxa"/>
                  <w:vMerge w:val="restart"/>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行业、项目</w:t>
                  </w:r>
                </w:p>
              </w:tc>
              <w:tc>
                <w:tcPr>
                  <w:tcW w:w="2198"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一区</w:t>
                  </w:r>
                </w:p>
              </w:tc>
              <w:tc>
                <w:tcPr>
                  <w:tcW w:w="3318" w:type="dxa"/>
                  <w:vMerge w:val="restart"/>
                  <w:tcBorders>
                    <w:top w:val="single" w:color="auto" w:sz="4" w:space="0"/>
                    <w:left w:val="single" w:color="auto" w:sz="4" w:space="0"/>
                    <w:right w:val="single" w:color="auto" w:sz="4" w:space="0"/>
                  </w:tcBorders>
                  <w:vAlign w:val="center"/>
                </w:tcPr>
                <w:p>
                  <w:pPr>
                    <w:pStyle w:val="164"/>
                    <w:jc w:val="both"/>
                    <w:rPr>
                      <w:color w:val="auto"/>
                    </w:rPr>
                  </w:pPr>
                  <w:r>
                    <w:rPr>
                      <w:color w:val="auto"/>
                    </w:rPr>
                    <w:t>扩建项目情况</w:t>
                  </w:r>
                </w:p>
              </w:tc>
              <w:tc>
                <w:tcPr>
                  <w:tcW w:w="563" w:type="dxa"/>
                  <w:vMerge w:val="restart"/>
                  <w:tcBorders>
                    <w:top w:val="single" w:color="auto" w:sz="4" w:space="0"/>
                    <w:left w:val="single" w:color="auto" w:sz="4" w:space="0"/>
                    <w:right w:val="single" w:color="auto" w:sz="4" w:space="0"/>
                  </w:tcBorders>
                  <w:vAlign w:val="center"/>
                </w:tcPr>
                <w:p>
                  <w:pPr>
                    <w:pStyle w:val="164"/>
                    <w:jc w:val="both"/>
                    <w:rPr>
                      <w:color w:val="auto"/>
                    </w:rPr>
                  </w:pPr>
                  <w:r>
                    <w:rPr>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2199" w:type="dxa"/>
                  <w:vMerge w:val="continue"/>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p>
              </w:tc>
              <w:tc>
                <w:tcPr>
                  <w:tcW w:w="2198"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主城新区</w:t>
                  </w:r>
                </w:p>
              </w:tc>
              <w:tc>
                <w:tcPr>
                  <w:tcW w:w="3318" w:type="dxa"/>
                  <w:vMerge w:val="continue"/>
                  <w:tcBorders>
                    <w:left w:val="single" w:color="auto" w:sz="4" w:space="0"/>
                    <w:bottom w:val="single" w:color="auto" w:sz="4" w:space="0"/>
                    <w:right w:val="single" w:color="auto" w:sz="4" w:space="0"/>
                  </w:tcBorders>
                  <w:vAlign w:val="center"/>
                </w:tcPr>
                <w:p>
                  <w:pPr>
                    <w:pStyle w:val="164"/>
                    <w:jc w:val="both"/>
                    <w:rPr>
                      <w:color w:val="auto"/>
                    </w:rPr>
                  </w:pPr>
                </w:p>
              </w:tc>
              <w:tc>
                <w:tcPr>
                  <w:tcW w:w="563" w:type="dxa"/>
                  <w:vMerge w:val="continue"/>
                  <w:tcBorders>
                    <w:left w:val="single" w:color="auto" w:sz="4" w:space="0"/>
                    <w:bottom w:val="single" w:color="auto" w:sz="4" w:space="0"/>
                    <w:right w:val="single" w:color="auto" w:sz="4" w:space="0"/>
                  </w:tcBorders>
                  <w:vAlign w:val="center"/>
                </w:tcPr>
                <w:p>
                  <w:pPr>
                    <w:pStyle w:val="164"/>
                    <w:jc w:val="both"/>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99"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新建、改建、扩建排放污染物的投资建设项目</w:t>
                  </w:r>
                </w:p>
              </w:tc>
              <w:tc>
                <w:tcPr>
                  <w:tcW w:w="2198"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饮用水源二级保护区的岸线和河段范围不予准入</w:t>
                  </w:r>
                </w:p>
              </w:tc>
              <w:tc>
                <w:tcPr>
                  <w:tcW w:w="3318"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color w:val="auto"/>
                    </w:rPr>
                    <w:t>扩建项目重庆铜梁高新区姜家岩片区，不涉及</w:t>
                  </w:r>
                  <w:r>
                    <w:rPr>
                      <w:rFonts w:hint="eastAsia"/>
                      <w:color w:val="auto"/>
                    </w:rPr>
                    <w:t>饮用水源二级保护区的岸线和河段</w:t>
                  </w:r>
                </w:p>
              </w:tc>
              <w:tc>
                <w:tcPr>
                  <w:tcW w:w="563"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199"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布局新建纸浆制造、印染等存在环境风险的项目</w:t>
                  </w:r>
                </w:p>
              </w:tc>
              <w:tc>
                <w:tcPr>
                  <w:tcW w:w="2198"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长江、嘉陵江、乌江岸线</w:t>
                  </w:r>
                  <w:r>
                    <w:rPr>
                      <w:color w:val="auto"/>
                    </w:rPr>
                    <w:t>1</w:t>
                  </w:r>
                  <w:r>
                    <w:rPr>
                      <w:rFonts w:hint="eastAsia"/>
                      <w:color w:val="auto"/>
                    </w:rPr>
                    <w:t>公里范围内限制准入</w:t>
                  </w:r>
                </w:p>
              </w:tc>
              <w:tc>
                <w:tcPr>
                  <w:tcW w:w="3318"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color w:val="auto"/>
                    </w:rPr>
                    <w:t>扩建项目重庆铜梁高新区姜家岩片区，距离</w:t>
                  </w:r>
                  <w:r>
                    <w:rPr>
                      <w:rFonts w:hint="eastAsia"/>
                      <w:color w:val="auto"/>
                    </w:rPr>
                    <w:t>长江、嘉陵江、乌江岸线</w:t>
                  </w:r>
                  <w:r>
                    <w:rPr>
                      <w:color w:val="auto"/>
                    </w:rPr>
                    <w:t>1</w:t>
                  </w:r>
                  <w:r>
                    <w:rPr>
                      <w:rFonts w:hint="eastAsia"/>
                      <w:color w:val="auto"/>
                    </w:rPr>
                    <w:t>公里以上</w:t>
                  </w:r>
                </w:p>
              </w:tc>
              <w:tc>
                <w:tcPr>
                  <w:tcW w:w="563" w:type="dxa"/>
                  <w:tcBorders>
                    <w:top w:val="single" w:color="auto" w:sz="4" w:space="0"/>
                    <w:left w:val="single" w:color="auto" w:sz="4" w:space="0"/>
                    <w:bottom w:val="single" w:color="auto" w:sz="4" w:space="0"/>
                    <w:right w:val="single" w:color="auto" w:sz="4" w:space="0"/>
                  </w:tcBorders>
                  <w:vAlign w:val="center"/>
                </w:tcPr>
                <w:p>
                  <w:pPr>
                    <w:pStyle w:val="164"/>
                    <w:jc w:val="both"/>
                    <w:rPr>
                      <w:color w:val="auto"/>
                    </w:rPr>
                  </w:pPr>
                  <w:r>
                    <w:rPr>
                      <w:rFonts w:hint="eastAsia"/>
                      <w:color w:val="auto"/>
                    </w:rPr>
                    <w:t>符合</w:t>
                  </w:r>
                </w:p>
              </w:tc>
            </w:tr>
          </w:tbl>
          <w:p>
            <w:pPr>
              <w:pStyle w:val="160"/>
              <w:ind w:firstLine="480"/>
            </w:pPr>
            <w:r>
              <w:t>由</w:t>
            </w:r>
            <w:r>
              <w:fldChar w:fldCharType="begin"/>
            </w:r>
            <w:r>
              <w:instrText xml:space="preserve"> REF _Ref83254851 \h  \* MERGEFORMAT </w:instrText>
            </w:r>
            <w:r>
              <w:fldChar w:fldCharType="separate"/>
            </w:r>
            <w:r>
              <w:rPr>
                <w:rFonts w:hint="eastAsia"/>
              </w:rPr>
              <w:t>表1.1-12</w:t>
            </w:r>
            <w:r>
              <w:fldChar w:fldCharType="end"/>
            </w:r>
            <w:r>
              <w:t>可知，</w:t>
            </w:r>
            <w:r>
              <w:rPr>
                <w:rFonts w:cs="Times New Roman"/>
              </w:rPr>
              <w:t>扩建项目的建设符合</w:t>
            </w:r>
            <w:r>
              <w:rPr>
                <w:rFonts w:cs="Times New Roman"/>
                <w:kern w:val="0"/>
              </w:rPr>
              <w:t>《重庆市产业投资准入工作手册》</w:t>
            </w:r>
            <w:r>
              <w:rPr>
                <w:rFonts w:cs="Times New Roman"/>
              </w:rPr>
              <w:t>的相关要求。</w:t>
            </w:r>
          </w:p>
          <w:p>
            <w:pPr>
              <w:pStyle w:val="160"/>
              <w:ind w:firstLine="482"/>
              <w:rPr>
                <w:b/>
              </w:rPr>
            </w:pPr>
            <w:r>
              <w:rPr>
                <w:b/>
              </w:rPr>
              <w:t>1.1.7.</w:t>
            </w:r>
            <w:r>
              <w:rPr>
                <w:rFonts w:hint="eastAsia"/>
                <w:b/>
              </w:rPr>
              <w:t>5与重庆市工业项目环境准入规定的符合性分析</w:t>
            </w:r>
          </w:p>
          <w:p>
            <w:pPr>
              <w:pStyle w:val="160"/>
              <w:ind w:firstLine="480"/>
            </w:pPr>
            <w:r>
              <w:rPr>
                <w:rFonts w:hint="eastAsia"/>
              </w:rPr>
              <w:t>根据《重庆市工业项目环境准入规定（修订）</w:t>
            </w:r>
            <w:r>
              <w:t>》渝环发[2012]142号中的相关规定及要求，对扩建项目进行环境准入分析，见</w:t>
            </w:r>
            <w:r>
              <w:fldChar w:fldCharType="begin"/>
            </w:r>
            <w:r>
              <w:instrText xml:space="preserve"> REF _Ref82534448 \h </w:instrText>
            </w:r>
            <w:r>
              <w:fldChar w:fldCharType="separate"/>
            </w:r>
            <w:r>
              <w:rPr>
                <w:rFonts w:hint="eastAsia"/>
              </w:rPr>
              <w:t>表1.1-13</w:t>
            </w:r>
            <w:r>
              <w:fldChar w:fldCharType="end"/>
            </w:r>
            <w:r>
              <w:t>。</w:t>
            </w:r>
          </w:p>
          <w:p>
            <w:pPr>
              <w:pStyle w:val="164"/>
            </w:pPr>
            <w:r>
              <w:fldChar w:fldCharType="begin"/>
            </w:r>
            <w:r>
              <w:instrText xml:space="preserve"> REF _Ref82534448 \h </w:instrText>
            </w:r>
            <w:r>
              <w:fldChar w:fldCharType="separate"/>
            </w:r>
            <w:r>
              <w:rPr>
                <w:rFonts w:hint="eastAsia"/>
              </w:rPr>
              <w:t>表1.1-13</w:t>
            </w:r>
            <w:r>
              <w:fldChar w:fldCharType="end"/>
            </w:r>
            <w:r>
              <w:t>扩建项目与重庆市工业项目环境准入规定（修订）的符合性</w:t>
            </w:r>
          </w:p>
          <w:tbl>
            <w:tblPr>
              <w:tblStyle w:val="162"/>
              <w:tblW w:w="8183"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7"/>
              <w:gridCol w:w="4349"/>
              <w:gridCol w:w="2693"/>
              <w:gridCol w:w="6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64"/>
                    <w:rPr>
                      <w:b w:val="0"/>
                    </w:rPr>
                  </w:pPr>
                  <w:r>
                    <w:rPr>
                      <w:b/>
                    </w:rPr>
                    <w:t>序号</w:t>
                  </w:r>
                </w:p>
              </w:tc>
              <w:tc>
                <w:tcPr>
                  <w:tcW w:w="4349" w:type="dxa"/>
                  <w:shd w:val="clear" w:color="auto" w:fill="auto"/>
                  <w:vAlign w:val="center"/>
                </w:tcPr>
                <w:p>
                  <w:pPr>
                    <w:pStyle w:val="164"/>
                    <w:rPr>
                      <w:b w:val="0"/>
                    </w:rPr>
                  </w:pPr>
                  <w:r>
                    <w:rPr>
                      <w:b/>
                    </w:rPr>
                    <w:t>重庆市工业项目环境准入规定（修订）（渝环发[2012]142号）环境准入条件</w:t>
                  </w:r>
                </w:p>
              </w:tc>
              <w:tc>
                <w:tcPr>
                  <w:tcW w:w="2693" w:type="dxa"/>
                  <w:shd w:val="clear" w:color="auto" w:fill="auto"/>
                  <w:vAlign w:val="center"/>
                </w:tcPr>
                <w:p>
                  <w:pPr>
                    <w:pStyle w:val="164"/>
                    <w:rPr>
                      <w:b w:val="0"/>
                    </w:rPr>
                  </w:pPr>
                  <w:r>
                    <w:rPr>
                      <w:b/>
                    </w:rPr>
                    <w:t>扩建项目情况</w:t>
                  </w:r>
                </w:p>
              </w:tc>
              <w:tc>
                <w:tcPr>
                  <w:tcW w:w="654" w:type="dxa"/>
                  <w:shd w:val="clear" w:color="auto" w:fill="auto"/>
                  <w:vAlign w:val="center"/>
                </w:tcPr>
                <w:p>
                  <w:pPr>
                    <w:pStyle w:val="164"/>
                    <w:rPr>
                      <w:b w:val="0"/>
                    </w:rPr>
                  </w:pPr>
                  <w:r>
                    <w:rPr>
                      <w:b/>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工业项目应符合产业政策，不得采用国家和我市淘汰的或禁止使用的工艺、技术和设备，不得建设生产工艺或污染防治技术不成熟的项目</w:t>
                  </w:r>
                </w:p>
              </w:tc>
              <w:tc>
                <w:tcPr>
                  <w:tcW w:w="2693" w:type="dxa"/>
                  <w:shd w:val="clear" w:color="auto" w:fill="auto"/>
                  <w:vAlign w:val="center"/>
                </w:tcPr>
                <w:p>
                  <w:pPr>
                    <w:pStyle w:val="164"/>
                    <w:jc w:val="left"/>
                  </w:pPr>
                  <w:r>
                    <w:rPr>
                      <w:rFonts w:hint="eastAsia"/>
                    </w:rPr>
                    <w:t>扩建项目符合产业政策，未采用国家和本市淘汰的或禁止使用的工艺、技术和设备，不属于生产工艺或污染防治技术不成熟的扩建项目</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本市新建和改造的工业项目清洁生产水平不得低于国家清洁生产标准的国内基本水平。其中</w:t>
                  </w:r>
                  <w:r>
                    <w:rPr>
                      <w:rFonts w:hint="eastAsia"/>
                    </w:rPr>
                    <w:t>“</w:t>
                  </w:r>
                  <w:r>
                    <w:t>一小时经济圈</w:t>
                  </w:r>
                  <w:r>
                    <w:rPr>
                      <w:rFonts w:hint="eastAsia"/>
                    </w:rPr>
                    <w:t>”</w:t>
                  </w:r>
                  <w:r>
                    <w:t>和国家级开发区内的，应达到国内先进水平</w:t>
                  </w:r>
                </w:p>
              </w:tc>
              <w:tc>
                <w:tcPr>
                  <w:tcW w:w="2693" w:type="dxa"/>
                  <w:shd w:val="clear" w:color="auto" w:fill="auto"/>
                  <w:vAlign w:val="center"/>
                </w:tcPr>
                <w:p>
                  <w:pPr>
                    <w:pStyle w:val="164"/>
                    <w:jc w:val="left"/>
                  </w:pPr>
                  <w:r>
                    <w:t>扩建项目位于</w:t>
                  </w:r>
                  <w:r>
                    <w:rPr>
                      <w:rFonts w:hint="eastAsia"/>
                    </w:rPr>
                    <w:t>“</w:t>
                  </w:r>
                  <w:r>
                    <w:t>一小时经济圈</w:t>
                  </w:r>
                  <w:r>
                    <w:rPr>
                      <w:rFonts w:hint="eastAsia"/>
                    </w:rPr>
                    <w:t>”</w:t>
                  </w:r>
                  <w:r>
                    <w:t>内，清洁水平达到国内先进水平</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工业项目选址应符合产业发展规划、城乡总体规划、土地利用规划等规划。新建有污染物排放的工业项目应进入工业园区或工业集中区</w:t>
                  </w:r>
                </w:p>
              </w:tc>
              <w:tc>
                <w:tcPr>
                  <w:tcW w:w="2693" w:type="dxa"/>
                  <w:shd w:val="clear" w:color="auto" w:fill="auto"/>
                  <w:vAlign w:val="center"/>
                </w:tcPr>
                <w:p>
                  <w:pPr>
                    <w:pStyle w:val="164"/>
                    <w:jc w:val="left"/>
                  </w:pPr>
                  <w:r>
                    <w:t>扩建项目</w:t>
                  </w:r>
                  <w:r>
                    <w:rPr>
                      <w:rFonts w:hint="eastAsia"/>
                    </w:rPr>
                    <w:t>位于铜梁工业园姜家岩片区</w:t>
                  </w:r>
                  <w:r>
                    <w:t>，扩建项目选址用地规划属于工业用地</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在长江、嘉陵江主城区江段及其上游江河地区严格限制建设可能对饮用水源带来安全隐患的化工、造纸、印染及排放有毒有害物质和重金属的工业项目上。在长江鱼嘴以上江段及其一级支流汇入口上游5公里、嘉陵江及其一级支流汇入口上游5公里、集中式饮用水源地取水口上游5公里的沿岸地区，禁止新建、扩建排放重金属、剧毒物质和持久性有机污染物的工业项目</w:t>
                  </w:r>
                </w:p>
              </w:tc>
              <w:tc>
                <w:tcPr>
                  <w:tcW w:w="2693" w:type="dxa"/>
                  <w:shd w:val="clear" w:color="auto" w:fill="auto"/>
                  <w:vAlign w:val="center"/>
                </w:tcPr>
                <w:p>
                  <w:pPr>
                    <w:pStyle w:val="164"/>
                    <w:jc w:val="left"/>
                  </w:pPr>
                  <w:r>
                    <w:t>扩建项目不属于</w:t>
                  </w:r>
                  <w:r>
                    <w:rPr>
                      <w:rFonts w:hint="eastAsia"/>
                    </w:rPr>
                    <w:t>可能对饮用水源带来安全隐患的化工、造纸、印染及排放有毒有害物质和重金属的工业扩建项目</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在主城区禁止新建、改建、扩建以煤、重油为燃料的工业项目；在合川区、江津区、长寿区、璧</w:t>
                  </w:r>
                  <w:r>
                    <w:rPr>
                      <w:rFonts w:hint="eastAsia"/>
                    </w:rPr>
                    <w:t>山</w:t>
                  </w:r>
                  <w:r>
                    <w:t>县等地区严格限制新建、扩建可能对主城区大产生影响的燃用煤、重油等高污染燃料的工业项目。在主城区及其主导风上风10公里范围内禁止新建、扩建大气污染严重的火电、冶炼、水泥项目及10蒸吨/小时以上燃煤锅炉。在区县（自治县）中心城区及其主导风上风向5公里范围内，严格限制新建、扩建大气污染严重的火电、冶炼、水泥项目及10蒸吨/小时以上燃煤锅炉</w:t>
                  </w:r>
                </w:p>
              </w:tc>
              <w:tc>
                <w:tcPr>
                  <w:tcW w:w="2693" w:type="dxa"/>
                  <w:shd w:val="clear" w:color="auto" w:fill="auto"/>
                  <w:vAlign w:val="center"/>
                </w:tcPr>
                <w:p>
                  <w:pPr>
                    <w:pStyle w:val="164"/>
                    <w:jc w:val="left"/>
                  </w:pPr>
                  <w:r>
                    <w:t>扩建项目属C2110木质家具制造业，生产能源为电能，不使用燃煤</w:t>
                  </w:r>
                  <w:r>
                    <w:rPr>
                      <w:rFonts w:hint="eastAsia"/>
                    </w:rPr>
                    <w:t>；不属于可能对主城区大气产生影响的燃用煤、重油等高污染燃料的工业项目</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工业项目选址区域应有相应的环境容量，新增主要污染物排放量的工业项目必须取得排污指标，不得影响污染物总量减排计划的完成。未按要求完成污染物总</w:t>
                  </w:r>
                  <w:r>
                    <w:rPr>
                      <w:rFonts w:hint="eastAsia"/>
                    </w:rPr>
                    <w:t>量</w:t>
                  </w:r>
                  <w:r>
                    <w:t>削减</w:t>
                  </w:r>
                  <w:r>
                    <w:rPr>
                      <w:rFonts w:hint="eastAsia"/>
                    </w:rPr>
                    <w:t>任</w:t>
                  </w:r>
                  <w:r>
                    <w:t>务的企业、流域和区域，不得建设新增相应污染物排放量的工业项目</w:t>
                  </w:r>
                </w:p>
              </w:tc>
              <w:tc>
                <w:tcPr>
                  <w:tcW w:w="2693" w:type="dxa"/>
                  <w:shd w:val="clear" w:color="auto" w:fill="auto"/>
                  <w:vAlign w:val="center"/>
                </w:tcPr>
                <w:p>
                  <w:pPr>
                    <w:pStyle w:val="164"/>
                    <w:jc w:val="left"/>
                  </w:pPr>
                  <w:r>
                    <w:rPr>
                      <w:rFonts w:hint="eastAsia"/>
                      <w:color w:val="auto"/>
                    </w:rPr>
                    <w:t>扩建项目总量指标由主管部门统一协调。扩建项目</w:t>
                  </w:r>
                  <w:r>
                    <w:rPr>
                      <w:rFonts w:hint="eastAsia"/>
                    </w:rPr>
                    <w:t>污染物排放总量占该区域环境容量的比率很小、同时实现了增产减污，满足相关总量要求。</w:t>
                  </w:r>
                  <w:r>
                    <w:t>扩建项目排放污染物较少</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新建、改建、扩建工业项目所在地大气、水环境主要污染物现状浓度占标准值90%-100%的，项目所在地应按该项目新增污染物排放量的1.5倍削减现在污染物排放量</w:t>
                  </w:r>
                </w:p>
              </w:tc>
              <w:tc>
                <w:tcPr>
                  <w:tcW w:w="2693" w:type="dxa"/>
                  <w:shd w:val="clear" w:color="auto" w:fill="auto"/>
                  <w:vAlign w:val="center"/>
                </w:tcPr>
                <w:p>
                  <w:pPr>
                    <w:pStyle w:val="164"/>
                    <w:jc w:val="left"/>
                  </w:pPr>
                  <w:r>
                    <w:t>扩建项目所在区域的大气为不达标</w:t>
                  </w:r>
                  <w:r>
                    <w:rPr>
                      <w:color w:val="auto"/>
                    </w:rPr>
                    <w:t>区</w:t>
                  </w:r>
                  <w:r>
                    <w:rPr>
                      <w:rFonts w:hint="eastAsia"/>
                      <w:color w:val="auto"/>
                    </w:rPr>
                    <w:t>，非甲烷总烃占标率为48.5%</w:t>
                  </w:r>
                  <w:r>
                    <w:rPr>
                      <w:color w:val="auto"/>
                    </w:rPr>
                    <w:t>；水环境主要污染物现状浓度占标准值</w:t>
                  </w:r>
                  <w:r>
                    <w:rPr>
                      <w:rFonts w:hint="eastAsia"/>
                      <w:color w:val="auto"/>
                    </w:rPr>
                    <w:t>均</w:t>
                  </w:r>
                  <w:r>
                    <w:rPr>
                      <w:color w:val="auto"/>
                    </w:rPr>
                    <w:t>低于90%</w:t>
                  </w:r>
                  <w:r>
                    <w:rPr>
                      <w:rFonts w:hint="eastAsia"/>
                      <w:color w:val="auto"/>
                    </w:rPr>
                    <w:t>。</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新增重金属排放量的工业项目应落实污染物排放指标来源，确保国家重金属重点防控区域重金属排放总量计划削减，其余域的重金属排放总量不增加。优先保障市级重点项目的重金属污染物排放指标</w:t>
                  </w:r>
                </w:p>
              </w:tc>
              <w:tc>
                <w:tcPr>
                  <w:tcW w:w="2693" w:type="dxa"/>
                  <w:shd w:val="clear" w:color="auto" w:fill="auto"/>
                  <w:vAlign w:val="center"/>
                </w:tcPr>
                <w:p>
                  <w:pPr>
                    <w:pStyle w:val="164"/>
                    <w:jc w:val="left"/>
                  </w:pPr>
                  <w:r>
                    <w:t>扩建项目不涉及重金属排放</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pPr>
                  <w:r>
                    <w:t>禁止建设存在重大环境安全隐患的工业项目</w:t>
                  </w:r>
                </w:p>
              </w:tc>
              <w:tc>
                <w:tcPr>
                  <w:tcW w:w="2693" w:type="dxa"/>
                  <w:shd w:val="clear" w:color="auto" w:fill="auto"/>
                  <w:vAlign w:val="center"/>
                </w:tcPr>
                <w:p>
                  <w:pPr>
                    <w:pStyle w:val="164"/>
                    <w:jc w:val="left"/>
                  </w:pPr>
                  <w:r>
                    <w:t>扩建项目不存在重大环境安全隐患</w:t>
                  </w:r>
                </w:p>
              </w:tc>
              <w:tc>
                <w:tcPr>
                  <w:tcW w:w="654" w:type="dxa"/>
                  <w:shd w:val="clear" w:color="auto" w:fill="auto"/>
                  <w:vAlign w:val="center"/>
                </w:tcPr>
                <w:p>
                  <w:pPr>
                    <w:pStyle w:val="164"/>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7" w:type="dxa"/>
                  <w:shd w:val="clear" w:color="auto" w:fill="auto"/>
                  <w:vAlign w:val="center"/>
                </w:tcPr>
                <w:p>
                  <w:pPr>
                    <w:pStyle w:val="152"/>
                    <w:numPr>
                      <w:ilvl w:val="0"/>
                      <w:numId w:val="2"/>
                    </w:numPr>
                    <w:ind w:firstLineChars="0"/>
                    <w:rPr>
                      <w:rFonts w:ascii="Times New Roman" w:hAnsi="Times New Roman" w:eastAsia="宋体"/>
                    </w:rPr>
                  </w:pPr>
                </w:p>
              </w:tc>
              <w:tc>
                <w:tcPr>
                  <w:tcW w:w="4349" w:type="dxa"/>
                  <w:shd w:val="clear" w:color="auto" w:fill="auto"/>
                  <w:vAlign w:val="center"/>
                </w:tcPr>
                <w:p>
                  <w:pPr>
                    <w:pStyle w:val="164"/>
                    <w:jc w:val="both"/>
                  </w:pPr>
                  <w:r>
                    <w:t>工业项目排放污染物必须达到国家和地方规定的污染物排放标准，资源环境绩效水平应达到本规定要求</w:t>
                  </w:r>
                </w:p>
              </w:tc>
              <w:tc>
                <w:tcPr>
                  <w:tcW w:w="2693" w:type="dxa"/>
                  <w:shd w:val="clear" w:color="auto" w:fill="auto"/>
                  <w:vAlign w:val="center"/>
                </w:tcPr>
                <w:p>
                  <w:pPr>
                    <w:pStyle w:val="164"/>
                    <w:jc w:val="left"/>
                  </w:pPr>
                  <w:r>
                    <w:t>扩建项目排放污染物达到国家和地方规定的污染物排放标准，不属于本规定附件中的主要行业</w:t>
                  </w:r>
                </w:p>
              </w:tc>
              <w:tc>
                <w:tcPr>
                  <w:tcW w:w="654" w:type="dxa"/>
                  <w:shd w:val="clear" w:color="auto" w:fill="auto"/>
                  <w:vAlign w:val="center"/>
                </w:tcPr>
                <w:p>
                  <w:pPr>
                    <w:pStyle w:val="164"/>
                  </w:pPr>
                  <w:r>
                    <w:rPr>
                      <w:rFonts w:hint="eastAsia"/>
                    </w:rPr>
                    <w:t>符合</w:t>
                  </w:r>
                </w:p>
              </w:tc>
            </w:tr>
          </w:tbl>
          <w:p>
            <w:pPr>
              <w:pStyle w:val="160"/>
              <w:ind w:firstLine="482"/>
              <w:rPr>
                <w:b/>
              </w:rPr>
            </w:pPr>
            <w:r>
              <w:rPr>
                <w:b/>
              </w:rPr>
              <w:t>1.1.7.</w:t>
            </w:r>
            <w:r>
              <w:rPr>
                <w:rFonts w:hint="eastAsia"/>
                <w:b/>
              </w:rPr>
              <w:t>6与《长江经济带发展负面清单指南》（（试行），</w:t>
            </w:r>
            <w:r>
              <w:rPr>
                <w:b/>
              </w:rPr>
              <w:t>2022版）</w:t>
            </w:r>
            <w:r>
              <w:rPr>
                <w:rFonts w:hint="eastAsia"/>
                <w:b/>
              </w:rPr>
              <w:t>符合性分析</w:t>
            </w:r>
          </w:p>
          <w:p>
            <w:pPr>
              <w:pStyle w:val="160"/>
              <w:ind w:firstLine="480"/>
            </w:pPr>
            <w:r>
              <w:rPr>
                <w:rFonts w:hint="eastAsia"/>
              </w:rPr>
              <w:t>扩建项目</w:t>
            </w:r>
            <w:r>
              <w:t>与</w:t>
            </w:r>
            <w:r>
              <w:rPr>
                <w:rFonts w:hint="eastAsia"/>
              </w:rPr>
              <w:t>《长江经济带发展负面清单指南》（（试行），</w:t>
            </w:r>
            <w:r>
              <w:t>2022版）符合性分析见表</w:t>
            </w:r>
            <w:r>
              <w:rPr>
                <w:rFonts w:hint="eastAsia"/>
              </w:rPr>
              <w:t>1.1-14</w:t>
            </w:r>
            <w:r>
              <w:t>。</w:t>
            </w:r>
          </w:p>
          <w:p>
            <w:pPr>
              <w:pStyle w:val="4087"/>
              <w:spacing w:before="24"/>
              <w:ind w:firstLine="400"/>
            </w:pPr>
            <w:r>
              <w:t>表</w:t>
            </w:r>
            <w:r>
              <w:rPr>
                <w:rFonts w:hint="eastAsia"/>
              </w:rPr>
              <w:t>1.1-14  与《长江经济带发展负面清单指南》（（试行），</w:t>
            </w:r>
            <w:r>
              <w:t>2022版）</w:t>
            </w:r>
            <w:r>
              <w:rPr>
                <w:rFonts w:hint="eastAsia"/>
              </w:rPr>
              <w:t>符合性分析</w:t>
            </w:r>
          </w:p>
          <w:tbl>
            <w:tblPr>
              <w:tblStyle w:val="88"/>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4205"/>
              <w:gridCol w:w="213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583" w:type="dxa"/>
                  <w:vAlign w:val="center"/>
                </w:tcPr>
                <w:p>
                  <w:pPr>
                    <w:pStyle w:val="164"/>
                    <w:rPr>
                      <w:color w:val="auto"/>
                    </w:rPr>
                  </w:pPr>
                  <w:r>
                    <w:rPr>
                      <w:color w:val="auto"/>
                    </w:rPr>
                    <w:t>序号</w:t>
                  </w:r>
                </w:p>
              </w:tc>
              <w:tc>
                <w:tcPr>
                  <w:tcW w:w="4205" w:type="dxa"/>
                  <w:vAlign w:val="center"/>
                </w:tcPr>
                <w:p>
                  <w:pPr>
                    <w:pStyle w:val="164"/>
                    <w:rPr>
                      <w:color w:val="auto"/>
                    </w:rPr>
                  </w:pPr>
                  <w:r>
                    <w:rPr>
                      <w:color w:val="auto"/>
                    </w:rPr>
                    <w:t>政策要求</w:t>
                  </w:r>
                </w:p>
              </w:tc>
              <w:tc>
                <w:tcPr>
                  <w:tcW w:w="2137" w:type="dxa"/>
                  <w:vAlign w:val="center"/>
                </w:tcPr>
                <w:p>
                  <w:pPr>
                    <w:pStyle w:val="164"/>
                    <w:rPr>
                      <w:color w:val="auto"/>
                    </w:rPr>
                  </w:pPr>
                  <w:r>
                    <w:rPr>
                      <w:color w:val="auto"/>
                    </w:rPr>
                    <w:t>扩建项目</w:t>
                  </w:r>
                  <w:r>
                    <w:rPr>
                      <w:rFonts w:hint="eastAsia"/>
                      <w:color w:val="auto"/>
                    </w:rPr>
                    <w:t>概况</w:t>
                  </w:r>
                </w:p>
              </w:tc>
              <w:tc>
                <w:tcPr>
                  <w:tcW w:w="1297" w:type="dxa"/>
                  <w:vAlign w:val="center"/>
                </w:tcPr>
                <w:p>
                  <w:pPr>
                    <w:pStyle w:val="164"/>
                    <w:rPr>
                      <w:color w:val="auto"/>
                    </w:rPr>
                  </w:pPr>
                  <w:r>
                    <w:rPr>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一</w:t>
                  </w:r>
                </w:p>
              </w:tc>
              <w:tc>
                <w:tcPr>
                  <w:tcW w:w="4205" w:type="dxa"/>
                  <w:vAlign w:val="center"/>
                </w:tcPr>
                <w:p>
                  <w:pPr>
                    <w:pStyle w:val="164"/>
                    <w:rPr>
                      <w:color w:val="auto"/>
                    </w:rPr>
                  </w:pPr>
                  <w:r>
                    <w:rPr>
                      <w:rFonts w:hint="eastAsia"/>
                      <w:color w:val="auto"/>
                    </w:rPr>
                    <w:t>禁止建设不符合全国和省级港口布局规划以及港口总体规划的码头项目，禁止建设不符合（长江千线过江通道布局规划）的过长江通道项目。</w:t>
                  </w:r>
                </w:p>
              </w:tc>
              <w:tc>
                <w:tcPr>
                  <w:tcW w:w="2137" w:type="dxa"/>
                  <w:vAlign w:val="center"/>
                </w:tcPr>
                <w:p>
                  <w:pPr>
                    <w:pStyle w:val="164"/>
                    <w:rPr>
                      <w:color w:val="auto"/>
                    </w:rPr>
                  </w:pPr>
                  <w:r>
                    <w:rPr>
                      <w:color w:val="auto"/>
                    </w:rPr>
                    <w:t>扩建项目为</w:t>
                  </w:r>
                  <w:r>
                    <w:rPr>
                      <w:rFonts w:hint="eastAsia"/>
                      <w:color w:val="auto"/>
                    </w:rPr>
                    <w:t>木质家具</w:t>
                  </w:r>
                  <w:r>
                    <w:rPr>
                      <w:color w:val="auto"/>
                    </w:rPr>
                    <w:t>制造项目</w:t>
                  </w:r>
                  <w:r>
                    <w:rPr>
                      <w:rFonts w:hint="eastAsia"/>
                      <w:color w:val="auto"/>
                    </w:rPr>
                    <w:t>，</w:t>
                  </w:r>
                  <w:r>
                    <w:rPr>
                      <w:color w:val="auto"/>
                    </w:rPr>
                    <w:t>不涉及</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二</w:t>
                  </w:r>
                </w:p>
              </w:tc>
              <w:tc>
                <w:tcPr>
                  <w:tcW w:w="4205" w:type="dxa"/>
                  <w:vAlign w:val="center"/>
                </w:tcPr>
                <w:p>
                  <w:pPr>
                    <w:pStyle w:val="164"/>
                    <w:rPr>
                      <w:color w:val="auto"/>
                    </w:rPr>
                  </w:pPr>
                  <w:r>
                    <w:rPr>
                      <w:rFonts w:hint="eastAsia"/>
                      <w:color w:val="auto"/>
                    </w:rPr>
                    <w:t>禁止在自然保护区核心区、缓冲区的岸线和河段范围内投资建设旅游和生产经营项目。禁止在风景名胜区核心景区的岸线和河段</w:t>
                  </w:r>
                  <w:r>
                    <w:rPr>
                      <w:rFonts w:hint="eastAsia"/>
                      <w:color w:val="auto"/>
                      <w:lang w:eastAsia="zh-CN"/>
                    </w:rPr>
                    <w:t>范围内</w:t>
                  </w:r>
                  <w:r>
                    <w:rPr>
                      <w:rFonts w:hint="eastAsia"/>
                      <w:color w:val="auto"/>
                    </w:rPr>
                    <w:t>投资建设与风景名胜资源保护无关的项目。</w:t>
                  </w:r>
                </w:p>
              </w:tc>
              <w:tc>
                <w:tcPr>
                  <w:tcW w:w="2137" w:type="dxa"/>
                  <w:vAlign w:val="center"/>
                </w:tcPr>
                <w:p>
                  <w:pPr>
                    <w:pStyle w:val="164"/>
                    <w:rPr>
                      <w:color w:val="auto"/>
                    </w:rPr>
                  </w:pPr>
                  <w:r>
                    <w:rPr>
                      <w:rFonts w:hint="eastAsia"/>
                      <w:color w:val="auto"/>
                    </w:rPr>
                    <w:t>扩建项目位于铜梁工业园姜家岩片区，不涉及自然保护区、风景名胜区</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三</w:t>
                  </w:r>
                </w:p>
              </w:tc>
              <w:tc>
                <w:tcPr>
                  <w:tcW w:w="4205" w:type="dxa"/>
                  <w:vAlign w:val="center"/>
                </w:tcPr>
                <w:p>
                  <w:pPr>
                    <w:pStyle w:val="164"/>
                    <w:rPr>
                      <w:color w:val="auto"/>
                    </w:rPr>
                  </w:pPr>
                  <w:r>
                    <w:rPr>
                      <w:rFonts w:hint="eastAsia"/>
                      <w:color w:val="auto"/>
                    </w:rPr>
                    <w:t>禁止在饮用水水源一级保护区的岸线和河段</w:t>
                  </w:r>
                  <w:r>
                    <w:rPr>
                      <w:rFonts w:hint="eastAsia"/>
                      <w:color w:val="auto"/>
                      <w:lang w:eastAsia="zh-CN"/>
                    </w:rPr>
                    <w:t>范围内</w:t>
                  </w:r>
                  <w:r>
                    <w:rPr>
                      <w:rFonts w:hint="eastAsia"/>
                      <w:color w:val="auto"/>
                    </w:rPr>
                    <w:t>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37" w:type="dxa"/>
                  <w:vAlign w:val="center"/>
                </w:tcPr>
                <w:p>
                  <w:pPr>
                    <w:pStyle w:val="164"/>
                    <w:rPr>
                      <w:color w:val="auto"/>
                    </w:rPr>
                  </w:pPr>
                  <w:r>
                    <w:rPr>
                      <w:rFonts w:hint="eastAsia"/>
                      <w:color w:val="auto"/>
                    </w:rPr>
                    <w:t>扩建项目位于铜梁工业园姜家岩片区，不涉及饮用水水源一级保护区及二级保护区</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四</w:t>
                  </w:r>
                </w:p>
              </w:tc>
              <w:tc>
                <w:tcPr>
                  <w:tcW w:w="4205" w:type="dxa"/>
                  <w:vAlign w:val="center"/>
                </w:tcPr>
                <w:p>
                  <w:pPr>
                    <w:pStyle w:val="164"/>
                    <w:rPr>
                      <w:color w:val="auto"/>
                    </w:rPr>
                  </w:pPr>
                  <w:r>
                    <w:rPr>
                      <w:rFonts w:hint="eastAsia"/>
                      <w:color w:val="auto"/>
                    </w:rPr>
                    <w:t>禁止在水产种质资源保护区的岸线和河段</w:t>
                  </w:r>
                  <w:r>
                    <w:rPr>
                      <w:rFonts w:hint="eastAsia"/>
                      <w:color w:val="auto"/>
                      <w:lang w:eastAsia="zh-CN"/>
                    </w:rPr>
                    <w:t>范围内</w:t>
                  </w:r>
                  <w:r>
                    <w:rPr>
                      <w:rFonts w:hint="eastAsia"/>
                      <w:color w:val="auto"/>
                    </w:rPr>
                    <w:t>新建围湖造田、围海造地或围填海等投资建设项目。禁止在国家湿地公园的岸线和河段范围内挖沙、禾矿，以及任何不特合主体功能定位的投资建设项目。</w:t>
                  </w:r>
                </w:p>
              </w:tc>
              <w:tc>
                <w:tcPr>
                  <w:tcW w:w="2137" w:type="dxa"/>
                  <w:vAlign w:val="center"/>
                </w:tcPr>
                <w:p>
                  <w:pPr>
                    <w:pStyle w:val="164"/>
                    <w:rPr>
                      <w:color w:val="auto"/>
                    </w:rPr>
                  </w:pPr>
                  <w:r>
                    <w:rPr>
                      <w:color w:val="auto"/>
                    </w:rPr>
                    <w:t>扩建项目为木质家具制造项目</w:t>
                  </w:r>
                  <w:r>
                    <w:rPr>
                      <w:rFonts w:hint="eastAsia"/>
                      <w:color w:val="auto"/>
                    </w:rPr>
                    <w:t>，</w:t>
                  </w:r>
                  <w:r>
                    <w:rPr>
                      <w:color w:val="auto"/>
                    </w:rPr>
                    <w:t>不涉及</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五</w:t>
                  </w:r>
                </w:p>
              </w:tc>
              <w:tc>
                <w:tcPr>
                  <w:tcW w:w="4205" w:type="dxa"/>
                  <w:vAlign w:val="center"/>
                </w:tcPr>
                <w:p>
                  <w:pPr>
                    <w:pStyle w:val="164"/>
                    <w:rPr>
                      <w:color w:val="auto"/>
                    </w:rPr>
                  </w:pPr>
                  <w:r>
                    <w:rPr>
                      <w:rFonts w:hint="eastAsia"/>
                      <w:color w:val="auto"/>
                    </w:rPr>
                    <w:t>禁止违法利用、占用长江流域河湖岸线。禁止在《长江岸线</w:t>
                  </w:r>
                  <w:r>
                    <w:rPr>
                      <w:color w:val="auto"/>
                    </w:rPr>
                    <w:t>(长江岸线保护有开发保护和开发利用总体规划</w:t>
                  </w:r>
                  <w:r>
                    <w:rPr>
                      <w:rFonts w:hint="eastAsia"/>
                      <w:color w:val="auto"/>
                    </w:rPr>
                    <w:t>》</w:t>
                  </w:r>
                  <w:r>
                    <w:rPr>
                      <w:color w:val="auto"/>
                    </w:rPr>
                    <w:t>划定的岸线保护区和保留区内</w:t>
                  </w:r>
                  <w:r>
                    <w:rPr>
                      <w:rFonts w:hint="eastAsia"/>
                      <w:color w:val="auto"/>
                    </w:rPr>
                    <w:t>投资</w:t>
                  </w:r>
                  <w:r>
                    <w:rPr>
                      <w:color w:val="auto"/>
                    </w:rPr>
                    <w:t>建设除</w:t>
                  </w:r>
                  <w:r>
                    <w:rPr>
                      <w:rFonts w:hint="eastAsia"/>
                      <w:color w:val="auto"/>
                    </w:rPr>
                    <w:t>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37" w:type="dxa"/>
                  <w:vAlign w:val="center"/>
                </w:tcPr>
                <w:p>
                  <w:pPr>
                    <w:pStyle w:val="164"/>
                    <w:rPr>
                      <w:color w:val="auto"/>
                    </w:rPr>
                  </w:pPr>
                  <w:r>
                    <w:rPr>
                      <w:color w:val="auto"/>
                    </w:rPr>
                    <w:t>扩建项目不涉及</w:t>
                  </w:r>
                  <w:r>
                    <w:rPr>
                      <w:rFonts w:hint="eastAsia"/>
                      <w:color w:val="auto"/>
                    </w:rPr>
                    <w:t>利用、占用长江流域河湖岸线。</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六</w:t>
                  </w:r>
                </w:p>
              </w:tc>
              <w:tc>
                <w:tcPr>
                  <w:tcW w:w="4205" w:type="dxa"/>
                  <w:vAlign w:val="center"/>
                </w:tcPr>
                <w:p>
                  <w:pPr>
                    <w:pStyle w:val="164"/>
                    <w:rPr>
                      <w:color w:val="auto"/>
                    </w:rPr>
                  </w:pPr>
                  <w:r>
                    <w:rPr>
                      <w:rFonts w:hint="eastAsia"/>
                      <w:color w:val="auto"/>
                    </w:rPr>
                    <w:t>禁止未经许可在长江干支流及湖泊新设、改设或扩大排污口</w:t>
                  </w:r>
                </w:p>
              </w:tc>
              <w:tc>
                <w:tcPr>
                  <w:tcW w:w="2137" w:type="dxa"/>
                  <w:vAlign w:val="center"/>
                </w:tcPr>
                <w:p>
                  <w:pPr>
                    <w:pStyle w:val="164"/>
                    <w:rPr>
                      <w:color w:val="auto"/>
                    </w:rPr>
                  </w:pPr>
                  <w:r>
                    <w:rPr>
                      <w:rFonts w:hint="eastAsia"/>
                      <w:color w:val="auto"/>
                    </w:rPr>
                    <w:t>扩建项目不新增废水排污口</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七</w:t>
                  </w:r>
                </w:p>
              </w:tc>
              <w:tc>
                <w:tcPr>
                  <w:tcW w:w="4205" w:type="dxa"/>
                  <w:vAlign w:val="center"/>
                </w:tcPr>
                <w:p>
                  <w:pPr>
                    <w:pStyle w:val="164"/>
                    <w:rPr>
                      <w:color w:val="auto"/>
                    </w:rPr>
                  </w:pPr>
                  <w:r>
                    <w:rPr>
                      <w:rFonts w:hint="eastAsia"/>
                      <w:color w:val="auto"/>
                    </w:rPr>
                    <w:t>禁止在”一江一</w:t>
                  </w:r>
                  <w:r>
                    <w:rPr>
                      <w:color w:val="auto"/>
                    </w:rPr>
                    <w:t>口两湖七河”和332个水生生物保护区开展</w:t>
                  </w:r>
                  <w:r>
                    <w:rPr>
                      <w:rFonts w:hint="eastAsia"/>
                      <w:color w:val="auto"/>
                    </w:rPr>
                    <w:t>生产性捕捞。</w:t>
                  </w:r>
                </w:p>
              </w:tc>
              <w:tc>
                <w:tcPr>
                  <w:tcW w:w="2137" w:type="dxa"/>
                  <w:vAlign w:val="center"/>
                </w:tcPr>
                <w:p>
                  <w:pPr>
                    <w:pStyle w:val="164"/>
                    <w:rPr>
                      <w:color w:val="auto"/>
                    </w:rPr>
                  </w:pPr>
                  <w:r>
                    <w:rPr>
                      <w:color w:val="auto"/>
                    </w:rPr>
                    <w:t>扩建项目不涉及</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八</w:t>
                  </w:r>
                </w:p>
              </w:tc>
              <w:tc>
                <w:tcPr>
                  <w:tcW w:w="4205" w:type="dxa"/>
                  <w:vAlign w:val="center"/>
                </w:tcPr>
                <w:p>
                  <w:pPr>
                    <w:pStyle w:val="164"/>
                    <w:rPr>
                      <w:color w:val="auto"/>
                    </w:rPr>
                  </w:pPr>
                  <w:r>
                    <w:rPr>
                      <w:rFonts w:hint="eastAsia"/>
                      <w:color w:val="auto"/>
                    </w:rPr>
                    <w:t>禁止在长江干支流、重要湖泊岸线一公里范围内新建、扩建化工园区和化工项目。禁止在长江干流岸线三公里范围内和重要支岸线一公里范围内新建、改建、扩建尾矿库、治炼渣库和磷石膏库，以提升安全、生态环境保护水平为目的的改建除外。</w:t>
                  </w:r>
                </w:p>
              </w:tc>
              <w:tc>
                <w:tcPr>
                  <w:tcW w:w="2137" w:type="dxa"/>
                  <w:vAlign w:val="center"/>
                </w:tcPr>
                <w:p>
                  <w:pPr>
                    <w:pStyle w:val="164"/>
                    <w:rPr>
                      <w:color w:val="auto"/>
                    </w:rPr>
                  </w:pPr>
                  <w:r>
                    <w:rPr>
                      <w:rFonts w:hint="eastAsia"/>
                      <w:color w:val="auto"/>
                    </w:rPr>
                    <w:t>铜梁工业园姜家岩片区位于长江干支流、重要湖泊岸线一公里范围外</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九</w:t>
                  </w:r>
                </w:p>
              </w:tc>
              <w:tc>
                <w:tcPr>
                  <w:tcW w:w="4205" w:type="dxa"/>
                  <w:vAlign w:val="center"/>
                </w:tcPr>
                <w:p>
                  <w:pPr>
                    <w:pStyle w:val="164"/>
                    <w:rPr>
                      <w:color w:val="auto"/>
                    </w:rPr>
                  </w:pPr>
                  <w:r>
                    <w:rPr>
                      <w:color w:val="auto"/>
                    </w:rPr>
                    <w:t>禁止在合规</w:t>
                  </w:r>
                  <w:r>
                    <w:rPr>
                      <w:rFonts w:hint="eastAsia"/>
                      <w:color w:val="auto"/>
                    </w:rPr>
                    <w:t>园区</w:t>
                  </w:r>
                  <w:r>
                    <w:rPr>
                      <w:color w:val="auto"/>
                    </w:rPr>
                    <w:t>外新建、扩建钢铁、石化、化工、焦化、</w:t>
                  </w:r>
                  <w:r>
                    <w:rPr>
                      <w:rFonts w:hint="eastAsia"/>
                      <w:color w:val="auto"/>
                    </w:rPr>
                    <w:t>建材、有色、制浆造纸等高污染项目。</w:t>
                  </w:r>
                </w:p>
              </w:tc>
              <w:tc>
                <w:tcPr>
                  <w:tcW w:w="2137" w:type="dxa"/>
                  <w:vAlign w:val="center"/>
                </w:tcPr>
                <w:p>
                  <w:pPr>
                    <w:pStyle w:val="164"/>
                    <w:rPr>
                      <w:color w:val="auto"/>
                    </w:rPr>
                  </w:pPr>
                  <w:r>
                    <w:rPr>
                      <w:rFonts w:hint="eastAsia"/>
                      <w:color w:val="auto"/>
                    </w:rPr>
                    <w:t>扩建项目位于铜梁工业园姜家岩片区内</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十</w:t>
                  </w:r>
                </w:p>
              </w:tc>
              <w:tc>
                <w:tcPr>
                  <w:tcW w:w="4205" w:type="dxa"/>
                  <w:vAlign w:val="center"/>
                </w:tcPr>
                <w:p>
                  <w:pPr>
                    <w:pStyle w:val="164"/>
                    <w:rPr>
                      <w:color w:val="auto"/>
                    </w:rPr>
                  </w:pPr>
                  <w:r>
                    <w:rPr>
                      <w:color w:val="auto"/>
                    </w:rPr>
                    <w:t>禁止新建、扩建不符合国家石化、现代煤化工等产业布局规划的项目。</w:t>
                  </w:r>
                </w:p>
              </w:tc>
              <w:tc>
                <w:tcPr>
                  <w:tcW w:w="2137" w:type="dxa"/>
                  <w:vAlign w:val="center"/>
                </w:tcPr>
                <w:p>
                  <w:pPr>
                    <w:pStyle w:val="164"/>
                    <w:rPr>
                      <w:color w:val="auto"/>
                    </w:rPr>
                  </w:pPr>
                  <w:r>
                    <w:rPr>
                      <w:color w:val="auto"/>
                    </w:rPr>
                    <w:t>扩建项目不涉及</w:t>
                  </w:r>
                </w:p>
              </w:tc>
              <w:tc>
                <w:tcPr>
                  <w:tcW w:w="1297" w:type="dxa"/>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83" w:type="dxa"/>
                  <w:vAlign w:val="center"/>
                </w:tcPr>
                <w:p>
                  <w:pPr>
                    <w:pStyle w:val="164"/>
                    <w:rPr>
                      <w:color w:val="auto"/>
                    </w:rPr>
                  </w:pPr>
                  <w:r>
                    <w:rPr>
                      <w:color w:val="auto"/>
                    </w:rPr>
                    <w:t>十一</w:t>
                  </w:r>
                </w:p>
              </w:tc>
              <w:tc>
                <w:tcPr>
                  <w:tcW w:w="4205" w:type="dxa"/>
                  <w:vAlign w:val="center"/>
                </w:tcPr>
                <w:p>
                  <w:pPr>
                    <w:pStyle w:val="164"/>
                    <w:rPr>
                      <w:color w:val="auto"/>
                    </w:rPr>
                  </w:pPr>
                  <w:r>
                    <w:rPr>
                      <w:color w:val="auto"/>
                    </w:rPr>
                    <w:t>禁止新建、扩建法律法规和相关政策明令禁止的落后产能项目。禁止新建、扩建不符合国家产能置换要求的严重过剩产能行业的项目。</w:t>
                  </w:r>
                  <w:r>
                    <w:rPr>
                      <w:rFonts w:hint="eastAsia"/>
                      <w:color w:val="auto"/>
                    </w:rPr>
                    <w:t>禁止</w:t>
                  </w:r>
                  <w:r>
                    <w:rPr>
                      <w:color w:val="auto"/>
                    </w:rPr>
                    <w:t>新建、扩建不符合要求的高耗能高排放项目。</w:t>
                  </w:r>
                </w:p>
              </w:tc>
              <w:tc>
                <w:tcPr>
                  <w:tcW w:w="2137" w:type="dxa"/>
                  <w:vAlign w:val="center"/>
                </w:tcPr>
                <w:p>
                  <w:pPr>
                    <w:pStyle w:val="164"/>
                    <w:rPr>
                      <w:color w:val="auto"/>
                    </w:rPr>
                  </w:pPr>
                  <w:r>
                    <w:rPr>
                      <w:color w:val="auto"/>
                    </w:rPr>
                    <w:t>扩建项目不属于落后产能项目</w:t>
                  </w:r>
                  <w:r>
                    <w:rPr>
                      <w:rFonts w:hint="eastAsia"/>
                      <w:color w:val="auto"/>
                    </w:rPr>
                    <w:t>。</w:t>
                  </w:r>
                </w:p>
              </w:tc>
              <w:tc>
                <w:tcPr>
                  <w:tcW w:w="1297" w:type="dxa"/>
                  <w:vAlign w:val="center"/>
                </w:tcPr>
                <w:p>
                  <w:pPr>
                    <w:pStyle w:val="164"/>
                    <w:rPr>
                      <w:color w:val="auto"/>
                    </w:rPr>
                  </w:pPr>
                  <w:r>
                    <w:rPr>
                      <w:color w:val="auto"/>
                    </w:rPr>
                    <w:t>符合</w:t>
                  </w:r>
                </w:p>
              </w:tc>
            </w:tr>
          </w:tbl>
          <w:p>
            <w:pPr>
              <w:pStyle w:val="160"/>
              <w:ind w:firstLine="480"/>
            </w:pPr>
            <w:r>
              <w:rPr>
                <w:rFonts w:hint="eastAsia"/>
              </w:rPr>
              <w:t>综上，扩建项目符合《长江经济带发展负面清单指南》（（试行），</w:t>
            </w:r>
            <w:r>
              <w:t>2022版）</w:t>
            </w:r>
            <w:r>
              <w:rPr>
                <w:rFonts w:hint="eastAsia"/>
              </w:rPr>
              <w:t>中相关政策要求。</w:t>
            </w:r>
          </w:p>
          <w:p>
            <w:pPr>
              <w:pStyle w:val="160"/>
              <w:ind w:firstLine="482"/>
              <w:rPr>
                <w:b/>
              </w:rPr>
            </w:pPr>
            <w:r>
              <w:rPr>
                <w:b/>
              </w:rPr>
              <w:t>1.1.7.</w:t>
            </w:r>
            <w:r>
              <w:rPr>
                <w:rFonts w:hint="eastAsia"/>
                <w:b/>
              </w:rPr>
              <w:t>7</w:t>
            </w:r>
            <w:r>
              <w:rPr>
                <w:b/>
              </w:rPr>
              <w:t>与《重庆市长江经济带发展负面清单实施细则（试行）》（渝推长办发[2019]40号）的符合性</w:t>
            </w:r>
            <w:r>
              <w:rPr>
                <w:rFonts w:hint="eastAsia"/>
                <w:b/>
              </w:rPr>
              <w:t>分析</w:t>
            </w:r>
          </w:p>
          <w:p>
            <w:pPr>
              <w:pStyle w:val="160"/>
              <w:ind w:firstLine="480"/>
            </w:pPr>
            <w:r>
              <w:rPr>
                <w:rFonts w:hint="eastAsia"/>
              </w:rPr>
              <w:t>扩建项目与《重庆市长江经济带发展负面清单实施细则（试行）》（渝推长办发〔</w:t>
            </w:r>
            <w:r>
              <w:t>2019〕40号）符合性</w:t>
            </w:r>
            <w:r>
              <w:rPr>
                <w:rFonts w:hint="eastAsia"/>
              </w:rPr>
              <w:t>见</w:t>
            </w:r>
            <w:r>
              <w:fldChar w:fldCharType="begin"/>
            </w:r>
            <w:r>
              <w:rPr>
                <w:rFonts w:hint="eastAsia"/>
              </w:rPr>
              <w:instrText xml:space="preserve">REF _Ref90919996 \h</w:instrText>
            </w:r>
            <w:r>
              <w:fldChar w:fldCharType="separate"/>
            </w:r>
            <w:r>
              <w:t>表</w:t>
            </w:r>
            <w:r>
              <w:rPr>
                <w:rFonts w:hint="eastAsia"/>
              </w:rPr>
              <w:t>1.1-15</w:t>
            </w:r>
            <w:r>
              <w:fldChar w:fldCharType="end"/>
            </w:r>
            <w:r>
              <w:rPr>
                <w:rFonts w:hint="eastAsia"/>
              </w:rPr>
              <w:t>。</w:t>
            </w:r>
          </w:p>
          <w:p>
            <w:pPr>
              <w:pStyle w:val="164"/>
              <w:rPr>
                <w:color w:val="auto"/>
              </w:rPr>
            </w:pPr>
            <w:bookmarkStart w:id="5" w:name="_Ref90919996"/>
            <w:r>
              <w:rPr>
                <w:color w:val="auto"/>
              </w:rPr>
              <w:t>表</w:t>
            </w:r>
            <w:bookmarkEnd w:id="5"/>
            <w:bookmarkStart w:id="6" w:name="_Hlk90920276"/>
            <w:r>
              <w:rPr>
                <w:rFonts w:hint="eastAsia"/>
                <w:color w:val="auto"/>
              </w:rPr>
              <w:t>1.1-15    扩建项目与《重庆市长江经济带发展负面清单实施细则（试行）》（渝推长办发〔</w:t>
            </w:r>
            <w:r>
              <w:rPr>
                <w:color w:val="auto"/>
              </w:rPr>
              <w:t>2019〕40号）符合性分析</w:t>
            </w:r>
          </w:p>
          <w:bookmarkEnd w:id="6"/>
          <w:tbl>
            <w:tblPr>
              <w:tblStyle w:val="162"/>
              <w:tblW w:w="828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041"/>
              <w:gridCol w:w="2371"/>
              <w:gridCol w:w="8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b/>
                      <w:bCs/>
                      <w:color w:val="auto"/>
                    </w:rPr>
                  </w:pPr>
                  <w:r>
                    <w:rPr>
                      <w:b/>
                      <w:bCs/>
                      <w:color w:val="auto"/>
                    </w:rPr>
                    <w:t>文件要求</w:t>
                  </w:r>
                </w:p>
              </w:tc>
              <w:tc>
                <w:tcPr>
                  <w:tcW w:w="2371" w:type="dxa"/>
                  <w:shd w:val="clear" w:color="auto" w:fill="auto"/>
                  <w:vAlign w:val="center"/>
                </w:tcPr>
                <w:p>
                  <w:pPr>
                    <w:pStyle w:val="164"/>
                    <w:rPr>
                      <w:b/>
                      <w:bCs/>
                      <w:color w:val="auto"/>
                    </w:rPr>
                  </w:pPr>
                  <w:r>
                    <w:rPr>
                      <w:b/>
                      <w:bCs/>
                      <w:color w:val="auto"/>
                    </w:rPr>
                    <w:t>扩建项目实际情况</w:t>
                  </w:r>
                </w:p>
              </w:tc>
              <w:tc>
                <w:tcPr>
                  <w:tcW w:w="868" w:type="dxa"/>
                  <w:shd w:val="clear" w:color="auto" w:fill="auto"/>
                  <w:vAlign w:val="center"/>
                </w:tcPr>
                <w:p>
                  <w:pPr>
                    <w:pStyle w:val="164"/>
                    <w:rPr>
                      <w:b/>
                      <w:bCs/>
                      <w:color w:val="auto"/>
                    </w:rPr>
                  </w:pPr>
                  <w:r>
                    <w:rPr>
                      <w:b/>
                      <w:bCs/>
                      <w:color w:val="auto"/>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一、除重大环保搬迁置换项目外，禁止建设不符合市级港口布局规划以及港口总体规划的码头项目。除因线位调整原因引起的过江通道选址变更外，禁止建设不符合《长江干线过江通道布局规划》的过长江通道项目</w:t>
                  </w:r>
                </w:p>
              </w:tc>
              <w:tc>
                <w:tcPr>
                  <w:tcW w:w="2371" w:type="dxa"/>
                  <w:shd w:val="clear" w:color="auto" w:fill="auto"/>
                  <w:vAlign w:val="center"/>
                </w:tcPr>
                <w:p>
                  <w:pPr>
                    <w:pStyle w:val="164"/>
                    <w:rPr>
                      <w:color w:val="auto"/>
                    </w:rPr>
                  </w:pPr>
                  <w:r>
                    <w:rPr>
                      <w:color w:val="auto"/>
                    </w:rPr>
                    <w:t>扩建项目</w:t>
                  </w:r>
                  <w:r>
                    <w:rPr>
                      <w:rFonts w:hint="eastAsia"/>
                      <w:color w:val="auto"/>
                    </w:rPr>
                    <w:t>不涉及</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二、禁止在自然保护区核心区、缓冲区的岸线和河段范围内投资建设旅游和生产经营项目。禁止在风景名胜区核心景区的岸线和河段范围内投资建设与风景名胜资源保护无关的项目</w:t>
                  </w:r>
                </w:p>
              </w:tc>
              <w:tc>
                <w:tcPr>
                  <w:tcW w:w="2371" w:type="dxa"/>
                  <w:shd w:val="clear" w:color="auto" w:fill="auto"/>
                  <w:vAlign w:val="center"/>
                </w:tcPr>
                <w:p>
                  <w:pPr>
                    <w:pStyle w:val="164"/>
                    <w:rPr>
                      <w:color w:val="auto"/>
                    </w:rPr>
                  </w:pPr>
                  <w:r>
                    <w:rPr>
                      <w:color w:val="auto"/>
                    </w:rPr>
                    <w:t>扩建项目</w:t>
                  </w:r>
                  <w:r>
                    <w:rPr>
                      <w:rFonts w:hint="eastAsia"/>
                      <w:color w:val="auto"/>
                    </w:rPr>
                    <w:t>位于铜梁高新区姜家岩片区内，</w:t>
                  </w:r>
                  <w:r>
                    <w:rPr>
                      <w:color w:val="auto"/>
                    </w:rPr>
                    <w:t>不在自然保护区、风景名胜区内</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jc w:val="center"/>
              </w:trPr>
              <w:tc>
                <w:tcPr>
                  <w:tcW w:w="5041" w:type="dxa"/>
                  <w:shd w:val="clear" w:color="auto" w:fill="auto"/>
                  <w:vAlign w:val="center"/>
                </w:tcPr>
                <w:p>
                  <w:pPr>
                    <w:pStyle w:val="164"/>
                    <w:rPr>
                      <w:color w:val="auto"/>
                    </w:rPr>
                  </w:pPr>
                  <w:r>
                    <w:rPr>
                      <w:color w:val="auto"/>
                    </w:rPr>
                    <w:t>三、禁止在饮用水水源一级保护区的岸线和河段范围内新建、改建、改建与供水设施和保护水源无关的项目，以及网箱养殖、旅游等可能污染饮用水水体的投资建设项目。禁止在饮用水水源二级保护区的岸线和河段范围内新建、改建、改建排放污染物的投资建设项目</w:t>
                  </w:r>
                </w:p>
              </w:tc>
              <w:tc>
                <w:tcPr>
                  <w:tcW w:w="2371" w:type="dxa"/>
                  <w:shd w:val="clear" w:color="auto" w:fill="auto"/>
                  <w:vAlign w:val="center"/>
                </w:tcPr>
                <w:p>
                  <w:pPr>
                    <w:pStyle w:val="164"/>
                    <w:rPr>
                      <w:color w:val="auto"/>
                    </w:rPr>
                  </w:pPr>
                  <w:r>
                    <w:rPr>
                      <w:color w:val="auto"/>
                    </w:rPr>
                    <w:t>扩建项目</w:t>
                  </w:r>
                  <w:r>
                    <w:rPr>
                      <w:rFonts w:hint="eastAsia"/>
                      <w:color w:val="auto"/>
                    </w:rPr>
                    <w:t>木质家具制造业</w:t>
                  </w:r>
                  <w:r>
                    <w:rPr>
                      <w:color w:val="auto"/>
                    </w:rPr>
                    <w:t>项目，并且不在饮用水水源一级、二级保护区</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四、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2371" w:type="dxa"/>
                  <w:shd w:val="clear" w:color="auto" w:fill="auto"/>
                  <w:vAlign w:val="center"/>
                </w:tcPr>
                <w:p>
                  <w:pPr>
                    <w:pStyle w:val="164"/>
                    <w:rPr>
                      <w:color w:val="auto"/>
                    </w:rPr>
                  </w:pPr>
                  <w:r>
                    <w:rPr>
                      <w:color w:val="auto"/>
                    </w:rPr>
                    <w:t>扩建项目属于</w:t>
                  </w:r>
                  <w:r>
                    <w:rPr>
                      <w:rFonts w:hint="eastAsia"/>
                      <w:color w:val="auto"/>
                    </w:rPr>
                    <w:t>木质家具制造业</w:t>
                  </w:r>
                  <w:r>
                    <w:rPr>
                      <w:color w:val="auto"/>
                    </w:rPr>
                    <w:t>项目，并且不在水产种质资源保护区的岸线和河段范围内，不在国家湿地公园的岸线和河段范围内</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五、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371" w:type="dxa"/>
                  <w:shd w:val="clear" w:color="auto" w:fill="auto"/>
                  <w:vAlign w:val="center"/>
                </w:tcPr>
                <w:p>
                  <w:pPr>
                    <w:pStyle w:val="164"/>
                    <w:rPr>
                      <w:color w:val="auto"/>
                    </w:rPr>
                  </w:pPr>
                  <w:r>
                    <w:rPr>
                      <w:color w:val="auto"/>
                    </w:rPr>
                    <w:t>扩建项目不在《长江岸线保护和开发利用总体规划》划定的岸线保护区，不在岸线保留区内，不在《全国重要江河湖泊水功能区划》划定的河段保护区、保留区内</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六、禁止在生态保护红线和永久基本农田范围内投资建设除国家重大战略资源勘查项目、生态保护修复和环境治理项目、重大基础设施项目、军事国防项目以及农牧民基本生产生活等必要的民生项目以外的项目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371" w:type="dxa"/>
                  <w:shd w:val="clear" w:color="auto" w:fill="auto"/>
                  <w:vAlign w:val="center"/>
                </w:tcPr>
                <w:p>
                  <w:pPr>
                    <w:pStyle w:val="164"/>
                    <w:rPr>
                      <w:color w:val="auto"/>
                    </w:rPr>
                  </w:pPr>
                  <w:r>
                    <w:rPr>
                      <w:color w:val="auto"/>
                    </w:rPr>
                    <w:t>扩建项目不在生态保护红线和永久基本农田范围</w:t>
                  </w:r>
                  <w:r>
                    <w:rPr>
                      <w:rFonts w:hint="eastAsia"/>
                      <w:color w:val="auto"/>
                    </w:rPr>
                    <w:t>内</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jc w:val="center"/>
              </w:trPr>
              <w:tc>
                <w:tcPr>
                  <w:tcW w:w="5041" w:type="dxa"/>
                  <w:shd w:val="clear" w:color="auto" w:fill="auto"/>
                  <w:vAlign w:val="center"/>
                </w:tcPr>
                <w:p>
                  <w:pPr>
                    <w:pStyle w:val="164"/>
                    <w:rPr>
                      <w:color w:val="auto"/>
                    </w:rPr>
                  </w:pPr>
                  <w:r>
                    <w:rPr>
                      <w:color w:val="auto"/>
                    </w:rPr>
                    <w:t>七、禁止在长江干支流1公里范围内新建、改建化工园区和化工项目。禁止在合规园区外新建、改建钢铁、石化、化工、焦化、建材、有色等高污染项目</w:t>
                  </w:r>
                </w:p>
              </w:tc>
              <w:tc>
                <w:tcPr>
                  <w:tcW w:w="2371" w:type="dxa"/>
                  <w:shd w:val="clear" w:color="auto" w:fill="auto"/>
                  <w:vAlign w:val="center"/>
                </w:tcPr>
                <w:p>
                  <w:pPr>
                    <w:pStyle w:val="164"/>
                    <w:rPr>
                      <w:color w:val="auto"/>
                    </w:rPr>
                  </w:pPr>
                  <w:r>
                    <w:rPr>
                      <w:color w:val="auto"/>
                    </w:rPr>
                    <w:t>扩建项目为</w:t>
                  </w:r>
                  <w:r>
                    <w:rPr>
                      <w:rFonts w:hint="eastAsia"/>
                      <w:color w:val="auto"/>
                    </w:rPr>
                    <w:t>木质家具制造业</w:t>
                  </w:r>
                  <w:r>
                    <w:rPr>
                      <w:color w:val="auto"/>
                    </w:rPr>
                    <w:t>项目</w:t>
                  </w:r>
                  <w:r>
                    <w:rPr>
                      <w:rFonts w:hint="eastAsia"/>
                      <w:color w:val="auto"/>
                    </w:rPr>
                    <w:t>，</w:t>
                  </w:r>
                  <w:r>
                    <w:rPr>
                      <w:color w:val="auto"/>
                    </w:rPr>
                    <w:t>不属于化工项目</w:t>
                  </w:r>
                  <w:r>
                    <w:rPr>
                      <w:rFonts w:hint="eastAsia"/>
                      <w:color w:val="auto"/>
                    </w:rPr>
                    <w:t>，且项目位于合法合规的铜梁高新区姜家岩片区内</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八、禁止新建、改建不符合国家石化、现代煤化工等产业布局规划的项目</w:t>
                  </w:r>
                </w:p>
              </w:tc>
              <w:tc>
                <w:tcPr>
                  <w:tcW w:w="2371" w:type="dxa"/>
                  <w:shd w:val="clear" w:color="auto" w:fill="auto"/>
                  <w:vAlign w:val="center"/>
                </w:tcPr>
                <w:p>
                  <w:pPr>
                    <w:pStyle w:val="164"/>
                    <w:rPr>
                      <w:color w:val="auto"/>
                    </w:rPr>
                  </w:pPr>
                  <w:r>
                    <w:rPr>
                      <w:color w:val="auto"/>
                    </w:rPr>
                    <w:t>扩建项目</w:t>
                  </w:r>
                  <w:r>
                    <w:rPr>
                      <w:rFonts w:hint="eastAsia"/>
                      <w:color w:val="auto"/>
                    </w:rPr>
                    <w:t>不涉及</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九、禁止新建、改建法律法规和相关政策命令禁止的落后产能项目</w:t>
                  </w:r>
                </w:p>
              </w:tc>
              <w:tc>
                <w:tcPr>
                  <w:tcW w:w="2371" w:type="dxa"/>
                  <w:shd w:val="clear" w:color="auto" w:fill="auto"/>
                  <w:vAlign w:val="center"/>
                </w:tcPr>
                <w:p>
                  <w:pPr>
                    <w:pStyle w:val="164"/>
                    <w:rPr>
                      <w:color w:val="auto"/>
                    </w:rPr>
                  </w:pPr>
                  <w:r>
                    <w:rPr>
                      <w:color w:val="auto"/>
                    </w:rPr>
                    <w:t>扩建项目不属于落后产能项目</w:t>
                  </w:r>
                </w:p>
              </w:tc>
              <w:tc>
                <w:tcPr>
                  <w:tcW w:w="868"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41" w:type="dxa"/>
                  <w:shd w:val="clear" w:color="auto" w:fill="auto"/>
                  <w:vAlign w:val="center"/>
                </w:tcPr>
                <w:p>
                  <w:pPr>
                    <w:pStyle w:val="164"/>
                    <w:rPr>
                      <w:color w:val="auto"/>
                    </w:rPr>
                  </w:pPr>
                  <w:r>
                    <w:rPr>
                      <w:color w:val="auto"/>
                    </w:rPr>
                    <w:t>十、禁止新建、改建不符合国家产能置换要求的严重过剩产能行业的项目</w:t>
                  </w:r>
                </w:p>
              </w:tc>
              <w:tc>
                <w:tcPr>
                  <w:tcW w:w="2371" w:type="dxa"/>
                  <w:shd w:val="clear" w:color="auto" w:fill="auto"/>
                  <w:vAlign w:val="center"/>
                </w:tcPr>
                <w:p>
                  <w:pPr>
                    <w:pStyle w:val="164"/>
                    <w:rPr>
                      <w:color w:val="auto"/>
                    </w:rPr>
                  </w:pPr>
                  <w:r>
                    <w:rPr>
                      <w:color w:val="auto"/>
                    </w:rPr>
                    <w:t>扩建项目不属于严重过剩产能行业的项目</w:t>
                  </w:r>
                </w:p>
              </w:tc>
              <w:tc>
                <w:tcPr>
                  <w:tcW w:w="868" w:type="dxa"/>
                  <w:shd w:val="clear" w:color="auto" w:fill="auto"/>
                  <w:vAlign w:val="center"/>
                </w:tcPr>
                <w:p>
                  <w:pPr>
                    <w:pStyle w:val="164"/>
                    <w:rPr>
                      <w:color w:val="auto"/>
                    </w:rPr>
                  </w:pPr>
                  <w:r>
                    <w:rPr>
                      <w:color w:val="auto"/>
                    </w:rPr>
                    <w:t>符合</w:t>
                  </w:r>
                </w:p>
              </w:tc>
            </w:tr>
          </w:tbl>
          <w:p>
            <w:pPr>
              <w:pStyle w:val="160"/>
              <w:ind w:firstLine="480"/>
            </w:pPr>
            <w:r>
              <w:rPr>
                <w:rFonts w:hint="eastAsia"/>
              </w:rPr>
              <w:t>综上，扩建项目符合《重庆市长江经济带发展负面清单实施细则（试行）》（渝推长办发〔</w:t>
            </w:r>
            <w:r>
              <w:t>2019〕40号）的要求</w:t>
            </w:r>
            <w:r>
              <w:rPr>
                <w:rFonts w:hint="eastAsia"/>
              </w:rPr>
              <w:t>。</w:t>
            </w:r>
          </w:p>
          <w:p>
            <w:pPr>
              <w:pStyle w:val="160"/>
              <w:ind w:firstLine="482"/>
              <w:rPr>
                <w:b/>
              </w:rPr>
            </w:pPr>
            <w:r>
              <w:rPr>
                <w:b/>
              </w:rPr>
              <w:t>1.1.7.</w:t>
            </w:r>
            <w:r>
              <w:rPr>
                <w:rFonts w:hint="eastAsia"/>
                <w:b/>
              </w:rPr>
              <w:t>8与《重点行业挥发性有机物综合治理方案》（环大气</w:t>
            </w:r>
            <w:r>
              <w:rPr>
                <w:b/>
              </w:rPr>
              <w:t>[2019]53号）符合性分析</w:t>
            </w:r>
          </w:p>
          <w:p>
            <w:pPr>
              <w:pStyle w:val="164"/>
              <w:rPr>
                <w:color w:val="auto"/>
              </w:rPr>
            </w:pPr>
            <w:r>
              <w:rPr>
                <w:color w:val="auto"/>
              </w:rPr>
              <w:t>表</w:t>
            </w:r>
            <w:r>
              <w:rPr>
                <w:rFonts w:hint="eastAsia"/>
                <w:color w:val="auto"/>
              </w:rPr>
              <w:t xml:space="preserve">1.1-16     </w:t>
            </w:r>
            <w:r>
              <w:rPr>
                <w:color w:val="auto"/>
              </w:rPr>
              <w:t>与《重点行业挥发性有机物综合治理方案》的符合性分析</w:t>
            </w:r>
          </w:p>
          <w:tbl>
            <w:tblPr>
              <w:tblStyle w:val="162"/>
              <w:tblW w:w="8173"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9"/>
              <w:gridCol w:w="993"/>
              <w:gridCol w:w="4111"/>
              <w:gridCol w:w="1984"/>
              <w:gridCol w:w="6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5" w:hRule="atLeast"/>
                <w:jc w:val="center"/>
              </w:trPr>
              <w:tc>
                <w:tcPr>
                  <w:tcW w:w="439" w:type="dxa"/>
                  <w:shd w:val="clear" w:color="auto" w:fill="auto"/>
                  <w:vAlign w:val="center"/>
                </w:tcPr>
                <w:p>
                  <w:pPr>
                    <w:pStyle w:val="164"/>
                    <w:rPr>
                      <w:b/>
                    </w:rPr>
                  </w:pPr>
                  <w:r>
                    <w:rPr>
                      <w:rFonts w:hint="eastAsia"/>
                      <w:b/>
                    </w:rPr>
                    <w:t>序号</w:t>
                  </w:r>
                </w:p>
              </w:tc>
              <w:tc>
                <w:tcPr>
                  <w:tcW w:w="993" w:type="dxa"/>
                  <w:shd w:val="clear" w:color="auto" w:fill="auto"/>
                  <w:vAlign w:val="center"/>
                </w:tcPr>
                <w:p>
                  <w:pPr>
                    <w:pStyle w:val="164"/>
                    <w:rPr>
                      <w:b/>
                    </w:rPr>
                  </w:pPr>
                  <w:r>
                    <w:rPr>
                      <w:b/>
                    </w:rPr>
                    <w:t>控制思路和要求</w:t>
                  </w:r>
                </w:p>
              </w:tc>
              <w:tc>
                <w:tcPr>
                  <w:tcW w:w="4111" w:type="dxa"/>
                  <w:shd w:val="clear" w:color="auto" w:fill="auto"/>
                  <w:vAlign w:val="center"/>
                </w:tcPr>
                <w:p>
                  <w:pPr>
                    <w:pStyle w:val="164"/>
                    <w:rPr>
                      <w:b/>
                    </w:rPr>
                  </w:pPr>
                  <w:r>
                    <w:rPr>
                      <w:b/>
                    </w:rPr>
                    <w:t>相关要求</w:t>
                  </w:r>
                </w:p>
              </w:tc>
              <w:tc>
                <w:tcPr>
                  <w:tcW w:w="1984" w:type="dxa"/>
                  <w:shd w:val="clear" w:color="auto" w:fill="auto"/>
                  <w:vAlign w:val="center"/>
                </w:tcPr>
                <w:p>
                  <w:pPr>
                    <w:pStyle w:val="164"/>
                    <w:rPr>
                      <w:b/>
                    </w:rPr>
                  </w:pPr>
                  <w:r>
                    <w:rPr>
                      <w:b/>
                    </w:rPr>
                    <w:t>扩建项目情况</w:t>
                  </w:r>
                </w:p>
              </w:tc>
              <w:tc>
                <w:tcPr>
                  <w:tcW w:w="646" w:type="dxa"/>
                  <w:shd w:val="clear" w:color="auto" w:fill="auto"/>
                  <w:vAlign w:val="center"/>
                </w:tcPr>
                <w:p>
                  <w:pPr>
                    <w:pStyle w:val="164"/>
                    <w:rPr>
                      <w:b/>
                    </w:rPr>
                  </w:pPr>
                  <w:r>
                    <w:rPr>
                      <w:b/>
                    </w:rPr>
                    <w:t>是否符合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10" w:hRule="atLeast"/>
                <w:jc w:val="center"/>
              </w:trPr>
              <w:tc>
                <w:tcPr>
                  <w:tcW w:w="439" w:type="dxa"/>
                  <w:shd w:val="clear" w:color="auto" w:fill="auto"/>
                  <w:vAlign w:val="center"/>
                </w:tcPr>
                <w:p>
                  <w:pPr>
                    <w:pStyle w:val="164"/>
                    <w:rPr>
                      <w:sz w:val="20"/>
                    </w:rPr>
                  </w:pPr>
                  <w:r>
                    <w:rPr>
                      <w:rFonts w:hint="eastAsia"/>
                      <w:sz w:val="20"/>
                    </w:rPr>
                    <w:t>1</w:t>
                  </w:r>
                </w:p>
              </w:tc>
              <w:tc>
                <w:tcPr>
                  <w:tcW w:w="993" w:type="dxa"/>
                  <w:vMerge w:val="restart"/>
                  <w:shd w:val="clear" w:color="auto" w:fill="auto"/>
                  <w:vAlign w:val="center"/>
                </w:tcPr>
                <w:p>
                  <w:pPr>
                    <w:pStyle w:val="164"/>
                    <w:jc w:val="both"/>
                  </w:pPr>
                  <w:r>
                    <w:t>工业涂装</w:t>
                  </w:r>
                  <w:r>
                    <w:rPr>
                      <w:rFonts w:eastAsia="Times New Roman"/>
                    </w:rPr>
                    <w:t>VOCs</w:t>
                  </w:r>
                  <w:r>
                    <w:t>综合治理</w:t>
                  </w:r>
                </w:p>
              </w:tc>
              <w:tc>
                <w:tcPr>
                  <w:tcW w:w="4111" w:type="dxa"/>
                  <w:shd w:val="clear" w:color="auto" w:fill="auto"/>
                  <w:vAlign w:val="center"/>
                </w:tcPr>
                <w:p>
                  <w:pPr>
                    <w:pStyle w:val="164"/>
                    <w:jc w:val="both"/>
                  </w:pPr>
                  <w:r>
                    <w:rPr>
                      <w:spacing w:val="-10"/>
                    </w:rPr>
                    <w:t>强化源头控制，加快使用粉末、水性、高固</w:t>
                  </w:r>
                  <w:r>
                    <w:rPr>
                      <w:spacing w:val="-19"/>
                    </w:rPr>
                    <w:t>体分、辐射固化等低</w:t>
                  </w:r>
                  <w:r>
                    <w:rPr>
                      <w:rFonts w:eastAsia="Times New Roman"/>
                    </w:rPr>
                    <w:t>VOCs</w:t>
                  </w:r>
                  <w:r>
                    <w:rPr>
                      <w:spacing w:val="-3"/>
                    </w:rPr>
                    <w:t>含量的涂料替代溶剂</w:t>
                  </w:r>
                  <w:r>
                    <w:rPr>
                      <w:spacing w:val="-11"/>
                    </w:rPr>
                    <w:t>型涂料。木质家具制造大力推广使用水性、辐射</w:t>
                  </w:r>
                  <w:r>
                    <w:rPr>
                      <w:spacing w:val="-12"/>
                    </w:rPr>
                    <w:t>固化、粉末等涂料和水性胶粘剂。软体家具制造</w:t>
                  </w:r>
                  <w:r>
                    <w:rPr>
                      <w:spacing w:val="-6"/>
                    </w:rPr>
                    <w:t>大力推广使用水性胶粘剂。</w:t>
                  </w:r>
                </w:p>
              </w:tc>
              <w:tc>
                <w:tcPr>
                  <w:tcW w:w="1984" w:type="dxa"/>
                  <w:shd w:val="clear" w:color="auto" w:fill="auto"/>
                  <w:vAlign w:val="center"/>
                </w:tcPr>
                <w:p>
                  <w:pPr>
                    <w:pStyle w:val="164"/>
                    <w:jc w:val="both"/>
                  </w:pPr>
                  <w:r>
                    <w:rPr>
                      <w:spacing w:val="16"/>
                    </w:rPr>
                    <w:t>扩建项目新增产能</w:t>
                  </w:r>
                  <w:r>
                    <w:rPr>
                      <w:rFonts w:hint="eastAsia"/>
                      <w:spacing w:val="16"/>
                    </w:rPr>
                    <w:t>喷涂使用水性涂料及UV涂料、</w:t>
                  </w:r>
                  <w:r>
                    <w:rPr>
                      <w:rFonts w:hint="eastAsia"/>
                    </w:rPr>
                    <w:t>并对原油性漆生产线实施水性漆部分替代</w:t>
                  </w:r>
                  <w:r>
                    <w:rPr>
                      <w:spacing w:val="-29"/>
                    </w:rPr>
                    <w:t>。扩建项目</w:t>
                  </w:r>
                  <w:r>
                    <w:rPr>
                      <w:spacing w:val="12"/>
                    </w:rPr>
                    <w:t>所用粘合剂均为</w:t>
                  </w:r>
                  <w:r>
                    <w:rPr>
                      <w:spacing w:val="3"/>
                    </w:rPr>
                    <w:t>水性胶粘剂</w:t>
                  </w:r>
                  <w:r>
                    <w:rPr>
                      <w:rFonts w:hint="eastAsia"/>
                      <w:spacing w:val="3"/>
                    </w:rPr>
                    <w:t>。</w:t>
                  </w:r>
                </w:p>
              </w:tc>
              <w:tc>
                <w:tcPr>
                  <w:tcW w:w="646" w:type="dxa"/>
                  <w:shd w:val="clear" w:color="auto" w:fill="auto"/>
                  <w:vAlign w:val="center"/>
                </w:tcPr>
                <w:p>
                  <w:pPr>
                    <w:pStyle w:val="164"/>
                  </w:pPr>
                  <w: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60" w:hRule="atLeast"/>
                <w:jc w:val="center"/>
              </w:trPr>
              <w:tc>
                <w:tcPr>
                  <w:tcW w:w="439" w:type="dxa"/>
                  <w:shd w:val="clear" w:color="auto" w:fill="auto"/>
                  <w:vAlign w:val="center"/>
                </w:tcPr>
                <w:p>
                  <w:pPr>
                    <w:pStyle w:val="164"/>
                  </w:pPr>
                  <w:r>
                    <w:rPr>
                      <w:rFonts w:hint="eastAsia"/>
                    </w:rPr>
                    <w:t>2</w:t>
                  </w:r>
                </w:p>
              </w:tc>
              <w:tc>
                <w:tcPr>
                  <w:tcW w:w="993" w:type="dxa"/>
                  <w:vMerge w:val="continue"/>
                  <w:shd w:val="clear" w:color="auto" w:fill="auto"/>
                  <w:vAlign w:val="center"/>
                </w:tcPr>
                <w:p>
                  <w:pPr>
                    <w:pStyle w:val="164"/>
                    <w:jc w:val="both"/>
                    <w:rPr>
                      <w:sz w:val="2"/>
                      <w:szCs w:val="2"/>
                    </w:rPr>
                  </w:pPr>
                </w:p>
              </w:tc>
              <w:tc>
                <w:tcPr>
                  <w:tcW w:w="4111" w:type="dxa"/>
                  <w:shd w:val="clear" w:color="auto" w:fill="auto"/>
                  <w:vAlign w:val="center"/>
                </w:tcPr>
                <w:p>
                  <w:pPr>
                    <w:pStyle w:val="164"/>
                    <w:jc w:val="both"/>
                  </w:pPr>
                  <w:r>
                    <w:rPr>
                      <w:spacing w:val="-10"/>
                    </w:rPr>
                    <w:t>加快推广紧凑式涂装工艺、先进涂装技术和</w:t>
                  </w:r>
                  <w:r>
                    <w:rPr>
                      <w:spacing w:val="-5"/>
                    </w:rPr>
                    <w:t>设备。木质家具推广使用高效的往复式喷涂箱、</w:t>
                  </w:r>
                  <w:r>
                    <w:rPr>
                      <w:spacing w:val="-12"/>
                    </w:rPr>
                    <w:t>机械手和静电喷涂技术。板式家具采用喷涂工艺</w:t>
                  </w:r>
                  <w:r>
                    <w:rPr>
                      <w:spacing w:val="-6"/>
                    </w:rPr>
                    <w:t>的，推广使用粉末静电喷涂技术；采用溶剂型、</w:t>
                  </w:r>
                  <w:r>
                    <w:rPr>
                      <w:spacing w:val="-4"/>
                    </w:rPr>
                    <w:t>辐射固化涂料的，推广使用辊涂、淋涂等工艺</w:t>
                  </w:r>
                </w:p>
              </w:tc>
              <w:tc>
                <w:tcPr>
                  <w:tcW w:w="1984" w:type="dxa"/>
                  <w:shd w:val="clear" w:color="auto" w:fill="auto"/>
                  <w:vAlign w:val="center"/>
                </w:tcPr>
                <w:p>
                  <w:pPr>
                    <w:pStyle w:val="164"/>
                    <w:jc w:val="both"/>
                  </w:pPr>
                  <w:r>
                    <w:t>扩建项目</w:t>
                  </w:r>
                  <w:r>
                    <w:rPr>
                      <w:rFonts w:hint="eastAsia"/>
                    </w:rPr>
                    <w:t>水性漆</w:t>
                  </w:r>
                  <w:r>
                    <w:t>涂装采用</w:t>
                  </w:r>
                  <w:r>
                    <w:rPr>
                      <w:spacing w:val="-12"/>
                    </w:rPr>
                    <w:t>静电喷涂</w:t>
                  </w:r>
                  <w:r>
                    <w:rPr>
                      <w:rFonts w:hint="eastAsia"/>
                      <w:spacing w:val="-12"/>
                    </w:rPr>
                    <w:t>，UV涂装采用</w:t>
                  </w:r>
                  <w:r>
                    <w:rPr>
                      <w:spacing w:val="-4"/>
                    </w:rPr>
                    <w:t>淋涂。</w:t>
                  </w:r>
                </w:p>
              </w:tc>
              <w:tc>
                <w:tcPr>
                  <w:tcW w:w="646" w:type="dxa"/>
                  <w:shd w:val="clear" w:color="auto" w:fill="auto"/>
                  <w:vAlign w:val="center"/>
                </w:tcPr>
                <w:p>
                  <w:pPr>
                    <w:pStyle w:val="164"/>
                  </w:pPr>
                  <w: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3" w:hRule="atLeast"/>
                <w:jc w:val="center"/>
              </w:trPr>
              <w:tc>
                <w:tcPr>
                  <w:tcW w:w="439" w:type="dxa"/>
                  <w:shd w:val="clear" w:color="auto" w:fill="auto"/>
                  <w:vAlign w:val="center"/>
                </w:tcPr>
                <w:p>
                  <w:pPr>
                    <w:pStyle w:val="164"/>
                  </w:pPr>
                  <w:r>
                    <w:rPr>
                      <w:rFonts w:hint="eastAsia"/>
                    </w:rPr>
                    <w:t>3</w:t>
                  </w:r>
                </w:p>
              </w:tc>
              <w:tc>
                <w:tcPr>
                  <w:tcW w:w="993" w:type="dxa"/>
                  <w:vMerge w:val="continue"/>
                  <w:shd w:val="clear" w:color="auto" w:fill="auto"/>
                  <w:vAlign w:val="center"/>
                </w:tcPr>
                <w:p>
                  <w:pPr>
                    <w:pStyle w:val="164"/>
                    <w:jc w:val="both"/>
                    <w:rPr>
                      <w:sz w:val="2"/>
                      <w:szCs w:val="2"/>
                    </w:rPr>
                  </w:pPr>
                </w:p>
              </w:tc>
              <w:tc>
                <w:tcPr>
                  <w:tcW w:w="4111" w:type="dxa"/>
                  <w:shd w:val="clear" w:color="auto" w:fill="auto"/>
                  <w:vAlign w:val="center"/>
                </w:tcPr>
                <w:p>
                  <w:pPr>
                    <w:pStyle w:val="164"/>
                    <w:jc w:val="both"/>
                  </w:pPr>
                  <w:r>
                    <w:t>有效控制无组织排放。涂料、稀释剂、清洗</w:t>
                  </w:r>
                  <w:r>
                    <w:rPr>
                      <w:color w:val="0D0D0D"/>
                      <w:spacing w:val="-10"/>
                    </w:rPr>
                    <w:t>剂等原辅材料应密闭存储，调配、使用、回收等过程应采用密闭设备或在密闭空间内操作，采用密闭管道或密闭容器等输送。除大型工件外，禁</w:t>
                  </w:r>
                  <w:r>
                    <w:rPr>
                      <w:color w:val="0D0D0D"/>
                      <w:spacing w:val="-17"/>
                    </w:rPr>
                    <w:t>止敞开式喷涂、晾</w:t>
                  </w:r>
                  <w:r>
                    <w:rPr>
                      <w:color w:val="0D0D0D"/>
                    </w:rPr>
                    <w:t>（风</w:t>
                  </w:r>
                  <w:r>
                    <w:rPr>
                      <w:color w:val="0D0D0D"/>
                      <w:spacing w:val="-51"/>
                    </w:rPr>
                    <w:t>）</w:t>
                  </w:r>
                  <w:r>
                    <w:rPr>
                      <w:color w:val="0D0D0D"/>
                      <w:spacing w:val="-9"/>
                    </w:rPr>
                    <w:t>干作业。除工艺限制外，</w:t>
                  </w:r>
                  <w:r>
                    <w:rPr>
                      <w:color w:val="0D0D0D"/>
                      <w:spacing w:val="13"/>
                    </w:rPr>
                    <w:t>原则上实行集中调配。调配、喷涂和干燥等</w:t>
                  </w:r>
                  <w:r>
                    <w:rPr>
                      <w:rFonts w:eastAsia="Times New Roman"/>
                      <w:color w:val="0D0D0D"/>
                    </w:rPr>
                    <w:t>VOCs</w:t>
                  </w:r>
                  <w:r>
                    <w:rPr>
                      <w:color w:val="0D0D0D"/>
                    </w:rPr>
                    <w:t>排放工序应配备有效的废气收集系统。</w:t>
                  </w:r>
                </w:p>
              </w:tc>
              <w:tc>
                <w:tcPr>
                  <w:tcW w:w="1984" w:type="dxa"/>
                  <w:shd w:val="clear" w:color="auto" w:fill="auto"/>
                  <w:vAlign w:val="center"/>
                </w:tcPr>
                <w:p>
                  <w:pPr>
                    <w:pStyle w:val="164"/>
                    <w:jc w:val="both"/>
                  </w:pPr>
                  <w:r>
                    <w:t>扩建项目原辅料密闭存</w:t>
                  </w:r>
                  <w:r>
                    <w:rPr>
                      <w:color w:val="0D0D0D"/>
                      <w:spacing w:val="-9"/>
                    </w:rPr>
                    <w:t>储，调配、使用、回收</w:t>
                  </w:r>
                  <w:r>
                    <w:rPr>
                      <w:color w:val="0D0D0D"/>
                      <w:spacing w:val="12"/>
                    </w:rPr>
                    <w:t>等过程均在密闭空间</w:t>
                  </w:r>
                  <w:r>
                    <w:rPr>
                      <w:color w:val="0D0D0D"/>
                      <w:spacing w:val="-8"/>
                    </w:rPr>
                    <w:t>内操作，厂内均采用密</w:t>
                  </w:r>
                  <w:r>
                    <w:rPr>
                      <w:color w:val="0D0D0D"/>
                      <w:spacing w:val="-11"/>
                    </w:rPr>
                    <w:t>闭容器输送。</w:t>
                  </w:r>
                  <w:r>
                    <w:rPr>
                      <w:rFonts w:hint="eastAsia"/>
                      <w:color w:val="0D0D0D"/>
                      <w:spacing w:val="-11"/>
                    </w:rPr>
                    <w:t>调漆</w:t>
                  </w:r>
                  <w:r>
                    <w:rPr>
                      <w:color w:val="0D0D0D"/>
                      <w:spacing w:val="-11"/>
                    </w:rPr>
                    <w:t>、喷</w:t>
                  </w:r>
                  <w:r>
                    <w:rPr>
                      <w:color w:val="0D0D0D"/>
                      <w:spacing w:val="12"/>
                    </w:rPr>
                    <w:t>涂和烘晾干等工序均配</w:t>
                  </w:r>
                  <w:r>
                    <w:rPr>
                      <w:color w:val="0D0D0D"/>
                    </w:rPr>
                    <w:t>有废气收集系统</w:t>
                  </w:r>
                </w:p>
              </w:tc>
              <w:tc>
                <w:tcPr>
                  <w:tcW w:w="646" w:type="dxa"/>
                  <w:shd w:val="clear" w:color="auto" w:fill="auto"/>
                  <w:vAlign w:val="center"/>
                </w:tcPr>
                <w:p>
                  <w:pPr>
                    <w:pStyle w:val="164"/>
                  </w:pPr>
                  <w: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3" w:hRule="atLeast"/>
                <w:jc w:val="center"/>
              </w:trPr>
              <w:tc>
                <w:tcPr>
                  <w:tcW w:w="439" w:type="dxa"/>
                  <w:shd w:val="clear" w:color="auto" w:fill="auto"/>
                  <w:vAlign w:val="center"/>
                </w:tcPr>
                <w:p>
                  <w:pPr>
                    <w:pStyle w:val="164"/>
                  </w:pPr>
                  <w:r>
                    <w:rPr>
                      <w:rFonts w:hint="eastAsia"/>
                    </w:rPr>
                    <w:t>4</w:t>
                  </w:r>
                </w:p>
              </w:tc>
              <w:tc>
                <w:tcPr>
                  <w:tcW w:w="993" w:type="dxa"/>
                  <w:vMerge w:val="continue"/>
                  <w:shd w:val="clear" w:color="auto" w:fill="auto"/>
                  <w:vAlign w:val="center"/>
                </w:tcPr>
                <w:p>
                  <w:pPr>
                    <w:pStyle w:val="164"/>
                    <w:jc w:val="both"/>
                  </w:pPr>
                </w:p>
              </w:tc>
              <w:tc>
                <w:tcPr>
                  <w:tcW w:w="4111" w:type="dxa"/>
                  <w:shd w:val="clear" w:color="auto" w:fill="auto"/>
                  <w:vAlign w:val="center"/>
                </w:tcPr>
                <w:p>
                  <w:pPr>
                    <w:pStyle w:val="164"/>
                    <w:jc w:val="both"/>
                  </w:pPr>
                  <w:r>
                    <w:rPr>
                      <w:color w:val="0D0D0D"/>
                      <w:spacing w:val="-9"/>
                    </w:rPr>
                    <w:t>推进建设适宜高效的治污设施。涂装废气应</w:t>
                  </w:r>
                  <w:r>
                    <w:rPr>
                      <w:color w:val="0D0D0D"/>
                      <w:spacing w:val="-10"/>
                    </w:rPr>
                    <w:t>设置高效漆雾处理装置。喷涂、晾</w:t>
                  </w:r>
                  <w:r>
                    <w:rPr>
                      <w:color w:val="0D0D0D"/>
                    </w:rPr>
                    <w:t>（风</w:t>
                  </w:r>
                  <w:r>
                    <w:rPr>
                      <w:color w:val="0D0D0D"/>
                      <w:spacing w:val="-25"/>
                    </w:rPr>
                    <w:t>）</w:t>
                  </w:r>
                  <w:r>
                    <w:rPr>
                      <w:color w:val="0D0D0D"/>
                      <w:spacing w:val="-3"/>
                    </w:rPr>
                    <w:t>干废气</w:t>
                  </w:r>
                  <w:r>
                    <w:rPr>
                      <w:color w:val="0D0D0D"/>
                      <w:spacing w:val="-1"/>
                    </w:rPr>
                    <w:t>宜采用吸附浓缩</w:t>
                  </w:r>
                  <w:r>
                    <w:rPr>
                      <w:rFonts w:eastAsia="Times New Roman"/>
                      <w:color w:val="0D0D0D"/>
                    </w:rPr>
                    <w:t>+</w:t>
                  </w:r>
                  <w:r>
                    <w:rPr>
                      <w:color w:val="0D0D0D"/>
                      <w:spacing w:val="-3"/>
                    </w:rPr>
                    <w:t>燃烧处理方式，小风量的可采</w:t>
                  </w:r>
                  <w:r>
                    <w:rPr>
                      <w:color w:val="0D0D0D"/>
                      <w:spacing w:val="-10"/>
                    </w:rPr>
                    <w:t>用一次性活性炭吸附等工艺。调配、流平等废气</w:t>
                  </w:r>
                  <w:r>
                    <w:rPr>
                      <w:color w:val="0D0D0D"/>
                      <w:spacing w:val="-12"/>
                    </w:rPr>
                    <w:t>可与喷涂、晾</w:t>
                  </w:r>
                  <w:r>
                    <w:rPr>
                      <w:color w:val="0D0D0D"/>
                    </w:rPr>
                    <w:t>（风</w:t>
                  </w:r>
                  <w:r>
                    <w:rPr>
                      <w:color w:val="0D0D0D"/>
                      <w:spacing w:val="-25"/>
                    </w:rPr>
                    <w:t>）</w:t>
                  </w:r>
                  <w:r>
                    <w:rPr>
                      <w:color w:val="0D0D0D"/>
                      <w:spacing w:val="-6"/>
                    </w:rPr>
                    <w:t>干废气一并处理。使用溶剂</w:t>
                  </w:r>
                  <w:r>
                    <w:rPr>
                      <w:color w:val="0D0D0D"/>
                      <w:spacing w:val="-12"/>
                    </w:rPr>
                    <w:t>型涂料的生产线，烘干废气宜采用燃烧方式单独</w:t>
                  </w:r>
                  <w:r>
                    <w:rPr>
                      <w:color w:val="0D0D0D"/>
                      <w:spacing w:val="-6"/>
                    </w:rPr>
                    <w:t>处理，具备条件的可采用回收式热力燃烧装置。</w:t>
                  </w:r>
                </w:p>
              </w:tc>
              <w:tc>
                <w:tcPr>
                  <w:tcW w:w="1984" w:type="dxa"/>
                  <w:shd w:val="clear" w:color="auto" w:fill="auto"/>
                  <w:vAlign w:val="center"/>
                </w:tcPr>
                <w:p>
                  <w:pPr>
                    <w:pStyle w:val="164"/>
                    <w:jc w:val="both"/>
                    <w:rPr>
                      <w:lang w:val="en-US"/>
                    </w:rPr>
                  </w:pPr>
                  <w:r>
                    <w:rPr>
                      <w:color w:val="0D0D0D"/>
                      <w:spacing w:val="15"/>
                    </w:rPr>
                    <w:t>原项目及扩建项目</w:t>
                  </w:r>
                  <w:r>
                    <w:rPr>
                      <w:rFonts w:hint="eastAsia"/>
                    </w:rPr>
                    <w:t>涂装废气采用“湿式过滤</w:t>
                  </w:r>
                  <w:r>
                    <w:t>+干式过滤+活性炭吸附浓缩+解析（催化燃烧）</w:t>
                  </w:r>
                  <w:r>
                    <w:rPr>
                      <w:rFonts w:hint="eastAsia"/>
                    </w:rPr>
                    <w:t>”处理后经15m排气筒排放。</w:t>
                  </w:r>
                </w:p>
              </w:tc>
              <w:tc>
                <w:tcPr>
                  <w:tcW w:w="646" w:type="dxa"/>
                  <w:shd w:val="clear" w:color="auto" w:fill="auto"/>
                  <w:vAlign w:val="center"/>
                </w:tcPr>
                <w:p>
                  <w:pPr>
                    <w:pStyle w:val="164"/>
                  </w:pPr>
                  <w:r>
                    <w:rPr>
                      <w:color w:val="0D0D0D"/>
                    </w:rPr>
                    <w:t>符合</w:t>
                  </w:r>
                </w:p>
              </w:tc>
            </w:tr>
          </w:tbl>
          <w:p>
            <w:pPr>
              <w:pStyle w:val="160"/>
              <w:ind w:firstLine="480"/>
            </w:pPr>
            <w:r>
              <w:rPr>
                <w:rFonts w:hint="eastAsia"/>
              </w:rPr>
              <w:t>综上，扩建项目</w:t>
            </w:r>
            <w:r>
              <w:t>符合</w:t>
            </w:r>
            <w:r>
              <w:rPr>
                <w:rFonts w:hint="eastAsia"/>
              </w:rPr>
              <w:t>《重点行业挥发性有机物综合治理方案》（环大气</w:t>
            </w:r>
            <w:r>
              <w:t>[2019]53号）要求。</w:t>
            </w:r>
          </w:p>
          <w:p>
            <w:pPr>
              <w:pStyle w:val="4"/>
            </w:pPr>
            <w:r>
              <w:t>1.1.7.</w:t>
            </w:r>
            <w:r>
              <w:rPr>
                <w:rFonts w:hint="eastAsia"/>
                <w:b w:val="0"/>
              </w:rPr>
              <w:t>9</w:t>
            </w:r>
            <w:r>
              <w:rPr>
                <w:rFonts w:hint="eastAsia"/>
              </w:rPr>
              <w:t>与《</w:t>
            </w:r>
            <w:r>
              <w:t>2020年挥发性有机物治理攻坚方案》符合性分析</w:t>
            </w:r>
          </w:p>
          <w:p>
            <w:pPr>
              <w:pStyle w:val="164"/>
            </w:pPr>
            <w:r>
              <w:t>表</w:t>
            </w:r>
            <w:r>
              <w:rPr>
                <w:rFonts w:hint="eastAsia"/>
              </w:rPr>
              <w:t xml:space="preserve">1.1-17   </w:t>
            </w:r>
            <w:r>
              <w:t>与</w:t>
            </w:r>
            <w:r>
              <w:rPr>
                <w:rFonts w:hint="eastAsia"/>
              </w:rPr>
              <w:t>《</w:t>
            </w:r>
            <w:r>
              <w:t>2020年挥发性有机物治理攻坚方案》的符合性分析</w:t>
            </w:r>
          </w:p>
          <w:tbl>
            <w:tblPr>
              <w:tblStyle w:val="162"/>
              <w:tblW w:w="828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7"/>
              <w:gridCol w:w="4466"/>
              <w:gridCol w:w="2360"/>
              <w:gridCol w:w="7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7" w:type="dxa"/>
                  <w:shd w:val="clear" w:color="auto" w:fill="auto"/>
                  <w:vAlign w:val="center"/>
                </w:tcPr>
                <w:p>
                  <w:pPr>
                    <w:pStyle w:val="164"/>
                    <w:rPr>
                      <w:b/>
                      <w:color w:val="auto"/>
                    </w:rPr>
                  </w:pPr>
                  <w:r>
                    <w:rPr>
                      <w:rFonts w:hint="eastAsia"/>
                      <w:b/>
                      <w:color w:val="auto"/>
                    </w:rPr>
                    <w:t>序号</w:t>
                  </w:r>
                </w:p>
              </w:tc>
              <w:tc>
                <w:tcPr>
                  <w:tcW w:w="4466" w:type="dxa"/>
                  <w:shd w:val="clear" w:color="auto" w:fill="auto"/>
                  <w:vAlign w:val="center"/>
                </w:tcPr>
                <w:p>
                  <w:pPr>
                    <w:pStyle w:val="164"/>
                    <w:rPr>
                      <w:b/>
                      <w:color w:val="auto"/>
                    </w:rPr>
                  </w:pPr>
                  <w:r>
                    <w:rPr>
                      <w:b/>
                      <w:color w:val="auto"/>
                    </w:rPr>
                    <w:t>相关要求</w:t>
                  </w:r>
                </w:p>
              </w:tc>
              <w:tc>
                <w:tcPr>
                  <w:tcW w:w="2360" w:type="dxa"/>
                  <w:shd w:val="clear" w:color="auto" w:fill="auto"/>
                  <w:vAlign w:val="center"/>
                </w:tcPr>
                <w:p>
                  <w:pPr>
                    <w:pStyle w:val="164"/>
                    <w:rPr>
                      <w:b/>
                      <w:color w:val="auto"/>
                    </w:rPr>
                  </w:pPr>
                  <w:r>
                    <w:rPr>
                      <w:b/>
                      <w:color w:val="auto"/>
                    </w:rPr>
                    <w:t>扩建项目情况</w:t>
                  </w:r>
                </w:p>
              </w:tc>
              <w:tc>
                <w:tcPr>
                  <w:tcW w:w="747" w:type="dxa"/>
                  <w:shd w:val="clear" w:color="auto" w:fill="auto"/>
                  <w:vAlign w:val="center"/>
                </w:tcPr>
                <w:p>
                  <w:pPr>
                    <w:pStyle w:val="164"/>
                    <w:rPr>
                      <w:b/>
                      <w:color w:val="auto"/>
                    </w:rPr>
                  </w:pPr>
                  <w:r>
                    <w:rPr>
                      <w:b/>
                      <w:color w:val="auto"/>
                    </w:rPr>
                    <w:t>是否符合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7" w:type="dxa"/>
                  <w:shd w:val="clear" w:color="auto" w:fill="auto"/>
                  <w:vAlign w:val="center"/>
                </w:tcPr>
                <w:p>
                  <w:pPr>
                    <w:pStyle w:val="164"/>
                    <w:rPr>
                      <w:color w:val="auto"/>
                      <w:sz w:val="20"/>
                    </w:rPr>
                  </w:pPr>
                  <w:r>
                    <w:rPr>
                      <w:rFonts w:hint="eastAsia"/>
                      <w:color w:val="auto"/>
                      <w:sz w:val="20"/>
                    </w:rPr>
                    <w:t>1</w:t>
                  </w:r>
                </w:p>
              </w:tc>
              <w:tc>
                <w:tcPr>
                  <w:tcW w:w="4466" w:type="dxa"/>
                  <w:shd w:val="clear" w:color="auto" w:fill="auto"/>
                  <w:vAlign w:val="center"/>
                </w:tcPr>
                <w:p>
                  <w:pPr>
                    <w:pStyle w:val="164"/>
                    <w:rPr>
                      <w:color w:val="auto"/>
                    </w:rPr>
                  </w:pPr>
                  <w:r>
                    <w:rPr>
                      <w:rFonts w:hint="eastAsia"/>
                      <w:color w:val="auto"/>
                      <w:spacing w:val="-10"/>
                    </w:rPr>
                    <w:t>处置环节应将盛装过</w:t>
                  </w:r>
                  <w:r>
                    <w:rPr>
                      <w:color w:val="auto"/>
                      <w:spacing w:val="-10"/>
                    </w:rPr>
                    <w:t>VOCs物料的包装容器、含VOCs废料（渣、液）、废吸附剂等通过加盖、封装等方式密闭，妥善存放，不得随意丢弃，7月15日前集中清运一次，交有资质的单位处置</w:t>
                  </w:r>
                </w:p>
              </w:tc>
              <w:tc>
                <w:tcPr>
                  <w:tcW w:w="2360" w:type="dxa"/>
                  <w:shd w:val="clear" w:color="auto" w:fill="auto"/>
                  <w:vAlign w:val="center"/>
                </w:tcPr>
                <w:p>
                  <w:pPr>
                    <w:pStyle w:val="164"/>
                    <w:rPr>
                      <w:color w:val="auto"/>
                      <w:spacing w:val="16"/>
                    </w:rPr>
                  </w:pPr>
                  <w:r>
                    <w:rPr>
                      <w:rFonts w:hint="eastAsia"/>
                      <w:color w:val="auto"/>
                      <w:spacing w:val="16"/>
                    </w:rPr>
                    <w:t>包装容器、含</w:t>
                  </w:r>
                  <w:r>
                    <w:rPr>
                      <w:color w:val="auto"/>
                      <w:spacing w:val="16"/>
                    </w:rPr>
                    <w:t>VOCs废料（渣、液）、废吸附剂等</w:t>
                  </w:r>
                  <w:r>
                    <w:rPr>
                      <w:rFonts w:hint="eastAsia"/>
                      <w:color w:val="auto"/>
                      <w:spacing w:val="16"/>
                    </w:rPr>
                    <w:t>危险废物封装后</w:t>
                  </w:r>
                  <w:r>
                    <w:rPr>
                      <w:color w:val="auto"/>
                      <w:spacing w:val="16"/>
                    </w:rPr>
                    <w:t>定期交由资质的</w:t>
                  </w:r>
                  <w:r>
                    <w:rPr>
                      <w:rFonts w:hint="eastAsia"/>
                      <w:color w:val="auto"/>
                      <w:spacing w:val="16"/>
                    </w:rPr>
                    <w:t>单位处置</w:t>
                  </w:r>
                </w:p>
              </w:tc>
              <w:tc>
                <w:tcPr>
                  <w:tcW w:w="747"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7" w:type="dxa"/>
                  <w:shd w:val="clear" w:color="auto" w:fill="auto"/>
                  <w:vAlign w:val="center"/>
                </w:tcPr>
                <w:p>
                  <w:pPr>
                    <w:pStyle w:val="164"/>
                    <w:rPr>
                      <w:color w:val="auto"/>
                    </w:rPr>
                  </w:pPr>
                  <w:r>
                    <w:rPr>
                      <w:rFonts w:hint="eastAsia"/>
                      <w:color w:val="auto"/>
                    </w:rPr>
                    <w:t>2</w:t>
                  </w:r>
                </w:p>
              </w:tc>
              <w:tc>
                <w:tcPr>
                  <w:tcW w:w="4466" w:type="dxa"/>
                  <w:shd w:val="clear" w:color="auto" w:fill="auto"/>
                  <w:vAlign w:val="center"/>
                </w:tcPr>
                <w:p>
                  <w:pPr>
                    <w:pStyle w:val="164"/>
                    <w:rPr>
                      <w:color w:val="auto"/>
                    </w:rPr>
                  </w:pPr>
                  <w:r>
                    <w:rPr>
                      <w:rFonts w:hint="eastAsia"/>
                      <w:color w:val="auto"/>
                      <w:spacing w:val="-10"/>
                    </w:rPr>
                    <w:t>将无组织排放转变为有组织排放进行控制，优先采用密闭设备、在密闭空间中操作或采用全密闭集气罩收集方式；对于采用局部集气罩的，应根据废气排放特点合理选择收集点位，距集气罩开口面最远处的</w:t>
                  </w:r>
                  <w:r>
                    <w:rPr>
                      <w:color w:val="auto"/>
                      <w:spacing w:val="-10"/>
                    </w:rPr>
                    <w:t>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2360" w:type="dxa"/>
                  <w:shd w:val="clear" w:color="auto" w:fill="auto"/>
                  <w:vAlign w:val="center"/>
                </w:tcPr>
                <w:p>
                  <w:pPr>
                    <w:pStyle w:val="164"/>
                    <w:rPr>
                      <w:color w:val="auto"/>
                      <w:lang w:val="en-US"/>
                    </w:rPr>
                  </w:pPr>
                  <w:r>
                    <w:rPr>
                      <w:rFonts w:hint="eastAsia"/>
                      <w:color w:val="auto"/>
                    </w:rPr>
                    <w:t>扩建项目实施后喷漆房为密闭空间，</w:t>
                  </w:r>
                  <w:r>
                    <w:rPr>
                      <w:color w:val="auto"/>
                    </w:rPr>
                    <w:t>负压抽风</w:t>
                  </w:r>
                  <w:r>
                    <w:rPr>
                      <w:rFonts w:hint="eastAsia"/>
                      <w:color w:val="auto"/>
                    </w:rPr>
                    <w:t>，油性漆生产线废气处理设施进行改造，</w:t>
                  </w:r>
                  <w:r>
                    <w:rPr>
                      <w:rFonts w:hint="eastAsia"/>
                    </w:rPr>
                    <w:t>原项目及扩建项目涂装废气采用“湿式过滤</w:t>
                  </w:r>
                  <w:r>
                    <w:t>+干式过滤+活性炭吸附浓缩+解析（催化燃烧）</w:t>
                  </w:r>
                  <w:r>
                    <w:rPr>
                      <w:rFonts w:hint="eastAsia"/>
                    </w:rPr>
                    <w:t>”处理后经15m排气筒排放。</w:t>
                  </w:r>
                </w:p>
              </w:tc>
              <w:tc>
                <w:tcPr>
                  <w:tcW w:w="747"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7" w:type="dxa"/>
                  <w:shd w:val="clear" w:color="auto" w:fill="auto"/>
                  <w:vAlign w:val="center"/>
                </w:tcPr>
                <w:p>
                  <w:pPr>
                    <w:pStyle w:val="164"/>
                    <w:rPr>
                      <w:color w:val="auto"/>
                    </w:rPr>
                  </w:pPr>
                  <w:r>
                    <w:rPr>
                      <w:rFonts w:hint="eastAsia"/>
                      <w:color w:val="auto"/>
                    </w:rPr>
                    <w:t>3</w:t>
                  </w:r>
                </w:p>
              </w:tc>
              <w:tc>
                <w:tcPr>
                  <w:tcW w:w="4466" w:type="dxa"/>
                  <w:shd w:val="clear" w:color="auto" w:fill="auto"/>
                  <w:vAlign w:val="center"/>
                </w:tcPr>
                <w:p>
                  <w:pPr>
                    <w:pStyle w:val="164"/>
                    <w:rPr>
                      <w:color w:val="auto"/>
                    </w:rPr>
                  </w:pPr>
                  <w:r>
                    <w:rPr>
                      <w:rFonts w:hint="eastAsia"/>
                      <w:color w:val="auto"/>
                    </w:rPr>
                    <w:t>按照与生产设备“同启同停”的原则提升治理设施运行率。根据处理工艺要求，在处理设施达到正常运行条件后方可启动生产设备，在生产设备停止、残留</w:t>
                  </w:r>
                  <w:r>
                    <w:rPr>
                      <w:color w:val="auto"/>
                    </w:rPr>
                    <w:t>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2360" w:type="dxa"/>
                  <w:shd w:val="clear" w:color="auto" w:fill="auto"/>
                  <w:vAlign w:val="center"/>
                </w:tcPr>
                <w:p>
                  <w:pPr>
                    <w:pStyle w:val="164"/>
                    <w:rPr>
                      <w:color w:val="auto"/>
                    </w:rPr>
                  </w:pPr>
                  <w:r>
                    <w:rPr>
                      <w:rFonts w:hint="eastAsia"/>
                      <w:color w:val="auto"/>
                    </w:rPr>
                    <w:t>扩建项目建成后废气治理措施需要按照与“</w:t>
                  </w:r>
                  <w:r>
                    <w:rPr>
                      <w:color w:val="auto"/>
                    </w:rPr>
                    <w:t>同启同停</w:t>
                  </w:r>
                  <w:r>
                    <w:rPr>
                      <w:rFonts w:hint="eastAsia"/>
                      <w:color w:val="auto"/>
                    </w:rPr>
                    <w:t>”</w:t>
                  </w:r>
                  <w:r>
                    <w:rPr>
                      <w:color w:val="auto"/>
                    </w:rPr>
                    <w:t>生产设备，处理设施达到正常运行条件后方可启</w:t>
                  </w:r>
                  <w:r>
                    <w:rPr>
                      <w:rFonts w:hint="eastAsia"/>
                      <w:color w:val="auto"/>
                    </w:rPr>
                    <w:t>动生产设备，在生产设备停止、残留</w:t>
                  </w:r>
                  <w:r>
                    <w:rPr>
                      <w:color w:val="auto"/>
                    </w:rPr>
                    <w:t>VOCs废气收集处理完毕后，方可停运处理设施。VOCs废气处理系统发生故障或检修时，对应生产工艺设备应停止运行，待检修完毕后同步投入使用</w:t>
                  </w:r>
                </w:p>
              </w:tc>
              <w:tc>
                <w:tcPr>
                  <w:tcW w:w="747" w:type="dxa"/>
                  <w:shd w:val="clear" w:color="auto" w:fill="auto"/>
                  <w:vAlign w:val="center"/>
                </w:tcPr>
                <w:p>
                  <w:pPr>
                    <w:pStyle w:val="164"/>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7" w:type="dxa"/>
                  <w:shd w:val="clear" w:color="auto" w:fill="auto"/>
                  <w:vAlign w:val="center"/>
                </w:tcPr>
                <w:p>
                  <w:pPr>
                    <w:pStyle w:val="164"/>
                    <w:rPr>
                      <w:color w:val="auto"/>
                    </w:rPr>
                  </w:pPr>
                  <w:r>
                    <w:rPr>
                      <w:rFonts w:hint="eastAsia"/>
                      <w:color w:val="auto"/>
                    </w:rPr>
                    <w:t>4</w:t>
                  </w:r>
                </w:p>
              </w:tc>
              <w:tc>
                <w:tcPr>
                  <w:tcW w:w="4466" w:type="dxa"/>
                  <w:shd w:val="clear" w:color="auto" w:fill="auto"/>
                  <w:vAlign w:val="center"/>
                </w:tcPr>
                <w:p>
                  <w:pPr>
                    <w:pStyle w:val="164"/>
                    <w:rPr>
                      <w:color w:val="auto"/>
                    </w:rPr>
                  </w:pPr>
                  <w:r>
                    <w:rPr>
                      <w:rFonts w:hint="eastAsia"/>
                      <w:color w:val="auto"/>
                      <w:spacing w:val="-9"/>
                    </w:rPr>
                    <w:t>按照“适宜高效”的原则提高治理设施去除率，不得稀释排放。企业新建治污设施或对现有治污设施实施改造，应依据排放废气特征、</w:t>
                  </w:r>
                  <w:r>
                    <w:rPr>
                      <w:color w:val="auto"/>
                      <w:spacing w:val="-9"/>
                    </w:rPr>
                    <w:t>VOCs组分及浓度、生产工况等，合理选择治理技术，对治理难度大、单一治理工艺难以稳定达标的，要采用多种技术的组合工艺。采用活性炭吸附技术的，应选择碘值不低于800毫克/克的活性炭，并按设计要求足量添加及时更换</w:t>
                  </w:r>
                  <w:r>
                    <w:rPr>
                      <w:color w:val="auto"/>
                      <w:spacing w:val="-6"/>
                    </w:rPr>
                    <w:t>。</w:t>
                  </w:r>
                </w:p>
              </w:tc>
              <w:tc>
                <w:tcPr>
                  <w:tcW w:w="2360" w:type="dxa"/>
                  <w:shd w:val="clear" w:color="auto" w:fill="auto"/>
                  <w:vAlign w:val="center"/>
                </w:tcPr>
                <w:p>
                  <w:r>
                    <w:rPr>
                      <w:rFonts w:hint="eastAsia"/>
                    </w:rPr>
                    <w:t>扩建项目对油性漆生产线废气处理设施进行改造，原项目及扩建项目涂装废气采用“湿式过滤</w:t>
                  </w:r>
                  <w:r>
                    <w:t>+干式过滤+活性炭吸附浓缩+解析（催化燃烧）</w:t>
                  </w:r>
                  <w:r>
                    <w:rPr>
                      <w:rFonts w:hint="eastAsia"/>
                    </w:rPr>
                    <w:t>”处理后经15m排气筒排放。</w:t>
                  </w:r>
                </w:p>
                <w:p>
                  <w:pPr>
                    <w:pStyle w:val="164"/>
                    <w:rPr>
                      <w:color w:val="auto"/>
                    </w:rPr>
                  </w:pPr>
                  <w:r>
                    <w:rPr>
                      <w:rFonts w:hint="eastAsia"/>
                      <w:color w:val="auto"/>
                      <w:spacing w:val="12"/>
                    </w:rPr>
                    <w:t>使用碘值不低于</w:t>
                  </w:r>
                  <w:r>
                    <w:rPr>
                      <w:color w:val="auto"/>
                      <w:spacing w:val="12"/>
                    </w:rPr>
                    <w:t>800毫克/克的活性炭，并足量添加</w:t>
                  </w:r>
                  <w:r>
                    <w:rPr>
                      <w:rFonts w:hint="eastAsia"/>
                      <w:color w:val="auto"/>
                      <w:spacing w:val="12"/>
                      <w:lang w:eastAsia="zh-CN"/>
                    </w:rPr>
                    <w:t>及</w:t>
                  </w:r>
                  <w:r>
                    <w:rPr>
                      <w:color w:val="auto"/>
                      <w:spacing w:val="12"/>
                    </w:rPr>
                    <w:t>时更换</w:t>
                  </w:r>
                </w:p>
              </w:tc>
              <w:tc>
                <w:tcPr>
                  <w:tcW w:w="747" w:type="dxa"/>
                  <w:shd w:val="clear" w:color="auto" w:fill="auto"/>
                  <w:vAlign w:val="center"/>
                </w:tcPr>
                <w:p>
                  <w:pPr>
                    <w:pStyle w:val="164"/>
                    <w:rPr>
                      <w:color w:val="auto"/>
                    </w:rPr>
                  </w:pPr>
                  <w:r>
                    <w:rPr>
                      <w:color w:val="auto"/>
                    </w:rPr>
                    <w:t>符合</w:t>
                  </w:r>
                </w:p>
              </w:tc>
            </w:tr>
          </w:tbl>
          <w:p>
            <w:pPr>
              <w:pStyle w:val="160"/>
              <w:ind w:firstLine="480"/>
            </w:pPr>
            <w:r>
              <w:rPr>
                <w:rFonts w:hint="eastAsia"/>
              </w:rPr>
              <w:t>综上，扩建项目符合《</w:t>
            </w:r>
            <w:r>
              <w:t>2020年挥发性有机物治理攻坚方案》要求。</w:t>
            </w:r>
          </w:p>
          <w:p/>
          <w:p/>
        </w:tc>
      </w:tr>
      <w:bookmarkEnd w:id="0"/>
    </w:tbl>
    <w:p>
      <w:pPr>
        <w:pStyle w:val="3"/>
      </w:pPr>
      <w:r>
        <w:rPr>
          <w:rFonts w:hint="eastAsia"/>
        </w:rPr>
        <w:t>二、建设项目工程分析</w:t>
      </w:r>
    </w:p>
    <w:tbl>
      <w:tblPr>
        <w:tblStyle w:val="88"/>
        <w:tblW w:w="923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50" w:hRule="atLeast"/>
          <w:jc w:val="center"/>
        </w:trPr>
        <w:tc>
          <w:tcPr>
            <w:tcW w:w="500" w:type="dxa"/>
            <w:vAlign w:val="center"/>
          </w:tcPr>
          <w:p>
            <w:pPr>
              <w:pStyle w:val="81"/>
              <w:widowControl w:val="0"/>
              <w:adjustRightInd w:val="0"/>
              <w:snapToGrid w:val="0"/>
              <w:spacing w:beforeAutospacing="0" w:after="0" w:afterAutospacing="0"/>
              <w:jc w:val="center"/>
              <w:rPr>
                <w:rFonts w:cs="宋体"/>
              </w:rPr>
            </w:pPr>
            <w:r>
              <w:rPr>
                <w:rFonts w:hint="eastAsia" w:cs="宋体"/>
                <w:sz w:val="21"/>
                <w:szCs w:val="21"/>
              </w:rPr>
              <w:t>建设内容</w:t>
            </w:r>
          </w:p>
        </w:tc>
        <w:tc>
          <w:tcPr>
            <w:tcW w:w="8731" w:type="dxa"/>
            <w:noWrap/>
            <w:vAlign w:val="center"/>
          </w:tcPr>
          <w:p>
            <w:pPr>
              <w:pStyle w:val="3"/>
              <w:tabs>
                <w:tab w:val="left" w:pos="269"/>
                <w:tab w:val="left" w:pos="371"/>
                <w:tab w:val="left" w:pos="432"/>
              </w:tabs>
              <w:adjustRightInd w:val="0"/>
              <w:jc w:val="left"/>
              <w:rPr>
                <w:rFonts w:hint="eastAsia" w:ascii="宋体" w:hAnsi="宋体"/>
                <w:bCs w:val="0"/>
                <w:sz w:val="24"/>
                <w:szCs w:val="22"/>
              </w:rPr>
            </w:pPr>
            <w:bookmarkStart w:id="7" w:name="_Toc64363766"/>
          </w:p>
          <w:p>
            <w:pPr>
              <w:pStyle w:val="3"/>
              <w:tabs>
                <w:tab w:val="left" w:pos="269"/>
                <w:tab w:val="left" w:pos="371"/>
                <w:tab w:val="left" w:pos="432"/>
              </w:tabs>
              <w:adjustRightInd w:val="0"/>
              <w:jc w:val="left"/>
              <w:rPr>
                <w:sz w:val="24"/>
                <w:szCs w:val="24"/>
              </w:rPr>
            </w:pPr>
            <w:r>
              <w:rPr>
                <w:rFonts w:hint="eastAsia" w:ascii="宋体" w:hAnsi="宋体"/>
                <w:bCs w:val="0"/>
                <w:sz w:val="24"/>
                <w:szCs w:val="22"/>
              </w:rPr>
              <w:t>2.1</w:t>
            </w:r>
            <w:r>
              <w:rPr>
                <w:rFonts w:hint="eastAsia"/>
                <w:sz w:val="24"/>
                <w:szCs w:val="24"/>
              </w:rPr>
              <w:t>扩建项目由来</w:t>
            </w:r>
          </w:p>
          <w:p>
            <w:pPr>
              <w:pStyle w:val="160"/>
              <w:ind w:firstLine="480"/>
            </w:pPr>
            <w:r>
              <w:rPr>
                <w:rFonts w:hint="eastAsia"/>
              </w:rPr>
              <w:t>重庆展成家俱制造有限公司投资4500万元，利用厂区内闲置7#及8#厂房建设“重庆展成家俱制造有限公司二期扩建项目”（以下简称“扩建项目”）。</w:t>
            </w:r>
          </w:p>
          <w:p>
            <w:pPr>
              <w:pStyle w:val="160"/>
              <w:ind w:firstLine="480"/>
              <w:rPr>
                <w:rFonts w:hint="eastAsia"/>
              </w:rPr>
            </w:pPr>
          </w:p>
          <w:p>
            <w:pPr>
              <w:pStyle w:val="160"/>
              <w:ind w:firstLine="480"/>
            </w:pPr>
            <w:r>
              <w:rPr>
                <w:rFonts w:hint="eastAsia"/>
              </w:rPr>
              <w:t>扩建项目选址于铜梁高新区姜家岩片区，扩建项目新增木工加工生产线3条、组装线1条、全自动UV涂装线1条及水性漆涂装线2条；对现有油性漆涂装线进行改造，将原项目底漆及面漆3个油性漆涂装工位改造为2个水性漆工位及1个油性漆工位、水性漆替代比例60%，同时对原项目涂装废气处理设施进行改造，并配套建设相应的辅助工程环保工程等。扩建项目建成后新增套装</w:t>
            </w:r>
            <w:r>
              <w:rPr>
                <w:rFonts w:hint="eastAsia"/>
                <w:lang w:eastAsia="zh-CN"/>
              </w:rPr>
              <w:t>家具</w:t>
            </w:r>
            <w:r>
              <w:rPr>
                <w:rFonts w:hint="eastAsia"/>
              </w:rPr>
              <w:t>1500套/a的产能。</w:t>
            </w:r>
          </w:p>
          <w:p>
            <w:pPr>
              <w:pStyle w:val="160"/>
              <w:ind w:firstLine="480"/>
              <w:rPr>
                <w:rFonts w:hint="eastAsia"/>
              </w:rPr>
            </w:pPr>
          </w:p>
          <w:p>
            <w:pPr>
              <w:pStyle w:val="160"/>
              <w:ind w:firstLine="480"/>
            </w:pPr>
            <w:r>
              <w:rPr>
                <w:rFonts w:hint="eastAsia"/>
              </w:rPr>
              <w:t>扩建项目已取得《重庆市企业投资扩建项目备案证》，</w:t>
            </w:r>
            <w:r>
              <w:t>备案项目编码为</w:t>
            </w:r>
            <w:r>
              <w:rPr>
                <w:rFonts w:hint="eastAsia"/>
              </w:rPr>
              <w:t>：</w:t>
            </w:r>
            <w:r>
              <w:t>2204-500151-04-05-648264。</w:t>
            </w:r>
          </w:p>
          <w:p>
            <w:pPr>
              <w:pStyle w:val="160"/>
              <w:ind w:firstLine="480"/>
              <w:rPr>
                <w:rFonts w:asciiTheme="minorEastAsia" w:hAnsiTheme="minorEastAsia" w:eastAsiaTheme="minorEastAsia"/>
              </w:rPr>
            </w:pPr>
            <w:r>
              <w:rPr>
                <w:rFonts w:hint="eastAsia" w:asciiTheme="minorEastAsia" w:hAnsiTheme="minorEastAsia" w:eastAsiaTheme="minorEastAsia"/>
              </w:rPr>
              <w:t>根据《中华人民共和国环境保护法》、《中华人民共和国环境影响评价法》、《建设项目环境保护管理条例》扩建项目应进行环境影响评价，扩建项目属于木质家具制造，生产工艺主要包括开料、拼板、裁边、封边、修边、</w:t>
            </w:r>
            <w:r>
              <w:rPr>
                <w:rFonts w:hint="eastAsia" w:asciiTheme="minorEastAsia" w:hAnsiTheme="minorEastAsia" w:eastAsiaTheme="minorEastAsia"/>
                <w:bCs/>
              </w:rPr>
              <w:t>排孔、打磨</w:t>
            </w:r>
            <w:r>
              <w:rPr>
                <w:rFonts w:hint="eastAsia" w:asciiTheme="minorEastAsia" w:hAnsiTheme="minorEastAsia" w:eastAsiaTheme="minorEastAsia"/>
              </w:rPr>
              <w:t>及喷漆等，同时扩建项目采用UV油漆及水性漆进行涂装生产、</w:t>
            </w:r>
            <w:r>
              <w:rPr>
                <w:rFonts w:hint="eastAsia"/>
              </w:rPr>
              <w:t>并对原油性漆生产线实施水性漆部分替代改造</w:t>
            </w:r>
            <w:r>
              <w:rPr>
                <w:rFonts w:hint="eastAsia" w:asciiTheme="minorEastAsia" w:hAnsiTheme="minorEastAsia" w:eastAsiaTheme="minorEastAsia"/>
              </w:rPr>
              <w:t>，使用的水性漆属于非溶剂型涂料，水性漆</w:t>
            </w:r>
            <w:r>
              <w:rPr>
                <w:rFonts w:asciiTheme="minorEastAsia" w:hAnsiTheme="minorEastAsia" w:eastAsiaTheme="minorEastAsia"/>
              </w:rPr>
              <w:t>用量</w:t>
            </w:r>
            <w:r>
              <w:rPr>
                <w:rFonts w:hint="eastAsia" w:asciiTheme="minorEastAsia" w:hAnsiTheme="minorEastAsia" w:eastAsiaTheme="minorEastAsia"/>
              </w:rPr>
              <w:t>127.26</w:t>
            </w:r>
            <w:r>
              <w:rPr>
                <w:rFonts w:asciiTheme="minorEastAsia" w:hAnsiTheme="minorEastAsia" w:eastAsiaTheme="minorEastAsia"/>
              </w:rPr>
              <w:t>吨</w:t>
            </w:r>
            <w:r>
              <w:rPr>
                <w:rFonts w:hint="eastAsia" w:asciiTheme="minorEastAsia" w:hAnsiTheme="minorEastAsia" w:eastAsiaTheme="minorEastAsia"/>
              </w:rPr>
              <w:t>、UV 漆用量4.49t/a；原项目油性漆用量由95.80 t/a降低至38.32t/a。根据《建设项目环境影响评价分类管理名录》（2021年版），扩建项目属于“十八、家具制造业36木质家具制造211*中的其他类”，则环评文件编制类型为环境影响报告表。受重庆展成家俱制造有限公司委托，重庆傲越环保技术研究院有限公司承担扩建项目的环境影响评价工作。在接受委托后，我公司开展了现场踏勘、资料收集、整理工作，在掌握了充分的资料数据的基础上，对有关环境现状和扩建项目实施后可能产生的环境影响进行初步分析后，依据《建设项目环境影响报告表编制技术指南（污染影响类）（试行）》及相关法律法规要求，对其环境影响进行了分析、预测和评估，编制完成了《重庆展成家俱制造有限公司二期扩建项目环境影响报告表》。</w:t>
            </w:r>
          </w:p>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2.2扩建项目基本情况</w:t>
            </w:r>
          </w:p>
          <w:p>
            <w:pPr>
              <w:pStyle w:val="160"/>
              <w:numPr>
                <w:ilvl w:val="0"/>
                <w:numId w:val="3"/>
              </w:numPr>
              <w:ind w:left="0" w:firstLine="480"/>
              <w:rPr>
                <w:rFonts w:asciiTheme="minorEastAsia" w:hAnsiTheme="minorEastAsia" w:eastAsiaTheme="minorEastAsia"/>
              </w:rPr>
            </w:pPr>
            <w:r>
              <w:rPr>
                <w:rFonts w:hint="eastAsia" w:asciiTheme="minorEastAsia" w:hAnsiTheme="minorEastAsia" w:eastAsiaTheme="minorEastAsia"/>
              </w:rPr>
              <w:t>扩建项目名称：重庆展成家俱制造有限公司二期扩建项目；</w:t>
            </w:r>
          </w:p>
          <w:p>
            <w:pPr>
              <w:pStyle w:val="160"/>
              <w:numPr>
                <w:ilvl w:val="0"/>
                <w:numId w:val="3"/>
              </w:numPr>
              <w:ind w:left="0" w:firstLine="480"/>
              <w:rPr>
                <w:rFonts w:asciiTheme="minorEastAsia" w:hAnsiTheme="minorEastAsia" w:eastAsiaTheme="minorEastAsia"/>
              </w:rPr>
            </w:pPr>
            <w:r>
              <w:rPr>
                <w:rFonts w:hint="eastAsia" w:asciiTheme="minorEastAsia" w:hAnsiTheme="minorEastAsia" w:eastAsiaTheme="minorEastAsia"/>
              </w:rPr>
              <w:t>建设单位：重庆展成家俱制造有限公司；</w:t>
            </w:r>
          </w:p>
          <w:p>
            <w:pPr>
              <w:pStyle w:val="160"/>
              <w:numPr>
                <w:ilvl w:val="0"/>
                <w:numId w:val="3"/>
              </w:numPr>
              <w:ind w:left="0" w:firstLine="480"/>
              <w:rPr>
                <w:rFonts w:asciiTheme="minorEastAsia" w:hAnsiTheme="minorEastAsia" w:eastAsiaTheme="minorEastAsia"/>
              </w:rPr>
            </w:pPr>
            <w:r>
              <w:rPr>
                <w:rFonts w:hint="eastAsia" w:asciiTheme="minorEastAsia" w:hAnsiTheme="minorEastAsia" w:eastAsiaTheme="minorEastAsia"/>
              </w:rPr>
              <w:t>建设性质：扩建；</w:t>
            </w:r>
          </w:p>
          <w:p>
            <w:pPr>
              <w:pStyle w:val="160"/>
              <w:numPr>
                <w:ilvl w:val="0"/>
                <w:numId w:val="3"/>
              </w:numPr>
              <w:ind w:left="0" w:firstLine="480"/>
              <w:rPr>
                <w:rFonts w:asciiTheme="minorEastAsia" w:hAnsiTheme="minorEastAsia" w:eastAsiaTheme="minorEastAsia"/>
              </w:rPr>
            </w:pPr>
            <w:r>
              <w:rPr>
                <w:rFonts w:hint="eastAsia" w:asciiTheme="minorEastAsia" w:hAnsiTheme="minorEastAsia" w:eastAsiaTheme="minorEastAsia"/>
              </w:rPr>
              <w:t>建设地点：铜梁高新区姜家岩片区（东经：106.09531</w:t>
            </w:r>
            <w:r>
              <w:rPr>
                <w:rFonts w:asciiTheme="minorEastAsia" w:hAnsiTheme="minorEastAsia" w:eastAsiaTheme="minorEastAsia"/>
              </w:rPr>
              <w:t>°，北纬：29</w:t>
            </w:r>
            <w:r>
              <w:rPr>
                <w:rFonts w:hint="eastAsia" w:asciiTheme="minorEastAsia" w:hAnsiTheme="minorEastAsia" w:eastAsiaTheme="minorEastAsia"/>
              </w:rPr>
              <w:t>.85654</w:t>
            </w:r>
            <w:r>
              <w:rPr>
                <w:rFonts w:asciiTheme="minorEastAsia" w:hAnsiTheme="minorEastAsia" w:eastAsiaTheme="minorEastAsia"/>
              </w:rPr>
              <w:t>°</w:t>
            </w:r>
            <w:r>
              <w:rPr>
                <w:rFonts w:hint="eastAsia" w:asciiTheme="minorEastAsia" w:hAnsiTheme="minorEastAsia" w:eastAsiaTheme="minorEastAsia"/>
              </w:rPr>
              <w:t>）</w:t>
            </w:r>
          </w:p>
          <w:p>
            <w:pPr>
              <w:pStyle w:val="160"/>
              <w:numPr>
                <w:ilvl w:val="0"/>
                <w:numId w:val="3"/>
              </w:numPr>
              <w:ind w:left="0" w:firstLine="480"/>
              <w:rPr>
                <w:rFonts w:asciiTheme="minorEastAsia" w:hAnsiTheme="minorEastAsia" w:eastAsiaTheme="minorEastAsia"/>
              </w:rPr>
            </w:pPr>
            <w:r>
              <w:rPr>
                <w:rFonts w:hint="eastAsia" w:asciiTheme="minorEastAsia" w:hAnsiTheme="minorEastAsia" w:eastAsiaTheme="minorEastAsia"/>
              </w:rPr>
              <w:t>占地面积/建筑面积：利用建成7#及8#厂房进行扩建项目的建设，31157.22</w:t>
            </w:r>
            <w:r>
              <w:rPr>
                <w:rFonts w:asciiTheme="minorEastAsia" w:hAnsiTheme="minorEastAsia" w:eastAsiaTheme="minorEastAsia"/>
              </w:rPr>
              <w:t>m</w:t>
            </w:r>
            <w:r>
              <w:rPr>
                <w:rFonts w:asciiTheme="minorEastAsia" w:hAnsiTheme="minorEastAsia" w:eastAsiaTheme="minorEastAsia"/>
                <w:vertAlign w:val="superscript"/>
              </w:rPr>
              <w:t>2</w:t>
            </w:r>
            <w:r>
              <w:rPr>
                <w:rFonts w:hint="eastAsia" w:asciiTheme="minorEastAsia" w:hAnsiTheme="minorEastAsia" w:eastAsiaTheme="minorEastAsia"/>
              </w:rPr>
              <w:t>/</w:t>
            </w:r>
            <w:r>
              <w:rPr>
                <w:rFonts w:asciiTheme="minorEastAsia" w:hAnsiTheme="minorEastAsia" w:eastAsiaTheme="minorEastAsia"/>
              </w:rPr>
              <w:t>12614.44</w:t>
            </w:r>
            <w:r>
              <w:rPr>
                <w:rFonts w:hint="eastAsia" w:asciiTheme="minorEastAsia" w:hAnsiTheme="minorEastAsia" w:eastAsiaTheme="minorEastAsia"/>
              </w:rPr>
              <w:t>m</w:t>
            </w:r>
            <w:r>
              <w:rPr>
                <w:rFonts w:hint="eastAsia" w:asciiTheme="minorEastAsia" w:hAnsiTheme="minorEastAsia" w:eastAsiaTheme="minorEastAsia"/>
                <w:vertAlign w:val="superscript"/>
              </w:rPr>
              <w:t>2</w:t>
            </w:r>
            <w:r>
              <w:rPr>
                <w:rFonts w:hint="eastAsia" w:asciiTheme="minorEastAsia" w:hAnsiTheme="minorEastAsia" w:eastAsiaTheme="minorEastAsia"/>
              </w:rPr>
              <w:t>；</w:t>
            </w:r>
          </w:p>
          <w:p>
            <w:pPr>
              <w:pStyle w:val="160"/>
              <w:numPr>
                <w:ilvl w:val="0"/>
                <w:numId w:val="3"/>
              </w:numPr>
              <w:ind w:left="0" w:firstLine="480"/>
              <w:rPr>
                <w:rFonts w:asciiTheme="minorEastAsia" w:hAnsiTheme="minorEastAsia" w:eastAsiaTheme="minorEastAsia"/>
              </w:rPr>
            </w:pPr>
            <w:r>
              <w:rPr>
                <w:rFonts w:hint="eastAsia" w:asciiTheme="minorEastAsia" w:hAnsiTheme="minorEastAsia" w:eastAsiaTheme="minorEastAsia"/>
              </w:rPr>
              <w:t>扩建项目投资/环保投资：4500万元/500万元</w:t>
            </w:r>
          </w:p>
          <w:p>
            <w:pPr>
              <w:pStyle w:val="160"/>
              <w:numPr>
                <w:ilvl w:val="0"/>
                <w:numId w:val="3"/>
              </w:numPr>
              <w:ind w:left="0" w:firstLine="480"/>
              <w:rPr>
                <w:rFonts w:asciiTheme="minorEastAsia" w:hAnsiTheme="minorEastAsia" w:eastAsiaTheme="minorEastAsia"/>
              </w:rPr>
            </w:pPr>
            <w:r>
              <w:rPr>
                <w:rFonts w:hint="eastAsia" w:asciiTheme="minorEastAsia" w:hAnsiTheme="minorEastAsia" w:eastAsiaTheme="minorEastAsia"/>
              </w:rPr>
              <w:t>建设内容：扩建项目新增木工加工生产线3条、组装线1条、全自动</w:t>
            </w:r>
            <w:r>
              <w:rPr>
                <w:rFonts w:asciiTheme="minorEastAsia" w:hAnsiTheme="minorEastAsia" w:eastAsiaTheme="minorEastAsia"/>
              </w:rPr>
              <w:t>UV涂装线1条及水性漆涂装线</w:t>
            </w:r>
            <w:r>
              <w:rPr>
                <w:rFonts w:hint="eastAsia" w:asciiTheme="minorEastAsia" w:hAnsiTheme="minorEastAsia" w:eastAsiaTheme="minorEastAsia"/>
              </w:rPr>
              <w:t>2</w:t>
            </w:r>
            <w:r>
              <w:rPr>
                <w:rFonts w:asciiTheme="minorEastAsia" w:hAnsiTheme="minorEastAsia" w:eastAsiaTheme="minorEastAsia"/>
              </w:rPr>
              <w:t>条</w:t>
            </w:r>
            <w:r>
              <w:rPr>
                <w:rFonts w:hint="eastAsia" w:asciiTheme="minorEastAsia" w:hAnsiTheme="minorEastAsia" w:eastAsiaTheme="minorEastAsia"/>
              </w:rPr>
              <w:t>；</w:t>
            </w:r>
            <w:r>
              <w:rPr>
                <w:rFonts w:hint="eastAsia"/>
              </w:rPr>
              <w:t>将原项目底漆及面漆3个油性漆涂装工位改造为2个水性漆工位及1个油性漆工位、同时</w:t>
            </w:r>
            <w:r>
              <w:rPr>
                <w:rFonts w:hint="eastAsia" w:asciiTheme="minorEastAsia" w:hAnsiTheme="minorEastAsia" w:eastAsiaTheme="minorEastAsia"/>
              </w:rPr>
              <w:t>对原项目涂装废气处理设施进行改造，由“活性炭吸附”工艺改造为</w:t>
            </w:r>
            <w:r>
              <w:rPr>
                <w:rFonts w:hint="eastAsia"/>
              </w:rPr>
              <w:t>“湿式过滤</w:t>
            </w:r>
            <w:r>
              <w:t>+干式过滤+活性炭吸附浓缩+解析（催化燃烧）</w:t>
            </w:r>
            <w:r>
              <w:rPr>
                <w:rFonts w:hint="eastAsia"/>
              </w:rPr>
              <w:t>”工艺</w:t>
            </w:r>
            <w:r>
              <w:rPr>
                <w:rFonts w:asciiTheme="minorEastAsia" w:hAnsiTheme="minorEastAsia" w:eastAsiaTheme="minorEastAsia"/>
              </w:rPr>
              <w:t>，并配套建设相应的辅助工程环保工程等。</w:t>
            </w:r>
          </w:p>
          <w:p>
            <w:pPr>
              <w:pStyle w:val="160"/>
              <w:numPr>
                <w:ilvl w:val="0"/>
                <w:numId w:val="3"/>
              </w:numPr>
              <w:ind w:left="0" w:firstLine="480"/>
            </w:pPr>
            <w:r>
              <w:rPr>
                <w:rFonts w:hint="eastAsia"/>
              </w:rPr>
              <w:t>建设工期：6个月</w:t>
            </w:r>
          </w:p>
          <w:p>
            <w:pPr>
              <w:pStyle w:val="160"/>
              <w:numPr>
                <w:ilvl w:val="0"/>
                <w:numId w:val="3"/>
              </w:numPr>
              <w:ind w:left="0" w:firstLine="480"/>
            </w:pPr>
            <w:r>
              <w:rPr>
                <w:rFonts w:hint="eastAsia"/>
              </w:rPr>
              <w:t>劳动定员：原项目劳动定员120人，扩建项目新增劳动定员80人，合计120人，每天一班，每班</w:t>
            </w:r>
            <w:r>
              <w:t>8</w:t>
            </w:r>
            <w:r>
              <w:rPr>
                <w:rFonts w:hint="eastAsia"/>
              </w:rPr>
              <w:t>h，年工作300d。</w:t>
            </w:r>
          </w:p>
          <w:p>
            <w:pPr>
              <w:pStyle w:val="3"/>
              <w:tabs>
                <w:tab w:val="left" w:pos="269"/>
                <w:tab w:val="left" w:pos="371"/>
                <w:tab w:val="left" w:pos="432"/>
              </w:tabs>
              <w:adjustRightInd w:val="0"/>
              <w:jc w:val="left"/>
              <w:rPr>
                <w:rFonts w:ascii="宋体" w:hAnsi="宋体"/>
                <w:bCs w:val="0"/>
                <w:sz w:val="24"/>
                <w:szCs w:val="22"/>
              </w:rPr>
            </w:pPr>
            <w:bookmarkStart w:id="8" w:name="_Toc14163"/>
            <w:r>
              <w:rPr>
                <w:rFonts w:hint="eastAsia" w:ascii="宋体" w:hAnsi="宋体"/>
                <w:bCs w:val="0"/>
                <w:sz w:val="24"/>
                <w:szCs w:val="22"/>
              </w:rPr>
              <w:t>2.3产品方案</w:t>
            </w:r>
            <w:bookmarkEnd w:id="8"/>
          </w:p>
          <w:p>
            <w:pPr>
              <w:adjustRightInd w:val="0"/>
              <w:snapToGrid w:val="0"/>
              <w:spacing w:line="360" w:lineRule="auto"/>
              <w:ind w:firstLine="480" w:firstLineChars="200"/>
              <w:jc w:val="left"/>
              <w:rPr>
                <w:rFonts w:ascii="宋体" w:hAnsi="宋体"/>
                <w:sz w:val="24"/>
              </w:rPr>
            </w:pPr>
            <w:bookmarkStart w:id="9" w:name="_Toc1661"/>
            <w:r>
              <w:rPr>
                <w:rFonts w:hint="eastAsia" w:ascii="宋体" w:hAnsi="宋体"/>
                <w:sz w:val="24"/>
              </w:rPr>
              <w:t>全厂产品方案见表2.3-1。</w:t>
            </w:r>
          </w:p>
          <w:bookmarkEnd w:id="7"/>
          <w:bookmarkEnd w:id="9"/>
          <w:p>
            <w:pPr>
              <w:pStyle w:val="160"/>
              <w:ind w:firstLine="480"/>
            </w:pPr>
          </w:p>
        </w:tc>
      </w:tr>
    </w:tbl>
    <w:p>
      <w:pPr>
        <w:sectPr>
          <w:pgSz w:w="11906" w:h="16838"/>
          <w:pgMar w:top="1701" w:right="1531" w:bottom="1701" w:left="1531" w:header="851" w:footer="851" w:gutter="0"/>
          <w:cols w:space="720" w:num="1"/>
          <w:docGrid w:linePitch="312" w:charSpace="0"/>
        </w:sectPr>
      </w:pPr>
    </w:p>
    <w:p>
      <w:pPr>
        <w:autoSpaceDN w:val="0"/>
        <w:jc w:val="center"/>
        <w:textAlignment w:val="center"/>
        <w:rPr>
          <w:rFonts w:ascii="宋体" w:hAnsi="宋体"/>
        </w:rPr>
      </w:pPr>
      <w:r>
        <w:rPr>
          <w:rFonts w:hint="eastAsia" w:ascii="宋体" w:hAnsi="宋体"/>
        </w:rPr>
        <w:t>表2.3-1    产品方案一览表</w:t>
      </w:r>
    </w:p>
    <w:tbl>
      <w:tblPr>
        <w:tblStyle w:val="88"/>
        <w:tblW w:w="13652"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0"/>
        <w:gridCol w:w="1131"/>
        <w:gridCol w:w="1276"/>
        <w:gridCol w:w="850"/>
        <w:gridCol w:w="979"/>
        <w:gridCol w:w="2126"/>
        <w:gridCol w:w="1715"/>
        <w:gridCol w:w="2583"/>
        <w:gridCol w:w="669"/>
        <w:gridCol w:w="669"/>
        <w:gridCol w:w="63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51" w:type="dxa"/>
            <w:gridSpan w:val="2"/>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产品名称</w:t>
            </w:r>
          </w:p>
        </w:tc>
        <w:tc>
          <w:tcPr>
            <w:tcW w:w="1276" w:type="dxa"/>
            <w:vMerge w:val="restart"/>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数量（件/套）</w:t>
            </w:r>
          </w:p>
        </w:tc>
        <w:tc>
          <w:tcPr>
            <w:tcW w:w="1829" w:type="dxa"/>
            <w:gridSpan w:val="2"/>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免漆家具占比（%）</w:t>
            </w:r>
          </w:p>
        </w:tc>
        <w:tc>
          <w:tcPr>
            <w:tcW w:w="3841" w:type="dxa"/>
            <w:gridSpan w:val="2"/>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喷涂家具占比（%）</w:t>
            </w:r>
          </w:p>
        </w:tc>
        <w:tc>
          <w:tcPr>
            <w:tcW w:w="2583" w:type="dxa"/>
            <w:vMerge w:val="restart"/>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喷涂部位</w:t>
            </w:r>
          </w:p>
        </w:tc>
        <w:tc>
          <w:tcPr>
            <w:tcW w:w="1972" w:type="dxa"/>
            <w:gridSpan w:val="3"/>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产能（套/年）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产品大类</w:t>
            </w:r>
          </w:p>
        </w:tc>
        <w:tc>
          <w:tcPr>
            <w:tcW w:w="1131"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产品小类</w:t>
            </w:r>
          </w:p>
        </w:tc>
        <w:tc>
          <w:tcPr>
            <w:tcW w:w="1276" w:type="dxa"/>
            <w:vMerge w:val="continue"/>
            <w:tcBorders>
              <w:tl2br w:val="nil"/>
              <w:tr2bl w:val="nil"/>
            </w:tcBorders>
            <w:shd w:val="clear" w:color="auto" w:fill="auto"/>
            <w:vAlign w:val="center"/>
          </w:tcPr>
          <w:p>
            <w:pPr>
              <w:pStyle w:val="164"/>
              <w:rPr>
                <w:rFonts w:asciiTheme="minorEastAsia" w:hAnsiTheme="minorEastAsia" w:eastAsiaTheme="minorEastAsia"/>
              </w:rPr>
            </w:pP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扩建前</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扩建后</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扩建前</w:t>
            </w:r>
          </w:p>
        </w:tc>
        <w:tc>
          <w:tcPr>
            <w:tcW w:w="1715"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扩建后</w:t>
            </w:r>
          </w:p>
        </w:tc>
        <w:tc>
          <w:tcPr>
            <w:tcW w:w="2583" w:type="dxa"/>
            <w:vMerge w:val="continue"/>
            <w:tcBorders>
              <w:tl2br w:val="nil"/>
              <w:tr2bl w:val="nil"/>
            </w:tcBorders>
            <w:shd w:val="clear" w:color="auto" w:fill="auto"/>
            <w:vAlign w:val="center"/>
          </w:tcPr>
          <w:p>
            <w:pPr>
              <w:pStyle w:val="164"/>
              <w:rPr>
                <w:rFonts w:asciiTheme="minorEastAsia" w:hAnsiTheme="minorEastAsia" w:eastAsiaTheme="minorEastAsia"/>
              </w:rPr>
            </w:pPr>
          </w:p>
        </w:tc>
        <w:tc>
          <w:tcPr>
            <w:tcW w:w="669"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扩建前</w:t>
            </w:r>
          </w:p>
        </w:tc>
        <w:tc>
          <w:tcPr>
            <w:tcW w:w="66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扩建后</w:t>
            </w:r>
          </w:p>
        </w:tc>
        <w:tc>
          <w:tcPr>
            <w:tcW w:w="634"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合计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restart"/>
            <w:tcBorders>
              <w:tl2br w:val="nil"/>
              <w:tr2bl w:val="nil"/>
            </w:tcBorders>
            <w:vAlign w:val="center"/>
          </w:tcPr>
          <w:p>
            <w:pPr>
              <w:widowControl/>
              <w:jc w:val="center"/>
              <w:textAlignment w:val="center"/>
              <w:rPr>
                <w:rFonts w:ascii="Calibri" w:hAnsi="Calibri" w:eastAsia="宋体" w:cs="Calibri"/>
                <w:color w:val="000000"/>
                <w:kern w:val="0"/>
              </w:rPr>
            </w:pPr>
            <w:r>
              <w:rPr>
                <w:rFonts w:hint="eastAsia" w:asciiTheme="minorEastAsia" w:hAnsiTheme="minorEastAsia"/>
              </w:rPr>
              <w:t>酒店家具（原项目生产线）</w:t>
            </w: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color w:val="000000"/>
                <w:kern w:val="0"/>
              </w:rPr>
              <w:t>衣柜</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restart"/>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70（水性漆0，油性漆70，UV漆0）</w:t>
            </w:r>
          </w:p>
        </w:tc>
        <w:tc>
          <w:tcPr>
            <w:tcW w:w="1715" w:type="dxa"/>
            <w:vMerge w:val="restart"/>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70（水性漆42，油性漆28，UV漆0）</w:t>
            </w: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正面+1个侧面</w:t>
            </w:r>
          </w:p>
        </w:tc>
        <w:tc>
          <w:tcPr>
            <w:tcW w:w="669" w:type="dxa"/>
            <w:vMerge w:val="restart"/>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3400</w:t>
            </w:r>
          </w:p>
        </w:tc>
        <w:tc>
          <w:tcPr>
            <w:tcW w:w="669" w:type="dxa"/>
            <w:vMerge w:val="restart"/>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0</w:t>
            </w:r>
          </w:p>
        </w:tc>
        <w:tc>
          <w:tcPr>
            <w:tcW w:w="634" w:type="dxa"/>
            <w:vMerge w:val="restart"/>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3400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color w:val="000000"/>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color w:val="000000"/>
                <w:kern w:val="0"/>
              </w:rPr>
              <w:t>床</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2</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4个床脚+床靠背</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color w:val="000000"/>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color w:val="000000"/>
                <w:kern w:val="0"/>
              </w:rPr>
              <w:t>沙发</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4个沙发脚</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color w:val="000000"/>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color w:val="000000"/>
                <w:kern w:val="0"/>
              </w:rPr>
              <w:t>餐桌</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4个桌脚+桌面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color w:val="000000"/>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color w:val="000000"/>
                <w:kern w:val="0"/>
              </w:rPr>
              <w:t>茶几</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4个脚+桌面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color w:val="000000"/>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color w:val="000000"/>
                <w:kern w:val="0"/>
              </w:rPr>
              <w:t>电视柜</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正面+侧面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color w:val="000000"/>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color w:val="000000"/>
                <w:kern w:val="0"/>
              </w:rPr>
              <w:t>餐椅</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全喷（椅子底面不喷）</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宋体" w:hAnsi="宋体" w:eastAsia="宋体" w:cs="宋体"/>
                <w:color w:val="000000"/>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hint="eastAsia" w:ascii="宋体" w:hAnsi="宋体" w:eastAsia="宋体" w:cs="宋体"/>
                <w:color w:val="000000"/>
                <w:kern w:val="0"/>
              </w:rPr>
              <w:t>屏风</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全喷（装饰占面积50%）</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床头柜</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2</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全喷（背面不喷）</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宋体" w:hAnsi="宋体" w:eastAsia="宋体" w:cs="宋体"/>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hint="eastAsia" w:ascii="宋体" w:hAnsi="宋体" w:eastAsia="宋体" w:cs="宋体"/>
                <w:kern w:val="0"/>
              </w:rPr>
              <w:t>门</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2</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宋体" w:hAnsi="宋体" w:eastAsia="宋体" w:cs="宋体"/>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hint="eastAsia" w:ascii="宋体" w:hAnsi="宋体" w:eastAsia="宋体" w:cs="宋体"/>
                <w:kern w:val="0"/>
              </w:rPr>
              <w:t>木饰面</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5</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vMerge w:val="continue"/>
            <w:tcBorders>
              <w:tl2br w:val="nil"/>
              <w:tr2bl w:val="nil"/>
            </w:tcBorders>
            <w:vAlign w:val="center"/>
          </w:tcPr>
          <w:p>
            <w:pPr>
              <w:pStyle w:val="164"/>
              <w:rPr>
                <w:rFonts w:asciiTheme="minorEastAsia" w:hAnsiTheme="minorEastAsia" w:eastAsiaTheme="minorEastAsia"/>
              </w:rPr>
            </w:pP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正面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restart"/>
            <w:tcBorders>
              <w:tl2br w:val="nil"/>
              <w:tr2bl w:val="nil"/>
            </w:tcBorders>
            <w:vAlign w:val="center"/>
          </w:tcPr>
          <w:p>
            <w:pPr>
              <w:widowControl/>
              <w:jc w:val="center"/>
              <w:textAlignment w:val="center"/>
              <w:rPr>
                <w:rFonts w:ascii="Calibri" w:hAnsi="Calibri" w:eastAsia="宋体" w:cs="Calibri"/>
                <w:kern w:val="0"/>
              </w:rPr>
            </w:pPr>
            <w:r>
              <w:rPr>
                <w:rFonts w:hint="eastAsia" w:asciiTheme="minorEastAsia" w:hAnsiTheme="minorEastAsia"/>
              </w:rPr>
              <w:t>民用家具（扩建项目生产线）</w:t>
            </w: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衣柜</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restart"/>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合计70（其中水性漆56，油性漆0，UV漆14）</w:t>
            </w: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正面+1个侧面</w:t>
            </w:r>
          </w:p>
        </w:tc>
        <w:tc>
          <w:tcPr>
            <w:tcW w:w="669" w:type="dxa"/>
            <w:vMerge w:val="restart"/>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0</w:t>
            </w:r>
          </w:p>
        </w:tc>
        <w:tc>
          <w:tcPr>
            <w:tcW w:w="669" w:type="dxa"/>
            <w:vMerge w:val="restart"/>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1500</w:t>
            </w:r>
          </w:p>
        </w:tc>
        <w:tc>
          <w:tcPr>
            <w:tcW w:w="634" w:type="dxa"/>
            <w:vMerge w:val="restart"/>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1500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床</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4个床脚+床靠背正面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沙发</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4个沙发脚</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餐桌</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4个桌脚+桌面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茶几</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4个脚+桌面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电视柜</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正面+侧面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餐椅</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6</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全喷（除底面）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Calibri" w:hAnsi="Calibri" w:eastAsia="宋体" w:cs="Calibri"/>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ascii="Calibri" w:hAnsi="Calibri" w:eastAsia="宋体" w:cs="Calibri"/>
                <w:kern w:val="0"/>
              </w:rPr>
              <w:t>床头柜</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6</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全喷（除背面）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宋体" w:hAnsi="宋体" w:eastAsia="宋体" w:cs="宋体"/>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hint="eastAsia" w:ascii="宋体" w:hAnsi="宋体" w:eastAsia="宋体" w:cs="宋体"/>
                <w:kern w:val="0"/>
              </w:rPr>
              <w:t>门</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5</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宋体" w:hAnsi="宋体" w:eastAsia="宋体" w:cs="宋体"/>
                <w:kern w:val="0"/>
                <w:sz w:val="22"/>
                <w:szCs w:val="22"/>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hint="eastAsia" w:ascii="宋体" w:hAnsi="宋体" w:eastAsia="宋体" w:cs="宋体"/>
                <w:kern w:val="0"/>
                <w:sz w:val="22"/>
                <w:szCs w:val="22"/>
              </w:rPr>
              <w:t>妆台</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全喷（除背面）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宋体" w:hAnsi="宋体" w:eastAsia="宋体" w:cs="宋体"/>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hint="eastAsia" w:ascii="宋体" w:hAnsi="宋体" w:eastAsia="宋体" w:cs="宋体"/>
                <w:kern w:val="0"/>
              </w:rPr>
              <w:t>鞋柜</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全喷（除背面）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0" w:type="dxa"/>
            <w:vMerge w:val="continue"/>
            <w:tcBorders>
              <w:tl2br w:val="nil"/>
              <w:tr2bl w:val="nil"/>
            </w:tcBorders>
            <w:vAlign w:val="center"/>
          </w:tcPr>
          <w:p>
            <w:pPr>
              <w:widowControl/>
              <w:jc w:val="center"/>
              <w:textAlignment w:val="center"/>
              <w:rPr>
                <w:rFonts w:ascii="宋体" w:hAnsi="宋体" w:eastAsia="宋体" w:cs="宋体"/>
                <w:kern w:val="0"/>
              </w:rPr>
            </w:pPr>
          </w:p>
        </w:tc>
        <w:tc>
          <w:tcPr>
            <w:tcW w:w="1131" w:type="dxa"/>
            <w:tcBorders>
              <w:tl2br w:val="nil"/>
              <w:tr2bl w:val="nil"/>
            </w:tcBorders>
            <w:shd w:val="clear" w:color="auto" w:fill="auto"/>
            <w:vAlign w:val="center"/>
          </w:tcPr>
          <w:p>
            <w:pPr>
              <w:widowControl/>
              <w:jc w:val="center"/>
              <w:textAlignment w:val="center"/>
              <w:rPr>
                <w:rFonts w:asciiTheme="minorEastAsia" w:hAnsiTheme="minorEastAsia"/>
              </w:rPr>
            </w:pPr>
            <w:r>
              <w:rPr>
                <w:rFonts w:hint="eastAsia" w:ascii="宋体" w:hAnsi="宋体" w:eastAsia="宋体" w:cs="宋体"/>
                <w:kern w:val="0"/>
              </w:rPr>
              <w:t>木饰面</w:t>
            </w:r>
          </w:p>
        </w:tc>
        <w:tc>
          <w:tcPr>
            <w:tcW w:w="1276"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5</w:t>
            </w:r>
          </w:p>
        </w:tc>
        <w:tc>
          <w:tcPr>
            <w:tcW w:w="850"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9"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2126" w:type="dxa"/>
            <w:tcBorders>
              <w:tl2br w:val="nil"/>
              <w:tr2bl w:val="nil"/>
            </w:tcBorders>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715" w:type="dxa"/>
            <w:vMerge w:val="continue"/>
            <w:tcBorders>
              <w:tl2br w:val="nil"/>
              <w:tr2bl w:val="nil"/>
            </w:tcBorders>
            <w:vAlign w:val="center"/>
          </w:tcPr>
          <w:p>
            <w:pPr>
              <w:pStyle w:val="164"/>
              <w:rPr>
                <w:rFonts w:asciiTheme="minorEastAsia" w:hAnsiTheme="minorEastAsia" w:eastAsiaTheme="minorEastAsia"/>
              </w:rPr>
            </w:pPr>
          </w:p>
        </w:tc>
        <w:tc>
          <w:tcPr>
            <w:tcW w:w="2583" w:type="dxa"/>
            <w:tcBorders>
              <w:tl2br w:val="nil"/>
              <w:tr2bl w:val="nil"/>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正面</w:t>
            </w: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69" w:type="dxa"/>
            <w:vMerge w:val="continue"/>
            <w:tcBorders>
              <w:tl2br w:val="nil"/>
              <w:tr2bl w:val="nil"/>
            </w:tcBorders>
            <w:vAlign w:val="center"/>
          </w:tcPr>
          <w:p>
            <w:pPr>
              <w:pStyle w:val="164"/>
              <w:rPr>
                <w:rFonts w:asciiTheme="minorEastAsia" w:hAnsiTheme="minorEastAsia" w:eastAsiaTheme="minorEastAsia"/>
              </w:rPr>
            </w:pPr>
          </w:p>
        </w:tc>
        <w:tc>
          <w:tcPr>
            <w:tcW w:w="634" w:type="dxa"/>
            <w:vMerge w:val="continue"/>
            <w:tcBorders>
              <w:tl2br w:val="nil"/>
              <w:tr2bl w:val="nil"/>
            </w:tcBorders>
            <w:vAlign w:val="center"/>
          </w:tcPr>
          <w:p>
            <w:pPr>
              <w:pStyle w:val="164"/>
              <w:rPr>
                <w:rFonts w:asciiTheme="minorEastAsia" w:hAnsiTheme="minorEastAsia" w:eastAsiaTheme="minorEastAsia"/>
              </w:rPr>
            </w:pPr>
          </w:p>
        </w:tc>
      </w:tr>
    </w:tbl>
    <w:p>
      <w:pPr>
        <w:sectPr>
          <w:pgSz w:w="16838" w:h="11906" w:orient="landscape"/>
          <w:pgMar w:top="1531" w:right="1701" w:bottom="1531" w:left="1701" w:header="851" w:footer="851" w:gutter="0"/>
          <w:cols w:space="720" w:num="1"/>
          <w:docGrid w:linePitch="312" w:charSpace="0"/>
        </w:sectPr>
      </w:pPr>
    </w:p>
    <w:p/>
    <w:tbl>
      <w:tblPr>
        <w:tblStyle w:val="88"/>
        <w:tblW w:w="923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0" w:type="dxa"/>
            <w:vAlign w:val="center"/>
          </w:tcPr>
          <w:p>
            <w:pPr>
              <w:pStyle w:val="81"/>
              <w:widowControl w:val="0"/>
              <w:adjustRightInd w:val="0"/>
              <w:snapToGrid w:val="0"/>
              <w:spacing w:beforeAutospacing="0" w:after="0" w:afterAutospacing="0"/>
              <w:jc w:val="center"/>
              <w:rPr>
                <w:rFonts w:cs="宋体"/>
                <w:sz w:val="21"/>
                <w:szCs w:val="21"/>
              </w:rPr>
            </w:pPr>
          </w:p>
        </w:tc>
        <w:tc>
          <w:tcPr>
            <w:tcW w:w="8731" w:type="dxa"/>
            <w:tcBorders>
              <w:bottom w:val="single" w:color="auto" w:sz="12" w:space="0"/>
            </w:tcBorders>
            <w:noWrap/>
            <w:vAlign w:val="center"/>
          </w:tcPr>
          <w:p>
            <w:pPr>
              <w:autoSpaceDN w:val="0"/>
              <w:jc w:val="center"/>
              <w:textAlignment w:val="center"/>
              <w:rPr>
                <w:rFonts w:ascii="宋体" w:hAnsi="宋体"/>
              </w:rPr>
            </w:pPr>
            <w:r>
              <w:rPr>
                <w:rFonts w:hint="eastAsia" w:ascii="宋体" w:hAnsi="宋体"/>
              </w:rPr>
              <w:t>表2.3-2    生产线匹配性对照表</w:t>
            </w:r>
          </w:p>
          <w:tbl>
            <w:tblPr>
              <w:tblStyle w:val="88"/>
              <w:tblW w:w="8505" w:type="dxa"/>
              <w:tblInd w:w="0" w:type="dxa"/>
              <w:tblLayout w:type="fixed"/>
              <w:tblCellMar>
                <w:top w:w="0" w:type="dxa"/>
                <w:left w:w="108" w:type="dxa"/>
                <w:bottom w:w="0" w:type="dxa"/>
                <w:right w:w="108" w:type="dxa"/>
              </w:tblCellMar>
            </w:tblPr>
            <w:tblGrid>
              <w:gridCol w:w="691"/>
              <w:gridCol w:w="1017"/>
              <w:gridCol w:w="850"/>
              <w:gridCol w:w="851"/>
              <w:gridCol w:w="992"/>
              <w:gridCol w:w="992"/>
              <w:gridCol w:w="1134"/>
              <w:gridCol w:w="992"/>
              <w:gridCol w:w="986"/>
            </w:tblGrid>
            <w:tr>
              <w:tblPrEx>
                <w:tblLayout w:type="fixed"/>
                <w:tblCellMar>
                  <w:top w:w="0" w:type="dxa"/>
                  <w:left w:w="108" w:type="dxa"/>
                  <w:bottom w:w="0" w:type="dxa"/>
                  <w:right w:w="108" w:type="dxa"/>
                </w:tblCellMar>
              </w:tblPrEx>
              <w:trPr>
                <w:trHeight w:val="270" w:hRule="atLeast"/>
              </w:trPr>
              <w:tc>
                <w:tcPr>
                  <w:tcW w:w="17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涂装线</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喷涂能力（万</w:t>
                  </w:r>
                  <w:r>
                    <w:rPr>
                      <w:rFonts w:ascii="Times New Roman" w:hAnsi="Times New Roman" w:eastAsia="宋体" w:cs="Times New Roman"/>
                      <w:color w:val="000000"/>
                      <w:kern w:val="0"/>
                    </w:rPr>
                    <w:t>m</w:t>
                  </w:r>
                  <w:r>
                    <w:rPr>
                      <w:rFonts w:ascii="Times New Roman" w:hAnsi="Times New Roman" w:eastAsia="宋体" w:cs="Times New Roman"/>
                      <w:color w:val="000000"/>
                      <w:kern w:val="0"/>
                      <w:vertAlign w:val="superscript"/>
                    </w:rPr>
                    <w:t>2</w:t>
                  </w:r>
                  <w:r>
                    <w:rPr>
                      <w:rFonts w:ascii="Times New Roman" w:hAnsi="Times New Roman" w:eastAsia="宋体" w:cs="Times New Roman"/>
                      <w:color w:val="000000"/>
                      <w:kern w:val="0"/>
                    </w:rPr>
                    <w:t>/a</w:t>
                  </w:r>
                  <w:r>
                    <w:rPr>
                      <w:rFonts w:ascii="宋体" w:hAnsi="宋体" w:eastAsia="宋体" w:cs="宋体"/>
                      <w:color w:val="000000"/>
                      <w:kern w:val="0"/>
                    </w:rPr>
                    <w:t>）</w:t>
                  </w:r>
                </w:p>
              </w:tc>
              <w:tc>
                <w:tcPr>
                  <w:tcW w:w="851"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喷涂效率</w:t>
                  </w:r>
                </w:p>
                <w:p>
                  <w:pPr>
                    <w:jc w:val="center"/>
                    <w:rPr>
                      <w:rFonts w:ascii="宋体" w:hAnsi="宋体" w:eastAsia="宋体" w:cs="宋体"/>
                      <w:color w:val="000000"/>
                      <w:kern w:val="0"/>
                    </w:rPr>
                  </w:pPr>
                  <w:r>
                    <w:rPr>
                      <w:rFonts w:ascii="宋体" w:hAnsi="宋体" w:eastAsia="宋体" w:cs="宋体"/>
                      <w:color w:val="000000"/>
                      <w:kern w:val="0"/>
                    </w:rPr>
                    <w:t>（</w:t>
                  </w:r>
                  <w:r>
                    <w:rPr>
                      <w:rFonts w:ascii="Times New Roman" w:hAnsi="Times New Roman" w:eastAsia="宋体" w:cs="Times New Roman"/>
                      <w:color w:val="000000"/>
                      <w:kern w:val="0"/>
                    </w:rPr>
                    <w:t>m</w:t>
                  </w:r>
                  <w:r>
                    <w:rPr>
                      <w:rFonts w:ascii="Times New Roman" w:hAnsi="Times New Roman" w:eastAsia="宋体" w:cs="Times New Roman"/>
                      <w:color w:val="000000"/>
                      <w:kern w:val="0"/>
                      <w:vertAlign w:val="superscript"/>
                    </w:rPr>
                    <w:t>2</w:t>
                  </w:r>
                  <w:r>
                    <w:rPr>
                      <w:rFonts w:ascii="Times New Roman" w:hAnsi="Times New Roman" w:eastAsia="宋体" w:cs="Times New Roman"/>
                      <w:color w:val="000000"/>
                      <w:kern w:val="0"/>
                    </w:rPr>
                    <w:t>/h</w:t>
                  </w:r>
                  <w:r>
                    <w:rPr>
                      <w:rFonts w:ascii="宋体" w:hAnsi="宋体" w:eastAsia="宋体" w:cs="宋体"/>
                      <w:color w:val="000000"/>
                      <w:kern w:val="0"/>
                    </w:rPr>
                    <w:t>）</w:t>
                  </w:r>
                </w:p>
              </w:tc>
              <w:tc>
                <w:tcPr>
                  <w:tcW w:w="19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底漆</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面漆</w:t>
                  </w:r>
                </w:p>
              </w:tc>
              <w:tc>
                <w:tcPr>
                  <w:tcW w:w="9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喷涂面积（㎡/a）</w:t>
                  </w:r>
                </w:p>
              </w:tc>
            </w:tr>
            <w:tr>
              <w:tblPrEx>
                <w:tblLayout w:type="fixed"/>
                <w:tblCellMar>
                  <w:top w:w="0" w:type="dxa"/>
                  <w:left w:w="108" w:type="dxa"/>
                  <w:bottom w:w="0" w:type="dxa"/>
                  <w:right w:w="108" w:type="dxa"/>
                </w:tblCellMar>
              </w:tblPrEx>
              <w:trPr>
                <w:trHeight w:val="780" w:hRule="atLeast"/>
              </w:trPr>
              <w:tc>
                <w:tcPr>
                  <w:tcW w:w="170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851"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底漆平均每天喷涂时长（</w:t>
                  </w:r>
                  <w:r>
                    <w:rPr>
                      <w:rFonts w:ascii="Times New Roman" w:hAnsi="Times New Roman" w:eastAsia="宋体" w:cs="Times New Roman"/>
                      <w:color w:val="000000"/>
                      <w:kern w:val="0"/>
                    </w:rPr>
                    <w:t>h</w:t>
                  </w:r>
                  <w:r>
                    <w:rPr>
                      <w:rFonts w:ascii="宋体" w:hAnsi="宋体" w:eastAsia="宋体" w:cs="宋体"/>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年喷涂总时长</w:t>
                  </w:r>
                  <w:r>
                    <w:rPr>
                      <w:rFonts w:ascii="Times New Roman" w:hAnsi="Times New Roman" w:eastAsia="宋体" w:cs="Times New Roman"/>
                      <w:color w:val="000000"/>
                      <w:kern w:val="0"/>
                    </w:rPr>
                    <w:t>*</w:t>
                  </w:r>
                  <w:r>
                    <w:rPr>
                      <w:rFonts w:ascii="宋体" w:hAnsi="宋体" w:eastAsia="宋体" w:cs="宋体"/>
                      <w:color w:val="000000"/>
                      <w:kern w:val="0"/>
                    </w:rPr>
                    <w:t>（</w:t>
                  </w:r>
                  <w:r>
                    <w:rPr>
                      <w:rFonts w:ascii="Times New Roman" w:hAnsi="Times New Roman" w:eastAsia="宋体" w:cs="Times New Roman"/>
                      <w:color w:val="000000"/>
                      <w:kern w:val="0"/>
                    </w:rPr>
                    <w:t>h/a</w:t>
                  </w:r>
                  <w:r>
                    <w:rPr>
                      <w:rFonts w:ascii="宋体" w:hAnsi="宋体" w:eastAsia="宋体" w:cs="宋体"/>
                      <w:color w:val="000000"/>
                      <w:kern w:val="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面漆平均每天喷涂时长（</w:t>
                  </w:r>
                  <w:r>
                    <w:rPr>
                      <w:rFonts w:ascii="Times New Roman" w:hAnsi="Times New Roman" w:eastAsia="宋体" w:cs="Times New Roman"/>
                      <w:color w:val="000000"/>
                      <w:kern w:val="0"/>
                    </w:rPr>
                    <w:t>h</w:t>
                  </w:r>
                  <w:r>
                    <w:rPr>
                      <w:rFonts w:ascii="宋体" w:hAnsi="宋体" w:eastAsia="宋体" w:cs="宋体"/>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年作业时间（</w:t>
                  </w:r>
                  <w:r>
                    <w:rPr>
                      <w:rFonts w:ascii="Times New Roman" w:hAnsi="Times New Roman" w:eastAsia="宋体" w:cs="Times New Roman"/>
                      <w:color w:val="000000"/>
                      <w:kern w:val="0"/>
                    </w:rPr>
                    <w:t>h/a</w:t>
                  </w:r>
                  <w:r>
                    <w:rPr>
                      <w:rFonts w:ascii="宋体" w:hAnsi="宋体" w:eastAsia="宋体" w:cs="宋体"/>
                      <w:color w:val="000000"/>
                      <w:kern w:val="0"/>
                    </w:rPr>
                    <w:t>）</w:t>
                  </w:r>
                </w:p>
              </w:tc>
              <w:tc>
                <w:tcPr>
                  <w:tcW w:w="9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原底漆线</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油性漆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4.16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4.8</w:t>
                  </w:r>
                </w:p>
              </w:tc>
            </w:tr>
            <w:tr>
              <w:tblPrEx>
                <w:tblLayout w:type="fixed"/>
                <w:tblCellMar>
                  <w:top w:w="0" w:type="dxa"/>
                  <w:left w:w="108" w:type="dxa"/>
                  <w:bottom w:w="0" w:type="dxa"/>
                  <w:right w:w="108" w:type="dxa"/>
                </w:tblCellMar>
              </w:tblPrEx>
              <w:trPr>
                <w:trHeight w:val="270" w:hRule="atLeast"/>
              </w:trPr>
              <w:tc>
                <w:tcPr>
                  <w:tcW w:w="69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水性漆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6.24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7.68</w:t>
                  </w:r>
                </w:p>
              </w:tc>
            </w:tr>
            <w:tr>
              <w:tblPrEx>
                <w:tblLayout w:type="fixed"/>
                <w:tblCellMar>
                  <w:top w:w="0" w:type="dxa"/>
                  <w:left w:w="108" w:type="dxa"/>
                  <w:bottom w:w="0" w:type="dxa"/>
                  <w:right w:w="108" w:type="dxa"/>
                </w:tblCellMar>
              </w:tblPrEx>
              <w:trPr>
                <w:trHeight w:val="270" w:hRule="atLeast"/>
              </w:trPr>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原面漆线</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油性漆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4.16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2.5</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4.8</w:t>
                  </w:r>
                </w:p>
              </w:tc>
            </w:tr>
            <w:tr>
              <w:tblPrEx>
                <w:tblLayout w:type="fixed"/>
                <w:tblCellMar>
                  <w:top w:w="0" w:type="dxa"/>
                  <w:left w:w="108" w:type="dxa"/>
                  <w:bottom w:w="0" w:type="dxa"/>
                  <w:right w:w="108" w:type="dxa"/>
                </w:tblCellMar>
              </w:tblPrEx>
              <w:trPr>
                <w:trHeight w:val="270" w:hRule="atLeast"/>
              </w:trPr>
              <w:tc>
                <w:tcPr>
                  <w:tcW w:w="69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水性漆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6.24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7.68</w:t>
                  </w:r>
                </w:p>
              </w:tc>
            </w:tr>
            <w:tr>
              <w:tblPrEx>
                <w:tblLayout w:type="fixed"/>
                <w:tblCellMar>
                  <w:top w:w="0" w:type="dxa"/>
                  <w:left w:w="108" w:type="dxa"/>
                  <w:bottom w:w="0" w:type="dxa"/>
                  <w:right w:w="108" w:type="dxa"/>
                </w:tblCellMar>
              </w:tblPrEx>
              <w:trPr>
                <w:trHeight w:val="270" w:hRule="atLeast"/>
              </w:trPr>
              <w:tc>
                <w:tcPr>
                  <w:tcW w:w="17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新增底漆线</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6.73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7.68</w:t>
                  </w:r>
                </w:p>
              </w:tc>
            </w:tr>
            <w:tr>
              <w:tblPrEx>
                <w:tblLayout w:type="fixed"/>
                <w:tblCellMar>
                  <w:top w:w="0" w:type="dxa"/>
                  <w:left w:w="108" w:type="dxa"/>
                  <w:bottom w:w="0" w:type="dxa"/>
                  <w:right w:w="108" w:type="dxa"/>
                </w:tblCellMar>
              </w:tblPrEx>
              <w:trPr>
                <w:trHeight w:val="270" w:hRule="atLeast"/>
              </w:trPr>
              <w:tc>
                <w:tcPr>
                  <w:tcW w:w="17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新增面漆线</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6.73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7.68</w:t>
                  </w:r>
                </w:p>
              </w:tc>
            </w:tr>
            <w:tr>
              <w:tblPrEx>
                <w:tblLayout w:type="fixed"/>
                <w:tblCellMar>
                  <w:top w:w="0" w:type="dxa"/>
                  <w:left w:w="108" w:type="dxa"/>
                  <w:bottom w:w="0" w:type="dxa"/>
                  <w:right w:w="108" w:type="dxa"/>
                </w:tblCellMar>
              </w:tblPrEx>
              <w:trPr>
                <w:trHeight w:val="270" w:hRule="atLeast"/>
              </w:trPr>
              <w:tc>
                <w:tcPr>
                  <w:tcW w:w="17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UV线</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1.68 </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 </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2400</w:t>
                  </w:r>
                </w:p>
              </w:tc>
              <w:tc>
                <w:tcPr>
                  <w:tcW w:w="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1.92</w:t>
                  </w:r>
                </w:p>
              </w:tc>
            </w:tr>
          </w:tbl>
          <w:p>
            <w:pPr>
              <w:autoSpaceDN w:val="0"/>
              <w:jc w:val="center"/>
              <w:textAlignment w:val="center"/>
              <w:rPr>
                <w:rFonts w:ascii="宋体" w:hAnsi="宋体"/>
              </w:rPr>
            </w:pPr>
          </w:p>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2.4扩建项目组成</w:t>
            </w:r>
          </w:p>
          <w:p>
            <w:pPr>
              <w:adjustRightInd w:val="0"/>
              <w:snapToGrid w:val="0"/>
              <w:spacing w:line="360" w:lineRule="auto"/>
              <w:ind w:firstLine="480" w:firstLineChars="200"/>
              <w:jc w:val="left"/>
              <w:rPr>
                <w:rFonts w:ascii="宋体" w:hAnsi="宋体"/>
              </w:rPr>
            </w:pPr>
            <w:r>
              <w:rPr>
                <w:rFonts w:hint="eastAsia" w:ascii="宋体" w:hAnsi="宋体"/>
                <w:sz w:val="24"/>
              </w:rPr>
              <w:t>扩建项目主要建设内容由主体工程、辅助工程、仓储工程、公用工程和环保工程组成，扩建项目组成情况见表2.4-1。</w:t>
            </w:r>
            <w:bookmarkStart w:id="10" w:name="_Toc18006"/>
          </w:p>
          <w:p>
            <w:pPr>
              <w:autoSpaceDN w:val="0"/>
              <w:jc w:val="center"/>
              <w:textAlignment w:val="center"/>
              <w:rPr>
                <w:rFonts w:ascii="宋体" w:hAnsi="宋体"/>
              </w:rPr>
            </w:pPr>
            <w:r>
              <w:rPr>
                <w:rFonts w:hint="eastAsia" w:ascii="宋体" w:hAnsi="宋体"/>
              </w:rPr>
              <w:t>表2.4-1     扩建项目组成一览表</w:t>
            </w:r>
          </w:p>
          <w:tbl>
            <w:tblPr>
              <w:tblStyle w:val="162"/>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0"/>
              <w:gridCol w:w="1276"/>
              <w:gridCol w:w="800"/>
              <w:gridCol w:w="5327"/>
              <w:gridCol w:w="6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726" w:type="dxa"/>
                  <w:gridSpan w:val="2"/>
                  <w:shd w:val="clear" w:color="auto" w:fill="auto"/>
                  <w:vAlign w:val="center"/>
                </w:tcPr>
                <w:p>
                  <w:pPr>
                    <w:pStyle w:val="164"/>
                    <w:rPr>
                      <w:b w:val="0"/>
                    </w:rPr>
                  </w:pPr>
                  <w:r>
                    <w:rPr>
                      <w:b/>
                    </w:rPr>
                    <w:t>扩建项目组成</w:t>
                  </w:r>
                </w:p>
              </w:tc>
              <w:tc>
                <w:tcPr>
                  <w:tcW w:w="6127" w:type="dxa"/>
                  <w:gridSpan w:val="2"/>
                  <w:shd w:val="clear" w:color="auto" w:fill="auto"/>
                  <w:vAlign w:val="center"/>
                </w:tcPr>
                <w:p>
                  <w:pPr>
                    <w:pStyle w:val="164"/>
                    <w:rPr>
                      <w:b w:val="0"/>
                    </w:rPr>
                  </w:pPr>
                  <w:r>
                    <w:rPr>
                      <w:rFonts w:hint="eastAsia" w:ascii="宋体" w:hAnsi="宋体" w:cs="宋体"/>
                      <w:b/>
                    </w:rPr>
                    <w:t>主要建设内容</w:t>
                  </w:r>
                </w:p>
              </w:tc>
              <w:tc>
                <w:tcPr>
                  <w:tcW w:w="652" w:type="dxa"/>
                  <w:shd w:val="clear" w:color="auto" w:fill="auto"/>
                  <w:vAlign w:val="center"/>
                </w:tcPr>
                <w:p>
                  <w:pPr>
                    <w:pStyle w:val="164"/>
                    <w:rPr>
                      <w:b w:val="0"/>
                    </w:rPr>
                  </w:pPr>
                  <w:r>
                    <w:rPr>
                      <w:rFonts w:hint="eastAsia" w:ascii="宋体" w:hAnsi="宋体" w:cs="宋体"/>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restart"/>
                  <w:shd w:val="clear" w:color="auto" w:fill="auto"/>
                  <w:vAlign w:val="center"/>
                </w:tcPr>
                <w:p>
                  <w:pPr>
                    <w:pStyle w:val="164"/>
                    <w:rPr>
                      <w:bCs/>
                    </w:rPr>
                  </w:pPr>
                  <w:r>
                    <w:rPr>
                      <w:rFonts w:hint="eastAsia" w:ascii="宋体" w:hAnsi="宋体" w:cs="宋体"/>
                      <w:bCs/>
                    </w:rPr>
                    <w:t>主体工程</w:t>
                  </w:r>
                </w:p>
              </w:tc>
              <w:tc>
                <w:tcPr>
                  <w:tcW w:w="1276" w:type="dxa"/>
                  <w:tcBorders>
                    <w:bottom w:val="single" w:color="auto" w:sz="4" w:space="0"/>
                  </w:tcBorders>
                  <w:shd w:val="clear" w:color="auto" w:fill="auto"/>
                  <w:vAlign w:val="center"/>
                </w:tcPr>
                <w:p>
                  <w:pPr>
                    <w:pStyle w:val="164"/>
                    <w:rPr>
                      <w:bCs/>
                      <w:color w:val="auto"/>
                    </w:rPr>
                  </w:pPr>
                  <w:r>
                    <w:rPr>
                      <w:rFonts w:hint="eastAsia"/>
                      <w:bCs/>
                      <w:color w:val="auto"/>
                    </w:rPr>
                    <w:t>UV</w:t>
                  </w:r>
                  <w:r>
                    <w:rPr>
                      <w:rFonts w:hint="eastAsia" w:ascii="宋体" w:hAnsi="宋体" w:cs="宋体"/>
                      <w:bCs/>
                      <w:color w:val="auto"/>
                    </w:rPr>
                    <w:t>涂装线</w:t>
                  </w:r>
                </w:p>
              </w:tc>
              <w:tc>
                <w:tcPr>
                  <w:tcW w:w="6127" w:type="dxa"/>
                  <w:gridSpan w:val="2"/>
                  <w:tcBorders>
                    <w:bottom w:val="single" w:color="auto" w:sz="4" w:space="0"/>
                  </w:tcBorders>
                  <w:shd w:val="clear" w:color="auto" w:fill="auto"/>
                  <w:vAlign w:val="center"/>
                </w:tcPr>
                <w:p>
                  <w:pPr>
                    <w:pStyle w:val="164"/>
                    <w:rPr>
                      <w:color w:val="auto"/>
                    </w:rPr>
                  </w:pPr>
                  <w:r>
                    <w:rPr>
                      <w:rFonts w:hint="eastAsia"/>
                      <w:color w:val="auto"/>
                    </w:rPr>
                    <w:t>7#</w:t>
                  </w:r>
                  <w:r>
                    <w:rPr>
                      <w:rFonts w:hint="eastAsia" w:ascii="宋体" w:hAnsi="宋体" w:cs="宋体"/>
                      <w:color w:val="auto"/>
                    </w:rPr>
                    <w:t>厂房</w:t>
                  </w:r>
                  <w:r>
                    <w:rPr>
                      <w:rFonts w:hint="eastAsia"/>
                      <w:color w:val="auto"/>
                    </w:rPr>
                    <w:t>1F</w:t>
                  </w:r>
                  <w:r>
                    <w:rPr>
                      <w:rFonts w:hint="eastAsia" w:ascii="宋体" w:hAnsi="宋体" w:cs="宋体"/>
                      <w:color w:val="auto"/>
                    </w:rPr>
                    <w:t>新建</w:t>
                  </w:r>
                  <w:r>
                    <w:rPr>
                      <w:rFonts w:hint="eastAsia"/>
                      <w:color w:val="auto"/>
                    </w:rPr>
                    <w:t>1</w:t>
                  </w:r>
                  <w:r>
                    <w:rPr>
                      <w:rFonts w:hint="eastAsia" w:ascii="宋体" w:hAnsi="宋体" w:cs="宋体"/>
                      <w:color w:val="auto"/>
                    </w:rPr>
                    <w:t>条</w:t>
                  </w:r>
                  <w:r>
                    <w:rPr>
                      <w:rFonts w:hint="eastAsia"/>
                      <w:color w:val="auto"/>
                    </w:rPr>
                    <w:t>UV</w:t>
                  </w:r>
                  <w:r>
                    <w:rPr>
                      <w:rFonts w:hint="eastAsia" w:ascii="宋体" w:hAnsi="宋体" w:cs="宋体"/>
                      <w:color w:val="auto"/>
                    </w:rPr>
                    <w:t>涂装线，主要布设</w:t>
                  </w:r>
                  <w:r>
                    <w:rPr>
                      <w:rFonts w:hint="eastAsia"/>
                      <w:color w:val="auto"/>
                    </w:rPr>
                    <w:t>UV</w:t>
                  </w:r>
                  <w:r>
                    <w:rPr>
                      <w:rFonts w:hint="eastAsia" w:ascii="宋体" w:hAnsi="宋体" w:cs="宋体"/>
                      <w:color w:val="auto"/>
                    </w:rPr>
                    <w:t>淋涂机，紫外光固化机等加工设备；主要进行平板木料涂装加工。</w:t>
                  </w:r>
                </w:p>
              </w:tc>
              <w:tc>
                <w:tcPr>
                  <w:tcW w:w="652" w:type="dxa"/>
                  <w:vMerge w:val="restart"/>
                  <w:shd w:val="clear" w:color="auto" w:fill="auto"/>
                  <w:vAlign w:val="center"/>
                </w:tcPr>
                <w:p>
                  <w:pPr>
                    <w:pStyle w:val="164"/>
                    <w:rPr>
                      <w:bCs/>
                    </w:rPr>
                  </w:pPr>
                  <w:r>
                    <w:rPr>
                      <w:rFonts w:hint="eastAsia" w:ascii="宋体" w:hAnsi="宋体" w:cs="宋体"/>
                      <w:bCs/>
                    </w:rPr>
                    <w:t>依托建成</w:t>
                  </w:r>
                  <w:r>
                    <w:rPr>
                      <w:rFonts w:hint="eastAsia"/>
                      <w:bCs/>
                    </w:rPr>
                    <w:t>7#</w:t>
                  </w:r>
                  <w:r>
                    <w:rPr>
                      <w:rFonts w:hint="eastAsia" w:ascii="宋体" w:hAnsi="宋体" w:cs="宋体"/>
                      <w:bCs/>
                    </w:rPr>
                    <w:t>厂房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tcBorders>
                    <w:top w:val="single" w:color="auto" w:sz="4" w:space="0"/>
                    <w:bottom w:val="single" w:color="auto" w:sz="4" w:space="0"/>
                  </w:tcBorders>
                  <w:shd w:val="clear" w:color="auto" w:fill="auto"/>
                  <w:vAlign w:val="center"/>
                </w:tcPr>
                <w:p>
                  <w:pPr>
                    <w:pStyle w:val="164"/>
                    <w:rPr>
                      <w:bCs/>
                      <w:color w:val="auto"/>
                    </w:rPr>
                  </w:pPr>
                  <w:r>
                    <w:rPr>
                      <w:rFonts w:hint="eastAsia"/>
                      <w:bCs/>
                      <w:color w:val="auto"/>
                      <w:lang w:val="en-US"/>
                    </w:rPr>
                    <w:t>3</w:t>
                  </w:r>
                  <w:r>
                    <w:rPr>
                      <w:rFonts w:hint="eastAsia"/>
                      <w:bCs/>
                      <w:color w:val="auto"/>
                    </w:rPr>
                    <w:t>#</w:t>
                  </w:r>
                  <w:r>
                    <w:rPr>
                      <w:rFonts w:hint="eastAsia" w:ascii="宋体" w:hAnsi="宋体" w:cs="宋体"/>
                      <w:bCs/>
                      <w:color w:val="auto"/>
                    </w:rPr>
                    <w:t>木工加工车间</w:t>
                  </w:r>
                </w:p>
              </w:tc>
              <w:tc>
                <w:tcPr>
                  <w:tcW w:w="6127" w:type="dxa"/>
                  <w:gridSpan w:val="2"/>
                  <w:tcBorders>
                    <w:top w:val="single" w:color="auto" w:sz="4" w:space="0"/>
                    <w:bottom w:val="single" w:color="auto" w:sz="4" w:space="0"/>
                  </w:tcBorders>
                  <w:shd w:val="clear" w:color="auto" w:fill="auto"/>
                  <w:vAlign w:val="center"/>
                </w:tcPr>
                <w:p>
                  <w:pPr>
                    <w:pStyle w:val="164"/>
                    <w:rPr>
                      <w:color w:val="auto"/>
                    </w:rPr>
                  </w:pPr>
                  <w:r>
                    <w:rPr>
                      <w:rFonts w:hint="eastAsia"/>
                      <w:color w:val="auto"/>
                    </w:rPr>
                    <w:t>7#</w:t>
                  </w:r>
                  <w:r>
                    <w:rPr>
                      <w:rFonts w:hint="eastAsia" w:ascii="宋体" w:hAnsi="宋体" w:cs="宋体"/>
                      <w:color w:val="auto"/>
                    </w:rPr>
                    <w:t>厂房</w:t>
                  </w:r>
                  <w:r>
                    <w:rPr>
                      <w:rFonts w:hint="eastAsia"/>
                      <w:color w:val="auto"/>
                    </w:rPr>
                    <w:t>4F</w:t>
                  </w:r>
                  <w:r>
                    <w:rPr>
                      <w:rFonts w:hint="eastAsia" w:ascii="宋体" w:hAnsi="宋体" w:cs="宋体"/>
                      <w:color w:val="auto"/>
                    </w:rPr>
                    <w:t>布设木工生产线一条，主要包括切割机、涂胶机、砂光机、压机、推台锯等木工加工设备；</w:t>
                  </w:r>
                </w:p>
              </w:tc>
              <w:tc>
                <w:tcPr>
                  <w:tcW w:w="652" w:type="dxa"/>
                  <w:vMerge w:val="continue"/>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tcBorders>
                    <w:top w:val="single" w:color="auto" w:sz="4" w:space="0"/>
                    <w:bottom w:val="single" w:color="auto" w:sz="4" w:space="0"/>
                  </w:tcBorders>
                  <w:shd w:val="clear" w:color="auto" w:fill="auto"/>
                  <w:vAlign w:val="center"/>
                </w:tcPr>
                <w:p>
                  <w:pPr>
                    <w:pStyle w:val="164"/>
                    <w:rPr>
                      <w:bCs/>
                      <w:color w:val="auto"/>
                    </w:rPr>
                  </w:pPr>
                  <w:r>
                    <w:rPr>
                      <w:rFonts w:hint="eastAsia"/>
                      <w:bCs/>
                      <w:color w:val="auto"/>
                    </w:rPr>
                    <w:t>2#</w:t>
                  </w:r>
                  <w:r>
                    <w:rPr>
                      <w:rFonts w:hint="eastAsia" w:ascii="宋体" w:hAnsi="宋体" w:cs="宋体"/>
                      <w:bCs/>
                      <w:color w:val="auto"/>
                    </w:rPr>
                    <w:t>木工加工车间</w:t>
                  </w:r>
                </w:p>
              </w:tc>
              <w:tc>
                <w:tcPr>
                  <w:tcW w:w="6127" w:type="dxa"/>
                  <w:gridSpan w:val="2"/>
                  <w:tcBorders>
                    <w:top w:val="single" w:color="auto" w:sz="4" w:space="0"/>
                    <w:bottom w:val="single" w:color="auto" w:sz="4" w:space="0"/>
                  </w:tcBorders>
                  <w:shd w:val="clear" w:color="auto" w:fill="auto"/>
                  <w:vAlign w:val="center"/>
                </w:tcPr>
                <w:p>
                  <w:pPr>
                    <w:pStyle w:val="164"/>
                    <w:rPr>
                      <w:color w:val="auto"/>
                    </w:rPr>
                  </w:pPr>
                  <w:r>
                    <w:rPr>
                      <w:rFonts w:hint="eastAsia"/>
                      <w:color w:val="auto"/>
                    </w:rPr>
                    <w:t>7#</w:t>
                  </w:r>
                  <w:r>
                    <w:rPr>
                      <w:rFonts w:hint="eastAsia" w:ascii="宋体" w:hAnsi="宋体" w:cs="宋体"/>
                      <w:color w:val="auto"/>
                    </w:rPr>
                    <w:t>厂房</w:t>
                  </w:r>
                  <w:r>
                    <w:rPr>
                      <w:rFonts w:hint="eastAsia"/>
                      <w:color w:val="auto"/>
                    </w:rPr>
                    <w:t>2F</w:t>
                  </w:r>
                  <w:r>
                    <w:rPr>
                      <w:rFonts w:hint="eastAsia" w:ascii="宋体" w:hAnsi="宋体" w:cs="宋体"/>
                      <w:color w:val="auto"/>
                    </w:rPr>
                    <w:t>及</w:t>
                  </w:r>
                  <w:r>
                    <w:rPr>
                      <w:rFonts w:hint="eastAsia"/>
                      <w:color w:val="auto"/>
                    </w:rPr>
                    <w:t>8#</w:t>
                  </w:r>
                  <w:r>
                    <w:rPr>
                      <w:rFonts w:hint="eastAsia" w:ascii="宋体" w:hAnsi="宋体" w:cs="宋体"/>
                      <w:color w:val="auto"/>
                    </w:rPr>
                    <w:t>厂房</w:t>
                  </w:r>
                  <w:r>
                    <w:rPr>
                      <w:rFonts w:hint="eastAsia"/>
                      <w:color w:val="auto"/>
                    </w:rPr>
                    <w:t>1F</w:t>
                  </w:r>
                  <w:r>
                    <w:rPr>
                      <w:rFonts w:hint="eastAsia" w:ascii="宋体" w:hAnsi="宋体" w:cs="宋体"/>
                      <w:color w:val="auto"/>
                    </w:rPr>
                    <w:t>布设木工生产线一条，主要包括切割机、涂胶机、砂光机、压机、推台锯等木工加工设备；</w:t>
                  </w:r>
                </w:p>
              </w:tc>
              <w:tc>
                <w:tcPr>
                  <w:tcW w:w="652" w:type="dxa"/>
                  <w:vMerge w:val="continue"/>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vMerge w:val="restart"/>
                  <w:tcBorders>
                    <w:top w:val="single" w:color="auto" w:sz="4" w:space="0"/>
                  </w:tcBorders>
                  <w:shd w:val="clear" w:color="auto" w:fill="auto"/>
                  <w:vAlign w:val="center"/>
                </w:tcPr>
                <w:p>
                  <w:pPr>
                    <w:pStyle w:val="164"/>
                    <w:rPr>
                      <w:bCs/>
                      <w:color w:val="auto"/>
                    </w:rPr>
                  </w:pPr>
                  <w:r>
                    <w:rPr>
                      <w:rFonts w:hint="eastAsia"/>
                      <w:bCs/>
                      <w:color w:val="auto"/>
                    </w:rPr>
                    <w:t>3#</w:t>
                  </w:r>
                  <w:r>
                    <w:rPr>
                      <w:rFonts w:hint="eastAsia" w:ascii="宋体" w:hAnsi="宋体" w:cs="宋体"/>
                      <w:bCs/>
                      <w:color w:val="auto"/>
                    </w:rPr>
                    <w:t>、</w:t>
                  </w:r>
                  <w:r>
                    <w:rPr>
                      <w:rFonts w:hint="eastAsia"/>
                      <w:bCs/>
                      <w:color w:val="auto"/>
                    </w:rPr>
                    <w:t>4#</w:t>
                  </w:r>
                  <w:r>
                    <w:rPr>
                      <w:rFonts w:hint="eastAsia" w:ascii="宋体" w:hAnsi="宋体" w:cs="宋体"/>
                      <w:bCs/>
                      <w:color w:val="auto"/>
                    </w:rPr>
                    <w:t>涂装线</w:t>
                  </w:r>
                </w:p>
              </w:tc>
              <w:tc>
                <w:tcPr>
                  <w:tcW w:w="6127" w:type="dxa"/>
                  <w:gridSpan w:val="2"/>
                  <w:tcBorders>
                    <w:top w:val="single" w:color="auto" w:sz="4" w:space="0"/>
                    <w:bottom w:val="single" w:color="auto" w:sz="4" w:space="0"/>
                  </w:tcBorders>
                  <w:shd w:val="clear" w:color="auto" w:fill="auto"/>
                  <w:vAlign w:val="center"/>
                </w:tcPr>
                <w:p>
                  <w:pPr>
                    <w:pStyle w:val="164"/>
                    <w:rPr>
                      <w:color w:val="auto"/>
                    </w:rPr>
                  </w:pPr>
                  <w:r>
                    <w:rPr>
                      <w:rFonts w:hint="eastAsia"/>
                      <w:color w:val="auto"/>
                    </w:rPr>
                    <w:t>7#</w:t>
                  </w:r>
                  <w:r>
                    <w:rPr>
                      <w:rFonts w:hint="eastAsia" w:ascii="宋体" w:hAnsi="宋体" w:cs="宋体"/>
                      <w:color w:val="auto"/>
                    </w:rPr>
                    <w:t>厂房</w:t>
                  </w:r>
                  <w:r>
                    <w:rPr>
                      <w:rFonts w:hint="eastAsia"/>
                      <w:color w:val="auto"/>
                      <w:lang w:val="en-US"/>
                    </w:rPr>
                    <w:t>3</w:t>
                  </w:r>
                  <w:r>
                    <w:rPr>
                      <w:rFonts w:hint="eastAsia"/>
                      <w:color w:val="auto"/>
                    </w:rPr>
                    <w:t>F</w:t>
                  </w:r>
                  <w:r>
                    <w:rPr>
                      <w:rFonts w:hint="eastAsia" w:ascii="宋体" w:hAnsi="宋体" w:cs="宋体"/>
                      <w:color w:val="auto"/>
                    </w:rPr>
                    <w:t>布设水性漆涂装线</w:t>
                  </w:r>
                  <w:r>
                    <w:rPr>
                      <w:rFonts w:hint="eastAsia"/>
                      <w:color w:val="auto"/>
                    </w:rPr>
                    <w:t>2</w:t>
                  </w:r>
                  <w:r>
                    <w:rPr>
                      <w:rFonts w:hint="eastAsia" w:ascii="宋体" w:hAnsi="宋体" w:cs="宋体"/>
                      <w:color w:val="auto"/>
                    </w:rPr>
                    <w:t>条，主要包括修色间</w:t>
                  </w:r>
                  <w:r>
                    <w:rPr>
                      <w:rFonts w:hint="eastAsia"/>
                      <w:color w:val="auto"/>
                    </w:rPr>
                    <w:t>1</w:t>
                  </w:r>
                  <w:r>
                    <w:rPr>
                      <w:rFonts w:hint="eastAsia" w:ascii="宋体" w:hAnsi="宋体" w:cs="宋体"/>
                      <w:color w:val="auto"/>
                    </w:rPr>
                    <w:t>座、喷漆房</w:t>
                  </w:r>
                  <w:r>
                    <w:rPr>
                      <w:rFonts w:hint="eastAsia"/>
                      <w:color w:val="auto"/>
                    </w:rPr>
                    <w:t>2</w:t>
                  </w:r>
                  <w:r>
                    <w:rPr>
                      <w:rFonts w:hint="eastAsia" w:ascii="宋体" w:hAnsi="宋体" w:cs="宋体"/>
                      <w:color w:val="auto"/>
                    </w:rPr>
                    <w:t>间，烘晾干房</w:t>
                  </w:r>
                  <w:r>
                    <w:rPr>
                      <w:rFonts w:hint="eastAsia"/>
                      <w:color w:val="auto"/>
                    </w:rPr>
                    <w:t>2</w:t>
                  </w:r>
                  <w:r>
                    <w:rPr>
                      <w:rFonts w:hint="eastAsia" w:ascii="宋体" w:hAnsi="宋体" w:cs="宋体"/>
                      <w:color w:val="auto"/>
                    </w:rPr>
                    <w:t>间，调漆房</w:t>
                  </w:r>
                  <w:r>
                    <w:rPr>
                      <w:rFonts w:hint="eastAsia"/>
                      <w:color w:val="auto"/>
                    </w:rPr>
                    <w:t>1</w:t>
                  </w:r>
                  <w:r>
                    <w:rPr>
                      <w:rFonts w:hint="eastAsia" w:ascii="宋体" w:hAnsi="宋体" w:cs="宋体"/>
                      <w:color w:val="auto"/>
                    </w:rPr>
                    <w:t>间，（底漆（3#线）及面漆（4#线）各</w:t>
                  </w:r>
                  <w:r>
                    <w:rPr>
                      <w:rFonts w:hint="eastAsia"/>
                      <w:color w:val="auto"/>
                    </w:rPr>
                    <w:t>1</w:t>
                  </w:r>
                  <w:r>
                    <w:rPr>
                      <w:rFonts w:hint="eastAsia" w:ascii="宋体" w:hAnsi="宋体" w:cs="宋体"/>
                      <w:color w:val="auto"/>
                    </w:rPr>
                    <w:t>条），进行家具的涂装加工。</w:t>
                  </w:r>
                </w:p>
              </w:tc>
              <w:tc>
                <w:tcPr>
                  <w:tcW w:w="652" w:type="dxa"/>
                  <w:vMerge w:val="continue"/>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vMerge w:val="continue"/>
                  <w:tcBorders>
                    <w:bottom w:val="single" w:color="auto" w:sz="4" w:space="0"/>
                  </w:tcBorders>
                  <w:shd w:val="clear" w:color="auto" w:fill="auto"/>
                  <w:vAlign w:val="center"/>
                </w:tcPr>
                <w:p>
                  <w:pPr>
                    <w:pStyle w:val="164"/>
                    <w:rPr>
                      <w:bCs/>
                      <w:color w:val="auto"/>
                    </w:rPr>
                  </w:pPr>
                </w:p>
              </w:tc>
              <w:tc>
                <w:tcPr>
                  <w:tcW w:w="6127" w:type="dxa"/>
                  <w:gridSpan w:val="2"/>
                  <w:tcBorders>
                    <w:top w:val="single" w:color="auto" w:sz="4" w:space="0"/>
                    <w:bottom w:val="single" w:color="auto" w:sz="4" w:space="0"/>
                  </w:tcBorders>
                  <w:shd w:val="clear" w:color="auto" w:fill="auto"/>
                  <w:vAlign w:val="center"/>
                </w:tcPr>
                <w:p>
                  <w:pPr>
                    <w:pStyle w:val="164"/>
                    <w:rPr>
                      <w:color w:val="auto"/>
                    </w:rPr>
                  </w:pPr>
                  <w:r>
                    <w:rPr>
                      <w:rFonts w:hint="eastAsia"/>
                      <w:color w:val="auto"/>
                    </w:rPr>
                    <w:t>8#</w:t>
                  </w:r>
                  <w:r>
                    <w:rPr>
                      <w:rFonts w:hint="eastAsia" w:ascii="宋体" w:hAnsi="宋体" w:cs="宋体"/>
                      <w:color w:val="auto"/>
                    </w:rPr>
                    <w:t>厂房</w:t>
                  </w:r>
                  <w:r>
                    <w:rPr>
                      <w:rFonts w:hint="eastAsia"/>
                      <w:color w:val="auto"/>
                    </w:rPr>
                    <w:t>2F</w:t>
                  </w:r>
                  <w:r>
                    <w:rPr>
                      <w:rFonts w:hint="eastAsia" w:ascii="宋体" w:hAnsi="宋体" w:cs="宋体"/>
                      <w:color w:val="auto"/>
                    </w:rPr>
                    <w:t>布设白坯打磨房</w:t>
                  </w:r>
                  <w:r>
                    <w:rPr>
                      <w:rFonts w:hint="eastAsia"/>
                      <w:color w:val="auto"/>
                    </w:rPr>
                    <w:t>2</w:t>
                  </w:r>
                  <w:r>
                    <w:rPr>
                      <w:rFonts w:hint="eastAsia" w:ascii="宋体" w:hAnsi="宋体" w:cs="宋体"/>
                      <w:color w:val="auto"/>
                    </w:rPr>
                    <w:t>间、油磨打磨房</w:t>
                  </w:r>
                  <w:r>
                    <w:rPr>
                      <w:rFonts w:hint="eastAsia"/>
                      <w:color w:val="auto"/>
                    </w:rPr>
                    <w:t>2</w:t>
                  </w:r>
                  <w:r>
                    <w:rPr>
                      <w:rFonts w:hint="eastAsia" w:ascii="宋体" w:hAnsi="宋体" w:cs="宋体"/>
                      <w:color w:val="auto"/>
                    </w:rPr>
                    <w:t>间，对家具的白坯和底漆进行打磨加工。</w:t>
                  </w:r>
                </w:p>
              </w:tc>
              <w:tc>
                <w:tcPr>
                  <w:tcW w:w="652" w:type="dxa"/>
                  <w:vMerge w:val="continue"/>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tcBorders>
                    <w:top w:val="single" w:color="auto" w:sz="4" w:space="0"/>
                    <w:bottom w:val="single" w:color="auto" w:sz="4" w:space="0"/>
                  </w:tcBorders>
                  <w:shd w:val="clear" w:color="auto" w:fill="auto"/>
                  <w:vAlign w:val="center"/>
                </w:tcPr>
                <w:p>
                  <w:pPr>
                    <w:pStyle w:val="164"/>
                    <w:rPr>
                      <w:color w:val="auto"/>
                    </w:rPr>
                  </w:pPr>
                  <w:r>
                    <w:rPr>
                      <w:rFonts w:hint="eastAsia"/>
                      <w:color w:val="auto"/>
                    </w:rPr>
                    <w:t>2#</w:t>
                  </w:r>
                  <w:r>
                    <w:rPr>
                      <w:rFonts w:hint="eastAsia" w:ascii="宋体" w:hAnsi="宋体" w:cs="宋体"/>
                      <w:color w:val="auto"/>
                    </w:rPr>
                    <w:t>木工组装车间</w:t>
                  </w:r>
                </w:p>
              </w:tc>
              <w:tc>
                <w:tcPr>
                  <w:tcW w:w="6127" w:type="dxa"/>
                  <w:gridSpan w:val="2"/>
                  <w:tcBorders>
                    <w:top w:val="single" w:color="auto" w:sz="4" w:space="0"/>
                    <w:bottom w:val="single" w:color="auto" w:sz="4" w:space="0"/>
                  </w:tcBorders>
                  <w:shd w:val="clear" w:color="auto" w:fill="auto"/>
                  <w:vAlign w:val="center"/>
                </w:tcPr>
                <w:p>
                  <w:pPr>
                    <w:pStyle w:val="164"/>
                    <w:rPr>
                      <w:color w:val="auto"/>
                    </w:rPr>
                  </w:pPr>
                  <w:r>
                    <w:rPr>
                      <w:rFonts w:hint="eastAsia"/>
                      <w:color w:val="auto"/>
                    </w:rPr>
                    <w:t>8#</w:t>
                  </w:r>
                  <w:r>
                    <w:rPr>
                      <w:rFonts w:hint="eastAsia" w:ascii="宋体" w:hAnsi="宋体" w:cs="宋体"/>
                      <w:color w:val="auto"/>
                    </w:rPr>
                    <w:t>厂房</w:t>
                  </w:r>
                  <w:r>
                    <w:rPr>
                      <w:rFonts w:hint="eastAsia"/>
                      <w:color w:val="auto"/>
                    </w:rPr>
                    <w:t>3F</w:t>
                  </w:r>
                  <w:r>
                    <w:rPr>
                      <w:rFonts w:hint="eastAsia" w:ascii="宋体" w:hAnsi="宋体" w:cs="宋体"/>
                      <w:color w:val="auto"/>
                    </w:rPr>
                    <w:t>布设木工手工组装</w:t>
                  </w:r>
                  <w:r>
                    <w:rPr>
                      <w:rFonts w:hint="eastAsia"/>
                      <w:color w:val="auto"/>
                    </w:rPr>
                    <w:t>1</w:t>
                  </w:r>
                  <w:r>
                    <w:rPr>
                      <w:rFonts w:hint="eastAsia" w:ascii="宋体" w:hAnsi="宋体" w:cs="宋体"/>
                      <w:color w:val="auto"/>
                    </w:rPr>
                    <w:t>间，主要包括小型手动工具等木工加工设备进行家具组装。</w:t>
                  </w:r>
                </w:p>
              </w:tc>
              <w:tc>
                <w:tcPr>
                  <w:tcW w:w="652" w:type="dxa"/>
                  <w:vMerge w:val="continue"/>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tcBorders>
                    <w:bottom w:val="single" w:color="auto" w:sz="4" w:space="0"/>
                  </w:tcBorders>
                  <w:shd w:val="clear" w:color="auto" w:fill="auto"/>
                  <w:vAlign w:val="center"/>
                </w:tcPr>
                <w:p>
                  <w:pPr>
                    <w:pStyle w:val="164"/>
                    <w:rPr>
                      <w:bCs/>
                      <w:color w:val="auto"/>
                    </w:rPr>
                  </w:pPr>
                  <w:r>
                    <w:rPr>
                      <w:rFonts w:hint="eastAsia" w:ascii="宋体" w:hAnsi="宋体" w:cs="宋体"/>
                      <w:bCs/>
                      <w:color w:val="auto"/>
                    </w:rPr>
                    <w:t>软包车间</w:t>
                  </w:r>
                </w:p>
              </w:tc>
              <w:tc>
                <w:tcPr>
                  <w:tcW w:w="6127" w:type="dxa"/>
                  <w:gridSpan w:val="2"/>
                  <w:tcBorders>
                    <w:bottom w:val="single" w:color="auto" w:sz="4" w:space="0"/>
                  </w:tcBorders>
                  <w:shd w:val="clear" w:color="auto" w:fill="auto"/>
                  <w:vAlign w:val="center"/>
                </w:tcPr>
                <w:p>
                  <w:pPr>
                    <w:pStyle w:val="164"/>
                    <w:rPr>
                      <w:bCs/>
                      <w:color w:val="auto"/>
                    </w:rPr>
                  </w:pPr>
                  <w:r>
                    <w:rPr>
                      <w:rFonts w:hint="eastAsia"/>
                      <w:bCs/>
                      <w:color w:val="auto"/>
                    </w:rPr>
                    <w:t>2#</w:t>
                  </w:r>
                  <w:r>
                    <w:rPr>
                      <w:rFonts w:hint="eastAsia" w:ascii="宋体" w:hAnsi="宋体" w:cs="宋体"/>
                      <w:bCs/>
                      <w:color w:val="auto"/>
                    </w:rPr>
                    <w:t>厂房，软包车间，扩建项目通过延长软包车间工作时间匹配扩建产能软包所需能力，不对生产工位进行改造</w:t>
                  </w:r>
                  <w:r>
                    <w:rPr>
                      <w:rFonts w:hint="eastAsia" w:ascii="宋体" w:hAnsi="宋体" w:cs="宋体"/>
                      <w:bCs/>
                      <w:color w:val="auto"/>
                      <w:lang w:val="en-US"/>
                    </w:rPr>
                    <w:t>及增加</w:t>
                  </w:r>
                  <w:r>
                    <w:rPr>
                      <w:rFonts w:hint="eastAsia" w:ascii="宋体" w:hAnsi="宋体" w:cs="宋体"/>
                      <w:bCs/>
                      <w:color w:val="auto"/>
                    </w:rPr>
                    <w:t>。</w:t>
                  </w:r>
                </w:p>
              </w:tc>
              <w:tc>
                <w:tcPr>
                  <w:tcW w:w="652" w:type="dxa"/>
                  <w:tcBorders>
                    <w:bottom w:val="single" w:color="auto" w:sz="4" w:space="0"/>
                  </w:tcBorders>
                  <w:shd w:val="clear" w:color="auto" w:fill="auto"/>
                  <w:vAlign w:val="center"/>
                </w:tcPr>
                <w:p>
                  <w:pPr>
                    <w:pStyle w:val="164"/>
                    <w:rPr>
                      <w:bCs/>
                      <w:color w:val="auto"/>
                    </w:rPr>
                  </w:pPr>
                  <w:r>
                    <w:rPr>
                      <w:rFonts w:hint="eastAsia" w:ascii="宋体" w:hAnsi="宋体" w:cs="宋体"/>
                      <w:bCs/>
                      <w:color w:val="auto"/>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vMerge w:val="restart"/>
                  <w:tcBorders>
                    <w:top w:val="single" w:color="auto" w:sz="4" w:space="0"/>
                  </w:tcBorders>
                  <w:shd w:val="clear" w:color="auto" w:fill="auto"/>
                  <w:vAlign w:val="center"/>
                </w:tcPr>
                <w:p>
                  <w:pPr>
                    <w:pStyle w:val="164"/>
                    <w:rPr>
                      <w:bCs/>
                    </w:rPr>
                  </w:pPr>
                  <w:r>
                    <w:rPr>
                      <w:rFonts w:hint="eastAsia"/>
                      <w:bCs/>
                    </w:rPr>
                    <w:t>1#</w:t>
                  </w:r>
                  <w:r>
                    <w:rPr>
                      <w:rFonts w:hint="eastAsia" w:ascii="宋体" w:hAnsi="宋体" w:cs="宋体"/>
                      <w:bCs/>
                    </w:rPr>
                    <w:t>涂装线</w:t>
                  </w:r>
                </w:p>
              </w:tc>
              <w:tc>
                <w:tcPr>
                  <w:tcW w:w="6127" w:type="dxa"/>
                  <w:gridSpan w:val="2"/>
                  <w:tcBorders>
                    <w:top w:val="single" w:color="auto" w:sz="4" w:space="0"/>
                    <w:bottom w:val="single" w:color="auto" w:sz="4" w:space="0"/>
                  </w:tcBorders>
                  <w:shd w:val="clear" w:color="auto" w:fill="auto"/>
                  <w:vAlign w:val="center"/>
                </w:tcPr>
                <w:p>
                  <w:pPr>
                    <w:pStyle w:val="164"/>
                    <w:rPr>
                      <w:bCs/>
                    </w:rPr>
                  </w:pPr>
                  <w:r>
                    <w:rPr>
                      <w:rFonts w:hint="eastAsia"/>
                      <w:color w:val="auto"/>
                    </w:rPr>
                    <w:t>3#</w:t>
                  </w:r>
                  <w:r>
                    <w:rPr>
                      <w:rFonts w:hint="eastAsia" w:ascii="宋体" w:hAnsi="宋体" w:cs="宋体"/>
                      <w:color w:val="auto"/>
                    </w:rPr>
                    <w:t>厂房</w:t>
                  </w:r>
                  <w:r>
                    <w:rPr>
                      <w:rFonts w:hint="eastAsia" w:ascii="宋体" w:hAnsi="宋体" w:cs="宋体"/>
                      <w:bCs/>
                    </w:rPr>
                    <w:t>，主要包括油磨打磨房，底漆喷漆房</w:t>
                  </w:r>
                  <w:r>
                    <w:rPr>
                      <w:rFonts w:hint="eastAsia"/>
                      <w:bCs/>
                      <w:lang w:val="en-US"/>
                    </w:rPr>
                    <w:t>1</w:t>
                  </w:r>
                  <w:r>
                    <w:rPr>
                      <w:rFonts w:hint="eastAsia" w:ascii="宋体" w:hAnsi="宋体" w:cs="宋体"/>
                      <w:bCs/>
                    </w:rPr>
                    <w:t>间、3涂装工位，</w:t>
                  </w:r>
                  <w:r>
                    <w:rPr>
                      <w:rFonts w:hint="eastAsia" w:ascii="宋体" w:hAnsi="宋体" w:cs="宋体"/>
                      <w:color w:val="auto"/>
                    </w:rPr>
                    <w:t>烘晾干房</w:t>
                  </w:r>
                  <w:r>
                    <w:rPr>
                      <w:rFonts w:hint="eastAsia"/>
                      <w:color w:val="auto"/>
                    </w:rPr>
                    <w:t>1</w:t>
                  </w:r>
                  <w:r>
                    <w:rPr>
                      <w:rFonts w:hint="eastAsia" w:ascii="宋体" w:hAnsi="宋体" w:cs="宋体"/>
                      <w:color w:val="auto"/>
                    </w:rPr>
                    <w:t>间。对涂装工位进行改造，油性喷枪替换为水性喷枪，由原3油性漆涂装工位改造为2水1油，同时增设除湿机，实现水性漆的替代。</w:t>
                  </w:r>
                </w:p>
              </w:tc>
              <w:tc>
                <w:tcPr>
                  <w:tcW w:w="652" w:type="dxa"/>
                  <w:tcBorders>
                    <w:bottom w:val="single" w:color="auto" w:sz="4" w:space="0"/>
                  </w:tcBorders>
                  <w:shd w:val="clear" w:color="auto" w:fill="auto"/>
                  <w:vAlign w:val="center"/>
                </w:tcPr>
                <w:p>
                  <w:pPr>
                    <w:pStyle w:val="164"/>
                    <w:rPr>
                      <w:bCs/>
                    </w:rPr>
                  </w:pPr>
                  <w:r>
                    <w:rPr>
                      <w:bCs/>
                    </w:rPr>
                    <w:t>改造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vMerge w:val="continue"/>
                  <w:tcBorders>
                    <w:bottom w:val="single" w:color="auto" w:sz="4" w:space="0"/>
                  </w:tcBorders>
                  <w:shd w:val="clear" w:color="auto" w:fill="auto"/>
                  <w:vAlign w:val="center"/>
                </w:tcPr>
                <w:p>
                  <w:pPr>
                    <w:pStyle w:val="164"/>
                    <w:rPr>
                      <w:bCs/>
                    </w:rPr>
                  </w:pPr>
                </w:p>
              </w:tc>
              <w:tc>
                <w:tcPr>
                  <w:tcW w:w="6127" w:type="dxa"/>
                  <w:gridSpan w:val="2"/>
                  <w:tcBorders>
                    <w:top w:val="single" w:color="auto" w:sz="4" w:space="0"/>
                    <w:bottom w:val="single" w:color="auto" w:sz="4" w:space="0"/>
                  </w:tcBorders>
                  <w:shd w:val="clear" w:color="auto" w:fill="auto"/>
                  <w:vAlign w:val="center"/>
                </w:tcPr>
                <w:p>
                  <w:pPr>
                    <w:pStyle w:val="164"/>
                    <w:rPr>
                      <w:color w:val="auto"/>
                    </w:rPr>
                  </w:pPr>
                  <w:r>
                    <w:rPr>
                      <w:rFonts w:hint="eastAsia"/>
                      <w:color w:val="auto"/>
                    </w:rPr>
                    <w:t>4#</w:t>
                  </w:r>
                  <w:r>
                    <w:rPr>
                      <w:rFonts w:hint="eastAsia" w:ascii="宋体" w:hAnsi="宋体" w:cs="宋体"/>
                      <w:color w:val="auto"/>
                    </w:rPr>
                    <w:t>车间，设置白坯打磨线</w:t>
                  </w:r>
                  <w:r>
                    <w:rPr>
                      <w:rFonts w:hint="eastAsia"/>
                      <w:color w:val="auto"/>
                    </w:rPr>
                    <w:t>1</w:t>
                  </w:r>
                  <w:r>
                    <w:rPr>
                      <w:rFonts w:hint="eastAsia" w:ascii="宋体" w:hAnsi="宋体" w:cs="宋体"/>
                      <w:color w:val="auto"/>
                    </w:rPr>
                    <w:t>条，对家具进行白坯打磨</w:t>
                  </w:r>
                </w:p>
              </w:tc>
              <w:tc>
                <w:tcPr>
                  <w:tcW w:w="652" w:type="dxa"/>
                  <w:vMerge w:val="restart"/>
                  <w:tcBorders>
                    <w:top w:val="single" w:color="auto" w:sz="4" w:space="0"/>
                  </w:tcBorders>
                  <w:shd w:val="clear" w:color="auto" w:fill="auto"/>
                  <w:vAlign w:val="center"/>
                </w:tcPr>
                <w:p>
                  <w:pPr>
                    <w:pStyle w:val="164"/>
                    <w:rPr>
                      <w:bCs/>
                    </w:rPr>
                  </w:pPr>
                  <w:r>
                    <w:rPr>
                      <w:rFonts w:hint="eastAsia" w:ascii="宋体" w:hAnsi="宋体" w:cs="宋体"/>
                      <w:bCs/>
                    </w:rPr>
                    <w:t>原项目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tcBorders>
                    <w:top w:val="single" w:color="auto" w:sz="4" w:space="0"/>
                    <w:bottom w:val="single" w:color="auto" w:sz="4" w:space="0"/>
                  </w:tcBorders>
                  <w:shd w:val="clear" w:color="auto" w:fill="auto"/>
                  <w:vAlign w:val="center"/>
                </w:tcPr>
                <w:p>
                  <w:pPr>
                    <w:pStyle w:val="164"/>
                    <w:rPr>
                      <w:bCs/>
                    </w:rPr>
                  </w:pPr>
                  <w:r>
                    <w:rPr>
                      <w:rFonts w:hint="eastAsia"/>
                      <w:bCs/>
                    </w:rPr>
                    <w:t>1#</w:t>
                  </w:r>
                  <w:r>
                    <w:rPr>
                      <w:rFonts w:hint="eastAsia" w:ascii="宋体" w:hAnsi="宋体" w:cs="宋体"/>
                      <w:bCs/>
                    </w:rPr>
                    <w:t>组装车间</w:t>
                  </w:r>
                </w:p>
              </w:tc>
              <w:tc>
                <w:tcPr>
                  <w:tcW w:w="6127" w:type="dxa"/>
                  <w:gridSpan w:val="2"/>
                  <w:tcBorders>
                    <w:top w:val="single" w:color="auto" w:sz="4" w:space="0"/>
                    <w:bottom w:val="single" w:color="auto" w:sz="4" w:space="0"/>
                  </w:tcBorders>
                  <w:shd w:val="clear" w:color="auto" w:fill="auto"/>
                  <w:vAlign w:val="center"/>
                </w:tcPr>
                <w:p>
                  <w:pPr>
                    <w:pStyle w:val="164"/>
                    <w:rPr>
                      <w:bCs/>
                    </w:rPr>
                  </w:pPr>
                  <w:r>
                    <w:rPr>
                      <w:rFonts w:hint="eastAsia"/>
                      <w:color w:val="auto"/>
                    </w:rPr>
                    <w:t>4#</w:t>
                  </w:r>
                  <w:r>
                    <w:rPr>
                      <w:rFonts w:hint="eastAsia" w:ascii="宋体" w:hAnsi="宋体" w:cs="宋体"/>
                      <w:color w:val="auto"/>
                    </w:rPr>
                    <w:t>车间设置组装车间</w:t>
                  </w:r>
                  <w:r>
                    <w:rPr>
                      <w:rFonts w:hint="eastAsia"/>
                      <w:color w:val="auto"/>
                    </w:rPr>
                    <w:t>1</w:t>
                  </w:r>
                  <w:r>
                    <w:rPr>
                      <w:rFonts w:hint="eastAsia" w:ascii="宋体" w:hAnsi="宋体" w:cs="宋体"/>
                      <w:color w:val="auto"/>
                    </w:rPr>
                    <w:t>间，主要进行家具的组装，加工内容主要包括合页安装，家具部件组装等加工工序。</w:t>
                  </w:r>
                </w:p>
              </w:tc>
              <w:tc>
                <w:tcPr>
                  <w:tcW w:w="652" w:type="dxa"/>
                  <w:vMerge w:val="continue"/>
                  <w:tcBorders>
                    <w:bottom w:val="single" w:color="auto" w:sz="4" w:space="0"/>
                  </w:tcBorders>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tcBorders>
                    <w:top w:val="single" w:color="auto" w:sz="4" w:space="0"/>
                    <w:bottom w:val="single" w:color="auto" w:sz="4" w:space="0"/>
                  </w:tcBorders>
                  <w:shd w:val="clear" w:color="auto" w:fill="auto"/>
                  <w:vAlign w:val="center"/>
                </w:tcPr>
                <w:p>
                  <w:pPr>
                    <w:pStyle w:val="164"/>
                    <w:rPr>
                      <w:bCs/>
                    </w:rPr>
                  </w:pPr>
                  <w:r>
                    <w:rPr>
                      <w:rFonts w:hint="eastAsia"/>
                      <w:bCs/>
                    </w:rPr>
                    <w:t>2#</w:t>
                  </w:r>
                  <w:r>
                    <w:rPr>
                      <w:rFonts w:hint="eastAsia" w:ascii="宋体" w:hAnsi="宋体" w:cs="宋体"/>
                      <w:bCs/>
                    </w:rPr>
                    <w:t>涂装线</w:t>
                  </w:r>
                </w:p>
              </w:tc>
              <w:tc>
                <w:tcPr>
                  <w:tcW w:w="6127" w:type="dxa"/>
                  <w:gridSpan w:val="2"/>
                  <w:tcBorders>
                    <w:top w:val="single" w:color="auto" w:sz="4" w:space="0"/>
                    <w:bottom w:val="single" w:color="auto" w:sz="4" w:space="0"/>
                  </w:tcBorders>
                  <w:shd w:val="clear" w:color="auto" w:fill="auto"/>
                  <w:vAlign w:val="center"/>
                </w:tcPr>
                <w:p>
                  <w:pPr>
                    <w:pStyle w:val="164"/>
                    <w:rPr>
                      <w:bCs/>
                    </w:rPr>
                  </w:pPr>
                  <w:r>
                    <w:rPr>
                      <w:rFonts w:hint="eastAsia" w:ascii="宋体" w:hAnsi="宋体" w:cs="宋体"/>
                      <w:bCs/>
                    </w:rPr>
                    <w:t>位于</w:t>
                  </w:r>
                  <w:r>
                    <w:rPr>
                      <w:rFonts w:hint="eastAsia"/>
                      <w:bCs/>
                    </w:rPr>
                    <w:t>5#</w:t>
                  </w:r>
                  <w:r>
                    <w:rPr>
                      <w:rFonts w:hint="eastAsia" w:ascii="宋体" w:hAnsi="宋体" w:cs="宋体"/>
                      <w:bCs/>
                    </w:rPr>
                    <w:t>厂房，主要包括修色房</w:t>
                  </w:r>
                  <w:r>
                    <w:rPr>
                      <w:rFonts w:hint="eastAsia"/>
                      <w:bCs/>
                    </w:rPr>
                    <w:t>1</w:t>
                  </w:r>
                  <w:r>
                    <w:rPr>
                      <w:rFonts w:hint="eastAsia" w:ascii="宋体" w:hAnsi="宋体" w:cs="宋体"/>
                      <w:bCs/>
                    </w:rPr>
                    <w:t>间，面漆喷漆房</w:t>
                  </w:r>
                  <w:r>
                    <w:rPr>
                      <w:rFonts w:hint="eastAsia"/>
                      <w:bCs/>
                      <w:lang w:val="en-US"/>
                    </w:rPr>
                    <w:t>3</w:t>
                  </w:r>
                  <w:r>
                    <w:rPr>
                      <w:rFonts w:hint="eastAsia" w:ascii="宋体" w:hAnsi="宋体" w:cs="宋体"/>
                      <w:bCs/>
                    </w:rPr>
                    <w:t>间，</w:t>
                  </w:r>
                  <w:r>
                    <w:rPr>
                      <w:rFonts w:hint="eastAsia" w:ascii="宋体" w:hAnsi="宋体" w:cs="宋体"/>
                      <w:color w:val="auto"/>
                    </w:rPr>
                    <w:t>烘晾干房</w:t>
                  </w:r>
                  <w:r>
                    <w:rPr>
                      <w:rFonts w:hint="eastAsia"/>
                      <w:color w:val="auto"/>
                      <w:lang w:val="en-US"/>
                    </w:rPr>
                    <w:t>3</w:t>
                  </w:r>
                  <w:r>
                    <w:rPr>
                      <w:rFonts w:hint="eastAsia" w:ascii="宋体" w:hAnsi="宋体" w:cs="宋体"/>
                      <w:color w:val="auto"/>
                    </w:rPr>
                    <w:t>间。对涂装工位进行改造，油性喷枪替换为水性喷枪，由原3油性漆涂装房改造为2水1油，同时增设除湿机，实现水性漆的替代。</w:t>
                  </w:r>
                </w:p>
              </w:tc>
              <w:tc>
                <w:tcPr>
                  <w:tcW w:w="652" w:type="dxa"/>
                  <w:tcBorders>
                    <w:top w:val="single" w:color="auto" w:sz="4" w:space="0"/>
                    <w:bottom w:val="single" w:color="auto" w:sz="4" w:space="0"/>
                  </w:tcBorders>
                  <w:shd w:val="clear" w:color="auto" w:fill="auto"/>
                  <w:vAlign w:val="center"/>
                </w:tcPr>
                <w:p>
                  <w:pPr>
                    <w:pStyle w:val="164"/>
                    <w:rPr>
                      <w:bCs/>
                    </w:rPr>
                  </w:pPr>
                  <w:r>
                    <w:rPr>
                      <w:bCs/>
                    </w:rPr>
                    <w:t>改造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tcBorders>
                    <w:top w:val="single" w:color="auto" w:sz="4" w:space="0"/>
                    <w:bottom w:val="single" w:color="auto" w:sz="4" w:space="0"/>
                  </w:tcBorders>
                  <w:shd w:val="clear" w:color="auto" w:fill="auto"/>
                  <w:vAlign w:val="center"/>
                </w:tcPr>
                <w:p>
                  <w:pPr>
                    <w:pStyle w:val="164"/>
                    <w:rPr>
                      <w:bCs/>
                    </w:rPr>
                  </w:pPr>
                  <w:r>
                    <w:rPr>
                      <w:rFonts w:hint="eastAsia"/>
                      <w:bCs/>
                    </w:rPr>
                    <w:t>1#</w:t>
                  </w:r>
                  <w:r>
                    <w:rPr>
                      <w:rFonts w:hint="eastAsia" w:ascii="宋体" w:hAnsi="宋体" w:cs="宋体"/>
                      <w:bCs/>
                    </w:rPr>
                    <w:t>木工加工车间</w:t>
                  </w:r>
                </w:p>
              </w:tc>
              <w:tc>
                <w:tcPr>
                  <w:tcW w:w="6127" w:type="dxa"/>
                  <w:gridSpan w:val="2"/>
                  <w:tcBorders>
                    <w:top w:val="single" w:color="auto" w:sz="4" w:space="0"/>
                    <w:bottom w:val="single" w:color="auto" w:sz="4" w:space="0"/>
                  </w:tcBorders>
                  <w:shd w:val="clear" w:color="auto" w:fill="auto"/>
                  <w:vAlign w:val="center"/>
                </w:tcPr>
                <w:p>
                  <w:pPr>
                    <w:pStyle w:val="164"/>
                    <w:rPr>
                      <w:bCs/>
                    </w:rPr>
                  </w:pPr>
                  <w:r>
                    <w:rPr>
                      <w:rFonts w:hint="eastAsia"/>
                      <w:color w:val="auto"/>
                    </w:rPr>
                    <w:t>6#</w:t>
                  </w:r>
                  <w:r>
                    <w:rPr>
                      <w:rFonts w:hint="eastAsia" w:ascii="宋体" w:hAnsi="宋体" w:cs="宋体"/>
                      <w:color w:val="auto"/>
                    </w:rPr>
                    <w:t>车间布设木工加工车间</w:t>
                  </w:r>
                  <w:r>
                    <w:rPr>
                      <w:rFonts w:hint="eastAsia"/>
                      <w:color w:val="auto"/>
                    </w:rPr>
                    <w:t>1</w:t>
                  </w:r>
                  <w:r>
                    <w:rPr>
                      <w:rFonts w:hint="eastAsia" w:ascii="宋体" w:hAnsi="宋体" w:cs="宋体"/>
                      <w:color w:val="auto"/>
                    </w:rPr>
                    <w:t>间，主要进行家具组装。</w:t>
                  </w:r>
                </w:p>
              </w:tc>
              <w:tc>
                <w:tcPr>
                  <w:tcW w:w="652" w:type="dxa"/>
                  <w:tcBorders>
                    <w:top w:val="single" w:color="auto" w:sz="4" w:space="0"/>
                    <w:bottom w:val="single" w:color="auto" w:sz="4" w:space="0"/>
                  </w:tcBorders>
                  <w:shd w:val="clear" w:color="auto" w:fill="auto"/>
                  <w:vAlign w:val="center"/>
                </w:tcPr>
                <w:p>
                  <w:pPr>
                    <w:pStyle w:val="164"/>
                    <w:rPr>
                      <w:bCs/>
                    </w:rPr>
                  </w:pPr>
                  <w:r>
                    <w:rPr>
                      <w:rFonts w:hint="eastAsia" w:ascii="宋体" w:hAnsi="宋体" w:cs="宋体"/>
                      <w:bCs/>
                    </w:rPr>
                    <w:t>原项目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shd w:val="clear" w:color="auto" w:fill="auto"/>
                  <w:vAlign w:val="center"/>
                </w:tcPr>
                <w:p>
                  <w:pPr>
                    <w:pStyle w:val="164"/>
                    <w:rPr>
                      <w:bCs/>
                    </w:rPr>
                  </w:pPr>
                  <w:r>
                    <w:rPr>
                      <w:rFonts w:hint="eastAsia" w:ascii="宋体" w:hAnsi="宋体" w:cs="宋体"/>
                      <w:bCs/>
                    </w:rPr>
                    <w:t>辅助工程</w:t>
                  </w:r>
                </w:p>
              </w:tc>
              <w:tc>
                <w:tcPr>
                  <w:tcW w:w="1276" w:type="dxa"/>
                  <w:shd w:val="clear" w:color="auto" w:fill="auto"/>
                  <w:vAlign w:val="center"/>
                </w:tcPr>
                <w:p>
                  <w:pPr>
                    <w:pStyle w:val="164"/>
                    <w:rPr>
                      <w:bCs/>
                      <w:color w:val="auto"/>
                    </w:rPr>
                  </w:pPr>
                  <w:r>
                    <w:rPr>
                      <w:rFonts w:hint="eastAsia" w:ascii="宋体" w:hAnsi="宋体" w:cs="宋体"/>
                      <w:bCs/>
                      <w:color w:val="auto"/>
                    </w:rPr>
                    <w:t>办公楼</w:t>
                  </w:r>
                </w:p>
              </w:tc>
              <w:tc>
                <w:tcPr>
                  <w:tcW w:w="6127" w:type="dxa"/>
                  <w:gridSpan w:val="2"/>
                  <w:tcBorders>
                    <w:top w:val="single" w:color="auto" w:sz="4" w:space="0"/>
                  </w:tcBorders>
                  <w:shd w:val="clear" w:color="auto" w:fill="auto"/>
                  <w:vAlign w:val="center"/>
                </w:tcPr>
                <w:p>
                  <w:pPr>
                    <w:pStyle w:val="164"/>
                    <w:rPr>
                      <w:bCs/>
                      <w:color w:val="auto"/>
                    </w:rPr>
                  </w:pPr>
                  <w:r>
                    <w:rPr>
                      <w:rFonts w:hint="eastAsia" w:ascii="宋体" w:hAnsi="宋体" w:cs="宋体"/>
                      <w:color w:val="auto"/>
                    </w:rPr>
                    <w:t>办公综合楼依托原有办公楼，主要为厂区工作人员办公使用。</w:t>
                  </w:r>
                </w:p>
              </w:tc>
              <w:tc>
                <w:tcPr>
                  <w:tcW w:w="652" w:type="dxa"/>
                  <w:tcBorders>
                    <w:top w:val="single" w:color="auto" w:sz="4" w:space="0"/>
                  </w:tcBorders>
                  <w:shd w:val="clear" w:color="auto" w:fill="auto"/>
                  <w:vAlign w:val="center"/>
                </w:tcPr>
                <w:p>
                  <w:pPr>
                    <w:pStyle w:val="164"/>
                    <w:rPr>
                      <w:bCs/>
                    </w:rPr>
                  </w:pPr>
                  <w:r>
                    <w:rPr>
                      <w:rFonts w:hint="eastAsia" w:ascii="宋体" w:hAnsi="宋体" w:cs="宋体"/>
                      <w:bCs/>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restart"/>
                  <w:shd w:val="clear" w:color="auto" w:fill="auto"/>
                  <w:vAlign w:val="center"/>
                </w:tcPr>
                <w:p>
                  <w:pPr>
                    <w:pStyle w:val="164"/>
                    <w:rPr>
                      <w:bCs/>
                    </w:rPr>
                  </w:pPr>
                  <w:r>
                    <w:rPr>
                      <w:rFonts w:hint="eastAsia" w:ascii="宋体" w:hAnsi="宋体" w:cs="宋体"/>
                      <w:bCs/>
                    </w:rPr>
                    <w:t>公用</w:t>
                  </w:r>
                </w:p>
                <w:p>
                  <w:pPr>
                    <w:pStyle w:val="164"/>
                    <w:rPr>
                      <w:bCs/>
                    </w:rPr>
                  </w:pPr>
                  <w:r>
                    <w:rPr>
                      <w:rFonts w:hint="eastAsia" w:ascii="宋体" w:hAnsi="宋体" w:cs="宋体"/>
                      <w:bCs/>
                    </w:rPr>
                    <w:t>工程</w:t>
                  </w:r>
                </w:p>
              </w:tc>
              <w:tc>
                <w:tcPr>
                  <w:tcW w:w="1276" w:type="dxa"/>
                  <w:shd w:val="clear" w:color="auto" w:fill="auto"/>
                  <w:vAlign w:val="center"/>
                </w:tcPr>
                <w:p>
                  <w:pPr>
                    <w:pStyle w:val="164"/>
                    <w:rPr>
                      <w:bCs/>
                      <w:color w:val="auto"/>
                    </w:rPr>
                  </w:pPr>
                  <w:r>
                    <w:rPr>
                      <w:rFonts w:hint="eastAsia" w:ascii="宋体" w:hAnsi="宋体" w:cs="宋体"/>
                      <w:bCs/>
                      <w:color w:val="auto"/>
                    </w:rPr>
                    <w:t>供电系统</w:t>
                  </w:r>
                </w:p>
              </w:tc>
              <w:tc>
                <w:tcPr>
                  <w:tcW w:w="6127" w:type="dxa"/>
                  <w:gridSpan w:val="2"/>
                  <w:shd w:val="clear" w:color="auto" w:fill="auto"/>
                  <w:vAlign w:val="center"/>
                </w:tcPr>
                <w:p>
                  <w:pPr>
                    <w:pStyle w:val="164"/>
                    <w:rPr>
                      <w:bCs/>
                      <w:color w:val="auto"/>
                    </w:rPr>
                  </w:pPr>
                  <w:r>
                    <w:rPr>
                      <w:rFonts w:hint="eastAsia" w:ascii="宋体" w:hAnsi="宋体" w:cs="宋体"/>
                      <w:bCs/>
                      <w:color w:val="auto"/>
                    </w:rPr>
                    <w:t>由园区接入</w:t>
                  </w:r>
                </w:p>
              </w:tc>
              <w:tc>
                <w:tcPr>
                  <w:tcW w:w="652" w:type="dxa"/>
                  <w:vMerge w:val="restart"/>
                  <w:shd w:val="clear" w:color="auto" w:fill="auto"/>
                  <w:vAlign w:val="center"/>
                </w:tcPr>
                <w:p>
                  <w:pPr>
                    <w:pStyle w:val="164"/>
                    <w:rPr>
                      <w:bCs/>
                    </w:rPr>
                  </w:pPr>
                  <w:r>
                    <w:rPr>
                      <w:rFonts w:hint="eastAsia" w:ascii="宋体" w:hAnsi="宋体" w:cs="宋体"/>
                      <w:bCs/>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shd w:val="clear" w:color="auto" w:fill="auto"/>
                  <w:vAlign w:val="center"/>
                </w:tcPr>
                <w:p>
                  <w:pPr>
                    <w:pStyle w:val="164"/>
                    <w:rPr>
                      <w:bCs/>
                      <w:color w:val="auto"/>
                    </w:rPr>
                  </w:pPr>
                  <w:r>
                    <w:rPr>
                      <w:rFonts w:hint="eastAsia" w:ascii="宋体" w:hAnsi="宋体" w:cs="宋体"/>
                      <w:bCs/>
                      <w:color w:val="auto"/>
                    </w:rPr>
                    <w:t>供水系统</w:t>
                  </w:r>
                </w:p>
              </w:tc>
              <w:tc>
                <w:tcPr>
                  <w:tcW w:w="6127" w:type="dxa"/>
                  <w:gridSpan w:val="2"/>
                  <w:shd w:val="clear" w:color="auto" w:fill="auto"/>
                  <w:vAlign w:val="center"/>
                </w:tcPr>
                <w:p>
                  <w:pPr>
                    <w:pStyle w:val="164"/>
                    <w:rPr>
                      <w:bCs/>
                      <w:color w:val="auto"/>
                    </w:rPr>
                  </w:pPr>
                  <w:r>
                    <w:rPr>
                      <w:rFonts w:hint="eastAsia" w:ascii="宋体" w:hAnsi="宋体" w:cs="宋体"/>
                      <w:bCs/>
                      <w:color w:val="auto"/>
                    </w:rPr>
                    <w:t>依托租赁厂房现有管网，接入市政给水</w:t>
                  </w:r>
                </w:p>
              </w:tc>
              <w:tc>
                <w:tcPr>
                  <w:tcW w:w="652" w:type="dxa"/>
                  <w:vMerge w:val="continue"/>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vMerge w:val="restart"/>
                  <w:shd w:val="clear" w:color="auto" w:fill="auto"/>
                  <w:vAlign w:val="center"/>
                </w:tcPr>
                <w:p>
                  <w:pPr>
                    <w:pStyle w:val="164"/>
                    <w:rPr>
                      <w:bCs/>
                      <w:color w:val="auto"/>
                    </w:rPr>
                  </w:pPr>
                  <w:r>
                    <w:rPr>
                      <w:rFonts w:hint="eastAsia" w:ascii="宋体" w:hAnsi="宋体" w:cs="宋体"/>
                      <w:bCs/>
                      <w:color w:val="auto"/>
                    </w:rPr>
                    <w:t>排水系统</w:t>
                  </w:r>
                </w:p>
              </w:tc>
              <w:tc>
                <w:tcPr>
                  <w:tcW w:w="6127" w:type="dxa"/>
                  <w:gridSpan w:val="2"/>
                  <w:shd w:val="clear" w:color="auto" w:fill="auto"/>
                  <w:vAlign w:val="center"/>
                </w:tcPr>
                <w:p>
                  <w:pPr>
                    <w:pStyle w:val="164"/>
                    <w:rPr>
                      <w:bCs/>
                      <w:color w:val="auto"/>
                    </w:rPr>
                  </w:pPr>
                  <w:r>
                    <w:rPr>
                      <w:rFonts w:hint="eastAsia" w:ascii="宋体" w:hAnsi="宋体" w:cs="宋体"/>
                      <w:bCs/>
                      <w:color w:val="auto"/>
                    </w:rPr>
                    <w:t>雨污分流，雨水接入厂区雨水管网</w:t>
                  </w:r>
                </w:p>
              </w:tc>
              <w:tc>
                <w:tcPr>
                  <w:tcW w:w="652" w:type="dxa"/>
                  <w:vMerge w:val="continue"/>
                  <w:shd w:val="clear" w:color="auto" w:fill="auto"/>
                  <w:vAlign w:val="center"/>
                </w:tcPr>
                <w:p>
                  <w:pPr>
                    <w:pStyle w:val="164"/>
                    <w:rPr>
                      <w:bC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vMerge w:val="continue"/>
                  <w:shd w:val="clear" w:color="auto" w:fill="auto"/>
                  <w:vAlign w:val="center"/>
                </w:tcPr>
                <w:p>
                  <w:pPr>
                    <w:pStyle w:val="164"/>
                    <w:rPr>
                      <w:bCs/>
                      <w:color w:val="auto"/>
                    </w:rPr>
                  </w:pPr>
                </w:p>
              </w:tc>
              <w:tc>
                <w:tcPr>
                  <w:tcW w:w="6127" w:type="dxa"/>
                  <w:gridSpan w:val="2"/>
                  <w:shd w:val="clear" w:color="auto" w:fill="auto"/>
                  <w:vAlign w:val="center"/>
                </w:tcPr>
                <w:p>
                  <w:pPr>
                    <w:pStyle w:val="164"/>
                    <w:rPr>
                      <w:bCs/>
                      <w:color w:val="auto"/>
                    </w:rPr>
                  </w:pPr>
                  <w:r>
                    <w:rPr>
                      <w:rFonts w:hint="eastAsia" w:ascii="宋体" w:hAnsi="宋体" w:cs="宋体"/>
                      <w:bCs/>
                      <w:color w:val="auto"/>
                    </w:rPr>
                    <w:t>生活污水与生产废水经物化处理的生产废水相混合后经生化处理达《污水综合排放标准》（</w:t>
                  </w:r>
                  <w:r>
                    <w:rPr>
                      <w:bCs/>
                      <w:color w:val="auto"/>
                    </w:rPr>
                    <w:t>GB8978-1996</w:t>
                  </w:r>
                  <w:r>
                    <w:rPr>
                      <w:rFonts w:hint="eastAsia" w:ascii="宋体" w:hAnsi="宋体" w:cs="宋体"/>
                      <w:bCs/>
                      <w:color w:val="auto"/>
                    </w:rPr>
                    <w:t>）三级排放标准，经园区污水管网排入东城污水处理厂进一步处理达《城镇污水处理厂污染物排放标准》（</w:t>
                  </w:r>
                  <w:r>
                    <w:rPr>
                      <w:bCs/>
                      <w:color w:val="auto"/>
                    </w:rPr>
                    <w:t>GB18918-2002</w:t>
                  </w:r>
                  <w:r>
                    <w:rPr>
                      <w:rFonts w:hint="eastAsia" w:ascii="宋体" w:hAnsi="宋体" w:cs="宋体"/>
                      <w:bCs/>
                      <w:color w:val="auto"/>
                    </w:rPr>
                    <w:t>）一级</w:t>
                  </w:r>
                  <w:r>
                    <w:rPr>
                      <w:bCs/>
                      <w:color w:val="auto"/>
                    </w:rPr>
                    <w:t>B</w:t>
                  </w:r>
                  <w:r>
                    <w:rPr>
                      <w:rFonts w:hint="eastAsia" w:ascii="宋体" w:hAnsi="宋体" w:cs="宋体"/>
                      <w:bCs/>
                      <w:color w:val="auto"/>
                    </w:rPr>
                    <w:t>标后排入淮远河</w:t>
                  </w:r>
                </w:p>
              </w:tc>
              <w:tc>
                <w:tcPr>
                  <w:tcW w:w="652" w:type="dxa"/>
                  <w:shd w:val="clear" w:color="auto" w:fill="auto"/>
                  <w:vAlign w:val="center"/>
                </w:tcPr>
                <w:p>
                  <w:pPr>
                    <w:pStyle w:val="164"/>
                    <w:rPr>
                      <w:bCs/>
                    </w:rPr>
                  </w:pPr>
                  <w:r>
                    <w:rPr>
                      <w:rFonts w:hint="eastAsia" w:ascii="宋体" w:hAnsi="宋体" w:cs="宋体"/>
                      <w:bCs/>
                    </w:rPr>
                    <w:t>扩建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rPr>
                  </w:pPr>
                </w:p>
              </w:tc>
              <w:tc>
                <w:tcPr>
                  <w:tcW w:w="1276" w:type="dxa"/>
                  <w:shd w:val="clear" w:color="auto" w:fill="auto"/>
                  <w:vAlign w:val="center"/>
                </w:tcPr>
                <w:p>
                  <w:pPr>
                    <w:pStyle w:val="164"/>
                    <w:rPr>
                      <w:bCs/>
                      <w:color w:val="auto"/>
                    </w:rPr>
                  </w:pPr>
                  <w:r>
                    <w:rPr>
                      <w:rFonts w:hint="eastAsia" w:ascii="宋体" w:hAnsi="宋体" w:cs="宋体"/>
                      <w:bCs/>
                      <w:color w:val="auto"/>
                    </w:rPr>
                    <w:t>空压系统</w:t>
                  </w:r>
                </w:p>
              </w:tc>
              <w:tc>
                <w:tcPr>
                  <w:tcW w:w="6127" w:type="dxa"/>
                  <w:gridSpan w:val="2"/>
                  <w:shd w:val="clear" w:color="auto" w:fill="auto"/>
                  <w:vAlign w:val="center"/>
                </w:tcPr>
                <w:p>
                  <w:pPr>
                    <w:pStyle w:val="164"/>
                    <w:rPr>
                      <w:bCs/>
                      <w:color w:val="auto"/>
                    </w:rPr>
                  </w:pPr>
                  <w:r>
                    <w:rPr>
                      <w:rFonts w:hint="eastAsia" w:ascii="宋体" w:hAnsi="宋体" w:cs="宋体"/>
                      <w:bCs/>
                      <w:color w:val="auto"/>
                    </w:rPr>
                    <w:t>空压房位于厂房</w:t>
                  </w:r>
                  <w:r>
                    <w:rPr>
                      <w:rFonts w:hint="eastAsia"/>
                      <w:bCs/>
                      <w:color w:val="auto"/>
                    </w:rPr>
                    <w:t>7#</w:t>
                  </w:r>
                  <w:r>
                    <w:rPr>
                      <w:rFonts w:hint="eastAsia" w:ascii="宋体" w:hAnsi="宋体" w:cs="宋体"/>
                      <w:bCs/>
                      <w:color w:val="auto"/>
                    </w:rPr>
                    <w:t>厂房南侧，配</w:t>
                  </w:r>
                  <w:r>
                    <w:rPr>
                      <w:bCs/>
                      <w:color w:val="auto"/>
                    </w:rPr>
                    <w:t>MAM-880</w:t>
                  </w:r>
                  <w:r>
                    <w:rPr>
                      <w:rFonts w:hint="eastAsia" w:ascii="宋体" w:hAnsi="宋体" w:cs="宋体"/>
                      <w:bCs/>
                      <w:color w:val="auto"/>
                    </w:rPr>
                    <w:t>螺杆空压机一台</w:t>
                  </w:r>
                  <w:r>
                    <w:rPr>
                      <w:rFonts w:hint="eastAsia"/>
                      <w:bCs/>
                      <w:color w:val="auto"/>
                      <w:lang w:val="en-US"/>
                    </w:rPr>
                    <w:t>,6m³/min</w:t>
                  </w:r>
                  <w:r>
                    <w:rPr>
                      <w:rFonts w:hint="eastAsia" w:ascii="宋体" w:hAnsi="宋体" w:cs="宋体"/>
                      <w:bCs/>
                      <w:color w:val="auto"/>
                    </w:rPr>
                    <w:t>（</w:t>
                  </w:r>
                  <w:r>
                    <w:rPr>
                      <w:color w:val="auto"/>
                    </w:rPr>
                    <w:t>无油空压机</w:t>
                  </w:r>
                  <w:r>
                    <w:rPr>
                      <w:rFonts w:hint="eastAsia" w:ascii="宋体" w:hAnsi="宋体" w:cs="宋体"/>
                      <w:bCs/>
                      <w:color w:val="auto"/>
                    </w:rPr>
                    <w:t>）</w:t>
                  </w:r>
                </w:p>
              </w:tc>
              <w:tc>
                <w:tcPr>
                  <w:tcW w:w="652" w:type="dxa"/>
                  <w:shd w:val="clear" w:color="auto" w:fill="auto"/>
                  <w:vAlign w:val="center"/>
                </w:tcPr>
                <w:p>
                  <w:pPr>
                    <w:pStyle w:val="164"/>
                    <w:rPr>
                      <w:bCs/>
                    </w:rPr>
                  </w:pPr>
                  <w:r>
                    <w:rPr>
                      <w:rFonts w:hint="eastAsia" w:ascii="宋体" w:hAnsi="宋体" w:cs="宋体"/>
                      <w:bCs/>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restart"/>
                  <w:shd w:val="clear" w:color="auto" w:fill="auto"/>
                  <w:vAlign w:val="center"/>
                </w:tcPr>
                <w:p>
                  <w:pPr>
                    <w:pStyle w:val="164"/>
                    <w:rPr>
                      <w:bCs/>
                    </w:rPr>
                  </w:pPr>
                  <w:r>
                    <w:rPr>
                      <w:rFonts w:hint="eastAsia" w:ascii="宋体" w:hAnsi="宋体" w:cs="宋体"/>
                      <w:bCs/>
                    </w:rPr>
                    <w:t>储运</w:t>
                  </w:r>
                </w:p>
                <w:p>
                  <w:pPr>
                    <w:pStyle w:val="164"/>
                    <w:rPr>
                      <w:bCs/>
                    </w:rPr>
                  </w:pPr>
                  <w:r>
                    <w:rPr>
                      <w:rFonts w:hint="eastAsia" w:ascii="宋体" w:hAnsi="宋体" w:cs="宋体"/>
                      <w:bCs/>
                    </w:rPr>
                    <w:t>工程</w:t>
                  </w:r>
                </w:p>
              </w:tc>
              <w:tc>
                <w:tcPr>
                  <w:tcW w:w="1276" w:type="dxa"/>
                  <w:shd w:val="clear" w:color="auto" w:fill="auto"/>
                  <w:vAlign w:val="center"/>
                </w:tcPr>
                <w:p>
                  <w:pPr>
                    <w:pStyle w:val="164"/>
                    <w:rPr>
                      <w:bCs/>
                      <w:color w:val="auto"/>
                    </w:rPr>
                  </w:pPr>
                  <w:r>
                    <w:rPr>
                      <w:rFonts w:hint="eastAsia" w:ascii="宋体" w:hAnsi="宋体" w:cs="宋体"/>
                      <w:bCs/>
                      <w:color w:val="auto"/>
                    </w:rPr>
                    <w:t>原料库房</w:t>
                  </w:r>
                </w:p>
              </w:tc>
              <w:tc>
                <w:tcPr>
                  <w:tcW w:w="6127" w:type="dxa"/>
                  <w:gridSpan w:val="2"/>
                  <w:tcBorders>
                    <w:bottom w:val="single" w:color="auto" w:sz="4" w:space="0"/>
                  </w:tcBorders>
                  <w:shd w:val="clear" w:color="auto" w:fill="auto"/>
                  <w:vAlign w:val="center"/>
                </w:tcPr>
                <w:p>
                  <w:pPr>
                    <w:pStyle w:val="164"/>
                    <w:rPr>
                      <w:bCs/>
                      <w:color w:val="auto"/>
                    </w:rPr>
                  </w:pPr>
                  <w:r>
                    <w:rPr>
                      <w:rFonts w:hint="eastAsia" w:ascii="宋体" w:hAnsi="宋体" w:cs="宋体"/>
                      <w:bCs/>
                      <w:color w:val="auto"/>
                    </w:rPr>
                    <w:t>位于</w:t>
                  </w:r>
                  <w:r>
                    <w:rPr>
                      <w:rFonts w:hint="eastAsia"/>
                      <w:bCs/>
                      <w:color w:val="auto"/>
                    </w:rPr>
                    <w:t>1#</w:t>
                  </w:r>
                  <w:r>
                    <w:rPr>
                      <w:rFonts w:hint="eastAsia" w:ascii="宋体" w:hAnsi="宋体" w:cs="宋体"/>
                      <w:bCs/>
                      <w:color w:val="auto"/>
                    </w:rPr>
                    <w:t>厂房，用于用于原料木板等存放</w:t>
                  </w:r>
                </w:p>
              </w:tc>
              <w:tc>
                <w:tcPr>
                  <w:tcW w:w="652" w:type="dxa"/>
                  <w:tcBorders>
                    <w:bottom w:val="single" w:color="auto" w:sz="4" w:space="0"/>
                  </w:tcBorders>
                  <w:shd w:val="clear" w:color="auto" w:fill="auto"/>
                  <w:vAlign w:val="center"/>
                </w:tcPr>
                <w:p>
                  <w:pPr>
                    <w:pStyle w:val="164"/>
                    <w:rPr>
                      <w:bCs/>
                    </w:rPr>
                  </w:pPr>
                  <w:r>
                    <w:rPr>
                      <w:rFonts w:hint="eastAsia" w:ascii="宋体" w:hAnsi="宋体" w:cs="宋体"/>
                      <w:bCs/>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shd w:val="clear" w:color="auto" w:fill="auto"/>
                  <w:vAlign w:val="center"/>
                </w:tcPr>
                <w:p>
                  <w:pPr>
                    <w:pStyle w:val="164"/>
                    <w:rPr>
                      <w:bCs/>
                      <w:color w:val="auto"/>
                    </w:rPr>
                  </w:pPr>
                  <w:r>
                    <w:rPr>
                      <w:rFonts w:hint="eastAsia" w:ascii="宋体" w:hAnsi="宋体" w:cs="宋体"/>
                      <w:bCs/>
                      <w:color w:val="auto"/>
                    </w:rPr>
                    <w:t>涂料库房</w:t>
                  </w:r>
                </w:p>
              </w:tc>
              <w:tc>
                <w:tcPr>
                  <w:tcW w:w="6127" w:type="dxa"/>
                  <w:gridSpan w:val="2"/>
                  <w:tcBorders>
                    <w:top w:val="single" w:color="auto" w:sz="4" w:space="0"/>
                    <w:bottom w:val="single" w:color="auto" w:sz="4" w:space="0"/>
                  </w:tcBorders>
                  <w:shd w:val="clear" w:color="auto" w:fill="auto"/>
                  <w:vAlign w:val="center"/>
                </w:tcPr>
                <w:p>
                  <w:pPr>
                    <w:pStyle w:val="164"/>
                    <w:rPr>
                      <w:bCs/>
                      <w:color w:val="auto"/>
                    </w:rPr>
                  </w:pPr>
                  <w:r>
                    <w:rPr>
                      <w:rFonts w:hint="eastAsia" w:ascii="宋体" w:hAnsi="宋体" w:cs="宋体"/>
                      <w:bCs/>
                      <w:color w:val="auto"/>
                    </w:rPr>
                    <w:t>位于</w:t>
                  </w:r>
                  <w:bookmarkStart w:id="67" w:name="_GoBack"/>
                  <w:bookmarkEnd w:id="67"/>
                  <w:r>
                    <w:rPr>
                      <w:rFonts w:hint="eastAsia" w:ascii="宋体" w:hAnsi="宋体" w:cs="宋体"/>
                    </w:rPr>
                    <w:t>地块东北侧设置油漆专用库房</w:t>
                  </w:r>
                  <w:r>
                    <w:rPr>
                      <w:rFonts w:hint="eastAsia"/>
                    </w:rPr>
                    <w:t>1</w:t>
                  </w:r>
                  <w:r>
                    <w:rPr>
                      <w:rFonts w:hint="eastAsia" w:ascii="宋体" w:hAnsi="宋体" w:cs="宋体"/>
                    </w:rPr>
                    <w:t>座，用于油漆储存，面积</w:t>
                  </w:r>
                  <w:r>
                    <w:rPr>
                      <w:rFonts w:hint="eastAsia"/>
                    </w:rPr>
                    <w:t>20</w:t>
                  </w:r>
                  <w:r>
                    <w:rPr>
                      <w:rFonts w:hint="eastAsia" w:ascii="宋体" w:hAnsi="宋体" w:cs="宋体"/>
                    </w:rPr>
                    <w:t>㎡</w:t>
                  </w:r>
                </w:p>
              </w:tc>
              <w:tc>
                <w:tcPr>
                  <w:tcW w:w="652" w:type="dxa"/>
                  <w:tcBorders>
                    <w:top w:val="single" w:color="auto" w:sz="4" w:space="0"/>
                  </w:tcBorders>
                  <w:shd w:val="clear" w:color="auto" w:fill="auto"/>
                  <w:vAlign w:val="center"/>
                </w:tcPr>
                <w:p>
                  <w:pPr>
                    <w:pStyle w:val="164"/>
                    <w:rPr>
                      <w:bCs/>
                      <w:color w:val="FF0000"/>
                    </w:rPr>
                  </w:pPr>
                  <w:r>
                    <w:rPr>
                      <w:rFonts w:hint="eastAsia" w:ascii="宋体" w:hAnsi="宋体" w:cs="宋体"/>
                      <w:bCs/>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restart"/>
                  <w:shd w:val="clear" w:color="auto" w:fill="auto"/>
                  <w:vAlign w:val="center"/>
                </w:tcPr>
                <w:p>
                  <w:pPr>
                    <w:pStyle w:val="164"/>
                    <w:rPr>
                      <w:bCs/>
                    </w:rPr>
                  </w:pPr>
                  <w:r>
                    <w:rPr>
                      <w:rFonts w:hint="eastAsia" w:ascii="宋体" w:hAnsi="宋体" w:cs="宋体"/>
                      <w:bCs/>
                    </w:rPr>
                    <w:t>环保</w:t>
                  </w:r>
                </w:p>
                <w:p>
                  <w:pPr>
                    <w:pStyle w:val="164"/>
                    <w:rPr>
                      <w:bCs/>
                    </w:rPr>
                  </w:pPr>
                  <w:r>
                    <w:rPr>
                      <w:rFonts w:hint="eastAsia" w:ascii="宋体" w:hAnsi="宋体" w:cs="宋体"/>
                      <w:bCs/>
                    </w:rPr>
                    <w:t>工程</w:t>
                  </w:r>
                </w:p>
              </w:tc>
              <w:tc>
                <w:tcPr>
                  <w:tcW w:w="1276" w:type="dxa"/>
                  <w:shd w:val="clear" w:color="auto" w:fill="auto"/>
                  <w:vAlign w:val="center"/>
                </w:tcPr>
                <w:p>
                  <w:pPr>
                    <w:pStyle w:val="164"/>
                    <w:rPr>
                      <w:bCs/>
                    </w:rPr>
                  </w:pPr>
                  <w:r>
                    <w:rPr>
                      <w:rFonts w:hint="eastAsia" w:ascii="宋体" w:hAnsi="宋体" w:cs="宋体"/>
                      <w:bCs/>
                    </w:rPr>
                    <w:t>废水处理</w:t>
                  </w:r>
                </w:p>
              </w:tc>
              <w:tc>
                <w:tcPr>
                  <w:tcW w:w="6127" w:type="dxa"/>
                  <w:gridSpan w:val="2"/>
                  <w:shd w:val="clear" w:color="auto" w:fill="auto"/>
                  <w:vAlign w:val="center"/>
                </w:tcPr>
                <w:p>
                  <w:pPr>
                    <w:pStyle w:val="164"/>
                    <w:rPr>
                      <w:bCs/>
                    </w:rPr>
                  </w:pPr>
                  <w:r>
                    <w:rPr>
                      <w:rFonts w:hint="eastAsia" w:ascii="宋体" w:hAnsi="宋体" w:cs="宋体"/>
                      <w:bCs/>
                      <w:color w:val="auto"/>
                    </w:rPr>
                    <w:t>扩建项目水帘系统</w:t>
                  </w:r>
                  <w:r>
                    <w:rPr>
                      <w:rFonts w:hint="eastAsia" w:ascii="宋体" w:hAnsi="宋体" w:cs="宋体"/>
                      <w:color w:val="auto"/>
                    </w:rPr>
                    <w:t>循环废水、水性漆</w:t>
                  </w:r>
                  <w:r>
                    <w:rPr>
                      <w:rFonts w:hint="eastAsia" w:ascii="宋体" w:hAnsi="宋体" w:cs="宋体"/>
                      <w:color w:val="auto"/>
                      <w:spacing w:val="-1"/>
                      <w:szCs w:val="21"/>
                      <w:lang w:val="en-US"/>
                    </w:rPr>
                    <w:t>洗枪废水</w:t>
                  </w:r>
                  <w:r>
                    <w:rPr>
                      <w:rFonts w:hint="eastAsia" w:ascii="宋体" w:hAnsi="宋体" w:cs="宋体"/>
                      <w:color w:val="auto"/>
                    </w:rPr>
                    <w:t>经废水处理设施（处理工艺为</w:t>
                  </w:r>
                  <w:r>
                    <w:rPr>
                      <w:rFonts w:ascii="Calibri" w:hAnsi="Calibri" w:cs="Calibri"/>
                      <w:color w:val="auto"/>
                    </w:rPr>
                    <w:t>“</w:t>
                  </w:r>
                  <w:r>
                    <w:rPr>
                      <w:rFonts w:hint="eastAsia" w:ascii="宋体" w:hAnsi="宋体" w:cs="宋体"/>
                      <w:color w:val="auto"/>
                    </w:rPr>
                    <w:t>气浮</w:t>
                  </w:r>
                  <w:r>
                    <w:rPr>
                      <w:rFonts w:hAnsi="宋体"/>
                      <w:color w:val="auto"/>
                    </w:rPr>
                    <w:t>+</w:t>
                  </w:r>
                  <w:r>
                    <w:rPr>
                      <w:rFonts w:hint="eastAsia" w:ascii="宋体" w:hAnsi="宋体" w:cs="宋体"/>
                      <w:color w:val="auto"/>
                    </w:rPr>
                    <w:t>沉淀</w:t>
                  </w:r>
                  <w:r>
                    <w:rPr>
                      <w:rFonts w:ascii="Calibri" w:hAnsi="Calibri" w:cs="Calibri"/>
                      <w:color w:val="auto"/>
                    </w:rPr>
                    <w:t>”</w:t>
                  </w:r>
                  <w:r>
                    <w:rPr>
                      <w:rFonts w:hint="eastAsia" w:ascii="宋体" w:hAnsi="宋体" w:cs="宋体"/>
                      <w:color w:val="auto"/>
                    </w:rPr>
                    <w:t>，处理能力</w:t>
                  </w:r>
                  <w:r>
                    <w:rPr>
                      <w:rFonts w:hint="eastAsia"/>
                      <w:color w:val="auto"/>
                    </w:rPr>
                    <w:t>50m</w:t>
                  </w:r>
                  <w:r>
                    <w:rPr>
                      <w:color w:val="auto"/>
                      <w:vertAlign w:val="superscript"/>
                    </w:rPr>
                    <w:t>3</w:t>
                  </w:r>
                  <w:r>
                    <w:rPr>
                      <w:color w:val="auto"/>
                    </w:rPr>
                    <w:t>/</w:t>
                  </w:r>
                  <w:r>
                    <w:rPr>
                      <w:rFonts w:hint="eastAsia"/>
                      <w:color w:val="auto"/>
                    </w:rPr>
                    <w:t>d</w:t>
                  </w:r>
                  <w:r>
                    <w:rPr>
                      <w:rFonts w:hint="eastAsia" w:ascii="宋体" w:hAnsi="宋体" w:cs="宋体"/>
                      <w:color w:val="auto"/>
                    </w:rPr>
                    <w:t>）处理达后与生活污水相混合，进入生化段进行处理（处理工艺为水解酸化</w:t>
                  </w:r>
                  <w:r>
                    <w:rPr>
                      <w:rFonts w:hint="eastAsia" w:hAnsi="宋体"/>
                      <w:color w:val="auto"/>
                    </w:rPr>
                    <w:t>+</w:t>
                  </w:r>
                  <w:r>
                    <w:rPr>
                      <w:rFonts w:hint="eastAsia" w:ascii="宋体" w:hAnsi="宋体" w:cs="宋体"/>
                      <w:color w:val="auto"/>
                    </w:rPr>
                    <w:t>接触氧化），处理能力</w:t>
                  </w:r>
                  <w:r>
                    <w:rPr>
                      <w:rFonts w:hint="eastAsia" w:hAnsi="宋体"/>
                      <w:color w:val="auto"/>
                    </w:rPr>
                    <w:t>100m³/d</w:t>
                  </w:r>
                  <w:r>
                    <w:rPr>
                      <w:rFonts w:hint="eastAsia" w:ascii="宋体" w:hAnsi="宋体" w:cs="宋体"/>
                      <w:color w:val="auto"/>
                    </w:rPr>
                    <w:t>，再经园区污水管网排入东城污水处理厂进一步处理达《城镇污水处理厂污染物排放标准》（</w:t>
                  </w:r>
                  <w:r>
                    <w:rPr>
                      <w:rFonts w:hint="eastAsia" w:hAnsi="宋体"/>
                      <w:color w:val="auto"/>
                    </w:rPr>
                    <w:t>GB18918-2002</w:t>
                  </w:r>
                  <w:r>
                    <w:rPr>
                      <w:rFonts w:hint="eastAsia" w:ascii="宋体" w:hAnsi="宋体" w:cs="宋体"/>
                      <w:color w:val="auto"/>
                    </w:rPr>
                    <w:t>）一级</w:t>
                  </w:r>
                  <w:r>
                    <w:rPr>
                      <w:rFonts w:hint="eastAsia" w:hAnsi="宋体"/>
                      <w:color w:val="auto"/>
                    </w:rPr>
                    <w:t>B</w:t>
                  </w:r>
                  <w:r>
                    <w:rPr>
                      <w:rFonts w:hint="eastAsia" w:ascii="宋体" w:hAnsi="宋体" w:cs="宋体"/>
                      <w:color w:val="auto"/>
                    </w:rPr>
                    <w:t>标排入淮远河。生产废水处理设施富余处理能力约45</w:t>
                  </w:r>
                  <w:r>
                    <w:rPr>
                      <w:rFonts w:hint="eastAsia"/>
                      <w:color w:val="auto"/>
                    </w:rPr>
                    <w:t xml:space="preserve"> m</w:t>
                  </w:r>
                  <w:r>
                    <w:rPr>
                      <w:color w:val="auto"/>
                      <w:vertAlign w:val="superscript"/>
                    </w:rPr>
                    <w:t>3</w:t>
                  </w:r>
                  <w:r>
                    <w:rPr>
                      <w:color w:val="auto"/>
                    </w:rPr>
                    <w:t>/</w:t>
                  </w:r>
                  <w:r>
                    <w:rPr>
                      <w:rFonts w:hint="eastAsia"/>
                      <w:color w:val="auto"/>
                    </w:rPr>
                    <w:t>d，综合废水站剩余处理能力约77 m</w:t>
                  </w:r>
                  <w:r>
                    <w:rPr>
                      <w:color w:val="auto"/>
                      <w:vertAlign w:val="superscript"/>
                    </w:rPr>
                    <w:t>3</w:t>
                  </w:r>
                  <w:r>
                    <w:rPr>
                      <w:color w:val="auto"/>
                    </w:rPr>
                    <w:t>/</w:t>
                  </w:r>
                  <w:r>
                    <w:rPr>
                      <w:rFonts w:hint="eastAsia"/>
                      <w:color w:val="auto"/>
                    </w:rPr>
                    <w:t>d。</w:t>
                  </w:r>
                </w:p>
              </w:tc>
              <w:tc>
                <w:tcPr>
                  <w:tcW w:w="652" w:type="dxa"/>
                  <w:shd w:val="clear" w:color="auto" w:fill="auto"/>
                  <w:vAlign w:val="center"/>
                </w:tcPr>
                <w:p>
                  <w:pPr>
                    <w:pStyle w:val="164"/>
                    <w:rPr>
                      <w:bCs/>
                    </w:rPr>
                  </w:pPr>
                  <w:r>
                    <w:rPr>
                      <w:rFonts w:hint="eastAsia" w:ascii="宋体" w:hAnsi="宋体" w:cs="宋体"/>
                      <w:bCs/>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tcBorders>
                    <w:bottom w:val="single" w:color="auto" w:sz="6" w:space="0"/>
                  </w:tcBorders>
                  <w:shd w:val="clear" w:color="auto" w:fill="auto"/>
                  <w:vAlign w:val="center"/>
                </w:tcPr>
                <w:p>
                  <w:pPr>
                    <w:pStyle w:val="164"/>
                    <w:rPr>
                      <w:bCs/>
                      <w:color w:val="FF0000"/>
                    </w:rPr>
                  </w:pPr>
                </w:p>
              </w:tc>
              <w:tc>
                <w:tcPr>
                  <w:tcW w:w="1276" w:type="dxa"/>
                  <w:vMerge w:val="restart"/>
                  <w:shd w:val="clear" w:color="auto" w:fill="auto"/>
                  <w:vAlign w:val="center"/>
                </w:tcPr>
                <w:p>
                  <w:pPr>
                    <w:pStyle w:val="164"/>
                    <w:rPr>
                      <w:bCs/>
                    </w:rPr>
                  </w:pPr>
                  <w:r>
                    <w:rPr>
                      <w:rFonts w:hint="eastAsia" w:ascii="宋体" w:hAnsi="宋体" w:cs="宋体"/>
                      <w:bCs/>
                    </w:rPr>
                    <w:t>废气处理</w:t>
                  </w:r>
                </w:p>
              </w:tc>
              <w:tc>
                <w:tcPr>
                  <w:tcW w:w="800" w:type="dxa"/>
                  <w:tcBorders>
                    <w:right w:val="single" w:color="auto" w:sz="4" w:space="0"/>
                  </w:tcBorders>
                  <w:shd w:val="clear" w:color="auto" w:fill="auto"/>
                  <w:vAlign w:val="center"/>
                </w:tcPr>
                <w:p>
                  <w:pPr>
                    <w:pStyle w:val="164"/>
                    <w:rPr>
                      <w:bCs/>
                    </w:rPr>
                  </w:pPr>
                  <w:r>
                    <w:rPr>
                      <w:rFonts w:hint="eastAsia"/>
                      <w:bCs/>
                    </w:rPr>
                    <w:t>1#</w:t>
                  </w:r>
                  <w:r>
                    <w:rPr>
                      <w:rFonts w:hint="eastAsia" w:ascii="宋体" w:hAnsi="宋体" w:cs="宋体"/>
                      <w:bCs/>
                    </w:rPr>
                    <w:t>涂装废气处理设施</w:t>
                  </w:r>
                </w:p>
              </w:tc>
              <w:tc>
                <w:tcPr>
                  <w:tcW w:w="5327" w:type="dxa"/>
                  <w:tcBorders>
                    <w:left w:val="single" w:color="auto" w:sz="4" w:space="0"/>
                  </w:tcBorders>
                  <w:shd w:val="clear" w:color="auto" w:fill="auto"/>
                  <w:vAlign w:val="center"/>
                </w:tcPr>
                <w:p>
                  <w:pPr>
                    <w:pStyle w:val="164"/>
                    <w:rPr>
                      <w:bCs/>
                    </w:rPr>
                  </w:pPr>
                  <w:r>
                    <w:rPr>
                      <w:rFonts w:hint="eastAsia" w:ascii="宋体" w:hAnsi="宋体" w:cs="宋体"/>
                      <w:bCs/>
                    </w:rPr>
                    <w:t>对</w:t>
                  </w:r>
                  <w:r>
                    <w:rPr>
                      <w:rFonts w:hint="eastAsia"/>
                      <w:bCs/>
                    </w:rPr>
                    <w:t>1#</w:t>
                  </w:r>
                  <w:r>
                    <w:rPr>
                      <w:rFonts w:hint="eastAsia" w:ascii="宋体" w:hAnsi="宋体" w:cs="宋体"/>
                      <w:bCs/>
                    </w:rPr>
                    <w:t>涂装线（底漆）涂装废气（喷涂废气、烘晾干废气进行处理）进行处理，设计处理能力</w:t>
                  </w:r>
                  <w:r>
                    <w:rPr>
                      <w:rFonts w:hint="eastAsia"/>
                      <w:bCs/>
                      <w:lang w:val="en-US"/>
                    </w:rPr>
                    <w:t>8</w:t>
                  </w:r>
                  <w:r>
                    <w:rPr>
                      <w:rFonts w:hint="eastAsia"/>
                      <w:bCs/>
                    </w:rPr>
                    <w:t>0000m³/h</w:t>
                  </w:r>
                  <w:r>
                    <w:rPr>
                      <w:rFonts w:hint="eastAsia" w:ascii="宋体" w:hAnsi="宋体" w:cs="宋体"/>
                      <w:bCs/>
                    </w:rPr>
                    <w:t>，处理工艺由</w:t>
                  </w:r>
                  <w:r>
                    <w:rPr>
                      <w:rFonts w:ascii="Calibri" w:hAnsi="Calibri" w:cs="Calibri"/>
                      <w:bCs/>
                    </w:rPr>
                    <w:t>“</w:t>
                  </w:r>
                  <w:r>
                    <w:rPr>
                      <w:rFonts w:hint="eastAsia" w:ascii="宋体" w:hAnsi="宋体" w:cs="宋体"/>
                      <w:bCs/>
                    </w:rPr>
                    <w:t>活性炭吸附</w:t>
                  </w:r>
                  <w:r>
                    <w:rPr>
                      <w:rFonts w:ascii="Calibri" w:hAnsi="Calibri" w:cs="Calibri"/>
                      <w:bCs/>
                    </w:rPr>
                    <w:t>”</w:t>
                  </w:r>
                  <w:r>
                    <w:rPr>
                      <w:rFonts w:hint="eastAsia" w:ascii="宋体" w:hAnsi="宋体" w:cs="宋体"/>
                      <w:bCs/>
                    </w:rPr>
                    <w:t>变为</w:t>
                  </w:r>
                  <w:r>
                    <w:rPr>
                      <w:rFonts w:ascii="Calibri" w:hAnsi="Calibri" w:cs="Calibri"/>
                      <w:bCs/>
                    </w:rPr>
                    <w:t>“</w:t>
                  </w:r>
                  <w:r>
                    <w:rPr>
                      <w:rFonts w:hint="eastAsia" w:ascii="宋体" w:hAnsi="宋体" w:cs="宋体"/>
                    </w:rPr>
                    <w:t>湿式过滤+干式过滤+活性炭吸附浓缩+解析（催化燃烧）</w:t>
                  </w:r>
                  <w:r>
                    <w:rPr>
                      <w:rFonts w:hint="eastAsia"/>
                      <w:bCs/>
                    </w:rPr>
                    <w:t>”</w:t>
                  </w:r>
                  <w:r>
                    <w:rPr>
                      <w:rFonts w:hint="eastAsia" w:ascii="宋体" w:hAnsi="宋体" w:cs="宋体"/>
                      <w:bCs/>
                    </w:rPr>
                    <w:t>，处理后通过</w:t>
                  </w:r>
                  <w:r>
                    <w:rPr>
                      <w:rFonts w:hint="eastAsia"/>
                      <w:bCs/>
                    </w:rPr>
                    <w:t>15m</w:t>
                  </w:r>
                  <w:r>
                    <w:rPr>
                      <w:rFonts w:hint="eastAsia" w:ascii="宋体" w:hAnsi="宋体" w:cs="宋体"/>
                      <w:bCs/>
                    </w:rPr>
                    <w:t>排气筒高空排放（排气筒编号</w:t>
                  </w:r>
                  <w:r>
                    <w:rPr>
                      <w:rFonts w:hint="eastAsia"/>
                      <w:bCs/>
                    </w:rPr>
                    <w:t>DA001</w:t>
                  </w:r>
                  <w:r>
                    <w:rPr>
                      <w:rFonts w:hint="eastAsia" w:ascii="宋体" w:hAnsi="宋体" w:cs="宋体"/>
                      <w:bCs/>
                    </w:rPr>
                    <w:t>）</w:t>
                  </w:r>
                </w:p>
              </w:tc>
              <w:tc>
                <w:tcPr>
                  <w:tcW w:w="652" w:type="dxa"/>
                  <w:tcBorders>
                    <w:bottom w:val="single" w:color="auto" w:sz="4" w:space="0"/>
                  </w:tcBorders>
                  <w:shd w:val="clear" w:color="auto" w:fill="auto"/>
                  <w:vAlign w:val="center"/>
                </w:tcPr>
                <w:p>
                  <w:pPr>
                    <w:pStyle w:val="164"/>
                    <w:rPr>
                      <w:bCs/>
                    </w:rPr>
                  </w:pPr>
                  <w:r>
                    <w:rPr>
                      <w:rFonts w:hint="eastAsia" w:ascii="宋体" w:hAnsi="宋体" w:cs="宋体"/>
                      <w:bCs/>
                    </w:rPr>
                    <w:t>以新带老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tcBorders>
                    <w:bottom w:val="single" w:color="auto" w:sz="6" w:space="0"/>
                  </w:tcBorders>
                  <w:shd w:val="clear" w:color="auto" w:fill="auto"/>
                  <w:vAlign w:val="center"/>
                </w:tcPr>
                <w:p>
                  <w:pPr>
                    <w:pStyle w:val="164"/>
                    <w:rPr>
                      <w:bCs/>
                      <w:color w:val="FF0000"/>
                    </w:rPr>
                  </w:pPr>
                </w:p>
              </w:tc>
              <w:tc>
                <w:tcPr>
                  <w:tcW w:w="1276" w:type="dxa"/>
                  <w:vMerge w:val="continue"/>
                  <w:shd w:val="clear" w:color="auto" w:fill="auto"/>
                  <w:vAlign w:val="center"/>
                </w:tcPr>
                <w:p>
                  <w:pPr>
                    <w:pStyle w:val="164"/>
                    <w:rPr>
                      <w:bCs/>
                    </w:rPr>
                  </w:pPr>
                </w:p>
              </w:tc>
              <w:tc>
                <w:tcPr>
                  <w:tcW w:w="800" w:type="dxa"/>
                  <w:tcBorders>
                    <w:right w:val="single" w:color="auto" w:sz="4" w:space="0"/>
                  </w:tcBorders>
                  <w:shd w:val="clear" w:color="auto" w:fill="auto"/>
                  <w:vAlign w:val="center"/>
                </w:tcPr>
                <w:p>
                  <w:pPr>
                    <w:pStyle w:val="164"/>
                    <w:rPr>
                      <w:bCs/>
                    </w:rPr>
                  </w:pPr>
                  <w:r>
                    <w:rPr>
                      <w:rFonts w:hint="eastAsia"/>
                      <w:bCs/>
                    </w:rPr>
                    <w:t>2#</w:t>
                  </w:r>
                  <w:r>
                    <w:rPr>
                      <w:rFonts w:hint="eastAsia" w:ascii="宋体" w:hAnsi="宋体" w:cs="宋体"/>
                      <w:bCs/>
                    </w:rPr>
                    <w:t>涂装废气处理设施</w:t>
                  </w:r>
                </w:p>
              </w:tc>
              <w:tc>
                <w:tcPr>
                  <w:tcW w:w="5327" w:type="dxa"/>
                  <w:tcBorders>
                    <w:left w:val="single" w:color="auto" w:sz="4" w:space="0"/>
                  </w:tcBorders>
                  <w:shd w:val="clear" w:color="auto" w:fill="auto"/>
                  <w:vAlign w:val="center"/>
                </w:tcPr>
                <w:p>
                  <w:pPr>
                    <w:pStyle w:val="164"/>
                    <w:rPr>
                      <w:bCs/>
                    </w:rPr>
                  </w:pPr>
                  <w:r>
                    <w:rPr>
                      <w:rFonts w:hint="eastAsia" w:ascii="宋体" w:hAnsi="宋体" w:cs="宋体"/>
                      <w:bCs/>
                    </w:rPr>
                    <w:t>对</w:t>
                  </w:r>
                  <w:r>
                    <w:rPr>
                      <w:rFonts w:hint="eastAsia"/>
                      <w:bCs/>
                    </w:rPr>
                    <w:t>2#</w:t>
                  </w:r>
                  <w:r>
                    <w:rPr>
                      <w:rFonts w:hint="eastAsia" w:ascii="宋体" w:hAnsi="宋体" w:cs="宋体"/>
                      <w:bCs/>
                    </w:rPr>
                    <w:t>涂装线（面漆）及</w:t>
                  </w:r>
                  <w:r>
                    <w:rPr>
                      <w:rFonts w:hint="eastAsia"/>
                      <w:bCs/>
                    </w:rPr>
                    <w:t>UV</w:t>
                  </w:r>
                  <w:r>
                    <w:rPr>
                      <w:rFonts w:hint="eastAsia" w:ascii="宋体" w:hAnsi="宋体" w:cs="宋体"/>
                      <w:bCs/>
                    </w:rPr>
                    <w:t>涂装线涂装废气（喷涂废气、烘晾干、固化废气废气进行处理），设计处理能力</w:t>
                  </w:r>
                  <w:r>
                    <w:rPr>
                      <w:rFonts w:hint="eastAsia"/>
                      <w:bCs/>
                    </w:rPr>
                    <w:t>120000m³/h</w:t>
                  </w:r>
                  <w:r>
                    <w:rPr>
                      <w:rFonts w:hint="eastAsia" w:ascii="宋体" w:hAnsi="宋体" w:cs="宋体"/>
                      <w:bCs/>
                    </w:rPr>
                    <w:t>，处理工艺</w:t>
                  </w:r>
                  <w:r>
                    <w:rPr>
                      <w:rFonts w:hint="eastAsia"/>
                      <w:bCs/>
                    </w:rPr>
                    <w:t>“</w:t>
                  </w:r>
                  <w:r>
                    <w:rPr>
                      <w:rFonts w:hint="eastAsia" w:ascii="宋体" w:hAnsi="宋体" w:cs="宋体"/>
                      <w:bCs/>
                    </w:rPr>
                    <w:t>活性炭吸附</w:t>
                  </w:r>
                  <w:r>
                    <w:rPr>
                      <w:rFonts w:ascii="Calibri" w:hAnsi="Calibri" w:cs="Calibri"/>
                      <w:bCs/>
                    </w:rPr>
                    <w:t>”</w:t>
                  </w:r>
                  <w:r>
                    <w:rPr>
                      <w:rFonts w:hint="eastAsia" w:ascii="宋体" w:hAnsi="宋体" w:cs="宋体"/>
                      <w:bCs/>
                    </w:rPr>
                    <w:t>变为</w:t>
                  </w:r>
                  <w:r>
                    <w:rPr>
                      <w:rFonts w:ascii="Calibri" w:hAnsi="Calibri" w:cs="Calibri"/>
                      <w:bCs/>
                    </w:rPr>
                    <w:t>“</w:t>
                  </w:r>
                  <w:r>
                    <w:rPr>
                      <w:rFonts w:hint="eastAsia" w:ascii="宋体" w:hAnsi="宋体" w:cs="宋体"/>
                    </w:rPr>
                    <w:t>湿式过滤+干式过滤+活性炭吸附浓缩+解析（催化燃烧）</w:t>
                  </w:r>
                  <w:r>
                    <w:rPr>
                      <w:rFonts w:hint="eastAsia"/>
                      <w:bCs/>
                    </w:rPr>
                    <w:t>”</w:t>
                  </w:r>
                  <w:r>
                    <w:rPr>
                      <w:rFonts w:hint="eastAsia" w:ascii="宋体" w:hAnsi="宋体" w:cs="宋体"/>
                      <w:bCs/>
                    </w:rPr>
                    <w:t>，处理后通过</w:t>
                  </w:r>
                  <w:r>
                    <w:rPr>
                      <w:rFonts w:hint="eastAsia"/>
                      <w:bCs/>
                    </w:rPr>
                    <w:t>15m</w:t>
                  </w:r>
                  <w:r>
                    <w:rPr>
                      <w:rFonts w:hint="eastAsia" w:ascii="宋体" w:hAnsi="宋体" w:cs="宋体"/>
                      <w:bCs/>
                    </w:rPr>
                    <w:t>排气筒高空排放（排气筒编号</w:t>
                  </w:r>
                  <w:r>
                    <w:rPr>
                      <w:rFonts w:hint="eastAsia"/>
                      <w:bCs/>
                    </w:rPr>
                    <w:t>DA002</w:t>
                  </w:r>
                  <w:r>
                    <w:rPr>
                      <w:rFonts w:hint="eastAsia" w:ascii="宋体" w:hAnsi="宋体" w:cs="宋体"/>
                      <w:bCs/>
                    </w:rPr>
                    <w:t>）</w:t>
                  </w:r>
                </w:p>
              </w:tc>
              <w:tc>
                <w:tcPr>
                  <w:tcW w:w="652" w:type="dxa"/>
                  <w:tcBorders>
                    <w:bottom w:val="single" w:color="auto" w:sz="4" w:space="0"/>
                  </w:tcBorders>
                  <w:shd w:val="clear" w:color="auto" w:fill="auto"/>
                  <w:vAlign w:val="center"/>
                </w:tcPr>
                <w:p>
                  <w:pPr>
                    <w:pStyle w:val="164"/>
                    <w:rPr>
                      <w:bCs/>
                    </w:rPr>
                  </w:pPr>
                  <w:r>
                    <w:rPr>
                      <w:rFonts w:hint="eastAsia" w:ascii="宋体" w:hAnsi="宋体" w:cs="宋体"/>
                      <w:bCs/>
                    </w:rPr>
                    <w:t>以新带老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tcBorders>
                    <w:bottom w:val="single" w:color="auto" w:sz="6" w:space="0"/>
                  </w:tcBorders>
                  <w:shd w:val="clear" w:color="auto" w:fill="auto"/>
                  <w:vAlign w:val="center"/>
                </w:tcPr>
                <w:p>
                  <w:pPr>
                    <w:pStyle w:val="164"/>
                    <w:rPr>
                      <w:bCs/>
                      <w:color w:val="FF0000"/>
                    </w:rPr>
                  </w:pPr>
                </w:p>
              </w:tc>
              <w:tc>
                <w:tcPr>
                  <w:tcW w:w="1276" w:type="dxa"/>
                  <w:vMerge w:val="continue"/>
                  <w:shd w:val="clear" w:color="auto" w:fill="auto"/>
                  <w:vAlign w:val="center"/>
                </w:tcPr>
                <w:p>
                  <w:pPr>
                    <w:pStyle w:val="164"/>
                    <w:rPr>
                      <w:bCs/>
                    </w:rPr>
                  </w:pPr>
                </w:p>
              </w:tc>
              <w:tc>
                <w:tcPr>
                  <w:tcW w:w="800" w:type="dxa"/>
                  <w:tcBorders>
                    <w:right w:val="single" w:color="auto" w:sz="4" w:space="0"/>
                  </w:tcBorders>
                  <w:shd w:val="clear" w:color="auto" w:fill="auto"/>
                  <w:vAlign w:val="center"/>
                </w:tcPr>
                <w:p>
                  <w:pPr>
                    <w:pStyle w:val="164"/>
                    <w:rPr>
                      <w:bCs/>
                    </w:rPr>
                  </w:pPr>
                  <w:r>
                    <w:rPr>
                      <w:rFonts w:hint="eastAsia"/>
                      <w:bCs/>
                    </w:rPr>
                    <w:t>3#</w:t>
                  </w:r>
                  <w:r>
                    <w:rPr>
                      <w:rFonts w:hint="eastAsia" w:ascii="宋体" w:hAnsi="宋体" w:cs="宋体"/>
                      <w:bCs/>
                    </w:rPr>
                    <w:t>涂装废气处理设施</w:t>
                  </w:r>
                </w:p>
              </w:tc>
              <w:tc>
                <w:tcPr>
                  <w:tcW w:w="5327" w:type="dxa"/>
                  <w:tcBorders>
                    <w:left w:val="single" w:color="auto" w:sz="4" w:space="0"/>
                  </w:tcBorders>
                  <w:shd w:val="clear" w:color="auto" w:fill="auto"/>
                  <w:vAlign w:val="center"/>
                </w:tcPr>
                <w:p>
                  <w:pPr>
                    <w:pStyle w:val="164"/>
                    <w:rPr>
                      <w:rFonts w:ascii="宋体" w:hAnsi="宋体" w:cs="宋体"/>
                    </w:rPr>
                  </w:pPr>
                  <w:r>
                    <w:rPr>
                      <w:rFonts w:hint="eastAsia" w:ascii="宋体" w:hAnsi="宋体" w:cs="宋体"/>
                    </w:rPr>
                    <w:t>对3#涂装线（底漆）涂装废气（喷涂废气、烘晾干废气进行处理），设计处理能力60000m³/h，处理工艺为</w:t>
                  </w:r>
                  <w:r>
                    <w:rPr>
                      <w:rFonts w:ascii="Calibri" w:hAnsi="Calibri" w:cs="Calibri"/>
                    </w:rPr>
                    <w:t>“</w:t>
                  </w:r>
                  <w:r>
                    <w:rPr>
                      <w:rFonts w:hint="eastAsia" w:ascii="宋体" w:hAnsi="宋体" w:cs="宋体"/>
                    </w:rPr>
                    <w:t>湿式过滤+干式过滤+活性炭吸附浓缩+解析（催化燃烧）”，处理后通过15m排气筒高空排放（排气筒编号DA007）</w:t>
                  </w:r>
                </w:p>
              </w:tc>
              <w:tc>
                <w:tcPr>
                  <w:tcW w:w="652" w:type="dxa"/>
                  <w:tcBorders>
                    <w:bottom w:val="single" w:color="auto" w:sz="4" w:space="0"/>
                  </w:tcBorders>
                  <w:shd w:val="clear" w:color="auto" w:fill="auto"/>
                  <w:vAlign w:val="center"/>
                </w:tcPr>
                <w:p>
                  <w:pPr>
                    <w:pStyle w:val="164"/>
                    <w:rPr>
                      <w:bCs/>
                    </w:rPr>
                  </w:pPr>
                  <w:r>
                    <w:rPr>
                      <w:rFonts w:hint="eastAsia" w:ascii="宋体" w:hAnsi="宋体" w:cs="宋体"/>
                      <w:bCs/>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tcBorders>
                    <w:bottom w:val="single" w:color="auto" w:sz="6" w:space="0"/>
                  </w:tcBorders>
                  <w:shd w:val="clear" w:color="auto" w:fill="auto"/>
                  <w:vAlign w:val="center"/>
                </w:tcPr>
                <w:p>
                  <w:pPr>
                    <w:pStyle w:val="164"/>
                    <w:rPr>
                      <w:bCs/>
                      <w:color w:val="FF0000"/>
                    </w:rPr>
                  </w:pPr>
                </w:p>
              </w:tc>
              <w:tc>
                <w:tcPr>
                  <w:tcW w:w="1276" w:type="dxa"/>
                  <w:vMerge w:val="continue"/>
                  <w:shd w:val="clear" w:color="auto" w:fill="auto"/>
                  <w:vAlign w:val="center"/>
                </w:tcPr>
                <w:p>
                  <w:pPr>
                    <w:pStyle w:val="164"/>
                    <w:rPr>
                      <w:bCs/>
                    </w:rPr>
                  </w:pPr>
                </w:p>
              </w:tc>
              <w:tc>
                <w:tcPr>
                  <w:tcW w:w="800" w:type="dxa"/>
                  <w:tcBorders>
                    <w:right w:val="single" w:color="auto" w:sz="4" w:space="0"/>
                  </w:tcBorders>
                  <w:shd w:val="clear" w:color="auto" w:fill="auto"/>
                  <w:vAlign w:val="center"/>
                </w:tcPr>
                <w:p>
                  <w:pPr>
                    <w:pStyle w:val="164"/>
                    <w:rPr>
                      <w:bCs/>
                    </w:rPr>
                  </w:pPr>
                  <w:r>
                    <w:rPr>
                      <w:rFonts w:hint="eastAsia"/>
                      <w:bCs/>
                    </w:rPr>
                    <w:t>4#</w:t>
                  </w:r>
                  <w:r>
                    <w:rPr>
                      <w:rFonts w:hint="eastAsia" w:ascii="宋体" w:hAnsi="宋体" w:cs="宋体"/>
                      <w:bCs/>
                    </w:rPr>
                    <w:t>涂装废气处理设施</w:t>
                  </w:r>
                </w:p>
              </w:tc>
              <w:tc>
                <w:tcPr>
                  <w:tcW w:w="5327" w:type="dxa"/>
                  <w:tcBorders>
                    <w:left w:val="single" w:color="auto" w:sz="4" w:space="0"/>
                  </w:tcBorders>
                  <w:shd w:val="clear" w:color="auto" w:fill="auto"/>
                  <w:vAlign w:val="center"/>
                </w:tcPr>
                <w:p>
                  <w:pPr>
                    <w:pStyle w:val="164"/>
                    <w:rPr>
                      <w:rFonts w:ascii="宋体" w:hAnsi="宋体" w:cs="宋体"/>
                    </w:rPr>
                  </w:pPr>
                  <w:r>
                    <w:rPr>
                      <w:rFonts w:hint="eastAsia" w:ascii="宋体" w:hAnsi="宋体" w:cs="宋体"/>
                    </w:rPr>
                    <w:t>对4#涂装线（面漆）废气（喷涂废气、烘晾干废气进行处理），设计处理能力80000m³/h，处理工艺为</w:t>
                  </w:r>
                  <w:r>
                    <w:rPr>
                      <w:rFonts w:ascii="Calibri" w:hAnsi="Calibri" w:cs="Calibri"/>
                    </w:rPr>
                    <w:t>“</w:t>
                  </w:r>
                  <w:r>
                    <w:rPr>
                      <w:rFonts w:hint="eastAsia" w:ascii="宋体" w:hAnsi="宋体" w:cs="宋体"/>
                    </w:rPr>
                    <w:t>湿式过滤+干式过滤+活性炭吸附浓缩+解析（催化燃烧）”，处理后通过15m排气筒高空排放（排气筒编号DA008）</w:t>
                  </w:r>
                </w:p>
              </w:tc>
              <w:tc>
                <w:tcPr>
                  <w:tcW w:w="652" w:type="dxa"/>
                  <w:tcBorders>
                    <w:bottom w:val="single" w:color="auto" w:sz="4" w:space="0"/>
                  </w:tcBorders>
                  <w:shd w:val="clear" w:color="auto" w:fill="auto"/>
                  <w:vAlign w:val="center"/>
                </w:tcPr>
                <w:p>
                  <w:pPr>
                    <w:pStyle w:val="164"/>
                    <w:rPr>
                      <w:bCs/>
                    </w:rPr>
                  </w:pPr>
                  <w:r>
                    <w:rPr>
                      <w:rFonts w:hint="eastAsia" w:ascii="宋体" w:hAnsi="宋体" w:cs="宋体"/>
                      <w:bCs/>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tcBorders>
                    <w:bottom w:val="single" w:color="auto" w:sz="6" w:space="0"/>
                  </w:tcBorders>
                  <w:shd w:val="clear" w:color="auto" w:fill="auto"/>
                  <w:vAlign w:val="center"/>
                </w:tcPr>
                <w:p>
                  <w:pPr>
                    <w:pStyle w:val="164"/>
                    <w:rPr>
                      <w:bCs/>
                      <w:color w:val="FF0000"/>
                    </w:rPr>
                  </w:pPr>
                </w:p>
              </w:tc>
              <w:tc>
                <w:tcPr>
                  <w:tcW w:w="1276" w:type="dxa"/>
                  <w:vMerge w:val="continue"/>
                  <w:shd w:val="clear" w:color="auto" w:fill="auto"/>
                  <w:vAlign w:val="center"/>
                </w:tcPr>
                <w:p>
                  <w:pPr>
                    <w:pStyle w:val="164"/>
                    <w:rPr>
                      <w:bCs/>
                    </w:rPr>
                  </w:pPr>
                </w:p>
              </w:tc>
              <w:tc>
                <w:tcPr>
                  <w:tcW w:w="800" w:type="dxa"/>
                  <w:tcBorders>
                    <w:right w:val="single" w:color="auto" w:sz="4" w:space="0"/>
                  </w:tcBorders>
                  <w:shd w:val="clear" w:color="auto" w:fill="auto"/>
                  <w:vAlign w:val="center"/>
                </w:tcPr>
                <w:p>
                  <w:pPr>
                    <w:pStyle w:val="164"/>
                    <w:rPr>
                      <w:bCs/>
                    </w:rPr>
                  </w:pPr>
                  <w:r>
                    <w:rPr>
                      <w:rFonts w:hint="eastAsia"/>
                      <w:bCs/>
                    </w:rPr>
                    <w:t>5#</w:t>
                  </w:r>
                  <w:r>
                    <w:rPr>
                      <w:rFonts w:hint="eastAsia" w:ascii="宋体" w:hAnsi="宋体" w:cs="宋体"/>
                      <w:bCs/>
                    </w:rPr>
                    <w:t>中央除尘器</w:t>
                  </w:r>
                </w:p>
              </w:tc>
              <w:tc>
                <w:tcPr>
                  <w:tcW w:w="5327" w:type="dxa"/>
                  <w:tcBorders>
                    <w:left w:val="single" w:color="auto" w:sz="4" w:space="0"/>
                  </w:tcBorders>
                  <w:shd w:val="clear" w:color="auto" w:fill="auto"/>
                  <w:vAlign w:val="center"/>
                </w:tcPr>
                <w:p>
                  <w:pPr>
                    <w:pStyle w:val="164"/>
                    <w:rPr>
                      <w:bCs/>
                    </w:rPr>
                  </w:pPr>
                  <w:r>
                    <w:rPr>
                      <w:rFonts w:hint="eastAsia" w:ascii="宋体" w:hAnsi="宋体" w:cs="宋体"/>
                      <w:bCs/>
                    </w:rPr>
                    <w:t>对</w:t>
                  </w:r>
                  <w:r>
                    <w:rPr>
                      <w:rFonts w:hint="eastAsia"/>
                      <w:bCs/>
                    </w:rPr>
                    <w:t>2#</w:t>
                  </w:r>
                  <w:r>
                    <w:rPr>
                      <w:rFonts w:hint="eastAsia" w:ascii="宋体" w:hAnsi="宋体" w:cs="宋体"/>
                      <w:bCs/>
                    </w:rPr>
                    <w:t>、</w:t>
                  </w:r>
                  <w:r>
                    <w:rPr>
                      <w:rFonts w:hint="eastAsia"/>
                      <w:bCs/>
                    </w:rPr>
                    <w:t>3#</w:t>
                  </w:r>
                  <w:r>
                    <w:rPr>
                      <w:rFonts w:hint="eastAsia" w:ascii="宋体" w:hAnsi="宋体" w:cs="宋体"/>
                      <w:bCs/>
                    </w:rPr>
                    <w:t>木工加工车间及</w:t>
                  </w:r>
                  <w:r>
                    <w:rPr>
                      <w:rFonts w:hint="eastAsia"/>
                      <w:bCs/>
                    </w:rPr>
                    <w:t>2#</w:t>
                  </w:r>
                  <w:r>
                    <w:rPr>
                      <w:rFonts w:hint="eastAsia" w:ascii="宋体" w:hAnsi="宋体" w:cs="宋体"/>
                      <w:bCs/>
                    </w:rPr>
                    <w:t>组装车间含尘废气进行收集处理，处理工艺为布袋除尘器，设计处理能力为</w:t>
                  </w:r>
                  <w:r>
                    <w:rPr>
                      <w:rFonts w:hint="eastAsia"/>
                      <w:bCs/>
                    </w:rPr>
                    <w:t>80000 m³/h</w:t>
                  </w:r>
                  <w:r>
                    <w:rPr>
                      <w:rFonts w:hint="eastAsia" w:ascii="宋体" w:hAnsi="宋体" w:cs="宋体"/>
                      <w:bCs/>
                    </w:rPr>
                    <w:t>。处理后通过</w:t>
                  </w:r>
                  <w:r>
                    <w:rPr>
                      <w:rFonts w:hint="eastAsia"/>
                      <w:bCs/>
                    </w:rPr>
                    <w:t>15m</w:t>
                  </w:r>
                  <w:r>
                    <w:rPr>
                      <w:rFonts w:hint="eastAsia" w:ascii="宋体" w:hAnsi="宋体" w:cs="宋体"/>
                      <w:bCs/>
                    </w:rPr>
                    <w:t>排气筒高空排放（排气筒编号</w:t>
                  </w:r>
                  <w:r>
                    <w:rPr>
                      <w:rFonts w:hint="eastAsia"/>
                      <w:bCs/>
                    </w:rPr>
                    <w:t>DA009</w:t>
                  </w:r>
                  <w:r>
                    <w:rPr>
                      <w:rFonts w:hint="eastAsia" w:ascii="宋体" w:hAnsi="宋体" w:cs="宋体"/>
                      <w:bCs/>
                    </w:rPr>
                    <w:t>）。</w:t>
                  </w:r>
                </w:p>
              </w:tc>
              <w:tc>
                <w:tcPr>
                  <w:tcW w:w="652" w:type="dxa"/>
                  <w:tcBorders>
                    <w:bottom w:val="single" w:color="auto" w:sz="4" w:space="0"/>
                  </w:tcBorders>
                  <w:shd w:val="clear" w:color="auto" w:fill="auto"/>
                  <w:vAlign w:val="center"/>
                </w:tcPr>
                <w:p>
                  <w:pPr>
                    <w:pStyle w:val="164"/>
                    <w:rPr>
                      <w:bCs/>
                    </w:rPr>
                  </w:pPr>
                  <w:r>
                    <w:rPr>
                      <w:rFonts w:hint="eastAsia" w:ascii="宋体" w:hAnsi="宋体" w:cs="宋体"/>
                      <w:bCs/>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tcBorders>
                    <w:bottom w:val="single" w:color="auto" w:sz="6" w:space="0"/>
                  </w:tcBorders>
                  <w:shd w:val="clear" w:color="auto" w:fill="auto"/>
                  <w:vAlign w:val="center"/>
                </w:tcPr>
                <w:p>
                  <w:pPr>
                    <w:pStyle w:val="164"/>
                    <w:rPr>
                      <w:bCs/>
                      <w:color w:val="FF0000"/>
                    </w:rPr>
                  </w:pPr>
                </w:p>
              </w:tc>
              <w:tc>
                <w:tcPr>
                  <w:tcW w:w="1276" w:type="dxa"/>
                  <w:vMerge w:val="continue"/>
                  <w:shd w:val="clear" w:color="auto" w:fill="auto"/>
                  <w:vAlign w:val="center"/>
                </w:tcPr>
                <w:p>
                  <w:pPr>
                    <w:pStyle w:val="164"/>
                    <w:rPr>
                      <w:bCs/>
                    </w:rPr>
                  </w:pPr>
                </w:p>
              </w:tc>
              <w:tc>
                <w:tcPr>
                  <w:tcW w:w="800" w:type="dxa"/>
                  <w:tcBorders>
                    <w:right w:val="single" w:color="auto" w:sz="4" w:space="0"/>
                  </w:tcBorders>
                  <w:shd w:val="clear" w:color="auto" w:fill="auto"/>
                  <w:vAlign w:val="center"/>
                </w:tcPr>
                <w:p>
                  <w:pPr>
                    <w:pStyle w:val="164"/>
                    <w:rPr>
                      <w:bCs/>
                    </w:rPr>
                  </w:pPr>
                  <w:r>
                    <w:rPr>
                      <w:rFonts w:hint="eastAsia"/>
                      <w:bCs/>
                    </w:rPr>
                    <w:t>1#-4#</w:t>
                  </w:r>
                  <w:r>
                    <w:rPr>
                      <w:rFonts w:hint="eastAsia" w:ascii="宋体" w:hAnsi="宋体" w:cs="宋体"/>
                      <w:bCs/>
                    </w:rPr>
                    <w:t>中央除尘器</w:t>
                  </w:r>
                </w:p>
              </w:tc>
              <w:tc>
                <w:tcPr>
                  <w:tcW w:w="5327" w:type="dxa"/>
                  <w:tcBorders>
                    <w:left w:val="single" w:color="auto" w:sz="4" w:space="0"/>
                  </w:tcBorders>
                  <w:shd w:val="clear" w:color="auto" w:fill="auto"/>
                  <w:vAlign w:val="center"/>
                </w:tcPr>
                <w:p>
                  <w:pPr>
                    <w:pStyle w:val="164"/>
                    <w:rPr>
                      <w:bCs/>
                    </w:rPr>
                  </w:pPr>
                  <w:r>
                    <w:rPr>
                      <w:rFonts w:hint="eastAsia" w:ascii="宋体" w:hAnsi="宋体" w:cs="宋体"/>
                      <w:bCs/>
                    </w:rPr>
                    <w:t>对</w:t>
                  </w:r>
                  <w:r>
                    <w:rPr>
                      <w:rFonts w:hint="eastAsia"/>
                      <w:bCs/>
                    </w:rPr>
                    <w:t>1#</w:t>
                  </w:r>
                  <w:r>
                    <w:rPr>
                      <w:rFonts w:hint="eastAsia" w:ascii="宋体" w:hAnsi="宋体" w:cs="宋体"/>
                      <w:bCs/>
                    </w:rPr>
                    <w:t>木工加工车间及</w:t>
                  </w:r>
                  <w:r>
                    <w:rPr>
                      <w:rFonts w:hint="eastAsia"/>
                      <w:bCs/>
                    </w:rPr>
                    <w:t>1#</w:t>
                  </w:r>
                  <w:r>
                    <w:rPr>
                      <w:rFonts w:hint="eastAsia" w:ascii="宋体" w:hAnsi="宋体" w:cs="宋体"/>
                      <w:bCs/>
                    </w:rPr>
                    <w:t>组装车间含尘废气进行收集处理，处理工艺为布袋除尘器，设计处理能力为</w:t>
                  </w:r>
                  <w:r>
                    <w:rPr>
                      <w:rFonts w:hint="eastAsia"/>
                      <w:bCs/>
                    </w:rPr>
                    <w:t>1#30000 m³/h</w:t>
                  </w:r>
                  <w:r>
                    <w:rPr>
                      <w:rFonts w:hint="eastAsia" w:ascii="宋体" w:hAnsi="宋体" w:cs="宋体"/>
                      <w:bCs/>
                    </w:rPr>
                    <w:t>、</w:t>
                  </w:r>
                  <w:r>
                    <w:rPr>
                      <w:rFonts w:hint="eastAsia"/>
                      <w:bCs/>
                    </w:rPr>
                    <w:t>2#30000 m³/h</w:t>
                  </w:r>
                  <w:r>
                    <w:rPr>
                      <w:rFonts w:hint="eastAsia" w:ascii="宋体" w:hAnsi="宋体" w:cs="宋体"/>
                      <w:bCs/>
                    </w:rPr>
                    <w:t>、</w:t>
                  </w:r>
                  <w:r>
                    <w:rPr>
                      <w:rFonts w:hint="eastAsia"/>
                      <w:bCs/>
                    </w:rPr>
                    <w:t>3#20000 m³/h</w:t>
                  </w:r>
                  <w:r>
                    <w:rPr>
                      <w:rFonts w:hint="eastAsia" w:ascii="宋体" w:hAnsi="宋体" w:cs="宋体"/>
                      <w:bCs/>
                    </w:rPr>
                    <w:t>、</w:t>
                  </w:r>
                  <w:r>
                    <w:rPr>
                      <w:rFonts w:hint="eastAsia"/>
                      <w:bCs/>
                    </w:rPr>
                    <w:t>4#20000 m³/h</w:t>
                  </w:r>
                  <w:r>
                    <w:rPr>
                      <w:rFonts w:hint="eastAsia" w:ascii="宋体" w:hAnsi="宋体" w:cs="宋体"/>
                      <w:bCs/>
                    </w:rPr>
                    <w:t>。（排气筒编号</w:t>
                  </w:r>
                  <w:r>
                    <w:rPr>
                      <w:rFonts w:hint="eastAsia"/>
                      <w:bCs/>
                    </w:rPr>
                    <w:t>DA003-DA006</w:t>
                  </w:r>
                  <w:r>
                    <w:rPr>
                      <w:rFonts w:hint="eastAsia" w:ascii="宋体" w:hAnsi="宋体" w:cs="宋体"/>
                      <w:bCs/>
                    </w:rPr>
                    <w:t>）</w:t>
                  </w:r>
                </w:p>
              </w:tc>
              <w:tc>
                <w:tcPr>
                  <w:tcW w:w="652" w:type="dxa"/>
                  <w:tcBorders>
                    <w:bottom w:val="single" w:color="auto" w:sz="4" w:space="0"/>
                  </w:tcBorders>
                  <w:shd w:val="clear" w:color="auto" w:fill="auto"/>
                  <w:vAlign w:val="center"/>
                </w:tcPr>
                <w:p>
                  <w:pPr>
                    <w:pStyle w:val="164"/>
                    <w:rPr>
                      <w:bCs/>
                    </w:rPr>
                  </w:pPr>
                  <w:r>
                    <w:rPr>
                      <w:rFonts w:hint="eastAsia" w:ascii="宋体" w:hAnsi="宋体" w:cs="宋体"/>
                      <w:bCs/>
                    </w:rPr>
                    <w:t>原项目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tcBorders>
                    <w:right w:val="single" w:color="auto" w:sz="4" w:space="0"/>
                  </w:tcBorders>
                  <w:shd w:val="clear" w:color="auto" w:fill="auto"/>
                  <w:vAlign w:val="center"/>
                </w:tcPr>
                <w:p>
                  <w:pPr>
                    <w:pStyle w:val="164"/>
                    <w:rPr>
                      <w:bCs/>
                      <w:color w:val="auto"/>
                    </w:rPr>
                  </w:pPr>
                  <w:r>
                    <w:rPr>
                      <w:rFonts w:hint="eastAsia" w:ascii="宋体" w:hAnsi="宋体" w:cs="宋体"/>
                      <w:bCs/>
                      <w:color w:val="auto"/>
                    </w:rPr>
                    <w:t>封边废气</w:t>
                  </w:r>
                </w:p>
              </w:tc>
              <w:tc>
                <w:tcPr>
                  <w:tcW w:w="5327" w:type="dxa"/>
                  <w:tcBorders>
                    <w:top w:val="single" w:color="auto" w:sz="4" w:space="0"/>
                    <w:left w:val="single" w:color="auto" w:sz="4" w:space="0"/>
                    <w:bottom w:val="single" w:color="auto" w:sz="4" w:space="0"/>
                  </w:tcBorders>
                  <w:shd w:val="clear" w:color="auto" w:fill="auto"/>
                  <w:vAlign w:val="center"/>
                </w:tcPr>
                <w:p>
                  <w:pPr>
                    <w:pStyle w:val="164"/>
                    <w:rPr>
                      <w:bCs/>
                      <w:color w:val="auto"/>
                    </w:rPr>
                  </w:pPr>
                  <w:r>
                    <w:rPr>
                      <w:rFonts w:hint="eastAsia" w:ascii="宋体" w:hAnsi="宋体" w:cs="宋体"/>
                      <w:bCs/>
                      <w:color w:val="auto"/>
                    </w:rPr>
                    <w:t>热压封边过程加热热熔胶，产生少量有机废气，经车间无组织排放</w:t>
                  </w:r>
                </w:p>
              </w:tc>
              <w:tc>
                <w:tcPr>
                  <w:tcW w:w="652" w:type="dxa"/>
                  <w:tcBorders>
                    <w:top w:val="single" w:color="auto" w:sz="4" w:space="0"/>
                    <w:bottom w:val="single" w:color="auto" w:sz="4" w:space="0"/>
                  </w:tcBorders>
                  <w:shd w:val="clear" w:color="auto" w:fill="auto"/>
                  <w:vAlign w:val="center"/>
                </w:tcPr>
                <w:p>
                  <w:pPr>
                    <w:pStyle w:val="164"/>
                    <w:rPr>
                      <w:bCs/>
                      <w:color w:val="FF0000"/>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shd w:val="clear" w:color="auto" w:fill="auto"/>
                  <w:vAlign w:val="center"/>
                </w:tcPr>
                <w:p>
                  <w:pPr>
                    <w:pStyle w:val="164"/>
                    <w:rPr>
                      <w:bCs/>
                      <w:color w:val="auto"/>
                    </w:rPr>
                  </w:pPr>
                  <w:r>
                    <w:rPr>
                      <w:rFonts w:hint="eastAsia" w:ascii="宋体" w:hAnsi="宋体" w:cs="宋体"/>
                      <w:bCs/>
                      <w:color w:val="auto"/>
                    </w:rPr>
                    <w:t>拼板废气</w:t>
                  </w:r>
                </w:p>
              </w:tc>
              <w:tc>
                <w:tcPr>
                  <w:tcW w:w="5327" w:type="dxa"/>
                  <w:tcBorders>
                    <w:top w:val="single" w:color="auto" w:sz="4" w:space="0"/>
                    <w:bottom w:val="single" w:color="auto" w:sz="4" w:space="0"/>
                  </w:tcBorders>
                  <w:shd w:val="clear" w:color="auto" w:fill="auto"/>
                  <w:vAlign w:val="center"/>
                </w:tcPr>
                <w:p>
                  <w:pPr>
                    <w:pStyle w:val="164"/>
                    <w:rPr>
                      <w:bCs/>
                      <w:color w:val="auto"/>
                    </w:rPr>
                  </w:pPr>
                  <w:r>
                    <w:rPr>
                      <w:rFonts w:hint="eastAsia" w:ascii="宋体" w:hAnsi="宋体" w:cs="宋体"/>
                      <w:bCs/>
                      <w:color w:val="auto"/>
                    </w:rPr>
                    <w:t>拼板白乳胶常温下冷压不</w:t>
                  </w:r>
                  <w:r>
                    <w:rPr>
                      <w:rFonts w:hint="eastAsia" w:ascii="宋体" w:hAnsi="宋体" w:cs="宋体"/>
                      <w:color w:val="auto"/>
                    </w:rPr>
                    <w:t>分解，但是也有少量挥发性组分挥发，产生少量有机废气无组织排放</w:t>
                  </w:r>
                </w:p>
              </w:tc>
              <w:tc>
                <w:tcPr>
                  <w:tcW w:w="652" w:type="dxa"/>
                  <w:tcBorders>
                    <w:top w:val="single" w:color="auto" w:sz="4" w:space="0"/>
                    <w:bottom w:val="single" w:color="auto" w:sz="4" w:space="0"/>
                  </w:tcBorders>
                  <w:shd w:val="clear" w:color="auto" w:fill="auto"/>
                  <w:vAlign w:val="center"/>
                </w:tcPr>
                <w:p>
                  <w:pPr>
                    <w:pStyle w:val="164"/>
                    <w:rPr>
                      <w:bCs/>
                      <w:color w:val="FF0000"/>
                    </w:rPr>
                  </w:pP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vMerge w:val="restart"/>
                  <w:shd w:val="clear" w:color="auto" w:fill="auto"/>
                  <w:vAlign w:val="center"/>
                </w:tcPr>
                <w:p>
                  <w:pPr>
                    <w:pStyle w:val="164"/>
                    <w:rPr>
                      <w:bCs/>
                      <w:color w:val="auto"/>
                    </w:rPr>
                  </w:pPr>
                  <w:r>
                    <w:rPr>
                      <w:rFonts w:hint="eastAsia" w:ascii="宋体" w:hAnsi="宋体" w:cs="宋体"/>
                      <w:bCs/>
                      <w:color w:val="auto"/>
                    </w:rPr>
                    <w:t>油磨废气</w:t>
                  </w:r>
                </w:p>
              </w:tc>
              <w:tc>
                <w:tcPr>
                  <w:tcW w:w="5327" w:type="dxa"/>
                  <w:tcBorders>
                    <w:top w:val="single" w:color="auto" w:sz="4" w:space="0"/>
                    <w:bottom w:val="single" w:color="auto" w:sz="4" w:space="0"/>
                  </w:tcBorders>
                  <w:shd w:val="clear" w:color="auto" w:fill="auto"/>
                  <w:vAlign w:val="center"/>
                </w:tcPr>
                <w:p>
                  <w:pPr>
                    <w:pStyle w:val="164"/>
                    <w:rPr>
                      <w:bCs/>
                      <w:color w:val="auto"/>
                      <w:lang w:val="en-US"/>
                    </w:rPr>
                  </w:pPr>
                  <w:r>
                    <w:rPr>
                      <w:rFonts w:hint="eastAsia"/>
                      <w:bCs/>
                      <w:color w:val="auto"/>
                    </w:rPr>
                    <w:t>1#</w:t>
                  </w:r>
                  <w:r>
                    <w:rPr>
                      <w:rFonts w:hint="eastAsia" w:ascii="宋体" w:hAnsi="宋体" w:cs="宋体"/>
                      <w:bCs/>
                      <w:color w:val="auto"/>
                    </w:rPr>
                    <w:t>油磨工位设置于环保打磨房内，打磨房自带喷淋除尘器、油磨废气经侧吸罩收集处理后车间无组织排放。</w:t>
                  </w:r>
                </w:p>
              </w:tc>
              <w:tc>
                <w:tcPr>
                  <w:tcW w:w="652" w:type="dxa"/>
                  <w:tcBorders>
                    <w:top w:val="single" w:color="auto" w:sz="4" w:space="0"/>
                    <w:bottom w:val="single" w:color="auto" w:sz="4" w:space="0"/>
                  </w:tcBorders>
                  <w:shd w:val="clear" w:color="auto" w:fill="auto"/>
                  <w:vAlign w:val="center"/>
                </w:tcPr>
                <w:p>
                  <w:pPr>
                    <w:pStyle w:val="164"/>
                    <w:rPr>
                      <w:bCs/>
                      <w:color w:val="FF0000"/>
                    </w:rPr>
                  </w:pPr>
                  <w:r>
                    <w:rPr>
                      <w:rFonts w:hint="eastAsia" w:ascii="宋体" w:hAnsi="宋体" w:cs="宋体"/>
                      <w:bCs/>
                    </w:rPr>
                    <w:t>原项目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vMerge w:val="continue"/>
                  <w:shd w:val="clear" w:color="auto" w:fill="auto"/>
                  <w:vAlign w:val="center"/>
                </w:tcPr>
                <w:p>
                  <w:pPr>
                    <w:pStyle w:val="164"/>
                    <w:rPr>
                      <w:bCs/>
                      <w:color w:val="auto"/>
                    </w:rPr>
                  </w:pPr>
                </w:p>
              </w:tc>
              <w:tc>
                <w:tcPr>
                  <w:tcW w:w="5327" w:type="dxa"/>
                  <w:tcBorders>
                    <w:top w:val="single" w:color="auto" w:sz="4" w:space="0"/>
                    <w:bottom w:val="single" w:color="auto" w:sz="4" w:space="0"/>
                  </w:tcBorders>
                  <w:shd w:val="clear" w:color="auto" w:fill="auto"/>
                  <w:vAlign w:val="center"/>
                </w:tcPr>
                <w:p>
                  <w:pPr>
                    <w:pStyle w:val="164"/>
                    <w:rPr>
                      <w:bCs/>
                      <w:color w:val="auto"/>
                    </w:rPr>
                  </w:pPr>
                  <w:r>
                    <w:rPr>
                      <w:rFonts w:hint="eastAsia"/>
                      <w:bCs/>
                      <w:color w:val="auto"/>
                    </w:rPr>
                    <w:t>2#</w:t>
                  </w:r>
                  <w:r>
                    <w:rPr>
                      <w:rFonts w:hint="eastAsia" w:ascii="宋体" w:hAnsi="宋体" w:cs="宋体"/>
                      <w:bCs/>
                      <w:color w:val="auto"/>
                    </w:rPr>
                    <w:t>油磨工位设置于环保打磨房内，打磨房自带喷淋除尘器、油磨废气经侧吸罩收集处理后车间无组织排放。</w:t>
                  </w:r>
                </w:p>
              </w:tc>
              <w:tc>
                <w:tcPr>
                  <w:tcW w:w="652" w:type="dxa"/>
                  <w:tcBorders>
                    <w:top w:val="single" w:color="auto" w:sz="4" w:space="0"/>
                    <w:bottom w:val="single" w:color="auto" w:sz="4" w:space="0"/>
                  </w:tcBorders>
                  <w:shd w:val="clear" w:color="auto" w:fill="auto"/>
                  <w:vAlign w:val="center"/>
                </w:tcPr>
                <w:p>
                  <w:pPr>
                    <w:pStyle w:val="164"/>
                    <w:rPr>
                      <w:bCs/>
                    </w:rPr>
                  </w:pPr>
                  <w:r>
                    <w:rPr>
                      <w:rFonts w:hint="eastAsia" w:ascii="宋体" w:hAnsi="宋体" w:cs="宋体"/>
                      <w:bCs/>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vMerge w:val="restart"/>
                  <w:shd w:val="clear" w:color="auto" w:fill="auto"/>
                  <w:vAlign w:val="center"/>
                </w:tcPr>
                <w:p>
                  <w:pPr>
                    <w:pStyle w:val="164"/>
                    <w:rPr>
                      <w:bCs/>
                      <w:color w:val="auto"/>
                    </w:rPr>
                  </w:pPr>
                  <w:r>
                    <w:rPr>
                      <w:rFonts w:hint="eastAsia" w:ascii="宋体" w:hAnsi="宋体" w:cs="宋体"/>
                      <w:bCs/>
                      <w:color w:val="auto"/>
                    </w:rPr>
                    <w:t>白坯打磨废气</w:t>
                  </w:r>
                </w:p>
              </w:tc>
              <w:tc>
                <w:tcPr>
                  <w:tcW w:w="5327" w:type="dxa"/>
                  <w:tcBorders>
                    <w:top w:val="single" w:color="auto" w:sz="4" w:space="0"/>
                    <w:bottom w:val="single" w:color="auto" w:sz="4" w:space="0"/>
                  </w:tcBorders>
                  <w:shd w:val="clear" w:color="auto" w:fill="auto"/>
                  <w:vAlign w:val="center"/>
                </w:tcPr>
                <w:p>
                  <w:pPr>
                    <w:pStyle w:val="164"/>
                    <w:rPr>
                      <w:bCs/>
                      <w:color w:val="auto"/>
                      <w:lang w:val="en-US"/>
                    </w:rPr>
                  </w:pPr>
                  <w:r>
                    <w:rPr>
                      <w:rFonts w:hint="eastAsia"/>
                      <w:bCs/>
                      <w:color w:val="auto"/>
                    </w:rPr>
                    <w:t>1#</w:t>
                  </w:r>
                  <w:r>
                    <w:rPr>
                      <w:rFonts w:hint="eastAsia" w:ascii="宋体" w:hAnsi="宋体" w:cs="宋体"/>
                      <w:bCs/>
                      <w:color w:val="auto"/>
                    </w:rPr>
                    <w:t>白坯打磨设置于环保打磨房内，打磨房自带喷淋除尘器、白坯打磨经侧吸罩收集处理后车间无组织排放。</w:t>
                  </w:r>
                </w:p>
              </w:tc>
              <w:tc>
                <w:tcPr>
                  <w:tcW w:w="652" w:type="dxa"/>
                  <w:tcBorders>
                    <w:top w:val="single" w:color="auto" w:sz="4" w:space="0"/>
                    <w:bottom w:val="single" w:color="auto" w:sz="4" w:space="0"/>
                  </w:tcBorders>
                  <w:shd w:val="clear" w:color="auto" w:fill="auto"/>
                  <w:vAlign w:val="center"/>
                </w:tcPr>
                <w:p>
                  <w:pPr>
                    <w:pStyle w:val="164"/>
                    <w:rPr>
                      <w:bCs/>
                      <w:color w:val="FF0000"/>
                    </w:rPr>
                  </w:pPr>
                  <w:r>
                    <w:rPr>
                      <w:rFonts w:hint="eastAsia" w:ascii="宋体" w:hAnsi="宋体" w:cs="宋体"/>
                      <w:bCs/>
                    </w:rPr>
                    <w:t>原项目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vMerge w:val="continue"/>
                  <w:shd w:val="clear" w:color="auto" w:fill="auto"/>
                  <w:vAlign w:val="center"/>
                </w:tcPr>
                <w:p>
                  <w:pPr>
                    <w:pStyle w:val="164"/>
                    <w:rPr>
                      <w:bCs/>
                      <w:color w:val="auto"/>
                    </w:rPr>
                  </w:pPr>
                </w:p>
              </w:tc>
              <w:tc>
                <w:tcPr>
                  <w:tcW w:w="5327" w:type="dxa"/>
                  <w:tcBorders>
                    <w:top w:val="single" w:color="auto" w:sz="4" w:space="0"/>
                    <w:bottom w:val="single" w:color="auto" w:sz="4" w:space="0"/>
                  </w:tcBorders>
                  <w:shd w:val="clear" w:color="auto" w:fill="auto"/>
                  <w:vAlign w:val="center"/>
                </w:tcPr>
                <w:p>
                  <w:pPr>
                    <w:pStyle w:val="164"/>
                    <w:rPr>
                      <w:bCs/>
                      <w:color w:val="auto"/>
                    </w:rPr>
                  </w:pPr>
                  <w:r>
                    <w:rPr>
                      <w:rFonts w:hint="eastAsia"/>
                      <w:bCs/>
                      <w:color w:val="auto"/>
                    </w:rPr>
                    <w:t>2#</w:t>
                  </w:r>
                  <w:r>
                    <w:rPr>
                      <w:rFonts w:hint="eastAsia" w:ascii="宋体" w:hAnsi="宋体" w:cs="宋体"/>
                      <w:bCs/>
                      <w:color w:val="auto"/>
                    </w:rPr>
                    <w:t>白坯打磨设置于环保打磨房内，打磨房自带喷淋除尘器、白坯打磨经侧吸罩收集处理后车间无组织排放。</w:t>
                  </w:r>
                </w:p>
              </w:tc>
              <w:tc>
                <w:tcPr>
                  <w:tcW w:w="652" w:type="dxa"/>
                  <w:tcBorders>
                    <w:top w:val="single" w:color="auto" w:sz="4" w:space="0"/>
                    <w:bottom w:val="single" w:color="auto" w:sz="4" w:space="0"/>
                  </w:tcBorders>
                  <w:shd w:val="clear" w:color="auto" w:fill="auto"/>
                  <w:vAlign w:val="center"/>
                </w:tcPr>
                <w:p>
                  <w:pPr>
                    <w:pStyle w:val="164"/>
                    <w:rPr>
                      <w:bCs/>
                    </w:rPr>
                  </w:pPr>
                  <w:r>
                    <w:rPr>
                      <w:rFonts w:hint="eastAsia" w:ascii="宋体" w:hAnsi="宋体" w:cs="宋体"/>
                      <w:bCs/>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shd w:val="clear" w:color="auto" w:fill="auto"/>
                  <w:vAlign w:val="center"/>
                </w:tcPr>
                <w:p>
                  <w:pPr>
                    <w:pStyle w:val="164"/>
                    <w:rPr>
                      <w:bCs/>
                      <w:color w:val="auto"/>
                    </w:rPr>
                  </w:pPr>
                  <w:r>
                    <w:rPr>
                      <w:rFonts w:hint="eastAsia" w:ascii="宋体" w:hAnsi="宋体" w:cs="宋体"/>
                      <w:bCs/>
                      <w:color w:val="auto"/>
                    </w:rPr>
                    <w:t>食堂油烟</w:t>
                  </w:r>
                </w:p>
              </w:tc>
              <w:tc>
                <w:tcPr>
                  <w:tcW w:w="5327" w:type="dxa"/>
                  <w:tcBorders>
                    <w:top w:val="single" w:color="auto" w:sz="4" w:space="0"/>
                    <w:bottom w:val="single" w:color="auto" w:sz="4" w:space="0"/>
                  </w:tcBorders>
                  <w:shd w:val="clear" w:color="auto" w:fill="auto"/>
                  <w:vAlign w:val="center"/>
                </w:tcPr>
                <w:p>
                  <w:pPr>
                    <w:pStyle w:val="164"/>
                    <w:rPr>
                      <w:bCs/>
                      <w:color w:val="auto"/>
                    </w:rPr>
                  </w:pPr>
                  <w:r>
                    <w:rPr>
                      <w:rFonts w:hint="eastAsia" w:ascii="宋体" w:hAnsi="宋体" w:cs="宋体"/>
                    </w:rPr>
                    <w:t>设置油烟净化器1台对食堂油烟进行处理，处理后高空排放</w:t>
                  </w:r>
                </w:p>
              </w:tc>
              <w:tc>
                <w:tcPr>
                  <w:tcW w:w="652" w:type="dxa"/>
                  <w:tcBorders>
                    <w:top w:val="single" w:color="auto" w:sz="4" w:space="0"/>
                    <w:bottom w:val="single" w:color="auto" w:sz="4" w:space="0"/>
                  </w:tcBorders>
                  <w:shd w:val="clear" w:color="auto" w:fill="auto"/>
                  <w:vAlign w:val="center"/>
                </w:tcPr>
                <w:p>
                  <w:pPr>
                    <w:pStyle w:val="164"/>
                    <w:rPr>
                      <w:bCs/>
                    </w:rPr>
                  </w:pPr>
                  <w:r>
                    <w:rPr>
                      <w:rFonts w:hint="eastAsia" w:ascii="宋体" w:hAnsi="宋体" w:cs="宋体"/>
                      <w:bCs/>
                    </w:rPr>
                    <w:t>以新带老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restart"/>
                  <w:shd w:val="clear" w:color="auto" w:fill="auto"/>
                  <w:vAlign w:val="center"/>
                </w:tcPr>
                <w:p>
                  <w:pPr>
                    <w:pStyle w:val="164"/>
                    <w:rPr>
                      <w:bCs/>
                    </w:rPr>
                  </w:pPr>
                  <w:r>
                    <w:rPr>
                      <w:rFonts w:hint="eastAsia" w:ascii="宋体" w:hAnsi="宋体" w:cs="宋体"/>
                      <w:bCs/>
                    </w:rPr>
                    <w:t>固体废物处置</w:t>
                  </w:r>
                </w:p>
              </w:tc>
              <w:tc>
                <w:tcPr>
                  <w:tcW w:w="800" w:type="dxa"/>
                  <w:shd w:val="clear" w:color="auto" w:fill="auto"/>
                  <w:vAlign w:val="center"/>
                </w:tcPr>
                <w:p>
                  <w:pPr>
                    <w:pStyle w:val="164"/>
                    <w:rPr>
                      <w:bCs/>
                      <w:color w:val="FF0000"/>
                    </w:rPr>
                  </w:pPr>
                  <w:r>
                    <w:rPr>
                      <w:rFonts w:hint="eastAsia" w:ascii="宋体" w:hAnsi="宋体" w:cs="宋体"/>
                      <w:bCs/>
                    </w:rPr>
                    <w:t>一般工业固体废物暂存间</w:t>
                  </w:r>
                </w:p>
              </w:tc>
              <w:tc>
                <w:tcPr>
                  <w:tcW w:w="5327" w:type="dxa"/>
                  <w:shd w:val="clear" w:color="auto" w:fill="auto"/>
                  <w:vAlign w:val="center"/>
                </w:tcPr>
                <w:p>
                  <w:pPr>
                    <w:pStyle w:val="164"/>
                    <w:rPr>
                      <w:bCs/>
                      <w:color w:val="FF0000"/>
                      <w:lang w:val="en-US"/>
                    </w:rPr>
                  </w:pPr>
                  <w:r>
                    <w:rPr>
                      <w:rFonts w:hint="eastAsia"/>
                      <w:bCs/>
                    </w:rPr>
                    <w:t>1</w:t>
                  </w:r>
                  <w:r>
                    <w:rPr>
                      <w:rFonts w:hint="eastAsia" w:ascii="宋体" w:hAnsi="宋体" w:cs="宋体"/>
                      <w:bCs/>
                    </w:rPr>
                    <w:t>间，位于厂区西南侧，按照</w:t>
                  </w:r>
                  <w:r>
                    <w:rPr>
                      <w:rFonts w:ascii="Calibri" w:hAnsi="Calibri" w:cs="Calibri"/>
                      <w:bCs/>
                    </w:rPr>
                    <w:t>“</w:t>
                  </w:r>
                  <w:r>
                    <w:rPr>
                      <w:rFonts w:hint="eastAsia" w:ascii="宋体" w:hAnsi="宋体" w:cs="宋体"/>
                      <w:bCs/>
                    </w:rPr>
                    <w:t>防渗漏、防雨淋、防扬尘</w:t>
                  </w:r>
                  <w:r>
                    <w:rPr>
                      <w:rFonts w:hint="eastAsia"/>
                      <w:bCs/>
                    </w:rPr>
                    <w:t>”</w:t>
                  </w:r>
                  <w:r>
                    <w:rPr>
                      <w:rFonts w:hint="eastAsia" w:ascii="宋体" w:hAnsi="宋体" w:cs="宋体"/>
                      <w:bCs/>
                    </w:rPr>
                    <w:t>设置，面积约</w:t>
                  </w:r>
                  <w:r>
                    <w:rPr>
                      <w:rFonts w:hint="eastAsia"/>
                      <w:bCs/>
                      <w:lang w:val="en-US"/>
                    </w:rPr>
                    <w:t>80</w:t>
                  </w:r>
                  <w:r>
                    <w:rPr>
                      <w:bCs/>
                    </w:rPr>
                    <w:t>m</w:t>
                  </w:r>
                  <w:r>
                    <w:rPr>
                      <w:bCs/>
                      <w:vertAlign w:val="superscript"/>
                    </w:rPr>
                    <w:t>2</w:t>
                  </w:r>
                  <w:r>
                    <w:rPr>
                      <w:rFonts w:hint="eastAsia" w:ascii="宋体" w:hAnsi="宋体" w:cs="宋体"/>
                      <w:bCs/>
                    </w:rPr>
                    <w:t>；用于暂存废边角料、一般废包装材料等固体废物，定期外售物资回收公司</w:t>
                  </w:r>
                </w:p>
              </w:tc>
              <w:tc>
                <w:tcPr>
                  <w:tcW w:w="652" w:type="dxa"/>
                  <w:shd w:val="clear" w:color="auto" w:fill="auto"/>
                  <w:vAlign w:val="center"/>
                </w:tcPr>
                <w:p>
                  <w:pPr>
                    <w:pStyle w:val="164"/>
                    <w:rPr>
                      <w:bCs/>
                    </w:rPr>
                  </w:pPr>
                  <w:r>
                    <w:rPr>
                      <w:rFonts w:hint="eastAsia" w:ascii="宋体" w:hAnsi="宋体" w:cs="宋体"/>
                      <w:bCs/>
                    </w:rPr>
                    <w:t>依托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shd w:val="clear" w:color="auto" w:fill="auto"/>
                  <w:vAlign w:val="center"/>
                </w:tcPr>
                <w:p>
                  <w:pPr>
                    <w:pStyle w:val="164"/>
                    <w:rPr>
                      <w:bCs/>
                    </w:rPr>
                  </w:pPr>
                  <w:r>
                    <w:rPr>
                      <w:rFonts w:hint="eastAsia" w:ascii="宋体" w:hAnsi="宋体" w:cs="宋体"/>
                      <w:bCs/>
                    </w:rPr>
                    <w:t>危险废物暂存间</w:t>
                  </w:r>
                </w:p>
              </w:tc>
              <w:tc>
                <w:tcPr>
                  <w:tcW w:w="5327" w:type="dxa"/>
                  <w:shd w:val="clear" w:color="auto" w:fill="auto"/>
                  <w:vAlign w:val="center"/>
                </w:tcPr>
                <w:p>
                  <w:pPr>
                    <w:pStyle w:val="164"/>
                    <w:rPr>
                      <w:bCs/>
                      <w:color w:val="FF0000"/>
                    </w:rPr>
                  </w:pPr>
                  <w:r>
                    <w:rPr>
                      <w:rFonts w:hint="eastAsia"/>
                      <w:bCs/>
                    </w:rPr>
                    <w:t>1</w:t>
                  </w:r>
                  <w:r>
                    <w:rPr>
                      <w:rFonts w:hint="eastAsia" w:ascii="宋体" w:hAnsi="宋体" w:cs="宋体"/>
                      <w:bCs/>
                    </w:rPr>
                    <w:t>间，位于厂区西南侧，按照</w:t>
                  </w:r>
                  <w:r>
                    <w:rPr>
                      <w:rFonts w:ascii="Calibri" w:hAnsi="Calibri" w:cs="Calibri"/>
                      <w:bCs/>
                    </w:rPr>
                    <w:t>“</w:t>
                  </w:r>
                  <w:r>
                    <w:rPr>
                      <w:rFonts w:hint="eastAsia" w:ascii="宋体" w:hAnsi="宋体" w:cs="宋体"/>
                      <w:bCs/>
                    </w:rPr>
                    <w:t>防风、防雨、防晒、防渗漏</w:t>
                  </w:r>
                  <w:r>
                    <w:rPr>
                      <w:rFonts w:ascii="Calibri" w:hAnsi="Calibri" w:cs="Calibri"/>
                      <w:bCs/>
                    </w:rPr>
                    <w:t>”</w:t>
                  </w:r>
                  <w:r>
                    <w:rPr>
                      <w:rFonts w:hint="eastAsia" w:ascii="宋体" w:hAnsi="宋体" w:cs="宋体"/>
                      <w:bCs/>
                    </w:rPr>
                    <w:t>设置，面积约</w:t>
                  </w:r>
                  <w:r>
                    <w:rPr>
                      <w:rFonts w:hint="eastAsia"/>
                      <w:bCs/>
                      <w:lang w:val="en-US"/>
                    </w:rPr>
                    <w:t>15</w:t>
                  </w:r>
                  <w:r>
                    <w:rPr>
                      <w:bCs/>
                    </w:rPr>
                    <w:t>m</w:t>
                  </w:r>
                  <w:r>
                    <w:rPr>
                      <w:bCs/>
                      <w:vertAlign w:val="superscript"/>
                    </w:rPr>
                    <w:t>2</w:t>
                  </w:r>
                  <w:r>
                    <w:rPr>
                      <w:rFonts w:hint="eastAsia" w:ascii="宋体" w:hAnsi="宋体" w:cs="宋体"/>
                      <w:bCs/>
                    </w:rPr>
                    <w:t>；用于暂存废活性炭、废油、废过滤棉等危险废物，定期委托有资质单位处理</w:t>
                  </w:r>
                </w:p>
              </w:tc>
              <w:tc>
                <w:tcPr>
                  <w:tcW w:w="652" w:type="dxa"/>
                  <w:shd w:val="clear" w:color="auto" w:fill="auto"/>
                  <w:vAlign w:val="center"/>
                </w:tcPr>
                <w:p>
                  <w:pPr>
                    <w:pStyle w:val="164"/>
                    <w:rPr>
                      <w:bCs/>
                    </w:rPr>
                  </w:pPr>
                  <w:r>
                    <w:rPr>
                      <w:rFonts w:hint="eastAsia" w:ascii="宋体" w:hAnsi="宋体" w:cs="宋体"/>
                      <w:bCs/>
                    </w:rPr>
                    <w:t>依托、以新带老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vMerge w:val="continue"/>
                  <w:shd w:val="clear" w:color="auto" w:fill="auto"/>
                  <w:vAlign w:val="center"/>
                </w:tcPr>
                <w:p>
                  <w:pPr>
                    <w:pStyle w:val="164"/>
                    <w:rPr>
                      <w:bCs/>
                      <w:color w:val="FF0000"/>
                    </w:rPr>
                  </w:pPr>
                </w:p>
              </w:tc>
              <w:tc>
                <w:tcPr>
                  <w:tcW w:w="800" w:type="dxa"/>
                  <w:shd w:val="clear" w:color="auto" w:fill="auto"/>
                  <w:vAlign w:val="center"/>
                </w:tcPr>
                <w:p>
                  <w:pPr>
                    <w:pStyle w:val="164"/>
                    <w:rPr>
                      <w:bCs/>
                    </w:rPr>
                  </w:pPr>
                  <w:r>
                    <w:rPr>
                      <w:rFonts w:hint="eastAsia" w:ascii="宋体" w:hAnsi="宋体" w:cs="宋体"/>
                      <w:bCs/>
                    </w:rPr>
                    <w:t>生活</w:t>
                  </w:r>
                </w:p>
                <w:p>
                  <w:pPr>
                    <w:pStyle w:val="164"/>
                    <w:rPr>
                      <w:bCs/>
                    </w:rPr>
                  </w:pPr>
                  <w:r>
                    <w:rPr>
                      <w:rFonts w:hint="eastAsia" w:ascii="宋体" w:hAnsi="宋体" w:cs="宋体"/>
                      <w:bCs/>
                    </w:rPr>
                    <w:t>垃圾区</w:t>
                  </w:r>
                </w:p>
              </w:tc>
              <w:tc>
                <w:tcPr>
                  <w:tcW w:w="5327" w:type="dxa"/>
                  <w:shd w:val="clear" w:color="auto" w:fill="auto"/>
                  <w:vAlign w:val="center"/>
                </w:tcPr>
                <w:p>
                  <w:pPr>
                    <w:pStyle w:val="164"/>
                    <w:rPr>
                      <w:bCs/>
                      <w:color w:val="FF0000"/>
                    </w:rPr>
                  </w:pPr>
                  <w:r>
                    <w:rPr>
                      <w:rFonts w:hint="eastAsia" w:ascii="宋体" w:hAnsi="宋体" w:cs="宋体"/>
                      <w:bCs/>
                    </w:rPr>
                    <w:t>生活垃圾交由环卫部门清运处理</w:t>
                  </w:r>
                </w:p>
              </w:tc>
              <w:tc>
                <w:tcPr>
                  <w:tcW w:w="652" w:type="dxa"/>
                  <w:shd w:val="clear" w:color="auto" w:fill="auto"/>
                  <w:vAlign w:val="center"/>
                </w:tcPr>
                <w:p>
                  <w:pPr>
                    <w:pStyle w:val="164"/>
                    <w:rPr>
                      <w:bCs/>
                    </w:rPr>
                  </w:pPr>
                  <w:r>
                    <w:rPr>
                      <w:bCs/>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shd w:val="clear" w:color="auto" w:fill="auto"/>
                  <w:vAlign w:val="center"/>
                </w:tcPr>
                <w:p>
                  <w:pPr>
                    <w:pStyle w:val="164"/>
                    <w:rPr>
                      <w:bCs/>
                    </w:rPr>
                  </w:pPr>
                  <w:r>
                    <w:rPr>
                      <w:rFonts w:hint="eastAsia" w:ascii="宋体" w:hAnsi="宋体" w:cs="宋体"/>
                      <w:bCs/>
                    </w:rPr>
                    <w:t>噪声</w:t>
                  </w:r>
                  <w:r>
                    <w:rPr>
                      <w:rFonts w:hint="eastAsia" w:ascii="宋体" w:hAnsi="宋体" w:cs="宋体"/>
                    </w:rPr>
                    <w:t>污染防治</w:t>
                  </w:r>
                </w:p>
              </w:tc>
              <w:tc>
                <w:tcPr>
                  <w:tcW w:w="6127" w:type="dxa"/>
                  <w:gridSpan w:val="2"/>
                  <w:shd w:val="clear" w:color="auto" w:fill="auto"/>
                  <w:vAlign w:val="center"/>
                </w:tcPr>
                <w:p>
                  <w:pPr>
                    <w:pStyle w:val="164"/>
                    <w:rPr>
                      <w:bCs/>
                    </w:rPr>
                  </w:pPr>
                  <w:r>
                    <w:rPr>
                      <w:rFonts w:hint="eastAsia" w:ascii="宋体" w:hAnsi="宋体" w:cs="宋体"/>
                      <w:bCs/>
                    </w:rPr>
                    <w:t>选用低噪声设备，并通过厂房隔声、减振、消声等措施</w:t>
                  </w:r>
                </w:p>
              </w:tc>
              <w:tc>
                <w:tcPr>
                  <w:tcW w:w="652" w:type="dxa"/>
                  <w:shd w:val="clear" w:color="auto" w:fill="auto"/>
                  <w:vAlign w:val="center"/>
                </w:tcPr>
                <w:p>
                  <w:pPr>
                    <w:pStyle w:val="164"/>
                    <w:rPr>
                      <w:bCs/>
                    </w:rPr>
                  </w:pPr>
                  <w:r>
                    <w:rPr>
                      <w:bCs/>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shd w:val="clear" w:color="auto" w:fill="auto"/>
                  <w:vAlign w:val="center"/>
                </w:tcPr>
                <w:p>
                  <w:pPr>
                    <w:pStyle w:val="164"/>
                    <w:rPr>
                      <w:bCs/>
                    </w:rPr>
                  </w:pPr>
                  <w:r>
                    <w:rPr>
                      <w:rFonts w:hint="eastAsia" w:ascii="宋体" w:hAnsi="宋体" w:cs="宋体"/>
                      <w:bCs/>
                    </w:rPr>
                    <w:t>防渗</w:t>
                  </w:r>
                </w:p>
                <w:p>
                  <w:pPr>
                    <w:pStyle w:val="164"/>
                    <w:rPr>
                      <w:bCs/>
                    </w:rPr>
                  </w:pPr>
                  <w:r>
                    <w:rPr>
                      <w:rFonts w:hint="eastAsia" w:ascii="宋体" w:hAnsi="宋体" w:cs="宋体"/>
                      <w:bCs/>
                    </w:rPr>
                    <w:t>措施</w:t>
                  </w:r>
                </w:p>
              </w:tc>
              <w:tc>
                <w:tcPr>
                  <w:tcW w:w="6127" w:type="dxa"/>
                  <w:gridSpan w:val="2"/>
                  <w:shd w:val="clear" w:color="auto" w:fill="auto"/>
                  <w:vAlign w:val="center"/>
                </w:tcPr>
                <w:p>
                  <w:pPr>
                    <w:pStyle w:val="164"/>
                    <w:rPr>
                      <w:bCs/>
                    </w:rPr>
                  </w:pPr>
                  <w:r>
                    <w:rPr>
                      <w:rFonts w:hint="eastAsia" w:ascii="宋体" w:hAnsi="宋体" w:cs="宋体"/>
                      <w:bCs/>
                    </w:rPr>
                    <w:t>涂装车间、涂料库房、危险废物暂存间、生产废水处理装置划分为重点防渗区；厂房其他生产区划分为一般防渗区</w:t>
                  </w:r>
                </w:p>
                <w:p>
                  <w:pPr>
                    <w:pStyle w:val="164"/>
                    <w:rPr>
                      <w:bCs/>
                    </w:rPr>
                  </w:pPr>
                  <w:r>
                    <w:rPr>
                      <w:bCs/>
                    </w:rPr>
                    <w:t>1</w:t>
                  </w:r>
                  <w:r>
                    <w:rPr>
                      <w:rFonts w:hint="eastAsia" w:ascii="宋体" w:hAnsi="宋体" w:cs="宋体"/>
                      <w:bCs/>
                    </w:rPr>
                    <w:t>）重点防渗区：防渗技术要求为等效黏土防渗层</w:t>
                  </w:r>
                  <w:r>
                    <w:rPr>
                      <w:bCs/>
                    </w:rPr>
                    <w:t>Mb</w:t>
                  </w:r>
                  <w:r>
                    <w:rPr>
                      <w:rFonts w:ascii="宋体" w:hAnsi="宋体"/>
                      <w:bCs/>
                    </w:rPr>
                    <w:t>≥</w:t>
                  </w:r>
                  <w:r>
                    <w:rPr>
                      <w:bCs/>
                    </w:rPr>
                    <w:t>6.0m</w:t>
                  </w:r>
                  <w:r>
                    <w:rPr>
                      <w:rFonts w:hint="eastAsia" w:ascii="宋体" w:hAnsi="宋体" w:cs="宋体"/>
                      <w:bCs/>
                    </w:rPr>
                    <w:t>，</w:t>
                  </w:r>
                  <w:r>
                    <w:rPr>
                      <w:bCs/>
                    </w:rPr>
                    <w:t>K</w:t>
                  </w:r>
                  <w:r>
                    <w:rPr>
                      <w:rFonts w:ascii="宋体" w:hAnsi="宋体"/>
                      <w:bCs/>
                    </w:rPr>
                    <w:t>≤</w:t>
                  </w:r>
                  <w:r>
                    <w:rPr>
                      <w:bCs/>
                    </w:rPr>
                    <w:t>1×10</w:t>
                  </w:r>
                  <w:r>
                    <w:rPr>
                      <w:bCs/>
                      <w:vertAlign w:val="superscript"/>
                    </w:rPr>
                    <w:t>-7</w:t>
                  </w:r>
                  <w:r>
                    <w:rPr>
                      <w:bCs/>
                    </w:rPr>
                    <w:t>cm/s</w:t>
                  </w:r>
                  <w:r>
                    <w:rPr>
                      <w:rFonts w:hint="eastAsia" w:ascii="宋体" w:hAnsi="宋体" w:cs="宋体"/>
                      <w:bCs/>
                    </w:rPr>
                    <w:t>；或参照</w:t>
                  </w:r>
                  <w:r>
                    <w:rPr>
                      <w:bCs/>
                    </w:rPr>
                    <w:t xml:space="preserve">GB18598 </w:t>
                  </w:r>
                  <w:r>
                    <w:rPr>
                      <w:rFonts w:hint="eastAsia" w:ascii="宋体" w:hAnsi="宋体" w:cs="宋体"/>
                      <w:bCs/>
                    </w:rPr>
                    <w:t>执行；</w:t>
                  </w:r>
                </w:p>
                <w:p>
                  <w:pPr>
                    <w:pStyle w:val="164"/>
                    <w:rPr>
                      <w:bCs/>
                    </w:rPr>
                  </w:pPr>
                  <w:r>
                    <w:rPr>
                      <w:bCs/>
                    </w:rPr>
                    <w:t>2</w:t>
                  </w:r>
                  <w:r>
                    <w:rPr>
                      <w:rFonts w:hint="eastAsia" w:ascii="宋体" w:hAnsi="宋体" w:cs="宋体"/>
                      <w:bCs/>
                    </w:rPr>
                    <w:t>）一般防渗区：防渗技术要求为等效黏土防渗层</w:t>
                  </w:r>
                  <w:r>
                    <w:rPr>
                      <w:bCs/>
                    </w:rPr>
                    <w:t>Mb</w:t>
                  </w:r>
                  <w:r>
                    <w:rPr>
                      <w:rFonts w:ascii="宋体" w:hAnsi="宋体"/>
                      <w:bCs/>
                    </w:rPr>
                    <w:t>≥</w:t>
                  </w:r>
                  <w:r>
                    <w:rPr>
                      <w:bCs/>
                    </w:rPr>
                    <w:t>1.5m</w:t>
                  </w:r>
                  <w:r>
                    <w:rPr>
                      <w:rFonts w:hint="eastAsia" w:ascii="宋体" w:hAnsi="宋体" w:cs="宋体"/>
                      <w:bCs/>
                    </w:rPr>
                    <w:t>，</w:t>
                  </w:r>
                  <w:r>
                    <w:rPr>
                      <w:bCs/>
                    </w:rPr>
                    <w:t>K</w:t>
                  </w:r>
                  <w:r>
                    <w:rPr>
                      <w:rFonts w:ascii="宋体" w:hAnsi="宋体"/>
                      <w:bCs/>
                    </w:rPr>
                    <w:t>≤</w:t>
                  </w:r>
                  <w:r>
                    <w:rPr>
                      <w:bCs/>
                    </w:rPr>
                    <w:t>1×10</w:t>
                  </w:r>
                  <w:r>
                    <w:rPr>
                      <w:bCs/>
                      <w:vertAlign w:val="superscript"/>
                    </w:rPr>
                    <w:t>-7</w:t>
                  </w:r>
                  <w:r>
                    <w:rPr>
                      <w:bCs/>
                    </w:rPr>
                    <w:t>cm/s</w:t>
                  </w:r>
                  <w:r>
                    <w:rPr>
                      <w:rFonts w:hint="eastAsia" w:ascii="宋体" w:hAnsi="宋体" w:cs="宋体"/>
                      <w:bCs/>
                    </w:rPr>
                    <w:t>；或参照</w:t>
                  </w:r>
                  <w:r>
                    <w:rPr>
                      <w:bCs/>
                    </w:rPr>
                    <w:t>GB16889</w:t>
                  </w:r>
                  <w:r>
                    <w:rPr>
                      <w:rFonts w:hint="eastAsia" w:ascii="宋体" w:hAnsi="宋体" w:cs="宋体"/>
                      <w:bCs/>
                    </w:rPr>
                    <w:t>执行</w:t>
                  </w:r>
                </w:p>
              </w:tc>
              <w:tc>
                <w:tcPr>
                  <w:tcW w:w="652" w:type="dxa"/>
                  <w:shd w:val="clear" w:color="auto" w:fill="auto"/>
                  <w:vAlign w:val="center"/>
                </w:tcPr>
                <w:p>
                  <w:pPr>
                    <w:pStyle w:val="164"/>
                    <w:rPr>
                      <w:bCs/>
                      <w:color w:val="FF0000"/>
                    </w:rPr>
                  </w:pPr>
                  <w:r>
                    <w:rPr>
                      <w:rFonts w:hint="eastAsia" w:ascii="宋体" w:hAnsi="宋体" w:cs="宋体"/>
                      <w:bCs/>
                    </w:rPr>
                    <w:t>以新带老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50" w:type="dxa"/>
                  <w:vMerge w:val="continue"/>
                  <w:shd w:val="clear" w:color="auto" w:fill="auto"/>
                  <w:vAlign w:val="center"/>
                </w:tcPr>
                <w:p>
                  <w:pPr>
                    <w:pStyle w:val="164"/>
                    <w:rPr>
                      <w:bCs/>
                      <w:color w:val="FF0000"/>
                    </w:rPr>
                  </w:pPr>
                </w:p>
              </w:tc>
              <w:tc>
                <w:tcPr>
                  <w:tcW w:w="1276" w:type="dxa"/>
                  <w:shd w:val="clear" w:color="auto" w:fill="auto"/>
                  <w:vAlign w:val="center"/>
                </w:tcPr>
                <w:p>
                  <w:pPr>
                    <w:pStyle w:val="164"/>
                    <w:rPr>
                      <w:bCs/>
                    </w:rPr>
                  </w:pPr>
                  <w:r>
                    <w:rPr>
                      <w:rFonts w:hint="eastAsia" w:ascii="宋体" w:hAnsi="宋体" w:cs="宋体"/>
                      <w:bCs/>
                    </w:rPr>
                    <w:t>风险防范措施</w:t>
                  </w:r>
                </w:p>
              </w:tc>
              <w:tc>
                <w:tcPr>
                  <w:tcW w:w="6127" w:type="dxa"/>
                  <w:gridSpan w:val="2"/>
                  <w:shd w:val="clear" w:color="auto" w:fill="auto"/>
                  <w:vAlign w:val="center"/>
                </w:tcPr>
                <w:p>
                  <w:pPr>
                    <w:pStyle w:val="164"/>
                  </w:pPr>
                  <w:r>
                    <w:rPr>
                      <w:rFonts w:hint="eastAsia" w:ascii="宋体" w:hAnsi="宋体" w:cs="宋体"/>
                    </w:rPr>
                    <w:t>（</w:t>
                  </w:r>
                  <w:r>
                    <w:rPr>
                      <w:rFonts w:hint="eastAsia"/>
                    </w:rPr>
                    <w:t>1</w:t>
                  </w:r>
                  <w:r>
                    <w:rPr>
                      <w:rFonts w:hint="eastAsia" w:ascii="宋体" w:hAnsi="宋体" w:cs="宋体"/>
                    </w:rPr>
                    <w:t>）库房和喷漆房等有易燃物质的区域严禁明火；</w:t>
                  </w:r>
                </w:p>
                <w:p>
                  <w:pPr>
                    <w:pStyle w:val="164"/>
                  </w:pPr>
                  <w:r>
                    <w:rPr>
                      <w:rFonts w:hint="eastAsia" w:ascii="宋体" w:hAnsi="宋体" w:cs="宋体"/>
                    </w:rPr>
                    <w:t>（</w:t>
                  </w:r>
                  <w:r>
                    <w:rPr>
                      <w:rFonts w:hint="eastAsia"/>
                    </w:rPr>
                    <w:t>2</w:t>
                  </w:r>
                  <w:r>
                    <w:rPr>
                      <w:rFonts w:hint="eastAsia" w:ascii="宋体" w:hAnsi="宋体" w:cs="宋体"/>
                    </w:rPr>
                    <w:t>）生产车间配备相应品种和数量的消防器材及泄漏应急处理设备；倒空的容器可能残留危险物质，严禁乱堆放；</w:t>
                  </w:r>
                </w:p>
                <w:p>
                  <w:pPr>
                    <w:pStyle w:val="164"/>
                  </w:pPr>
                  <w:r>
                    <w:rPr>
                      <w:rFonts w:hint="eastAsia" w:ascii="宋体" w:hAnsi="宋体" w:cs="宋体"/>
                    </w:rPr>
                    <w:t>（</w:t>
                  </w:r>
                  <w:r>
                    <w:rPr>
                      <w:rFonts w:hint="eastAsia"/>
                    </w:rPr>
                    <w:t>3</w:t>
                  </w:r>
                  <w:r>
                    <w:rPr>
                      <w:rFonts w:hint="eastAsia" w:ascii="宋体" w:hAnsi="宋体" w:cs="宋体"/>
                    </w:rPr>
                    <w:t>）涂料库房设置可燃气体报警装置；</w:t>
                  </w:r>
                </w:p>
                <w:p>
                  <w:pPr>
                    <w:pStyle w:val="164"/>
                    <w:rPr>
                      <w:rFonts w:ascii="宋体" w:hAnsi="宋体" w:cs="宋体"/>
                    </w:rPr>
                  </w:pPr>
                  <w:r>
                    <w:rPr>
                      <w:rFonts w:hint="eastAsia" w:ascii="宋体" w:hAnsi="宋体" w:cs="宋体"/>
                    </w:rPr>
                    <w:t>（</w:t>
                  </w:r>
                  <w:r>
                    <w:rPr>
                      <w:rFonts w:hint="eastAsia"/>
                    </w:rPr>
                    <w:t>4</w:t>
                  </w:r>
                  <w:r>
                    <w:rPr>
                      <w:rFonts w:hint="eastAsia" w:ascii="宋体" w:hAnsi="宋体" w:cs="宋体"/>
                    </w:rPr>
                    <w:t>）油料库房必须阴凉、干燥、通风良好；水性漆、白乳胶、热熔胶、润滑油和废油存放点必须远离火种、热源，避免阳光直射。存放点周围应配备吸附材料、托盘等；并对地面进行防渗硬化处理，防渗层的防渗性能不应低于</w:t>
                  </w:r>
                  <w:r>
                    <w:t>6.0m</w:t>
                  </w:r>
                  <w:r>
                    <w:rPr>
                      <w:rFonts w:hint="eastAsia" w:ascii="宋体" w:hAnsi="宋体" w:cs="宋体"/>
                    </w:rPr>
                    <w:t>厚渗透系数为</w:t>
                  </w:r>
                  <w:r>
                    <w:t>1.0×10</w:t>
                  </w:r>
                  <w:r>
                    <w:rPr>
                      <w:vertAlign w:val="superscript"/>
                    </w:rPr>
                    <w:t>-7</w:t>
                  </w:r>
                  <w:r>
                    <w:t>cm/s</w:t>
                  </w:r>
                  <w:r>
                    <w:rPr>
                      <w:rFonts w:hint="eastAsia" w:ascii="宋体" w:hAnsi="宋体" w:cs="宋体"/>
                    </w:rPr>
                    <w:t>的黏土层的防渗性能；预留空桶，方便泄漏时及时转桶。</w:t>
                  </w:r>
                </w:p>
                <w:p>
                  <w:pPr>
                    <w:pStyle w:val="164"/>
                    <w:rPr>
                      <w:rFonts w:ascii="宋体" w:hAnsi="宋体" w:cs="宋体"/>
                    </w:rPr>
                  </w:pPr>
                  <w:r>
                    <w:rPr>
                      <w:rFonts w:hint="eastAsia" w:ascii="宋体" w:hAnsi="宋体" w:cs="宋体"/>
                    </w:rPr>
                    <w:t>（5）雨水排口设置截断阀、防止消防废水外流。</w:t>
                  </w:r>
                </w:p>
                <w:p>
                  <w:pPr>
                    <w:pStyle w:val="164"/>
                  </w:pPr>
                  <w:r>
                    <w:rPr>
                      <w:rFonts w:hint="eastAsia" w:ascii="宋体" w:hAnsi="宋体" w:cs="宋体"/>
                    </w:rPr>
                    <w:t>（6）厂区设置防洪沙袋、防止消防废水外流。</w:t>
                  </w:r>
                </w:p>
              </w:tc>
              <w:tc>
                <w:tcPr>
                  <w:tcW w:w="652" w:type="dxa"/>
                  <w:shd w:val="clear" w:color="auto" w:fill="auto"/>
                  <w:vAlign w:val="center"/>
                </w:tcPr>
                <w:p>
                  <w:pPr>
                    <w:pStyle w:val="164"/>
                    <w:rPr>
                      <w:bCs/>
                      <w:color w:val="FF0000"/>
                    </w:rPr>
                  </w:pPr>
                  <w:r>
                    <w:rPr>
                      <w:rFonts w:hint="eastAsia" w:ascii="宋体" w:hAnsi="宋体" w:cs="宋体"/>
                      <w:bCs/>
                    </w:rPr>
                    <w:t>以新带老</w:t>
                  </w:r>
                </w:p>
              </w:tc>
            </w:tr>
          </w:tbl>
          <w:p>
            <w:pPr>
              <w:autoSpaceDN w:val="0"/>
              <w:jc w:val="center"/>
              <w:textAlignment w:val="center"/>
            </w:pPr>
            <w:r>
              <w:rPr>
                <w:rFonts w:hint="eastAsia"/>
              </w:rPr>
              <w:t>表</w:t>
            </w:r>
            <w:r>
              <w:fldChar w:fldCharType="begin"/>
            </w:r>
            <w:r>
              <w:instrText xml:space="preserve">STYLEREF 2 \s</w:instrText>
            </w:r>
            <w:r>
              <w:fldChar w:fldCharType="separate"/>
            </w:r>
            <w:r>
              <w:t>2.</w:t>
            </w:r>
            <w:r>
              <w:rPr>
                <w:rFonts w:hint="eastAsia"/>
              </w:rPr>
              <w:t>4</w:t>
            </w:r>
            <w:r>
              <w:fldChar w:fldCharType="end"/>
            </w:r>
            <w:r>
              <w:noBreakHyphen/>
            </w:r>
            <w:r>
              <w:fldChar w:fldCharType="begin"/>
            </w:r>
            <w:r>
              <w:rPr>
                <w:rFonts w:hint="eastAsia"/>
              </w:rPr>
              <w:instrText xml:space="preserve">SEQ 表 \* ARABIC \s 2</w:instrText>
            </w:r>
            <w:r>
              <w:fldChar w:fldCharType="separate"/>
            </w:r>
            <w:r>
              <w:t>2</w:t>
            </w:r>
            <w:r>
              <w:fldChar w:fldCharType="end"/>
            </w:r>
            <w:r>
              <w:rPr>
                <w:rFonts w:hint="eastAsia"/>
              </w:rPr>
              <w:t xml:space="preserve">  依托项目及其可行性分析</w:t>
            </w:r>
          </w:p>
          <w:tbl>
            <w:tblPr>
              <w:tblStyle w:val="162"/>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2"/>
              <w:gridCol w:w="1609"/>
              <w:gridCol w:w="3509"/>
              <w:gridCol w:w="26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shd w:val="clear" w:color="auto" w:fill="auto"/>
                  <w:vAlign w:val="center"/>
                </w:tcPr>
                <w:p>
                  <w:pPr>
                    <w:pStyle w:val="164"/>
                    <w:rPr>
                      <w:b/>
                    </w:rPr>
                  </w:pPr>
                  <w:r>
                    <w:rPr>
                      <w:b w:val="0"/>
                    </w:rPr>
                    <w:t>工程分类</w:t>
                  </w:r>
                </w:p>
              </w:tc>
              <w:tc>
                <w:tcPr>
                  <w:tcW w:w="5118" w:type="dxa"/>
                  <w:gridSpan w:val="2"/>
                  <w:shd w:val="clear" w:color="auto" w:fill="auto"/>
                  <w:vAlign w:val="center"/>
                </w:tcPr>
                <w:p>
                  <w:pPr>
                    <w:pStyle w:val="164"/>
                    <w:rPr>
                      <w:b/>
                    </w:rPr>
                  </w:pPr>
                  <w:r>
                    <w:rPr>
                      <w:b w:val="0"/>
                    </w:rPr>
                    <w:t>依托</w:t>
                  </w:r>
                  <w:r>
                    <w:rPr>
                      <w:rFonts w:hint="eastAsia"/>
                      <w:b w:val="0"/>
                    </w:rPr>
                    <w:t>内容</w:t>
                  </w:r>
                </w:p>
              </w:tc>
              <w:tc>
                <w:tcPr>
                  <w:tcW w:w="2625" w:type="dxa"/>
                  <w:shd w:val="clear" w:color="auto" w:fill="auto"/>
                  <w:vAlign w:val="center"/>
                </w:tcPr>
                <w:p>
                  <w:pPr>
                    <w:pStyle w:val="164"/>
                    <w:rPr>
                      <w:b/>
                    </w:rPr>
                  </w:pPr>
                  <w:r>
                    <w:rPr>
                      <w:b w:val="0"/>
                    </w:rPr>
                    <w:t>依托可行性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vMerge w:val="restart"/>
                  <w:shd w:val="clear" w:color="auto" w:fill="auto"/>
                  <w:vAlign w:val="center"/>
                </w:tcPr>
                <w:p>
                  <w:pPr>
                    <w:pStyle w:val="164"/>
                  </w:pPr>
                  <w:r>
                    <w:t>公用工程</w:t>
                  </w:r>
                </w:p>
              </w:tc>
              <w:tc>
                <w:tcPr>
                  <w:tcW w:w="1609" w:type="dxa"/>
                  <w:shd w:val="clear" w:color="auto" w:fill="auto"/>
                  <w:vAlign w:val="center"/>
                </w:tcPr>
                <w:p>
                  <w:pPr>
                    <w:pStyle w:val="164"/>
                  </w:pPr>
                  <w:r>
                    <w:t>供电系统</w:t>
                  </w:r>
                </w:p>
              </w:tc>
              <w:tc>
                <w:tcPr>
                  <w:tcW w:w="3509" w:type="dxa"/>
                  <w:shd w:val="clear" w:color="auto" w:fill="auto"/>
                  <w:vAlign w:val="center"/>
                </w:tcPr>
                <w:p>
                  <w:pPr>
                    <w:pStyle w:val="164"/>
                  </w:pPr>
                  <w:r>
                    <w:t>由</w:t>
                  </w:r>
                  <w:r>
                    <w:rPr>
                      <w:rFonts w:hint="eastAsia"/>
                    </w:rPr>
                    <w:t>园区</w:t>
                  </w:r>
                  <w:r>
                    <w:t>电网接入</w:t>
                  </w:r>
                </w:p>
              </w:tc>
              <w:tc>
                <w:tcPr>
                  <w:tcW w:w="2625" w:type="dxa"/>
                  <w:shd w:val="clear" w:color="auto" w:fill="auto"/>
                  <w:vAlign w:val="center"/>
                </w:tcPr>
                <w:p>
                  <w:pPr>
                    <w:pStyle w:val="164"/>
                  </w:pPr>
                  <w:r>
                    <w:t>供水设施已建设完善，依托可行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vMerge w:val="continue"/>
                  <w:shd w:val="clear" w:color="auto" w:fill="auto"/>
                  <w:vAlign w:val="center"/>
                </w:tcPr>
                <w:p>
                  <w:pPr>
                    <w:pStyle w:val="164"/>
                  </w:pPr>
                </w:p>
              </w:tc>
              <w:tc>
                <w:tcPr>
                  <w:tcW w:w="1609" w:type="dxa"/>
                  <w:shd w:val="clear" w:color="auto" w:fill="auto"/>
                  <w:vAlign w:val="center"/>
                </w:tcPr>
                <w:p>
                  <w:pPr>
                    <w:pStyle w:val="164"/>
                  </w:pPr>
                  <w:r>
                    <w:t>供水系统</w:t>
                  </w:r>
                </w:p>
              </w:tc>
              <w:tc>
                <w:tcPr>
                  <w:tcW w:w="3509" w:type="dxa"/>
                  <w:shd w:val="clear" w:color="auto" w:fill="auto"/>
                  <w:vAlign w:val="center"/>
                </w:tcPr>
                <w:p>
                  <w:pPr>
                    <w:pStyle w:val="164"/>
                  </w:pPr>
                  <w:r>
                    <w:t>依托租赁厂房现有管网，接入市政给水</w:t>
                  </w:r>
                </w:p>
              </w:tc>
              <w:tc>
                <w:tcPr>
                  <w:tcW w:w="2625" w:type="dxa"/>
                  <w:shd w:val="clear" w:color="auto" w:fill="auto"/>
                  <w:vAlign w:val="center"/>
                </w:tcPr>
                <w:p>
                  <w:pPr>
                    <w:pStyle w:val="164"/>
                  </w:pPr>
                  <w:r>
                    <w:t>供电设施已建设完善，依托可行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vMerge w:val="continue"/>
                  <w:shd w:val="clear" w:color="auto" w:fill="auto"/>
                  <w:vAlign w:val="center"/>
                </w:tcPr>
                <w:p>
                  <w:pPr>
                    <w:pStyle w:val="164"/>
                  </w:pPr>
                </w:p>
              </w:tc>
              <w:tc>
                <w:tcPr>
                  <w:tcW w:w="1609" w:type="dxa"/>
                  <w:shd w:val="clear" w:color="auto" w:fill="auto"/>
                  <w:vAlign w:val="center"/>
                </w:tcPr>
                <w:p>
                  <w:pPr>
                    <w:pStyle w:val="164"/>
                  </w:pPr>
                  <w:r>
                    <w:t>排水系统</w:t>
                  </w:r>
                </w:p>
              </w:tc>
              <w:tc>
                <w:tcPr>
                  <w:tcW w:w="3509" w:type="dxa"/>
                  <w:shd w:val="clear" w:color="auto" w:fill="auto"/>
                  <w:vAlign w:val="center"/>
                </w:tcPr>
                <w:p>
                  <w:pPr>
                    <w:pStyle w:val="164"/>
                  </w:pPr>
                  <w:r>
                    <w:t>雨污分流，雨水接入厂区雨水管网，</w:t>
                  </w:r>
                  <w:r>
                    <w:rPr>
                      <w:rFonts w:hint="eastAsia"/>
                    </w:rPr>
                    <w:t>生活</w:t>
                  </w:r>
                  <w:r>
                    <w:t>污水</w:t>
                  </w:r>
                  <w:r>
                    <w:rPr>
                      <w:rFonts w:hint="eastAsia"/>
                    </w:rPr>
                    <w:t>排放依托重客实业排水系统</w:t>
                  </w:r>
                </w:p>
              </w:tc>
              <w:tc>
                <w:tcPr>
                  <w:tcW w:w="2625" w:type="dxa"/>
                  <w:shd w:val="clear" w:color="auto" w:fill="auto"/>
                  <w:vAlign w:val="center"/>
                </w:tcPr>
                <w:p>
                  <w:pPr>
                    <w:pStyle w:val="164"/>
                  </w:pPr>
                  <w:r>
                    <w:t>排水系统已建设完善，依托可行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shd w:val="clear" w:color="auto" w:fill="auto"/>
                  <w:vAlign w:val="center"/>
                </w:tcPr>
                <w:p>
                  <w:pPr>
                    <w:pStyle w:val="164"/>
                  </w:pPr>
                  <w:r>
                    <w:rPr>
                      <w:rFonts w:hint="eastAsia"/>
                    </w:rPr>
                    <w:t>主体</w:t>
                  </w:r>
                  <w:r>
                    <w:t>工程</w:t>
                  </w:r>
                </w:p>
              </w:tc>
              <w:tc>
                <w:tcPr>
                  <w:tcW w:w="1609" w:type="dxa"/>
                  <w:shd w:val="clear" w:color="auto" w:fill="auto"/>
                  <w:vAlign w:val="center"/>
                </w:tcPr>
                <w:p>
                  <w:pPr>
                    <w:pStyle w:val="164"/>
                  </w:pPr>
                  <w:r>
                    <w:rPr>
                      <w:rFonts w:hint="eastAsia"/>
                    </w:rPr>
                    <w:t>软包车间</w:t>
                  </w:r>
                </w:p>
              </w:tc>
              <w:tc>
                <w:tcPr>
                  <w:tcW w:w="3509" w:type="dxa"/>
                  <w:shd w:val="clear" w:color="auto" w:fill="auto"/>
                  <w:vAlign w:val="center"/>
                </w:tcPr>
                <w:p>
                  <w:pPr>
                    <w:pStyle w:val="164"/>
                  </w:pPr>
                  <w:r>
                    <w:rPr>
                      <w:rFonts w:hint="eastAsia"/>
                    </w:rPr>
                    <w:t>不</w:t>
                  </w:r>
                  <w:r>
                    <w:t>新增软包工位</w:t>
                  </w:r>
                </w:p>
              </w:tc>
              <w:tc>
                <w:tcPr>
                  <w:tcW w:w="2625" w:type="dxa"/>
                  <w:shd w:val="clear" w:color="auto" w:fill="auto"/>
                  <w:vAlign w:val="center"/>
                </w:tcPr>
                <w:p>
                  <w:pPr>
                    <w:pStyle w:val="164"/>
                  </w:pPr>
                  <w:r>
                    <w:rPr>
                      <w:rFonts w:hint="eastAsia"/>
                    </w:rPr>
                    <w:t>软包工位</w:t>
                  </w:r>
                  <w:r>
                    <w:t>增加加工人员实现</w:t>
                  </w:r>
                  <w:r>
                    <w:rPr>
                      <w:rFonts w:hint="eastAsia"/>
                    </w:rPr>
                    <w:t>，</w:t>
                  </w:r>
                  <w:r>
                    <w:t>依托可行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vMerge w:val="restart"/>
                  <w:shd w:val="clear" w:color="auto" w:fill="auto"/>
                  <w:vAlign w:val="center"/>
                </w:tcPr>
                <w:p>
                  <w:pPr>
                    <w:pStyle w:val="164"/>
                  </w:pPr>
                  <w:r>
                    <w:t>储运</w:t>
                  </w:r>
                </w:p>
                <w:p>
                  <w:pPr>
                    <w:pStyle w:val="164"/>
                  </w:pPr>
                  <w:r>
                    <w:t>工程</w:t>
                  </w:r>
                </w:p>
              </w:tc>
              <w:tc>
                <w:tcPr>
                  <w:tcW w:w="1609" w:type="dxa"/>
                  <w:shd w:val="clear" w:color="auto" w:fill="auto"/>
                  <w:vAlign w:val="center"/>
                </w:tcPr>
                <w:p>
                  <w:pPr>
                    <w:pStyle w:val="164"/>
                  </w:pPr>
                  <w:r>
                    <w:rPr>
                      <w:rFonts w:hint="eastAsia"/>
                    </w:rPr>
                    <w:t>原料库房</w:t>
                  </w:r>
                </w:p>
              </w:tc>
              <w:tc>
                <w:tcPr>
                  <w:tcW w:w="3509" w:type="dxa"/>
                  <w:shd w:val="clear" w:color="auto" w:fill="auto"/>
                  <w:vAlign w:val="center"/>
                </w:tcPr>
                <w:p>
                  <w:pPr>
                    <w:pStyle w:val="164"/>
                  </w:pPr>
                  <w:r>
                    <w:rPr>
                      <w:rFonts w:hint="eastAsia"/>
                    </w:rPr>
                    <w:t>原料木板等存放</w:t>
                  </w:r>
                </w:p>
              </w:tc>
              <w:tc>
                <w:tcPr>
                  <w:tcW w:w="2625" w:type="dxa"/>
                  <w:shd w:val="clear" w:color="auto" w:fill="auto"/>
                  <w:vAlign w:val="center"/>
                </w:tcPr>
                <w:p>
                  <w:pPr>
                    <w:pStyle w:val="164"/>
                  </w:pPr>
                  <w:r>
                    <w:t>增加运输</w:t>
                  </w:r>
                  <w:r>
                    <w:rPr>
                      <w:rFonts w:hint="eastAsia"/>
                    </w:rPr>
                    <w:t>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vMerge w:val="continue"/>
                  <w:shd w:val="clear" w:color="auto" w:fill="auto"/>
                  <w:vAlign w:val="center"/>
                </w:tcPr>
                <w:p>
                  <w:pPr>
                    <w:pStyle w:val="164"/>
                  </w:pPr>
                </w:p>
              </w:tc>
              <w:tc>
                <w:tcPr>
                  <w:tcW w:w="1609" w:type="dxa"/>
                  <w:shd w:val="clear" w:color="auto" w:fill="auto"/>
                  <w:vAlign w:val="center"/>
                </w:tcPr>
                <w:p>
                  <w:pPr>
                    <w:pStyle w:val="164"/>
                  </w:pPr>
                  <w:r>
                    <w:rPr>
                      <w:rFonts w:hint="eastAsia"/>
                    </w:rPr>
                    <w:t>涂料</w:t>
                  </w:r>
                  <w:r>
                    <w:t>库房</w:t>
                  </w:r>
                </w:p>
              </w:tc>
              <w:tc>
                <w:tcPr>
                  <w:tcW w:w="3509" w:type="dxa"/>
                  <w:shd w:val="clear" w:color="auto" w:fill="auto"/>
                  <w:vAlign w:val="center"/>
                </w:tcPr>
                <w:p>
                  <w:pPr>
                    <w:pStyle w:val="164"/>
                  </w:pPr>
                  <w:r>
                    <w:rPr>
                      <w:rFonts w:hint="eastAsia"/>
                    </w:rPr>
                    <w:t>油漆储存</w:t>
                  </w:r>
                </w:p>
              </w:tc>
              <w:tc>
                <w:tcPr>
                  <w:tcW w:w="2625" w:type="dxa"/>
                  <w:shd w:val="clear" w:color="auto" w:fill="auto"/>
                  <w:vAlign w:val="center"/>
                </w:tcPr>
                <w:p>
                  <w:pPr>
                    <w:pStyle w:val="164"/>
                  </w:pPr>
                  <w:r>
                    <w:t>增加运输</w:t>
                  </w:r>
                  <w:r>
                    <w:rPr>
                      <w:rFonts w:hint="eastAsia"/>
                    </w:rPr>
                    <w:t>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vMerge w:val="restart"/>
                  <w:shd w:val="clear" w:color="auto" w:fill="auto"/>
                  <w:vAlign w:val="center"/>
                </w:tcPr>
                <w:p>
                  <w:pPr>
                    <w:pStyle w:val="164"/>
                  </w:pPr>
                  <w:r>
                    <w:rPr>
                      <w:rFonts w:hint="eastAsia"/>
                    </w:rPr>
                    <w:t>环保工程</w:t>
                  </w:r>
                </w:p>
              </w:tc>
              <w:tc>
                <w:tcPr>
                  <w:tcW w:w="1609" w:type="dxa"/>
                  <w:shd w:val="clear" w:color="auto" w:fill="auto"/>
                  <w:vAlign w:val="center"/>
                </w:tcPr>
                <w:p>
                  <w:pPr>
                    <w:pStyle w:val="164"/>
                  </w:pPr>
                  <w:r>
                    <w:t>一般工业固体废物</w:t>
                  </w:r>
                  <w:r>
                    <w:rPr>
                      <w:rFonts w:hint="eastAsia"/>
                    </w:rPr>
                    <w:t>暂存间</w:t>
                  </w:r>
                </w:p>
              </w:tc>
              <w:tc>
                <w:tcPr>
                  <w:tcW w:w="3509" w:type="dxa"/>
                  <w:shd w:val="clear" w:color="auto" w:fill="auto"/>
                  <w:vAlign w:val="center"/>
                </w:tcPr>
                <w:p>
                  <w:pPr>
                    <w:pStyle w:val="164"/>
                  </w:pPr>
                  <w:r>
                    <w:t>一般工业固体废物</w:t>
                  </w:r>
                  <w:r>
                    <w:rPr>
                      <w:rFonts w:hint="eastAsia"/>
                    </w:rPr>
                    <w:t>暂存</w:t>
                  </w:r>
                </w:p>
              </w:tc>
              <w:tc>
                <w:tcPr>
                  <w:tcW w:w="2625" w:type="dxa"/>
                  <w:shd w:val="clear" w:color="auto" w:fill="auto"/>
                  <w:vAlign w:val="center"/>
                </w:tcPr>
                <w:p>
                  <w:pPr>
                    <w:pStyle w:val="164"/>
                  </w:pPr>
                  <w:r>
                    <w:t>增加处置频次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2" w:type="dxa"/>
                  <w:vMerge w:val="continue"/>
                  <w:shd w:val="clear" w:color="auto" w:fill="auto"/>
                  <w:vAlign w:val="center"/>
                </w:tcPr>
                <w:p>
                  <w:pPr>
                    <w:pStyle w:val="164"/>
                  </w:pPr>
                </w:p>
              </w:tc>
              <w:tc>
                <w:tcPr>
                  <w:tcW w:w="1609" w:type="dxa"/>
                  <w:shd w:val="clear" w:color="auto" w:fill="auto"/>
                  <w:vAlign w:val="center"/>
                </w:tcPr>
                <w:p>
                  <w:pPr>
                    <w:pStyle w:val="164"/>
                  </w:pPr>
                  <w:r>
                    <w:t>危险废物</w:t>
                  </w:r>
                  <w:r>
                    <w:rPr>
                      <w:rFonts w:hint="eastAsia"/>
                    </w:rPr>
                    <w:t>暂存间</w:t>
                  </w:r>
                </w:p>
              </w:tc>
              <w:tc>
                <w:tcPr>
                  <w:tcW w:w="3509" w:type="dxa"/>
                  <w:shd w:val="clear" w:color="auto" w:fill="auto"/>
                  <w:vAlign w:val="center"/>
                </w:tcPr>
                <w:p>
                  <w:pPr>
                    <w:pStyle w:val="164"/>
                  </w:pPr>
                  <w:r>
                    <w:t>危险废物</w:t>
                  </w:r>
                  <w:r>
                    <w:rPr>
                      <w:rFonts w:hint="eastAsia"/>
                    </w:rPr>
                    <w:t>暂存</w:t>
                  </w:r>
                </w:p>
              </w:tc>
              <w:tc>
                <w:tcPr>
                  <w:tcW w:w="2625" w:type="dxa"/>
                  <w:shd w:val="clear" w:color="auto" w:fill="auto"/>
                  <w:vAlign w:val="center"/>
                </w:tcPr>
                <w:p>
                  <w:pPr>
                    <w:pStyle w:val="164"/>
                  </w:pPr>
                  <w:r>
                    <w:t>增加处置频次</w:t>
                  </w:r>
                </w:p>
              </w:tc>
            </w:tr>
            <w:bookmarkEnd w:id="10"/>
          </w:tbl>
          <w:p>
            <w:pPr>
              <w:pStyle w:val="3"/>
              <w:tabs>
                <w:tab w:val="left" w:pos="269"/>
                <w:tab w:val="left" w:pos="371"/>
                <w:tab w:val="left" w:pos="432"/>
              </w:tabs>
              <w:adjustRightInd w:val="0"/>
              <w:jc w:val="left"/>
              <w:rPr>
                <w:rFonts w:ascii="宋体" w:hAnsi="宋体"/>
                <w:bCs w:val="0"/>
                <w:sz w:val="24"/>
                <w:szCs w:val="22"/>
              </w:rPr>
            </w:pPr>
            <w:bookmarkStart w:id="11" w:name="_Toc64363749"/>
            <w:r>
              <w:rPr>
                <w:rFonts w:hint="eastAsia" w:ascii="宋体" w:hAnsi="宋体"/>
                <w:bCs w:val="0"/>
                <w:sz w:val="24"/>
                <w:szCs w:val="22"/>
              </w:rPr>
              <w:t>2.5 储运工程</w:t>
            </w:r>
            <w:bookmarkEnd w:id="11"/>
          </w:p>
          <w:p>
            <w:pPr>
              <w:pStyle w:val="160"/>
              <w:ind w:firstLine="480"/>
            </w:pPr>
            <w:r>
              <w:rPr>
                <w:rFonts w:hint="eastAsia"/>
              </w:rPr>
              <w:t>扩建项目所需原辅材料</w:t>
            </w:r>
            <w:r>
              <w:rPr>
                <w:rFonts w:hint="eastAsia"/>
                <w:lang w:eastAsia="zh-CN"/>
              </w:rPr>
              <w:t>及</w:t>
            </w:r>
            <w:r>
              <w:rPr>
                <w:rFonts w:hint="eastAsia"/>
              </w:rPr>
              <w:t>生产的产品均采用公路运输，运输由供货厂家、用户或社会运输部门负责，场区内运输采用叉车等。</w:t>
            </w:r>
          </w:p>
          <w:p>
            <w:pPr>
              <w:pStyle w:val="160"/>
              <w:ind w:firstLine="480"/>
            </w:pPr>
            <w:r>
              <w:rPr>
                <w:rFonts w:hint="eastAsia"/>
              </w:rPr>
              <w:t>扩建项目原辅材料及产品储存情况见表2.5-1。</w:t>
            </w:r>
          </w:p>
          <w:p>
            <w:pPr>
              <w:autoSpaceDE w:val="0"/>
              <w:autoSpaceDN w:val="0"/>
              <w:jc w:val="center"/>
              <w:rPr>
                <w:rFonts w:ascii="宋体" w:hAnsi="宋体"/>
              </w:rPr>
            </w:pPr>
            <w:r>
              <w:rPr>
                <w:rFonts w:hint="eastAsia" w:ascii="宋体" w:hAnsi="宋体"/>
              </w:rPr>
              <w:t>表2.5-1  扩建项目原辅材料及成品储存情况一览表（全厂）</w:t>
            </w:r>
          </w:p>
          <w:tbl>
            <w:tblPr>
              <w:tblStyle w:val="88"/>
              <w:tblW w:w="8505" w:type="dxa"/>
              <w:tblInd w:w="0" w:type="dxa"/>
              <w:tblLayout w:type="fixed"/>
              <w:tblCellMar>
                <w:top w:w="0" w:type="dxa"/>
                <w:left w:w="108" w:type="dxa"/>
                <w:bottom w:w="0" w:type="dxa"/>
                <w:right w:w="108" w:type="dxa"/>
              </w:tblCellMar>
            </w:tblPr>
            <w:tblGrid>
              <w:gridCol w:w="1830"/>
              <w:gridCol w:w="1535"/>
              <w:gridCol w:w="1535"/>
              <w:gridCol w:w="1502"/>
              <w:gridCol w:w="2103"/>
            </w:tblGrid>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名称</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单位</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最大储存量</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储存方式</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备注</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中纤板</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密度板</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多层实木板</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实木</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封边条</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3</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热熔胶</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20kg/袋</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包装纸</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张</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1万</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五金配件</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套</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1000套</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润滑油</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0.1</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21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化学品库房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水性面漆</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0.5</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水性底漆</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0.5</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油性底漆</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0.5</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油性面漆</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0.5</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固化剂</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0.5</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10kg/桶</w:t>
                  </w:r>
                </w:p>
              </w:tc>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稀释剂</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1</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10kg/桶</w:t>
                  </w:r>
                </w:p>
              </w:tc>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UV油漆</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0.1</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砂纸</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张</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200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白乳胶（拼板）</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漆渣絮凝剂</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0.1</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25kg/袋</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化学品库房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腻子粉</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0.5</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25kg/袋</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五金部件</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手套</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副</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2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bl>
          <w:p>
            <w:pPr>
              <w:autoSpaceDE w:val="0"/>
              <w:autoSpaceDN w:val="0"/>
              <w:jc w:val="center"/>
              <w:rPr>
                <w:rFonts w:ascii="宋体" w:hAnsi="宋体"/>
              </w:rPr>
            </w:pPr>
          </w:p>
          <w:p>
            <w:pPr>
              <w:pStyle w:val="3"/>
              <w:tabs>
                <w:tab w:val="left" w:pos="269"/>
                <w:tab w:val="left" w:pos="371"/>
                <w:tab w:val="left" w:pos="432"/>
              </w:tabs>
              <w:adjustRightInd w:val="0"/>
              <w:jc w:val="left"/>
              <w:rPr>
                <w:rFonts w:ascii="宋体" w:hAnsi="宋体"/>
                <w:bCs w:val="0"/>
                <w:sz w:val="24"/>
                <w:szCs w:val="22"/>
              </w:rPr>
            </w:pPr>
            <w:bookmarkStart w:id="12" w:name="_Toc23843"/>
            <w:bookmarkStart w:id="13" w:name="_Toc64363753"/>
            <w:r>
              <w:rPr>
                <w:rFonts w:hint="eastAsia" w:ascii="宋体" w:hAnsi="宋体"/>
                <w:bCs w:val="0"/>
                <w:sz w:val="24"/>
                <w:szCs w:val="22"/>
              </w:rPr>
              <w:t>2.6  主要生产设备</w:t>
            </w:r>
            <w:bookmarkEnd w:id="12"/>
            <w:bookmarkEnd w:id="13"/>
          </w:p>
          <w:p>
            <w:pPr>
              <w:spacing w:before="24"/>
              <w:ind w:firstLine="420" w:firstLineChars="200"/>
              <w:rPr>
                <w:color w:val="000000"/>
                <w:kern w:val="0"/>
              </w:rPr>
            </w:pPr>
            <w:r>
              <w:rPr>
                <w:rFonts w:hint="eastAsia"/>
                <w:color w:val="000000"/>
                <w:kern w:val="0"/>
              </w:rPr>
              <w:t>主要生产设备见表2.6-1。</w:t>
            </w:r>
          </w:p>
          <w:p>
            <w:pPr>
              <w:widowControl/>
              <w:ind w:firstLine="440"/>
              <w:jc w:val="center"/>
              <w:rPr>
                <w:rFonts w:ascii="宋体" w:hAnsi="宋体" w:cs="宋体"/>
                <w:color w:val="000000"/>
                <w:kern w:val="0"/>
              </w:rPr>
            </w:pPr>
            <w:r>
              <w:rPr>
                <w:rFonts w:hint="eastAsia" w:ascii="宋体" w:hAnsi="宋体" w:cs="宋体"/>
                <w:color w:val="000000"/>
                <w:kern w:val="0"/>
              </w:rPr>
              <w:t>表2.6-1  扩建项目设备清单</w:t>
            </w:r>
          </w:p>
          <w:tbl>
            <w:tblPr>
              <w:tblStyle w:val="88"/>
              <w:tblW w:w="8505" w:type="dxa"/>
              <w:tblInd w:w="0" w:type="dxa"/>
              <w:tblLayout w:type="fixed"/>
              <w:tblCellMar>
                <w:top w:w="0" w:type="dxa"/>
                <w:left w:w="108" w:type="dxa"/>
                <w:bottom w:w="0" w:type="dxa"/>
                <w:right w:w="108" w:type="dxa"/>
              </w:tblCellMar>
            </w:tblPr>
            <w:tblGrid>
              <w:gridCol w:w="593"/>
              <w:gridCol w:w="2730"/>
              <w:gridCol w:w="593"/>
              <w:gridCol w:w="593"/>
              <w:gridCol w:w="3403"/>
              <w:gridCol w:w="593"/>
            </w:tblGrid>
            <w:tr>
              <w:tblPrEx>
                <w:tblLayout w:type="fixed"/>
                <w:tblCellMar>
                  <w:top w:w="0" w:type="dxa"/>
                  <w:left w:w="108" w:type="dxa"/>
                  <w:bottom w:w="0" w:type="dxa"/>
                  <w:right w:w="108" w:type="dxa"/>
                </w:tblCellMar>
              </w:tblPrEx>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pPr>
                  <w:r>
                    <w:rPr>
                      <w:rFonts w:hint="eastAsia"/>
                    </w:rPr>
                    <w:t>序号</w:t>
                  </w:r>
                </w:p>
              </w:tc>
              <w:tc>
                <w:tcPr>
                  <w:tcW w:w="2730"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机器设备名称</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数量</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序号</w:t>
                  </w:r>
                </w:p>
              </w:tc>
              <w:tc>
                <w:tcPr>
                  <w:tcW w:w="340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机器设备名称</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数量</w:t>
                  </w:r>
                </w:p>
              </w:tc>
            </w:tr>
            <w:tr>
              <w:tblPrEx>
                <w:tblLayout w:type="fixed"/>
                <w:tblCellMar>
                  <w:top w:w="0" w:type="dxa"/>
                  <w:left w:w="108" w:type="dxa"/>
                  <w:bottom w:w="0" w:type="dxa"/>
                  <w:right w:w="108" w:type="dxa"/>
                </w:tblCellMar>
              </w:tblPrEx>
              <w:tc>
                <w:tcPr>
                  <w:tcW w:w="8505"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pStyle w:val="164"/>
                  </w:pPr>
                  <w:r>
                    <w:rPr>
                      <w:rFonts w:hint="eastAsia"/>
                    </w:rPr>
                    <w:t>原项目设备</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雕花机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2</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39</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立卧式可调木工钻床</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数控车床1台、螺纹车床1台</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40</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液压双面框架组合机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平板雕刻机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41</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打磨房</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4</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丝杆冷压机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42</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立式震荡砂光机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5</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冷压机（液压）</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43</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全精密补土+单滚涂布机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6</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南兴推台锯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44</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台湾贝特送料器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7</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震邦推台锯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45</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3米皮带输送机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8</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喷漆房及附属设施（面漆、底漆、修色）</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46</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底漆砂光机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9</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变压器和附属设施（630KVA）</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47</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南兴三排钻</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10</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双头门锁机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48</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弘法数控雕刻机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雕刻机3台</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49</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弘法数控开粗机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都铭直铣床</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50</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变频防爆分散机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13</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木线包覆机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51</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14</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木工多片锯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52</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高频烘干机（6立方高频真空干燥设备）</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15</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油压式冷压机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53</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双面涂胶机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16</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双轴仿型铣</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54</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车间电力设施</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17</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自动封边机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55</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博达两头雕刻机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18</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升降平台机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56</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冷冻式干燥机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19</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高频发生机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57</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马氏立式单轴木工镂铣机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20</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双端铣机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58</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马氏立带窜动式磨光机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热压机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59</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中央吸尘设备1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金华木工圆锯机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60</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中央吸尘设备2</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23</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马氏砂布床（卧带式磨光机）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61</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污水处理系统</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24</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马氏双端锯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62</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缝纫机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25</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螺杆式空压机（小）</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63</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绞边机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26</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滚筒流水线</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64</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砂带机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27</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65</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台湾贝特送料器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28</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精密推台锯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66</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29</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木工镂铣床</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67</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电脑锯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30</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立式单轴推台木工铣床</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68</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马氏冷压机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加热器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69</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弯管机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喷砂机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70</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马氏立镂</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33</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45T高频拼板机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71</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五头铰链机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34</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72</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富深木皮涂胶机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35</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数控燕尾榫机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73</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螺杆式空气压缩机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36</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线条砂光机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74</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厂区监控设备及附属设施</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37</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浮雕拉丝机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75</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消防系统及附属设施</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38</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切管套丝机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76</w:t>
                  </w:r>
                </w:p>
              </w:tc>
              <w:tc>
                <w:tcPr>
                  <w:tcW w:w="3403" w:type="dxa"/>
                  <w:tcBorders>
                    <w:top w:val="nil"/>
                    <w:left w:val="nil"/>
                    <w:bottom w:val="single" w:color="auto" w:sz="4" w:space="0"/>
                    <w:right w:val="single" w:color="auto" w:sz="4" w:space="0"/>
                  </w:tcBorders>
                  <w:shd w:val="clear" w:color="auto" w:fill="auto"/>
                  <w:vAlign w:val="center"/>
                </w:tcPr>
                <w:p>
                  <w:pPr>
                    <w:pStyle w:val="164"/>
                  </w:pPr>
                </w:p>
              </w:tc>
              <w:tc>
                <w:tcPr>
                  <w:tcW w:w="593" w:type="dxa"/>
                  <w:tcBorders>
                    <w:top w:val="nil"/>
                    <w:left w:val="nil"/>
                    <w:bottom w:val="single" w:color="auto" w:sz="4" w:space="0"/>
                    <w:right w:val="single" w:color="auto" w:sz="4" w:space="0"/>
                  </w:tcBorders>
                  <w:shd w:val="clear" w:color="auto" w:fill="auto"/>
                  <w:vAlign w:val="center"/>
                </w:tcPr>
                <w:p>
                  <w:pPr>
                    <w:pStyle w:val="164"/>
                  </w:pPr>
                </w:p>
              </w:tc>
            </w:tr>
            <w:tr>
              <w:tblPrEx>
                <w:tblLayout w:type="fixed"/>
                <w:tblCellMar>
                  <w:top w:w="0" w:type="dxa"/>
                  <w:left w:w="108" w:type="dxa"/>
                  <w:bottom w:w="0" w:type="dxa"/>
                  <w:right w:w="108" w:type="dxa"/>
                </w:tblCellMar>
              </w:tblPrEx>
              <w:tc>
                <w:tcPr>
                  <w:tcW w:w="8505" w:type="dxa"/>
                  <w:gridSpan w:val="6"/>
                  <w:tcBorders>
                    <w:top w:val="single" w:color="auto" w:sz="4" w:space="0"/>
                    <w:left w:val="nil"/>
                    <w:bottom w:val="single" w:color="auto" w:sz="4" w:space="0"/>
                    <w:right w:val="nil"/>
                  </w:tcBorders>
                  <w:shd w:val="clear" w:color="auto" w:fill="auto"/>
                  <w:vAlign w:val="center"/>
                </w:tcPr>
                <w:p>
                  <w:pPr>
                    <w:pStyle w:val="164"/>
                  </w:pPr>
                  <w:r>
                    <w:rPr>
                      <w:rFonts w:hint="eastAsia"/>
                    </w:rPr>
                    <w:t>扩建项目新增设备</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同步车（缝纫机）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36</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螺杆空压机（莫希尼压缩机）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绞边机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37</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马氏重型双轴立铣</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断簧机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38</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金林门锁机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4</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折簧机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39</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贺泰吸尘器MF9055(5.5KW)</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2</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5</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马氏立卧式可调木工钻床</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40</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　</w:t>
                  </w:r>
                </w:p>
              </w:tc>
              <w:tc>
                <w:tcPr>
                  <w:tcW w:w="593" w:type="dxa"/>
                  <w:tcBorders>
                    <w:top w:val="nil"/>
                    <w:left w:val="nil"/>
                    <w:bottom w:val="single" w:color="auto" w:sz="4" w:space="0"/>
                    <w:right w:val="single" w:color="auto" w:sz="4" w:space="0"/>
                  </w:tcBorders>
                  <w:shd w:val="clear" w:color="auto" w:fill="auto"/>
                  <w:vAlign w:val="center"/>
                </w:tcPr>
                <w:p>
                  <w:pPr>
                    <w:pStyle w:val="164"/>
                  </w:pP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6</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马氏气动截料锯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41</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公仔棉填充机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7</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马氏吊镂</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42</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马氏压刨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8</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马氏半自动梳齿机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43</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南兴全自动封边机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9</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马氏推台立铣</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44</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威特砂光机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10</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马氏推台立铣</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45</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新鲁MB103DM单面压刨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马氏立镂</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46</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自由式毛砂机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马氏带锯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2</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47</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马氏双端锯MJ243B(双轨2.2米）</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13</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马氏手拉锯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48</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14</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青城自动单片纵锯机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49</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劲马木工推台锯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15</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马氏梳齿对接机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50</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南兴三排钻</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16</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马氏立式海棉砂光机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51</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砂带机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2</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17</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马氏砂布床（卧带式磨光机）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2</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52</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立轴铣</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18</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马氏送料器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53</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梳齿开榫机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19</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马氏震荡砂（立式窜动磨光机）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54</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封边机回转线</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20</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惠科拼缝机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55</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贝特吊环送材机TF76</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马氏推台锯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3</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56</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立式单轴木工铣床</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南兴三排钻</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57</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四轮送料器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23</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南兴手动直线异型封边机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58</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新鲁单面木工压刨床</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24</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精达摆动角度机（45度圆盘锯）</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59</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摇臂式木工圆锯机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25</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伟泓万能磨刀机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60</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龙门锯及附属设施</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26</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志达吸尘站（专用吸尘器）</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61</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固定门架电动葫芦</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27</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威荣液压单板剪切机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62</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数控开料机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28</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威特砂光机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63</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双面涂胶机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29</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伟泓直线磨刀机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64</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数控六面钻</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30</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伟泓自动磨锯机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65</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框锯机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31</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变频防爆分散机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66</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ZETA连接机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nil"/>
                    <w:left w:val="single" w:color="auto" w:sz="4" w:space="0"/>
                    <w:bottom w:val="single" w:color="auto" w:sz="4" w:space="0"/>
                    <w:right w:val="single" w:color="auto" w:sz="4" w:space="0"/>
                  </w:tcBorders>
                  <w:shd w:val="clear" w:color="auto" w:fill="auto"/>
                  <w:vAlign w:val="center"/>
                </w:tcPr>
                <w:p>
                  <w:pPr>
                    <w:pStyle w:val="164"/>
                  </w:pPr>
                  <w:r>
                    <w:rPr>
                      <w:rFonts w:hint="eastAsia"/>
                    </w:rPr>
                    <w:t>32</w:t>
                  </w:r>
                </w:p>
              </w:tc>
              <w:tc>
                <w:tcPr>
                  <w:tcW w:w="2730" w:type="dxa"/>
                  <w:tcBorders>
                    <w:top w:val="nil"/>
                    <w:left w:val="nil"/>
                    <w:bottom w:val="single" w:color="auto" w:sz="4" w:space="0"/>
                    <w:right w:val="single" w:color="auto" w:sz="4" w:space="0"/>
                  </w:tcBorders>
                  <w:shd w:val="clear" w:color="auto" w:fill="auto"/>
                  <w:vAlign w:val="center"/>
                </w:tcPr>
                <w:p>
                  <w:pPr>
                    <w:pStyle w:val="164"/>
                  </w:pPr>
                  <w:r>
                    <w:rPr>
                      <w:rFonts w:hint="eastAsia"/>
                    </w:rPr>
                    <w:t>奥马三层热压机</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67</w:t>
                  </w:r>
                </w:p>
              </w:tc>
              <w:tc>
                <w:tcPr>
                  <w:tcW w:w="3403" w:type="dxa"/>
                  <w:tcBorders>
                    <w:top w:val="nil"/>
                    <w:left w:val="nil"/>
                    <w:bottom w:val="single" w:color="auto" w:sz="4" w:space="0"/>
                    <w:right w:val="single" w:color="auto" w:sz="4" w:space="0"/>
                  </w:tcBorders>
                  <w:shd w:val="clear" w:color="auto" w:fill="auto"/>
                  <w:vAlign w:val="center"/>
                </w:tcPr>
                <w:p>
                  <w:pPr>
                    <w:pStyle w:val="164"/>
                  </w:pPr>
                  <w:r>
                    <w:rPr>
                      <w:rFonts w:hint="eastAsia"/>
                    </w:rPr>
                    <w:t>优化排版软件</w:t>
                  </w:r>
                </w:p>
              </w:tc>
              <w:tc>
                <w:tcPr>
                  <w:tcW w:w="593" w:type="dxa"/>
                  <w:tcBorders>
                    <w:top w:val="nil"/>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pPr>
                  <w:r>
                    <w:rPr>
                      <w:rFonts w:hint="eastAsia"/>
                    </w:rPr>
                    <w:t>33</w:t>
                  </w:r>
                </w:p>
              </w:tc>
              <w:tc>
                <w:tcPr>
                  <w:tcW w:w="2730"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液压式冷压机</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3</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68</w:t>
                  </w:r>
                </w:p>
              </w:tc>
              <w:tc>
                <w:tcPr>
                  <w:tcW w:w="340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切割机</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pPr>
                  <w:r>
                    <w:rPr>
                      <w:rFonts w:hint="eastAsia"/>
                    </w:rPr>
                    <w:t>34</w:t>
                  </w:r>
                </w:p>
              </w:tc>
              <w:tc>
                <w:tcPr>
                  <w:tcW w:w="2730"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三灯UV干燥机</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1</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69</w:t>
                  </w:r>
                </w:p>
              </w:tc>
              <w:tc>
                <w:tcPr>
                  <w:tcW w:w="340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淋幕UV生产线</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1</w:t>
                  </w:r>
                </w:p>
              </w:tc>
            </w:tr>
            <w:tr>
              <w:tblPrEx>
                <w:tblLayout w:type="fixed"/>
                <w:tblCellMar>
                  <w:top w:w="0" w:type="dxa"/>
                  <w:left w:w="108" w:type="dxa"/>
                  <w:bottom w:w="0" w:type="dxa"/>
                  <w:right w:w="108" w:type="dxa"/>
                </w:tblCellMar>
              </w:tblPrEx>
              <w:tc>
                <w:tcPr>
                  <w:tcW w:w="59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pPr>
                  <w:r>
                    <w:rPr>
                      <w:rFonts w:hint="eastAsia"/>
                    </w:rPr>
                    <w:t>35</w:t>
                  </w:r>
                </w:p>
              </w:tc>
              <w:tc>
                <w:tcPr>
                  <w:tcW w:w="2730"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除湿机</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r>
                    <w:rPr>
                      <w:rFonts w:hint="eastAsia"/>
                    </w:rPr>
                    <w:t>4</w:t>
                  </w: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p>
              </w:tc>
              <w:tc>
                <w:tcPr>
                  <w:tcW w:w="3403" w:type="dxa"/>
                  <w:tcBorders>
                    <w:top w:val="single" w:color="auto" w:sz="4" w:space="0"/>
                    <w:left w:val="nil"/>
                    <w:bottom w:val="single" w:color="auto" w:sz="4" w:space="0"/>
                    <w:right w:val="single" w:color="auto" w:sz="4" w:space="0"/>
                  </w:tcBorders>
                  <w:shd w:val="clear" w:color="auto" w:fill="auto"/>
                  <w:vAlign w:val="center"/>
                </w:tcPr>
                <w:p>
                  <w:pPr>
                    <w:pStyle w:val="164"/>
                  </w:pPr>
                </w:p>
              </w:tc>
              <w:tc>
                <w:tcPr>
                  <w:tcW w:w="593" w:type="dxa"/>
                  <w:tcBorders>
                    <w:top w:val="single" w:color="auto" w:sz="4" w:space="0"/>
                    <w:left w:val="nil"/>
                    <w:bottom w:val="single" w:color="auto" w:sz="4" w:space="0"/>
                    <w:right w:val="single" w:color="auto" w:sz="4" w:space="0"/>
                  </w:tcBorders>
                  <w:shd w:val="clear" w:color="auto" w:fill="auto"/>
                  <w:vAlign w:val="center"/>
                </w:tcPr>
                <w:p>
                  <w:pPr>
                    <w:pStyle w:val="164"/>
                  </w:pPr>
                </w:p>
              </w:tc>
            </w:tr>
          </w:tbl>
          <w:p>
            <w:pPr>
              <w:widowControl/>
              <w:ind w:firstLine="440"/>
              <w:jc w:val="center"/>
              <w:rPr>
                <w:rFonts w:ascii="宋体" w:hAnsi="宋体" w:cs="宋体"/>
                <w:color w:val="000000"/>
                <w:kern w:val="0"/>
              </w:rPr>
            </w:pPr>
          </w:p>
          <w:p>
            <w:pPr>
              <w:pStyle w:val="160"/>
              <w:ind w:firstLine="480"/>
              <w:rPr>
                <w:rFonts w:ascii="宋体" w:eastAsia="Calibri"/>
              </w:rPr>
            </w:pPr>
            <w:r>
              <w:rPr>
                <w:rFonts w:hint="eastAsia"/>
              </w:rPr>
              <w:t>对照工业和信息化部《淘汰落后生产能力、工艺和产品的目录》第一批、第二批、第三批以及《部分工业行业淘汰落后生产工艺装备和产品指导目录（2010年本）》，本企业所用设备不属于淘汰落后设备。</w:t>
            </w:r>
          </w:p>
          <w:p>
            <w:pPr>
              <w:pStyle w:val="3"/>
              <w:tabs>
                <w:tab w:val="left" w:pos="269"/>
                <w:tab w:val="left" w:pos="371"/>
                <w:tab w:val="left" w:pos="432"/>
              </w:tabs>
              <w:adjustRightInd w:val="0"/>
              <w:jc w:val="left"/>
              <w:rPr>
                <w:rFonts w:ascii="宋体" w:hAnsi="宋体"/>
                <w:bCs w:val="0"/>
                <w:sz w:val="24"/>
                <w:szCs w:val="22"/>
              </w:rPr>
            </w:pPr>
            <w:bookmarkStart w:id="14" w:name="_Toc64363754"/>
            <w:bookmarkStart w:id="15" w:name="_Toc14273"/>
            <w:r>
              <w:rPr>
                <w:rFonts w:hint="eastAsia" w:ascii="宋体" w:hAnsi="宋体"/>
                <w:bCs w:val="0"/>
                <w:sz w:val="24"/>
                <w:szCs w:val="22"/>
              </w:rPr>
              <w:t>2.7主要原辅材料</w:t>
            </w:r>
            <w:bookmarkEnd w:id="14"/>
            <w:bookmarkEnd w:id="15"/>
          </w:p>
          <w:p>
            <w:pPr>
              <w:pStyle w:val="3"/>
              <w:tabs>
                <w:tab w:val="left" w:pos="269"/>
                <w:tab w:val="left" w:pos="371"/>
                <w:tab w:val="left" w:pos="432"/>
              </w:tabs>
              <w:adjustRightInd w:val="0"/>
              <w:jc w:val="left"/>
              <w:rPr>
                <w:rFonts w:ascii="宋体" w:hAnsi="宋体"/>
                <w:bCs w:val="0"/>
                <w:sz w:val="24"/>
                <w:szCs w:val="22"/>
              </w:rPr>
            </w:pPr>
            <w:bookmarkStart w:id="16" w:name="_Toc8329"/>
            <w:r>
              <w:rPr>
                <w:rFonts w:hint="eastAsia" w:ascii="宋体" w:hAnsi="宋体"/>
                <w:bCs w:val="0"/>
                <w:sz w:val="24"/>
                <w:szCs w:val="22"/>
              </w:rPr>
              <w:t>2.7.1项目原辅材料消耗情况</w:t>
            </w:r>
            <w:bookmarkEnd w:id="16"/>
          </w:p>
          <w:p>
            <w:pPr>
              <w:adjustRightInd w:val="0"/>
              <w:snapToGrid w:val="0"/>
              <w:spacing w:line="360" w:lineRule="auto"/>
              <w:ind w:right="21" w:rightChars="10" w:firstLine="470" w:firstLineChars="196"/>
              <w:jc w:val="left"/>
              <w:rPr>
                <w:rFonts w:ascii="宋体" w:eastAsia="Calibri"/>
                <w:sz w:val="24"/>
              </w:rPr>
            </w:pPr>
            <w:r>
              <w:rPr>
                <w:rFonts w:hint="eastAsia" w:ascii="宋体" w:eastAsia="Calibri"/>
                <w:sz w:val="24"/>
              </w:rPr>
              <w:t>根据扩建项目建设规模及性质，营运期主要原辅材料消耗量见表2.</w:t>
            </w:r>
            <w:r>
              <w:rPr>
                <w:rFonts w:hint="eastAsia" w:ascii="宋体"/>
                <w:sz w:val="24"/>
              </w:rPr>
              <w:t>7</w:t>
            </w:r>
            <w:r>
              <w:rPr>
                <w:rFonts w:hint="eastAsia" w:ascii="宋体" w:eastAsia="Calibri"/>
                <w:sz w:val="24"/>
              </w:rPr>
              <w:t>-1。</w:t>
            </w:r>
          </w:p>
          <w:p>
            <w:pPr>
              <w:ind w:firstLine="840" w:firstLineChars="400"/>
              <w:jc w:val="center"/>
              <w:rPr>
                <w:rFonts w:ascii="宋体" w:hAnsi="宋体"/>
                <w:bCs/>
                <w:szCs w:val="20"/>
              </w:rPr>
            </w:pPr>
            <w:r>
              <w:rPr>
                <w:rFonts w:hint="eastAsia" w:ascii="宋体" w:hAnsi="宋体"/>
                <w:bCs/>
                <w:szCs w:val="20"/>
              </w:rPr>
              <w:t>表2.7-1  项目营运期主要原辅材料消耗量表（全厂）</w:t>
            </w:r>
          </w:p>
          <w:tbl>
            <w:tblPr>
              <w:tblStyle w:val="88"/>
              <w:tblW w:w="8505" w:type="dxa"/>
              <w:tblInd w:w="0" w:type="dxa"/>
              <w:tblLayout w:type="fixed"/>
              <w:tblCellMar>
                <w:top w:w="0" w:type="dxa"/>
                <w:left w:w="108" w:type="dxa"/>
                <w:bottom w:w="0" w:type="dxa"/>
                <w:right w:w="108" w:type="dxa"/>
              </w:tblCellMar>
            </w:tblPr>
            <w:tblGrid>
              <w:gridCol w:w="1282"/>
              <w:gridCol w:w="941"/>
              <w:gridCol w:w="953"/>
              <w:gridCol w:w="943"/>
              <w:gridCol w:w="991"/>
              <w:gridCol w:w="1014"/>
              <w:gridCol w:w="992"/>
              <w:gridCol w:w="1389"/>
            </w:tblGrid>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名称</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单位</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年用量（扩建前）</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年用量（扩建后）</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变化情况</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最大储存量</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储存方式</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备注</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中纤板</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278.4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503.9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225.5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密度板</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278.4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503.9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225.5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多层实木板</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278.4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503.9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225.5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实木</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m</w:t>
                  </w:r>
                  <w:r>
                    <w:rPr>
                      <w:rFonts w:ascii="宋体" w:hAnsi="宋体" w:eastAsia="宋体" w:cs="宋体"/>
                      <w:color w:val="000000"/>
                      <w:kern w:val="0"/>
                      <w:vertAlign w:val="superscript"/>
                    </w:rPr>
                    <w:t>3</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3712.5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6719.0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3006.6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封边条</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20.0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热熔胶</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4.5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2.0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20kg/袋</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包装纸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张</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2.5万</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5万</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2.5万</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五金配件</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套</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3400套</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4900套</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1500套</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1000套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润滑油</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0.25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0.50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0.3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13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化学品库房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水性面漆</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54.62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54.6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0.59</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13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水性底漆</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72.64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72.6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0.79</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13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油性底漆</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31.3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12.51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-18.8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0.57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13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油性面漆</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27.7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11.09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-16.6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0.49</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13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固化剂</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20.8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8.33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-12.5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0.65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10kg/桶</w:t>
                  </w:r>
                </w:p>
              </w:tc>
              <w:tc>
                <w:tcPr>
                  <w:tcW w:w="13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稀释剂</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16.0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6.39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-9.6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0.85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10kg/桶</w:t>
                  </w:r>
                </w:p>
              </w:tc>
              <w:tc>
                <w:tcPr>
                  <w:tcW w:w="13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UV油漆</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4.44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4.4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0.09</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13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砂纸</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张</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1500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3000.0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1500.0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200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白乳胶（拼板）</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3.0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1.5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25kg/桶</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漆渣絮凝剂</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0.6</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1.2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0.6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0.1</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25kg/袋</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化学品库房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腻子粉</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3.0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1.5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25kg/袋</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五金部件</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t</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10.0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5.0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r>
              <w:tblPrEx>
                <w:tblLayout w:type="fixed"/>
                <w:tblCellMar>
                  <w:top w:w="0" w:type="dxa"/>
                  <w:left w:w="108" w:type="dxa"/>
                  <w:bottom w:w="0" w:type="dxa"/>
                  <w:right w:w="108" w:type="dxa"/>
                </w:tblCellMar>
              </w:tblPrEx>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手套</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副</w:t>
                  </w:r>
                </w:p>
              </w:tc>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300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600.0 </w:t>
                  </w: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300.0 </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原料库房</w:t>
                  </w:r>
                </w:p>
              </w:tc>
            </w:tr>
          </w:tbl>
          <w:p>
            <w:pPr>
              <w:ind w:firstLine="840" w:firstLineChars="400"/>
              <w:jc w:val="center"/>
              <w:rPr>
                <w:rFonts w:ascii="宋体" w:hAnsi="宋体"/>
                <w:bCs/>
                <w:szCs w:val="20"/>
              </w:rPr>
            </w:pPr>
          </w:p>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2.7.2主要原辅材料性质及成分</w:t>
            </w:r>
          </w:p>
          <w:p>
            <w:pPr>
              <w:pStyle w:val="160"/>
              <w:ind w:firstLine="482"/>
              <w:rPr>
                <w:b/>
                <w:bCs/>
              </w:rPr>
            </w:pPr>
            <w:r>
              <w:rPr>
                <w:rFonts w:hint="eastAsia"/>
                <w:b/>
                <w:bCs/>
              </w:rPr>
              <w:t>（1）免漆板式板材：</w:t>
            </w:r>
          </w:p>
          <w:p>
            <w:pPr>
              <w:pStyle w:val="160"/>
              <w:ind w:firstLine="480"/>
            </w:pPr>
            <w:r>
              <w:t>扩建项目不属于人造板制造、加工行业，不使用含有甲醛的原辅材料，建设单位购买现成</w:t>
            </w:r>
            <w:r>
              <w:rPr>
                <w:rFonts w:hint="eastAsia"/>
              </w:rPr>
              <w:t>中纤</w:t>
            </w:r>
            <w:r>
              <w:t>板、</w:t>
            </w:r>
            <w:r>
              <w:rPr>
                <w:rFonts w:hint="eastAsia"/>
              </w:rPr>
              <w:t>密度</w:t>
            </w:r>
            <w:r>
              <w:t>板和</w:t>
            </w:r>
            <w:r>
              <w:rPr>
                <w:rFonts w:hint="eastAsia"/>
              </w:rPr>
              <w:t>多层</w:t>
            </w:r>
            <w:r>
              <w:t>板，其规格</w:t>
            </w:r>
            <w:r>
              <w:rPr>
                <w:rFonts w:hint="eastAsia"/>
              </w:rPr>
              <w:t>符合《室内装饰装修材料</w:t>
            </w:r>
            <w:r>
              <w:t>人造板及其制品中甲醛释放限量》（GB 18580-2017）</w:t>
            </w:r>
            <w:r>
              <w:rPr>
                <w:rFonts w:hint="eastAsia"/>
              </w:rPr>
              <w:t>中的E0及</w:t>
            </w:r>
            <w:r>
              <w:t>E1级，根据E1规格的板材可知，甲醛含量</w:t>
            </w:r>
            <w:r>
              <w:rPr>
                <w:rFonts w:hint="eastAsia"/>
              </w:rPr>
              <w:t>限值</w:t>
            </w:r>
            <w:r>
              <w:rPr>
                <w:rFonts w:ascii="宋体" w:hAnsi="宋体"/>
              </w:rPr>
              <w:t>≤</w:t>
            </w:r>
            <w:r>
              <w:t>0.124mg/</w:t>
            </w:r>
            <w:r>
              <w:rPr>
                <w:rFonts w:hint="eastAsia"/>
              </w:rPr>
              <w:t>m</w:t>
            </w:r>
            <w:r>
              <w:rPr>
                <w:vertAlign w:val="superscript"/>
              </w:rPr>
              <w:t>3</w:t>
            </w:r>
            <w:r>
              <w:t>，甲醛产生量极少，</w:t>
            </w:r>
            <w:r>
              <w:rPr>
                <w:rFonts w:hint="eastAsia"/>
              </w:rPr>
              <w:t>因此本次扩建项目不对甲醛进行定量评价。</w:t>
            </w:r>
          </w:p>
          <w:p>
            <w:pPr>
              <w:pStyle w:val="160"/>
              <w:ind w:firstLine="482"/>
              <w:rPr>
                <w:b/>
                <w:bCs/>
              </w:rPr>
            </w:pPr>
            <w:r>
              <w:rPr>
                <w:rFonts w:hint="eastAsia"/>
                <w:b/>
                <w:bCs/>
              </w:rPr>
              <w:t>（2）油漆</w:t>
            </w:r>
          </w:p>
          <w:p>
            <w:pPr>
              <w:pStyle w:val="160"/>
              <w:ind w:firstLine="480"/>
            </w:pPr>
            <w:r>
              <w:rPr>
                <w:rFonts w:hint="eastAsia"/>
              </w:rPr>
              <w:t>扩建项目的油漆成分、用量及各物质含量见</w:t>
            </w:r>
            <w:r>
              <w:fldChar w:fldCharType="begin"/>
            </w:r>
            <w:r>
              <w:instrText xml:space="preserve">REF _Ref82700168 \h \* MERGEFORMAT </w:instrText>
            </w:r>
            <w:r>
              <w:fldChar w:fldCharType="separate"/>
            </w:r>
            <w:r>
              <w:rPr>
                <w:rFonts w:hint="eastAsia"/>
              </w:rPr>
              <w:t>表</w:t>
            </w:r>
            <w:r>
              <w:t>2.</w:t>
            </w:r>
            <w:r>
              <w:rPr>
                <w:rFonts w:hint="eastAsia"/>
              </w:rPr>
              <w:t>7</w:t>
            </w:r>
            <w:r>
              <w:noBreakHyphen/>
            </w:r>
            <w:r>
              <w:rPr>
                <w:rFonts w:hint="eastAsia"/>
              </w:rPr>
              <w:t>2</w:t>
            </w:r>
            <w:r>
              <w:fldChar w:fldCharType="end"/>
            </w:r>
            <w:r>
              <w:rPr>
                <w:rFonts w:hint="eastAsia"/>
              </w:rPr>
              <w:t>。</w:t>
            </w:r>
          </w:p>
          <w:p>
            <w:pPr>
              <w:pStyle w:val="164"/>
            </w:pPr>
            <w:bookmarkStart w:id="17" w:name="_Ref82700168"/>
            <w:r>
              <w:rPr>
                <w:rFonts w:hint="eastAsia"/>
              </w:rPr>
              <w:t>表</w:t>
            </w:r>
            <w:bookmarkEnd w:id="17"/>
            <w:r>
              <w:rPr>
                <w:rFonts w:hint="eastAsia"/>
              </w:rPr>
              <w:t>2.7-2  油漆成分、用量及各物质含量一览表</w:t>
            </w:r>
          </w:p>
          <w:tbl>
            <w:tblPr>
              <w:tblStyle w:val="162"/>
              <w:tblW w:w="850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687"/>
              <w:gridCol w:w="821"/>
              <w:gridCol w:w="3030"/>
              <w:gridCol w:w="1260"/>
              <w:gridCol w:w="16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shd w:val="clear" w:color="auto" w:fill="auto"/>
                  <w:vAlign w:val="center"/>
                </w:tcPr>
                <w:p>
                  <w:pPr>
                    <w:pStyle w:val="164"/>
                    <w:rPr>
                      <w:b/>
                    </w:rPr>
                  </w:pPr>
                  <w:r>
                    <w:rPr>
                      <w:rFonts w:hint="eastAsia"/>
                      <w:b w:val="0"/>
                    </w:rPr>
                    <w:t>配比比例</w:t>
                  </w:r>
                </w:p>
              </w:tc>
              <w:tc>
                <w:tcPr>
                  <w:tcW w:w="687" w:type="dxa"/>
                  <w:shd w:val="clear" w:color="auto" w:fill="auto"/>
                  <w:vAlign w:val="center"/>
                </w:tcPr>
                <w:p>
                  <w:pPr>
                    <w:pStyle w:val="164"/>
                    <w:rPr>
                      <w:b/>
                    </w:rPr>
                  </w:pPr>
                  <w:r>
                    <w:rPr>
                      <w:b w:val="0"/>
                    </w:rPr>
                    <w:t>物料名称</w:t>
                  </w:r>
                </w:p>
              </w:tc>
              <w:tc>
                <w:tcPr>
                  <w:tcW w:w="3851" w:type="dxa"/>
                  <w:gridSpan w:val="2"/>
                  <w:shd w:val="clear" w:color="auto" w:fill="auto"/>
                  <w:vAlign w:val="center"/>
                </w:tcPr>
                <w:p>
                  <w:pPr>
                    <w:pStyle w:val="164"/>
                    <w:rPr>
                      <w:b/>
                    </w:rPr>
                  </w:pPr>
                  <w:r>
                    <w:rPr>
                      <w:b w:val="0"/>
                    </w:rPr>
                    <w:t>成</w:t>
                  </w:r>
                  <w:r>
                    <w:rPr>
                      <w:rFonts w:hint="eastAsia"/>
                      <w:b w:val="0"/>
                    </w:rPr>
                    <w:t>分（原料漆）</w:t>
                  </w:r>
                </w:p>
              </w:tc>
              <w:tc>
                <w:tcPr>
                  <w:tcW w:w="1260" w:type="dxa"/>
                  <w:shd w:val="clear" w:color="auto" w:fill="auto"/>
                  <w:vAlign w:val="center"/>
                </w:tcPr>
                <w:p>
                  <w:pPr>
                    <w:pStyle w:val="164"/>
                    <w:rPr>
                      <w:b/>
                    </w:rPr>
                  </w:pPr>
                  <w:r>
                    <w:rPr>
                      <w:b w:val="0"/>
                    </w:rPr>
                    <w:t>本次环评所占比例取值</w:t>
                  </w:r>
                </w:p>
              </w:tc>
              <w:tc>
                <w:tcPr>
                  <w:tcW w:w="1662" w:type="dxa"/>
                  <w:shd w:val="clear" w:color="auto" w:fill="auto"/>
                  <w:vAlign w:val="center"/>
                </w:tcPr>
                <w:p>
                  <w:pPr>
                    <w:pStyle w:val="164"/>
                    <w:rPr>
                      <w:b/>
                    </w:rPr>
                  </w:pPr>
                  <w:r>
                    <w:rPr>
                      <w:b w:val="0"/>
                    </w:rPr>
                    <w:t>所占比例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1042" w:type="dxa"/>
                  <w:vMerge w:val="restart"/>
                  <w:shd w:val="clear" w:color="auto" w:fill="auto"/>
                  <w:vAlign w:val="center"/>
                </w:tcPr>
                <w:p>
                  <w:pPr>
                    <w:pStyle w:val="164"/>
                    <w:rPr>
                      <w:kern w:val="44"/>
                    </w:rPr>
                  </w:pPr>
                  <w:r>
                    <w:rPr>
                      <w:rFonts w:hint="eastAsia"/>
                      <w:kern w:val="44"/>
                    </w:rPr>
                    <w:t>水性面漆：水=1：0.23</w:t>
                  </w:r>
                </w:p>
              </w:tc>
              <w:tc>
                <w:tcPr>
                  <w:tcW w:w="687" w:type="dxa"/>
                  <w:vMerge w:val="restart"/>
                  <w:shd w:val="clear" w:color="auto" w:fill="auto"/>
                  <w:vAlign w:val="center"/>
                </w:tcPr>
                <w:p>
                  <w:pPr>
                    <w:pStyle w:val="164"/>
                  </w:pPr>
                  <w:r>
                    <w:rPr>
                      <w:rFonts w:hint="eastAsia"/>
                      <w:kern w:val="44"/>
                    </w:rPr>
                    <w:t>水性清面漆</w:t>
                  </w:r>
                </w:p>
              </w:tc>
              <w:tc>
                <w:tcPr>
                  <w:tcW w:w="821" w:type="dxa"/>
                  <w:vMerge w:val="restart"/>
                  <w:shd w:val="clear" w:color="auto" w:fill="auto"/>
                  <w:vAlign w:val="center"/>
                </w:tcPr>
                <w:p>
                  <w:pPr>
                    <w:pStyle w:val="164"/>
                  </w:pPr>
                  <w:r>
                    <w:rPr>
                      <w:rFonts w:hint="eastAsia"/>
                    </w:rPr>
                    <w:t>固体分</w:t>
                  </w:r>
                </w:p>
              </w:tc>
              <w:tc>
                <w:tcPr>
                  <w:tcW w:w="3030" w:type="dxa"/>
                  <w:shd w:val="clear" w:color="auto" w:fill="auto"/>
                  <w:vAlign w:val="center"/>
                </w:tcPr>
                <w:p>
                  <w:pPr>
                    <w:pStyle w:val="164"/>
                  </w:pPr>
                  <w:r>
                    <w:rPr>
                      <w:rFonts w:hint="eastAsia"/>
                      <w:kern w:val="2"/>
                    </w:rPr>
                    <w:t>水性丙烯酸酯共聚物45-60</w:t>
                  </w:r>
                  <w:r>
                    <w:rPr>
                      <w:kern w:val="2"/>
                    </w:rPr>
                    <w:t>%</w:t>
                  </w:r>
                </w:p>
              </w:tc>
              <w:tc>
                <w:tcPr>
                  <w:tcW w:w="1260" w:type="dxa"/>
                  <w:shd w:val="clear" w:color="auto" w:fill="auto"/>
                  <w:vAlign w:val="center"/>
                </w:tcPr>
                <w:p>
                  <w:pPr>
                    <w:pStyle w:val="164"/>
                  </w:pPr>
                  <w:r>
                    <w:rPr>
                      <w:kern w:val="44"/>
                    </w:rPr>
                    <w:t>50.5%</w:t>
                  </w:r>
                </w:p>
              </w:tc>
              <w:tc>
                <w:tcPr>
                  <w:tcW w:w="1662" w:type="dxa"/>
                  <w:vMerge w:val="restart"/>
                  <w:shd w:val="clear" w:color="auto" w:fill="auto"/>
                  <w:vAlign w:val="center"/>
                </w:tcPr>
                <w:p>
                  <w:pPr>
                    <w:pStyle w:val="164"/>
                  </w:pPr>
                  <w:r>
                    <w:rPr>
                      <w:rFonts w:hint="eastAsia"/>
                    </w:rPr>
                    <w:t>固体分：57%挥发份：8%水：35%（混合前）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pPr>
                  <w:r>
                    <w:rPr>
                      <w:rFonts w:hint="eastAsia"/>
                      <w:kern w:val="2"/>
                    </w:rPr>
                    <w:t>水性聚氨酯0-10</w:t>
                  </w:r>
                  <w:r>
                    <w:rPr>
                      <w:kern w:val="2"/>
                    </w:rPr>
                    <w:t>%</w:t>
                  </w:r>
                </w:p>
              </w:tc>
              <w:tc>
                <w:tcPr>
                  <w:tcW w:w="1260" w:type="dxa"/>
                  <w:shd w:val="clear" w:color="auto" w:fill="auto"/>
                  <w:vAlign w:val="center"/>
                </w:tcPr>
                <w:p>
                  <w:pPr>
                    <w:pStyle w:val="164"/>
                  </w:pPr>
                  <w:r>
                    <w:rPr>
                      <w:kern w:val="2"/>
                    </w:rPr>
                    <w:t>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pPr>
                  <w:r>
                    <w:rPr>
                      <w:rFonts w:hint="eastAsia"/>
                      <w:kern w:val="2"/>
                    </w:rPr>
                    <w:t>消光粉（聚丙烯酰胺）0-1.5</w:t>
                  </w:r>
                  <w:r>
                    <w:rPr>
                      <w:kern w:val="2"/>
                    </w:rPr>
                    <w:t>%</w:t>
                  </w:r>
                </w:p>
              </w:tc>
              <w:tc>
                <w:tcPr>
                  <w:tcW w:w="1260" w:type="dxa"/>
                  <w:shd w:val="clear" w:color="auto" w:fill="auto"/>
                  <w:vAlign w:val="center"/>
                </w:tcPr>
                <w:p>
                  <w:pPr>
                    <w:pStyle w:val="164"/>
                  </w:pPr>
                  <w:r>
                    <w:rPr>
                      <w:kern w:val="2"/>
                    </w:rPr>
                    <w:t>1.5%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tcBorders>
                    <w:bottom w:val="single" w:color="auto" w:sz="4" w:space="0"/>
                  </w:tcBorders>
                  <w:shd w:val="clear" w:color="auto" w:fill="auto"/>
                  <w:vAlign w:val="center"/>
                </w:tcPr>
                <w:p>
                  <w:pPr>
                    <w:pStyle w:val="164"/>
                  </w:pPr>
                  <w:r>
                    <w:rPr>
                      <w:rFonts w:hint="eastAsia"/>
                    </w:rPr>
                    <w:t>水</w:t>
                  </w:r>
                </w:p>
              </w:tc>
              <w:tc>
                <w:tcPr>
                  <w:tcW w:w="3030" w:type="dxa"/>
                  <w:tcBorders>
                    <w:bottom w:val="single" w:color="auto" w:sz="4" w:space="0"/>
                  </w:tcBorders>
                  <w:shd w:val="clear" w:color="auto" w:fill="auto"/>
                  <w:vAlign w:val="center"/>
                </w:tcPr>
                <w:p>
                  <w:pPr>
                    <w:pStyle w:val="164"/>
                  </w:pPr>
                  <w:r>
                    <w:rPr>
                      <w:rFonts w:hint="eastAsia"/>
                      <w:kern w:val="2"/>
                    </w:rPr>
                    <w:t>水20-35</w:t>
                  </w:r>
                  <w:r>
                    <w:rPr>
                      <w:kern w:val="2"/>
                    </w:rPr>
                    <w:t>%</w:t>
                  </w:r>
                </w:p>
              </w:tc>
              <w:tc>
                <w:tcPr>
                  <w:tcW w:w="1260" w:type="dxa"/>
                  <w:shd w:val="clear" w:color="auto" w:fill="auto"/>
                  <w:vAlign w:val="center"/>
                </w:tcPr>
                <w:p>
                  <w:pPr>
                    <w:pStyle w:val="164"/>
                  </w:pPr>
                  <w:r>
                    <w:rPr>
                      <w:kern w:val="2"/>
                    </w:rPr>
                    <w:t>35%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restart"/>
                  <w:tcBorders>
                    <w:top w:val="single" w:color="auto" w:sz="4" w:space="0"/>
                  </w:tcBorders>
                  <w:shd w:val="clear" w:color="auto" w:fill="auto"/>
                  <w:vAlign w:val="center"/>
                </w:tcPr>
                <w:p>
                  <w:pPr>
                    <w:pStyle w:val="164"/>
                  </w:pPr>
                  <w:r>
                    <w:rPr>
                      <w:rFonts w:hint="eastAsia"/>
                    </w:rPr>
                    <w:t>挥发份</w:t>
                  </w:r>
                </w:p>
              </w:tc>
              <w:tc>
                <w:tcPr>
                  <w:tcW w:w="3030" w:type="dxa"/>
                  <w:tcBorders>
                    <w:top w:val="single" w:color="auto" w:sz="4" w:space="0"/>
                  </w:tcBorders>
                  <w:shd w:val="clear" w:color="auto" w:fill="auto"/>
                  <w:vAlign w:val="center"/>
                </w:tcPr>
                <w:p>
                  <w:pPr>
                    <w:pStyle w:val="164"/>
                  </w:pPr>
                  <w:r>
                    <w:rPr>
                      <w:rFonts w:hint="eastAsia"/>
                      <w:kern w:val="2"/>
                    </w:rPr>
                    <w:t>二丙二醇丁醚1-3</w:t>
                  </w:r>
                  <w:r>
                    <w:rPr>
                      <w:kern w:val="2"/>
                    </w:rPr>
                    <w:t>%</w:t>
                  </w:r>
                </w:p>
              </w:tc>
              <w:tc>
                <w:tcPr>
                  <w:tcW w:w="1260" w:type="dxa"/>
                  <w:shd w:val="clear" w:color="auto" w:fill="auto"/>
                  <w:vAlign w:val="center"/>
                </w:tcPr>
                <w:p>
                  <w:pPr>
                    <w:pStyle w:val="164"/>
                  </w:pPr>
                  <w:r>
                    <w:rPr>
                      <w:kern w:val="2"/>
                    </w:rPr>
                    <w:t>3%</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pPr>
                  <w:r>
                    <w:rPr>
                      <w:rFonts w:hint="eastAsia"/>
                      <w:kern w:val="2"/>
                    </w:rPr>
                    <w:t>二丙二醇甲醚1-3.5</w:t>
                  </w:r>
                  <w:r>
                    <w:rPr>
                      <w:kern w:val="2"/>
                    </w:rPr>
                    <w:t>%</w:t>
                  </w:r>
                </w:p>
              </w:tc>
              <w:tc>
                <w:tcPr>
                  <w:tcW w:w="1260" w:type="dxa"/>
                  <w:shd w:val="clear" w:color="auto" w:fill="auto"/>
                  <w:vAlign w:val="center"/>
                </w:tcPr>
                <w:p>
                  <w:pPr>
                    <w:pStyle w:val="164"/>
                  </w:pPr>
                  <w:r>
                    <w:rPr>
                      <w:kern w:val="2"/>
                    </w:rPr>
                    <w:t>3.5%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增稠剂（非离子聚氨酯型增稠剂）0.1-0.6</w:t>
                  </w:r>
                  <w:r>
                    <w:rPr>
                      <w:kern w:val="2"/>
                    </w:rPr>
                    <w:t>%</w:t>
                  </w:r>
                </w:p>
              </w:tc>
              <w:tc>
                <w:tcPr>
                  <w:tcW w:w="1260" w:type="dxa"/>
                  <w:shd w:val="clear" w:color="auto" w:fill="auto"/>
                  <w:vAlign w:val="center"/>
                </w:tcPr>
                <w:p>
                  <w:pPr>
                    <w:pStyle w:val="164"/>
                  </w:pPr>
                  <w:r>
                    <w:rPr>
                      <w:kern w:val="2"/>
                    </w:rPr>
                    <w:t>0.6%</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消泡剂（聚硅氧烷聚合物）0.1-0.4</w:t>
                  </w:r>
                  <w:r>
                    <w:rPr>
                      <w:kern w:val="2"/>
                    </w:rPr>
                    <w:t>%</w:t>
                  </w:r>
                </w:p>
              </w:tc>
              <w:tc>
                <w:tcPr>
                  <w:tcW w:w="1260" w:type="dxa"/>
                  <w:shd w:val="clear" w:color="auto" w:fill="auto"/>
                  <w:vAlign w:val="center"/>
                </w:tcPr>
                <w:p>
                  <w:pPr>
                    <w:pStyle w:val="164"/>
                  </w:pPr>
                  <w:r>
                    <w:rPr>
                      <w:kern w:val="2"/>
                    </w:rPr>
                    <w:t>0.4%</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润湿剂（聚醚矽氧烷共聚合物）0.1-0.4</w:t>
                  </w:r>
                  <w:r>
                    <w:rPr>
                      <w:kern w:val="2"/>
                    </w:rPr>
                    <w:t>%</w:t>
                  </w:r>
                </w:p>
              </w:tc>
              <w:tc>
                <w:tcPr>
                  <w:tcW w:w="1260" w:type="dxa"/>
                  <w:shd w:val="clear" w:color="auto" w:fill="auto"/>
                  <w:vAlign w:val="center"/>
                </w:tcPr>
                <w:p>
                  <w:pPr>
                    <w:pStyle w:val="164"/>
                  </w:pPr>
                  <w:r>
                    <w:rPr>
                      <w:kern w:val="2"/>
                    </w:rPr>
                    <w:t>0.4%</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pPr>
                  <w:r>
                    <w:rPr>
                      <w:rFonts w:hint="eastAsia"/>
                      <w:kern w:val="2"/>
                    </w:rPr>
                    <w:t>异噻唑啉酮衍生物0.01-0.1</w:t>
                  </w:r>
                  <w:r>
                    <w:rPr>
                      <w:kern w:val="2"/>
                    </w:rPr>
                    <w:t>%</w:t>
                  </w:r>
                </w:p>
              </w:tc>
              <w:tc>
                <w:tcPr>
                  <w:tcW w:w="1260" w:type="dxa"/>
                  <w:shd w:val="clear" w:color="auto" w:fill="auto"/>
                  <w:vAlign w:val="center"/>
                </w:tcPr>
                <w:p>
                  <w:pPr>
                    <w:pStyle w:val="164"/>
                  </w:pPr>
                  <w:r>
                    <w:rPr>
                      <w:kern w:val="2"/>
                    </w:rPr>
                    <w:t>0.1%</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restart"/>
                  <w:shd w:val="clear" w:color="auto" w:fill="auto"/>
                  <w:vAlign w:val="center"/>
                </w:tcPr>
                <w:p>
                  <w:pPr>
                    <w:pStyle w:val="164"/>
                    <w:rPr>
                      <w:kern w:val="44"/>
                    </w:rPr>
                  </w:pPr>
                  <w:r>
                    <w:rPr>
                      <w:rFonts w:hint="eastAsia"/>
                    </w:rPr>
                    <w:t>水性底漆：水=1：0.23</w:t>
                  </w:r>
                </w:p>
              </w:tc>
              <w:tc>
                <w:tcPr>
                  <w:tcW w:w="687" w:type="dxa"/>
                  <w:vMerge w:val="restart"/>
                  <w:shd w:val="clear" w:color="auto" w:fill="auto"/>
                  <w:vAlign w:val="center"/>
                </w:tcPr>
                <w:p>
                  <w:pPr>
                    <w:pStyle w:val="164"/>
                    <w:rPr>
                      <w:kern w:val="44"/>
                    </w:rPr>
                  </w:pPr>
                  <w:r>
                    <w:rPr>
                      <w:rFonts w:hint="eastAsia"/>
                    </w:rPr>
                    <w:t>水性底漆</w:t>
                  </w:r>
                </w:p>
              </w:tc>
              <w:tc>
                <w:tcPr>
                  <w:tcW w:w="821" w:type="dxa"/>
                  <w:vMerge w:val="restart"/>
                  <w:shd w:val="clear" w:color="auto" w:fill="auto"/>
                  <w:vAlign w:val="center"/>
                </w:tcPr>
                <w:p>
                  <w:pPr>
                    <w:pStyle w:val="164"/>
                  </w:pPr>
                  <w:r>
                    <w:rPr>
                      <w:rFonts w:hint="eastAsia"/>
                    </w:rPr>
                    <w:t>固体分</w:t>
                  </w:r>
                </w:p>
              </w:tc>
              <w:tc>
                <w:tcPr>
                  <w:tcW w:w="3030" w:type="dxa"/>
                  <w:shd w:val="clear" w:color="auto" w:fill="auto"/>
                  <w:vAlign w:val="center"/>
                </w:tcPr>
                <w:p>
                  <w:pPr>
                    <w:pStyle w:val="164"/>
                    <w:rPr>
                      <w:kern w:val="2"/>
                    </w:rPr>
                  </w:pPr>
                  <w:r>
                    <w:rPr>
                      <w:rFonts w:hint="eastAsia"/>
                      <w:kern w:val="2"/>
                    </w:rPr>
                    <w:t>水性丙烯酸改性树脂30-50</w:t>
                  </w:r>
                  <w:r>
                    <w:rPr>
                      <w:kern w:val="2"/>
                    </w:rPr>
                    <w:t>%</w:t>
                  </w:r>
                </w:p>
              </w:tc>
              <w:tc>
                <w:tcPr>
                  <w:tcW w:w="1260" w:type="dxa"/>
                  <w:shd w:val="clear" w:color="auto" w:fill="auto"/>
                  <w:vAlign w:val="center"/>
                </w:tcPr>
                <w:p>
                  <w:pPr>
                    <w:pStyle w:val="164"/>
                    <w:rPr>
                      <w:kern w:val="2"/>
                    </w:rPr>
                  </w:pPr>
                  <w:r>
                    <w:rPr>
                      <w:rFonts w:hint="eastAsia"/>
                      <w:kern w:val="2"/>
                    </w:rPr>
                    <w:t>50</w:t>
                  </w:r>
                  <w:r>
                    <w:rPr>
                      <w:kern w:val="2"/>
                    </w:rPr>
                    <w:t>%</w:t>
                  </w:r>
                </w:p>
              </w:tc>
              <w:tc>
                <w:tcPr>
                  <w:tcW w:w="1662" w:type="dxa"/>
                  <w:vMerge w:val="restart"/>
                  <w:shd w:val="clear" w:color="auto" w:fill="auto"/>
                  <w:vAlign w:val="center"/>
                </w:tcPr>
                <w:p>
                  <w:pPr>
                    <w:pStyle w:val="164"/>
                  </w:pPr>
                  <w:r>
                    <w:rPr>
                      <w:rFonts w:hint="eastAsia"/>
                    </w:rPr>
                    <w:t>固体分：60</w:t>
                  </w:r>
                  <w:r>
                    <w:t>%</w:t>
                  </w:r>
                  <w:r>
                    <w:rPr>
                      <w:rFonts w:hint="eastAsia"/>
                    </w:rPr>
                    <w:t>挥发份：15</w:t>
                  </w:r>
                  <w:r>
                    <w:t>%</w:t>
                  </w:r>
                  <w:r>
                    <w:rPr>
                      <w:rFonts w:hint="eastAsia"/>
                    </w:rPr>
                    <w:t>水：25</w:t>
                  </w:r>
                  <w:r>
                    <w:t>%</w:t>
                  </w:r>
                  <w:r>
                    <w:rPr>
                      <w:rFonts w:hint="eastAsia"/>
                    </w:rPr>
                    <w:t>（混合前）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颜填料5-10</w:t>
                  </w:r>
                  <w:r>
                    <w:rPr>
                      <w:kern w:val="2"/>
                    </w:rPr>
                    <w:t>%</w:t>
                  </w:r>
                </w:p>
              </w:tc>
              <w:tc>
                <w:tcPr>
                  <w:tcW w:w="1260" w:type="dxa"/>
                  <w:shd w:val="clear" w:color="auto" w:fill="auto"/>
                  <w:vAlign w:val="center"/>
                </w:tcPr>
                <w:p>
                  <w:pPr>
                    <w:pStyle w:val="164"/>
                    <w:rPr>
                      <w:kern w:val="2"/>
                    </w:rPr>
                  </w:pPr>
                  <w:r>
                    <w:rPr>
                      <w:rFonts w:hint="eastAsia"/>
                      <w:kern w:val="2"/>
                    </w:rPr>
                    <w:t>10</w:t>
                  </w:r>
                  <w:r>
                    <w:rPr>
                      <w:kern w:val="2"/>
                    </w:rPr>
                    <w:t>%</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shd w:val="clear" w:color="auto" w:fill="auto"/>
                  <w:vAlign w:val="center"/>
                </w:tcPr>
                <w:p>
                  <w:pPr>
                    <w:pStyle w:val="164"/>
                  </w:pPr>
                  <w:r>
                    <w:rPr>
                      <w:rFonts w:hint="eastAsia"/>
                    </w:rPr>
                    <w:t>水</w:t>
                  </w:r>
                </w:p>
              </w:tc>
              <w:tc>
                <w:tcPr>
                  <w:tcW w:w="3030" w:type="dxa"/>
                  <w:shd w:val="clear" w:color="auto" w:fill="auto"/>
                  <w:vAlign w:val="center"/>
                </w:tcPr>
                <w:p>
                  <w:pPr>
                    <w:pStyle w:val="164"/>
                    <w:rPr>
                      <w:kern w:val="2"/>
                    </w:rPr>
                  </w:pPr>
                  <w:r>
                    <w:rPr>
                      <w:rFonts w:hint="eastAsia"/>
                    </w:rPr>
                    <w:t>水15-30</w:t>
                  </w:r>
                  <w:r>
                    <w:rPr>
                      <w:kern w:val="2"/>
                    </w:rPr>
                    <w:t>%</w:t>
                  </w:r>
                </w:p>
              </w:tc>
              <w:tc>
                <w:tcPr>
                  <w:tcW w:w="1260" w:type="dxa"/>
                  <w:shd w:val="clear" w:color="auto" w:fill="auto"/>
                  <w:vAlign w:val="center"/>
                </w:tcPr>
                <w:p>
                  <w:pPr>
                    <w:pStyle w:val="164"/>
                    <w:rPr>
                      <w:kern w:val="2"/>
                    </w:rPr>
                  </w:pPr>
                  <w:r>
                    <w:rPr>
                      <w:rFonts w:hint="eastAsia"/>
                      <w:kern w:val="2"/>
                    </w:rPr>
                    <w:t>25</w:t>
                  </w:r>
                  <w:r>
                    <w:rPr>
                      <w:kern w:val="2"/>
                    </w:rPr>
                    <w:t>%</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restart"/>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流平剂等助剂2-5</w:t>
                  </w:r>
                  <w:r>
                    <w:rPr>
                      <w:kern w:val="2"/>
                    </w:rPr>
                    <w:t>%</w:t>
                  </w:r>
                </w:p>
              </w:tc>
              <w:tc>
                <w:tcPr>
                  <w:tcW w:w="1260" w:type="dxa"/>
                  <w:shd w:val="clear" w:color="auto" w:fill="auto"/>
                  <w:vAlign w:val="center"/>
                </w:tcPr>
                <w:p>
                  <w:pPr>
                    <w:pStyle w:val="164"/>
                    <w:rPr>
                      <w:kern w:val="2"/>
                    </w:rPr>
                  </w:pPr>
                  <w:r>
                    <w:rPr>
                      <w:rFonts w:hint="eastAsia"/>
                      <w:kern w:val="2"/>
                    </w:rPr>
                    <w:t>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助溶剂5-10</w:t>
                  </w:r>
                  <w:r>
                    <w:rPr>
                      <w:kern w:val="2"/>
                    </w:rPr>
                    <w:t>%</w:t>
                  </w:r>
                </w:p>
              </w:tc>
              <w:tc>
                <w:tcPr>
                  <w:tcW w:w="1260" w:type="dxa"/>
                  <w:shd w:val="clear" w:color="auto" w:fill="auto"/>
                  <w:vAlign w:val="center"/>
                </w:tcPr>
                <w:p>
                  <w:pPr>
                    <w:pStyle w:val="164"/>
                    <w:rPr>
                      <w:kern w:val="2"/>
                    </w:rPr>
                  </w:pPr>
                  <w:r>
                    <w:rPr>
                      <w:rFonts w:hint="eastAsia"/>
                      <w:kern w:val="2"/>
                    </w:rPr>
                    <w:t>10</w:t>
                  </w:r>
                  <w:r>
                    <w:rPr>
                      <w:kern w:val="2"/>
                    </w:rPr>
                    <w:t>%</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restart"/>
                  <w:shd w:val="clear" w:color="auto" w:fill="auto"/>
                  <w:vAlign w:val="center"/>
                </w:tcPr>
                <w:p>
                  <w:pPr>
                    <w:pStyle w:val="164"/>
                    <w:rPr>
                      <w:kern w:val="44"/>
                    </w:rPr>
                  </w:pPr>
                  <w:r>
                    <w:rPr>
                      <w:rFonts w:hint="eastAsia"/>
                    </w:rPr>
                    <w:t>油漆：固化剂：稀释剂=2.0：0.4：0.5</w:t>
                  </w:r>
                </w:p>
              </w:tc>
              <w:tc>
                <w:tcPr>
                  <w:tcW w:w="687" w:type="dxa"/>
                  <w:vMerge w:val="restart"/>
                  <w:shd w:val="clear" w:color="auto" w:fill="auto"/>
                  <w:vAlign w:val="center"/>
                </w:tcPr>
                <w:p>
                  <w:pPr>
                    <w:pStyle w:val="164"/>
                    <w:rPr>
                      <w:kern w:val="44"/>
                    </w:rPr>
                  </w:pPr>
                  <w:r>
                    <w:rPr>
                      <w:rFonts w:hint="eastAsia"/>
                    </w:rPr>
                    <w:t>油性面漆</w:t>
                  </w:r>
                </w:p>
              </w:tc>
              <w:tc>
                <w:tcPr>
                  <w:tcW w:w="821" w:type="dxa"/>
                  <w:vMerge w:val="restart"/>
                  <w:shd w:val="clear" w:color="auto" w:fill="auto"/>
                  <w:vAlign w:val="center"/>
                </w:tcPr>
                <w:p>
                  <w:pPr>
                    <w:pStyle w:val="164"/>
                  </w:pPr>
                  <w:r>
                    <w:rPr>
                      <w:rFonts w:hint="eastAsia"/>
                    </w:rPr>
                    <w:t>固体份</w:t>
                  </w:r>
                </w:p>
              </w:tc>
              <w:tc>
                <w:tcPr>
                  <w:tcW w:w="3030" w:type="dxa"/>
                  <w:shd w:val="clear" w:color="auto" w:fill="auto"/>
                  <w:vAlign w:val="center"/>
                </w:tcPr>
                <w:p>
                  <w:pPr>
                    <w:pStyle w:val="164"/>
                    <w:rPr>
                      <w:kern w:val="2"/>
                    </w:rPr>
                  </w:pPr>
                  <w:r>
                    <w:rPr>
                      <w:rFonts w:hint="eastAsia"/>
                      <w:kern w:val="2"/>
                    </w:rPr>
                    <w:t>醇酸树脂</w:t>
                  </w:r>
                </w:p>
              </w:tc>
              <w:tc>
                <w:tcPr>
                  <w:tcW w:w="1260" w:type="dxa"/>
                  <w:shd w:val="clear" w:color="auto" w:fill="auto"/>
                  <w:vAlign w:val="center"/>
                </w:tcPr>
                <w:p>
                  <w:pPr>
                    <w:pStyle w:val="164"/>
                    <w:rPr>
                      <w:kern w:val="2"/>
                    </w:rPr>
                  </w:pPr>
                  <w:r>
                    <w:rPr>
                      <w:rFonts w:hint="eastAsia"/>
                      <w:kern w:val="2"/>
                    </w:rPr>
                    <w:t>70%</w:t>
                  </w:r>
                </w:p>
              </w:tc>
              <w:tc>
                <w:tcPr>
                  <w:tcW w:w="1662" w:type="dxa"/>
                  <w:vMerge w:val="restart"/>
                  <w:shd w:val="clear" w:color="auto" w:fill="auto"/>
                  <w:vAlign w:val="center"/>
                </w:tcPr>
                <w:p>
                  <w:pPr>
                    <w:pStyle w:val="164"/>
                  </w:pPr>
                  <w:r>
                    <w:rPr>
                      <w:rFonts w:hint="eastAsia"/>
                    </w:rPr>
                    <w:t>固体分：62.07</w:t>
                  </w:r>
                  <w:r>
                    <w:t>%</w:t>
                  </w:r>
                  <w:r>
                    <w:rPr>
                      <w:rFonts w:hint="eastAsia"/>
                    </w:rPr>
                    <w:t>挥发份：37.93</w:t>
                  </w:r>
                  <w:r>
                    <w:t>%</w:t>
                  </w:r>
                  <w:r>
                    <w:rPr>
                      <w:rFonts w:hint="eastAsia"/>
                    </w:rPr>
                    <w:t>（混合后）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粉类</w:t>
                  </w:r>
                </w:p>
              </w:tc>
              <w:tc>
                <w:tcPr>
                  <w:tcW w:w="1260" w:type="dxa"/>
                  <w:shd w:val="clear" w:color="auto" w:fill="auto"/>
                  <w:vAlign w:val="center"/>
                </w:tcPr>
                <w:p>
                  <w:pPr>
                    <w:pStyle w:val="164"/>
                    <w:rPr>
                      <w:kern w:val="2"/>
                    </w:rPr>
                  </w:pPr>
                  <w:r>
                    <w:rPr>
                      <w:rFonts w:hint="eastAsia"/>
                      <w:kern w:val="2"/>
                    </w:rPr>
                    <w:t>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restart"/>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二甲苯</w:t>
                  </w:r>
                </w:p>
              </w:tc>
              <w:tc>
                <w:tcPr>
                  <w:tcW w:w="1260" w:type="dxa"/>
                  <w:shd w:val="clear" w:color="auto" w:fill="auto"/>
                  <w:vAlign w:val="center"/>
                </w:tcPr>
                <w:p>
                  <w:pPr>
                    <w:pStyle w:val="164"/>
                    <w:rPr>
                      <w:kern w:val="2"/>
                    </w:rPr>
                  </w:pPr>
                  <w:r>
                    <w:rPr>
                      <w:rFonts w:hint="eastAsia"/>
                      <w:kern w:val="2"/>
                    </w:rPr>
                    <w:t>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醋酸丁酯</w:t>
                  </w:r>
                </w:p>
              </w:tc>
              <w:tc>
                <w:tcPr>
                  <w:tcW w:w="1260" w:type="dxa"/>
                  <w:shd w:val="clear" w:color="auto" w:fill="auto"/>
                  <w:vAlign w:val="center"/>
                </w:tcPr>
                <w:p>
                  <w:pPr>
                    <w:pStyle w:val="164"/>
                    <w:rPr>
                      <w:kern w:val="2"/>
                    </w:rPr>
                  </w:pPr>
                  <w:r>
                    <w:rPr>
                      <w:rFonts w:hint="eastAsia"/>
                      <w:kern w:val="2"/>
                    </w:rPr>
                    <w:t>10%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丙二醇甲醚醋酸酯（PMA）</w:t>
                  </w:r>
                </w:p>
              </w:tc>
              <w:tc>
                <w:tcPr>
                  <w:tcW w:w="1260" w:type="dxa"/>
                  <w:shd w:val="clear" w:color="auto" w:fill="auto"/>
                  <w:vAlign w:val="center"/>
                </w:tcPr>
                <w:p>
                  <w:pPr>
                    <w:pStyle w:val="164"/>
                    <w:rPr>
                      <w:kern w:val="2"/>
                    </w:rPr>
                  </w:pPr>
                  <w:r>
                    <w:rPr>
                      <w:rFonts w:hint="eastAsia"/>
                      <w:kern w:val="2"/>
                    </w:rPr>
                    <w:t>8%</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添加剂</w:t>
                  </w:r>
                </w:p>
              </w:tc>
              <w:tc>
                <w:tcPr>
                  <w:tcW w:w="1260" w:type="dxa"/>
                  <w:shd w:val="clear" w:color="auto" w:fill="auto"/>
                  <w:vAlign w:val="center"/>
                </w:tcPr>
                <w:p>
                  <w:pPr>
                    <w:pStyle w:val="164"/>
                    <w:rPr>
                      <w:kern w:val="2"/>
                    </w:rPr>
                  </w:pPr>
                  <w:r>
                    <w:rPr>
                      <w:rFonts w:hint="eastAsia"/>
                      <w:kern w:val="2"/>
                    </w:rPr>
                    <w:t>2%</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restart"/>
                  <w:shd w:val="clear" w:color="auto" w:fill="auto"/>
                  <w:vAlign w:val="center"/>
                </w:tcPr>
                <w:p>
                  <w:pPr>
                    <w:pStyle w:val="164"/>
                    <w:rPr>
                      <w:kern w:val="44"/>
                    </w:rPr>
                  </w:pPr>
                  <w:r>
                    <w:rPr>
                      <w:rFonts w:hint="eastAsia"/>
                    </w:rPr>
                    <w:t>固化剂</w:t>
                  </w:r>
                </w:p>
              </w:tc>
              <w:tc>
                <w:tcPr>
                  <w:tcW w:w="821" w:type="dxa"/>
                  <w:shd w:val="clear" w:color="auto" w:fill="auto"/>
                  <w:vAlign w:val="center"/>
                </w:tcPr>
                <w:p>
                  <w:pPr>
                    <w:pStyle w:val="164"/>
                  </w:pPr>
                  <w:r>
                    <w:rPr>
                      <w:rFonts w:hint="eastAsia"/>
                    </w:rPr>
                    <w:t>固体份</w:t>
                  </w:r>
                </w:p>
              </w:tc>
              <w:tc>
                <w:tcPr>
                  <w:tcW w:w="3030" w:type="dxa"/>
                  <w:shd w:val="clear" w:color="auto" w:fill="auto"/>
                  <w:vAlign w:val="center"/>
                </w:tcPr>
                <w:p>
                  <w:pPr>
                    <w:pStyle w:val="164"/>
                    <w:rPr>
                      <w:kern w:val="2"/>
                    </w:rPr>
                  </w:pPr>
                  <w:r>
                    <w:rPr>
                      <w:rFonts w:hint="eastAsia"/>
                      <w:kern w:val="2"/>
                    </w:rPr>
                    <w:t>多异氰酸酯聚合物</w:t>
                  </w:r>
                </w:p>
              </w:tc>
              <w:tc>
                <w:tcPr>
                  <w:tcW w:w="1260" w:type="dxa"/>
                  <w:shd w:val="clear" w:color="auto" w:fill="auto"/>
                  <w:vAlign w:val="center"/>
                </w:tcPr>
                <w:p>
                  <w:pPr>
                    <w:pStyle w:val="164"/>
                    <w:rPr>
                      <w:kern w:val="2"/>
                    </w:rPr>
                  </w:pPr>
                  <w:r>
                    <w:rPr>
                      <w:rFonts w:hint="eastAsia"/>
                      <w:kern w:val="2"/>
                    </w:rPr>
                    <w:t>60%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restart"/>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二甲苯</w:t>
                  </w:r>
                </w:p>
              </w:tc>
              <w:tc>
                <w:tcPr>
                  <w:tcW w:w="1260" w:type="dxa"/>
                  <w:shd w:val="clear" w:color="auto" w:fill="auto"/>
                  <w:vAlign w:val="center"/>
                </w:tcPr>
                <w:p>
                  <w:pPr>
                    <w:pStyle w:val="164"/>
                    <w:rPr>
                      <w:kern w:val="2"/>
                    </w:rPr>
                  </w:pPr>
                  <w:r>
                    <w:rPr>
                      <w:rFonts w:hint="eastAsia"/>
                      <w:kern w:val="2"/>
                    </w:rPr>
                    <w:t>20%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醋酸丁酯</w:t>
                  </w:r>
                </w:p>
              </w:tc>
              <w:tc>
                <w:tcPr>
                  <w:tcW w:w="1260" w:type="dxa"/>
                  <w:shd w:val="clear" w:color="auto" w:fill="auto"/>
                  <w:vAlign w:val="center"/>
                </w:tcPr>
                <w:p>
                  <w:pPr>
                    <w:pStyle w:val="164"/>
                    <w:rPr>
                      <w:kern w:val="2"/>
                    </w:rPr>
                  </w:pPr>
                  <w:r>
                    <w:rPr>
                      <w:rFonts w:hint="eastAsia"/>
                      <w:kern w:val="2"/>
                    </w:rPr>
                    <w:t>20%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restart"/>
                  <w:shd w:val="clear" w:color="auto" w:fill="auto"/>
                  <w:vAlign w:val="center"/>
                </w:tcPr>
                <w:p>
                  <w:pPr>
                    <w:pStyle w:val="164"/>
                    <w:rPr>
                      <w:kern w:val="44"/>
                    </w:rPr>
                  </w:pPr>
                  <w:r>
                    <w:rPr>
                      <w:rFonts w:hint="eastAsia"/>
                      <w:kern w:val="44"/>
                    </w:rPr>
                    <w:t>稀释剂</w:t>
                  </w:r>
                </w:p>
              </w:tc>
              <w:tc>
                <w:tcPr>
                  <w:tcW w:w="821" w:type="dxa"/>
                  <w:vMerge w:val="restart"/>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二甲苯</w:t>
                  </w:r>
                </w:p>
              </w:tc>
              <w:tc>
                <w:tcPr>
                  <w:tcW w:w="1260" w:type="dxa"/>
                  <w:shd w:val="clear" w:color="auto" w:fill="auto"/>
                  <w:vAlign w:val="center"/>
                </w:tcPr>
                <w:p>
                  <w:pPr>
                    <w:pStyle w:val="164"/>
                    <w:rPr>
                      <w:kern w:val="2"/>
                    </w:rPr>
                  </w:pPr>
                  <w:r>
                    <w:rPr>
                      <w:rFonts w:hint="eastAsia"/>
                      <w:kern w:val="2"/>
                    </w:rPr>
                    <w:t>2%</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醋酸丁酯</w:t>
                  </w:r>
                </w:p>
              </w:tc>
              <w:tc>
                <w:tcPr>
                  <w:tcW w:w="1260" w:type="dxa"/>
                  <w:shd w:val="clear" w:color="auto" w:fill="auto"/>
                  <w:vAlign w:val="center"/>
                </w:tcPr>
                <w:p>
                  <w:pPr>
                    <w:pStyle w:val="164"/>
                    <w:rPr>
                      <w:kern w:val="2"/>
                    </w:rPr>
                  </w:pPr>
                  <w:r>
                    <w:rPr>
                      <w:rFonts w:hint="eastAsia"/>
                      <w:kern w:val="2"/>
                    </w:rPr>
                    <w:t>78%</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丙二醇甲醚醋酸酯（PMA）</w:t>
                  </w:r>
                </w:p>
              </w:tc>
              <w:tc>
                <w:tcPr>
                  <w:tcW w:w="1260" w:type="dxa"/>
                  <w:shd w:val="clear" w:color="auto" w:fill="auto"/>
                  <w:vAlign w:val="center"/>
                </w:tcPr>
                <w:p>
                  <w:pPr>
                    <w:pStyle w:val="164"/>
                    <w:rPr>
                      <w:kern w:val="2"/>
                    </w:rPr>
                  </w:pPr>
                  <w:r>
                    <w:rPr>
                      <w:rFonts w:hint="eastAsia"/>
                      <w:kern w:val="2"/>
                    </w:rPr>
                    <w:t>20%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restart"/>
                  <w:shd w:val="clear" w:color="auto" w:fill="auto"/>
                  <w:vAlign w:val="center"/>
                </w:tcPr>
                <w:p>
                  <w:pPr>
                    <w:pStyle w:val="164"/>
                    <w:rPr>
                      <w:kern w:val="44"/>
                    </w:rPr>
                  </w:pPr>
                  <w:r>
                    <w:rPr>
                      <w:rFonts w:hint="eastAsia"/>
                    </w:rPr>
                    <w:t>油漆：固化剂：</w:t>
                  </w:r>
                  <w:r>
                    <w:rPr>
                      <w:rFonts w:hint="eastAsia"/>
                      <w:color w:val="FF0000"/>
                    </w:rPr>
                    <w:t>稀释剂</w:t>
                  </w:r>
                  <w:r>
                    <w:rPr>
                      <w:rFonts w:hint="eastAsia"/>
                    </w:rPr>
                    <w:t>=1.8：0.6：0.8</w:t>
                  </w:r>
                </w:p>
              </w:tc>
              <w:tc>
                <w:tcPr>
                  <w:tcW w:w="687" w:type="dxa"/>
                  <w:vMerge w:val="restart"/>
                  <w:shd w:val="clear" w:color="auto" w:fill="auto"/>
                  <w:vAlign w:val="center"/>
                </w:tcPr>
                <w:p>
                  <w:pPr>
                    <w:pStyle w:val="164"/>
                    <w:rPr>
                      <w:kern w:val="44"/>
                    </w:rPr>
                  </w:pPr>
                  <w:r>
                    <w:rPr>
                      <w:rFonts w:hint="eastAsia"/>
                    </w:rPr>
                    <w:t>油性底漆</w:t>
                  </w:r>
                </w:p>
              </w:tc>
              <w:tc>
                <w:tcPr>
                  <w:tcW w:w="821" w:type="dxa"/>
                  <w:vMerge w:val="restart"/>
                  <w:shd w:val="clear" w:color="auto" w:fill="auto"/>
                  <w:vAlign w:val="center"/>
                </w:tcPr>
                <w:p>
                  <w:pPr>
                    <w:pStyle w:val="164"/>
                  </w:pPr>
                  <w:r>
                    <w:rPr>
                      <w:rFonts w:hint="eastAsia"/>
                    </w:rPr>
                    <w:t>固体份</w:t>
                  </w:r>
                </w:p>
              </w:tc>
              <w:tc>
                <w:tcPr>
                  <w:tcW w:w="3030" w:type="dxa"/>
                  <w:shd w:val="clear" w:color="auto" w:fill="auto"/>
                  <w:vAlign w:val="center"/>
                </w:tcPr>
                <w:p>
                  <w:pPr>
                    <w:pStyle w:val="164"/>
                    <w:rPr>
                      <w:kern w:val="2"/>
                    </w:rPr>
                  </w:pPr>
                  <w:r>
                    <w:rPr>
                      <w:rFonts w:hint="eastAsia"/>
                      <w:kern w:val="2"/>
                    </w:rPr>
                    <w:t>醇酸树脂</w:t>
                  </w:r>
                </w:p>
              </w:tc>
              <w:tc>
                <w:tcPr>
                  <w:tcW w:w="1260" w:type="dxa"/>
                  <w:shd w:val="clear" w:color="auto" w:fill="auto"/>
                  <w:vAlign w:val="center"/>
                </w:tcPr>
                <w:p>
                  <w:pPr>
                    <w:pStyle w:val="164"/>
                    <w:rPr>
                      <w:kern w:val="2"/>
                    </w:rPr>
                  </w:pPr>
                  <w:r>
                    <w:rPr>
                      <w:rFonts w:hint="eastAsia"/>
                      <w:kern w:val="2"/>
                    </w:rPr>
                    <w:t>79%</w:t>
                  </w:r>
                </w:p>
              </w:tc>
              <w:tc>
                <w:tcPr>
                  <w:tcW w:w="1662" w:type="dxa"/>
                  <w:vMerge w:val="restart"/>
                  <w:shd w:val="clear" w:color="auto" w:fill="auto"/>
                  <w:vAlign w:val="center"/>
                </w:tcPr>
                <w:p>
                  <w:pPr>
                    <w:pStyle w:val="164"/>
                  </w:pPr>
                  <w:r>
                    <w:rPr>
                      <w:rFonts w:hint="eastAsia"/>
                    </w:rPr>
                    <w:t>固体分：62.81</w:t>
                  </w:r>
                  <w:r>
                    <w:t>%</w:t>
                  </w:r>
                  <w:r>
                    <w:rPr>
                      <w:rFonts w:hint="eastAsia"/>
                    </w:rPr>
                    <w:t>挥发份：37.19</w:t>
                  </w:r>
                  <w:r>
                    <w:t>%</w:t>
                  </w:r>
                  <w:r>
                    <w:rPr>
                      <w:rFonts w:hint="eastAsia"/>
                    </w:rPr>
                    <w:t>（混合后）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滑石粉</w:t>
                  </w:r>
                </w:p>
              </w:tc>
              <w:tc>
                <w:tcPr>
                  <w:tcW w:w="1260" w:type="dxa"/>
                  <w:shd w:val="clear" w:color="auto" w:fill="auto"/>
                  <w:vAlign w:val="center"/>
                </w:tcPr>
                <w:p>
                  <w:pPr>
                    <w:pStyle w:val="164"/>
                    <w:rPr>
                      <w:kern w:val="2"/>
                    </w:rPr>
                  </w:pPr>
                  <w:r>
                    <w:rPr>
                      <w:rFonts w:hint="eastAsia"/>
                      <w:kern w:val="2"/>
                    </w:rPr>
                    <w:t>5%</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聚醚硅氧烷共聚物</w:t>
                  </w:r>
                </w:p>
              </w:tc>
              <w:tc>
                <w:tcPr>
                  <w:tcW w:w="1260" w:type="dxa"/>
                  <w:shd w:val="clear" w:color="auto" w:fill="auto"/>
                  <w:vAlign w:val="center"/>
                </w:tcPr>
                <w:p>
                  <w:pPr>
                    <w:pStyle w:val="164"/>
                    <w:rPr>
                      <w:kern w:val="2"/>
                    </w:rPr>
                  </w:pPr>
                  <w:r>
                    <w:rPr>
                      <w:rFonts w:hint="eastAsia"/>
                      <w:kern w:val="2"/>
                    </w:rPr>
                    <w:t>1%</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restart"/>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醋酸正丁酯</w:t>
                  </w:r>
                </w:p>
              </w:tc>
              <w:tc>
                <w:tcPr>
                  <w:tcW w:w="1260" w:type="dxa"/>
                  <w:shd w:val="clear" w:color="auto" w:fill="auto"/>
                  <w:vAlign w:val="center"/>
                </w:tcPr>
                <w:p>
                  <w:pPr>
                    <w:pStyle w:val="164"/>
                    <w:rPr>
                      <w:kern w:val="2"/>
                    </w:rPr>
                  </w:pPr>
                  <w:r>
                    <w:rPr>
                      <w:rFonts w:hint="eastAsia"/>
                      <w:kern w:val="2"/>
                    </w:rPr>
                    <w:t>4%</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乙酸乙酯</w:t>
                  </w:r>
                </w:p>
              </w:tc>
              <w:tc>
                <w:tcPr>
                  <w:tcW w:w="1260" w:type="dxa"/>
                  <w:shd w:val="clear" w:color="auto" w:fill="auto"/>
                  <w:vAlign w:val="center"/>
                </w:tcPr>
                <w:p>
                  <w:pPr>
                    <w:pStyle w:val="164"/>
                    <w:rPr>
                      <w:kern w:val="2"/>
                    </w:rPr>
                  </w:pPr>
                  <w:r>
                    <w:rPr>
                      <w:rFonts w:hint="eastAsia"/>
                      <w:kern w:val="2"/>
                    </w:rPr>
                    <w:t>4%</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二甲苯</w:t>
                  </w:r>
                </w:p>
              </w:tc>
              <w:tc>
                <w:tcPr>
                  <w:tcW w:w="1260" w:type="dxa"/>
                  <w:shd w:val="clear" w:color="auto" w:fill="auto"/>
                  <w:vAlign w:val="center"/>
                </w:tcPr>
                <w:p>
                  <w:pPr>
                    <w:pStyle w:val="164"/>
                    <w:rPr>
                      <w:kern w:val="2"/>
                    </w:rPr>
                  </w:pPr>
                  <w:r>
                    <w:rPr>
                      <w:rFonts w:hint="eastAsia"/>
                      <w:kern w:val="2"/>
                    </w:rPr>
                    <w:t>4%</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蜡</w:t>
                  </w:r>
                </w:p>
              </w:tc>
              <w:tc>
                <w:tcPr>
                  <w:tcW w:w="1260" w:type="dxa"/>
                  <w:shd w:val="clear" w:color="auto" w:fill="auto"/>
                  <w:vAlign w:val="center"/>
                </w:tcPr>
                <w:p>
                  <w:pPr>
                    <w:pStyle w:val="164"/>
                    <w:rPr>
                      <w:kern w:val="2"/>
                    </w:rPr>
                  </w:pPr>
                  <w:r>
                    <w:rPr>
                      <w:rFonts w:hint="eastAsia"/>
                      <w:kern w:val="2"/>
                    </w:rPr>
                    <w:t>3%</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restart"/>
                  <w:shd w:val="clear" w:color="auto" w:fill="auto"/>
                  <w:vAlign w:val="center"/>
                </w:tcPr>
                <w:p>
                  <w:pPr>
                    <w:pStyle w:val="164"/>
                    <w:rPr>
                      <w:kern w:val="44"/>
                    </w:rPr>
                  </w:pPr>
                  <w:r>
                    <w:rPr>
                      <w:rFonts w:hint="eastAsia"/>
                    </w:rPr>
                    <w:t>固化剂</w:t>
                  </w:r>
                </w:p>
              </w:tc>
              <w:tc>
                <w:tcPr>
                  <w:tcW w:w="821" w:type="dxa"/>
                  <w:shd w:val="clear" w:color="auto" w:fill="auto"/>
                  <w:vAlign w:val="center"/>
                </w:tcPr>
                <w:p>
                  <w:pPr>
                    <w:pStyle w:val="164"/>
                  </w:pPr>
                  <w:r>
                    <w:rPr>
                      <w:rFonts w:hint="eastAsia"/>
                    </w:rPr>
                    <w:t>固体份</w:t>
                  </w:r>
                </w:p>
              </w:tc>
              <w:tc>
                <w:tcPr>
                  <w:tcW w:w="3030" w:type="dxa"/>
                  <w:shd w:val="clear" w:color="auto" w:fill="auto"/>
                  <w:vAlign w:val="center"/>
                </w:tcPr>
                <w:p>
                  <w:pPr>
                    <w:pStyle w:val="164"/>
                    <w:rPr>
                      <w:kern w:val="2"/>
                    </w:rPr>
                  </w:pPr>
                  <w:r>
                    <w:rPr>
                      <w:rFonts w:hint="eastAsia"/>
                      <w:kern w:val="2"/>
                    </w:rPr>
                    <w:t>多异氰酸酯聚合物</w:t>
                  </w:r>
                </w:p>
              </w:tc>
              <w:tc>
                <w:tcPr>
                  <w:tcW w:w="1260" w:type="dxa"/>
                  <w:shd w:val="clear" w:color="auto" w:fill="auto"/>
                  <w:vAlign w:val="center"/>
                </w:tcPr>
                <w:p>
                  <w:pPr>
                    <w:pStyle w:val="164"/>
                    <w:rPr>
                      <w:kern w:val="2"/>
                    </w:rPr>
                  </w:pPr>
                  <w:r>
                    <w:rPr>
                      <w:rFonts w:hint="eastAsia"/>
                      <w:kern w:val="2"/>
                    </w:rPr>
                    <w:t>60%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restart"/>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二甲苯</w:t>
                  </w:r>
                </w:p>
              </w:tc>
              <w:tc>
                <w:tcPr>
                  <w:tcW w:w="1260" w:type="dxa"/>
                  <w:shd w:val="clear" w:color="auto" w:fill="auto"/>
                  <w:vAlign w:val="center"/>
                </w:tcPr>
                <w:p>
                  <w:pPr>
                    <w:pStyle w:val="164"/>
                    <w:rPr>
                      <w:kern w:val="2"/>
                    </w:rPr>
                  </w:pPr>
                  <w:r>
                    <w:rPr>
                      <w:rFonts w:hint="eastAsia"/>
                      <w:kern w:val="2"/>
                    </w:rPr>
                    <w:t>20%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醋酸丁酯</w:t>
                  </w:r>
                </w:p>
              </w:tc>
              <w:tc>
                <w:tcPr>
                  <w:tcW w:w="1260" w:type="dxa"/>
                  <w:shd w:val="clear" w:color="auto" w:fill="auto"/>
                  <w:vAlign w:val="center"/>
                </w:tcPr>
                <w:p>
                  <w:pPr>
                    <w:pStyle w:val="164"/>
                    <w:rPr>
                      <w:kern w:val="2"/>
                    </w:rPr>
                  </w:pPr>
                  <w:r>
                    <w:rPr>
                      <w:rFonts w:hint="eastAsia"/>
                      <w:kern w:val="2"/>
                    </w:rPr>
                    <w:t>20%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restart"/>
                  <w:shd w:val="clear" w:color="auto" w:fill="auto"/>
                  <w:vAlign w:val="center"/>
                </w:tcPr>
                <w:p>
                  <w:pPr>
                    <w:pStyle w:val="164"/>
                    <w:rPr>
                      <w:kern w:val="44"/>
                    </w:rPr>
                  </w:pPr>
                  <w:r>
                    <w:rPr>
                      <w:rFonts w:hint="eastAsia"/>
                      <w:kern w:val="44"/>
                    </w:rPr>
                    <w:t>稀释剂</w:t>
                  </w:r>
                </w:p>
              </w:tc>
              <w:tc>
                <w:tcPr>
                  <w:tcW w:w="821" w:type="dxa"/>
                  <w:vMerge w:val="restart"/>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二甲苯</w:t>
                  </w:r>
                </w:p>
              </w:tc>
              <w:tc>
                <w:tcPr>
                  <w:tcW w:w="1260" w:type="dxa"/>
                  <w:shd w:val="clear" w:color="auto" w:fill="auto"/>
                  <w:vAlign w:val="center"/>
                </w:tcPr>
                <w:p>
                  <w:pPr>
                    <w:pStyle w:val="164"/>
                    <w:rPr>
                      <w:kern w:val="2"/>
                    </w:rPr>
                  </w:pPr>
                  <w:r>
                    <w:rPr>
                      <w:rFonts w:hint="eastAsia"/>
                      <w:kern w:val="2"/>
                    </w:rPr>
                    <w:t>2%</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醋酸丁酯</w:t>
                  </w:r>
                </w:p>
              </w:tc>
              <w:tc>
                <w:tcPr>
                  <w:tcW w:w="1260" w:type="dxa"/>
                  <w:shd w:val="clear" w:color="auto" w:fill="auto"/>
                  <w:vAlign w:val="center"/>
                </w:tcPr>
                <w:p>
                  <w:pPr>
                    <w:pStyle w:val="164"/>
                    <w:rPr>
                      <w:kern w:val="2"/>
                    </w:rPr>
                  </w:pPr>
                  <w:r>
                    <w:rPr>
                      <w:rFonts w:hint="eastAsia"/>
                      <w:kern w:val="2"/>
                    </w:rPr>
                    <w:t>78%</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丙二醇甲醚醋酸酯（PMA）</w:t>
                  </w:r>
                </w:p>
              </w:tc>
              <w:tc>
                <w:tcPr>
                  <w:tcW w:w="1260" w:type="dxa"/>
                  <w:shd w:val="clear" w:color="auto" w:fill="auto"/>
                  <w:vAlign w:val="center"/>
                </w:tcPr>
                <w:p>
                  <w:pPr>
                    <w:pStyle w:val="164"/>
                    <w:rPr>
                      <w:kern w:val="2"/>
                    </w:rPr>
                  </w:pPr>
                  <w:r>
                    <w:rPr>
                      <w:rFonts w:hint="eastAsia"/>
                      <w:kern w:val="2"/>
                    </w:rPr>
                    <w:t>20%</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restart"/>
                  <w:shd w:val="clear" w:color="auto" w:fill="auto"/>
                  <w:vAlign w:val="center"/>
                </w:tcPr>
                <w:p>
                  <w:pPr>
                    <w:pStyle w:val="164"/>
                    <w:rPr>
                      <w:kern w:val="44"/>
                    </w:rPr>
                  </w:pPr>
                  <w:r>
                    <w:rPr>
                      <w:rFonts w:hint="eastAsia"/>
                    </w:rPr>
                    <w:t>成品漆不进行混合</w:t>
                  </w:r>
                </w:p>
              </w:tc>
              <w:tc>
                <w:tcPr>
                  <w:tcW w:w="687" w:type="dxa"/>
                  <w:vMerge w:val="restart"/>
                  <w:shd w:val="clear" w:color="auto" w:fill="auto"/>
                  <w:vAlign w:val="center"/>
                </w:tcPr>
                <w:p>
                  <w:pPr>
                    <w:pStyle w:val="164"/>
                    <w:rPr>
                      <w:kern w:val="44"/>
                    </w:rPr>
                  </w:pPr>
                  <w:r>
                    <w:rPr>
                      <w:rFonts w:hint="eastAsia"/>
                      <w:kern w:val="44"/>
                    </w:rPr>
                    <w:t>UV油漆</w:t>
                  </w:r>
                </w:p>
              </w:tc>
              <w:tc>
                <w:tcPr>
                  <w:tcW w:w="821" w:type="dxa"/>
                  <w:vMerge w:val="restart"/>
                  <w:shd w:val="clear" w:color="auto" w:fill="auto"/>
                  <w:vAlign w:val="center"/>
                </w:tcPr>
                <w:p>
                  <w:pPr>
                    <w:pStyle w:val="164"/>
                  </w:pPr>
                  <w:r>
                    <w:rPr>
                      <w:rFonts w:hint="eastAsia"/>
                    </w:rPr>
                    <w:t>固体份</w:t>
                  </w:r>
                </w:p>
              </w:tc>
              <w:tc>
                <w:tcPr>
                  <w:tcW w:w="3030" w:type="dxa"/>
                  <w:shd w:val="clear" w:color="auto" w:fill="auto"/>
                  <w:vAlign w:val="center"/>
                </w:tcPr>
                <w:p>
                  <w:pPr>
                    <w:pStyle w:val="164"/>
                  </w:pPr>
                  <w:r>
                    <w:rPr>
                      <w:rFonts w:hint="eastAsia"/>
                      <w:kern w:val="2"/>
                    </w:rPr>
                    <w:t>丙烯酸醋低聚物</w:t>
                  </w:r>
                  <w:r>
                    <w:rPr>
                      <w:kern w:val="2"/>
                    </w:rPr>
                    <w:t>40-55%</w:t>
                  </w:r>
                </w:p>
              </w:tc>
              <w:tc>
                <w:tcPr>
                  <w:tcW w:w="1260" w:type="dxa"/>
                  <w:shd w:val="clear" w:color="auto" w:fill="auto"/>
                  <w:vAlign w:val="center"/>
                </w:tcPr>
                <w:p>
                  <w:pPr>
                    <w:pStyle w:val="164"/>
                    <w:rPr>
                      <w:kern w:val="2"/>
                    </w:rPr>
                  </w:pPr>
                  <w:r>
                    <w:rPr>
                      <w:rFonts w:hint="eastAsia"/>
                      <w:kern w:val="2"/>
                    </w:rPr>
                    <w:t>55</w:t>
                  </w:r>
                  <w:r>
                    <w:rPr>
                      <w:kern w:val="2"/>
                    </w:rPr>
                    <w:t>%</w:t>
                  </w:r>
                </w:p>
              </w:tc>
              <w:tc>
                <w:tcPr>
                  <w:tcW w:w="1662" w:type="dxa"/>
                  <w:vMerge w:val="restart"/>
                  <w:shd w:val="clear" w:color="auto" w:fill="auto"/>
                  <w:vAlign w:val="center"/>
                </w:tcPr>
                <w:p>
                  <w:pPr>
                    <w:pStyle w:val="164"/>
                  </w:pPr>
                  <w:r>
                    <w:rPr>
                      <w:rFonts w:hint="eastAsia"/>
                    </w:rPr>
                    <w:t>固体分：91.0</w:t>
                  </w:r>
                  <w:r>
                    <w:t>%</w:t>
                  </w:r>
                  <w:r>
                    <w:rPr>
                      <w:rFonts w:hint="eastAsia"/>
                    </w:rPr>
                    <w:t>挥发份：9.0</w:t>
                  </w: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单体</w:t>
                  </w:r>
                  <w:r>
                    <w:rPr>
                      <w:kern w:val="2"/>
                    </w:rPr>
                    <w:t>10-25</w:t>
                  </w:r>
                  <w:r>
                    <w:rPr>
                      <w:rFonts w:hint="eastAsia"/>
                      <w:kern w:val="2"/>
                    </w:rPr>
                    <w:t>%</w:t>
                  </w:r>
                </w:p>
              </w:tc>
              <w:tc>
                <w:tcPr>
                  <w:tcW w:w="1260" w:type="dxa"/>
                  <w:shd w:val="clear" w:color="auto" w:fill="auto"/>
                  <w:vAlign w:val="center"/>
                </w:tcPr>
                <w:p>
                  <w:pPr>
                    <w:pStyle w:val="164"/>
                    <w:rPr>
                      <w:kern w:val="2"/>
                    </w:rPr>
                  </w:pPr>
                  <w:r>
                    <w:rPr>
                      <w:rFonts w:hint="eastAsia"/>
                      <w:kern w:val="2"/>
                    </w:rPr>
                    <w:t>25</w:t>
                  </w:r>
                  <w:r>
                    <w:rPr>
                      <w:kern w:val="2"/>
                    </w:rPr>
                    <w:t>%</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vMerge w:val="continue"/>
                  <w:shd w:val="clear" w:color="auto" w:fill="auto"/>
                  <w:vAlign w:val="center"/>
                </w:tcPr>
                <w:p>
                  <w:pPr>
                    <w:pStyle w:val="164"/>
                  </w:pPr>
                </w:p>
              </w:tc>
              <w:tc>
                <w:tcPr>
                  <w:tcW w:w="3030" w:type="dxa"/>
                  <w:shd w:val="clear" w:color="auto" w:fill="auto"/>
                  <w:vAlign w:val="center"/>
                </w:tcPr>
                <w:p>
                  <w:pPr>
                    <w:pStyle w:val="164"/>
                    <w:rPr>
                      <w:kern w:val="2"/>
                    </w:rPr>
                  </w:pPr>
                  <w:r>
                    <w:rPr>
                      <w:rFonts w:hint="eastAsia"/>
                      <w:kern w:val="2"/>
                    </w:rPr>
                    <w:t>光引发剂</w:t>
                  </w:r>
                  <w:r>
                    <w:rPr>
                      <w:kern w:val="2"/>
                    </w:rPr>
                    <w:t>1-10</w:t>
                  </w:r>
                  <w:r>
                    <w:rPr>
                      <w:rFonts w:hint="eastAsia"/>
                      <w:kern w:val="2"/>
                    </w:rPr>
                    <w:t>%</w:t>
                  </w:r>
                </w:p>
              </w:tc>
              <w:tc>
                <w:tcPr>
                  <w:tcW w:w="1260" w:type="dxa"/>
                  <w:shd w:val="clear" w:color="auto" w:fill="auto"/>
                  <w:vAlign w:val="center"/>
                </w:tcPr>
                <w:p>
                  <w:pPr>
                    <w:pStyle w:val="164"/>
                    <w:rPr>
                      <w:kern w:val="2"/>
                    </w:rPr>
                  </w:pPr>
                  <w:r>
                    <w:rPr>
                      <w:rFonts w:hint="eastAsia"/>
                      <w:kern w:val="2"/>
                    </w:rPr>
                    <w:t>10</w:t>
                  </w:r>
                  <w:r>
                    <w:rPr>
                      <w:kern w:val="2"/>
                    </w:rPr>
                    <w:t>%</w:t>
                  </w:r>
                </w:p>
              </w:tc>
              <w:tc>
                <w:tcPr>
                  <w:tcW w:w="166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42" w:type="dxa"/>
                  <w:vMerge w:val="continue"/>
                  <w:shd w:val="clear" w:color="auto" w:fill="auto"/>
                  <w:vAlign w:val="center"/>
                </w:tcPr>
                <w:p>
                  <w:pPr>
                    <w:pStyle w:val="164"/>
                    <w:rPr>
                      <w:kern w:val="44"/>
                    </w:rPr>
                  </w:pPr>
                </w:p>
              </w:tc>
              <w:tc>
                <w:tcPr>
                  <w:tcW w:w="687" w:type="dxa"/>
                  <w:vMerge w:val="continue"/>
                  <w:shd w:val="clear" w:color="auto" w:fill="auto"/>
                  <w:vAlign w:val="center"/>
                </w:tcPr>
                <w:p>
                  <w:pPr>
                    <w:pStyle w:val="164"/>
                    <w:rPr>
                      <w:kern w:val="44"/>
                    </w:rPr>
                  </w:pPr>
                </w:p>
              </w:tc>
              <w:tc>
                <w:tcPr>
                  <w:tcW w:w="821" w:type="dxa"/>
                  <w:shd w:val="clear" w:color="auto" w:fill="auto"/>
                  <w:vAlign w:val="center"/>
                </w:tcPr>
                <w:p>
                  <w:pPr>
                    <w:pStyle w:val="164"/>
                  </w:pPr>
                  <w:r>
                    <w:rPr>
                      <w:rFonts w:hint="eastAsia"/>
                    </w:rPr>
                    <w:t>挥发份</w:t>
                  </w:r>
                </w:p>
              </w:tc>
              <w:tc>
                <w:tcPr>
                  <w:tcW w:w="3030" w:type="dxa"/>
                  <w:shd w:val="clear" w:color="auto" w:fill="auto"/>
                  <w:vAlign w:val="center"/>
                </w:tcPr>
                <w:p>
                  <w:pPr>
                    <w:pStyle w:val="164"/>
                    <w:rPr>
                      <w:kern w:val="2"/>
                    </w:rPr>
                  </w:pPr>
                  <w:r>
                    <w:rPr>
                      <w:rFonts w:hint="eastAsia"/>
                      <w:kern w:val="2"/>
                    </w:rPr>
                    <w:t>助剂8-10%</w:t>
                  </w:r>
                </w:p>
              </w:tc>
              <w:tc>
                <w:tcPr>
                  <w:tcW w:w="1260" w:type="dxa"/>
                  <w:shd w:val="clear" w:color="auto" w:fill="auto"/>
                  <w:vAlign w:val="center"/>
                </w:tcPr>
                <w:p>
                  <w:pPr>
                    <w:pStyle w:val="164"/>
                    <w:rPr>
                      <w:kern w:val="2"/>
                    </w:rPr>
                  </w:pPr>
                  <w:r>
                    <w:rPr>
                      <w:rFonts w:hint="eastAsia"/>
                      <w:kern w:val="2"/>
                    </w:rPr>
                    <w:t>9</w:t>
                  </w:r>
                  <w:r>
                    <w:rPr>
                      <w:kern w:val="2"/>
                    </w:rPr>
                    <w:t>%</w:t>
                  </w:r>
                </w:p>
              </w:tc>
              <w:tc>
                <w:tcPr>
                  <w:tcW w:w="1662" w:type="dxa"/>
                  <w:vMerge w:val="continue"/>
                  <w:shd w:val="clear" w:color="auto" w:fill="auto"/>
                  <w:vAlign w:val="center"/>
                </w:tcPr>
                <w:p>
                  <w:pPr>
                    <w:pStyle w:val="164"/>
                  </w:pPr>
                </w:p>
              </w:tc>
            </w:tr>
          </w:tbl>
          <w:p>
            <w:pPr>
              <w:pStyle w:val="160"/>
              <w:ind w:firstLine="480"/>
              <w:rPr>
                <w:rFonts w:asciiTheme="minorEastAsia" w:hAnsiTheme="minorEastAsia" w:eastAsiaTheme="minorEastAsia"/>
              </w:rPr>
            </w:pPr>
            <w:bookmarkStart w:id="18" w:name="_Ref90811032"/>
            <w:r>
              <w:rPr>
                <w:rFonts w:hint="eastAsia" w:asciiTheme="minorEastAsia" w:hAnsiTheme="minorEastAsia" w:eastAsiaTheme="minorEastAsia"/>
              </w:rPr>
              <w:t>按照</w:t>
            </w:r>
            <w:r>
              <w:rPr>
                <w:rFonts w:asciiTheme="minorEastAsia" w:hAnsiTheme="minorEastAsia" w:eastAsiaTheme="minorEastAsia"/>
              </w:rPr>
              <w:t>《色漆和清漆挥发性有机化合物（VOC）含量的测定气相色谱法》</w:t>
            </w:r>
            <w:r>
              <w:rPr>
                <w:rFonts w:hint="eastAsia" w:asciiTheme="minorEastAsia" w:hAnsiTheme="minorEastAsia" w:eastAsiaTheme="minorEastAsia"/>
              </w:rPr>
              <w:t>（</w:t>
            </w:r>
            <w:r>
              <w:rPr>
                <w:rFonts w:asciiTheme="minorEastAsia" w:hAnsiTheme="minorEastAsia" w:eastAsiaTheme="minorEastAsia"/>
              </w:rPr>
              <w:t>GB/T 23986-2009</w:t>
            </w:r>
            <w:r>
              <w:rPr>
                <w:rFonts w:hint="eastAsia" w:asciiTheme="minorEastAsia" w:hAnsiTheme="minorEastAsia" w:eastAsiaTheme="minorEastAsia"/>
              </w:rPr>
              <w:t>）中1</w:t>
            </w:r>
            <w:r>
              <w:rPr>
                <w:rFonts w:asciiTheme="minorEastAsia" w:hAnsiTheme="minorEastAsia" w:eastAsiaTheme="minorEastAsia"/>
              </w:rPr>
              <w:t>0.4</w:t>
            </w:r>
            <w:r>
              <w:rPr>
                <w:rFonts w:hint="eastAsia" w:asciiTheme="minorEastAsia" w:hAnsiTheme="minorEastAsia" w:eastAsiaTheme="minorEastAsia"/>
              </w:rPr>
              <w:t>方法计算涂料V</w:t>
            </w:r>
            <w:r>
              <w:rPr>
                <w:rFonts w:asciiTheme="minorEastAsia" w:hAnsiTheme="minorEastAsia" w:eastAsiaTheme="minorEastAsia"/>
              </w:rPr>
              <w:t>OC</w:t>
            </w:r>
            <w:r>
              <w:rPr>
                <w:rFonts w:hint="eastAsia" w:asciiTheme="minorEastAsia" w:hAnsiTheme="minorEastAsia" w:eastAsiaTheme="minorEastAsia"/>
              </w:rPr>
              <w:t>含量，即计算涂料扣除水后的V</w:t>
            </w:r>
            <w:r>
              <w:rPr>
                <w:rFonts w:asciiTheme="minorEastAsia" w:hAnsiTheme="minorEastAsia" w:eastAsiaTheme="minorEastAsia"/>
              </w:rPr>
              <w:t>OC</w:t>
            </w:r>
            <w:r>
              <w:rPr>
                <w:rFonts w:hint="eastAsia" w:asciiTheme="minorEastAsia" w:hAnsiTheme="minorEastAsia" w:eastAsiaTheme="minorEastAsia"/>
              </w:rPr>
              <w:t>含量，则水性面漆V</w:t>
            </w:r>
            <w:r>
              <w:rPr>
                <w:rFonts w:asciiTheme="minorEastAsia" w:hAnsiTheme="minorEastAsia" w:eastAsiaTheme="minorEastAsia"/>
              </w:rPr>
              <w:t>OC</w:t>
            </w:r>
            <w:r>
              <w:rPr>
                <w:rFonts w:hint="eastAsia" w:asciiTheme="minorEastAsia" w:hAnsiTheme="minorEastAsia" w:eastAsiaTheme="minorEastAsia"/>
              </w:rPr>
              <w:t>含量为123g</w:t>
            </w:r>
            <w:r>
              <w:rPr>
                <w:rFonts w:asciiTheme="minorEastAsia" w:hAnsiTheme="minorEastAsia" w:eastAsiaTheme="minorEastAsia"/>
              </w:rPr>
              <w:t>/L</w:t>
            </w:r>
            <w:r>
              <w:rPr>
                <w:rFonts w:hint="eastAsia" w:asciiTheme="minorEastAsia" w:hAnsiTheme="minorEastAsia" w:eastAsiaTheme="minorEastAsia"/>
              </w:rPr>
              <w:t>，水性底漆漆料中V</w:t>
            </w:r>
            <w:r>
              <w:rPr>
                <w:rFonts w:asciiTheme="minorEastAsia" w:hAnsiTheme="minorEastAsia" w:eastAsiaTheme="minorEastAsia"/>
              </w:rPr>
              <w:t>OC</w:t>
            </w:r>
            <w:r>
              <w:rPr>
                <w:rFonts w:hint="eastAsia" w:asciiTheme="minorEastAsia" w:hAnsiTheme="minorEastAsia" w:eastAsiaTheme="minorEastAsia"/>
              </w:rPr>
              <w:t>含量为150 g</w:t>
            </w:r>
            <w:r>
              <w:rPr>
                <w:rFonts w:asciiTheme="minorEastAsia" w:hAnsiTheme="minorEastAsia" w:eastAsiaTheme="minorEastAsia"/>
              </w:rPr>
              <w:t>/L</w:t>
            </w:r>
            <w:r>
              <w:rPr>
                <w:rFonts w:hint="eastAsia" w:asciiTheme="minorEastAsia" w:hAnsiTheme="minorEastAsia" w:eastAsiaTheme="minorEastAsia"/>
              </w:rPr>
              <w:t>；UV油漆为99g</w:t>
            </w:r>
            <w:r>
              <w:rPr>
                <w:rFonts w:asciiTheme="minorEastAsia" w:hAnsiTheme="minorEastAsia" w:eastAsiaTheme="minorEastAsia"/>
              </w:rPr>
              <w:t>/L</w:t>
            </w:r>
            <w:r>
              <w:rPr>
                <w:rFonts w:hint="eastAsia" w:asciiTheme="minorEastAsia" w:hAnsiTheme="minorEastAsia" w:eastAsiaTheme="minorEastAsia"/>
              </w:rPr>
              <w:t>；油性面漆漆料中V</w:t>
            </w:r>
            <w:r>
              <w:rPr>
                <w:rFonts w:asciiTheme="minorEastAsia" w:hAnsiTheme="minorEastAsia" w:eastAsiaTheme="minorEastAsia"/>
              </w:rPr>
              <w:t>OC</w:t>
            </w:r>
            <w:r>
              <w:rPr>
                <w:rFonts w:hint="eastAsia" w:asciiTheme="minorEastAsia" w:hAnsiTheme="minorEastAsia" w:eastAsiaTheme="minorEastAsia"/>
              </w:rPr>
              <w:t>含量为417.2g</w:t>
            </w:r>
            <w:r>
              <w:rPr>
                <w:rFonts w:asciiTheme="minorEastAsia" w:hAnsiTheme="minorEastAsia" w:eastAsiaTheme="minorEastAsia"/>
              </w:rPr>
              <w:t>/L</w:t>
            </w:r>
            <w:r>
              <w:rPr>
                <w:rFonts w:hint="eastAsia" w:asciiTheme="minorEastAsia" w:hAnsiTheme="minorEastAsia" w:eastAsiaTheme="minorEastAsia"/>
              </w:rPr>
              <w:t>，油性底漆漆料中V</w:t>
            </w:r>
            <w:r>
              <w:rPr>
                <w:rFonts w:asciiTheme="minorEastAsia" w:hAnsiTheme="minorEastAsia" w:eastAsiaTheme="minorEastAsia"/>
              </w:rPr>
              <w:t>OC</w:t>
            </w:r>
            <w:r>
              <w:rPr>
                <w:rFonts w:hint="eastAsia" w:asciiTheme="minorEastAsia" w:hAnsiTheme="minorEastAsia" w:eastAsiaTheme="minorEastAsia"/>
              </w:rPr>
              <w:t>含量为409.1 g</w:t>
            </w:r>
            <w:r>
              <w:rPr>
                <w:rFonts w:asciiTheme="minorEastAsia" w:hAnsiTheme="minorEastAsia" w:eastAsiaTheme="minorEastAsia"/>
              </w:rPr>
              <w:t>/L</w:t>
            </w:r>
            <w:r>
              <w:rPr>
                <w:rFonts w:hint="eastAsia" w:asciiTheme="minorEastAsia" w:hAnsiTheme="minorEastAsia" w:eastAsiaTheme="minorEastAsia"/>
              </w:rPr>
              <w:t>。</w:t>
            </w:r>
          </w:p>
          <w:p>
            <w:pPr>
              <w:pStyle w:val="164"/>
              <w:rPr>
                <w:lang w:val="en-US"/>
              </w:rPr>
            </w:pPr>
            <w:r>
              <w:rPr>
                <w:rFonts w:hint="eastAsia"/>
              </w:rPr>
              <w:t>表</w:t>
            </w:r>
            <w:bookmarkEnd w:id="18"/>
            <w:r>
              <w:rPr>
                <w:rFonts w:hint="eastAsia"/>
                <w:lang w:val="en-US"/>
              </w:rPr>
              <w:t xml:space="preserve">2.7-3  </w:t>
            </w:r>
            <w:r>
              <w:rPr>
                <w:rFonts w:hint="eastAsia"/>
              </w:rPr>
              <w:t>油漆</w:t>
            </w:r>
            <w:r>
              <w:rPr>
                <w:lang w:val="en-US"/>
              </w:rPr>
              <w:t>VOC</w:t>
            </w:r>
            <w:r>
              <w:t>含量</w:t>
            </w:r>
            <w:r>
              <w:rPr>
                <w:rFonts w:hint="eastAsia"/>
              </w:rPr>
              <w:t>分析表</w:t>
            </w:r>
          </w:p>
          <w:tbl>
            <w:tblPr>
              <w:tblStyle w:val="89"/>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59"/>
              <w:gridCol w:w="963"/>
              <w:gridCol w:w="823"/>
              <w:gridCol w:w="3295"/>
              <w:gridCol w:w="1245"/>
              <w:gridCol w:w="687"/>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2545" w:type="dxa"/>
                  <w:gridSpan w:val="3"/>
                  <w:vAlign w:val="center"/>
                </w:tcPr>
                <w:p>
                  <w:pPr>
                    <w:pStyle w:val="164"/>
                  </w:pPr>
                  <w:r>
                    <w:rPr>
                      <w:rFonts w:hint="eastAsia"/>
                    </w:rPr>
                    <w:t>分析项目</w:t>
                  </w:r>
                </w:p>
              </w:tc>
              <w:tc>
                <w:tcPr>
                  <w:tcW w:w="4540" w:type="dxa"/>
                  <w:gridSpan w:val="2"/>
                  <w:vAlign w:val="center"/>
                </w:tcPr>
                <w:p>
                  <w:pPr>
                    <w:pStyle w:val="164"/>
                  </w:pPr>
                  <w:r>
                    <w:rPr>
                      <w:rFonts w:hint="eastAsia"/>
                    </w:rPr>
                    <w:t>标准要求</w:t>
                  </w:r>
                </w:p>
              </w:tc>
              <w:tc>
                <w:tcPr>
                  <w:tcW w:w="687" w:type="dxa"/>
                  <w:vAlign w:val="center"/>
                </w:tcPr>
                <w:p>
                  <w:pPr>
                    <w:pStyle w:val="164"/>
                  </w:pPr>
                  <w:r>
                    <w:rPr>
                      <w:rFonts w:hint="eastAsia"/>
                    </w:rPr>
                    <w:t>底漆</w:t>
                  </w:r>
                </w:p>
              </w:tc>
              <w:tc>
                <w:tcPr>
                  <w:tcW w:w="733" w:type="dxa"/>
                  <w:vAlign w:val="center"/>
                </w:tcPr>
                <w:p>
                  <w:pPr>
                    <w:pStyle w:val="164"/>
                  </w:pPr>
                  <w:r>
                    <w:rPr>
                      <w:rFonts w:hint="eastAsia"/>
                    </w:rPr>
                    <w:t>面漆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restart"/>
                  <w:vAlign w:val="center"/>
                </w:tcPr>
                <w:p>
                  <w:pPr>
                    <w:pStyle w:val="164"/>
                  </w:pPr>
                  <w:r>
                    <w:rPr>
                      <w:rFonts w:hint="eastAsia"/>
                    </w:rPr>
                    <w:t>V</w:t>
                  </w:r>
                  <w:r>
                    <w:t>OC</w:t>
                  </w:r>
                  <w:r>
                    <w:rPr>
                      <w:rFonts w:hint="eastAsia"/>
                    </w:rPr>
                    <w:t>s含量</w:t>
                  </w:r>
                </w:p>
              </w:tc>
              <w:tc>
                <w:tcPr>
                  <w:tcW w:w="963" w:type="dxa"/>
                  <w:vMerge w:val="restart"/>
                  <w:vAlign w:val="center"/>
                </w:tcPr>
                <w:p>
                  <w:pPr>
                    <w:pStyle w:val="164"/>
                  </w:pPr>
                  <w:r>
                    <w:rPr>
                      <w:rFonts w:hint="eastAsia"/>
                    </w:rPr>
                    <w:t>涂料/（g/</w:t>
                  </w:r>
                  <w:r>
                    <w:t>L</w:t>
                  </w:r>
                  <w:r>
                    <w:rPr>
                      <w:rFonts w:hint="eastAsia"/>
                    </w:rPr>
                    <w:t>）</w:t>
                  </w:r>
                </w:p>
              </w:tc>
              <w:tc>
                <w:tcPr>
                  <w:tcW w:w="823" w:type="dxa"/>
                  <w:vMerge w:val="restart"/>
                  <w:vAlign w:val="center"/>
                </w:tcPr>
                <w:p>
                  <w:pPr>
                    <w:pStyle w:val="164"/>
                  </w:pPr>
                  <w:r>
                    <w:rPr>
                      <w:rFonts w:hint="eastAsia"/>
                    </w:rPr>
                    <w:t>水性涂料</w:t>
                  </w:r>
                </w:p>
              </w:tc>
              <w:tc>
                <w:tcPr>
                  <w:tcW w:w="3295" w:type="dxa"/>
                  <w:vMerge w:val="restart"/>
                  <w:vAlign w:val="center"/>
                </w:tcPr>
                <w:p>
                  <w:pPr>
                    <w:pStyle w:val="164"/>
                  </w:pPr>
                  <w:r>
                    <w:rPr>
                      <w:rFonts w:hint="eastAsia"/>
                    </w:rPr>
                    <w:t>《低挥发性有机化合物含量涂料产品技术要求》（</w:t>
                  </w:r>
                  <w:r>
                    <w:t>GB-T 38597-2020）</w:t>
                  </w:r>
                </w:p>
              </w:tc>
              <w:tc>
                <w:tcPr>
                  <w:tcW w:w="1245" w:type="dxa"/>
                  <w:vAlign w:val="center"/>
                </w:tcPr>
                <w:p>
                  <w:pPr>
                    <w:pStyle w:val="164"/>
                  </w:pPr>
                  <w:r>
                    <w:rPr>
                      <w:rFonts w:hint="eastAsia"/>
                    </w:rPr>
                    <w:t>色漆≤22</w:t>
                  </w:r>
                  <w:r>
                    <w:t>0</w:t>
                  </w:r>
                </w:p>
              </w:tc>
              <w:tc>
                <w:tcPr>
                  <w:tcW w:w="687" w:type="dxa"/>
                  <w:vMerge w:val="restart"/>
                  <w:vAlign w:val="center"/>
                </w:tcPr>
                <w:p>
                  <w:pPr>
                    <w:pStyle w:val="164"/>
                  </w:pPr>
                  <w:r>
                    <w:rPr>
                      <w:rFonts w:hint="eastAsia"/>
                    </w:rPr>
                    <w:t>150</w:t>
                  </w:r>
                </w:p>
              </w:tc>
              <w:tc>
                <w:tcPr>
                  <w:tcW w:w="733" w:type="dxa"/>
                  <w:vMerge w:val="restart"/>
                  <w:vAlign w:val="center"/>
                </w:tcPr>
                <w:p>
                  <w:pPr>
                    <w:pStyle w:val="164"/>
                  </w:pPr>
                  <w:r>
                    <w:rPr>
                      <w:rFonts w:hint="eastAsi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Merge w:val="continue"/>
                  <w:vAlign w:val="center"/>
                </w:tcPr>
                <w:p>
                  <w:pPr>
                    <w:pStyle w:val="164"/>
                  </w:pPr>
                </w:p>
              </w:tc>
              <w:tc>
                <w:tcPr>
                  <w:tcW w:w="823" w:type="dxa"/>
                  <w:vMerge w:val="continue"/>
                  <w:vAlign w:val="center"/>
                </w:tcPr>
                <w:p>
                  <w:pPr>
                    <w:pStyle w:val="164"/>
                  </w:pPr>
                </w:p>
              </w:tc>
              <w:tc>
                <w:tcPr>
                  <w:tcW w:w="3295" w:type="dxa"/>
                  <w:vMerge w:val="continue"/>
                  <w:vAlign w:val="center"/>
                </w:tcPr>
                <w:p>
                  <w:pPr>
                    <w:pStyle w:val="164"/>
                  </w:pPr>
                </w:p>
              </w:tc>
              <w:tc>
                <w:tcPr>
                  <w:tcW w:w="1245" w:type="dxa"/>
                  <w:vAlign w:val="center"/>
                </w:tcPr>
                <w:p>
                  <w:pPr>
                    <w:pStyle w:val="164"/>
                  </w:pPr>
                  <w:r>
                    <w:rPr>
                      <w:rFonts w:hint="eastAsia"/>
                    </w:rPr>
                    <w:t>清漆≤27</w:t>
                  </w:r>
                  <w:r>
                    <w:t>0</w:t>
                  </w:r>
                </w:p>
              </w:tc>
              <w:tc>
                <w:tcPr>
                  <w:tcW w:w="687" w:type="dxa"/>
                  <w:vMerge w:val="continue"/>
                  <w:vAlign w:val="center"/>
                </w:tcPr>
                <w:p>
                  <w:pPr>
                    <w:pStyle w:val="164"/>
                  </w:pPr>
                </w:p>
              </w:tc>
              <w:tc>
                <w:tcPr>
                  <w:tcW w:w="733" w:type="dxa"/>
                  <w:vMerge w:val="continue"/>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Merge w:val="continue"/>
                  <w:vAlign w:val="center"/>
                </w:tcPr>
                <w:p>
                  <w:pPr>
                    <w:pStyle w:val="164"/>
                  </w:pPr>
                </w:p>
              </w:tc>
              <w:tc>
                <w:tcPr>
                  <w:tcW w:w="823" w:type="dxa"/>
                  <w:vMerge w:val="continue"/>
                  <w:vAlign w:val="center"/>
                </w:tcPr>
                <w:p>
                  <w:pPr>
                    <w:pStyle w:val="164"/>
                  </w:pPr>
                </w:p>
              </w:tc>
              <w:tc>
                <w:tcPr>
                  <w:tcW w:w="3295" w:type="dxa"/>
                  <w:vMerge w:val="restart"/>
                  <w:vAlign w:val="center"/>
                </w:tcPr>
                <w:p>
                  <w:pPr>
                    <w:pStyle w:val="164"/>
                  </w:pPr>
                  <w:r>
                    <w:rPr>
                      <w:rFonts w:hint="eastAsia"/>
                    </w:rPr>
                    <w:t>《木器涂料中有害物质限量》（</w:t>
                  </w:r>
                  <w:r>
                    <w:t>GB 18581-2020）</w:t>
                  </w:r>
                </w:p>
              </w:tc>
              <w:tc>
                <w:tcPr>
                  <w:tcW w:w="1245" w:type="dxa"/>
                  <w:vAlign w:val="center"/>
                </w:tcPr>
                <w:p>
                  <w:pPr>
                    <w:pStyle w:val="164"/>
                  </w:pPr>
                  <w:r>
                    <w:rPr>
                      <w:rFonts w:hint="eastAsia"/>
                    </w:rPr>
                    <w:t>色漆≤25</w:t>
                  </w:r>
                  <w:r>
                    <w:t>0</w:t>
                  </w:r>
                </w:p>
              </w:tc>
              <w:tc>
                <w:tcPr>
                  <w:tcW w:w="687" w:type="dxa"/>
                  <w:vMerge w:val="continue"/>
                  <w:vAlign w:val="center"/>
                </w:tcPr>
                <w:p>
                  <w:pPr>
                    <w:pStyle w:val="164"/>
                  </w:pPr>
                </w:p>
              </w:tc>
              <w:tc>
                <w:tcPr>
                  <w:tcW w:w="733" w:type="dxa"/>
                  <w:vMerge w:val="continue"/>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Merge w:val="continue"/>
                  <w:vAlign w:val="center"/>
                </w:tcPr>
                <w:p>
                  <w:pPr>
                    <w:pStyle w:val="164"/>
                  </w:pPr>
                </w:p>
              </w:tc>
              <w:tc>
                <w:tcPr>
                  <w:tcW w:w="823" w:type="dxa"/>
                  <w:vMerge w:val="continue"/>
                  <w:vAlign w:val="center"/>
                </w:tcPr>
                <w:p>
                  <w:pPr>
                    <w:pStyle w:val="164"/>
                  </w:pPr>
                </w:p>
              </w:tc>
              <w:tc>
                <w:tcPr>
                  <w:tcW w:w="3295" w:type="dxa"/>
                  <w:vMerge w:val="continue"/>
                  <w:vAlign w:val="center"/>
                </w:tcPr>
                <w:p>
                  <w:pPr>
                    <w:pStyle w:val="164"/>
                  </w:pPr>
                </w:p>
              </w:tc>
              <w:tc>
                <w:tcPr>
                  <w:tcW w:w="1245" w:type="dxa"/>
                  <w:vAlign w:val="center"/>
                </w:tcPr>
                <w:p>
                  <w:pPr>
                    <w:pStyle w:val="164"/>
                  </w:pPr>
                  <w:r>
                    <w:rPr>
                      <w:rFonts w:hint="eastAsia"/>
                    </w:rPr>
                    <w:t>清漆≤300</w:t>
                  </w:r>
                </w:p>
              </w:tc>
              <w:tc>
                <w:tcPr>
                  <w:tcW w:w="687" w:type="dxa"/>
                  <w:vMerge w:val="continue"/>
                  <w:vAlign w:val="center"/>
                </w:tcPr>
                <w:p>
                  <w:pPr>
                    <w:pStyle w:val="164"/>
                  </w:pPr>
                </w:p>
              </w:tc>
              <w:tc>
                <w:tcPr>
                  <w:tcW w:w="733" w:type="dxa"/>
                  <w:vMerge w:val="continue"/>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Merge w:val="continue"/>
                  <w:vAlign w:val="center"/>
                </w:tcPr>
                <w:p>
                  <w:pPr>
                    <w:pStyle w:val="164"/>
                  </w:pPr>
                </w:p>
              </w:tc>
              <w:tc>
                <w:tcPr>
                  <w:tcW w:w="823" w:type="dxa"/>
                  <w:vMerge w:val="restart"/>
                  <w:vAlign w:val="center"/>
                </w:tcPr>
                <w:p>
                  <w:pPr>
                    <w:pStyle w:val="164"/>
                  </w:pPr>
                  <w:r>
                    <w:rPr>
                      <w:rFonts w:hint="eastAsia"/>
                    </w:rPr>
                    <w:t>UV漆</w:t>
                  </w:r>
                </w:p>
              </w:tc>
              <w:tc>
                <w:tcPr>
                  <w:tcW w:w="3295" w:type="dxa"/>
                  <w:vAlign w:val="center"/>
                </w:tcPr>
                <w:p>
                  <w:pPr>
                    <w:pStyle w:val="164"/>
                  </w:pPr>
                  <w:r>
                    <w:rPr>
                      <w:rFonts w:hint="eastAsia"/>
                    </w:rPr>
                    <w:t>《低挥发性有机化合物含量涂料产品技术要求》（</w:t>
                  </w:r>
                  <w:r>
                    <w:t>GB-T 38597-2020）</w:t>
                  </w:r>
                </w:p>
              </w:tc>
              <w:tc>
                <w:tcPr>
                  <w:tcW w:w="1245" w:type="dxa"/>
                  <w:vAlign w:val="center"/>
                </w:tcPr>
                <w:p>
                  <w:pPr>
                    <w:pStyle w:val="164"/>
                  </w:pPr>
                  <w:r>
                    <w:rPr>
                      <w:rFonts w:hint="eastAsia"/>
                    </w:rPr>
                    <w:t>非水性≤100</w:t>
                  </w:r>
                </w:p>
              </w:tc>
              <w:tc>
                <w:tcPr>
                  <w:tcW w:w="1420" w:type="dxa"/>
                  <w:gridSpan w:val="2"/>
                  <w:vMerge w:val="restart"/>
                  <w:vAlign w:val="center"/>
                </w:tcPr>
                <w:p>
                  <w:pPr>
                    <w:pStyle w:val="164"/>
                  </w:pPr>
                  <w:r>
                    <w:rPr>
                      <w:rFonts w:hint="eastAsia"/>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Merge w:val="continue"/>
                  <w:vAlign w:val="center"/>
                </w:tcPr>
                <w:p>
                  <w:pPr>
                    <w:pStyle w:val="164"/>
                  </w:pPr>
                </w:p>
              </w:tc>
              <w:tc>
                <w:tcPr>
                  <w:tcW w:w="823" w:type="dxa"/>
                  <w:vMerge w:val="continue"/>
                  <w:vAlign w:val="center"/>
                </w:tcPr>
                <w:p>
                  <w:pPr>
                    <w:pStyle w:val="164"/>
                  </w:pPr>
                </w:p>
              </w:tc>
              <w:tc>
                <w:tcPr>
                  <w:tcW w:w="3295" w:type="dxa"/>
                  <w:vAlign w:val="center"/>
                </w:tcPr>
                <w:p>
                  <w:pPr>
                    <w:pStyle w:val="164"/>
                  </w:pPr>
                  <w:r>
                    <w:rPr>
                      <w:rFonts w:hint="eastAsia"/>
                    </w:rPr>
                    <w:t>《木器涂料中有害物质限量》（</w:t>
                  </w:r>
                  <w:r>
                    <w:t>GB 18581-2020）</w:t>
                  </w:r>
                </w:p>
              </w:tc>
              <w:tc>
                <w:tcPr>
                  <w:tcW w:w="1245" w:type="dxa"/>
                  <w:vAlign w:val="center"/>
                </w:tcPr>
                <w:p>
                  <w:pPr>
                    <w:pStyle w:val="164"/>
                  </w:pPr>
                  <w:r>
                    <w:rPr>
                      <w:rFonts w:hint="eastAsia"/>
                    </w:rPr>
                    <w:t>非水性≤420</w:t>
                  </w:r>
                </w:p>
              </w:tc>
              <w:tc>
                <w:tcPr>
                  <w:tcW w:w="1420" w:type="dxa"/>
                  <w:gridSpan w:val="2"/>
                  <w:vMerge w:val="continue"/>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Merge w:val="continue"/>
                  <w:vAlign w:val="center"/>
                </w:tcPr>
                <w:p>
                  <w:pPr>
                    <w:pStyle w:val="164"/>
                  </w:pPr>
                </w:p>
              </w:tc>
              <w:tc>
                <w:tcPr>
                  <w:tcW w:w="823" w:type="dxa"/>
                  <w:vMerge w:val="restart"/>
                  <w:vAlign w:val="center"/>
                </w:tcPr>
                <w:p>
                  <w:pPr>
                    <w:pStyle w:val="164"/>
                  </w:pPr>
                  <w:r>
                    <w:t>溶剂型涂料</w:t>
                  </w:r>
                </w:p>
              </w:tc>
              <w:tc>
                <w:tcPr>
                  <w:tcW w:w="3295" w:type="dxa"/>
                  <w:vAlign w:val="center"/>
                </w:tcPr>
                <w:p>
                  <w:pPr>
                    <w:pStyle w:val="164"/>
                  </w:pPr>
                  <w:r>
                    <w:rPr>
                      <w:rFonts w:hint="eastAsia"/>
                    </w:rPr>
                    <w:t>《低挥发性有机化合物含量涂料产品技术要求》（</w:t>
                  </w:r>
                  <w:r>
                    <w:t>GB-T 38597-2020）</w:t>
                  </w:r>
                </w:p>
              </w:tc>
              <w:tc>
                <w:tcPr>
                  <w:tcW w:w="1245" w:type="dxa"/>
                  <w:vAlign w:val="center"/>
                </w:tcPr>
                <w:p>
                  <w:pPr>
                    <w:pStyle w:val="164"/>
                  </w:pPr>
                  <w:r>
                    <w:rPr>
                      <w:rFonts w:hint="eastAsia"/>
                    </w:rPr>
                    <w:t>≤420</w:t>
                  </w:r>
                </w:p>
              </w:tc>
              <w:tc>
                <w:tcPr>
                  <w:tcW w:w="687" w:type="dxa"/>
                  <w:vAlign w:val="center"/>
                </w:tcPr>
                <w:p>
                  <w:pPr>
                    <w:pStyle w:val="164"/>
                  </w:pPr>
                  <w:r>
                    <w:rPr>
                      <w:rFonts w:hint="eastAsia"/>
                    </w:rPr>
                    <w:t>409.1</w:t>
                  </w:r>
                </w:p>
              </w:tc>
              <w:tc>
                <w:tcPr>
                  <w:tcW w:w="733" w:type="dxa"/>
                  <w:vAlign w:val="center"/>
                </w:tcPr>
                <w:p>
                  <w:pPr>
                    <w:pStyle w:val="164"/>
                  </w:pPr>
                  <w:r>
                    <w:rPr>
                      <w:rFonts w:hint="eastAsia"/>
                    </w:rPr>
                    <w:t>417.2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Merge w:val="continue"/>
                  <w:vAlign w:val="center"/>
                </w:tcPr>
                <w:p>
                  <w:pPr>
                    <w:pStyle w:val="164"/>
                  </w:pPr>
                </w:p>
              </w:tc>
              <w:tc>
                <w:tcPr>
                  <w:tcW w:w="823" w:type="dxa"/>
                  <w:vMerge w:val="continue"/>
                  <w:vAlign w:val="center"/>
                </w:tcPr>
                <w:p>
                  <w:pPr>
                    <w:pStyle w:val="164"/>
                  </w:pPr>
                </w:p>
              </w:tc>
              <w:tc>
                <w:tcPr>
                  <w:tcW w:w="3295" w:type="dxa"/>
                  <w:vAlign w:val="center"/>
                </w:tcPr>
                <w:p>
                  <w:pPr>
                    <w:pStyle w:val="164"/>
                  </w:pPr>
                  <w:r>
                    <w:rPr>
                      <w:rFonts w:hint="eastAsia"/>
                    </w:rPr>
                    <w:t>《木器涂料中有害物质限量》（</w:t>
                  </w:r>
                  <w:r>
                    <w:t>GB 18581-2020）</w:t>
                  </w:r>
                </w:p>
              </w:tc>
              <w:tc>
                <w:tcPr>
                  <w:tcW w:w="1245" w:type="dxa"/>
                  <w:vAlign w:val="center"/>
                </w:tcPr>
                <w:p>
                  <w:pPr>
                    <w:pStyle w:val="164"/>
                  </w:pPr>
                  <w:r>
                    <w:rPr>
                      <w:rFonts w:hint="eastAsia"/>
                    </w:rPr>
                    <w:t>≤550</w:t>
                  </w:r>
                </w:p>
              </w:tc>
              <w:tc>
                <w:tcPr>
                  <w:tcW w:w="687" w:type="dxa"/>
                  <w:vAlign w:val="center"/>
                </w:tcPr>
                <w:p>
                  <w:pPr>
                    <w:pStyle w:val="164"/>
                  </w:pPr>
                  <w:r>
                    <w:rPr>
                      <w:rFonts w:hint="eastAsia"/>
                    </w:rPr>
                    <w:t>409.1</w:t>
                  </w:r>
                </w:p>
              </w:tc>
              <w:tc>
                <w:tcPr>
                  <w:tcW w:w="733" w:type="dxa"/>
                  <w:vAlign w:val="center"/>
                </w:tcPr>
                <w:p>
                  <w:pPr>
                    <w:pStyle w:val="164"/>
                  </w:pPr>
                  <w:r>
                    <w:rPr>
                      <w:rFonts w:hint="eastAsia"/>
                    </w:rPr>
                    <w:t>417.2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Merge w:val="continue"/>
                  <w:vAlign w:val="center"/>
                </w:tcPr>
                <w:p>
                  <w:pPr>
                    <w:pStyle w:val="164"/>
                  </w:pPr>
                </w:p>
              </w:tc>
              <w:tc>
                <w:tcPr>
                  <w:tcW w:w="963" w:type="dxa"/>
                  <w:vAlign w:val="center"/>
                </w:tcPr>
                <w:p>
                  <w:pPr>
                    <w:pStyle w:val="164"/>
                  </w:pPr>
                  <w:r>
                    <w:rPr>
                      <w:rFonts w:hint="eastAsia"/>
                    </w:rPr>
                    <w:t>稀释剂/（g/</w:t>
                  </w:r>
                  <w:r>
                    <w:t>L</w:t>
                  </w:r>
                  <w:r>
                    <w:rPr>
                      <w:rFonts w:hint="eastAsia"/>
                    </w:rPr>
                    <w:t>）</w:t>
                  </w:r>
                </w:p>
              </w:tc>
              <w:tc>
                <w:tcPr>
                  <w:tcW w:w="823" w:type="dxa"/>
                  <w:vAlign w:val="center"/>
                </w:tcPr>
                <w:p>
                  <w:pPr>
                    <w:pStyle w:val="164"/>
                  </w:pPr>
                  <w:r>
                    <w:t>稀释剂</w:t>
                  </w:r>
                </w:p>
              </w:tc>
              <w:tc>
                <w:tcPr>
                  <w:tcW w:w="3295" w:type="dxa"/>
                  <w:vAlign w:val="center"/>
                </w:tcPr>
                <w:p>
                  <w:pPr>
                    <w:pStyle w:val="164"/>
                  </w:pPr>
                  <w:r>
                    <w:rPr>
                      <w:rFonts w:hint="eastAsia"/>
                    </w:rPr>
                    <w:t>《清洗剂挥发性有机化合物含量限值》（</w:t>
                  </w:r>
                  <w:r>
                    <w:t>GB 38508-2020 ）</w:t>
                  </w:r>
                </w:p>
              </w:tc>
              <w:tc>
                <w:tcPr>
                  <w:tcW w:w="1245" w:type="dxa"/>
                  <w:vAlign w:val="center"/>
                </w:tcPr>
                <w:p>
                  <w:pPr>
                    <w:pStyle w:val="164"/>
                  </w:pPr>
                  <w:r>
                    <w:rPr>
                      <w:rFonts w:hint="eastAsia"/>
                    </w:rPr>
                    <w:t>≤900</w:t>
                  </w:r>
                </w:p>
              </w:tc>
              <w:tc>
                <w:tcPr>
                  <w:tcW w:w="1420" w:type="dxa"/>
                  <w:gridSpan w:val="2"/>
                  <w:vAlign w:val="center"/>
                </w:tcPr>
                <w:p>
                  <w:pPr>
                    <w:pStyle w:val="164"/>
                  </w:pPr>
                  <w:r>
                    <w:rPr>
                      <w:rFonts w:hint="eastAsia"/>
                    </w:rP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759" w:type="dxa"/>
                  <w:vAlign w:val="center"/>
                </w:tcPr>
                <w:p>
                  <w:pPr>
                    <w:pStyle w:val="164"/>
                  </w:pPr>
                  <w:r>
                    <w:t>苯系物</w:t>
                  </w:r>
                </w:p>
              </w:tc>
              <w:tc>
                <w:tcPr>
                  <w:tcW w:w="963" w:type="dxa"/>
                  <w:vAlign w:val="center"/>
                </w:tcPr>
                <w:p>
                  <w:pPr>
                    <w:pStyle w:val="164"/>
                  </w:pPr>
                  <w:r>
                    <w:rPr>
                      <w:rFonts w:hint="eastAsia"/>
                    </w:rPr>
                    <w:t>%</w:t>
                  </w:r>
                </w:p>
              </w:tc>
              <w:tc>
                <w:tcPr>
                  <w:tcW w:w="823" w:type="dxa"/>
                  <w:vAlign w:val="center"/>
                </w:tcPr>
                <w:p>
                  <w:pPr>
                    <w:pStyle w:val="164"/>
                  </w:pPr>
                  <w:r>
                    <w:t>稀释剂</w:t>
                  </w:r>
                </w:p>
              </w:tc>
              <w:tc>
                <w:tcPr>
                  <w:tcW w:w="3295" w:type="dxa"/>
                  <w:vAlign w:val="center"/>
                </w:tcPr>
                <w:p>
                  <w:pPr>
                    <w:pStyle w:val="164"/>
                  </w:pPr>
                  <w:r>
                    <w:rPr>
                      <w:rFonts w:hint="eastAsia"/>
                    </w:rPr>
                    <w:t>《清洗剂挥发性有机化合物含量限值》（</w:t>
                  </w:r>
                  <w:r>
                    <w:t>GB 38508-2020 ）</w:t>
                  </w:r>
                </w:p>
              </w:tc>
              <w:tc>
                <w:tcPr>
                  <w:tcW w:w="1245" w:type="dxa"/>
                  <w:vAlign w:val="center"/>
                </w:tcPr>
                <w:p>
                  <w:pPr>
                    <w:pStyle w:val="164"/>
                  </w:pPr>
                  <w:r>
                    <w:rPr>
                      <w:rFonts w:hint="eastAsia"/>
                    </w:rPr>
                    <w:t>≤2%</w:t>
                  </w:r>
                </w:p>
              </w:tc>
              <w:tc>
                <w:tcPr>
                  <w:tcW w:w="1420" w:type="dxa"/>
                  <w:gridSpan w:val="2"/>
                  <w:vAlign w:val="center"/>
                </w:tcPr>
                <w:p>
                  <w:pPr>
                    <w:pStyle w:val="164"/>
                  </w:pPr>
                  <w:r>
                    <w:rPr>
                      <w:rFonts w:hint="eastAsia"/>
                    </w:rPr>
                    <w:t>1-2%</w:t>
                  </w:r>
                </w:p>
              </w:tc>
            </w:tr>
          </w:tbl>
          <w:p>
            <w:pPr>
              <w:pStyle w:val="164"/>
              <w:adjustRightInd w:val="0"/>
              <w:snapToGrid w:val="0"/>
              <w:ind w:firstLine="480"/>
              <w:jc w:val="left"/>
              <w:rPr>
                <w:color w:val="auto"/>
              </w:rPr>
            </w:pPr>
            <w:r>
              <w:rPr>
                <w:rFonts w:hint="eastAsia"/>
                <w:color w:val="auto"/>
              </w:rPr>
              <w:t>*《工业防护涂料中有害物质限量》（</w:t>
            </w:r>
            <w:r>
              <w:rPr>
                <w:color w:val="auto"/>
              </w:rPr>
              <w:t>GB 30981-2020 ）未对家具涂装做出限定</w:t>
            </w:r>
            <w:r>
              <w:rPr>
                <w:rFonts w:hint="eastAsia"/>
                <w:color w:val="auto"/>
              </w:rPr>
              <w:t>，</w:t>
            </w:r>
            <w:r>
              <w:rPr>
                <w:color w:val="auto"/>
              </w:rPr>
              <w:t>本次环评不对其符合性进行分析</w:t>
            </w:r>
            <w:r>
              <w:rPr>
                <w:rFonts w:hint="eastAsia"/>
                <w:color w:val="auto"/>
              </w:rPr>
              <w:t>。</w:t>
            </w:r>
          </w:p>
          <w:p>
            <w:pPr>
              <w:pStyle w:val="164"/>
              <w:adjustRightInd w:val="0"/>
              <w:snapToGrid w:val="0"/>
              <w:ind w:firstLine="480"/>
              <w:jc w:val="left"/>
              <w:rPr>
                <w:color w:val="auto"/>
              </w:rPr>
            </w:pPr>
            <w:r>
              <w:rPr>
                <w:rFonts w:hint="eastAsia"/>
                <w:color w:val="auto"/>
              </w:rPr>
              <w:t>**油性施工漆及UV漆密度按1.1t/m³计算。</w:t>
            </w:r>
          </w:p>
          <w:p>
            <w:pPr>
              <w:pStyle w:val="160"/>
              <w:adjustRightInd w:val="0"/>
              <w:snapToGrid w:val="0"/>
              <w:ind w:firstLine="482"/>
              <w:rPr>
                <w:b/>
                <w:bCs/>
              </w:rPr>
            </w:pPr>
            <w:r>
              <w:rPr>
                <w:rFonts w:hint="eastAsia"/>
                <w:b/>
                <w:bCs/>
              </w:rPr>
              <w:t>（3）热熔胶</w:t>
            </w:r>
          </w:p>
          <w:p>
            <w:pPr>
              <w:pStyle w:val="160"/>
              <w:adjustRightInd w:val="0"/>
              <w:snapToGrid w:val="0"/>
              <w:ind w:firstLine="480"/>
            </w:pPr>
            <w:r>
              <w:rPr>
                <w:rFonts w:hint="eastAsia"/>
              </w:rPr>
              <w:t>主要成分为EVA树脂（乙烯-醋酸乙烯共聚物），专用于人造板材粘贴的胶粘剂，它是一种环保型、无溶剂的热塑性胶。热熔胶被加热到一定温度时，即由固态转变为熔融态，当涂布到人造板基材或封边材料表面后，冷却变成固态，将材料与基材粘接在一起。固体含量100%，软化点范围：102℃；粘度：20000-60000（180℃），相对硬度：70%~80%；固化速度：8-10秒；熔点99℃、热分解温度为230℃。</w:t>
            </w:r>
          </w:p>
          <w:p>
            <w:pPr>
              <w:pStyle w:val="165"/>
              <w:rPr>
                <w:b w:val="0"/>
                <w:sz w:val="21"/>
                <w:szCs w:val="21"/>
              </w:rPr>
            </w:pPr>
            <w:r>
              <w:rPr>
                <w:rFonts w:hint="eastAsia"/>
                <w:b w:val="0"/>
                <w:sz w:val="21"/>
                <w:szCs w:val="21"/>
              </w:rPr>
              <w:t xml:space="preserve">表2.7-4     </w:t>
            </w:r>
            <w:r>
              <w:rPr>
                <w:b w:val="0"/>
                <w:sz w:val="21"/>
                <w:szCs w:val="21"/>
              </w:rPr>
              <w:t>热熔胶成分组成一览表</w:t>
            </w:r>
          </w:p>
          <w:tbl>
            <w:tblPr>
              <w:tblStyle w:val="162"/>
              <w:tblpPr w:leftFromText="180" w:rightFromText="180" w:vertAnchor="text" w:tblpXSpec="center" w:tblpY="1"/>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5"/>
              <w:gridCol w:w="1038"/>
              <w:gridCol w:w="1148"/>
              <w:gridCol w:w="2443"/>
              <w:gridCol w:w="1293"/>
              <w:gridCol w:w="189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jc w:val="center"/>
              </w:trPr>
              <w:tc>
                <w:tcPr>
                  <w:tcW w:w="685" w:type="dxa"/>
                  <w:shd w:val="clear" w:color="auto" w:fill="auto"/>
                  <w:vAlign w:val="center"/>
                </w:tcPr>
                <w:p>
                  <w:pPr>
                    <w:pStyle w:val="164"/>
                    <w:rPr>
                      <w:b/>
                    </w:rPr>
                  </w:pPr>
                  <w:r>
                    <w:rPr>
                      <w:rFonts w:hint="eastAsia"/>
                      <w:b w:val="0"/>
                    </w:rPr>
                    <w:t>序号</w:t>
                  </w:r>
                </w:p>
              </w:tc>
              <w:tc>
                <w:tcPr>
                  <w:tcW w:w="1038" w:type="dxa"/>
                  <w:shd w:val="clear" w:color="auto" w:fill="auto"/>
                  <w:vAlign w:val="center"/>
                </w:tcPr>
                <w:p>
                  <w:pPr>
                    <w:pStyle w:val="164"/>
                    <w:rPr>
                      <w:b/>
                    </w:rPr>
                  </w:pPr>
                  <w:r>
                    <w:rPr>
                      <w:b w:val="0"/>
                    </w:rPr>
                    <w:t>原辅材料</w:t>
                  </w:r>
                </w:p>
                <w:p>
                  <w:pPr>
                    <w:pStyle w:val="164"/>
                    <w:rPr>
                      <w:b/>
                    </w:rPr>
                  </w:pPr>
                  <w:r>
                    <w:rPr>
                      <w:b w:val="0"/>
                    </w:rPr>
                    <w:t>名称</w:t>
                  </w:r>
                </w:p>
              </w:tc>
              <w:tc>
                <w:tcPr>
                  <w:tcW w:w="1148" w:type="dxa"/>
                  <w:shd w:val="clear" w:color="auto" w:fill="auto"/>
                  <w:vAlign w:val="center"/>
                </w:tcPr>
                <w:p>
                  <w:pPr>
                    <w:pStyle w:val="164"/>
                    <w:rPr>
                      <w:b/>
                    </w:rPr>
                  </w:pPr>
                  <w:r>
                    <w:rPr>
                      <w:rFonts w:hint="eastAsia"/>
                      <w:b w:val="0"/>
                    </w:rPr>
                    <w:t>形态</w:t>
                  </w:r>
                </w:p>
              </w:tc>
              <w:tc>
                <w:tcPr>
                  <w:tcW w:w="2443" w:type="dxa"/>
                  <w:shd w:val="clear" w:color="auto" w:fill="auto"/>
                  <w:vAlign w:val="center"/>
                </w:tcPr>
                <w:p>
                  <w:pPr>
                    <w:pStyle w:val="164"/>
                    <w:rPr>
                      <w:b/>
                    </w:rPr>
                  </w:pPr>
                  <w:r>
                    <w:rPr>
                      <w:b w:val="0"/>
                    </w:rPr>
                    <w:t>EVA高聚物树脂（%）</w:t>
                  </w:r>
                </w:p>
              </w:tc>
              <w:tc>
                <w:tcPr>
                  <w:tcW w:w="1293" w:type="dxa"/>
                  <w:shd w:val="clear" w:color="auto" w:fill="auto"/>
                  <w:vAlign w:val="center"/>
                </w:tcPr>
                <w:p>
                  <w:pPr>
                    <w:pStyle w:val="164"/>
                    <w:rPr>
                      <w:b/>
                    </w:rPr>
                  </w:pPr>
                  <w:r>
                    <w:rPr>
                      <w:rFonts w:hint="eastAsia"/>
                      <w:b w:val="0"/>
                    </w:rPr>
                    <w:t>抗氧化</w:t>
                  </w:r>
                  <w:r>
                    <w:rPr>
                      <w:b w:val="0"/>
                    </w:rPr>
                    <w:t>剂（%）</w:t>
                  </w:r>
                </w:p>
              </w:tc>
              <w:tc>
                <w:tcPr>
                  <w:tcW w:w="1898" w:type="dxa"/>
                  <w:shd w:val="clear" w:color="auto" w:fill="auto"/>
                  <w:vAlign w:val="center"/>
                </w:tcPr>
                <w:p>
                  <w:pPr>
                    <w:pStyle w:val="164"/>
                    <w:rPr>
                      <w:b/>
                    </w:rPr>
                  </w:pPr>
                  <w:r>
                    <w:rPr>
                      <w:rFonts w:hint="eastAsia"/>
                      <w:b w:val="0"/>
                    </w:rPr>
                    <w:t>增稠剂（松香树脂）</w:t>
                  </w:r>
                  <w:r>
                    <w:rPr>
                      <w:b w:val="0"/>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20" w:hRule="atLeast"/>
                <w:jc w:val="center"/>
              </w:trPr>
              <w:tc>
                <w:tcPr>
                  <w:tcW w:w="685" w:type="dxa"/>
                  <w:shd w:val="clear" w:color="auto" w:fill="auto"/>
                  <w:vAlign w:val="center"/>
                </w:tcPr>
                <w:p>
                  <w:pPr>
                    <w:pStyle w:val="164"/>
                  </w:pPr>
                  <w:r>
                    <w:rPr>
                      <w:rFonts w:hint="eastAsia"/>
                    </w:rPr>
                    <w:t>1</w:t>
                  </w:r>
                </w:p>
              </w:tc>
              <w:tc>
                <w:tcPr>
                  <w:tcW w:w="1038" w:type="dxa"/>
                  <w:shd w:val="clear" w:color="auto" w:fill="auto"/>
                  <w:vAlign w:val="center"/>
                </w:tcPr>
                <w:p>
                  <w:pPr>
                    <w:pStyle w:val="164"/>
                  </w:pPr>
                  <w:r>
                    <w:t>热熔胶</w:t>
                  </w:r>
                </w:p>
              </w:tc>
              <w:tc>
                <w:tcPr>
                  <w:tcW w:w="1148" w:type="dxa"/>
                  <w:shd w:val="clear" w:color="auto" w:fill="auto"/>
                  <w:vAlign w:val="center"/>
                </w:tcPr>
                <w:p>
                  <w:pPr>
                    <w:pStyle w:val="164"/>
                  </w:pPr>
                  <w:r>
                    <w:rPr>
                      <w:rFonts w:hint="eastAsia"/>
                    </w:rPr>
                    <w:t>固态颗粒</w:t>
                  </w:r>
                </w:p>
              </w:tc>
              <w:tc>
                <w:tcPr>
                  <w:tcW w:w="2443" w:type="dxa"/>
                  <w:shd w:val="clear" w:color="auto" w:fill="auto"/>
                  <w:vAlign w:val="center"/>
                </w:tcPr>
                <w:p>
                  <w:pPr>
                    <w:pStyle w:val="164"/>
                  </w:pPr>
                  <w:r>
                    <w:t>70</w:t>
                  </w:r>
                </w:p>
              </w:tc>
              <w:tc>
                <w:tcPr>
                  <w:tcW w:w="1293" w:type="dxa"/>
                  <w:shd w:val="clear" w:color="auto" w:fill="auto"/>
                  <w:vAlign w:val="center"/>
                </w:tcPr>
                <w:p>
                  <w:pPr>
                    <w:pStyle w:val="164"/>
                  </w:pPr>
                  <w:r>
                    <w:t>2</w:t>
                  </w:r>
                </w:p>
              </w:tc>
              <w:tc>
                <w:tcPr>
                  <w:tcW w:w="1898" w:type="dxa"/>
                  <w:shd w:val="clear" w:color="auto" w:fill="auto"/>
                  <w:vAlign w:val="center"/>
                </w:tcPr>
                <w:p>
                  <w:pPr>
                    <w:pStyle w:val="164"/>
                  </w:pPr>
                  <w:r>
                    <w:t>28</w:t>
                  </w:r>
                </w:p>
              </w:tc>
            </w:tr>
          </w:tbl>
          <w:p>
            <w:pPr>
              <w:pStyle w:val="165"/>
              <w:rPr>
                <w:b w:val="0"/>
                <w:sz w:val="21"/>
                <w:szCs w:val="21"/>
              </w:rPr>
            </w:pPr>
            <w:r>
              <w:rPr>
                <w:rFonts w:hint="eastAsia"/>
                <w:b w:val="0"/>
                <w:sz w:val="21"/>
                <w:szCs w:val="21"/>
              </w:rPr>
              <w:t xml:space="preserve">表2.7-5  </w:t>
            </w:r>
            <w:r>
              <w:rPr>
                <w:b w:val="0"/>
                <w:sz w:val="21"/>
                <w:szCs w:val="21"/>
              </w:rPr>
              <w:t>热熔胶主要成</w:t>
            </w:r>
            <w:r>
              <w:rPr>
                <w:rFonts w:hint="eastAsia"/>
                <w:b w:val="0"/>
                <w:sz w:val="21"/>
                <w:szCs w:val="21"/>
              </w:rPr>
              <w:t>分</w:t>
            </w:r>
            <w:r>
              <w:rPr>
                <w:b w:val="0"/>
                <w:sz w:val="21"/>
                <w:szCs w:val="21"/>
              </w:rPr>
              <w:t>特性分析</w:t>
            </w:r>
          </w:p>
          <w:tbl>
            <w:tblPr>
              <w:tblStyle w:val="162"/>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76"/>
              <w:gridCol w:w="1019"/>
              <w:gridCol w:w="2475"/>
              <w:gridCol w:w="41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20" w:hRule="atLeast"/>
                <w:jc w:val="center"/>
              </w:trPr>
              <w:tc>
                <w:tcPr>
                  <w:tcW w:w="876" w:type="dxa"/>
                  <w:vMerge w:val="restart"/>
                  <w:shd w:val="clear" w:color="auto" w:fill="auto"/>
                  <w:vAlign w:val="center"/>
                </w:tcPr>
                <w:p>
                  <w:pPr>
                    <w:pStyle w:val="164"/>
                    <w:rPr>
                      <w:b/>
                    </w:rPr>
                  </w:pPr>
                  <w:r>
                    <w:rPr>
                      <w:rFonts w:hint="eastAsia"/>
                      <w:b w:val="0"/>
                    </w:rPr>
                    <w:t>序号</w:t>
                  </w:r>
                </w:p>
              </w:tc>
              <w:tc>
                <w:tcPr>
                  <w:tcW w:w="1019" w:type="dxa"/>
                  <w:vMerge w:val="restart"/>
                  <w:shd w:val="clear" w:color="auto" w:fill="auto"/>
                  <w:vAlign w:val="center"/>
                </w:tcPr>
                <w:p>
                  <w:pPr>
                    <w:pStyle w:val="164"/>
                    <w:rPr>
                      <w:b/>
                    </w:rPr>
                  </w:pPr>
                  <w:r>
                    <w:rPr>
                      <w:b w:val="0"/>
                    </w:rPr>
                    <w:t>原辅材料名称</w:t>
                  </w:r>
                </w:p>
              </w:tc>
              <w:tc>
                <w:tcPr>
                  <w:tcW w:w="6610" w:type="dxa"/>
                  <w:gridSpan w:val="2"/>
                  <w:shd w:val="clear" w:color="auto" w:fill="auto"/>
                  <w:vAlign w:val="center"/>
                </w:tcPr>
                <w:p>
                  <w:pPr>
                    <w:pStyle w:val="164"/>
                    <w:rPr>
                      <w:b/>
                    </w:rPr>
                  </w:pPr>
                  <w:r>
                    <w:rPr>
                      <w:b w:val="0"/>
                    </w:rPr>
                    <w:t>主要成分组成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20" w:hRule="atLeast"/>
                <w:jc w:val="center"/>
              </w:trPr>
              <w:tc>
                <w:tcPr>
                  <w:tcW w:w="876" w:type="dxa"/>
                  <w:vMerge w:val="continue"/>
                  <w:shd w:val="clear" w:color="auto" w:fill="auto"/>
                  <w:vAlign w:val="center"/>
                </w:tcPr>
                <w:p>
                  <w:pPr>
                    <w:pStyle w:val="164"/>
                  </w:pPr>
                </w:p>
              </w:tc>
              <w:tc>
                <w:tcPr>
                  <w:tcW w:w="1019" w:type="dxa"/>
                  <w:vMerge w:val="continue"/>
                  <w:shd w:val="clear" w:color="auto" w:fill="auto"/>
                  <w:vAlign w:val="center"/>
                </w:tcPr>
                <w:p>
                  <w:pPr>
                    <w:pStyle w:val="164"/>
                  </w:pPr>
                </w:p>
              </w:tc>
              <w:tc>
                <w:tcPr>
                  <w:tcW w:w="2475" w:type="dxa"/>
                  <w:shd w:val="clear" w:color="auto" w:fill="auto"/>
                  <w:vAlign w:val="center"/>
                </w:tcPr>
                <w:p>
                  <w:pPr>
                    <w:pStyle w:val="164"/>
                  </w:pPr>
                  <w:r>
                    <w:t>固体分</w:t>
                  </w:r>
                </w:p>
              </w:tc>
              <w:tc>
                <w:tcPr>
                  <w:tcW w:w="4135" w:type="dxa"/>
                  <w:shd w:val="clear" w:color="auto" w:fill="auto"/>
                  <w:vAlign w:val="center"/>
                </w:tcPr>
                <w:p>
                  <w:pPr>
                    <w:pStyle w:val="164"/>
                  </w:pPr>
                  <w:r>
                    <w:t>挥发份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40" w:hRule="atLeast"/>
                <w:jc w:val="center"/>
              </w:trPr>
              <w:tc>
                <w:tcPr>
                  <w:tcW w:w="876" w:type="dxa"/>
                  <w:shd w:val="clear" w:color="auto" w:fill="auto"/>
                  <w:vAlign w:val="center"/>
                </w:tcPr>
                <w:p>
                  <w:pPr>
                    <w:pStyle w:val="164"/>
                  </w:pPr>
                  <w:r>
                    <w:rPr>
                      <w:rFonts w:hint="eastAsia"/>
                    </w:rPr>
                    <w:t>1</w:t>
                  </w:r>
                </w:p>
              </w:tc>
              <w:tc>
                <w:tcPr>
                  <w:tcW w:w="1019" w:type="dxa"/>
                  <w:shd w:val="clear" w:color="auto" w:fill="auto"/>
                  <w:vAlign w:val="center"/>
                </w:tcPr>
                <w:p>
                  <w:pPr>
                    <w:pStyle w:val="164"/>
                  </w:pPr>
                  <w:r>
                    <w:t>热熔胶</w:t>
                  </w:r>
                </w:p>
              </w:tc>
              <w:tc>
                <w:tcPr>
                  <w:tcW w:w="2475" w:type="dxa"/>
                  <w:shd w:val="clear" w:color="auto" w:fill="auto"/>
                  <w:vAlign w:val="center"/>
                </w:tcPr>
                <w:p>
                  <w:pPr>
                    <w:pStyle w:val="164"/>
                  </w:pPr>
                  <w:r>
                    <w:t>EVA高聚物树脂70%，</w:t>
                  </w:r>
                  <w:r>
                    <w:rPr>
                      <w:rFonts w:hint="eastAsia"/>
                    </w:rPr>
                    <w:t>增稠剂</w:t>
                  </w:r>
                  <w:r>
                    <w:t>28%</w:t>
                  </w:r>
                </w:p>
              </w:tc>
              <w:tc>
                <w:tcPr>
                  <w:tcW w:w="4135" w:type="dxa"/>
                  <w:shd w:val="clear" w:color="auto" w:fill="auto"/>
                  <w:vAlign w:val="center"/>
                </w:tcPr>
                <w:p>
                  <w:pPr>
                    <w:pStyle w:val="164"/>
                  </w:pPr>
                  <w:r>
                    <w:rPr>
                      <w:rFonts w:hint="eastAsia"/>
                    </w:rPr>
                    <w:t>抗氧化剂2%</w:t>
                  </w:r>
                  <w:r>
                    <w:t>，</w:t>
                  </w:r>
                  <w:r>
                    <w:rPr>
                      <w:rFonts w:hint="eastAsia"/>
                    </w:rPr>
                    <w:t>主要是酚和酚的衍生物，</w:t>
                  </w:r>
                  <w:r>
                    <w:t>按最不利情况考虑，</w:t>
                  </w:r>
                  <w:r>
                    <w:rPr>
                      <w:rFonts w:hint="eastAsia"/>
                    </w:rPr>
                    <w:t>计算V</w:t>
                  </w:r>
                  <w:r>
                    <w:t>OC占比为2%</w:t>
                  </w:r>
                </w:p>
              </w:tc>
            </w:tr>
          </w:tbl>
          <w:p>
            <w:pPr>
              <w:pStyle w:val="160"/>
              <w:ind w:firstLine="480"/>
            </w:pPr>
            <w:r>
              <w:t>扩建项目热熔胶不需调配，可直接使用。扩建项目所用热熔胶与《胶粘剂挥发性有机化合物限量（GB 33372-2020）》符合性分析见下表。</w:t>
            </w:r>
          </w:p>
          <w:p>
            <w:pPr>
              <w:pStyle w:val="164"/>
            </w:pPr>
            <w:r>
              <w:rPr>
                <w:rFonts w:hint="eastAsia"/>
              </w:rPr>
              <w:t xml:space="preserve">表2.7-6  </w:t>
            </w:r>
            <w:r>
              <w:t>与《胶粘剂挥发性有机化合物限量（GB 33372-2020）》符合性分析表</w:t>
            </w:r>
          </w:p>
          <w:tbl>
            <w:tblPr>
              <w:tblStyle w:val="162"/>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4"/>
              <w:gridCol w:w="1284"/>
              <w:gridCol w:w="1808"/>
              <w:gridCol w:w="3526"/>
              <w:gridCol w:w="11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74" w:type="dxa"/>
                  <w:shd w:val="clear" w:color="auto" w:fill="auto"/>
                  <w:vAlign w:val="center"/>
                </w:tcPr>
                <w:p>
                  <w:pPr>
                    <w:pStyle w:val="164"/>
                    <w:rPr>
                      <w:b/>
                      <w:color w:val="auto"/>
                    </w:rPr>
                  </w:pPr>
                  <w:r>
                    <w:rPr>
                      <w:rFonts w:hint="eastAsia" w:ascii="宋体" w:hAnsi="宋体" w:cs="宋体"/>
                      <w:b w:val="0"/>
                      <w:color w:val="auto"/>
                    </w:rPr>
                    <w:t>序号</w:t>
                  </w:r>
                </w:p>
              </w:tc>
              <w:tc>
                <w:tcPr>
                  <w:tcW w:w="1284" w:type="dxa"/>
                  <w:shd w:val="clear" w:color="auto" w:fill="auto"/>
                  <w:vAlign w:val="center"/>
                </w:tcPr>
                <w:p>
                  <w:pPr>
                    <w:pStyle w:val="164"/>
                    <w:rPr>
                      <w:b/>
                      <w:color w:val="auto"/>
                    </w:rPr>
                  </w:pPr>
                  <w:r>
                    <w:rPr>
                      <w:rFonts w:hint="eastAsia" w:ascii="宋体" w:hAnsi="宋体" w:cs="宋体"/>
                      <w:b w:val="0"/>
                      <w:color w:val="auto"/>
                    </w:rPr>
                    <w:t>胶粘剂名称</w:t>
                  </w:r>
                </w:p>
              </w:tc>
              <w:tc>
                <w:tcPr>
                  <w:tcW w:w="1808" w:type="dxa"/>
                  <w:shd w:val="clear" w:color="auto" w:fill="auto"/>
                  <w:vAlign w:val="center"/>
                </w:tcPr>
                <w:p>
                  <w:pPr>
                    <w:pStyle w:val="164"/>
                    <w:rPr>
                      <w:b/>
                      <w:color w:val="auto"/>
                    </w:rPr>
                  </w:pPr>
                  <w:r>
                    <w:rPr>
                      <w:b w:val="0"/>
                      <w:color w:val="auto"/>
                    </w:rPr>
                    <w:t>VOC</w:t>
                  </w:r>
                  <w:r>
                    <w:rPr>
                      <w:rFonts w:hint="eastAsia" w:ascii="宋体" w:hAnsi="宋体" w:cs="宋体"/>
                      <w:b w:val="0"/>
                      <w:color w:val="auto"/>
                    </w:rPr>
                    <w:t>含量（</w:t>
                  </w:r>
                  <w:r>
                    <w:rPr>
                      <w:b w:val="0"/>
                      <w:color w:val="auto"/>
                    </w:rPr>
                    <w:t>%</w:t>
                  </w:r>
                  <w:r>
                    <w:rPr>
                      <w:rFonts w:hint="eastAsia" w:ascii="宋体" w:hAnsi="宋体" w:cs="宋体"/>
                      <w:b w:val="0"/>
                      <w:color w:val="auto"/>
                    </w:rPr>
                    <w:t>）</w:t>
                  </w:r>
                </w:p>
              </w:tc>
              <w:tc>
                <w:tcPr>
                  <w:tcW w:w="3526" w:type="dxa"/>
                  <w:shd w:val="clear" w:color="auto" w:fill="auto"/>
                  <w:vAlign w:val="center"/>
                </w:tcPr>
                <w:p>
                  <w:pPr>
                    <w:pStyle w:val="164"/>
                    <w:rPr>
                      <w:b/>
                      <w:color w:val="auto"/>
                    </w:rPr>
                  </w:pPr>
                  <w:r>
                    <w:rPr>
                      <w:b w:val="0"/>
                      <w:color w:val="auto"/>
                    </w:rPr>
                    <w:t>VOCs</w:t>
                  </w:r>
                  <w:r>
                    <w:rPr>
                      <w:rFonts w:hint="eastAsia" w:ascii="宋体" w:hAnsi="宋体" w:cs="宋体"/>
                      <w:b w:val="0"/>
                      <w:color w:val="auto"/>
                    </w:rPr>
                    <w:t>限量值（</w:t>
                  </w:r>
                  <w:r>
                    <w:rPr>
                      <w:b w:val="0"/>
                      <w:color w:val="auto"/>
                    </w:rPr>
                    <w:t>g/kg</w:t>
                  </w:r>
                  <w:r>
                    <w:rPr>
                      <w:rFonts w:hint="eastAsia" w:ascii="宋体" w:hAnsi="宋体" w:cs="宋体"/>
                      <w:b w:val="0"/>
                      <w:color w:val="auto"/>
                    </w:rPr>
                    <w:t>）</w:t>
                  </w:r>
                </w:p>
              </w:tc>
              <w:tc>
                <w:tcPr>
                  <w:tcW w:w="1113" w:type="dxa"/>
                  <w:shd w:val="clear" w:color="auto" w:fill="auto"/>
                  <w:vAlign w:val="center"/>
                </w:tcPr>
                <w:p>
                  <w:pPr>
                    <w:pStyle w:val="164"/>
                    <w:rPr>
                      <w:b/>
                      <w:color w:val="auto"/>
                    </w:rPr>
                  </w:pPr>
                  <w:r>
                    <w:rPr>
                      <w:rFonts w:hint="eastAsia" w:ascii="宋体" w:hAnsi="宋体" w:cs="宋体"/>
                      <w:b w:val="0"/>
                      <w:color w:val="auto"/>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74" w:type="dxa"/>
                  <w:shd w:val="clear" w:color="auto" w:fill="auto"/>
                  <w:vAlign w:val="center"/>
                </w:tcPr>
                <w:p>
                  <w:pPr>
                    <w:pStyle w:val="164"/>
                    <w:rPr>
                      <w:color w:val="auto"/>
                    </w:rPr>
                  </w:pPr>
                  <w:r>
                    <w:rPr>
                      <w:rFonts w:hint="eastAsia"/>
                      <w:color w:val="auto"/>
                    </w:rPr>
                    <w:t>1</w:t>
                  </w:r>
                </w:p>
              </w:tc>
              <w:tc>
                <w:tcPr>
                  <w:tcW w:w="1284" w:type="dxa"/>
                  <w:shd w:val="clear" w:color="auto" w:fill="auto"/>
                  <w:vAlign w:val="center"/>
                </w:tcPr>
                <w:p>
                  <w:pPr>
                    <w:pStyle w:val="164"/>
                    <w:rPr>
                      <w:color w:val="auto"/>
                    </w:rPr>
                  </w:pPr>
                  <w:r>
                    <w:rPr>
                      <w:rFonts w:hint="eastAsia" w:ascii="宋体" w:hAnsi="宋体" w:cs="宋体"/>
                      <w:color w:val="auto"/>
                    </w:rPr>
                    <w:t>热熔胶</w:t>
                  </w:r>
                </w:p>
              </w:tc>
              <w:tc>
                <w:tcPr>
                  <w:tcW w:w="1808" w:type="dxa"/>
                  <w:shd w:val="clear" w:color="auto" w:fill="auto"/>
                  <w:vAlign w:val="center"/>
                </w:tcPr>
                <w:p>
                  <w:pPr>
                    <w:pStyle w:val="164"/>
                    <w:rPr>
                      <w:color w:val="auto"/>
                    </w:rPr>
                  </w:pPr>
                  <w:r>
                    <w:rPr>
                      <w:color w:val="auto"/>
                    </w:rPr>
                    <w:t>2</w:t>
                  </w:r>
                  <w:r>
                    <w:rPr>
                      <w:rFonts w:hint="eastAsia" w:ascii="宋体" w:hAnsi="宋体" w:cs="宋体"/>
                      <w:color w:val="auto"/>
                    </w:rPr>
                    <w:t>（</w:t>
                  </w:r>
                  <w:r>
                    <w:rPr>
                      <w:color w:val="auto"/>
                    </w:rPr>
                    <w:t>20g/kg</w:t>
                  </w:r>
                  <w:r>
                    <w:rPr>
                      <w:rFonts w:hint="eastAsia" w:ascii="宋体" w:hAnsi="宋体" w:cs="宋体"/>
                      <w:color w:val="auto"/>
                    </w:rPr>
                    <w:t>）</w:t>
                  </w:r>
                </w:p>
              </w:tc>
              <w:tc>
                <w:tcPr>
                  <w:tcW w:w="3526" w:type="dxa"/>
                  <w:shd w:val="clear" w:color="auto" w:fill="auto"/>
                  <w:vAlign w:val="center"/>
                </w:tcPr>
                <w:p>
                  <w:pPr>
                    <w:pStyle w:val="164"/>
                    <w:rPr>
                      <w:color w:val="auto"/>
                    </w:rPr>
                  </w:pPr>
                  <w:r>
                    <w:rPr>
                      <w:rFonts w:hint="eastAsia" w:ascii="宋体" w:hAnsi="宋体"/>
                      <w:color w:val="auto"/>
                    </w:rPr>
                    <w:t>≤</w:t>
                  </w:r>
                  <w:r>
                    <w:rPr>
                      <w:color w:val="auto"/>
                    </w:rPr>
                    <w:t>50</w:t>
                  </w:r>
                </w:p>
              </w:tc>
              <w:tc>
                <w:tcPr>
                  <w:tcW w:w="1113" w:type="dxa"/>
                  <w:shd w:val="clear" w:color="auto" w:fill="auto"/>
                  <w:vAlign w:val="center"/>
                </w:tcPr>
                <w:p>
                  <w:pPr>
                    <w:pStyle w:val="164"/>
                    <w:rPr>
                      <w:color w:val="auto"/>
                    </w:rPr>
                  </w:pPr>
                  <w:r>
                    <w:rPr>
                      <w:rFonts w:hint="eastAsia" w:ascii="宋体" w:hAnsi="宋体" w:cs="宋体"/>
                      <w:color w:val="auto"/>
                    </w:rPr>
                    <w:t>符合</w:t>
                  </w:r>
                </w:p>
              </w:tc>
            </w:tr>
          </w:tbl>
          <w:p>
            <w:pPr>
              <w:pStyle w:val="160"/>
              <w:ind w:firstLine="480"/>
            </w:pPr>
            <w:r>
              <w:rPr>
                <w:rFonts w:hint="eastAsia"/>
              </w:rPr>
              <w:t>扩建项目所用热熔胶符合《胶粘剂挥发性有机化合物限量（</w:t>
            </w:r>
            <w:r>
              <w:t>GB 33372-2020</w:t>
            </w:r>
            <w:r>
              <w:rPr>
                <w:rFonts w:hint="eastAsia"/>
              </w:rPr>
              <w:t>）》中本体型胶</w:t>
            </w:r>
            <w:r>
              <w:t>VOCs</w:t>
            </w:r>
            <w:r>
              <w:rPr>
                <w:rFonts w:hint="eastAsia"/>
              </w:rPr>
              <w:t>含量的限量值要求。</w:t>
            </w:r>
          </w:p>
          <w:p>
            <w:pPr>
              <w:pStyle w:val="160"/>
              <w:ind w:firstLine="482"/>
              <w:rPr>
                <w:b/>
                <w:bCs/>
              </w:rPr>
            </w:pPr>
            <w:r>
              <w:rPr>
                <w:rFonts w:hint="eastAsia"/>
                <w:b/>
                <w:bCs/>
              </w:rPr>
              <w:t>（4）白乳胶</w:t>
            </w:r>
          </w:p>
          <w:p>
            <w:pPr>
              <w:pStyle w:val="160"/>
              <w:ind w:firstLine="480"/>
            </w:pPr>
            <w:r>
              <w:rPr>
                <w:rFonts w:hint="eastAsia"/>
              </w:rPr>
              <w:t>扩建项目的白乳胶主要用于拼板工序。白乳胶是一种水溶性胶粘剂，醋酸乙烯单体在引发剂作用下经聚合反应而制得的一种热塑性粘合剂。可常温固化、固化较快、粘接强度较高，粘接层具有较好的韧性和耐久性且不易老化。可以用于木材的胶黏剂。扩建项目白乳胶为常温固化。</w:t>
            </w:r>
          </w:p>
          <w:p>
            <w:pPr>
              <w:pStyle w:val="160"/>
              <w:ind w:firstLine="482"/>
              <w:rPr>
                <w:b/>
                <w:bCs/>
              </w:rPr>
            </w:pPr>
            <w:r>
              <w:rPr>
                <w:rFonts w:hint="eastAsia"/>
                <w:b/>
                <w:bCs/>
              </w:rPr>
              <w:t>（5）润滑油</w:t>
            </w:r>
          </w:p>
          <w:p>
            <w:pPr>
              <w:pStyle w:val="160"/>
              <w:ind w:firstLine="480"/>
            </w:pPr>
            <w:r>
              <w:rPr>
                <w:rFonts w:hint="eastAsia"/>
              </w:rPr>
              <w:t>油状液体，淡黄色至褐色，无气味或略带异味。不溶于水，可燃。在正常使用条件下稳定，遇明火、高热可燃。燃烧产物：一氧化碳、二氧化碳。侵入途径：吸入、食入；急性吸入，可出现乏力、头晕、头痛、恶心，严重者可引起油脂性肺炎。慢接触者，暴露部位可发生油性痤疮和接触性皮炎。可引起神经衰弱综合征，呼吸道和眼刺激症状及慢性油脂性肺炎。</w:t>
            </w:r>
          </w:p>
          <w:p>
            <w:pPr>
              <w:pStyle w:val="160"/>
              <w:ind w:firstLine="482"/>
              <w:rPr>
                <w:b/>
                <w:bCs/>
              </w:rPr>
            </w:pPr>
            <w:r>
              <w:rPr>
                <w:rFonts w:hint="eastAsia"/>
                <w:b/>
                <w:bCs/>
              </w:rPr>
              <w:t>（6）腻子粉</w:t>
            </w:r>
          </w:p>
          <w:p>
            <w:pPr>
              <w:pStyle w:val="160"/>
              <w:ind w:firstLine="480"/>
            </w:pPr>
            <w:r>
              <w:rPr>
                <w:rFonts w:hint="eastAsia"/>
              </w:rPr>
              <w:t>腻子粉主要有灰钙粉</w:t>
            </w:r>
            <w:r>
              <w:t>、325目重钙粉、环保胶水</w:t>
            </w:r>
            <w:r>
              <w:rPr>
                <w:rFonts w:hint="eastAsia"/>
              </w:rPr>
              <w:t>以及</w:t>
            </w:r>
            <w:r>
              <w:t>干粉防毒剂</w:t>
            </w:r>
            <w:r>
              <w:rPr>
                <w:rFonts w:hint="eastAsia"/>
              </w:rPr>
              <w:t>组成。</w:t>
            </w:r>
          </w:p>
          <w:p>
            <w:pPr>
              <w:pStyle w:val="160"/>
              <w:ind w:firstLine="480"/>
            </w:pPr>
            <w:r>
              <w:rPr>
                <w:rFonts w:hint="eastAsia" w:ascii="宋体" w:hAnsi="宋体" w:cs="宋体"/>
              </w:rPr>
              <w:t>灰钙粉是一种白色粉末或无色、略哑色、水状的溶液。分子式：</w:t>
            </w:r>
          </w:p>
          <w:p>
            <w:pPr>
              <w:pStyle w:val="160"/>
              <w:ind w:firstLine="480"/>
            </w:pPr>
            <w:r>
              <w:t>Ca</w:t>
            </w:r>
            <w:r>
              <w:rPr>
                <w:rFonts w:hint="eastAsia" w:ascii="宋体" w:hAnsi="宋体" w:cs="宋体"/>
              </w:rPr>
              <w:t>（</w:t>
            </w:r>
            <w:r>
              <w:t>OH</w:t>
            </w:r>
            <w:r>
              <w:rPr>
                <w:rFonts w:hint="eastAsia" w:ascii="宋体" w:hAnsi="宋体" w:cs="宋体"/>
              </w:rPr>
              <w:t>）</w:t>
            </w:r>
            <w:r>
              <w:rPr>
                <w:vertAlign w:val="subscript"/>
              </w:rPr>
              <w:t>2</w:t>
            </w:r>
            <w:r>
              <w:rPr>
                <w:rFonts w:hint="eastAsia" w:ascii="宋体" w:hAnsi="宋体" w:cs="宋体"/>
              </w:rPr>
              <w:t>，分子量：</w:t>
            </w:r>
            <w:r>
              <w:t>74.09268</w:t>
            </w:r>
            <w:r>
              <w:rPr>
                <w:rFonts w:hint="eastAsia" w:ascii="宋体" w:hAnsi="宋体" w:cs="宋体"/>
              </w:rPr>
              <w:t>，沸点：</w:t>
            </w:r>
            <w:r>
              <w:t>2850</w:t>
            </w:r>
            <w:r>
              <w:rPr>
                <w:rFonts w:hint="eastAsia" w:ascii="宋体" w:hAnsi="宋体" w:cs="宋体"/>
              </w:rPr>
              <w:t>℃，密度：</w:t>
            </w:r>
            <w:r>
              <w:t>2.24g/ml</w:t>
            </w:r>
            <w:r>
              <w:rPr>
                <w:rFonts w:hint="eastAsia" w:ascii="宋体" w:hAnsi="宋体" w:cs="宋体"/>
              </w:rPr>
              <w:t>，溶解性：微溶于水，溶于酸、甘油，不溶于醇，主要用途：用于制漂白粉、硬水软化剂、脱毛剂、消毒剂、止酸剂、收敛剂和各种钙盐，也可作橡胶、石油工业添加剂，用于润滑油中可防止结焦、油泥沉积、中和防腐。还可作硬水软化剂、消毒剂、制酸剂等。</w:t>
            </w:r>
          </w:p>
          <w:p>
            <w:pPr>
              <w:pStyle w:val="160"/>
              <w:ind w:firstLine="480"/>
              <w:rPr>
                <w:rFonts w:ascii="宋体" w:hAnsi="宋体"/>
                <w:bCs/>
              </w:rPr>
            </w:pPr>
            <w:r>
              <w:rPr>
                <w:rFonts w:hint="eastAsia" w:ascii="宋体" w:hAnsi="宋体" w:cs="宋体"/>
              </w:rPr>
              <w:t>重钙粉是一种无臭、无味的白色粉末或无色结品。分子式：</w:t>
            </w:r>
            <w:r>
              <w:t>CaCO</w:t>
            </w:r>
            <w:r>
              <w:rPr>
                <w:rFonts w:hint="eastAsia"/>
                <w:vertAlign w:val="subscript"/>
              </w:rPr>
              <w:t>3</w:t>
            </w:r>
            <w:r>
              <w:rPr>
                <w:rFonts w:hint="eastAsia" w:ascii="宋体" w:hAnsi="宋体" w:cs="宋体"/>
              </w:rPr>
              <w:t>，分子量：</w:t>
            </w:r>
            <w:r>
              <w:t>100.09</w:t>
            </w:r>
            <w:r>
              <w:rPr>
                <w:rFonts w:hint="eastAsia" w:ascii="宋体" w:hAnsi="宋体" w:cs="宋体"/>
              </w:rPr>
              <w:t>，沸点：</w:t>
            </w:r>
            <w:r>
              <w:t>333.6</w:t>
            </w:r>
            <w:r>
              <w:rPr>
                <w:rFonts w:hint="eastAsia" w:ascii="宋体" w:hAnsi="宋体" w:cs="宋体"/>
              </w:rPr>
              <w:t>℃，密度：</w:t>
            </w:r>
            <w:r>
              <w:t>2.93g/ml</w:t>
            </w:r>
            <w:r>
              <w:rPr>
                <w:rFonts w:hint="eastAsia" w:ascii="宋体" w:hAnsi="宋体" w:cs="宋体"/>
              </w:rPr>
              <w:t>，溶解性：不溶于水，溶于酸，主要用途：用于制水泥、陶瓷、石灰、钙盐、牙膏、染料、颜料、矿泉水、人造石、油灰、中和剂、催化剂、填料、医药品或橡胶、塑料、油</w:t>
            </w:r>
            <w:r>
              <w:rPr>
                <w:rFonts w:ascii="宋体" w:hAnsi="宋体"/>
                <w:bCs/>
              </w:rPr>
              <w:t>墨、涂料、涂料、造纸和日用化工等</w:t>
            </w:r>
            <w:r>
              <w:rPr>
                <w:rFonts w:hint="eastAsia" w:ascii="宋体" w:hAnsi="宋体"/>
                <w:bCs/>
              </w:rPr>
              <w:t>行业作填充料、增量剂、补强剂。</w:t>
            </w:r>
          </w:p>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2.7.3  营运期主要能源年消耗量</w:t>
            </w:r>
          </w:p>
          <w:p>
            <w:pPr>
              <w:pStyle w:val="160"/>
              <w:ind w:firstLine="480"/>
              <w:rPr>
                <w:rFonts w:ascii="宋体" w:hAnsi="宋体"/>
                <w:bCs/>
              </w:rPr>
            </w:pPr>
            <w:r>
              <w:rPr>
                <w:rFonts w:hint="eastAsia" w:ascii="宋体" w:hAnsi="宋体"/>
                <w:bCs/>
              </w:rPr>
              <w:t>（1）水平衡</w:t>
            </w:r>
          </w:p>
          <w:p>
            <w:pPr>
              <w:pStyle w:val="160"/>
              <w:ind w:firstLine="480"/>
              <w:rPr>
                <w:rFonts w:ascii="宋体" w:hAnsi="宋体"/>
                <w:bCs/>
              </w:rPr>
            </w:pPr>
            <w:r>
              <w:rPr>
                <w:rFonts w:ascii="宋体" w:hAnsi="宋体"/>
                <w:bCs/>
              </w:rPr>
              <w:t>扩建项目用水主要为</w:t>
            </w:r>
            <w:r>
              <w:rPr>
                <w:rFonts w:hint="eastAsia" w:ascii="宋体" w:hAnsi="宋体"/>
                <w:bCs/>
              </w:rPr>
              <w:t>员工生活用水及食堂用水</w:t>
            </w:r>
            <w:r>
              <w:rPr>
                <w:rFonts w:ascii="宋体" w:hAnsi="宋体"/>
                <w:bCs/>
              </w:rPr>
              <w:t>等。扩建项目用水量计算表见表</w:t>
            </w:r>
            <w:r>
              <w:rPr>
                <w:rFonts w:hint="eastAsia" w:ascii="宋体" w:hAnsi="宋体"/>
                <w:bCs/>
              </w:rPr>
              <w:t>2.7-7、2.7-8</w:t>
            </w:r>
            <w:r>
              <w:rPr>
                <w:rFonts w:ascii="宋体" w:hAnsi="宋体"/>
                <w:bCs/>
              </w:rPr>
              <w:t>，水平衡见</w:t>
            </w:r>
            <w:r>
              <w:rPr>
                <w:rFonts w:hint="eastAsia" w:ascii="宋体" w:hAnsi="宋体"/>
                <w:bCs/>
              </w:rPr>
              <w:t>2.7-</w:t>
            </w:r>
            <w:r>
              <w:rPr>
                <w:rFonts w:ascii="宋体" w:hAnsi="宋体"/>
                <w:bCs/>
              </w:rPr>
              <w:t>1、2</w:t>
            </w:r>
            <w:r>
              <w:rPr>
                <w:rFonts w:hint="eastAsia" w:ascii="宋体" w:hAnsi="宋体"/>
                <w:bCs/>
              </w:rPr>
              <w:t>.7-2</w:t>
            </w:r>
            <w:r>
              <w:rPr>
                <w:rFonts w:ascii="宋体" w:hAnsi="宋体"/>
                <w:bCs/>
              </w:rPr>
              <w:t>。</w:t>
            </w:r>
          </w:p>
          <w:p>
            <w:pPr>
              <w:widowControl/>
              <w:jc w:val="center"/>
              <w:rPr>
                <w:rFonts w:ascii="宋体" w:hAnsi="宋体" w:cs="宋体"/>
                <w:kern w:val="0"/>
              </w:rPr>
            </w:pPr>
            <w:r>
              <w:rPr>
                <w:rFonts w:hint="eastAsia" w:ascii="宋体" w:hAnsi="宋体" w:cs="宋体"/>
                <w:kern w:val="0"/>
              </w:rPr>
              <w:t>表2.7-7扩建项目用水量统计表（扩建项目）</w:t>
            </w:r>
          </w:p>
          <w:tbl>
            <w:tblPr>
              <w:tblStyle w:val="88"/>
              <w:tblW w:w="8495" w:type="dxa"/>
              <w:tblInd w:w="0" w:type="dxa"/>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0"/>
              <w:gridCol w:w="1560"/>
              <w:gridCol w:w="1375"/>
              <w:gridCol w:w="1066"/>
              <w:gridCol w:w="1035"/>
              <w:gridCol w:w="855"/>
              <w:gridCol w:w="1037"/>
              <w:gridCol w:w="857"/>
            </w:tblGrid>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0" w:type="dxa"/>
                  <w:shd w:val="clear" w:color="auto" w:fill="auto"/>
                  <w:vAlign w:val="center"/>
                </w:tcPr>
                <w:p>
                  <w:pPr>
                    <w:pStyle w:val="164"/>
                  </w:pPr>
                  <w:r>
                    <w:rPr>
                      <w:rFonts w:hint="eastAsia"/>
                    </w:rPr>
                    <w:t>序号</w:t>
                  </w:r>
                </w:p>
              </w:tc>
              <w:tc>
                <w:tcPr>
                  <w:tcW w:w="1560" w:type="dxa"/>
                  <w:shd w:val="clear" w:color="auto" w:fill="auto"/>
                  <w:vAlign w:val="center"/>
                </w:tcPr>
                <w:p>
                  <w:pPr>
                    <w:pStyle w:val="164"/>
                  </w:pPr>
                  <w:r>
                    <w:rPr>
                      <w:rFonts w:hint="eastAsia"/>
                    </w:rPr>
                    <w:t>用水类别</w:t>
                  </w:r>
                </w:p>
              </w:tc>
              <w:tc>
                <w:tcPr>
                  <w:tcW w:w="1375" w:type="dxa"/>
                  <w:shd w:val="clear" w:color="auto" w:fill="auto"/>
                  <w:vAlign w:val="center"/>
                </w:tcPr>
                <w:p>
                  <w:pPr>
                    <w:pStyle w:val="164"/>
                    <w:rPr>
                      <w:color w:val="auto"/>
                    </w:rPr>
                  </w:pPr>
                  <w:r>
                    <w:rPr>
                      <w:rFonts w:hint="eastAsia"/>
                      <w:color w:val="auto"/>
                    </w:rPr>
                    <w:t>用水规模</w:t>
                  </w:r>
                </w:p>
              </w:tc>
              <w:tc>
                <w:tcPr>
                  <w:tcW w:w="1066" w:type="dxa"/>
                  <w:shd w:val="clear" w:color="auto" w:fill="auto"/>
                  <w:vAlign w:val="center"/>
                </w:tcPr>
                <w:p>
                  <w:pPr>
                    <w:pStyle w:val="164"/>
                    <w:rPr>
                      <w:color w:val="auto"/>
                    </w:rPr>
                  </w:pPr>
                  <w:r>
                    <w:rPr>
                      <w:rFonts w:hint="eastAsia"/>
                      <w:color w:val="auto"/>
                    </w:rPr>
                    <w:t>用水指标</w:t>
                  </w:r>
                </w:p>
              </w:tc>
              <w:tc>
                <w:tcPr>
                  <w:tcW w:w="1035" w:type="dxa"/>
                  <w:shd w:val="clear" w:color="auto" w:fill="auto"/>
                  <w:vAlign w:val="center"/>
                </w:tcPr>
                <w:p>
                  <w:pPr>
                    <w:pStyle w:val="164"/>
                    <w:rPr>
                      <w:color w:val="auto"/>
                    </w:rPr>
                  </w:pPr>
                  <w:r>
                    <w:rPr>
                      <w:rFonts w:hint="eastAsia"/>
                      <w:color w:val="auto"/>
                    </w:rPr>
                    <w:t>最大用水量</w:t>
                  </w:r>
                  <w:r>
                    <w:rPr>
                      <w:color w:val="auto"/>
                    </w:rPr>
                    <w:t>m</w:t>
                  </w:r>
                  <w:r>
                    <w:rPr>
                      <w:color w:val="auto"/>
                      <w:vertAlign w:val="superscript"/>
                    </w:rPr>
                    <w:t>3</w:t>
                  </w:r>
                  <w:r>
                    <w:rPr>
                      <w:rFonts w:hint="eastAsia"/>
                      <w:color w:val="auto"/>
                    </w:rPr>
                    <w:t>/d</w:t>
                  </w:r>
                </w:p>
              </w:tc>
              <w:tc>
                <w:tcPr>
                  <w:tcW w:w="855" w:type="dxa"/>
                  <w:shd w:val="clear" w:color="auto" w:fill="auto"/>
                  <w:vAlign w:val="center"/>
                </w:tcPr>
                <w:p>
                  <w:pPr>
                    <w:pStyle w:val="164"/>
                    <w:rPr>
                      <w:color w:val="auto"/>
                    </w:rPr>
                  </w:pPr>
                  <w:r>
                    <w:rPr>
                      <w:rFonts w:hint="eastAsia"/>
                      <w:color w:val="auto"/>
                    </w:rPr>
                    <w:t>最大排水量</w:t>
                  </w:r>
                  <w:r>
                    <w:rPr>
                      <w:color w:val="auto"/>
                    </w:rPr>
                    <w:t>m</w:t>
                  </w:r>
                  <w:r>
                    <w:rPr>
                      <w:color w:val="auto"/>
                      <w:vertAlign w:val="superscript"/>
                    </w:rPr>
                    <w:t>3</w:t>
                  </w:r>
                  <w:r>
                    <w:rPr>
                      <w:rFonts w:hint="eastAsia"/>
                      <w:color w:val="auto"/>
                    </w:rPr>
                    <w:t>/d</w:t>
                  </w:r>
                </w:p>
              </w:tc>
              <w:tc>
                <w:tcPr>
                  <w:tcW w:w="1037" w:type="dxa"/>
                  <w:shd w:val="clear" w:color="auto" w:fill="auto"/>
                  <w:vAlign w:val="center"/>
                </w:tcPr>
                <w:p>
                  <w:pPr>
                    <w:pStyle w:val="164"/>
                  </w:pPr>
                  <w:r>
                    <w:rPr>
                      <w:rFonts w:hint="eastAsia"/>
                    </w:rPr>
                    <w:t>日均用水量</w:t>
                  </w:r>
                  <w:r>
                    <w:t>m</w:t>
                  </w:r>
                  <w:r>
                    <w:rPr>
                      <w:vertAlign w:val="superscript"/>
                    </w:rPr>
                    <w:t>3</w:t>
                  </w:r>
                </w:p>
              </w:tc>
              <w:tc>
                <w:tcPr>
                  <w:tcW w:w="857" w:type="dxa"/>
                  <w:shd w:val="clear" w:color="auto" w:fill="auto"/>
                  <w:vAlign w:val="center"/>
                </w:tcPr>
                <w:p>
                  <w:pPr>
                    <w:pStyle w:val="164"/>
                  </w:pPr>
                  <w:r>
                    <w:rPr>
                      <w:rFonts w:hint="eastAsia"/>
                    </w:rPr>
                    <w:t>日均排水量m³</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0" w:type="dxa"/>
                  <w:shd w:val="clear" w:color="auto" w:fill="auto"/>
                  <w:vAlign w:val="center"/>
                </w:tcPr>
                <w:p>
                  <w:pPr>
                    <w:pStyle w:val="164"/>
                  </w:pPr>
                  <w:r>
                    <w:t>1 </w:t>
                  </w:r>
                </w:p>
              </w:tc>
              <w:tc>
                <w:tcPr>
                  <w:tcW w:w="1560" w:type="dxa"/>
                  <w:shd w:val="clear" w:color="auto" w:fill="auto"/>
                  <w:vAlign w:val="center"/>
                </w:tcPr>
                <w:p>
                  <w:pPr>
                    <w:pStyle w:val="164"/>
                  </w:pPr>
                  <w:r>
                    <w:rPr>
                      <w:rFonts w:hint="eastAsia"/>
                    </w:rPr>
                    <w:t>喷漆水帘柜用水</w:t>
                  </w:r>
                </w:p>
              </w:tc>
              <w:tc>
                <w:tcPr>
                  <w:tcW w:w="1375" w:type="dxa"/>
                  <w:shd w:val="clear" w:color="auto" w:fill="auto"/>
                  <w:vAlign w:val="center"/>
                </w:tcPr>
                <w:p>
                  <w:pPr>
                    <w:pStyle w:val="164"/>
                  </w:pPr>
                  <w:r>
                    <w:t>每天排放储存量10</w:t>
                  </w:r>
                </w:p>
              </w:tc>
              <w:tc>
                <w:tcPr>
                  <w:tcW w:w="1066" w:type="dxa"/>
                  <w:shd w:val="clear" w:color="auto" w:fill="auto"/>
                  <w:vAlign w:val="center"/>
                </w:tcPr>
                <w:p>
                  <w:pPr>
                    <w:pStyle w:val="164"/>
                  </w:pPr>
                  <w:r>
                    <w:t>113.33</w:t>
                  </w:r>
                  <w:r>
                    <w:rPr>
                      <w:rFonts w:hint="eastAsia"/>
                      <w:lang w:val="en-US"/>
                    </w:rPr>
                    <w:t>m³</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11.33 </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10.20 </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11.33 </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10.20 </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0" w:type="dxa"/>
                  <w:shd w:val="clear" w:color="auto" w:fill="auto"/>
                  <w:vAlign w:val="center"/>
                </w:tcPr>
                <w:p>
                  <w:pPr>
                    <w:pStyle w:val="164"/>
                  </w:pPr>
                  <w:r>
                    <w:rPr>
                      <w:rFonts w:hint="eastAsia"/>
                    </w:rPr>
                    <w:t>2</w:t>
                  </w:r>
                </w:p>
              </w:tc>
              <w:tc>
                <w:tcPr>
                  <w:tcW w:w="1560" w:type="dxa"/>
                  <w:shd w:val="clear" w:color="auto" w:fill="auto"/>
                  <w:vAlign w:val="center"/>
                </w:tcPr>
                <w:p>
                  <w:pPr>
                    <w:pStyle w:val="164"/>
                  </w:pPr>
                  <w:r>
                    <w:rPr>
                      <w:rFonts w:hint="eastAsia"/>
                    </w:rPr>
                    <w:t>白坯油磨喷淋用水</w:t>
                  </w:r>
                </w:p>
              </w:tc>
              <w:tc>
                <w:tcPr>
                  <w:tcW w:w="1375" w:type="dxa"/>
                  <w:shd w:val="clear" w:color="auto" w:fill="auto"/>
                  <w:vAlign w:val="center"/>
                </w:tcPr>
                <w:p>
                  <w:pPr>
                    <w:pStyle w:val="164"/>
                  </w:pPr>
                  <w:r>
                    <w:t>每天排放储存量10%</w:t>
                  </w:r>
                </w:p>
              </w:tc>
              <w:tc>
                <w:tcPr>
                  <w:tcW w:w="1066" w:type="dxa"/>
                  <w:shd w:val="clear" w:color="auto" w:fill="auto"/>
                  <w:vAlign w:val="center"/>
                </w:tcPr>
                <w:p>
                  <w:pPr>
                    <w:pStyle w:val="164"/>
                  </w:pPr>
                  <w:r>
                    <w:rPr>
                      <w:rFonts w:hint="eastAsia"/>
                    </w:rPr>
                    <w:t>1</w:t>
                  </w:r>
                  <w:r>
                    <w:t xml:space="preserve">2.67 </w:t>
                  </w:r>
                  <w:r>
                    <w:rPr>
                      <w:rFonts w:hint="eastAsia"/>
                      <w:lang w:val="en-US"/>
                    </w:rPr>
                    <w:t>m³</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1.27 </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1.14 </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1.27 </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1.14 </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0" w:type="dxa"/>
                  <w:shd w:val="clear" w:color="auto" w:fill="auto"/>
                  <w:vAlign w:val="center"/>
                </w:tcPr>
                <w:p>
                  <w:pPr>
                    <w:pStyle w:val="164"/>
                  </w:pPr>
                  <w:r>
                    <w:rPr>
                      <w:rFonts w:hint="eastAsia"/>
                    </w:rPr>
                    <w:t>3</w:t>
                  </w:r>
                </w:p>
              </w:tc>
              <w:tc>
                <w:tcPr>
                  <w:tcW w:w="1560" w:type="dxa"/>
                  <w:shd w:val="clear" w:color="auto" w:fill="auto"/>
                  <w:vAlign w:val="center"/>
                </w:tcPr>
                <w:p>
                  <w:pPr>
                    <w:pStyle w:val="164"/>
                  </w:pPr>
                  <w:r>
                    <w:t>生活用水</w:t>
                  </w:r>
                </w:p>
              </w:tc>
              <w:tc>
                <w:tcPr>
                  <w:tcW w:w="1375" w:type="dxa"/>
                  <w:shd w:val="clear" w:color="auto" w:fill="auto"/>
                  <w:vAlign w:val="center"/>
                </w:tcPr>
                <w:p>
                  <w:pPr>
                    <w:pStyle w:val="164"/>
                  </w:pPr>
                  <w:r>
                    <w:t>80人</w:t>
                  </w:r>
                </w:p>
              </w:tc>
              <w:tc>
                <w:tcPr>
                  <w:tcW w:w="1066" w:type="dxa"/>
                  <w:shd w:val="clear" w:color="auto" w:fill="auto"/>
                  <w:vAlign w:val="center"/>
                </w:tcPr>
                <w:p>
                  <w:pPr>
                    <w:pStyle w:val="164"/>
                  </w:pPr>
                  <w:r>
                    <w:t>50</w:t>
                  </w:r>
                  <w:r>
                    <w:rPr>
                      <w:rFonts w:hint="eastAsia"/>
                    </w:rPr>
                    <w:t>L/人*d</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4</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3.6</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4</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3.6</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0" w:type="dxa"/>
                  <w:shd w:val="clear" w:color="auto" w:fill="auto"/>
                  <w:vAlign w:val="center"/>
                </w:tcPr>
                <w:p>
                  <w:pPr>
                    <w:pStyle w:val="164"/>
                  </w:pPr>
                  <w:r>
                    <w:rPr>
                      <w:rFonts w:hint="eastAsia"/>
                    </w:rPr>
                    <w:t>4</w:t>
                  </w:r>
                </w:p>
              </w:tc>
              <w:tc>
                <w:tcPr>
                  <w:tcW w:w="1560" w:type="dxa"/>
                  <w:shd w:val="clear" w:color="auto" w:fill="auto"/>
                  <w:vAlign w:val="center"/>
                </w:tcPr>
                <w:p>
                  <w:pPr>
                    <w:pStyle w:val="164"/>
                  </w:pPr>
                  <w:r>
                    <w:t>调漆用水</w:t>
                  </w:r>
                </w:p>
              </w:tc>
              <w:tc>
                <w:tcPr>
                  <w:tcW w:w="1375" w:type="dxa"/>
                  <w:shd w:val="clear" w:color="auto" w:fill="auto"/>
                  <w:vAlign w:val="center"/>
                </w:tcPr>
                <w:p>
                  <w:pPr>
                    <w:pStyle w:val="164"/>
                  </w:pPr>
                  <w:r>
                    <w:t>/</w:t>
                  </w:r>
                </w:p>
              </w:tc>
              <w:tc>
                <w:tcPr>
                  <w:tcW w:w="1066" w:type="dxa"/>
                  <w:shd w:val="clear" w:color="auto" w:fill="auto"/>
                  <w:vAlign w:val="center"/>
                </w:tcPr>
                <w:p>
                  <w:pPr>
                    <w:pStyle w:val="164"/>
                  </w:pPr>
                  <w:r>
                    <w:t>/</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0.10 </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0.10 </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0" w:type="dxa"/>
                  <w:shd w:val="clear" w:color="auto" w:fill="auto"/>
                  <w:vAlign w:val="center"/>
                </w:tcPr>
                <w:p>
                  <w:pPr>
                    <w:pStyle w:val="164"/>
                  </w:pPr>
                  <w:r>
                    <w:rPr>
                      <w:rFonts w:hint="eastAsia"/>
                    </w:rPr>
                    <w:t>5</w:t>
                  </w:r>
                </w:p>
              </w:tc>
              <w:tc>
                <w:tcPr>
                  <w:tcW w:w="1560" w:type="dxa"/>
                  <w:shd w:val="clear" w:color="auto" w:fill="auto"/>
                  <w:vAlign w:val="center"/>
                </w:tcPr>
                <w:p>
                  <w:pPr>
                    <w:pStyle w:val="164"/>
                  </w:pPr>
                  <w:r>
                    <w:t>调腻子用水</w:t>
                  </w:r>
                </w:p>
              </w:tc>
              <w:tc>
                <w:tcPr>
                  <w:tcW w:w="1375" w:type="dxa"/>
                  <w:shd w:val="clear" w:color="auto" w:fill="auto"/>
                  <w:vAlign w:val="center"/>
                </w:tcPr>
                <w:p>
                  <w:pPr>
                    <w:pStyle w:val="164"/>
                    <w:rPr>
                      <w:color w:val="000000"/>
                    </w:rPr>
                  </w:pPr>
                  <w:r>
                    <w:rPr>
                      <w:color w:val="000000"/>
                    </w:rPr>
                    <w:t>/</w:t>
                  </w:r>
                </w:p>
              </w:tc>
              <w:tc>
                <w:tcPr>
                  <w:tcW w:w="1066" w:type="dxa"/>
                  <w:shd w:val="clear" w:color="auto" w:fill="auto"/>
                  <w:vAlign w:val="center"/>
                </w:tcPr>
                <w:p>
                  <w:pPr>
                    <w:pStyle w:val="164"/>
                    <w:rPr>
                      <w:color w:val="000000"/>
                    </w:rPr>
                  </w:pPr>
                  <w:r>
                    <w:rPr>
                      <w:color w:val="000000"/>
                    </w:rPr>
                    <w:t>/</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0.01 </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0.010 </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710" w:type="dxa"/>
                  <w:shd w:val="clear" w:color="auto" w:fill="auto"/>
                  <w:vAlign w:val="center"/>
                </w:tcPr>
                <w:p>
                  <w:pPr>
                    <w:pStyle w:val="164"/>
                  </w:pPr>
                  <w:r>
                    <w:rPr>
                      <w:rFonts w:hint="eastAsia"/>
                    </w:rPr>
                    <w:t>6</w:t>
                  </w:r>
                </w:p>
              </w:tc>
              <w:tc>
                <w:tcPr>
                  <w:tcW w:w="1560" w:type="dxa"/>
                  <w:shd w:val="clear" w:color="auto" w:fill="auto"/>
                  <w:vAlign w:val="center"/>
                </w:tcPr>
                <w:p>
                  <w:pPr>
                    <w:pStyle w:val="164"/>
                  </w:pPr>
                  <w:r>
                    <w:t>喷枪清洗用水</w:t>
                  </w:r>
                </w:p>
              </w:tc>
              <w:tc>
                <w:tcPr>
                  <w:tcW w:w="1375" w:type="dxa"/>
                  <w:shd w:val="clear" w:color="auto" w:fill="auto"/>
                  <w:vAlign w:val="center"/>
                </w:tcPr>
                <w:p>
                  <w:pPr>
                    <w:pStyle w:val="164"/>
                  </w:pPr>
                  <w:r>
                    <w:t>每天清洗</w:t>
                  </w:r>
                </w:p>
              </w:tc>
              <w:tc>
                <w:tcPr>
                  <w:tcW w:w="1066" w:type="dxa"/>
                  <w:shd w:val="clear" w:color="auto" w:fill="auto"/>
                  <w:vAlign w:val="center"/>
                </w:tcPr>
                <w:p>
                  <w:pPr>
                    <w:pStyle w:val="164"/>
                  </w:pPr>
                  <w:r>
                    <w:t>1000L/d</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1</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0.9</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1</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0.9</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PrEx>
              <w:tc>
                <w:tcPr>
                  <w:tcW w:w="710" w:type="dxa"/>
                  <w:shd w:val="clear" w:color="auto" w:fill="auto"/>
                  <w:vAlign w:val="center"/>
                </w:tcPr>
                <w:p>
                  <w:pPr>
                    <w:pStyle w:val="164"/>
                  </w:pPr>
                  <w:r>
                    <w:rPr>
                      <w:rFonts w:hint="eastAsia"/>
                    </w:rPr>
                    <w:t>7</w:t>
                  </w:r>
                </w:p>
              </w:tc>
              <w:tc>
                <w:tcPr>
                  <w:tcW w:w="1560" w:type="dxa"/>
                  <w:shd w:val="clear" w:color="auto" w:fill="auto"/>
                  <w:vAlign w:val="center"/>
                </w:tcPr>
                <w:p>
                  <w:pPr>
                    <w:pStyle w:val="164"/>
                  </w:pPr>
                  <w:r>
                    <w:t>地面清洁用水</w:t>
                  </w:r>
                </w:p>
              </w:tc>
              <w:tc>
                <w:tcPr>
                  <w:tcW w:w="1375" w:type="dxa"/>
                  <w:shd w:val="clear" w:color="auto" w:fill="auto"/>
                  <w:vAlign w:val="center"/>
                </w:tcPr>
                <w:p>
                  <w:pPr>
                    <w:pStyle w:val="164"/>
                  </w:pPr>
                  <w:r>
                    <w:t>12614.44</w:t>
                  </w:r>
                  <w:r>
                    <w:rPr>
                      <w:rFonts w:hint="eastAsia"/>
                    </w:rPr>
                    <w:t>㎡</w:t>
                  </w:r>
                </w:p>
              </w:tc>
              <w:tc>
                <w:tcPr>
                  <w:tcW w:w="1066" w:type="dxa"/>
                  <w:shd w:val="clear" w:color="auto" w:fill="auto"/>
                  <w:vAlign w:val="center"/>
                </w:tcPr>
                <w:p>
                  <w:pPr>
                    <w:pStyle w:val="164"/>
                    <w:rPr>
                      <w:lang w:val="en-US"/>
                    </w:rPr>
                  </w:pPr>
                  <w:r>
                    <w:t>0.5</w:t>
                  </w:r>
                  <w:r>
                    <w:rPr>
                      <w:rFonts w:hint="eastAsia"/>
                      <w:lang w:val="en-US"/>
                    </w:rPr>
                    <w:t>L/㎡</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6.31 </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5.68 </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0.63 </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0.57 </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4711" w:type="dxa"/>
                  <w:gridSpan w:val="4"/>
                  <w:shd w:val="clear" w:color="auto" w:fill="auto"/>
                  <w:vAlign w:val="center"/>
                </w:tcPr>
                <w:p>
                  <w:pPr>
                    <w:pStyle w:val="164"/>
                  </w:pPr>
                  <w:r>
                    <w:t>总计</w:t>
                  </w:r>
                </w:p>
              </w:tc>
              <w:tc>
                <w:tcPr>
                  <w:tcW w:w="103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24.01 </w:t>
                  </w:r>
                </w:p>
              </w:tc>
              <w:tc>
                <w:tcPr>
                  <w:tcW w:w="855"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21.52 </w:t>
                  </w:r>
                </w:p>
              </w:tc>
              <w:tc>
                <w:tcPr>
                  <w:tcW w:w="103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18.34 </w:t>
                  </w:r>
                </w:p>
              </w:tc>
              <w:tc>
                <w:tcPr>
                  <w:tcW w:w="857"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16.41 </w:t>
                  </w:r>
                </w:p>
              </w:tc>
            </w:tr>
          </w:tbl>
          <w:p>
            <w:pPr>
              <w:jc w:val="left"/>
              <w:rPr>
                <w:rFonts w:ascii="Times New Roman" w:hAnsi="Times New Roman" w:cs="Times New Roman"/>
              </w:rPr>
            </w:pPr>
            <w:r>
              <w:rPr>
                <w:rFonts w:hint="eastAsia"/>
              </w:rPr>
              <w:t>*</w:t>
            </w:r>
            <w:r>
              <w:t>地面清洁用水</w:t>
            </w:r>
            <w:r>
              <w:rPr>
                <w:rFonts w:hint="eastAsia"/>
              </w:rPr>
              <w:t>、生活用水用水指标取自</w:t>
            </w:r>
            <w:r>
              <w:rPr>
                <w:rFonts w:ascii="Times New Roman" w:hAnsi="Times New Roman" w:cs="Times New Roman"/>
              </w:rPr>
              <w:t>《给水排水工程快速设计手册—3建筑给排水工程》</w:t>
            </w:r>
            <w:r>
              <w:rPr>
                <w:rFonts w:hint="eastAsia" w:ascii="Times New Roman" w:hAnsi="Times New Roman" w:cs="Times New Roman"/>
              </w:rPr>
              <w:t>；</w:t>
            </w:r>
          </w:p>
          <w:p>
            <w:pPr>
              <w:jc w:val="left"/>
            </w:pPr>
            <w:r>
              <w:rPr>
                <w:rFonts w:hint="eastAsia" w:ascii="Times New Roman" w:hAnsi="Times New Roman" w:cs="Times New Roman"/>
              </w:rPr>
              <w:t>**</w:t>
            </w:r>
            <w:r>
              <w:rPr>
                <w:rFonts w:hint="eastAsia"/>
              </w:rPr>
              <w:t>喷漆水帘柜用水、白坯油磨喷淋用水根据气液比计算得出；</w:t>
            </w:r>
          </w:p>
          <w:p>
            <w:pPr>
              <w:jc w:val="left"/>
            </w:pPr>
            <w:r>
              <w:rPr>
                <w:rFonts w:hint="eastAsia"/>
              </w:rPr>
              <w:t>***调漆用水、调腻子用水、喷枪清洗用水类比同类型项目得出。</w:t>
            </w:r>
          </w:p>
          <w:p>
            <w:pPr>
              <w:jc w:val="center"/>
            </w:pPr>
            <w:r>
              <w:object>
                <v:shape id="_x0000_i1025" o:spt="75" type="#_x0000_t75" style="height:306.15pt;width:324.8pt;" o:ole="t" filled="f" o:preferrelative="t" stroked="f" coordsize="21600,21600">
                  <v:path/>
                  <v:fill on="f" focussize="0,0"/>
                  <v:stroke on="f" joinstyle="miter"/>
                  <v:imagedata r:id="rId16" o:title=""/>
                  <o:lock v:ext="edit" aspectratio="t"/>
                  <w10:wrap type="none"/>
                  <w10:anchorlock/>
                </v:shape>
                <o:OLEObject Type="Embed" ProgID="AutoCAD.Drawing.19" ShapeID="_x0000_i1025" DrawAspect="Content" ObjectID="_1468075725" r:id="rId15">
                  <o:LockedField>false</o:LockedField>
                </o:OLEObject>
              </w:object>
            </w:r>
          </w:p>
          <w:p>
            <w:pPr>
              <w:jc w:val="center"/>
            </w:pPr>
            <w:r>
              <w:rPr>
                <w:rFonts w:hint="eastAsia" w:ascii="宋体" w:hAnsi="宋体"/>
              </w:rPr>
              <w:t>图2.7-1  扩建项目水平衡图（单位t/d）</w:t>
            </w:r>
          </w:p>
          <w:p>
            <w:pPr>
              <w:widowControl/>
              <w:jc w:val="center"/>
              <w:rPr>
                <w:rFonts w:ascii="宋体" w:hAnsi="宋体" w:cs="宋体"/>
                <w:kern w:val="0"/>
              </w:rPr>
            </w:pPr>
          </w:p>
          <w:p>
            <w:pPr>
              <w:widowControl/>
              <w:jc w:val="center"/>
              <w:rPr>
                <w:rFonts w:ascii="宋体" w:hAnsi="宋体" w:cs="宋体"/>
                <w:kern w:val="0"/>
              </w:rPr>
            </w:pPr>
            <w:r>
              <w:rPr>
                <w:rFonts w:hint="eastAsia" w:ascii="宋体" w:hAnsi="宋体" w:cs="宋体"/>
                <w:kern w:val="0"/>
              </w:rPr>
              <w:t>表2.7-8  项目用水量统计表（全厂）</w:t>
            </w:r>
          </w:p>
          <w:tbl>
            <w:tblPr>
              <w:tblStyle w:val="88"/>
              <w:tblW w:w="8495" w:type="dxa"/>
              <w:tblInd w:w="0" w:type="dxa"/>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2"/>
              <w:gridCol w:w="1314"/>
              <w:gridCol w:w="1171"/>
              <w:gridCol w:w="1289"/>
              <w:gridCol w:w="1052"/>
              <w:gridCol w:w="872"/>
              <w:gridCol w:w="1052"/>
              <w:gridCol w:w="873"/>
            </w:tblGrid>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rPr>
                      <w:rFonts w:hint="eastAsia"/>
                    </w:rPr>
                    <w:t>序号</w:t>
                  </w:r>
                </w:p>
              </w:tc>
              <w:tc>
                <w:tcPr>
                  <w:tcW w:w="1314" w:type="dxa"/>
                  <w:shd w:val="clear" w:color="auto" w:fill="auto"/>
                  <w:vAlign w:val="center"/>
                </w:tcPr>
                <w:p>
                  <w:pPr>
                    <w:pStyle w:val="164"/>
                  </w:pPr>
                  <w:r>
                    <w:rPr>
                      <w:rFonts w:hint="eastAsia"/>
                    </w:rPr>
                    <w:t>用水类别</w:t>
                  </w:r>
                </w:p>
              </w:tc>
              <w:tc>
                <w:tcPr>
                  <w:tcW w:w="1171" w:type="dxa"/>
                  <w:shd w:val="clear" w:color="auto" w:fill="auto"/>
                  <w:vAlign w:val="center"/>
                </w:tcPr>
                <w:p>
                  <w:pPr>
                    <w:pStyle w:val="164"/>
                  </w:pPr>
                  <w:r>
                    <w:rPr>
                      <w:rFonts w:hint="eastAsia"/>
                    </w:rPr>
                    <w:t>用水规模</w:t>
                  </w:r>
                </w:p>
              </w:tc>
              <w:tc>
                <w:tcPr>
                  <w:tcW w:w="1289" w:type="dxa"/>
                  <w:shd w:val="clear" w:color="auto" w:fill="auto"/>
                  <w:vAlign w:val="center"/>
                </w:tcPr>
                <w:p>
                  <w:pPr>
                    <w:pStyle w:val="164"/>
                  </w:pPr>
                  <w:r>
                    <w:rPr>
                      <w:rFonts w:hint="eastAsia"/>
                    </w:rPr>
                    <w:t>用水指标</w:t>
                  </w:r>
                </w:p>
              </w:tc>
              <w:tc>
                <w:tcPr>
                  <w:tcW w:w="1052" w:type="dxa"/>
                  <w:shd w:val="clear" w:color="auto" w:fill="auto"/>
                  <w:vAlign w:val="center"/>
                </w:tcPr>
                <w:p>
                  <w:pPr>
                    <w:pStyle w:val="164"/>
                  </w:pPr>
                  <w:r>
                    <w:rPr>
                      <w:rFonts w:hint="eastAsia"/>
                    </w:rPr>
                    <w:t>最大用水量</w:t>
                  </w:r>
                  <w:r>
                    <w:t>m</w:t>
                  </w:r>
                  <w:r>
                    <w:rPr>
                      <w:vertAlign w:val="superscript"/>
                    </w:rPr>
                    <w:t>3</w:t>
                  </w:r>
                </w:p>
              </w:tc>
              <w:tc>
                <w:tcPr>
                  <w:tcW w:w="872" w:type="dxa"/>
                  <w:shd w:val="clear" w:color="auto" w:fill="auto"/>
                  <w:vAlign w:val="center"/>
                </w:tcPr>
                <w:p>
                  <w:pPr>
                    <w:pStyle w:val="164"/>
                  </w:pPr>
                  <w:r>
                    <w:rPr>
                      <w:rFonts w:hint="eastAsia"/>
                    </w:rPr>
                    <w:t>最大排水量</w:t>
                  </w:r>
                  <w:r>
                    <w:t>m</w:t>
                  </w:r>
                  <w:r>
                    <w:rPr>
                      <w:vertAlign w:val="superscript"/>
                    </w:rPr>
                    <w:t>3</w:t>
                  </w:r>
                </w:p>
              </w:tc>
              <w:tc>
                <w:tcPr>
                  <w:tcW w:w="1052" w:type="dxa"/>
                  <w:shd w:val="clear" w:color="auto" w:fill="auto"/>
                  <w:vAlign w:val="center"/>
                </w:tcPr>
                <w:p>
                  <w:pPr>
                    <w:pStyle w:val="164"/>
                  </w:pPr>
                  <w:r>
                    <w:rPr>
                      <w:rFonts w:hint="eastAsia"/>
                    </w:rPr>
                    <w:t>日均用水量</w:t>
                  </w:r>
                  <w:r>
                    <w:t>m</w:t>
                  </w:r>
                  <w:r>
                    <w:rPr>
                      <w:vertAlign w:val="superscript"/>
                    </w:rPr>
                    <w:t>3</w:t>
                  </w:r>
                </w:p>
              </w:tc>
              <w:tc>
                <w:tcPr>
                  <w:tcW w:w="873" w:type="dxa"/>
                  <w:shd w:val="clear" w:color="auto" w:fill="auto"/>
                  <w:vAlign w:val="center"/>
                </w:tcPr>
                <w:p>
                  <w:pPr>
                    <w:pStyle w:val="164"/>
                  </w:pPr>
                  <w:r>
                    <w:rPr>
                      <w:rFonts w:hint="eastAsia"/>
                    </w:rPr>
                    <w:t>日均排水量m³</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t>1 </w:t>
                  </w:r>
                </w:p>
              </w:tc>
              <w:tc>
                <w:tcPr>
                  <w:tcW w:w="1314" w:type="dxa"/>
                  <w:shd w:val="clear" w:color="auto" w:fill="auto"/>
                  <w:vAlign w:val="center"/>
                </w:tcPr>
                <w:p>
                  <w:pPr>
                    <w:pStyle w:val="164"/>
                  </w:pPr>
                  <w:r>
                    <w:rPr>
                      <w:rFonts w:hint="eastAsia"/>
                    </w:rPr>
                    <w:t>喷漆水帘柜用水</w:t>
                  </w:r>
                </w:p>
              </w:tc>
              <w:tc>
                <w:tcPr>
                  <w:tcW w:w="1171" w:type="dxa"/>
                  <w:shd w:val="clear" w:color="auto" w:fill="auto"/>
                  <w:vAlign w:val="center"/>
                </w:tcPr>
                <w:p>
                  <w:pPr>
                    <w:pStyle w:val="164"/>
                  </w:pPr>
                  <w:r>
                    <w:t>每天排放储存量10%</w:t>
                  </w:r>
                </w:p>
              </w:tc>
              <w:tc>
                <w:tcPr>
                  <w:tcW w:w="1289" w:type="dxa"/>
                  <w:shd w:val="clear" w:color="auto" w:fill="auto"/>
                  <w:vAlign w:val="center"/>
                </w:tcPr>
                <w:p>
                  <w:pPr>
                    <w:pStyle w:val="164"/>
                  </w:pPr>
                  <w:r>
                    <w:t xml:space="preserve">113.33 </w:t>
                  </w:r>
                  <w:r>
                    <w:rPr>
                      <w:rFonts w:hint="eastAsia"/>
                      <w:lang w:val="en-US"/>
                    </w:rPr>
                    <w:t>m³</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11.33 </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10.20 </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11.33 </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10.20 </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t>2 </w:t>
                  </w:r>
                </w:p>
              </w:tc>
              <w:tc>
                <w:tcPr>
                  <w:tcW w:w="1314" w:type="dxa"/>
                  <w:shd w:val="clear" w:color="auto" w:fill="auto"/>
                  <w:vAlign w:val="center"/>
                </w:tcPr>
                <w:p>
                  <w:pPr>
                    <w:pStyle w:val="164"/>
                  </w:pPr>
                  <w:r>
                    <w:rPr>
                      <w:rFonts w:hint="eastAsia"/>
                    </w:rPr>
                    <w:t>白坯油磨喷淋用水</w:t>
                  </w:r>
                </w:p>
              </w:tc>
              <w:tc>
                <w:tcPr>
                  <w:tcW w:w="1171" w:type="dxa"/>
                  <w:shd w:val="clear" w:color="auto" w:fill="auto"/>
                  <w:vAlign w:val="center"/>
                </w:tcPr>
                <w:p>
                  <w:pPr>
                    <w:pStyle w:val="164"/>
                  </w:pPr>
                  <w:r>
                    <w:t>每天排</w:t>
                  </w:r>
                  <w:r>
                    <w:cr/>
                  </w:r>
                  <w:r>
                    <w:t>储存量10%</w:t>
                  </w:r>
                </w:p>
              </w:tc>
              <w:tc>
                <w:tcPr>
                  <w:tcW w:w="1289" w:type="dxa"/>
                  <w:shd w:val="clear" w:color="auto" w:fill="auto"/>
                  <w:vAlign w:val="center"/>
                </w:tcPr>
                <w:p>
                  <w:pPr>
                    <w:pStyle w:val="164"/>
                  </w:pPr>
                  <w:r>
                    <w:t xml:space="preserve">12.67 </w:t>
                  </w:r>
                  <w:r>
                    <w:rPr>
                      <w:rFonts w:hint="eastAsia"/>
                      <w:lang w:val="en-US"/>
                    </w:rPr>
                    <w:t>m³</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1.27 </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1.14 </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1.27 </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1.14 </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t>3 </w:t>
                  </w:r>
                </w:p>
              </w:tc>
              <w:tc>
                <w:tcPr>
                  <w:tcW w:w="1314" w:type="dxa"/>
                  <w:shd w:val="clear" w:color="auto" w:fill="auto"/>
                  <w:vAlign w:val="center"/>
                </w:tcPr>
                <w:p>
                  <w:pPr>
                    <w:pStyle w:val="164"/>
                  </w:pPr>
                  <w:r>
                    <w:t>生活用水</w:t>
                  </w:r>
                </w:p>
              </w:tc>
              <w:tc>
                <w:tcPr>
                  <w:tcW w:w="1171" w:type="dxa"/>
                  <w:shd w:val="clear" w:color="auto" w:fill="auto"/>
                  <w:vAlign w:val="center"/>
                </w:tcPr>
                <w:p>
                  <w:pPr>
                    <w:pStyle w:val="164"/>
                  </w:pPr>
                  <w:r>
                    <w:cr/>
                  </w:r>
                  <w:r>
                    <w:t>00</w:t>
                  </w:r>
                </w:p>
              </w:tc>
              <w:tc>
                <w:tcPr>
                  <w:tcW w:w="1289" w:type="dxa"/>
                  <w:shd w:val="clear" w:color="auto" w:fill="auto"/>
                  <w:vAlign w:val="center"/>
                </w:tcPr>
                <w:p>
                  <w:pPr>
                    <w:pStyle w:val="164"/>
                  </w:pPr>
                  <w:r>
                    <w:t>50</w:t>
                  </w:r>
                  <w:r>
                    <w:rPr>
                      <w:rFonts w:hint="eastAsia"/>
                    </w:rPr>
                    <w:t>L/人*d</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10</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9</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10</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9</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t>4 </w:t>
                  </w:r>
                </w:p>
              </w:tc>
              <w:tc>
                <w:tcPr>
                  <w:tcW w:w="1314" w:type="dxa"/>
                  <w:shd w:val="clear" w:color="auto" w:fill="auto"/>
                  <w:vAlign w:val="center"/>
                </w:tcPr>
                <w:p>
                  <w:pPr>
                    <w:pStyle w:val="164"/>
                  </w:pPr>
                  <w:r>
                    <w:t>调漆用水</w:t>
                  </w:r>
                </w:p>
              </w:tc>
              <w:tc>
                <w:tcPr>
                  <w:tcW w:w="1171" w:type="dxa"/>
                  <w:shd w:val="clear" w:color="auto" w:fill="auto"/>
                  <w:vAlign w:val="center"/>
                </w:tcPr>
                <w:p>
                  <w:pPr>
                    <w:pStyle w:val="164"/>
                  </w:pPr>
                  <w:r>
                    <w:t>/</w:t>
                  </w:r>
                </w:p>
              </w:tc>
              <w:tc>
                <w:tcPr>
                  <w:tcW w:w="1289" w:type="dxa"/>
                  <w:shd w:val="clear" w:color="auto" w:fill="auto"/>
                  <w:vAlign w:val="center"/>
                </w:tcPr>
                <w:p>
                  <w:pPr>
                    <w:pStyle w:val="164"/>
                  </w:pPr>
                  <w:r>
                    <w:t>/</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0.10 </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0.10 </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t>5 </w:t>
                  </w:r>
                </w:p>
              </w:tc>
              <w:tc>
                <w:tcPr>
                  <w:tcW w:w="1314" w:type="dxa"/>
                  <w:shd w:val="clear" w:color="auto" w:fill="auto"/>
                  <w:vAlign w:val="center"/>
                </w:tcPr>
                <w:p>
                  <w:pPr>
                    <w:pStyle w:val="164"/>
                  </w:pPr>
                  <w:r>
                    <w:t>调腻子用水</w:t>
                  </w:r>
                </w:p>
              </w:tc>
              <w:tc>
                <w:tcPr>
                  <w:tcW w:w="1171" w:type="dxa"/>
                  <w:shd w:val="clear" w:color="auto" w:fill="auto"/>
                  <w:vAlign w:val="center"/>
                </w:tcPr>
                <w:p>
                  <w:pPr>
                    <w:pStyle w:val="164"/>
                  </w:pPr>
                  <w:r>
                    <w:t>/</w:t>
                  </w:r>
                </w:p>
              </w:tc>
              <w:tc>
                <w:tcPr>
                  <w:tcW w:w="1289" w:type="dxa"/>
                  <w:shd w:val="clear" w:color="auto" w:fill="auto"/>
                  <w:vAlign w:val="center"/>
                </w:tcPr>
                <w:p>
                  <w:pPr>
                    <w:pStyle w:val="164"/>
                  </w:pPr>
                  <w:r>
                    <w:t>/</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0.010 </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0.010 </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t>6 </w:t>
                  </w:r>
                </w:p>
              </w:tc>
              <w:tc>
                <w:tcPr>
                  <w:tcW w:w="1314" w:type="dxa"/>
                  <w:shd w:val="clear" w:color="auto" w:fill="auto"/>
                  <w:vAlign w:val="center"/>
                </w:tcPr>
                <w:p>
                  <w:pPr>
                    <w:pStyle w:val="164"/>
                  </w:pPr>
                  <w:r>
                    <w:t>喷枪清洗用水</w:t>
                  </w:r>
                </w:p>
              </w:tc>
              <w:tc>
                <w:tcPr>
                  <w:tcW w:w="1171" w:type="dxa"/>
                  <w:shd w:val="clear" w:color="auto" w:fill="auto"/>
                  <w:vAlign w:val="center"/>
                </w:tcPr>
                <w:p>
                  <w:pPr>
                    <w:pStyle w:val="164"/>
                  </w:pPr>
                  <w:r>
                    <w:t>每天清洗</w:t>
                  </w:r>
                </w:p>
              </w:tc>
              <w:tc>
                <w:tcPr>
                  <w:tcW w:w="1289" w:type="dxa"/>
                  <w:shd w:val="clear" w:color="auto" w:fill="auto"/>
                  <w:vAlign w:val="center"/>
                </w:tcPr>
                <w:p>
                  <w:pPr>
                    <w:pStyle w:val="164"/>
                  </w:pPr>
                  <w:r>
                    <w:t>100</w:t>
                  </w:r>
                  <w:r>
                    <w:cr/>
                  </w:r>
                  <w:r>
                    <w:t>L/d</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1</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0.9</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1</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0.9</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872" w:type="dxa"/>
                  <w:shd w:val="clear" w:color="auto" w:fill="auto"/>
                  <w:vAlign w:val="center"/>
                </w:tcPr>
                <w:p>
                  <w:pPr>
                    <w:pStyle w:val="164"/>
                  </w:pPr>
                  <w:r>
                    <w:t>7 </w:t>
                  </w:r>
                </w:p>
              </w:tc>
              <w:tc>
                <w:tcPr>
                  <w:tcW w:w="1314" w:type="dxa"/>
                  <w:shd w:val="clear" w:color="auto" w:fill="auto"/>
                  <w:vAlign w:val="center"/>
                </w:tcPr>
                <w:p>
                  <w:pPr>
                    <w:pStyle w:val="164"/>
                  </w:pPr>
                  <w:r>
                    <w:t>地面清洁用水</w:t>
                  </w:r>
                </w:p>
              </w:tc>
              <w:tc>
                <w:tcPr>
                  <w:tcW w:w="1171" w:type="dxa"/>
                  <w:shd w:val="clear" w:color="auto" w:fill="auto"/>
                  <w:vAlign w:val="center"/>
                </w:tcPr>
                <w:p>
                  <w:pPr>
                    <w:pStyle w:val="164"/>
                  </w:pPr>
                  <w:r>
                    <w:t>31080.32</w:t>
                  </w:r>
                </w:p>
              </w:tc>
              <w:tc>
                <w:tcPr>
                  <w:tcW w:w="1289" w:type="dxa"/>
                  <w:shd w:val="clear" w:color="auto" w:fill="auto"/>
                  <w:vAlign w:val="center"/>
                </w:tcPr>
                <w:p>
                  <w:pPr>
                    <w:pStyle w:val="164"/>
                  </w:pPr>
                  <w:r>
                    <w:t>0.5</w:t>
                  </w:r>
                  <w:r>
                    <w:rPr>
                      <w:rFonts w:hint="eastAsia"/>
                      <w:lang w:val="en-US"/>
                    </w:rPr>
                    <w:t>L/㎡</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15.54 </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13.99 </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1.55 </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1.40 </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c>
                <w:tcPr>
                  <w:tcW w:w="4646" w:type="dxa"/>
                  <w:gridSpan w:val="4"/>
                  <w:shd w:val="clear" w:color="auto" w:fill="auto"/>
                  <w:vAlign w:val="center"/>
                </w:tcPr>
                <w:p>
                  <w:pPr>
                    <w:pStyle w:val="164"/>
                  </w:pPr>
                  <w:r>
                    <w:t>总计</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39.25 </w:t>
                  </w:r>
                </w:p>
              </w:tc>
              <w:tc>
                <w:tcPr>
                  <w:tcW w:w="87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35.23 </w:t>
                  </w:r>
                </w:p>
              </w:tc>
              <w:tc>
                <w:tcPr>
                  <w:tcW w:w="1052"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25.26 </w:t>
                  </w:r>
                </w:p>
              </w:tc>
              <w:tc>
                <w:tcPr>
                  <w:tcW w:w="873"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22.64 </w:t>
                  </w:r>
                </w:p>
              </w:tc>
            </w:tr>
          </w:tbl>
          <w:p>
            <w:pPr>
              <w:jc w:val="left"/>
              <w:rPr>
                <w:rFonts w:ascii="Times New Roman" w:hAnsi="Times New Roman" w:cs="Times New Roman"/>
                <w:color w:val="FF0000"/>
              </w:rPr>
            </w:pPr>
            <w:r>
              <w:rPr>
                <w:rFonts w:hint="eastAsia"/>
                <w:color w:val="FF0000"/>
              </w:rPr>
              <w:t>*</w:t>
            </w:r>
            <w:r>
              <w:rPr>
                <w:color w:val="FF0000"/>
              </w:rPr>
              <w:t>地面清洁用水</w:t>
            </w:r>
            <w:r>
              <w:rPr>
                <w:rFonts w:hint="eastAsia"/>
                <w:color w:val="FF0000"/>
              </w:rPr>
              <w:t>、生活用水用水指标取自</w:t>
            </w:r>
            <w:r>
              <w:rPr>
                <w:rFonts w:ascii="Times New Roman" w:hAnsi="Times New Roman" w:cs="Times New Roman"/>
                <w:color w:val="FF0000"/>
              </w:rPr>
              <w:t>《给水排水工程快速设计手册—3建筑给排水工程》</w:t>
            </w:r>
            <w:r>
              <w:rPr>
                <w:rFonts w:hint="eastAsia" w:ascii="Times New Roman" w:hAnsi="Times New Roman" w:cs="Times New Roman"/>
                <w:color w:val="FF0000"/>
              </w:rPr>
              <w:t>；</w:t>
            </w:r>
          </w:p>
          <w:p>
            <w:pPr>
              <w:jc w:val="left"/>
              <w:rPr>
                <w:color w:val="FF0000"/>
              </w:rPr>
            </w:pPr>
            <w:r>
              <w:rPr>
                <w:rFonts w:hint="eastAsia" w:ascii="Times New Roman" w:hAnsi="Times New Roman" w:cs="Times New Roman"/>
                <w:color w:val="FF0000"/>
              </w:rPr>
              <w:t>**</w:t>
            </w:r>
            <w:r>
              <w:rPr>
                <w:rFonts w:hint="eastAsia"/>
                <w:color w:val="FF0000"/>
              </w:rPr>
              <w:t>喷漆水帘柜用水、白坯油磨喷淋用水根据气液比计算得出；</w:t>
            </w:r>
          </w:p>
          <w:p>
            <w:pPr>
              <w:jc w:val="left"/>
              <w:rPr>
                <w:color w:val="FF0000"/>
              </w:rPr>
            </w:pPr>
            <w:r>
              <w:rPr>
                <w:rFonts w:hint="eastAsia"/>
                <w:color w:val="FF0000"/>
              </w:rPr>
              <w:t>***调漆用水、调腻子用水、喷枪清洗用水类比同类型项目得出。</w:t>
            </w:r>
          </w:p>
          <w:p>
            <w:pPr>
              <w:jc w:val="center"/>
            </w:pPr>
            <w:r>
              <w:object>
                <v:shape id="_x0000_i1026" o:spt="75" type="#_x0000_t75" style="height:324pt;width:357pt;" o:ole="t" filled="f" o:preferrelative="t" stroked="f" coordsize="21600,21600">
                  <v:path/>
                  <v:fill on="f" focussize="0,0"/>
                  <v:stroke on="f" joinstyle="miter"/>
                  <v:imagedata r:id="rId18" o:title=""/>
                  <o:lock v:ext="edit" aspectratio="t"/>
                  <w10:wrap type="none"/>
                  <w10:anchorlock/>
                </v:shape>
                <o:OLEObject Type="Embed" ProgID="AutoCAD.Drawing.19" ShapeID="_x0000_i1026" DrawAspect="Content" ObjectID="_1468075726" r:id="rId17">
                  <o:LockedField>false</o:LockedField>
                </o:OLEObject>
              </w:object>
            </w:r>
          </w:p>
          <w:p>
            <w:pPr>
              <w:jc w:val="center"/>
              <w:rPr>
                <w:rFonts w:ascii="宋体" w:hAnsi="宋体"/>
              </w:rPr>
            </w:pPr>
            <w:r>
              <w:rPr>
                <w:rFonts w:hint="eastAsia" w:ascii="宋体" w:hAnsi="宋体"/>
              </w:rPr>
              <w:t>图2.7-2  扩建后全厂水平衡图（单位t/d）</w:t>
            </w:r>
          </w:p>
          <w:p>
            <w:pPr>
              <w:jc w:val="center"/>
            </w:pPr>
          </w:p>
          <w:p>
            <w:pPr>
              <w:spacing w:line="360" w:lineRule="auto"/>
              <w:ind w:firstLine="480" w:firstLineChars="200"/>
              <w:rPr>
                <w:rFonts w:ascii="宋体" w:hAnsi="宋体"/>
                <w:sz w:val="24"/>
              </w:rPr>
            </w:pPr>
            <w:r>
              <w:rPr>
                <w:rFonts w:hint="eastAsia" w:ascii="宋体" w:hAnsi="宋体"/>
                <w:sz w:val="24"/>
              </w:rPr>
              <w:t>生活污水与生产废水经物化处理的生产废水相混合后经生化处理达《污水综合排放标准》（</w:t>
            </w:r>
            <w:r>
              <w:rPr>
                <w:rFonts w:ascii="宋体" w:hAnsi="宋体"/>
                <w:sz w:val="24"/>
              </w:rPr>
              <w:t>GB8978-1996）三级排放标准，经园区污水管网排入东城污水处理厂进一步处理达《城镇污水处理厂污染物排放标准》（GB18918-2002）一级B标后排入淮远河。</w:t>
            </w:r>
          </w:p>
          <w:p>
            <w:pPr>
              <w:pStyle w:val="3"/>
              <w:tabs>
                <w:tab w:val="left" w:pos="269"/>
                <w:tab w:val="left" w:pos="371"/>
                <w:tab w:val="left" w:pos="432"/>
              </w:tabs>
              <w:adjustRightInd w:val="0"/>
              <w:jc w:val="left"/>
              <w:rPr>
                <w:rFonts w:ascii="宋体" w:hAnsi="宋体"/>
                <w:bCs w:val="0"/>
                <w:sz w:val="24"/>
                <w:szCs w:val="22"/>
              </w:rPr>
            </w:pPr>
            <w:bookmarkStart w:id="19" w:name="_Toc77686790"/>
            <w:r>
              <w:rPr>
                <w:rFonts w:hint="eastAsia" w:ascii="宋体" w:hAnsi="宋体"/>
                <w:bCs w:val="0"/>
                <w:sz w:val="24"/>
                <w:szCs w:val="22"/>
              </w:rPr>
              <w:t xml:space="preserve">2.7.4  </w:t>
            </w:r>
            <w:r>
              <w:rPr>
                <w:rFonts w:ascii="宋体" w:hAnsi="宋体"/>
                <w:bCs w:val="0"/>
                <w:sz w:val="24"/>
                <w:szCs w:val="22"/>
              </w:rPr>
              <w:t>VOC、非甲烷总烃</w:t>
            </w:r>
            <w:r>
              <w:rPr>
                <w:rFonts w:hint="eastAsia" w:ascii="宋体" w:hAnsi="宋体"/>
                <w:bCs w:val="0"/>
                <w:sz w:val="24"/>
                <w:szCs w:val="22"/>
              </w:rPr>
              <w:t>、</w:t>
            </w:r>
            <w:r>
              <w:rPr>
                <w:rFonts w:ascii="宋体" w:hAnsi="宋体"/>
                <w:bCs w:val="0"/>
                <w:sz w:val="24"/>
                <w:szCs w:val="22"/>
              </w:rPr>
              <w:t>苯系物平衡</w:t>
            </w:r>
            <w:bookmarkEnd w:id="19"/>
          </w:p>
          <w:p>
            <w:pPr>
              <w:pStyle w:val="160"/>
              <w:ind w:firstLine="480"/>
            </w:pPr>
            <w:r>
              <w:rPr>
                <w:rFonts w:hint="eastAsia"/>
              </w:rPr>
              <w:t>根据《污染源源强核算技术指南准则》（HJ884-2018）及《排污许可证申请与核发技术规范家具制造工业》（HJ1027-2019）中各种污染源核算方法，本次评价油漆用量按照物料衡算法进行计算统计。</w:t>
            </w:r>
          </w:p>
          <w:p>
            <w:pPr>
              <w:pStyle w:val="160"/>
              <w:ind w:firstLine="480"/>
            </w:pPr>
            <w:r>
              <w:rPr>
                <w:rFonts w:hint="eastAsia"/>
              </w:rPr>
              <w:t>（1）扩建项目油漆用量计算</w:t>
            </w:r>
          </w:p>
          <w:p>
            <w:pPr>
              <w:pStyle w:val="160"/>
              <w:ind w:firstLine="480"/>
            </w:pPr>
            <w:r>
              <w:rPr>
                <w:rFonts w:hint="eastAsia"/>
              </w:rPr>
              <w:t>①计算公式</w:t>
            </w:r>
          </w:p>
          <w:p>
            <w:pPr>
              <w:pStyle w:val="160"/>
              <w:ind w:firstLine="480"/>
            </w:pPr>
            <w:r>
              <w:rPr>
                <w:rFonts w:hint="eastAsia"/>
              </w:rPr>
              <w:t>油漆用量采用以下公式计算：</w:t>
            </w:r>
          </w:p>
          <w:p>
            <w:pPr>
              <w:pStyle w:val="160"/>
              <w:ind w:firstLine="480"/>
            </w:pPr>
            <w:r>
              <w:rPr>
                <w:rFonts w:hint="eastAsia"/>
              </w:rPr>
              <w:t>m=ρδs×10</w:t>
            </w:r>
            <w:r>
              <w:rPr>
                <w:rFonts w:hint="eastAsia"/>
                <w:vertAlign w:val="superscript"/>
              </w:rPr>
              <w:t>-6</w:t>
            </w:r>
            <w:r>
              <w:rPr>
                <w:rFonts w:hint="eastAsia"/>
              </w:rPr>
              <w:t>/（NV）/t</w:t>
            </w:r>
          </w:p>
          <w:p>
            <w:pPr>
              <w:pStyle w:val="160"/>
              <w:ind w:firstLine="480"/>
            </w:pPr>
            <w:r>
              <w:rPr>
                <w:rFonts w:hint="eastAsia"/>
              </w:rPr>
              <w:t>其中：m—物品单种油漆用量（t）；</w:t>
            </w:r>
          </w:p>
          <w:p>
            <w:pPr>
              <w:pStyle w:val="160"/>
              <w:ind w:firstLine="480"/>
            </w:pPr>
            <w:r>
              <w:rPr>
                <w:rFonts w:hint="eastAsia"/>
              </w:rPr>
              <w:t>ρ—该油漆密度（g/cm³）；</w:t>
            </w:r>
          </w:p>
          <w:p>
            <w:pPr>
              <w:pStyle w:val="160"/>
              <w:ind w:firstLine="480"/>
            </w:pPr>
            <w:r>
              <w:rPr>
                <w:rFonts w:hint="eastAsia"/>
              </w:rPr>
              <w:t>δ—涂层厚度（干膜厚度）（μm）；</w:t>
            </w:r>
          </w:p>
          <w:p>
            <w:pPr>
              <w:pStyle w:val="160"/>
              <w:ind w:firstLine="480"/>
            </w:pPr>
            <w:r>
              <w:rPr>
                <w:rFonts w:hint="eastAsia"/>
              </w:rPr>
              <w:t>s—涂装面积（㎡）；</w:t>
            </w:r>
          </w:p>
          <w:p>
            <w:pPr>
              <w:pStyle w:val="160"/>
              <w:ind w:firstLine="480"/>
            </w:pPr>
            <w:r>
              <w:rPr>
                <w:rFonts w:hint="eastAsia"/>
              </w:rPr>
              <w:t>NV—油漆的体积固体份（%）；</w:t>
            </w:r>
          </w:p>
          <w:p>
            <w:pPr>
              <w:pStyle w:val="160"/>
              <w:ind w:firstLine="480"/>
            </w:pPr>
            <w:r>
              <w:rPr>
                <w:rFonts w:hint="eastAsia"/>
              </w:rPr>
              <w:t>t—上漆率，本次评价喷涂取50%、UV淋涂取100%。</w:t>
            </w:r>
          </w:p>
          <w:p>
            <w:pPr>
              <w:pStyle w:val="160"/>
              <w:ind w:firstLine="480"/>
            </w:pPr>
            <w:r>
              <w:rPr>
                <w:rFonts w:hint="eastAsia"/>
              </w:rPr>
              <w:t>②参数选定</w:t>
            </w:r>
          </w:p>
          <w:p>
            <w:pPr>
              <w:pStyle w:val="160"/>
              <w:ind w:firstLine="480"/>
            </w:pPr>
            <w:r>
              <w:rPr>
                <w:rFonts w:hint="eastAsia"/>
              </w:rPr>
              <w:t>1）油漆密度</w:t>
            </w:r>
          </w:p>
          <w:p>
            <w:pPr>
              <w:pStyle w:val="160"/>
              <w:ind w:firstLine="480"/>
            </w:pPr>
            <w:r>
              <w:rPr>
                <w:rFonts w:hint="eastAsia"/>
              </w:rPr>
              <w:t>根据油漆厂家提供的扩建项目使用的油漆技术参数，漆膜密度为1.2g/cm³。</w:t>
            </w:r>
          </w:p>
          <w:p>
            <w:pPr>
              <w:pStyle w:val="160"/>
              <w:ind w:firstLine="480"/>
            </w:pPr>
            <w:r>
              <w:rPr>
                <w:rFonts w:hint="eastAsia"/>
              </w:rPr>
              <w:t>2）涂层厚度</w:t>
            </w:r>
          </w:p>
          <w:p>
            <w:pPr>
              <w:pStyle w:val="160"/>
              <w:ind w:firstLine="480"/>
            </w:pPr>
            <w:r>
              <w:rPr>
                <w:rFonts w:hint="eastAsia"/>
              </w:rPr>
              <w:t>根据企业提供的产品技术参数，涂装油漆成膜厚度为底漆140μm、面漆100μm，UV漆成膜厚度为200μm。</w:t>
            </w:r>
          </w:p>
          <w:p>
            <w:pPr>
              <w:pStyle w:val="160"/>
              <w:ind w:firstLine="480"/>
            </w:pPr>
            <w:r>
              <w:rPr>
                <w:rFonts w:hint="eastAsia"/>
              </w:rPr>
              <w:t>油漆配比</w:t>
            </w:r>
          </w:p>
          <w:p>
            <w:pPr>
              <w:pStyle w:val="160"/>
              <w:ind w:firstLine="480"/>
            </w:pPr>
            <w:r>
              <w:rPr>
                <w:rFonts w:hint="eastAsia"/>
              </w:rPr>
              <w:t>扩建项目油漆配比为：</w:t>
            </w:r>
          </w:p>
          <w:p>
            <w:pPr>
              <w:pStyle w:val="160"/>
              <w:ind w:firstLine="480"/>
            </w:pPr>
            <w:r>
              <w:rPr>
                <w:rFonts w:hint="eastAsia"/>
              </w:rPr>
              <w:t>底漆油漆：固化剂：稀释剂</w:t>
            </w:r>
            <w:r>
              <w:t>=1.8：0.6：0.8；</w:t>
            </w:r>
          </w:p>
          <w:p>
            <w:pPr>
              <w:pStyle w:val="160"/>
              <w:ind w:firstLine="480"/>
            </w:pPr>
            <w:r>
              <w:rPr>
                <w:rFonts w:hint="eastAsia"/>
              </w:rPr>
              <w:t>面漆油漆：固化剂：稀释剂</w:t>
            </w:r>
            <w:r>
              <w:t>=2.0：0.4：0.5</w:t>
            </w:r>
          </w:p>
          <w:p>
            <w:pPr>
              <w:pStyle w:val="160"/>
              <w:ind w:firstLine="480"/>
            </w:pPr>
            <w:r>
              <w:rPr>
                <w:rFonts w:hint="eastAsia"/>
              </w:rPr>
              <w:t>水性底漆：水=1：0.23；</w:t>
            </w:r>
          </w:p>
          <w:p>
            <w:pPr>
              <w:pStyle w:val="160"/>
              <w:ind w:firstLine="480"/>
            </w:pPr>
            <w:r>
              <w:rPr>
                <w:rFonts w:hint="eastAsia"/>
              </w:rPr>
              <w:t>水性面漆：水=1：0.23。</w:t>
            </w:r>
          </w:p>
          <w:p>
            <w:pPr>
              <w:pStyle w:val="160"/>
              <w:ind w:firstLine="480"/>
            </w:pPr>
            <w:r>
              <w:rPr>
                <w:rFonts w:hint="eastAsia"/>
              </w:rPr>
              <w:t>3）涂装面积及油漆耗量</w:t>
            </w:r>
          </w:p>
          <w:p>
            <w:pPr>
              <w:pStyle w:val="160"/>
              <w:ind w:firstLine="480"/>
            </w:pPr>
            <w:r>
              <w:rPr>
                <w:rFonts w:hint="eastAsia"/>
              </w:rPr>
              <w:t>①涂装面积计算</w:t>
            </w:r>
          </w:p>
          <w:p>
            <w:pPr>
              <w:pStyle w:val="160"/>
              <w:ind w:firstLine="480"/>
            </w:pPr>
            <w:r>
              <w:rPr>
                <w:rFonts w:hint="eastAsia"/>
              </w:rPr>
              <w:t>涂装面积计算表见表2.7-9。</w:t>
            </w:r>
          </w:p>
          <w:p>
            <w:pPr>
              <w:pStyle w:val="160"/>
              <w:ind w:firstLine="480"/>
            </w:pPr>
            <w:r>
              <w:rPr>
                <w:rFonts w:hint="eastAsia"/>
              </w:rPr>
              <w:t>②涂装油漆耗量计算</w:t>
            </w:r>
          </w:p>
          <w:p>
            <w:pPr>
              <w:pStyle w:val="160"/>
              <w:ind w:firstLine="480"/>
            </w:pPr>
            <w:r>
              <w:rPr>
                <w:rFonts w:hint="eastAsia"/>
              </w:rPr>
              <w:t>扩建项目油漆使用量计算参数见表2.7-10。</w:t>
            </w:r>
          </w:p>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 xml:space="preserve">2.7.4  </w:t>
            </w:r>
            <w:r>
              <w:rPr>
                <w:rFonts w:ascii="宋体" w:hAnsi="宋体" w:cs="宋体"/>
                <w:color w:val="000000"/>
                <w:kern w:val="0"/>
                <w:sz w:val="22"/>
                <w:szCs w:val="22"/>
              </w:rPr>
              <w:t>木材原料用量计算</w:t>
            </w:r>
          </w:p>
          <w:p>
            <w:pPr>
              <w:pStyle w:val="160"/>
              <w:ind w:firstLine="480"/>
            </w:pPr>
            <w:r>
              <w:t>木材原料用量计算</w:t>
            </w:r>
            <w:r>
              <w:rPr>
                <w:rFonts w:hint="eastAsia"/>
              </w:rPr>
              <w:t>表2.7-13。</w:t>
            </w:r>
          </w:p>
          <w:p/>
          <w:p>
            <w:pPr>
              <w:pStyle w:val="160"/>
              <w:ind w:firstLine="480"/>
              <w:rPr>
                <w:rFonts w:ascii="宋体" w:hAnsi="宋体"/>
                <w:bCs/>
                <w:szCs w:val="22"/>
              </w:rPr>
            </w:pPr>
          </w:p>
        </w:tc>
      </w:tr>
    </w:tbl>
    <w:p>
      <w:pPr>
        <w:sectPr>
          <w:pgSz w:w="11906" w:h="16838"/>
          <w:pgMar w:top="1701" w:right="1531" w:bottom="1701" w:left="1531" w:header="851" w:footer="851" w:gutter="0"/>
          <w:cols w:space="720" w:num="1"/>
          <w:docGrid w:linePitch="312" w:charSpace="0"/>
        </w:sectPr>
      </w:pPr>
    </w:p>
    <w:p>
      <w:pPr>
        <w:widowControl/>
        <w:adjustRightInd w:val="0"/>
        <w:snapToGrid w:val="0"/>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表2.7-9  涂装面积统计表</w:t>
      </w:r>
    </w:p>
    <w:tbl>
      <w:tblPr>
        <w:tblStyle w:val="88"/>
        <w:tblW w:w="13652" w:type="dxa"/>
        <w:tblInd w:w="0" w:type="dxa"/>
        <w:tblLayout w:type="fixed"/>
        <w:tblCellMar>
          <w:top w:w="0" w:type="dxa"/>
          <w:left w:w="108" w:type="dxa"/>
          <w:bottom w:w="0" w:type="dxa"/>
          <w:right w:w="108" w:type="dxa"/>
        </w:tblCellMar>
      </w:tblPr>
      <w:tblGrid>
        <w:gridCol w:w="1101"/>
        <w:gridCol w:w="707"/>
        <w:gridCol w:w="710"/>
        <w:gridCol w:w="849"/>
        <w:gridCol w:w="2553"/>
        <w:gridCol w:w="1275"/>
        <w:gridCol w:w="1420"/>
        <w:gridCol w:w="1278"/>
        <w:gridCol w:w="1130"/>
        <w:gridCol w:w="1387"/>
        <w:gridCol w:w="1242"/>
      </w:tblGrid>
      <w:tr>
        <w:tblPrEx>
          <w:tblLayout w:type="fixed"/>
          <w:tblCellMar>
            <w:top w:w="0" w:type="dxa"/>
            <w:left w:w="108" w:type="dxa"/>
            <w:bottom w:w="0" w:type="dxa"/>
            <w:right w:w="108" w:type="dxa"/>
          </w:tblCellMar>
        </w:tblPrEx>
        <w:trPr>
          <w:trHeight w:val="810" w:hRule="atLeast"/>
        </w:trPr>
        <w:tc>
          <w:tcPr>
            <w:tcW w:w="1101"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产品名称</w:t>
            </w:r>
          </w:p>
        </w:tc>
        <w:tc>
          <w:tcPr>
            <w:tcW w:w="70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长</w:t>
            </w:r>
          </w:p>
        </w:tc>
        <w:tc>
          <w:tcPr>
            <w:tcW w:w="71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宽（m）</w:t>
            </w:r>
          </w:p>
        </w:tc>
        <w:tc>
          <w:tcPr>
            <w:tcW w:w="84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高（m）</w:t>
            </w:r>
          </w:p>
        </w:tc>
        <w:tc>
          <w:tcPr>
            <w:tcW w:w="255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喷涂部位</w:t>
            </w:r>
          </w:p>
        </w:tc>
        <w:tc>
          <w:tcPr>
            <w:tcW w:w="1275"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数量（件/套家具）</w:t>
            </w:r>
          </w:p>
        </w:tc>
        <w:tc>
          <w:tcPr>
            <w:tcW w:w="1420"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单件平均喷涂面积（m2）</w:t>
            </w:r>
          </w:p>
        </w:tc>
        <w:tc>
          <w:tcPr>
            <w:tcW w:w="1278"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ascii="宋体" w:hAnsi="宋体" w:eastAsia="宋体" w:cs="宋体"/>
                <w:color w:val="000000"/>
                <w:kern w:val="0"/>
                <w:sz w:val="22"/>
                <w:szCs w:val="22"/>
              </w:rPr>
              <w:t>UV涂装面积（㎡/a）</w:t>
            </w:r>
          </w:p>
        </w:tc>
        <w:tc>
          <w:tcPr>
            <w:tcW w:w="113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水性漆涂装面积（㎡/a）</w:t>
            </w:r>
          </w:p>
        </w:tc>
        <w:tc>
          <w:tcPr>
            <w:tcW w:w="138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油性漆涂装面积（㎡/a）</w:t>
            </w:r>
          </w:p>
        </w:tc>
        <w:tc>
          <w:tcPr>
            <w:tcW w:w="124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产能（套/a）*</w:t>
            </w:r>
          </w:p>
        </w:tc>
      </w:tr>
      <w:tr>
        <w:tblPrEx>
          <w:tblLayout w:type="fixed"/>
          <w:tblCellMar>
            <w:top w:w="0" w:type="dxa"/>
            <w:left w:w="108" w:type="dxa"/>
            <w:bottom w:w="0" w:type="dxa"/>
            <w:right w:w="108" w:type="dxa"/>
          </w:tblCellMar>
        </w:tblPrEx>
        <w:trPr>
          <w:trHeight w:val="270" w:hRule="atLeast"/>
        </w:trPr>
        <w:tc>
          <w:tcPr>
            <w:tcW w:w="13652"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原项目（酒店家具）</w:t>
            </w: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衣柜</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正面+1个侧面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5712.0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3808.0 </w:t>
            </w:r>
          </w:p>
        </w:tc>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2380</w:t>
            </w: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床</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0.3</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4个床脚+床靠背</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3.00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8568.0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5712.0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沙发</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0.78</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4个沙发脚</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0.16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228.5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152.3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餐桌</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4个桌脚+桌面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1.90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2713.2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1808.8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茶几</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4个脚+桌面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1.27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1813.6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1209.0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电视柜</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0.38</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正面+侧面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1.17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1673.6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1115.7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餐椅</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0.47</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0.6</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0.91</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全喷（单面）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1.65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9402.0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6268.0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屏风</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1.05</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全喷（单面）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3.10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4426.8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2951.2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床头柜</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0.5</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全喷（正面）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0.93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2641.8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1761.2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门</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0.8</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0.05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3.82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10909.9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7273.3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木饰面</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正面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2.00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14280.0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9520.0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6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小计</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62369.3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41579.6 </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3652"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扩建项目（民用家具）</w:t>
            </w: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衣柜</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正面+1个侧面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3360.0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13440.0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1050</w:t>
            </w: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床</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0.3</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4个床脚+床靠背正面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3.00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1890.0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7560.0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沙发</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0.78</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4个沙发脚</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0.16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33.6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134.4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餐桌</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0.8</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4个桌脚+桌面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2.50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525.0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2100.0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茶几</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0.7</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4个脚+桌面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1.27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266.7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1066.8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电视柜</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0.38</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正面+侧面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1.50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315.0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1260.0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餐椅</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0.47</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0.6</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0.91</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全喷（单面）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2.00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2520.0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10080.0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床头柜</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0.5</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全喷（单面）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0.93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1165.5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4662.0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门</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0.8</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0.05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3.82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4011.0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16044.0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妆台</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0.8</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全喷（单面）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1.48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310.8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1243.2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鞋柜</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0.45</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0.85</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全喷（单面）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1.62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339.2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1356.6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木饰面</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0</w:t>
            </w:r>
          </w:p>
        </w:tc>
        <w:tc>
          <w:tcPr>
            <w:tcW w:w="2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正面</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2.00 </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2100.0 </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8400.0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6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小计</w:t>
            </w:r>
          </w:p>
        </w:tc>
        <w:tc>
          <w:tcPr>
            <w:tcW w:w="1278"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16836.8 </w:t>
            </w:r>
          </w:p>
        </w:tc>
        <w:tc>
          <w:tcPr>
            <w:tcW w:w="1130"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67347.0 </w:t>
            </w:r>
          </w:p>
        </w:tc>
        <w:tc>
          <w:tcPr>
            <w:tcW w:w="1387" w:type="dxa"/>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 </w:t>
            </w:r>
          </w:p>
        </w:tc>
        <w:tc>
          <w:tcPr>
            <w:tcW w:w="1242" w:type="dxa"/>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8615" w:type="dxa"/>
            <w:gridSpan w:val="7"/>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127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16836.8 </w:t>
            </w:r>
          </w:p>
        </w:tc>
        <w:tc>
          <w:tcPr>
            <w:tcW w:w="113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111005.5 </w:t>
            </w:r>
          </w:p>
        </w:tc>
        <w:tc>
          <w:tcPr>
            <w:tcW w:w="138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60290.4 </w:t>
            </w:r>
          </w:p>
        </w:tc>
        <w:tc>
          <w:tcPr>
            <w:tcW w:w="1242"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4900 </w:t>
            </w:r>
          </w:p>
        </w:tc>
      </w:tr>
    </w:tbl>
    <w:p>
      <w:pPr>
        <w:jc w:val="left"/>
      </w:pPr>
      <w:r>
        <w:rPr>
          <w:rFonts w:hint="eastAsia"/>
        </w:rPr>
        <w:t>*70%产品需进行涂装，30%为面漆家具。</w:t>
      </w:r>
    </w:p>
    <w:p>
      <w:pPr>
        <w:jc w:val="center"/>
      </w:pPr>
      <w:r>
        <w:rPr>
          <w:rFonts w:hint="eastAsia"/>
        </w:rPr>
        <w:t>表2.7-10  油漆使用量计算</w:t>
      </w:r>
    </w:p>
    <w:tbl>
      <w:tblPr>
        <w:tblStyle w:val="88"/>
        <w:tblW w:w="13652" w:type="dxa"/>
        <w:tblInd w:w="0" w:type="dxa"/>
        <w:tblLayout w:type="fixed"/>
        <w:tblCellMar>
          <w:top w:w="0" w:type="dxa"/>
          <w:left w:w="108" w:type="dxa"/>
          <w:bottom w:w="0" w:type="dxa"/>
          <w:right w:w="108" w:type="dxa"/>
        </w:tblCellMar>
      </w:tblPr>
      <w:tblGrid>
        <w:gridCol w:w="817"/>
        <w:gridCol w:w="993"/>
        <w:gridCol w:w="992"/>
        <w:gridCol w:w="1007"/>
        <w:gridCol w:w="1124"/>
        <w:gridCol w:w="1372"/>
        <w:gridCol w:w="1372"/>
        <w:gridCol w:w="1372"/>
        <w:gridCol w:w="1194"/>
        <w:gridCol w:w="1194"/>
        <w:gridCol w:w="1194"/>
        <w:gridCol w:w="1021"/>
      </w:tblGrid>
      <w:tr>
        <w:tblPrEx>
          <w:tblLayout w:type="fixed"/>
          <w:tblCellMar>
            <w:top w:w="0" w:type="dxa"/>
            <w:left w:w="108" w:type="dxa"/>
            <w:bottom w:w="0" w:type="dxa"/>
            <w:right w:w="108" w:type="dxa"/>
          </w:tblCellMar>
        </w:tblPrEx>
        <w:tc>
          <w:tcPr>
            <w:tcW w:w="817"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rPr>
            </w:pPr>
            <w:r>
              <w:rPr>
                <w:rFonts w:hint="eastAsia" w:ascii="宋体" w:hAnsi="宋体" w:eastAsia="宋体" w:cs="宋体"/>
                <w:color w:val="000000"/>
                <w:kern w:val="0"/>
              </w:rPr>
              <w:t>产品名称</w:t>
            </w:r>
          </w:p>
        </w:tc>
        <w:tc>
          <w:tcPr>
            <w:tcW w:w="993" w:type="dxa"/>
            <w:tcBorders>
              <w:top w:val="single" w:color="auto"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rPr>
            </w:pPr>
            <w:r>
              <w:rPr>
                <w:rFonts w:hint="eastAsia" w:ascii="宋体" w:hAnsi="宋体" w:eastAsia="宋体" w:cs="宋体"/>
                <w:color w:val="000000"/>
                <w:kern w:val="0"/>
              </w:rPr>
              <w:t>喷涂面积㎡</w:t>
            </w:r>
          </w:p>
        </w:tc>
        <w:tc>
          <w:tcPr>
            <w:tcW w:w="99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成膜厚度（μm）</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漆膜密度（t/m³）</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漆膜质量（t/a）</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原料漆固体份含量（%）</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稀释剂固体份含量（%）</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固化剂固体份含量（%）</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原料漆用量（t/a）</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稀释剂用量（t/a）</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固化剂用量（t/a）</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上漆率（%）</w:t>
            </w:r>
          </w:p>
        </w:tc>
      </w:tr>
      <w:tr>
        <w:tblPrEx>
          <w:tblLayout w:type="fixed"/>
          <w:tblCellMar>
            <w:top w:w="0" w:type="dxa"/>
            <w:left w:w="108" w:type="dxa"/>
            <w:bottom w:w="0" w:type="dxa"/>
            <w:right w:w="108" w:type="dxa"/>
          </w:tblCellMar>
        </w:tblPrEx>
        <w:tc>
          <w:tcPr>
            <w:tcW w:w="13652" w:type="dxa"/>
            <w:gridSpan w:val="12"/>
            <w:tcBorders>
              <w:top w:val="single" w:color="auto"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UV油漆</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UV漆涂装</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16836.8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200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4.04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91.0%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4.44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小计</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16836.8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4.04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4.44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r>
      <w:tr>
        <w:tblPrEx>
          <w:tblLayout w:type="fixed"/>
          <w:tblCellMar>
            <w:top w:w="0" w:type="dxa"/>
            <w:left w:w="108" w:type="dxa"/>
            <w:bottom w:w="0" w:type="dxa"/>
            <w:right w:w="108" w:type="dxa"/>
          </w:tblCellMar>
        </w:tblPrEx>
        <w:tc>
          <w:tcPr>
            <w:tcW w:w="13652" w:type="dxa"/>
            <w:gridSpan w:val="1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扩建项目水性底漆</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水性底漆</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67347.0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140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11.31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60%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37.71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8.67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小计</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67347.0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11.31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37.71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8.67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r>
      <w:tr>
        <w:tblPrEx>
          <w:tblLayout w:type="fixed"/>
          <w:tblCellMar>
            <w:top w:w="0" w:type="dxa"/>
            <w:left w:w="108" w:type="dxa"/>
            <w:bottom w:w="0" w:type="dxa"/>
            <w:right w:w="108" w:type="dxa"/>
          </w:tblCellMar>
        </w:tblPrEx>
        <w:tc>
          <w:tcPr>
            <w:tcW w:w="13652" w:type="dxa"/>
            <w:gridSpan w:val="1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扩建项目水性面漆</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水性面漆</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67347.0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8.08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57.0%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28.36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6.52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小计</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67347.0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8.08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28.36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6.52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r>
      <w:tr>
        <w:tblPrEx>
          <w:tblLayout w:type="fixed"/>
          <w:tblCellMar>
            <w:top w:w="0" w:type="dxa"/>
            <w:left w:w="108" w:type="dxa"/>
            <w:bottom w:w="0" w:type="dxa"/>
            <w:right w:w="108" w:type="dxa"/>
          </w:tblCellMar>
        </w:tblPrEx>
        <w:tc>
          <w:tcPr>
            <w:tcW w:w="13652" w:type="dxa"/>
            <w:gridSpan w:val="1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原项目替代水性底漆</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水性底漆</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43658.5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140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7.33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60%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34.93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8.03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小计</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43658.5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7.33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34.93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8.03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r>
      <w:tr>
        <w:tblPrEx>
          <w:tblLayout w:type="fixed"/>
          <w:tblCellMar>
            <w:top w:w="0" w:type="dxa"/>
            <w:left w:w="108" w:type="dxa"/>
            <w:bottom w:w="0" w:type="dxa"/>
            <w:right w:w="108" w:type="dxa"/>
          </w:tblCellMar>
        </w:tblPrEx>
        <w:tc>
          <w:tcPr>
            <w:tcW w:w="13652" w:type="dxa"/>
            <w:gridSpan w:val="1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原项目替代水性面漆</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水性面漆</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43658.5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5.24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57.0%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26.26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6.04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小计</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43658.5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5.24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26.26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6.04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0.00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r>
      <w:tr>
        <w:tblPrEx>
          <w:tblLayout w:type="fixed"/>
          <w:tblCellMar>
            <w:top w:w="0" w:type="dxa"/>
            <w:left w:w="108" w:type="dxa"/>
            <w:bottom w:w="0" w:type="dxa"/>
            <w:right w:w="108" w:type="dxa"/>
          </w:tblCellMar>
        </w:tblPrEx>
        <w:tc>
          <w:tcPr>
            <w:tcW w:w="13652" w:type="dxa"/>
            <w:gridSpan w:val="1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原项目油性底漆</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油性底漆</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60290.4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140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10.13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85%</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60%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12.51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4.17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8.063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小计</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60290.4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10.13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12.51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4.17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8.06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r>
      <w:tr>
        <w:tblPrEx>
          <w:tblLayout w:type="fixed"/>
          <w:tblCellMar>
            <w:top w:w="0" w:type="dxa"/>
            <w:left w:w="108" w:type="dxa"/>
            <w:bottom w:w="0" w:type="dxa"/>
            <w:right w:w="108" w:type="dxa"/>
          </w:tblCellMar>
        </w:tblPrEx>
        <w:tc>
          <w:tcPr>
            <w:tcW w:w="13652" w:type="dxa"/>
            <w:gridSpan w:val="1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原项目油性面漆</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油性面漆</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60290.4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1.2</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7.23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75.0%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0%</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60%</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11.09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2.22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4.019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50</w:t>
            </w:r>
          </w:p>
        </w:tc>
      </w:tr>
      <w:tr>
        <w:tblPrEx>
          <w:tblLayout w:type="fixed"/>
          <w:tblCellMar>
            <w:top w:w="0" w:type="dxa"/>
            <w:left w:w="108" w:type="dxa"/>
            <w:bottom w:w="0" w:type="dxa"/>
            <w:right w:w="108" w:type="dxa"/>
          </w:tblCellMar>
        </w:tblPrEx>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小计</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60290.4 </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7.23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11.09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rPr>
            </w:pPr>
            <w:r>
              <w:rPr>
                <w:rFonts w:hint="eastAsia"/>
                <w:color w:val="000000"/>
              </w:rPr>
              <w:t xml:space="preserve">2.22 </w:t>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4.02 </w:t>
            </w:r>
          </w:p>
        </w:tc>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w:t>
            </w:r>
          </w:p>
        </w:tc>
      </w:tr>
    </w:tbl>
    <w:p>
      <w:pPr>
        <w:rPr>
          <w:rFonts w:ascii="宋体" w:hAnsi="宋体" w:cs="宋体"/>
        </w:rPr>
      </w:pPr>
    </w:p>
    <w:p>
      <w:pPr>
        <w:jc w:val="center"/>
      </w:pPr>
      <w:r>
        <w:rPr>
          <w:rFonts w:hint="eastAsia" w:ascii="宋体" w:hAnsi="宋体" w:cs="宋体"/>
        </w:rPr>
        <w:t>表2.7-11  洗枪水用量计算表</w:t>
      </w:r>
    </w:p>
    <w:tbl>
      <w:tblPr>
        <w:tblStyle w:val="88"/>
        <w:tblW w:w="13652" w:type="dxa"/>
        <w:tblInd w:w="0" w:type="dxa"/>
        <w:tblLayout w:type="fixed"/>
        <w:tblCellMar>
          <w:top w:w="0" w:type="dxa"/>
          <w:left w:w="108" w:type="dxa"/>
          <w:bottom w:w="0" w:type="dxa"/>
          <w:right w:w="108" w:type="dxa"/>
        </w:tblCellMar>
      </w:tblPr>
      <w:tblGrid>
        <w:gridCol w:w="1499"/>
        <w:gridCol w:w="1873"/>
        <w:gridCol w:w="2102"/>
        <w:gridCol w:w="1873"/>
        <w:gridCol w:w="2102"/>
        <w:gridCol w:w="2102"/>
        <w:gridCol w:w="2101"/>
      </w:tblGrid>
      <w:tr>
        <w:tblPrEx>
          <w:tblLayout w:type="fixed"/>
          <w:tblCellMar>
            <w:top w:w="0" w:type="dxa"/>
            <w:left w:w="108" w:type="dxa"/>
            <w:bottom w:w="0" w:type="dxa"/>
            <w:right w:w="108" w:type="dxa"/>
          </w:tblCellMar>
        </w:tblPrEx>
        <w:trPr>
          <w:trHeight w:val="270" w:hRule="atLeast"/>
        </w:trPr>
        <w:tc>
          <w:tcPr>
            <w:tcW w:w="1499"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工序</w:t>
            </w:r>
          </w:p>
        </w:tc>
        <w:tc>
          <w:tcPr>
            <w:tcW w:w="1873"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频次（次</w:t>
            </w:r>
            <w:r>
              <w:rPr>
                <w:rFonts w:ascii="宋体" w:hAnsi="宋体" w:eastAsia="宋体" w:cs="宋体"/>
                <w:color w:val="000000"/>
                <w:kern w:val="0"/>
              </w:rPr>
              <w:t>/d）</w:t>
            </w:r>
          </w:p>
        </w:tc>
        <w:tc>
          <w:tcPr>
            <w:tcW w:w="2102"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耗量定额</w:t>
            </w:r>
            <w:r>
              <w:rPr>
                <w:rFonts w:ascii="宋体" w:hAnsi="宋体" w:eastAsia="宋体" w:cs="宋体"/>
                <w:color w:val="000000"/>
                <w:kern w:val="0"/>
              </w:rPr>
              <w:t>ml/次</w:t>
            </w:r>
          </w:p>
        </w:tc>
        <w:tc>
          <w:tcPr>
            <w:tcW w:w="187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挥发比例</w:t>
            </w:r>
          </w:p>
        </w:tc>
        <w:tc>
          <w:tcPr>
            <w:tcW w:w="2102"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工作天数（d）</w:t>
            </w:r>
          </w:p>
        </w:tc>
        <w:tc>
          <w:tcPr>
            <w:tcW w:w="2102"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挥发量（t/a）</w:t>
            </w:r>
          </w:p>
        </w:tc>
        <w:tc>
          <w:tcPr>
            <w:tcW w:w="2101"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使用量（t/a）</w:t>
            </w:r>
          </w:p>
        </w:tc>
      </w:tr>
      <w:tr>
        <w:tblPrEx>
          <w:tblLayout w:type="fixed"/>
          <w:tblCellMar>
            <w:top w:w="0" w:type="dxa"/>
            <w:left w:w="108" w:type="dxa"/>
            <w:bottom w:w="0" w:type="dxa"/>
            <w:right w:w="108" w:type="dxa"/>
          </w:tblCellMar>
        </w:tblPrEx>
        <w:trPr>
          <w:trHeight w:val="270" w:hRule="atLeast"/>
        </w:trPr>
        <w:tc>
          <w:tcPr>
            <w:tcW w:w="1499"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洗枪</w:t>
            </w:r>
          </w:p>
        </w:tc>
        <w:tc>
          <w:tcPr>
            <w:tcW w:w="1873"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8.00 </w:t>
            </w:r>
          </w:p>
        </w:tc>
        <w:tc>
          <w:tcPr>
            <w:tcW w:w="2102"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1000</w:t>
            </w:r>
          </w:p>
        </w:tc>
        <w:tc>
          <w:tcPr>
            <w:tcW w:w="1873"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20%</w:t>
            </w:r>
          </w:p>
        </w:tc>
        <w:tc>
          <w:tcPr>
            <w:tcW w:w="2102"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300</w:t>
            </w:r>
          </w:p>
        </w:tc>
        <w:tc>
          <w:tcPr>
            <w:tcW w:w="2102"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0.480 </w:t>
            </w:r>
          </w:p>
        </w:tc>
        <w:tc>
          <w:tcPr>
            <w:tcW w:w="2101"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 xml:space="preserve">2.40 </w:t>
            </w:r>
          </w:p>
        </w:tc>
      </w:tr>
    </w:tbl>
    <w:p>
      <w:pPr>
        <w:jc w:val="center"/>
      </w:pPr>
    </w:p>
    <w:p>
      <w:pPr>
        <w:jc w:val="center"/>
      </w:pPr>
      <w:r>
        <w:rPr>
          <w:rFonts w:hint="eastAsia"/>
        </w:rPr>
        <w:t>表</w:t>
      </w:r>
      <w:r>
        <w:rPr>
          <w:rFonts w:hint="eastAsia" w:ascii="宋体" w:hAnsi="宋体" w:cs="宋体"/>
        </w:rPr>
        <w:t>2.7-12</w:t>
      </w:r>
      <w:r>
        <w:rPr>
          <w:rFonts w:hint="eastAsia"/>
        </w:rPr>
        <w:t xml:space="preserve">  油漆组分含量汇总表</w:t>
      </w:r>
    </w:p>
    <w:tbl>
      <w:tblPr>
        <w:tblStyle w:val="88"/>
        <w:tblW w:w="13652" w:type="dxa"/>
        <w:tblInd w:w="0" w:type="dxa"/>
        <w:tblLayout w:type="fixed"/>
        <w:tblCellMar>
          <w:top w:w="0" w:type="dxa"/>
          <w:left w:w="108" w:type="dxa"/>
          <w:bottom w:w="0" w:type="dxa"/>
          <w:right w:w="108" w:type="dxa"/>
        </w:tblCellMar>
      </w:tblPr>
      <w:tblGrid>
        <w:gridCol w:w="2377"/>
        <w:gridCol w:w="2821"/>
        <w:gridCol w:w="1641"/>
        <w:gridCol w:w="3055"/>
        <w:gridCol w:w="1879"/>
        <w:gridCol w:w="1879"/>
      </w:tblGrid>
      <w:tr>
        <w:tblPrEx>
          <w:tblLayout w:type="fixed"/>
          <w:tblCellMar>
            <w:top w:w="0" w:type="dxa"/>
            <w:left w:w="108" w:type="dxa"/>
            <w:bottom w:w="0" w:type="dxa"/>
            <w:right w:w="108" w:type="dxa"/>
          </w:tblCellMar>
        </w:tblPrEx>
        <w:trPr>
          <w:trHeight w:val="270" w:hRule="atLeast"/>
        </w:trPr>
        <w:tc>
          <w:tcPr>
            <w:tcW w:w="2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工序名称</w:t>
            </w:r>
          </w:p>
        </w:tc>
        <w:tc>
          <w:tcPr>
            <w:tcW w:w="1127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污染物（t/a）</w:t>
            </w:r>
          </w:p>
        </w:tc>
      </w:tr>
      <w:tr>
        <w:tblPrEx>
          <w:tblLayout w:type="fixed"/>
          <w:tblCellMar>
            <w:top w:w="0" w:type="dxa"/>
            <w:left w:w="108" w:type="dxa"/>
            <w:bottom w:w="0" w:type="dxa"/>
            <w:right w:w="108" w:type="dxa"/>
          </w:tblCellMar>
        </w:tblPrEx>
        <w:trPr>
          <w:trHeight w:val="270" w:hRule="atLeast"/>
        </w:trPr>
        <w:tc>
          <w:tcPr>
            <w:tcW w:w="237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非甲烷总烃</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VOCs</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甲苯+二甲苯</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苯系物</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固体份</w:t>
            </w:r>
          </w:p>
        </w:tc>
      </w:tr>
      <w:tr>
        <w:tblPrEx>
          <w:tblLayout w:type="fixed"/>
          <w:tblCellMar>
            <w:top w:w="0" w:type="dxa"/>
            <w:left w:w="108" w:type="dxa"/>
            <w:bottom w:w="0" w:type="dxa"/>
            <w:right w:w="108" w:type="dxa"/>
          </w:tblCellMar>
        </w:tblPrEx>
        <w:trPr>
          <w:trHeight w:val="270" w:hRule="atLeast"/>
        </w:trPr>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UV漆涂装</w:t>
            </w: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0.44 </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0.44 </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4.00 </w:t>
            </w:r>
          </w:p>
        </w:tc>
      </w:tr>
      <w:tr>
        <w:tblPrEx>
          <w:tblLayout w:type="fixed"/>
          <w:tblCellMar>
            <w:top w:w="0" w:type="dxa"/>
            <w:left w:w="108" w:type="dxa"/>
            <w:bottom w:w="0" w:type="dxa"/>
            <w:right w:w="108" w:type="dxa"/>
          </w:tblCellMar>
        </w:tblPrEx>
        <w:trPr>
          <w:trHeight w:val="270" w:hRule="atLeast"/>
        </w:trPr>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水性底漆</w:t>
            </w: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10.90 </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10.90 </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43.58 </w:t>
            </w:r>
          </w:p>
        </w:tc>
      </w:tr>
      <w:tr>
        <w:tblPrEx>
          <w:tblLayout w:type="fixed"/>
          <w:tblCellMar>
            <w:top w:w="0" w:type="dxa"/>
            <w:left w:w="108" w:type="dxa"/>
            <w:bottom w:w="0" w:type="dxa"/>
            <w:right w:w="108" w:type="dxa"/>
          </w:tblCellMar>
        </w:tblPrEx>
        <w:trPr>
          <w:trHeight w:val="270" w:hRule="atLeast"/>
        </w:trPr>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水性面漆</w:t>
            </w: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4.37 </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4.37 </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31.13 </w:t>
            </w:r>
          </w:p>
        </w:tc>
      </w:tr>
      <w:tr>
        <w:tblPrEx>
          <w:tblLayout w:type="fixed"/>
          <w:tblCellMar>
            <w:top w:w="0" w:type="dxa"/>
            <w:left w:w="108" w:type="dxa"/>
            <w:bottom w:w="0" w:type="dxa"/>
            <w:right w:w="108" w:type="dxa"/>
          </w:tblCellMar>
        </w:tblPrEx>
        <w:trPr>
          <w:trHeight w:val="270" w:hRule="atLeast"/>
        </w:trPr>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油性底漆</w:t>
            </w: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8.27 </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8.27 </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1.70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1.70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13.97 </w:t>
            </w:r>
          </w:p>
        </w:tc>
      </w:tr>
      <w:tr>
        <w:tblPrEx>
          <w:tblLayout w:type="fixed"/>
          <w:tblCellMar>
            <w:top w:w="0" w:type="dxa"/>
            <w:left w:w="108" w:type="dxa"/>
            <w:bottom w:w="0" w:type="dxa"/>
            <w:right w:w="108" w:type="dxa"/>
          </w:tblCellMar>
        </w:tblPrEx>
        <w:trPr>
          <w:trHeight w:val="270" w:hRule="atLeast"/>
        </w:trPr>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油性面漆</w:t>
            </w: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6.10 </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6.10 </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1.15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1.15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9.98 </w:t>
            </w:r>
          </w:p>
        </w:tc>
      </w:tr>
      <w:tr>
        <w:tblPrEx>
          <w:tblLayout w:type="fixed"/>
          <w:tblCellMar>
            <w:top w:w="0" w:type="dxa"/>
            <w:left w:w="108" w:type="dxa"/>
            <w:bottom w:w="0" w:type="dxa"/>
            <w:right w:w="108" w:type="dxa"/>
          </w:tblCellMar>
        </w:tblPrEx>
        <w:trPr>
          <w:trHeight w:val="270" w:hRule="atLeast"/>
        </w:trPr>
        <w:tc>
          <w:tcPr>
            <w:tcW w:w="23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洗枪</w:t>
            </w:r>
          </w:p>
        </w:tc>
        <w:tc>
          <w:tcPr>
            <w:tcW w:w="2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0.48 </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0.48 </w:t>
            </w:r>
          </w:p>
        </w:tc>
        <w:tc>
          <w:tcPr>
            <w:tcW w:w="3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0.01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0.01 </w:t>
            </w:r>
          </w:p>
        </w:tc>
        <w:tc>
          <w:tcPr>
            <w:tcW w:w="18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r>
    </w:tbl>
    <w:p>
      <w:pPr>
        <w:jc w:val="center"/>
      </w:pPr>
    </w:p>
    <w:p>
      <w:pPr>
        <w:jc w:val="center"/>
      </w:pPr>
      <w:r>
        <w:object>
          <v:shape id="_x0000_i1027" o:spt="75" type="#_x0000_t75" style="height:401.75pt;width:491.95pt;" o:ole="t" filled="f" o:preferrelative="t" stroked="f" coordsize="21600,21600">
            <v:path/>
            <v:fill on="f" focussize="0,0"/>
            <v:stroke on="f" joinstyle="miter"/>
            <v:imagedata r:id="rId20" o:title=""/>
            <o:lock v:ext="edit" aspectratio="t"/>
            <w10:wrap type="none"/>
            <w10:anchorlock/>
          </v:shape>
          <o:OLEObject Type="Embed" ProgID="AutoCAD.Drawing.19" ShapeID="_x0000_i1027" DrawAspect="Content" ObjectID="_1468075727" r:id="rId19">
            <o:LockedField>false</o:LockedField>
          </o:OLEObject>
        </w:object>
      </w:r>
    </w:p>
    <w:p>
      <w:pPr>
        <w:jc w:val="center"/>
        <w:rPr>
          <w:rFonts w:ascii="宋体" w:hAnsi="宋体"/>
        </w:rPr>
      </w:pPr>
      <w:r>
        <w:rPr>
          <w:rFonts w:hint="eastAsia" w:ascii="宋体" w:hAnsi="宋体"/>
        </w:rPr>
        <w:t>图2.7-3  扩建项目非甲烷总烃/VOCs平衡图（单位t/a）</w:t>
      </w:r>
    </w:p>
    <w:p>
      <w:pPr>
        <w:jc w:val="center"/>
      </w:pPr>
      <w:r>
        <w:object>
          <v:shape id="_x0000_i1028" o:spt="75" type="#_x0000_t75" style="height:316.7pt;width:569.95pt;" o:ole="t" filled="f" o:preferrelative="t" stroked="f" coordsize="21600,21600">
            <v:path/>
            <v:fill on="f" focussize="0,0"/>
            <v:stroke on="f" joinstyle="miter"/>
            <v:imagedata r:id="rId22" o:title=""/>
            <o:lock v:ext="edit" aspectratio="t"/>
            <w10:wrap type="none"/>
            <w10:anchorlock/>
          </v:shape>
          <o:OLEObject Type="Embed" ProgID="AutoCAD.Drawing.19" ShapeID="_x0000_i1028" DrawAspect="Content" ObjectID="_1468075728" r:id="rId21">
            <o:LockedField>false</o:LockedField>
          </o:OLEObject>
        </w:object>
      </w:r>
    </w:p>
    <w:p>
      <w:pPr>
        <w:jc w:val="center"/>
        <w:rPr>
          <w:rFonts w:ascii="宋体" w:hAnsi="宋体"/>
        </w:rPr>
      </w:pPr>
      <w:r>
        <w:rPr>
          <w:rFonts w:hint="eastAsia" w:ascii="宋体" w:hAnsi="宋体"/>
        </w:rPr>
        <w:t>图2.7-2  扩建项目甲苯+二甲苯/苯系物平衡图（单位t/a）</w:t>
      </w:r>
    </w:p>
    <w:p/>
    <w:p>
      <w:pPr>
        <w:sectPr>
          <w:pgSz w:w="16838" w:h="11906" w:orient="landscape"/>
          <w:pgMar w:top="1531" w:right="1701" w:bottom="1531" w:left="1701" w:header="851" w:footer="851" w:gutter="0"/>
          <w:cols w:space="720" w:num="1"/>
          <w:docGrid w:linePitch="312" w:charSpace="0"/>
        </w:sectPr>
      </w:pPr>
    </w:p>
    <w:p>
      <w:pPr>
        <w:widowControl/>
        <w:adjustRightInd w:val="0"/>
        <w:snapToGrid w:val="0"/>
        <w:jc w:val="center"/>
        <w:rPr>
          <w:rFonts w:ascii="宋体" w:hAnsi="宋体" w:eastAsia="宋体" w:cs="宋体"/>
          <w:color w:val="000000"/>
          <w:kern w:val="0"/>
          <w:sz w:val="22"/>
          <w:szCs w:val="22"/>
        </w:rPr>
      </w:pPr>
      <w:bookmarkStart w:id="20" w:name="_Ref82513550"/>
      <w:r>
        <w:rPr>
          <w:rFonts w:hint="eastAsia" w:ascii="宋体" w:hAnsi="宋体" w:eastAsia="宋体" w:cs="宋体"/>
          <w:color w:val="000000"/>
          <w:kern w:val="0"/>
          <w:sz w:val="22"/>
          <w:szCs w:val="22"/>
        </w:rPr>
        <w:t>表</w:t>
      </w:r>
      <w:r>
        <w:rPr>
          <w:rFonts w:ascii="宋体" w:hAnsi="宋体" w:eastAsia="宋体" w:cs="宋体"/>
          <w:color w:val="000000"/>
          <w:kern w:val="0"/>
          <w:sz w:val="22"/>
          <w:szCs w:val="22"/>
        </w:rPr>
        <w:t>2.</w:t>
      </w:r>
      <w:r>
        <w:rPr>
          <w:rFonts w:hint="eastAsia" w:ascii="宋体" w:hAnsi="宋体" w:eastAsia="宋体" w:cs="宋体"/>
          <w:color w:val="000000"/>
          <w:kern w:val="0"/>
          <w:sz w:val="22"/>
          <w:szCs w:val="22"/>
        </w:rPr>
        <w:t xml:space="preserve">7-13  </w:t>
      </w:r>
      <w:r>
        <w:rPr>
          <w:rFonts w:ascii="宋体" w:hAnsi="宋体" w:eastAsia="宋体" w:cs="宋体"/>
          <w:color w:val="000000"/>
          <w:kern w:val="0"/>
          <w:sz w:val="22"/>
          <w:szCs w:val="22"/>
        </w:rPr>
        <w:t>木材原料用量计算</w:t>
      </w:r>
    </w:p>
    <w:bookmarkEnd w:id="20"/>
    <w:tbl>
      <w:tblPr>
        <w:tblStyle w:val="88"/>
        <w:tblW w:w="13559" w:type="dxa"/>
        <w:tblInd w:w="93" w:type="dxa"/>
        <w:tblLayout w:type="fixed"/>
        <w:tblCellMar>
          <w:top w:w="0" w:type="dxa"/>
          <w:left w:w="108" w:type="dxa"/>
          <w:bottom w:w="0" w:type="dxa"/>
          <w:right w:w="108" w:type="dxa"/>
        </w:tblCellMar>
      </w:tblPr>
      <w:tblGrid>
        <w:gridCol w:w="497"/>
        <w:gridCol w:w="636"/>
        <w:gridCol w:w="2378"/>
        <w:gridCol w:w="1633"/>
        <w:gridCol w:w="1060"/>
        <w:gridCol w:w="2169"/>
        <w:gridCol w:w="1802"/>
        <w:gridCol w:w="1802"/>
        <w:gridCol w:w="1582"/>
      </w:tblGrid>
      <w:tr>
        <w:tblPrEx>
          <w:tblLayout w:type="fixed"/>
          <w:tblCellMar>
            <w:top w:w="0" w:type="dxa"/>
            <w:left w:w="108" w:type="dxa"/>
            <w:bottom w:w="0" w:type="dxa"/>
            <w:right w:w="108" w:type="dxa"/>
          </w:tblCellMar>
        </w:tblPrEx>
        <w:trPr>
          <w:trHeight w:val="272" w:hRule="atLeast"/>
        </w:trPr>
        <w:tc>
          <w:tcPr>
            <w:tcW w:w="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序号</w:t>
            </w:r>
          </w:p>
        </w:tc>
        <w:tc>
          <w:tcPr>
            <w:tcW w:w="30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原料名称及规格</w:t>
            </w:r>
          </w:p>
        </w:tc>
        <w:tc>
          <w:tcPr>
            <w:tcW w:w="1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材料厚度（m）</w:t>
            </w: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ascii="宋体" w:hAnsi="宋体" w:eastAsia="宋体" w:cs="宋体"/>
                <w:b/>
                <w:bCs/>
                <w:color w:val="000000"/>
                <w:kern w:val="0"/>
              </w:rPr>
              <w:t>成型率（</w:t>
            </w:r>
            <w:r>
              <w:rPr>
                <w:rFonts w:ascii="Times New Roman" w:hAnsi="Times New Roman" w:eastAsia="宋体" w:cs="Times New Roman"/>
                <w:b/>
                <w:bCs/>
                <w:color w:val="000000"/>
                <w:kern w:val="0"/>
              </w:rPr>
              <w:t>%</w:t>
            </w:r>
            <w:r>
              <w:rPr>
                <w:rFonts w:ascii="宋体" w:hAnsi="宋体" w:eastAsia="宋体" w:cs="宋体"/>
                <w:b/>
                <w:bCs/>
                <w:color w:val="000000"/>
                <w:kern w:val="0"/>
              </w:rPr>
              <w:t>）</w:t>
            </w:r>
          </w:p>
        </w:tc>
        <w:tc>
          <w:tcPr>
            <w:tcW w:w="21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color w:val="000000"/>
                <w:kern w:val="0"/>
              </w:rPr>
            </w:pPr>
            <w:r>
              <w:rPr>
                <w:rFonts w:ascii="宋体" w:hAnsi="宋体" w:eastAsia="宋体" w:cs="宋体"/>
                <w:b/>
                <w:bCs/>
                <w:color w:val="000000"/>
                <w:kern w:val="0"/>
              </w:rPr>
              <w:t>材料密度（</w:t>
            </w:r>
            <w:r>
              <w:rPr>
                <w:rFonts w:ascii="Times New Roman" w:hAnsi="Times New Roman" w:eastAsia="宋体" w:cs="Times New Roman"/>
                <w:b/>
                <w:bCs/>
                <w:color w:val="000000"/>
                <w:kern w:val="0"/>
              </w:rPr>
              <w:t>kg/m</w:t>
            </w:r>
            <w:r>
              <w:rPr>
                <w:rFonts w:ascii="Times New Roman" w:hAnsi="Times New Roman" w:eastAsia="宋体" w:cs="Times New Roman"/>
                <w:b/>
                <w:bCs/>
                <w:color w:val="000000"/>
                <w:kern w:val="0"/>
                <w:vertAlign w:val="superscript"/>
              </w:rPr>
              <w:t>3</w:t>
            </w:r>
            <w:r>
              <w:rPr>
                <w:rFonts w:ascii="宋体" w:hAnsi="宋体" w:eastAsia="宋体" w:cs="宋体"/>
                <w:b/>
                <w:bCs/>
                <w:color w:val="000000"/>
                <w:kern w:val="0"/>
              </w:rPr>
              <w:t>）</w:t>
            </w: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color w:val="000000"/>
                <w:kern w:val="0"/>
              </w:rPr>
            </w:pPr>
            <w:r>
              <w:rPr>
                <w:rFonts w:ascii="宋体" w:hAnsi="宋体" w:eastAsia="宋体" w:cs="宋体"/>
                <w:b/>
                <w:bCs/>
                <w:color w:val="000000"/>
                <w:kern w:val="0"/>
              </w:rPr>
              <w:t>产品面积（</w:t>
            </w:r>
            <w:r>
              <w:rPr>
                <w:rFonts w:ascii="Times New Roman" w:hAnsi="Times New Roman" w:eastAsia="宋体" w:cs="Times New Roman"/>
                <w:b/>
                <w:bCs/>
                <w:color w:val="000000"/>
                <w:kern w:val="0"/>
              </w:rPr>
              <w:t>m</w:t>
            </w:r>
            <w:r>
              <w:rPr>
                <w:rFonts w:ascii="Times New Roman" w:hAnsi="Times New Roman" w:eastAsia="宋体" w:cs="Times New Roman"/>
                <w:b/>
                <w:bCs/>
                <w:color w:val="000000"/>
                <w:kern w:val="0"/>
                <w:vertAlign w:val="superscript"/>
              </w:rPr>
              <w:t>2</w:t>
            </w:r>
            <w:r>
              <w:rPr>
                <w:rFonts w:ascii="宋体" w:hAnsi="宋体" w:eastAsia="宋体" w:cs="宋体"/>
                <w:b/>
                <w:bCs/>
                <w:color w:val="000000"/>
                <w:kern w:val="0"/>
              </w:rPr>
              <w:t>）</w:t>
            </w:r>
          </w:p>
        </w:tc>
        <w:tc>
          <w:tcPr>
            <w:tcW w:w="1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color w:val="000000"/>
                <w:kern w:val="0"/>
              </w:rPr>
            </w:pPr>
            <w:r>
              <w:rPr>
                <w:rFonts w:ascii="宋体" w:hAnsi="宋体" w:eastAsia="宋体" w:cs="宋体"/>
                <w:b/>
                <w:bCs/>
                <w:color w:val="000000"/>
                <w:kern w:val="0"/>
              </w:rPr>
              <w:t>原料体积（</w:t>
            </w:r>
            <w:r>
              <w:rPr>
                <w:rFonts w:ascii="Times New Roman" w:hAnsi="Times New Roman" w:eastAsia="宋体" w:cs="Times New Roman"/>
                <w:b/>
                <w:bCs/>
                <w:color w:val="000000"/>
                <w:kern w:val="0"/>
              </w:rPr>
              <w:t>m</w:t>
            </w:r>
            <w:r>
              <w:rPr>
                <w:rFonts w:ascii="Times New Roman" w:hAnsi="Times New Roman" w:eastAsia="宋体" w:cs="Times New Roman"/>
                <w:b/>
                <w:bCs/>
                <w:color w:val="000000"/>
                <w:kern w:val="0"/>
                <w:vertAlign w:val="superscript"/>
              </w:rPr>
              <w:t>3</w:t>
            </w:r>
            <w:r>
              <w:rPr>
                <w:rFonts w:ascii="宋体" w:hAnsi="宋体" w:eastAsia="宋体" w:cs="宋体"/>
                <w:b/>
                <w:bCs/>
                <w:color w:val="000000"/>
                <w:kern w:val="0"/>
              </w:rPr>
              <w:t>）</w:t>
            </w:r>
          </w:p>
        </w:tc>
        <w:tc>
          <w:tcPr>
            <w:tcW w:w="15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color w:val="000000"/>
                <w:kern w:val="0"/>
              </w:rPr>
            </w:pPr>
            <w:r>
              <w:rPr>
                <w:rFonts w:ascii="宋体" w:hAnsi="宋体" w:eastAsia="宋体" w:cs="宋体"/>
                <w:b/>
                <w:bCs/>
                <w:color w:val="000000"/>
                <w:kern w:val="0"/>
              </w:rPr>
              <w:t>原料用量（</w:t>
            </w:r>
            <w:r>
              <w:rPr>
                <w:rFonts w:ascii="Times New Roman" w:hAnsi="Times New Roman" w:eastAsia="宋体" w:cs="Times New Roman"/>
                <w:b/>
                <w:bCs/>
                <w:color w:val="000000"/>
                <w:kern w:val="0"/>
              </w:rPr>
              <w:t>t</w:t>
            </w:r>
            <w:r>
              <w:rPr>
                <w:rFonts w:ascii="宋体" w:hAnsi="宋体" w:eastAsia="宋体" w:cs="宋体"/>
                <w:b/>
                <w:bCs/>
                <w:color w:val="000000"/>
                <w:kern w:val="0"/>
              </w:rPr>
              <w:t>）</w:t>
            </w:r>
          </w:p>
        </w:tc>
      </w:tr>
      <w:tr>
        <w:tblPrEx>
          <w:tblLayout w:type="fixed"/>
          <w:tblCellMar>
            <w:top w:w="0" w:type="dxa"/>
            <w:left w:w="108" w:type="dxa"/>
            <w:bottom w:w="0" w:type="dxa"/>
            <w:right w:w="108" w:type="dxa"/>
          </w:tblCellMar>
        </w:tblPrEx>
        <w:trPr>
          <w:trHeight w:val="272" w:hRule="atLeast"/>
        </w:trPr>
        <w:tc>
          <w:tcPr>
            <w:tcW w:w="49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301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63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0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216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80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80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58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r>
      <w:tr>
        <w:tblPrEx>
          <w:tblLayout w:type="fixed"/>
          <w:tblCellMar>
            <w:top w:w="0" w:type="dxa"/>
            <w:left w:w="108" w:type="dxa"/>
            <w:bottom w:w="0" w:type="dxa"/>
            <w:right w:w="108" w:type="dxa"/>
          </w:tblCellMar>
        </w:tblPrEx>
        <w:tc>
          <w:tcPr>
            <w:tcW w:w="13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原项目</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板式</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中纤板1.5m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14849.8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278.4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222.7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w:t>
            </w: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颗粒板1.5m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750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14849.8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278.4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208.8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多层实木板1.5m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750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14849.8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278.4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208.8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w:t>
            </w: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ascii="宋体" w:hAnsi="宋体" w:eastAsia="宋体" w:cs="宋体"/>
                <w:color w:val="000000"/>
                <w:kern w:val="0"/>
              </w:rPr>
              <w:t>实木1.5m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0.025m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0.025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103948.9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3712.5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2970.0 </w:t>
            </w:r>
          </w:p>
        </w:tc>
      </w:tr>
      <w:tr>
        <w:tblPrEx>
          <w:tblLayout w:type="fixed"/>
          <w:tblCellMar>
            <w:top w:w="0" w:type="dxa"/>
            <w:left w:w="108" w:type="dxa"/>
            <w:bottom w:w="0" w:type="dxa"/>
            <w:right w:w="108" w:type="dxa"/>
          </w:tblCellMar>
        </w:tblPrEx>
        <w:tc>
          <w:tcPr>
            <w:tcW w:w="1355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扩建项目</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板式</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中纤板1.5m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12026.3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225.5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180.4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w:t>
            </w: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颗粒板1.5m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750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12026.3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225.5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169.1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多层实木板1.5m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750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12026.3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225.5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169.1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w:t>
            </w: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ascii="宋体" w:hAnsi="宋体" w:eastAsia="宋体" w:cs="宋体"/>
                <w:color w:val="000000"/>
                <w:kern w:val="0"/>
              </w:rPr>
              <w:t>实木1.5m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0.025m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0.025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84183.8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3006.6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2405.3 </w:t>
            </w:r>
          </w:p>
        </w:tc>
      </w:tr>
      <w:tr>
        <w:tblPrEx>
          <w:tblLayout w:type="fixed"/>
          <w:tblCellMar>
            <w:top w:w="0" w:type="dxa"/>
            <w:left w:w="108" w:type="dxa"/>
            <w:bottom w:w="0" w:type="dxa"/>
            <w:right w:w="108" w:type="dxa"/>
          </w:tblCellMar>
        </w:tblPrEx>
        <w:tc>
          <w:tcPr>
            <w:tcW w:w="13559"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改扩建后（全厂）</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板式</w:t>
            </w: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中纤板1.5m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26876.1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503.9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403.1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w:t>
            </w: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颗粒板1.5m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750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26876.1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503.9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377.9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23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多层实木板1.5m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0.015m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0.015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750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26876.1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503.9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377.9 </w:t>
            </w:r>
          </w:p>
        </w:tc>
      </w:tr>
      <w:tr>
        <w:tblPrEx>
          <w:tblLayout w:type="fixed"/>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w:t>
            </w:r>
          </w:p>
        </w:tc>
        <w:tc>
          <w:tcPr>
            <w:tcW w:w="30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rPr>
            </w:pPr>
            <w:r>
              <w:rPr>
                <w:rFonts w:ascii="宋体" w:hAnsi="宋体" w:eastAsia="宋体" w:cs="宋体"/>
                <w:color w:val="000000"/>
                <w:kern w:val="0"/>
              </w:rPr>
              <w:t>实木1.5m</w:t>
            </w:r>
            <w:r>
              <w:rPr>
                <w:rFonts w:ascii="Times New Roman" w:hAnsi="Times New Roman" w:eastAsia="宋体" w:cs="Times New Roman"/>
                <w:color w:val="000000"/>
                <w:kern w:val="0"/>
              </w:rPr>
              <w:t>×</w:t>
            </w:r>
            <w:r>
              <w:rPr>
                <w:rFonts w:ascii="宋体" w:hAnsi="宋体" w:eastAsia="宋体" w:cs="宋体"/>
                <w:color w:val="000000"/>
                <w:kern w:val="0"/>
              </w:rPr>
              <w:t>1.2m</w:t>
            </w:r>
            <w:r>
              <w:rPr>
                <w:rFonts w:ascii="Times New Roman" w:hAnsi="Times New Roman" w:eastAsia="宋体" w:cs="Times New Roman"/>
                <w:color w:val="000000"/>
                <w:kern w:val="0"/>
              </w:rPr>
              <w:t>×</w:t>
            </w:r>
            <w:r>
              <w:rPr>
                <w:rFonts w:ascii="宋体" w:hAnsi="宋体" w:eastAsia="宋体" w:cs="宋体"/>
                <w:color w:val="000000"/>
                <w:kern w:val="0"/>
              </w:rPr>
              <w:t>0.025m</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0.025</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70</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800</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188132.6 </w:t>
            </w:r>
          </w:p>
        </w:tc>
        <w:tc>
          <w:tcPr>
            <w:tcW w:w="18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6719.0 </w:t>
            </w: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5375.2 </w:t>
            </w:r>
          </w:p>
        </w:tc>
      </w:tr>
    </w:tbl>
    <w:p>
      <w:pPr>
        <w:widowControl/>
        <w:adjustRightInd w:val="0"/>
        <w:snapToGrid w:val="0"/>
        <w:jc w:val="center"/>
        <w:rPr>
          <w:rFonts w:ascii="宋体" w:hAnsi="宋体" w:eastAsia="宋体" w:cs="宋体"/>
          <w:color w:val="000000"/>
          <w:kern w:val="0"/>
          <w:sz w:val="22"/>
          <w:szCs w:val="22"/>
        </w:rPr>
      </w:pPr>
    </w:p>
    <w:p>
      <w:pPr>
        <w:sectPr>
          <w:pgSz w:w="16838" w:h="11906" w:orient="landscape"/>
          <w:pgMar w:top="1531" w:right="1701" w:bottom="1531" w:left="1701" w:header="851" w:footer="851" w:gutter="0"/>
          <w:cols w:space="720" w:num="1"/>
          <w:docGrid w:linePitch="312" w:charSpace="0"/>
        </w:sectPr>
      </w:pPr>
    </w:p>
    <w:tbl>
      <w:tblPr>
        <w:tblStyle w:val="88"/>
        <w:tblW w:w="9231" w:type="dxa"/>
        <w:jc w:val="center"/>
        <w:tblInd w:w="0" w:type="dxa"/>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731"/>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0" w:type="dxa"/>
            <w:vAlign w:val="center"/>
          </w:tcPr>
          <w:p>
            <w:pPr>
              <w:pStyle w:val="81"/>
              <w:widowControl w:val="0"/>
              <w:adjustRightInd w:val="0"/>
              <w:snapToGrid w:val="0"/>
              <w:spacing w:beforeAutospacing="0" w:after="0" w:afterAutospacing="0"/>
              <w:jc w:val="center"/>
              <w:rPr>
                <w:rFonts w:cs="宋体"/>
                <w:sz w:val="21"/>
                <w:szCs w:val="21"/>
              </w:rPr>
            </w:pPr>
            <w:r>
              <w:rPr>
                <w:rFonts w:hint="eastAsia" w:cs="宋体"/>
              </w:rPr>
              <w:t>建设内容</w:t>
            </w:r>
          </w:p>
        </w:tc>
        <w:tc>
          <w:tcPr>
            <w:tcW w:w="8731" w:type="dxa"/>
            <w:noWrap/>
            <w:vAlign w:val="center"/>
          </w:tcPr>
          <w:p>
            <w:pPr>
              <w:pStyle w:val="6"/>
              <w:keepNext w:val="0"/>
              <w:keepLines w:val="0"/>
              <w:widowControl w:val="0"/>
            </w:pPr>
            <w:r>
              <w:rPr>
                <w:rFonts w:hint="eastAsia"/>
              </w:rPr>
              <w:t>2.8厂区平面布置</w:t>
            </w:r>
          </w:p>
          <w:p>
            <w:pPr>
              <w:pStyle w:val="160"/>
              <w:ind w:firstLine="480"/>
              <w:rPr>
                <w:rFonts w:ascii="宋体" w:hAnsi="宋体"/>
                <w:bCs/>
                <w:szCs w:val="22"/>
              </w:rPr>
            </w:pPr>
            <w:r>
              <w:rPr>
                <w:rFonts w:hint="eastAsia"/>
              </w:rPr>
              <w:t>扩建项目位于重庆市铜梁工业园区姜家岩工业小区，UV涂装线设置于7#厂房1F，木工加工设置于7#厂房2F、4F及8#厂房1F，涂装线喷漆房设置于7#厂房3F、白胚打磨及油墨设置于8#厂房2F，组装车间设置于8#厂房3F。厂房内各部分功能明确，便于生产运输。扩建项目中央除尘系统设置于厂房东南侧远离北侧敏感点位置，涂装废气处理设施设置于厂房南侧远离北侧敏感点位置，废气处理设施尽可能的远离了北侧大气环境保护目标，降低了废气排放对其的影响。</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0" w:type="dxa"/>
            <w:vAlign w:val="center"/>
          </w:tcPr>
          <w:p>
            <w:pPr>
              <w:pStyle w:val="81"/>
              <w:widowControl w:val="0"/>
              <w:adjustRightInd w:val="0"/>
              <w:snapToGrid w:val="0"/>
              <w:spacing w:beforeAutospacing="0" w:after="0" w:afterAutospacing="0"/>
              <w:jc w:val="center"/>
              <w:rPr>
                <w:rFonts w:cs="宋体"/>
                <w:sz w:val="21"/>
                <w:szCs w:val="21"/>
              </w:rPr>
            </w:pPr>
            <w:r>
              <w:rPr>
                <w:rFonts w:hint="eastAsia" w:cs="宋体"/>
              </w:rPr>
              <w:t>工艺流程和产排污环节</w:t>
            </w:r>
          </w:p>
        </w:tc>
        <w:tc>
          <w:tcPr>
            <w:tcW w:w="8731" w:type="dxa"/>
            <w:noWrap/>
            <w:vAlign w:val="center"/>
          </w:tcPr>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2.9</w:t>
            </w:r>
            <w:r>
              <w:rPr>
                <w:rFonts w:ascii="宋体" w:hAnsi="宋体"/>
                <w:bCs w:val="0"/>
                <w:sz w:val="24"/>
                <w:szCs w:val="22"/>
              </w:rPr>
              <w:t>工艺流程和产排污环节</w:t>
            </w:r>
          </w:p>
          <w:p>
            <w:pPr>
              <w:pStyle w:val="3"/>
              <w:tabs>
                <w:tab w:val="left" w:pos="269"/>
                <w:tab w:val="left" w:pos="371"/>
                <w:tab w:val="left" w:pos="432"/>
              </w:tabs>
              <w:adjustRightInd w:val="0"/>
              <w:jc w:val="left"/>
              <w:rPr>
                <w:rFonts w:ascii="宋体" w:hAnsi="宋体"/>
                <w:bCs w:val="0"/>
                <w:sz w:val="24"/>
                <w:szCs w:val="22"/>
              </w:rPr>
            </w:pPr>
            <w:bookmarkStart w:id="21" w:name="OLE_LINK9"/>
            <w:r>
              <w:rPr>
                <w:rFonts w:hint="eastAsia" w:ascii="宋体" w:hAnsi="宋体"/>
                <w:bCs w:val="0"/>
                <w:sz w:val="24"/>
                <w:szCs w:val="22"/>
              </w:rPr>
              <w:t>2.9.1喷涂家具</w:t>
            </w:r>
          </w:p>
          <w:bookmarkEnd w:id="21"/>
          <w:p>
            <w:pPr>
              <w:tabs>
                <w:tab w:val="left" w:pos="735"/>
              </w:tabs>
              <w:ind w:firstLine="480"/>
              <w:jc w:val="center"/>
            </w:pPr>
          </w:p>
          <w:p>
            <w:pPr>
              <w:pStyle w:val="160"/>
              <w:spacing w:line="240" w:lineRule="auto"/>
              <w:ind w:firstLine="0" w:firstLineChars="0"/>
              <w:jc w:val="center"/>
            </w:pPr>
            <w:r>
              <w:object>
                <v:shape id="_x0000_i1029" o:spt="75" type="#_x0000_t75" style="height:333.65pt;width:427.4pt;" o:ole="t" filled="f" o:preferrelative="t" stroked="f" coordsize="21600,21600">
                  <v:path/>
                  <v:fill on="f" focussize="0,0"/>
                  <v:stroke on="f" joinstyle="miter"/>
                  <v:imagedata r:id="rId24" o:title=""/>
                  <o:lock v:ext="edit" aspectratio="t"/>
                  <w10:wrap type="none"/>
                  <w10:anchorlock/>
                </v:shape>
                <o:OLEObject Type="Embed" ProgID="AutoCAD.Drawing.19" ShapeID="_x0000_i1029" DrawAspect="Content" ObjectID="_1468075729" r:id="rId23">
                  <o:LockedField>false</o:LockedField>
                </o:OLEObject>
              </w:object>
            </w:r>
          </w:p>
          <w:p>
            <w:pPr>
              <w:pStyle w:val="164"/>
            </w:pPr>
            <w:r>
              <w:rPr>
                <w:rFonts w:hint="eastAsia"/>
              </w:rPr>
              <w:t>图2.9-1  营运期喷涂家具工艺流程及产污环节图</w:t>
            </w:r>
          </w:p>
          <w:p>
            <w:pPr>
              <w:pStyle w:val="4076"/>
              <w:numPr>
                <w:ilvl w:val="0"/>
                <w:numId w:val="4"/>
              </w:numPr>
              <w:ind w:firstLine="480"/>
            </w:pPr>
            <w:r>
              <w:rPr>
                <w:rFonts w:hint="eastAsia"/>
              </w:rPr>
              <w:t>开料</w:t>
            </w:r>
          </w:p>
          <w:p>
            <w:pPr>
              <w:pStyle w:val="160"/>
              <w:ind w:firstLine="480"/>
            </w:pPr>
            <w:r>
              <w:rPr>
                <w:rFonts w:hint="eastAsia"/>
              </w:rPr>
              <w:t>按设计尺寸，用开料机设备进行开料，起到定长、定宽的目的；用平刨、压刨机对开料板材进行平压刨，起到定厚的目的。从而得到柜门、柜体板。该工序会产生一定量的开料边角料（S1）、开料废气（G1）及噪声（N1）。</w:t>
            </w:r>
          </w:p>
          <w:p>
            <w:pPr>
              <w:pStyle w:val="4076"/>
              <w:ind w:firstLine="480"/>
            </w:pPr>
            <w:r>
              <w:rPr>
                <w:rFonts w:hint="eastAsia"/>
              </w:rPr>
              <w:t>（2）拼板</w:t>
            </w:r>
          </w:p>
          <w:p>
            <w:pPr>
              <w:pStyle w:val="160"/>
              <w:ind w:firstLine="480"/>
            </w:pPr>
            <w:r>
              <w:rPr>
                <w:rFonts w:hint="eastAsia"/>
              </w:rPr>
              <w:t>部分不符合厚度要求的板材需进行拼板。其工艺是将多块板材涂上乳白胶后采用拼板夹进行拼板，此过程为常温下进行，只会产生少量有机废气。该工序有废胶桶（S2）、拼板废气（G</w:t>
            </w:r>
            <w:r>
              <w:t>2</w:t>
            </w:r>
            <w:r>
              <w:rPr>
                <w:rFonts w:hint="eastAsia"/>
              </w:rPr>
              <w:t>）产生。</w:t>
            </w:r>
          </w:p>
          <w:p>
            <w:pPr>
              <w:pStyle w:val="4076"/>
              <w:ind w:firstLine="480"/>
            </w:pPr>
            <w:r>
              <w:rPr>
                <w:rFonts w:hint="eastAsia"/>
              </w:rPr>
              <w:t>（3）裁边</w:t>
            </w:r>
          </w:p>
          <w:p>
            <w:pPr>
              <w:pStyle w:val="160"/>
              <w:ind w:firstLine="480"/>
            </w:pPr>
            <w:r>
              <w:rPr>
                <w:rFonts w:hint="eastAsia"/>
              </w:rPr>
              <w:t>人工用推台锯将柜门和柜体按尺寸进行进一步修整，使板材尺寸更加精确。该工序会产生一定量的裁边废气（G</w:t>
            </w:r>
            <w:r>
              <w:t>3</w:t>
            </w:r>
            <w:r>
              <w:rPr>
                <w:rFonts w:hint="eastAsia"/>
              </w:rPr>
              <w:t>）、裁边边角料（S</w:t>
            </w:r>
            <w:r>
              <w:t>3</w:t>
            </w:r>
            <w:r>
              <w:rPr>
                <w:rFonts w:hint="eastAsia"/>
              </w:rPr>
              <w:t>）、噪声（N2）。</w:t>
            </w:r>
          </w:p>
          <w:p>
            <w:pPr>
              <w:pStyle w:val="4076"/>
              <w:ind w:firstLine="480"/>
              <w:rPr>
                <w:rFonts w:asciiTheme="minorEastAsia" w:hAnsiTheme="minorEastAsia" w:eastAsiaTheme="minorEastAsia"/>
              </w:rPr>
            </w:pPr>
            <w:r>
              <w:rPr>
                <w:rFonts w:hint="eastAsia"/>
              </w:rPr>
              <w:t>（4）</w:t>
            </w:r>
            <w:r>
              <w:rPr>
                <w:rFonts w:hint="eastAsia" w:asciiTheme="minorEastAsia" w:hAnsiTheme="minorEastAsia" w:eastAsiaTheme="minorEastAsia"/>
              </w:rPr>
              <w:t>砂光</w:t>
            </w:r>
          </w:p>
          <w:p>
            <w:pPr>
              <w:pStyle w:val="160"/>
              <w:ind w:firstLine="480"/>
              <w:rPr>
                <w:rFonts w:asciiTheme="minorEastAsia" w:hAnsiTheme="minorEastAsia" w:eastAsiaTheme="minorEastAsia"/>
                <w:color w:val="000000"/>
              </w:rPr>
            </w:pPr>
            <w:r>
              <w:rPr>
                <w:rFonts w:hint="eastAsia" w:asciiTheme="minorEastAsia" w:hAnsiTheme="minorEastAsia" w:eastAsiaTheme="minorEastAsia"/>
                <w:color w:val="000000"/>
              </w:rPr>
              <w:t>用砂光机对木板正、反两面进行砂光，使木板表面平整。该工序会产生一定量的砂光废气（G</w:t>
            </w:r>
            <w:r>
              <w:rPr>
                <w:rFonts w:asciiTheme="minorEastAsia" w:hAnsiTheme="minorEastAsia" w:eastAsiaTheme="minorEastAsia"/>
                <w:color w:val="000000"/>
              </w:rPr>
              <w:t>4</w:t>
            </w:r>
            <w:r>
              <w:rPr>
                <w:rFonts w:hint="eastAsia" w:asciiTheme="minorEastAsia" w:hAnsiTheme="minorEastAsia" w:eastAsiaTheme="minorEastAsia"/>
                <w:color w:val="000000"/>
              </w:rPr>
              <w:t>）、噪声（N3）。</w:t>
            </w:r>
          </w:p>
          <w:p>
            <w:pPr>
              <w:pStyle w:val="4076"/>
              <w:ind w:firstLine="480"/>
              <w:rPr>
                <w:rFonts w:asciiTheme="minorEastAsia" w:hAnsiTheme="minorEastAsia" w:eastAsiaTheme="minorEastAsia"/>
              </w:rPr>
            </w:pPr>
            <w:r>
              <w:rPr>
                <w:rFonts w:hint="eastAsia"/>
              </w:rPr>
              <w:t>（5）</w:t>
            </w:r>
            <w:r>
              <w:rPr>
                <w:rFonts w:hint="eastAsia" w:asciiTheme="minorEastAsia" w:hAnsiTheme="minorEastAsia" w:eastAsiaTheme="minorEastAsia"/>
              </w:rPr>
              <w:t>砂纸打磨</w:t>
            </w:r>
          </w:p>
          <w:p>
            <w:pPr>
              <w:pStyle w:val="160"/>
              <w:ind w:firstLine="480"/>
              <w:rPr>
                <w:rFonts w:asciiTheme="minorEastAsia" w:hAnsiTheme="minorEastAsia" w:eastAsiaTheme="minorEastAsia"/>
              </w:rPr>
            </w:pPr>
            <w:r>
              <w:rPr>
                <w:rFonts w:hint="eastAsia" w:asciiTheme="minorEastAsia" w:hAnsiTheme="minorEastAsia" w:eastAsiaTheme="minorEastAsia"/>
              </w:rPr>
              <w:t>人工用砂纸对木板在砂光工序产生的毛刺进行进一步打磨，使其光滑、平整。该工序产生一定量的木粉（S</w:t>
            </w:r>
            <w:r>
              <w:rPr>
                <w:rFonts w:asciiTheme="minorEastAsia" w:hAnsiTheme="minorEastAsia" w:eastAsiaTheme="minorEastAsia"/>
              </w:rPr>
              <w:t>4</w:t>
            </w:r>
            <w:r>
              <w:rPr>
                <w:rFonts w:hint="eastAsia" w:asciiTheme="minorEastAsia" w:hAnsiTheme="minorEastAsia" w:eastAsiaTheme="minorEastAsia"/>
              </w:rPr>
              <w:t>）、废砂纸（S</w:t>
            </w:r>
            <w:r>
              <w:rPr>
                <w:rFonts w:asciiTheme="minorEastAsia" w:hAnsiTheme="minorEastAsia" w:eastAsiaTheme="minorEastAsia"/>
              </w:rPr>
              <w:t>5</w:t>
            </w:r>
            <w:r>
              <w:rPr>
                <w:rFonts w:hint="eastAsia" w:asciiTheme="minorEastAsia" w:hAnsiTheme="minorEastAsia" w:eastAsiaTheme="minorEastAsia"/>
              </w:rPr>
              <w:t>）、砂纸打磨废气（G5）。</w:t>
            </w:r>
          </w:p>
          <w:p>
            <w:pPr>
              <w:pStyle w:val="4076"/>
              <w:ind w:firstLine="480"/>
              <w:rPr>
                <w:rFonts w:asciiTheme="minorEastAsia" w:hAnsiTheme="minorEastAsia" w:eastAsiaTheme="minorEastAsia"/>
              </w:rPr>
            </w:pPr>
            <w:r>
              <w:rPr>
                <w:rFonts w:hint="eastAsia"/>
              </w:rPr>
              <w:t>（6）</w:t>
            </w:r>
            <w:r>
              <w:rPr>
                <w:rFonts w:hint="eastAsia" w:asciiTheme="minorEastAsia" w:hAnsiTheme="minorEastAsia" w:eastAsiaTheme="minorEastAsia"/>
              </w:rPr>
              <w:t>灰磨</w:t>
            </w:r>
          </w:p>
          <w:p>
            <w:pPr>
              <w:pStyle w:val="160"/>
              <w:ind w:firstLine="480"/>
              <w:rPr>
                <w:rFonts w:asciiTheme="minorEastAsia" w:hAnsiTheme="minorEastAsia" w:eastAsiaTheme="minorEastAsia"/>
              </w:rPr>
            </w:pPr>
            <w:r>
              <w:rPr>
                <w:rFonts w:hint="eastAsia" w:asciiTheme="minorEastAsia" w:hAnsiTheme="minorEastAsia" w:eastAsiaTheme="minorEastAsia"/>
              </w:rPr>
              <w:t>白坯</w:t>
            </w:r>
            <w:r>
              <w:rPr>
                <w:rFonts w:asciiTheme="minorEastAsia" w:hAnsiTheme="minorEastAsia" w:eastAsiaTheme="minorEastAsia"/>
              </w:rPr>
              <w:t>为进一步提高半成品的表面平整度，对半成品进行刮腻子，</w:t>
            </w:r>
            <w:r>
              <w:rPr>
                <w:rFonts w:hint="eastAsia" w:asciiTheme="minorEastAsia" w:hAnsiTheme="minorEastAsia" w:eastAsiaTheme="minorEastAsia"/>
              </w:rPr>
              <w:t>再用人工砂纸将</w:t>
            </w:r>
            <w:r>
              <w:rPr>
                <w:rFonts w:asciiTheme="minorEastAsia" w:hAnsiTheme="minorEastAsia" w:eastAsiaTheme="minorEastAsia"/>
              </w:rPr>
              <w:t>半成品</w:t>
            </w:r>
            <w:r>
              <w:rPr>
                <w:rFonts w:hint="eastAsia" w:asciiTheme="minorEastAsia" w:hAnsiTheme="minorEastAsia" w:eastAsiaTheme="minorEastAsia"/>
              </w:rPr>
              <w:t>表面打磨光滑，</w:t>
            </w:r>
            <w:r>
              <w:rPr>
                <w:rFonts w:asciiTheme="minorEastAsia" w:hAnsiTheme="minorEastAsia" w:eastAsiaTheme="minorEastAsia"/>
              </w:rPr>
              <w:t>以便于后续的喷漆工艺。该过程为人工操作，在环保</w:t>
            </w:r>
            <w:r>
              <w:rPr>
                <w:rFonts w:hint="eastAsia" w:asciiTheme="minorEastAsia" w:hAnsiTheme="minorEastAsia" w:eastAsiaTheme="minorEastAsia"/>
              </w:rPr>
              <w:t>白坯</w:t>
            </w:r>
            <w:r>
              <w:rPr>
                <w:rFonts w:asciiTheme="minorEastAsia" w:hAnsiTheme="minorEastAsia" w:eastAsiaTheme="minorEastAsia"/>
              </w:rPr>
              <w:t>间内进行。此工序产生</w:t>
            </w:r>
            <w:r>
              <w:rPr>
                <w:rFonts w:hint="eastAsia" w:asciiTheme="minorEastAsia" w:hAnsiTheme="minorEastAsia" w:eastAsiaTheme="minorEastAsia"/>
              </w:rPr>
              <w:t>灰磨废气（</w:t>
            </w:r>
            <w:r>
              <w:rPr>
                <w:rFonts w:asciiTheme="minorEastAsia" w:hAnsiTheme="minorEastAsia" w:eastAsiaTheme="minorEastAsia"/>
              </w:rPr>
              <w:t>G</w:t>
            </w:r>
            <w:r>
              <w:rPr>
                <w:rFonts w:hint="eastAsia" w:asciiTheme="minorEastAsia" w:hAnsiTheme="minorEastAsia" w:eastAsiaTheme="minorEastAsia"/>
              </w:rPr>
              <w:t>6）</w:t>
            </w:r>
            <w:r>
              <w:rPr>
                <w:rFonts w:asciiTheme="minorEastAsia" w:hAnsiTheme="minorEastAsia" w:eastAsiaTheme="minorEastAsia"/>
              </w:rPr>
              <w:t>、</w:t>
            </w:r>
            <w:r>
              <w:rPr>
                <w:rFonts w:hint="eastAsia" w:asciiTheme="minorEastAsia" w:hAnsiTheme="minorEastAsia" w:eastAsiaTheme="minorEastAsia"/>
              </w:rPr>
              <w:t>废包装（</w:t>
            </w:r>
            <w:r>
              <w:rPr>
                <w:rFonts w:asciiTheme="minorEastAsia" w:hAnsiTheme="minorEastAsia" w:eastAsiaTheme="minorEastAsia"/>
              </w:rPr>
              <w:t>S6</w:t>
            </w:r>
            <w:r>
              <w:rPr>
                <w:rFonts w:hint="eastAsia" w:asciiTheme="minorEastAsia" w:hAnsiTheme="minorEastAsia" w:eastAsiaTheme="minorEastAsia"/>
              </w:rPr>
              <w:t>）、废胶桶（</w:t>
            </w:r>
            <w:r>
              <w:rPr>
                <w:rFonts w:asciiTheme="minorEastAsia" w:hAnsiTheme="minorEastAsia" w:eastAsiaTheme="minorEastAsia"/>
              </w:rPr>
              <w:t>S7</w:t>
            </w:r>
            <w:r>
              <w:rPr>
                <w:rFonts w:hint="eastAsia" w:asciiTheme="minorEastAsia" w:hAnsiTheme="minorEastAsia" w:eastAsiaTheme="minorEastAsia"/>
              </w:rPr>
              <w:t>）及白坯喷淋除尘废水（W1）。</w:t>
            </w:r>
          </w:p>
          <w:p>
            <w:pPr>
              <w:pStyle w:val="4076"/>
              <w:ind w:firstLine="480"/>
            </w:pPr>
            <w:r>
              <w:rPr>
                <w:rFonts w:hint="eastAsia"/>
              </w:rPr>
              <w:t>（7）底漆水/油性漆涂装</w:t>
            </w:r>
          </w:p>
          <w:p>
            <w:pPr>
              <w:pStyle w:val="4076"/>
            </w:pPr>
            <w:r>
              <w:rPr>
                <w:rFonts w:hint="eastAsia"/>
              </w:rPr>
              <w:t>原项目为油性漆涂装、扩建项目为水性漆涂装，两种油漆涂装工艺一致，本次评价对水/油性漆涂合并进行介绍。</w:t>
            </w:r>
          </w:p>
          <w:p>
            <w:pPr>
              <w:pStyle w:val="160"/>
              <w:ind w:firstLine="480"/>
            </w:pPr>
            <w:r>
              <w:rPr>
                <w:rFonts w:hint="eastAsia"/>
              </w:rPr>
              <w:t>调漆：在底漆</w:t>
            </w:r>
            <w:r>
              <w:rPr>
                <w:rFonts w:hint="eastAsia" w:asciiTheme="minorEastAsia" w:hAnsiTheme="minorEastAsia" w:eastAsiaTheme="minorEastAsia" w:cstheme="minorEastAsia"/>
              </w:rPr>
              <w:t>调漆区进行调漆。水性底漆按水性漆：水=1：0.23的比例用搅拌器在桶内进行调漆，油性底漆按油漆：固化剂：稀释剂=1.8：0.6：0.8。油性漆调漆工序将产生少量的调漆废气（G15-1）、废油漆桶（S11）。</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喷漆：在底漆喷涂房内采用人工喷涂的方式对工件进行喷底漆，喷漆过程产生的废气采用侧吸罩进行收集。喷漆工序主要产生涂装废气（G9-1/2）。</w:t>
            </w:r>
          </w:p>
          <w:p>
            <w:pPr>
              <w:pStyle w:val="160"/>
              <w:ind w:firstLine="480"/>
              <w:rPr>
                <w:rFonts w:asciiTheme="minorEastAsia" w:hAnsiTheme="minorEastAsia" w:eastAsiaTheme="minorEastAsia" w:cstheme="minorEastAsia"/>
              </w:rPr>
            </w:pPr>
            <w:r>
              <w:rPr>
                <w:rFonts w:hint="eastAsia"/>
              </w:rPr>
              <w:t>烘/晾干：每次喷完底漆后的板材进入烘晾干房进行烘晾干（冬季需进行加热，加热方式为电加热）、水性漆涂装烘/晾干过程需开启除湿机，该工序主要产生底漆</w:t>
            </w:r>
            <w:r>
              <w:rPr>
                <w:rFonts w:hint="eastAsia" w:asciiTheme="minorEastAsia" w:hAnsiTheme="minorEastAsia" w:eastAsiaTheme="minorEastAsia" w:cstheme="minorEastAsia"/>
              </w:rPr>
              <w:t>晾/烘干废气（G10-1/2）。</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涂装废气采用湿式过滤+干式过滤+活性炭吸附浓缩+解析（催化燃烧）的处理工艺进行处理，处理后通过15m排气筒DA001高空排放（1#处理设施）；3#涂装废气采用“湿式过滤+干式过滤+活性炭吸附浓缩+解析（催化燃烧）”的处理工艺进行处理（3#处理设施），处理后通过15m排气筒DA007高空排放。</w:t>
            </w:r>
          </w:p>
          <w:p>
            <w:pPr>
              <w:pStyle w:val="4076"/>
              <w:ind w:firstLine="480"/>
              <w:rPr>
                <w:rFonts w:asciiTheme="minorEastAsia" w:hAnsiTheme="minorEastAsia" w:eastAsiaTheme="minorEastAsia" w:cstheme="minorEastAsia"/>
              </w:rPr>
            </w:pPr>
            <w:bookmarkStart w:id="22" w:name="_Hlk90848313"/>
            <w:r>
              <w:rPr>
                <w:rFonts w:hint="eastAsia" w:asciiTheme="minorEastAsia" w:hAnsiTheme="minorEastAsia" w:eastAsiaTheme="minorEastAsia" w:cstheme="minorEastAsia"/>
              </w:rPr>
              <w:t>（8）油磨</w:t>
            </w:r>
          </w:p>
          <w:bookmarkEnd w:id="22"/>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对烘晾干至漆膜稳定的柜门和柜体进行检查，用砂光机对不平整的漆面进行打磨，以利于后续面漆喷涂。该工序产生一定量的油磨粉尘（G11）。该过程为人工操作，在环保油磨间内进行、油磨粉尘（G11）通过打磨间自带的喷淋处理设施处理后无组织排放。此工序产生油磨粉尘（G11）及油磨喷淋除尘废水（W2）。</w:t>
            </w:r>
          </w:p>
          <w:p>
            <w:pPr>
              <w:pStyle w:val="4076"/>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（G9）修色</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油磨后，人工用喷枪使用底漆对少部分的木料上局部颜色较深的地方进行细节上的色差修色，修色过程主要产生有机废气（G12）。</w:t>
            </w:r>
          </w:p>
          <w:p>
            <w:pPr>
              <w:pStyle w:val="4076"/>
              <w:ind w:firstLine="480"/>
            </w:pPr>
            <w:r>
              <w:rPr>
                <w:rFonts w:hint="eastAsia" w:asciiTheme="minorEastAsia" w:hAnsiTheme="minorEastAsia" w:eastAsiaTheme="minorEastAsia" w:cstheme="minorEastAsia"/>
              </w:rPr>
              <w:t>（10）</w:t>
            </w:r>
            <w:r>
              <w:rPr>
                <w:rFonts w:hint="eastAsia"/>
              </w:rPr>
              <w:t>面漆水/油性漆涂装</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调漆：在面漆调漆区进行调漆。水性面漆按水性漆：水=1：0.23的比例用搅拌器在桶内进行调漆，油性面漆按油漆：固化剂：稀释剂=2.0：0.4：0.5。调漆工序将产生少量的有机废气（G15-2）、废油漆桶（S12）。</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喷漆：在面漆喷涂房内采用人工喷涂的方式对工件进行喷底漆，喷漆过程产生的废气采用侧吸罩进行收集。面漆喷漆工序主要产生涂装废气（G13-1/2）。</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烘/晾干：每次喷完底漆后的板材进入烘晾干房进行烘晾干（冬季需进行加热，加热方式为电加热）、水性漆涂装烘/晾干过程需开启除湿机，该工序主要产生面漆晾/烘干废气（G14-1/2）。</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线涂装废气采用湿式过滤+干式过滤+活性炭吸附浓缩+解析（催化燃烧）的处理工艺进行处理，处理后通过15m排气筒DA002高空排放（2#处理设施）；4#线涂装废气采用湿式过滤+干式过滤+活性炭吸附浓缩+解析（催化燃烧）的处理工艺进行处理（4#处理设施），处理后通过15m排气筒DA008高空排放。</w:t>
            </w:r>
          </w:p>
          <w:p>
            <w:pPr>
              <w:pStyle w:val="4076"/>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（11）UV涂装</w:t>
            </w:r>
          </w:p>
          <w:p>
            <w:pPr>
              <w:pStyle w:val="4076"/>
              <w:rPr>
                <w:rFonts w:asciiTheme="minorEastAsia" w:hAnsiTheme="minorEastAsia" w:eastAsiaTheme="minorEastAsia" w:cstheme="minorEastAsia"/>
              </w:rPr>
            </w:pPr>
            <w:r>
              <w:rPr>
                <w:rFonts w:hint="eastAsia" w:asciiTheme="minorEastAsia" w:hAnsiTheme="minorEastAsia" w:eastAsiaTheme="minorEastAsia" w:cstheme="minorEastAsia"/>
              </w:rPr>
              <w:t>扩建项目设置UV涂装线1条对表面无花纹及装饰的平板工件进行涂装，涂装方式为全自动淋涂工艺。UV原料漆为成品漆，不需要进行油漆调配，成品漆加入UV涂装线后由设备自带搅拌机对UV油漆进行搅拌、本次评价不对UV调漆废气进行分析。</w:t>
            </w:r>
          </w:p>
          <w:p>
            <w:pPr>
              <w:pStyle w:val="4076"/>
              <w:rPr>
                <w:rFonts w:asciiTheme="minorEastAsia" w:hAnsiTheme="minorEastAsia" w:eastAsiaTheme="minorEastAsia"/>
              </w:rPr>
            </w:pPr>
            <w:r>
              <w:rPr>
                <w:rFonts w:hint="eastAsia" w:asciiTheme="minorEastAsia" w:hAnsiTheme="minorEastAsia" w:eastAsiaTheme="minorEastAsia"/>
              </w:rPr>
              <w:t>①UV淋涂：将涂料贮存于高位槽中，通过喷嘴或窄缝从上方淋下，呈帘幕状淋在由传送装置带动的被涂物上，形成均匀涂膜，多余的涂料流回容器，通过泵送到高位槽循环使用。</w:t>
            </w:r>
          </w:p>
          <w:p>
            <w:pPr>
              <w:pStyle w:val="4076"/>
              <w:rPr>
                <w:rFonts w:ascii="宋体" w:hAnsi="宋体"/>
              </w:rPr>
            </w:pPr>
            <w:r>
              <w:rPr>
                <w:rFonts w:hint="eastAsia" w:ascii="宋体" w:hAnsi="宋体"/>
              </w:rPr>
              <w:t>②UV光固：淋涂完成后，工件表面的UV油漆尚处于低聚态聚合物，因此需采用UV紫外光灯对UV油漆进行光固化，其原理是利用UV紫外光的中、短波（300-800纳米）在辐射下，液态UV材料中的光引发剂受刺激变为自由基或阳离子，从而引发含活性官能团的高分子材料（树脂）聚合成固体涂膜的过程。</w:t>
            </w:r>
          </w:p>
          <w:p>
            <w:pPr>
              <w:pStyle w:val="4076"/>
              <w:rPr>
                <w:rFonts w:ascii="宋体" w:hAnsi="宋体"/>
              </w:rPr>
            </w:pPr>
            <w:r>
              <w:rPr>
                <w:rFonts w:hint="eastAsia" w:ascii="宋体" w:hAnsi="宋体"/>
              </w:rPr>
              <w:t>③由于UV油漆存在少量游离态聚合物单体，因此在淋涂及光固过程将产生少量的</w:t>
            </w:r>
            <w:r>
              <w:rPr>
                <w:rFonts w:ascii="宋体" w:hAnsi="宋体"/>
              </w:rPr>
              <w:t>UV涂装废气</w:t>
            </w:r>
            <w:r>
              <w:rPr>
                <w:rFonts w:hint="eastAsia" w:ascii="宋体" w:hAnsi="宋体"/>
              </w:rPr>
              <w:t>（G7）、废油桶（S8）及废紫外光灯（S9）。</w:t>
            </w:r>
            <w:r>
              <w:rPr>
                <w:rFonts w:ascii="宋体" w:hAnsi="宋体"/>
              </w:rPr>
              <w:t>UV涂装废气</w:t>
            </w:r>
            <w:r>
              <w:rPr>
                <w:rFonts w:hint="eastAsia" w:ascii="宋体" w:hAnsi="宋体"/>
              </w:rPr>
              <w:t>（G7）经收集后进入2#涂装废气处理设施进行处理，处理后通过15m排气筒DA002高空排放。</w:t>
            </w:r>
          </w:p>
          <w:p>
            <w:pPr>
              <w:pStyle w:val="4076"/>
              <w:rPr>
                <w:rFonts w:asciiTheme="minorEastAsia" w:hAnsiTheme="minorEastAsia" w:eastAsiaTheme="minorEastAsia" w:cstheme="minorEastAsia"/>
              </w:rPr>
            </w:pPr>
            <w:r>
              <w:rPr>
                <w:rFonts w:hint="eastAsia" w:ascii="宋体" w:hAnsi="宋体"/>
              </w:rPr>
              <w:t>④打磨：UV</w:t>
            </w:r>
            <w:r>
              <w:rPr>
                <w:rFonts w:hint="eastAsia" w:asciiTheme="minorEastAsia" w:hAnsiTheme="minorEastAsia" w:eastAsiaTheme="minorEastAsia" w:cstheme="minorEastAsia"/>
              </w:rPr>
              <w:t>光固后漆膜表面会存在少量毛刺及不平整位置，采用设备自带的打磨机对工件表面毛刺及不平整位置进行打磨，打磨过程将产生UV打磨废气（G8）及漆粉（S10），UV打磨废气（G8）进入设备自带的除尘器处理后车间无组织排放、处理工艺为布袋除尘器。</w:t>
            </w:r>
          </w:p>
          <w:p>
            <w:pPr>
              <w:pStyle w:val="4076"/>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⑤洗枪</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喷枪、输漆管道使用后需要进行清洗。</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扩建项目喷涂水性漆料后喷枪、输漆管道清洗均用自来水清洗，每天喷漆工作结束时，工人在喷漆工位现场用自来水对喷枪进行清洗，喷枪清洗过程中产生的洗枪废水量较小，清洗后废水排入水帘系统循环水池，此过程会产生喷枪清洗废水（W3）。</w:t>
            </w:r>
          </w:p>
          <w:p>
            <w:pPr>
              <w:pStyle w:val="160"/>
              <w:ind w:firstLine="480"/>
            </w:pPr>
            <w:r>
              <w:rPr>
                <w:rFonts w:hint="eastAsia" w:asciiTheme="minorEastAsia" w:hAnsiTheme="minorEastAsia" w:eastAsiaTheme="minorEastAsia" w:cstheme="minorEastAsia"/>
              </w:rPr>
              <w:t>油性喷枪洗枪采用在线洗枪的方式进行洗枪，其洗枪方式为喷枪朝向稀释剂收集桶喷出稀释剂，稀释剂收集</w:t>
            </w:r>
            <w:r>
              <w:rPr>
                <w:rFonts w:hint="eastAsia"/>
              </w:rPr>
              <w:t>进桶之后回用于调漆。由于每一批次家具几乎为同一颜色，涂装过程中几乎不涉及换色。因此洗枪频次较低。根据业主提供资料，洗枪频次分别为8</w:t>
            </w:r>
            <w:r>
              <w:t>次/d，单次洗枪稀释剂用量为1000ml/次。</w:t>
            </w:r>
          </w:p>
          <w:p>
            <w:pPr>
              <w:pStyle w:val="160"/>
              <w:ind w:firstLine="480"/>
              <w:rPr>
                <w:rFonts w:asciiTheme="minorEastAsia" w:hAnsiTheme="minorEastAsia" w:eastAsiaTheme="minorEastAsia" w:cstheme="minorEastAsia"/>
              </w:rPr>
            </w:pPr>
            <w:r>
              <w:rPr>
                <w:rFonts w:hint="eastAsia"/>
              </w:rPr>
              <w:t>油性洗枪过程中将产生</w:t>
            </w:r>
            <w:r>
              <w:rPr>
                <w:rFonts w:hint="eastAsia" w:asciiTheme="minorEastAsia" w:hAnsiTheme="minorEastAsia" w:eastAsiaTheme="minorEastAsia" w:cstheme="minorEastAsia"/>
              </w:rPr>
              <w:t>洗枪废气（G16），洗枪方式为在线洗枪，分别进入各个涂装对应废气处理设施进行处理。</w:t>
            </w:r>
          </w:p>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2.9.2免漆板式家具生产工艺流程简述：</w:t>
            </w:r>
          </w:p>
          <w:p>
            <w:pPr>
              <w:pStyle w:val="4075"/>
              <w:ind w:firstLine="0"/>
              <w:jc w:val="center"/>
            </w:pPr>
            <w:r>
              <w:object>
                <v:shape id="_x0000_i1030" o:spt="75" type="#_x0000_t75" style="height:96.05pt;width:426pt;" o:ole="t" filled="f" o:preferrelative="t" stroked="f" coordsize="21600,21600">
                  <v:path/>
                  <v:fill on="f" focussize="0,0"/>
                  <v:stroke on="f" joinstyle="miter"/>
                  <v:imagedata r:id="rId26" o:title=""/>
                  <o:lock v:ext="edit" aspectratio="t"/>
                  <w10:wrap type="none"/>
                  <w10:anchorlock/>
                </v:shape>
                <o:OLEObject Type="Embed" ProgID="AutoCAD.Drawing.19" ShapeID="_x0000_i1030" DrawAspect="Content" ObjectID="_1468075730" r:id="rId25">
                  <o:LockedField>false</o:LockedField>
                </o:OLEObject>
              </w:object>
            </w:r>
            <w:r>
              <w:rPr>
                <w:rFonts w:hint="eastAsia"/>
              </w:rPr>
              <w:t>图2.9-2  营运期免漆板式家具工艺流程及产污环节图</w:t>
            </w:r>
          </w:p>
          <w:p>
            <w:pPr>
              <w:pStyle w:val="4076"/>
              <w:numPr>
                <w:ilvl w:val="0"/>
                <w:numId w:val="5"/>
              </w:numPr>
            </w:pPr>
            <w:r>
              <w:rPr>
                <w:rFonts w:hint="eastAsia"/>
              </w:rPr>
              <w:t>开料</w:t>
            </w:r>
          </w:p>
          <w:p>
            <w:pPr>
              <w:pStyle w:val="160"/>
              <w:ind w:firstLine="480"/>
            </w:pPr>
            <w:r>
              <w:rPr>
                <w:rFonts w:hint="eastAsia"/>
              </w:rPr>
              <w:t>按照需要的尺寸、规格和质量要求，用开料机将板材进行定长、定宽切割开料，得到柜门和柜体板所需尺寸和形状的半成品。此过程中会产生一定量的开料边角料（S1）、开料废气（G</w:t>
            </w:r>
            <w:r>
              <w:t>1</w:t>
            </w:r>
            <w:r>
              <w:rPr>
                <w:rFonts w:hint="eastAsia"/>
              </w:rPr>
              <w:t>7）及噪声（N1）。</w:t>
            </w:r>
          </w:p>
          <w:p>
            <w:pPr>
              <w:pStyle w:val="4076"/>
              <w:numPr>
                <w:ilvl w:val="0"/>
                <w:numId w:val="5"/>
              </w:numPr>
            </w:pPr>
            <w:r>
              <w:rPr>
                <w:rFonts w:hint="eastAsia"/>
              </w:rPr>
              <w:t>封边</w:t>
            </w:r>
          </w:p>
          <w:p>
            <w:pPr>
              <w:pStyle w:val="160"/>
              <w:ind w:firstLine="480"/>
            </w:pPr>
            <w:r>
              <w:rPr>
                <w:rFonts w:hint="eastAsia"/>
              </w:rPr>
              <w:t>采用封边条进行封边操作，以覆盖板材切割面，达到产品美观作用。封边采用全自动封边机完成，半成品通过封边机依次进行涂胶、封边、压紧、精修等处理后完成封边操作，电加热至1</w:t>
            </w:r>
            <w:r>
              <w:t>9</w:t>
            </w:r>
            <w:r>
              <w:rPr>
                <w:rFonts w:hint="eastAsia"/>
              </w:rPr>
              <w:t>0℃~</w:t>
            </w:r>
            <w:r>
              <w:t>21</w:t>
            </w:r>
            <w:r>
              <w:rPr>
                <w:rFonts w:hint="eastAsia"/>
              </w:rPr>
              <w:t>0℃。扩建项目封边使用热熔胶采用环保无毒性，100%固体可溶性聚合物，无有机溶剂成分，但固体可溶性聚合物仍会因高温挥发产生少量的有机废气。此过程中会产生封边废气（G</w:t>
            </w:r>
            <w:r>
              <w:t>1</w:t>
            </w:r>
            <w:r>
              <w:rPr>
                <w:rFonts w:hint="eastAsia"/>
              </w:rPr>
              <w:t>8）、废热熔胶（S16）、废封边条（S17）。</w:t>
            </w:r>
          </w:p>
          <w:p>
            <w:pPr>
              <w:pStyle w:val="4076"/>
              <w:numPr>
                <w:ilvl w:val="0"/>
                <w:numId w:val="5"/>
              </w:numPr>
            </w:pPr>
            <w:r>
              <w:rPr>
                <w:rFonts w:hint="eastAsia"/>
              </w:rPr>
              <w:t>切槽</w:t>
            </w:r>
          </w:p>
          <w:p>
            <w:pPr>
              <w:pStyle w:val="160"/>
              <w:ind w:firstLine="480"/>
            </w:pPr>
            <w:r>
              <w:rPr>
                <w:rFonts w:hint="eastAsia"/>
              </w:rPr>
              <w:t>用木工铣床对部分柜体板进行切槽，此过程中会产生一定量切槽边角料（S18）。</w:t>
            </w:r>
          </w:p>
          <w:p>
            <w:pPr>
              <w:pStyle w:val="4076"/>
              <w:numPr>
                <w:ilvl w:val="0"/>
                <w:numId w:val="5"/>
              </w:numPr>
            </w:pPr>
            <w:r>
              <w:rPr>
                <w:rFonts w:hint="eastAsia"/>
              </w:rPr>
              <w:t>钻孔</w:t>
            </w:r>
          </w:p>
          <w:p>
            <w:pPr>
              <w:pStyle w:val="160"/>
              <w:ind w:firstLine="480"/>
            </w:pPr>
            <w:r>
              <w:rPr>
                <w:rFonts w:hint="eastAsia"/>
              </w:rPr>
              <w:t>采用数控六面钻对柜门和柜体板进行钻孔。该工序会产生一定量的钻孔边角料（S19）、钻孔废气（G</w:t>
            </w:r>
            <w:r>
              <w:t>1</w:t>
            </w:r>
            <w:r>
              <w:rPr>
                <w:rFonts w:hint="eastAsia"/>
              </w:rPr>
              <w:t>9）。</w:t>
            </w:r>
          </w:p>
          <w:p>
            <w:pPr>
              <w:pStyle w:val="4076"/>
              <w:numPr>
                <w:ilvl w:val="0"/>
                <w:numId w:val="5"/>
              </w:numPr>
            </w:pPr>
            <w:r>
              <w:rPr>
                <w:rFonts w:hint="eastAsia"/>
              </w:rPr>
              <w:t>试装</w:t>
            </w:r>
          </w:p>
          <w:p>
            <w:pPr>
              <w:pStyle w:val="160"/>
              <w:ind w:firstLine="480"/>
            </w:pPr>
            <w:r>
              <w:rPr>
                <w:rFonts w:hint="eastAsia"/>
              </w:rPr>
              <w:t>对完成钻孔的柜门和柜体板进行试装，检查钻孔是否能顺利进行拼装，若不能顺利拼装，则返回上一步工序继续钻孔，直到钻孔板材能顺利试装为止。</w:t>
            </w:r>
          </w:p>
          <w:p>
            <w:pPr>
              <w:pStyle w:val="4076"/>
              <w:numPr>
                <w:ilvl w:val="0"/>
                <w:numId w:val="5"/>
              </w:numPr>
            </w:pPr>
            <w:r>
              <w:rPr>
                <w:rFonts w:hint="eastAsia"/>
              </w:rPr>
              <w:t>包装入库</w:t>
            </w:r>
          </w:p>
          <w:p>
            <w:pPr>
              <w:pStyle w:val="160"/>
              <w:ind w:firstLine="480"/>
            </w:pPr>
            <w:r>
              <w:rPr>
                <w:rFonts w:hint="eastAsia"/>
              </w:rPr>
              <w:t>对组装好的免漆板式家具进行人工包装、入库，放入成品库房暂存。</w:t>
            </w:r>
          </w:p>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2.9.3环保设施</w:t>
            </w:r>
          </w:p>
          <w:p>
            <w:pPr>
              <w:pStyle w:val="160"/>
              <w:ind w:firstLine="480"/>
              <w:rPr>
                <w:rFonts w:asciiTheme="minorEastAsia" w:hAnsiTheme="minorEastAsia" w:eastAsiaTheme="minorEastAsia"/>
              </w:rPr>
            </w:pPr>
            <w:r>
              <w:rPr>
                <w:rFonts w:hint="eastAsia"/>
              </w:rPr>
              <w:t>（1）</w:t>
            </w:r>
            <w:r>
              <w:rPr>
                <w:rFonts w:hint="eastAsia" w:asciiTheme="minorEastAsia" w:hAnsiTheme="minorEastAsia" w:eastAsiaTheme="minorEastAsia"/>
              </w:rPr>
              <w:t>涂装废气处理设施：油性漆涂装废气、UV漆涂装废气、水性漆涂装废气采用湿式过滤+干式过滤+活性炭吸附浓缩+解析（催化燃烧）的处理工艺进行处理，其中解析（催化燃烧）热源采用电加热。涂装废气处理设施在运行过程中将产生废活性炭（</w:t>
            </w:r>
            <w:r>
              <w:rPr>
                <w:rFonts w:asciiTheme="minorEastAsia" w:hAnsiTheme="minorEastAsia" w:eastAsiaTheme="minorEastAsia"/>
              </w:rPr>
              <w:t>S13）、废催化剂（S14）、废风琴纸（S15）、喷漆循环水</w:t>
            </w:r>
            <w:r>
              <w:rPr>
                <w:rFonts w:hint="eastAsia" w:asciiTheme="minorEastAsia" w:hAnsiTheme="minorEastAsia" w:eastAsiaTheme="minorEastAsia"/>
              </w:rPr>
              <w:t>（W6）。</w:t>
            </w:r>
          </w:p>
          <w:p>
            <w:pPr>
              <w:pStyle w:val="4075"/>
              <w:ind w:firstLine="0"/>
              <w:jc w:val="center"/>
            </w:pPr>
            <w:r>
              <w:object>
                <v:shape id="_x0000_i1031" o:spt="75" type="#_x0000_t75" style="height:112.4pt;width:421.95pt;" o:ole="t" filled="f" o:preferrelative="t" stroked="f" coordsize="21600,21600">
                  <v:path/>
                  <v:fill on="f" focussize="0,0"/>
                  <v:stroke on="f" joinstyle="miter"/>
                  <v:imagedata r:id="rId28" o:title=""/>
                  <o:lock v:ext="edit" aspectratio="t"/>
                  <w10:wrap type="none"/>
                  <w10:anchorlock/>
                </v:shape>
                <o:OLEObject Type="Embed" ProgID="AutoCAD.Drawing.19" ShapeID="_x0000_i1031" DrawAspect="Content" ObjectID="_1468075731" r:id="rId27">
                  <o:LockedField>false</o:LockedField>
                </o:OLEObject>
              </w:object>
            </w:r>
            <w:r>
              <w:rPr>
                <w:rFonts w:hint="eastAsia"/>
              </w:rPr>
              <w:t>图2.9-3  涂装废气处理流程及产污环节图</w:t>
            </w:r>
          </w:p>
          <w:p>
            <w:pPr>
              <w:pStyle w:val="160"/>
              <w:ind w:firstLine="480"/>
              <w:rPr>
                <w:rFonts w:asciiTheme="minorEastAsia" w:hAnsiTheme="minorEastAsia" w:eastAsiaTheme="minorEastAsia"/>
              </w:rPr>
            </w:pPr>
            <w:r>
              <w:rPr>
                <w:rFonts w:hint="eastAsia" w:asciiTheme="minorEastAsia" w:hAnsiTheme="minorEastAsia" w:eastAsiaTheme="minorEastAsia"/>
              </w:rPr>
              <w:t>（2）中央除尘器：扩建项目木工加工车间所产生的含尘废气经收集后通过中央除尘器处理后经15m排气筒高空排放。废气处理工艺采用布袋除尘器进行处理，处理过程中将产生除尘器木粉（S20）。</w:t>
            </w:r>
          </w:p>
          <w:p>
            <w:pPr>
              <w:pStyle w:val="160"/>
              <w:ind w:firstLine="480"/>
              <w:rPr>
                <w:rFonts w:asciiTheme="minorEastAsia" w:hAnsiTheme="minorEastAsia" w:eastAsiaTheme="minorEastAsia"/>
              </w:rPr>
            </w:pPr>
            <w:r>
              <w:rPr>
                <w:rFonts w:hint="eastAsia" w:asciiTheme="minorEastAsia" w:hAnsiTheme="minorEastAsia" w:eastAsiaTheme="minorEastAsia"/>
              </w:rPr>
              <w:t>（3）废水处理设施：</w:t>
            </w:r>
            <w:r>
              <w:rPr>
                <w:rFonts w:hint="eastAsia" w:asciiTheme="minorEastAsia" w:hAnsiTheme="minorEastAsia" w:eastAsiaTheme="minorEastAsia"/>
                <w:bCs/>
              </w:rPr>
              <w:t>扩建项目生产</w:t>
            </w:r>
            <w:r>
              <w:rPr>
                <w:rFonts w:hint="eastAsia" w:asciiTheme="minorEastAsia" w:hAnsiTheme="minorEastAsia" w:eastAsiaTheme="minorEastAsia"/>
                <w:spacing w:val="-1"/>
              </w:rPr>
              <w:t>废水</w:t>
            </w:r>
            <w:r>
              <w:rPr>
                <w:rFonts w:asciiTheme="minorEastAsia" w:hAnsiTheme="minorEastAsia" w:eastAsiaTheme="minorEastAsia"/>
              </w:rPr>
              <w:t>经</w:t>
            </w:r>
            <w:r>
              <w:rPr>
                <w:rFonts w:hint="eastAsia" w:asciiTheme="minorEastAsia" w:hAnsiTheme="minorEastAsia" w:eastAsiaTheme="minorEastAsia"/>
              </w:rPr>
              <w:t>废水</w:t>
            </w:r>
            <w:r>
              <w:rPr>
                <w:rFonts w:asciiTheme="minorEastAsia" w:hAnsiTheme="minorEastAsia" w:eastAsiaTheme="minorEastAsia"/>
              </w:rPr>
              <w:t>处理</w:t>
            </w:r>
            <w:r>
              <w:rPr>
                <w:rFonts w:hint="eastAsia" w:asciiTheme="minorEastAsia" w:hAnsiTheme="minorEastAsia" w:eastAsiaTheme="minorEastAsia"/>
              </w:rPr>
              <w:t>设施（处理工艺为“气浮</w:t>
            </w:r>
            <w:r>
              <w:rPr>
                <w:rFonts w:asciiTheme="minorEastAsia" w:hAnsiTheme="minorEastAsia" w:eastAsiaTheme="minorEastAsia"/>
              </w:rPr>
              <w:t>+</w:t>
            </w:r>
            <w:r>
              <w:rPr>
                <w:rFonts w:hint="eastAsia" w:asciiTheme="minorEastAsia" w:hAnsiTheme="minorEastAsia" w:eastAsiaTheme="minorEastAsia"/>
              </w:rPr>
              <w:t>沉淀”）</w:t>
            </w:r>
            <w:r>
              <w:rPr>
                <w:rFonts w:asciiTheme="minorEastAsia" w:hAnsiTheme="minorEastAsia" w:eastAsiaTheme="minorEastAsia"/>
              </w:rPr>
              <w:t>处理达</w:t>
            </w:r>
            <w:r>
              <w:rPr>
                <w:rFonts w:hint="eastAsia" w:asciiTheme="minorEastAsia" w:hAnsiTheme="minorEastAsia" w:eastAsiaTheme="minorEastAsia"/>
              </w:rPr>
              <w:t>后与生活污水相混合，进入生化段进行处理（处理工艺为水解酸化+接触氧化），再经园区污水管网排入东城污水处理厂进一步处理达《城镇污水处理厂污染物排放标准》（GB18918-2002）一级B标排入淮远河。废水站在运行过程中将产生废水站物化段污泥（S21）及废水站生化段污泥（S22）。</w:t>
            </w:r>
          </w:p>
          <w:p>
            <w:pPr>
              <w:adjustRightInd w:val="0"/>
              <w:snapToGrid w:val="0"/>
              <w:spacing w:line="360" w:lineRule="auto"/>
              <w:rPr>
                <w:rFonts w:ascii="宋体" w:hAnsi="宋体"/>
                <w:bCs/>
                <w:szCs w:val="22"/>
              </w:rPr>
            </w:pPr>
            <w:r>
              <w:rPr>
                <w:rFonts w:hint="eastAsia" w:ascii="宋体"/>
                <w:b/>
                <w:bCs/>
                <w:sz w:val="24"/>
              </w:rPr>
              <w:t>2.9.4</w:t>
            </w:r>
            <w:r>
              <w:rPr>
                <w:rFonts w:hint="eastAsia" w:ascii="宋体" w:hAnsi="宋体" w:eastAsia="宋体" w:cs="宋体"/>
                <w:b/>
                <w:bCs/>
                <w:sz w:val="24"/>
              </w:rPr>
              <w:t>主要产排污节点分析</w:t>
            </w:r>
          </w:p>
        </w:tc>
      </w:tr>
    </w:tbl>
    <w:p/>
    <w:p>
      <w:pPr>
        <w:pStyle w:val="81"/>
        <w:widowControl w:val="0"/>
        <w:adjustRightInd w:val="0"/>
        <w:snapToGrid w:val="0"/>
        <w:spacing w:beforeAutospacing="0" w:after="0" w:afterAutospacing="0"/>
        <w:jc w:val="center"/>
        <w:rPr>
          <w:rFonts w:cs="宋体"/>
        </w:rPr>
        <w:sectPr>
          <w:footerReference r:id="rId6" w:type="default"/>
          <w:pgSz w:w="11906" w:h="16838"/>
          <w:pgMar w:top="1701" w:right="1531" w:bottom="1701" w:left="1531" w:header="851" w:footer="851" w:gutter="0"/>
          <w:cols w:space="720" w:num="1"/>
          <w:docGrid w:linePitch="312" w:charSpace="0"/>
        </w:sectPr>
      </w:pPr>
      <w:bookmarkStart w:id="23" w:name="_Hlk68595176"/>
    </w:p>
    <w:p>
      <w:pPr>
        <w:jc w:val="center"/>
        <w:rPr>
          <w:rFonts w:ascii="宋体" w:hAnsi="宋体" w:cs="宋体"/>
        </w:rPr>
      </w:pPr>
      <w:r>
        <w:rPr>
          <w:rFonts w:hint="eastAsia" w:ascii="宋体" w:hAnsi="宋体" w:cs="宋体"/>
        </w:rPr>
        <w:t>表2.9-1　　扩建项目产污环节一览表</w:t>
      </w:r>
    </w:p>
    <w:tbl>
      <w:tblPr>
        <w:tblStyle w:val="162"/>
        <w:tblW w:w="1365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9"/>
        <w:gridCol w:w="391"/>
        <w:gridCol w:w="4483"/>
        <w:gridCol w:w="2977"/>
        <w:gridCol w:w="3402"/>
        <w:gridCol w:w="1134"/>
        <w:gridCol w:w="7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shd w:val="clear" w:color="auto" w:fill="auto"/>
            <w:noWrap/>
            <w:vAlign w:val="center"/>
          </w:tcPr>
          <w:p>
            <w:pPr>
              <w:pStyle w:val="164"/>
              <w:rPr>
                <w:b/>
              </w:rPr>
            </w:pPr>
            <w:r>
              <w:rPr>
                <w:b w:val="0"/>
              </w:rPr>
              <w:t>时段</w:t>
            </w:r>
          </w:p>
        </w:tc>
        <w:tc>
          <w:tcPr>
            <w:tcW w:w="391" w:type="dxa"/>
            <w:shd w:val="clear" w:color="auto" w:fill="auto"/>
            <w:noWrap/>
            <w:vAlign w:val="center"/>
          </w:tcPr>
          <w:p>
            <w:pPr>
              <w:pStyle w:val="164"/>
              <w:rPr>
                <w:b/>
              </w:rPr>
            </w:pPr>
            <w:r>
              <w:rPr>
                <w:rFonts w:hint="eastAsia" w:ascii="宋体" w:hAnsi="宋体" w:cs="宋体"/>
                <w:b w:val="0"/>
              </w:rPr>
              <w:t>类别</w:t>
            </w:r>
          </w:p>
        </w:tc>
        <w:tc>
          <w:tcPr>
            <w:tcW w:w="4483" w:type="dxa"/>
            <w:shd w:val="clear" w:color="auto" w:fill="auto"/>
            <w:noWrap/>
            <w:vAlign w:val="center"/>
          </w:tcPr>
          <w:p>
            <w:pPr>
              <w:pStyle w:val="164"/>
              <w:rPr>
                <w:b/>
              </w:rPr>
            </w:pPr>
            <w:r>
              <w:rPr>
                <w:rFonts w:hint="eastAsia" w:ascii="宋体" w:hAnsi="宋体" w:cs="宋体"/>
                <w:b w:val="0"/>
              </w:rPr>
              <w:t>污染源</w:t>
            </w:r>
          </w:p>
        </w:tc>
        <w:tc>
          <w:tcPr>
            <w:tcW w:w="2977" w:type="dxa"/>
            <w:shd w:val="clear" w:color="auto" w:fill="auto"/>
            <w:noWrap/>
            <w:vAlign w:val="center"/>
          </w:tcPr>
          <w:p>
            <w:pPr>
              <w:pStyle w:val="164"/>
              <w:rPr>
                <w:b/>
              </w:rPr>
            </w:pPr>
            <w:r>
              <w:rPr>
                <w:rFonts w:hint="eastAsia" w:ascii="宋体" w:hAnsi="宋体" w:cs="宋体"/>
                <w:b w:val="0"/>
              </w:rPr>
              <w:t>主要污染物</w:t>
            </w:r>
          </w:p>
        </w:tc>
        <w:tc>
          <w:tcPr>
            <w:tcW w:w="3402" w:type="dxa"/>
            <w:shd w:val="clear" w:color="auto" w:fill="auto"/>
            <w:vAlign w:val="center"/>
          </w:tcPr>
          <w:p>
            <w:pPr>
              <w:pStyle w:val="164"/>
              <w:rPr>
                <w:rFonts w:ascii="宋体" w:hAnsi="宋体" w:cs="宋体"/>
                <w:b w:val="0"/>
              </w:rPr>
            </w:pPr>
            <w:r>
              <w:rPr>
                <w:rFonts w:hint="eastAsia" w:ascii="宋体" w:hAnsi="宋体" w:cs="宋体"/>
                <w:b w:val="0"/>
              </w:rPr>
              <w:t>处理措施</w:t>
            </w:r>
          </w:p>
        </w:tc>
        <w:tc>
          <w:tcPr>
            <w:tcW w:w="1134" w:type="dxa"/>
            <w:shd w:val="clear" w:color="auto" w:fill="auto"/>
            <w:vAlign w:val="center"/>
          </w:tcPr>
          <w:p>
            <w:pPr>
              <w:pStyle w:val="164"/>
              <w:rPr>
                <w:rFonts w:ascii="宋体" w:hAnsi="宋体" w:cs="宋体"/>
                <w:b w:val="0"/>
              </w:rPr>
            </w:pPr>
            <w:r>
              <w:rPr>
                <w:rFonts w:hint="eastAsia" w:ascii="宋体" w:hAnsi="宋体" w:cs="宋体"/>
                <w:b w:val="0"/>
              </w:rPr>
              <w:t>排放口编号</w:t>
            </w:r>
          </w:p>
        </w:tc>
        <w:tc>
          <w:tcPr>
            <w:tcW w:w="786" w:type="dxa"/>
            <w:shd w:val="clear" w:color="auto" w:fill="auto"/>
            <w:vAlign w:val="center"/>
          </w:tcPr>
          <w:p>
            <w:pPr>
              <w:pStyle w:val="164"/>
              <w:rPr>
                <w:rFonts w:ascii="宋体" w:hAnsi="宋体" w:cs="宋体"/>
                <w:b w:val="0"/>
              </w:rPr>
            </w:pPr>
            <w:r>
              <w:rPr>
                <w:rFonts w:hint="eastAsia" w:ascii="宋体" w:hAnsi="宋体" w:cs="宋体"/>
                <w:b w:val="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restart"/>
            <w:shd w:val="clear" w:color="auto" w:fill="auto"/>
            <w:noWrap/>
            <w:vAlign w:val="center"/>
          </w:tcPr>
          <w:p>
            <w:pPr>
              <w:pStyle w:val="164"/>
            </w:pPr>
            <w:r>
              <w:rPr>
                <w:rFonts w:hint="eastAsia" w:ascii="宋体" w:hAnsi="宋体" w:cs="宋体"/>
              </w:rPr>
              <w:t>营运期</w:t>
            </w:r>
          </w:p>
        </w:tc>
        <w:tc>
          <w:tcPr>
            <w:tcW w:w="391" w:type="dxa"/>
            <w:vMerge w:val="restart"/>
            <w:shd w:val="clear" w:color="auto" w:fill="auto"/>
            <w:noWrap/>
            <w:vAlign w:val="center"/>
          </w:tcPr>
          <w:p>
            <w:pPr>
              <w:pStyle w:val="164"/>
            </w:pPr>
            <w:r>
              <w:rPr>
                <w:rFonts w:hint="eastAsia" w:ascii="宋体" w:hAnsi="宋体" w:cs="宋体"/>
              </w:rPr>
              <w:t>废水</w:t>
            </w:r>
          </w:p>
        </w:tc>
        <w:tc>
          <w:tcPr>
            <w:tcW w:w="4483" w:type="dxa"/>
            <w:shd w:val="clear" w:color="auto" w:fill="auto"/>
            <w:noWrap/>
            <w:vAlign w:val="center"/>
          </w:tcPr>
          <w:p>
            <w:pPr>
              <w:pStyle w:val="164"/>
            </w:pPr>
            <w:r>
              <w:rPr>
                <w:rFonts w:hint="eastAsia" w:ascii="宋体" w:hAnsi="宋体" w:cs="宋体"/>
              </w:rPr>
              <w:t>白坯喷淋除尘废水（</w:t>
            </w:r>
            <w:r>
              <w:rPr>
                <w:rFonts w:hint="eastAsia"/>
              </w:rPr>
              <w:t>W1</w:t>
            </w:r>
            <w:r>
              <w:rPr>
                <w:rFonts w:hint="eastAsia" w:ascii="宋体" w:hAnsi="宋体" w:cs="宋体"/>
              </w:rPr>
              <w:t>）、油磨喷淋除尘废水（</w:t>
            </w:r>
            <w:r>
              <w:rPr>
                <w:rFonts w:hint="eastAsia"/>
              </w:rPr>
              <w:t>W2</w:t>
            </w:r>
            <w:r>
              <w:rPr>
                <w:rFonts w:hint="eastAsia" w:ascii="宋体" w:hAnsi="宋体" w:cs="宋体"/>
              </w:rPr>
              <w:t>）</w:t>
            </w:r>
          </w:p>
        </w:tc>
        <w:tc>
          <w:tcPr>
            <w:tcW w:w="2977" w:type="dxa"/>
            <w:shd w:val="clear" w:color="auto" w:fill="auto"/>
            <w:noWrap/>
            <w:vAlign w:val="center"/>
          </w:tcPr>
          <w:p>
            <w:pPr>
              <w:pStyle w:val="164"/>
              <w:rPr>
                <w:lang w:val="en-US"/>
              </w:rPr>
            </w:pPr>
            <w:r>
              <w:rPr>
                <w:lang w:val="en-US"/>
              </w:rPr>
              <w:t>SS</w:t>
            </w:r>
            <w:r>
              <w:rPr>
                <w:rFonts w:hint="eastAsia" w:ascii="宋体" w:hAnsi="宋体" w:cs="宋体"/>
              </w:rPr>
              <w:t>、</w:t>
            </w:r>
            <w:r>
              <w:rPr>
                <w:rFonts w:hint="eastAsia" w:ascii="宋体" w:hAnsi="宋体" w:cs="宋体"/>
                <w:lang w:val="en-US"/>
              </w:rPr>
              <w:t>石油类</w:t>
            </w:r>
            <w:r>
              <w:rPr>
                <w:rFonts w:hint="eastAsia" w:ascii="宋体" w:hAnsi="宋体" w:cs="宋体"/>
              </w:rPr>
              <w:t>、</w:t>
            </w:r>
            <w:r>
              <w:rPr>
                <w:lang w:val="en-US"/>
              </w:rPr>
              <w:t>COD</w:t>
            </w:r>
          </w:p>
        </w:tc>
        <w:tc>
          <w:tcPr>
            <w:tcW w:w="3402" w:type="dxa"/>
            <w:vMerge w:val="restart"/>
            <w:shd w:val="clear" w:color="auto" w:fill="auto"/>
            <w:vAlign w:val="center"/>
          </w:tcPr>
          <w:p>
            <w:pPr>
              <w:pStyle w:val="164"/>
              <w:rPr>
                <w:lang w:val="en-US"/>
              </w:rPr>
            </w:pPr>
            <w:r>
              <w:rPr>
                <w:lang w:val="en-US"/>
              </w:rPr>
              <w:t>物化</w:t>
            </w:r>
            <w:r>
              <w:rPr>
                <w:rFonts w:hint="eastAsia"/>
                <w:lang w:val="en-US"/>
              </w:rPr>
              <w:t>+生化</w:t>
            </w:r>
          </w:p>
        </w:tc>
        <w:tc>
          <w:tcPr>
            <w:tcW w:w="1134" w:type="dxa"/>
            <w:vMerge w:val="restart"/>
            <w:shd w:val="clear" w:color="auto" w:fill="auto"/>
            <w:vAlign w:val="center"/>
          </w:tcPr>
          <w:p>
            <w:pPr>
              <w:pStyle w:val="164"/>
              <w:rPr>
                <w:lang w:val="en-US"/>
              </w:rPr>
            </w:pPr>
            <w:r>
              <w:rPr>
                <w:rFonts w:hint="eastAsia"/>
                <w:lang w:val="en-US"/>
              </w:rPr>
              <w:t>DW001</w:t>
            </w:r>
          </w:p>
        </w:tc>
        <w:tc>
          <w:tcPr>
            <w:tcW w:w="786" w:type="dxa"/>
            <w:vMerge w:val="restart"/>
            <w:shd w:val="clear" w:color="auto" w:fill="auto"/>
            <w:vAlign w:val="center"/>
          </w:tcPr>
          <w:p>
            <w:pPr>
              <w:pStyle w:val="164"/>
              <w:rPr>
                <w:lang w:val="en-US"/>
              </w:rPr>
            </w:pPr>
            <w:r>
              <w:rPr>
                <w:rFonts w:hint="eastAsia"/>
                <w:lang w:val="en-US"/>
              </w:rPr>
              <w:t>原有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noWrap/>
            <w:vAlign w:val="center"/>
          </w:tcPr>
          <w:p>
            <w:pPr>
              <w:pStyle w:val="164"/>
              <w:rPr>
                <w:lang w:val="en-US"/>
              </w:rPr>
            </w:pPr>
          </w:p>
        </w:tc>
        <w:tc>
          <w:tcPr>
            <w:tcW w:w="391" w:type="dxa"/>
            <w:vMerge w:val="continue"/>
            <w:shd w:val="clear" w:color="auto" w:fill="auto"/>
            <w:noWrap/>
            <w:vAlign w:val="center"/>
          </w:tcPr>
          <w:p>
            <w:pPr>
              <w:pStyle w:val="164"/>
              <w:rPr>
                <w:lang w:val="en-US"/>
              </w:rPr>
            </w:pPr>
          </w:p>
        </w:tc>
        <w:tc>
          <w:tcPr>
            <w:tcW w:w="4483" w:type="dxa"/>
            <w:shd w:val="clear" w:color="auto" w:fill="auto"/>
            <w:noWrap/>
            <w:vAlign w:val="center"/>
          </w:tcPr>
          <w:p>
            <w:pPr>
              <w:pStyle w:val="164"/>
            </w:pPr>
            <w:r>
              <w:rPr>
                <w:rFonts w:hint="eastAsia" w:ascii="宋体" w:hAnsi="宋体" w:cs="宋体"/>
              </w:rPr>
              <w:t>喷枪清洗废水（</w:t>
            </w:r>
            <w:r>
              <w:rPr>
                <w:rFonts w:hint="eastAsia"/>
              </w:rPr>
              <w:t>W3</w:t>
            </w:r>
            <w:r>
              <w:rPr>
                <w:rFonts w:hint="eastAsia" w:ascii="宋体" w:hAnsi="宋体" w:cs="宋体"/>
              </w:rPr>
              <w:t>）</w:t>
            </w:r>
          </w:p>
        </w:tc>
        <w:tc>
          <w:tcPr>
            <w:tcW w:w="2977" w:type="dxa"/>
            <w:shd w:val="clear" w:color="auto" w:fill="auto"/>
            <w:noWrap/>
            <w:vAlign w:val="center"/>
          </w:tcPr>
          <w:p>
            <w:pPr>
              <w:pStyle w:val="164"/>
              <w:rPr>
                <w:lang w:val="en-US"/>
              </w:rPr>
            </w:pPr>
            <w:r>
              <w:rPr>
                <w:lang w:val="en-US"/>
              </w:rPr>
              <w:t>SS</w:t>
            </w:r>
            <w:r>
              <w:rPr>
                <w:rFonts w:hint="eastAsia" w:ascii="宋体" w:hAnsi="宋体" w:cs="宋体"/>
              </w:rPr>
              <w:t>、</w:t>
            </w:r>
            <w:r>
              <w:rPr>
                <w:rFonts w:hint="eastAsia" w:ascii="宋体" w:hAnsi="宋体" w:cs="宋体"/>
                <w:lang w:val="en-US"/>
              </w:rPr>
              <w:t>石油类</w:t>
            </w:r>
            <w:r>
              <w:rPr>
                <w:rFonts w:hint="eastAsia" w:ascii="宋体" w:hAnsi="宋体" w:cs="宋体"/>
              </w:rPr>
              <w:t>、</w:t>
            </w:r>
            <w:r>
              <w:rPr>
                <w:lang w:val="en-US"/>
              </w:rPr>
              <w:t>COD</w:t>
            </w:r>
          </w:p>
        </w:tc>
        <w:tc>
          <w:tcPr>
            <w:tcW w:w="3402" w:type="dxa"/>
            <w:vMerge w:val="continue"/>
            <w:shd w:val="clear" w:color="auto" w:fill="auto"/>
            <w:vAlign w:val="center"/>
          </w:tcPr>
          <w:p>
            <w:pPr>
              <w:pStyle w:val="164"/>
              <w:rPr>
                <w:lang w:val="en-US"/>
              </w:rPr>
            </w:pPr>
          </w:p>
        </w:tc>
        <w:tc>
          <w:tcPr>
            <w:tcW w:w="1134" w:type="dxa"/>
            <w:vMerge w:val="continue"/>
            <w:shd w:val="clear" w:color="auto" w:fill="auto"/>
            <w:vAlign w:val="center"/>
          </w:tcPr>
          <w:p>
            <w:pPr>
              <w:pStyle w:val="164"/>
              <w:rPr>
                <w:lang w:val="en-US"/>
              </w:rPr>
            </w:pPr>
          </w:p>
        </w:tc>
        <w:tc>
          <w:tcPr>
            <w:tcW w:w="786" w:type="dxa"/>
            <w:vMerge w:val="continue"/>
            <w:shd w:val="clear" w:color="auto" w:fill="auto"/>
            <w:vAlign w:val="center"/>
          </w:tcPr>
          <w:p>
            <w:pPr>
              <w:pStyle w:val="164"/>
              <w:rPr>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noWrap/>
            <w:vAlign w:val="center"/>
          </w:tcPr>
          <w:p>
            <w:pPr>
              <w:pStyle w:val="164"/>
              <w:rPr>
                <w:lang w:val="en-US"/>
              </w:rPr>
            </w:pPr>
          </w:p>
        </w:tc>
        <w:tc>
          <w:tcPr>
            <w:tcW w:w="391" w:type="dxa"/>
            <w:vMerge w:val="continue"/>
            <w:shd w:val="clear" w:color="auto" w:fill="auto"/>
            <w:noWrap/>
            <w:vAlign w:val="center"/>
          </w:tcPr>
          <w:p>
            <w:pPr>
              <w:pStyle w:val="164"/>
              <w:rPr>
                <w:lang w:val="en-US"/>
              </w:rPr>
            </w:pPr>
          </w:p>
        </w:tc>
        <w:tc>
          <w:tcPr>
            <w:tcW w:w="4483" w:type="dxa"/>
            <w:shd w:val="clear" w:color="auto" w:fill="auto"/>
            <w:noWrap/>
            <w:vAlign w:val="center"/>
          </w:tcPr>
          <w:p>
            <w:pPr>
              <w:pStyle w:val="164"/>
            </w:pPr>
            <w:r>
              <w:rPr>
                <w:rFonts w:hint="eastAsia" w:ascii="宋体" w:hAnsi="宋体" w:cs="宋体"/>
              </w:rPr>
              <w:t>喷漆循环水（</w:t>
            </w:r>
            <w:r>
              <w:rPr>
                <w:rFonts w:hint="eastAsia"/>
              </w:rPr>
              <w:t>W4</w:t>
            </w:r>
            <w:r>
              <w:rPr>
                <w:rFonts w:hint="eastAsia" w:ascii="宋体" w:hAnsi="宋体" w:cs="宋体"/>
              </w:rPr>
              <w:t>）</w:t>
            </w:r>
          </w:p>
        </w:tc>
        <w:tc>
          <w:tcPr>
            <w:tcW w:w="2977" w:type="dxa"/>
            <w:shd w:val="clear" w:color="auto" w:fill="auto"/>
            <w:noWrap/>
            <w:vAlign w:val="center"/>
          </w:tcPr>
          <w:p>
            <w:pPr>
              <w:pStyle w:val="164"/>
              <w:rPr>
                <w:lang w:val="en-US"/>
              </w:rPr>
            </w:pPr>
            <w:r>
              <w:rPr>
                <w:lang w:val="en-US"/>
              </w:rPr>
              <w:t>SS</w:t>
            </w:r>
            <w:r>
              <w:rPr>
                <w:rFonts w:hint="eastAsia" w:ascii="宋体" w:hAnsi="宋体" w:cs="宋体"/>
              </w:rPr>
              <w:t>、</w:t>
            </w:r>
            <w:r>
              <w:rPr>
                <w:rFonts w:hint="eastAsia" w:ascii="宋体" w:hAnsi="宋体" w:cs="宋体"/>
                <w:lang w:val="en-US"/>
              </w:rPr>
              <w:t>石油类</w:t>
            </w:r>
            <w:r>
              <w:rPr>
                <w:rFonts w:hint="eastAsia" w:ascii="宋体" w:hAnsi="宋体" w:cs="宋体"/>
              </w:rPr>
              <w:t>、</w:t>
            </w:r>
            <w:r>
              <w:rPr>
                <w:lang w:val="en-US"/>
              </w:rPr>
              <w:t>COD</w:t>
            </w:r>
          </w:p>
        </w:tc>
        <w:tc>
          <w:tcPr>
            <w:tcW w:w="3402" w:type="dxa"/>
            <w:vMerge w:val="continue"/>
            <w:shd w:val="clear" w:color="auto" w:fill="auto"/>
            <w:vAlign w:val="center"/>
          </w:tcPr>
          <w:p>
            <w:pPr>
              <w:pStyle w:val="164"/>
              <w:rPr>
                <w:lang w:val="en-US"/>
              </w:rPr>
            </w:pPr>
          </w:p>
        </w:tc>
        <w:tc>
          <w:tcPr>
            <w:tcW w:w="1134" w:type="dxa"/>
            <w:vMerge w:val="continue"/>
            <w:shd w:val="clear" w:color="auto" w:fill="auto"/>
            <w:vAlign w:val="center"/>
          </w:tcPr>
          <w:p>
            <w:pPr>
              <w:pStyle w:val="164"/>
              <w:rPr>
                <w:lang w:val="en-US"/>
              </w:rPr>
            </w:pPr>
          </w:p>
        </w:tc>
        <w:tc>
          <w:tcPr>
            <w:tcW w:w="786" w:type="dxa"/>
            <w:vMerge w:val="continue"/>
            <w:shd w:val="clear" w:color="auto" w:fill="auto"/>
            <w:vAlign w:val="center"/>
          </w:tcPr>
          <w:p>
            <w:pPr>
              <w:pStyle w:val="164"/>
              <w:rPr>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noWrap/>
            <w:vAlign w:val="center"/>
          </w:tcPr>
          <w:p>
            <w:pPr>
              <w:pStyle w:val="164"/>
              <w:rPr>
                <w:lang w:val="en-US"/>
              </w:rPr>
            </w:pPr>
          </w:p>
        </w:tc>
        <w:tc>
          <w:tcPr>
            <w:tcW w:w="391" w:type="dxa"/>
            <w:vMerge w:val="continue"/>
            <w:shd w:val="clear" w:color="auto" w:fill="auto"/>
            <w:noWrap/>
            <w:vAlign w:val="center"/>
          </w:tcPr>
          <w:p>
            <w:pPr>
              <w:pStyle w:val="164"/>
              <w:rPr>
                <w:lang w:val="en-US"/>
              </w:rPr>
            </w:pPr>
          </w:p>
        </w:tc>
        <w:tc>
          <w:tcPr>
            <w:tcW w:w="4483" w:type="dxa"/>
            <w:shd w:val="clear" w:color="auto" w:fill="auto"/>
            <w:noWrap/>
            <w:vAlign w:val="center"/>
          </w:tcPr>
          <w:p>
            <w:pPr>
              <w:pStyle w:val="164"/>
            </w:pPr>
            <w:r>
              <w:rPr>
                <w:rFonts w:hint="eastAsia" w:ascii="宋体" w:hAnsi="宋体" w:cs="宋体"/>
              </w:rPr>
              <w:t>地面清洁废水（</w:t>
            </w:r>
            <w:r>
              <w:t>W</w:t>
            </w:r>
            <w:r>
              <w:rPr>
                <w:rFonts w:hint="eastAsia"/>
              </w:rPr>
              <w:t>5</w:t>
            </w:r>
            <w:r>
              <w:rPr>
                <w:rFonts w:hint="eastAsia" w:ascii="宋体" w:hAnsi="宋体" w:cs="宋体"/>
              </w:rPr>
              <w:t>）</w:t>
            </w:r>
          </w:p>
        </w:tc>
        <w:tc>
          <w:tcPr>
            <w:tcW w:w="2977" w:type="dxa"/>
            <w:shd w:val="clear" w:color="auto" w:fill="auto"/>
            <w:noWrap/>
            <w:vAlign w:val="center"/>
          </w:tcPr>
          <w:p>
            <w:pPr>
              <w:pStyle w:val="164"/>
              <w:rPr>
                <w:lang w:val="en-US"/>
              </w:rPr>
            </w:pPr>
            <w:r>
              <w:rPr>
                <w:lang w:val="en-US"/>
              </w:rPr>
              <w:t>SS</w:t>
            </w:r>
            <w:r>
              <w:rPr>
                <w:rFonts w:hint="eastAsia" w:ascii="宋体" w:hAnsi="宋体" w:cs="宋体"/>
              </w:rPr>
              <w:t>、</w:t>
            </w:r>
            <w:r>
              <w:rPr>
                <w:lang w:val="en-US"/>
              </w:rPr>
              <w:t>COD</w:t>
            </w:r>
            <w:r>
              <w:rPr>
                <w:rFonts w:hint="eastAsia" w:ascii="宋体" w:hAnsi="宋体" w:cs="宋体"/>
                <w:lang w:val="en-US"/>
              </w:rPr>
              <w:t>、石油类</w:t>
            </w:r>
          </w:p>
        </w:tc>
        <w:tc>
          <w:tcPr>
            <w:tcW w:w="3402" w:type="dxa"/>
            <w:vMerge w:val="continue"/>
            <w:shd w:val="clear" w:color="auto" w:fill="auto"/>
            <w:vAlign w:val="center"/>
          </w:tcPr>
          <w:p>
            <w:pPr>
              <w:pStyle w:val="164"/>
              <w:rPr>
                <w:lang w:val="en-US"/>
              </w:rPr>
            </w:pPr>
          </w:p>
        </w:tc>
        <w:tc>
          <w:tcPr>
            <w:tcW w:w="1134" w:type="dxa"/>
            <w:vMerge w:val="continue"/>
            <w:shd w:val="clear" w:color="auto" w:fill="auto"/>
            <w:vAlign w:val="center"/>
          </w:tcPr>
          <w:p>
            <w:pPr>
              <w:pStyle w:val="164"/>
              <w:rPr>
                <w:lang w:val="en-US"/>
              </w:rPr>
            </w:pPr>
          </w:p>
        </w:tc>
        <w:tc>
          <w:tcPr>
            <w:tcW w:w="786" w:type="dxa"/>
            <w:vMerge w:val="continue"/>
            <w:shd w:val="clear" w:color="auto" w:fill="auto"/>
            <w:vAlign w:val="center"/>
          </w:tcPr>
          <w:p>
            <w:pPr>
              <w:pStyle w:val="164"/>
              <w:rPr>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noWrap/>
            <w:vAlign w:val="center"/>
          </w:tcPr>
          <w:p>
            <w:pPr>
              <w:pStyle w:val="164"/>
              <w:rPr>
                <w:lang w:val="en-US"/>
              </w:rPr>
            </w:pPr>
          </w:p>
        </w:tc>
        <w:tc>
          <w:tcPr>
            <w:tcW w:w="391" w:type="dxa"/>
            <w:vMerge w:val="continue"/>
            <w:shd w:val="clear" w:color="auto" w:fill="auto"/>
            <w:noWrap/>
            <w:vAlign w:val="center"/>
          </w:tcPr>
          <w:p>
            <w:pPr>
              <w:pStyle w:val="164"/>
              <w:rPr>
                <w:lang w:val="en-US"/>
              </w:rPr>
            </w:pPr>
          </w:p>
        </w:tc>
        <w:tc>
          <w:tcPr>
            <w:tcW w:w="4483" w:type="dxa"/>
            <w:shd w:val="clear" w:color="auto" w:fill="auto"/>
            <w:noWrap/>
            <w:vAlign w:val="center"/>
          </w:tcPr>
          <w:p>
            <w:pPr>
              <w:pStyle w:val="164"/>
            </w:pPr>
            <w:r>
              <w:rPr>
                <w:rFonts w:hint="eastAsia" w:ascii="宋体" w:hAnsi="宋体" w:cs="宋体"/>
              </w:rPr>
              <w:t>生活污水（</w:t>
            </w:r>
            <w:r>
              <w:t>W</w:t>
            </w:r>
            <w:r>
              <w:rPr>
                <w:rFonts w:hint="eastAsia"/>
              </w:rPr>
              <w:t>6</w:t>
            </w:r>
            <w:r>
              <w:rPr>
                <w:rFonts w:hint="eastAsia" w:ascii="宋体" w:hAnsi="宋体" w:cs="宋体"/>
              </w:rPr>
              <w:t>）</w:t>
            </w:r>
          </w:p>
        </w:tc>
        <w:tc>
          <w:tcPr>
            <w:tcW w:w="2977" w:type="dxa"/>
            <w:shd w:val="clear" w:color="auto" w:fill="auto"/>
            <w:noWrap/>
            <w:vAlign w:val="center"/>
          </w:tcPr>
          <w:p>
            <w:pPr>
              <w:pStyle w:val="164"/>
              <w:rPr>
                <w:lang w:val="en-US"/>
              </w:rPr>
            </w:pPr>
            <w:r>
              <w:rPr>
                <w:lang w:val="en-US"/>
              </w:rPr>
              <w:t>COD</w:t>
            </w:r>
            <w:r>
              <w:rPr>
                <w:rFonts w:hint="eastAsia" w:ascii="宋体" w:hAnsi="宋体" w:cs="宋体"/>
              </w:rPr>
              <w:t>、</w:t>
            </w:r>
            <w:r>
              <w:rPr>
                <w:rFonts w:hint="eastAsia"/>
                <w:lang w:val="en-US"/>
              </w:rPr>
              <w:t>B</w:t>
            </w:r>
            <w:r>
              <w:rPr>
                <w:lang w:val="en-US"/>
              </w:rPr>
              <w:t>OD</w:t>
            </w:r>
            <w:r>
              <w:rPr>
                <w:vertAlign w:val="subscript"/>
                <w:lang w:val="en-US"/>
              </w:rPr>
              <w:t>5</w:t>
            </w:r>
            <w:r>
              <w:rPr>
                <w:rFonts w:hint="eastAsia" w:ascii="宋体" w:hAnsi="宋体" w:cs="宋体"/>
              </w:rPr>
              <w:t>、</w:t>
            </w:r>
            <w:r>
              <w:rPr>
                <w:lang w:val="en-US"/>
              </w:rPr>
              <w:t xml:space="preserve">SS </w:t>
            </w:r>
          </w:p>
        </w:tc>
        <w:tc>
          <w:tcPr>
            <w:tcW w:w="3402" w:type="dxa"/>
            <w:vMerge w:val="continue"/>
            <w:shd w:val="clear" w:color="auto" w:fill="auto"/>
            <w:vAlign w:val="center"/>
          </w:tcPr>
          <w:p>
            <w:pPr>
              <w:pStyle w:val="164"/>
              <w:rPr>
                <w:lang w:val="en-US"/>
              </w:rPr>
            </w:pPr>
          </w:p>
        </w:tc>
        <w:tc>
          <w:tcPr>
            <w:tcW w:w="1134" w:type="dxa"/>
            <w:vMerge w:val="continue"/>
            <w:shd w:val="clear" w:color="auto" w:fill="auto"/>
            <w:vAlign w:val="center"/>
          </w:tcPr>
          <w:p>
            <w:pPr>
              <w:pStyle w:val="164"/>
              <w:rPr>
                <w:lang w:val="en-US"/>
              </w:rPr>
            </w:pPr>
          </w:p>
        </w:tc>
        <w:tc>
          <w:tcPr>
            <w:tcW w:w="786" w:type="dxa"/>
            <w:vMerge w:val="continue"/>
            <w:shd w:val="clear" w:color="auto" w:fill="auto"/>
            <w:vAlign w:val="center"/>
          </w:tcPr>
          <w:p>
            <w:pPr>
              <w:pStyle w:val="164"/>
              <w:rPr>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rPr>
                <w:lang w:val="en-US"/>
              </w:rPr>
            </w:pPr>
          </w:p>
        </w:tc>
        <w:tc>
          <w:tcPr>
            <w:tcW w:w="391" w:type="dxa"/>
            <w:vMerge w:val="restart"/>
            <w:shd w:val="clear" w:color="auto" w:fill="auto"/>
            <w:noWrap/>
            <w:vAlign w:val="center"/>
          </w:tcPr>
          <w:p>
            <w:pPr>
              <w:pStyle w:val="164"/>
            </w:pPr>
            <w:r>
              <w:rPr>
                <w:rFonts w:hint="eastAsia" w:ascii="宋体" w:hAnsi="宋体" w:cs="宋体"/>
              </w:rPr>
              <w:t>废气</w:t>
            </w:r>
          </w:p>
        </w:tc>
        <w:tc>
          <w:tcPr>
            <w:tcW w:w="4483" w:type="dxa"/>
            <w:shd w:val="clear" w:color="auto" w:fill="auto"/>
            <w:noWrap/>
            <w:vAlign w:val="center"/>
          </w:tcPr>
          <w:p>
            <w:pPr>
              <w:pStyle w:val="164"/>
            </w:pPr>
            <w:r>
              <w:rPr>
                <w:rFonts w:hint="eastAsia" w:ascii="宋体" w:hAnsi="宋体" w:cs="宋体"/>
              </w:rPr>
              <w:t>砂纸打磨废气（</w:t>
            </w:r>
            <w:r>
              <w:t>G5</w:t>
            </w:r>
            <w:r>
              <w:rPr>
                <w:rFonts w:hint="eastAsia" w:ascii="宋体" w:hAnsi="宋体" w:cs="宋体"/>
              </w:rPr>
              <w:t>）</w:t>
            </w:r>
          </w:p>
        </w:tc>
        <w:tc>
          <w:tcPr>
            <w:tcW w:w="2977" w:type="dxa"/>
            <w:shd w:val="clear" w:color="auto" w:fill="auto"/>
            <w:noWrap/>
            <w:vAlign w:val="center"/>
          </w:tcPr>
          <w:p>
            <w:pPr>
              <w:pStyle w:val="164"/>
              <w:rPr>
                <w:color w:val="FF0000"/>
              </w:rPr>
            </w:pPr>
            <w:r>
              <w:rPr>
                <w:rFonts w:hint="eastAsia" w:ascii="宋体" w:hAnsi="宋体" w:cs="宋体"/>
              </w:rPr>
              <w:t>颗粒物</w:t>
            </w:r>
          </w:p>
        </w:tc>
        <w:tc>
          <w:tcPr>
            <w:tcW w:w="3402" w:type="dxa"/>
            <w:shd w:val="clear" w:color="auto" w:fill="auto"/>
            <w:vAlign w:val="center"/>
          </w:tcPr>
          <w:p>
            <w:pPr>
              <w:pStyle w:val="164"/>
              <w:rPr>
                <w:rFonts w:ascii="宋体" w:hAnsi="宋体" w:cs="宋体"/>
              </w:rPr>
            </w:pPr>
            <w:r>
              <w:rPr>
                <w:rFonts w:hint="eastAsia" w:ascii="宋体" w:hAnsi="宋体" w:cs="宋体"/>
              </w:rPr>
              <w:t>/</w:t>
            </w:r>
          </w:p>
        </w:tc>
        <w:tc>
          <w:tcPr>
            <w:tcW w:w="1134" w:type="dxa"/>
            <w:shd w:val="clear" w:color="auto" w:fill="auto"/>
            <w:vAlign w:val="center"/>
          </w:tcPr>
          <w:p>
            <w:pPr>
              <w:pStyle w:val="164"/>
              <w:rPr>
                <w:rFonts w:ascii="宋体" w:hAnsi="宋体" w:cs="宋体"/>
              </w:rPr>
            </w:pPr>
            <w:r>
              <w:rPr>
                <w:rFonts w:hint="eastAsia" w:ascii="宋体" w:hAnsi="宋体" w:cs="宋体"/>
              </w:rPr>
              <w:t>无组织</w:t>
            </w:r>
          </w:p>
        </w:tc>
        <w:tc>
          <w:tcPr>
            <w:tcW w:w="786" w:type="dxa"/>
            <w:shd w:val="clear" w:color="auto" w:fill="auto"/>
            <w:vAlign w:val="center"/>
          </w:tcPr>
          <w:p>
            <w:pPr>
              <w:pStyle w:val="164"/>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rPr>
                <w:rFonts w:ascii="宋体" w:hAnsi="宋体" w:cs="宋体"/>
              </w:rPr>
            </w:pPr>
          </w:p>
        </w:tc>
        <w:tc>
          <w:tcPr>
            <w:tcW w:w="4483" w:type="dxa"/>
            <w:shd w:val="clear" w:color="auto" w:fill="auto"/>
            <w:noWrap/>
            <w:vAlign w:val="center"/>
          </w:tcPr>
          <w:p>
            <w:pPr>
              <w:pStyle w:val="164"/>
              <w:rPr>
                <w:rFonts w:ascii="宋体" w:hAnsi="宋体" w:cs="宋体"/>
              </w:rPr>
            </w:pPr>
            <w:r>
              <w:rPr>
                <w:rFonts w:hint="eastAsia" w:ascii="宋体" w:hAnsi="宋体" w:cs="宋体"/>
              </w:rPr>
              <w:t>灰磨废气（</w:t>
            </w:r>
            <w:r>
              <w:t>G6</w:t>
            </w:r>
            <w:r>
              <w:rPr>
                <w:rFonts w:hint="eastAsia" w:ascii="宋体" w:hAnsi="宋体" w:cs="宋体"/>
              </w:rPr>
              <w:t>）、油磨废气（</w:t>
            </w:r>
            <w:r>
              <w:t>G11</w:t>
            </w:r>
            <w:r>
              <w:rPr>
                <w:rFonts w:hint="eastAsia" w:ascii="宋体" w:hAnsi="宋体" w:cs="宋体"/>
              </w:rPr>
              <w:t>）</w:t>
            </w:r>
          </w:p>
        </w:tc>
        <w:tc>
          <w:tcPr>
            <w:tcW w:w="2977" w:type="dxa"/>
            <w:shd w:val="clear" w:color="auto" w:fill="auto"/>
            <w:noWrap/>
            <w:vAlign w:val="center"/>
          </w:tcPr>
          <w:p>
            <w:pPr>
              <w:pStyle w:val="164"/>
              <w:rPr>
                <w:color w:val="FF0000"/>
              </w:rPr>
            </w:pPr>
            <w:r>
              <w:rPr>
                <w:rFonts w:hint="eastAsia" w:ascii="宋体" w:hAnsi="宋体" w:cs="宋体"/>
              </w:rPr>
              <w:t>颗粒物</w:t>
            </w:r>
          </w:p>
        </w:tc>
        <w:tc>
          <w:tcPr>
            <w:tcW w:w="3402" w:type="dxa"/>
            <w:shd w:val="clear" w:color="auto" w:fill="auto"/>
            <w:vAlign w:val="center"/>
          </w:tcPr>
          <w:p>
            <w:pPr>
              <w:pStyle w:val="164"/>
              <w:rPr>
                <w:rFonts w:ascii="宋体" w:hAnsi="宋体" w:cs="宋体"/>
              </w:rPr>
            </w:pPr>
            <w:r>
              <w:rPr>
                <w:rFonts w:hint="eastAsia" w:ascii="宋体" w:hAnsi="宋体" w:cs="宋体"/>
              </w:rPr>
              <w:t>湿式除尘</w:t>
            </w:r>
          </w:p>
        </w:tc>
        <w:tc>
          <w:tcPr>
            <w:tcW w:w="1134" w:type="dxa"/>
            <w:shd w:val="clear" w:color="auto" w:fill="auto"/>
            <w:vAlign w:val="center"/>
          </w:tcPr>
          <w:p>
            <w:pPr>
              <w:pStyle w:val="164"/>
              <w:rPr>
                <w:rFonts w:ascii="宋体" w:hAnsi="宋体" w:cs="宋体"/>
              </w:rPr>
            </w:pPr>
            <w:r>
              <w:rPr>
                <w:rFonts w:hint="eastAsia" w:ascii="宋体" w:hAnsi="宋体" w:cs="宋体"/>
              </w:rPr>
              <w:t>无组织</w:t>
            </w:r>
          </w:p>
        </w:tc>
        <w:tc>
          <w:tcPr>
            <w:tcW w:w="786" w:type="dxa"/>
            <w:shd w:val="clear" w:color="auto" w:fill="auto"/>
            <w:vAlign w:val="center"/>
          </w:tcPr>
          <w:p>
            <w:pPr>
              <w:pStyle w:val="164"/>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rPr>
                <w:rFonts w:ascii="宋体" w:hAnsi="宋体" w:cs="宋体"/>
              </w:rPr>
            </w:pPr>
          </w:p>
        </w:tc>
        <w:tc>
          <w:tcPr>
            <w:tcW w:w="4483" w:type="dxa"/>
            <w:shd w:val="clear" w:color="auto" w:fill="auto"/>
            <w:noWrap/>
            <w:vAlign w:val="center"/>
          </w:tcPr>
          <w:p>
            <w:pPr>
              <w:pStyle w:val="164"/>
              <w:rPr>
                <w:rFonts w:ascii="宋体" w:hAnsi="宋体" w:cs="宋体"/>
              </w:rPr>
            </w:pPr>
            <w:r>
              <w:t>UV</w:t>
            </w:r>
            <w:r>
              <w:rPr>
                <w:rFonts w:hint="eastAsia" w:ascii="宋体" w:hAnsi="宋体" w:cs="宋体"/>
              </w:rPr>
              <w:t>打磨废气（</w:t>
            </w:r>
            <w:r>
              <w:t>G8</w:t>
            </w:r>
            <w:r>
              <w:rPr>
                <w:rFonts w:hint="eastAsia" w:ascii="宋体" w:hAnsi="宋体" w:cs="宋体"/>
              </w:rPr>
              <w:t>）</w:t>
            </w:r>
          </w:p>
        </w:tc>
        <w:tc>
          <w:tcPr>
            <w:tcW w:w="2977" w:type="dxa"/>
            <w:shd w:val="clear" w:color="auto" w:fill="auto"/>
            <w:noWrap/>
            <w:vAlign w:val="center"/>
          </w:tcPr>
          <w:p>
            <w:pPr>
              <w:pStyle w:val="164"/>
              <w:rPr>
                <w:color w:val="FF0000"/>
              </w:rPr>
            </w:pPr>
            <w:r>
              <w:rPr>
                <w:rFonts w:hint="eastAsia" w:ascii="宋体" w:hAnsi="宋体" w:cs="宋体"/>
              </w:rPr>
              <w:t>颗粒物</w:t>
            </w:r>
          </w:p>
        </w:tc>
        <w:tc>
          <w:tcPr>
            <w:tcW w:w="3402" w:type="dxa"/>
            <w:shd w:val="clear" w:color="auto" w:fill="auto"/>
            <w:vAlign w:val="center"/>
          </w:tcPr>
          <w:p>
            <w:pPr>
              <w:pStyle w:val="164"/>
              <w:rPr>
                <w:rFonts w:ascii="宋体" w:hAnsi="宋体" w:cs="宋体"/>
              </w:rPr>
            </w:pPr>
            <w:r>
              <w:rPr>
                <w:rFonts w:hint="eastAsia" w:ascii="宋体" w:hAnsi="宋体" w:cs="宋体"/>
              </w:rPr>
              <w:t>湿式除尘</w:t>
            </w:r>
          </w:p>
        </w:tc>
        <w:tc>
          <w:tcPr>
            <w:tcW w:w="1134" w:type="dxa"/>
            <w:shd w:val="clear" w:color="auto" w:fill="auto"/>
            <w:vAlign w:val="center"/>
          </w:tcPr>
          <w:p>
            <w:pPr>
              <w:pStyle w:val="164"/>
              <w:rPr>
                <w:rFonts w:ascii="宋体" w:hAnsi="宋体" w:cs="宋体"/>
              </w:rPr>
            </w:pPr>
            <w:r>
              <w:rPr>
                <w:rFonts w:hint="eastAsia" w:ascii="宋体" w:hAnsi="宋体" w:cs="宋体"/>
              </w:rPr>
              <w:t>无组织</w:t>
            </w:r>
          </w:p>
        </w:tc>
        <w:tc>
          <w:tcPr>
            <w:tcW w:w="786" w:type="dxa"/>
            <w:shd w:val="clear" w:color="auto" w:fill="auto"/>
            <w:vAlign w:val="center"/>
          </w:tcPr>
          <w:p>
            <w:pPr>
              <w:pStyle w:val="164"/>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rPr>
                <w:rFonts w:ascii="宋体" w:hAnsi="宋体" w:cs="宋体"/>
              </w:rPr>
            </w:pPr>
          </w:p>
        </w:tc>
        <w:tc>
          <w:tcPr>
            <w:tcW w:w="4483" w:type="dxa"/>
            <w:shd w:val="clear" w:color="auto" w:fill="auto"/>
            <w:noWrap/>
            <w:vAlign w:val="center"/>
          </w:tcPr>
          <w:p>
            <w:pPr>
              <w:pStyle w:val="164"/>
            </w:pPr>
            <w:r>
              <w:rPr>
                <w:rFonts w:hint="eastAsia" w:cs="宋体" w:asciiTheme="minorEastAsia" w:hAnsiTheme="minorEastAsia" w:eastAsiaTheme="minorEastAsia"/>
              </w:rPr>
              <w:t>原木工车间加工废气</w:t>
            </w:r>
          </w:p>
        </w:tc>
        <w:tc>
          <w:tcPr>
            <w:tcW w:w="2977" w:type="dxa"/>
            <w:shd w:val="clear" w:color="auto" w:fill="auto"/>
            <w:noWrap/>
            <w:vAlign w:val="center"/>
          </w:tcPr>
          <w:p>
            <w:pPr>
              <w:pStyle w:val="164"/>
              <w:rPr>
                <w:rFonts w:ascii="宋体" w:hAnsi="宋体" w:cs="宋体"/>
              </w:rPr>
            </w:pPr>
            <w:r>
              <w:rPr>
                <w:rFonts w:hint="eastAsia" w:cs="宋体" w:asciiTheme="minorEastAsia" w:hAnsiTheme="minorEastAsia" w:eastAsiaTheme="minorEastAsia"/>
              </w:rPr>
              <w:t>颗粒物</w:t>
            </w:r>
          </w:p>
        </w:tc>
        <w:tc>
          <w:tcPr>
            <w:tcW w:w="3402" w:type="dxa"/>
            <w:shd w:val="clear" w:color="auto" w:fill="auto"/>
            <w:vAlign w:val="center"/>
          </w:tcPr>
          <w:p>
            <w:pPr>
              <w:pStyle w:val="164"/>
              <w:rPr>
                <w:rFonts w:ascii="宋体" w:hAnsi="宋体" w:cs="宋体"/>
              </w:rPr>
            </w:pPr>
            <w:r>
              <w:rPr>
                <w:rFonts w:hint="eastAsia" w:cs="宋体" w:asciiTheme="minorEastAsia" w:hAnsiTheme="minorEastAsia" w:eastAsiaTheme="minorEastAsia"/>
              </w:rPr>
              <w:t>布袋除尘</w:t>
            </w:r>
          </w:p>
        </w:tc>
        <w:tc>
          <w:tcPr>
            <w:tcW w:w="1134" w:type="dxa"/>
            <w:shd w:val="clear" w:color="auto" w:fill="auto"/>
            <w:vAlign w:val="center"/>
          </w:tcPr>
          <w:p>
            <w:pPr>
              <w:pStyle w:val="164"/>
              <w:rPr>
                <w:rFonts w:ascii="宋体" w:hAnsi="宋体" w:cs="宋体"/>
              </w:rPr>
            </w:pPr>
            <w:r>
              <w:rPr>
                <w:rFonts w:hint="eastAsia" w:ascii="宋体" w:hAnsi="宋体" w:cs="宋体"/>
              </w:rPr>
              <w:t>DA003、4、5、6</w:t>
            </w:r>
          </w:p>
        </w:tc>
        <w:tc>
          <w:tcPr>
            <w:tcW w:w="786" w:type="dxa"/>
            <w:shd w:val="clear" w:color="auto" w:fill="auto"/>
            <w:vAlign w:val="center"/>
          </w:tcPr>
          <w:p>
            <w:pPr>
              <w:pStyle w:val="164"/>
              <w:rPr>
                <w:rFonts w:ascii="宋体" w:hAnsi="宋体" w:cs="宋体"/>
              </w:rPr>
            </w:pPr>
            <w:r>
              <w:rPr>
                <w:rFonts w:hint="eastAsia"/>
                <w:lang w:val="en-US"/>
              </w:rPr>
              <w:t>原有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rPr>
                <w:rFonts w:ascii="宋体" w:hAnsi="宋体" w:cs="宋体"/>
              </w:rPr>
            </w:pPr>
          </w:p>
        </w:tc>
        <w:tc>
          <w:tcPr>
            <w:tcW w:w="4483" w:type="dxa"/>
            <w:shd w:val="clear" w:color="auto" w:fill="auto"/>
            <w:noWrap/>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新增木工车间（开料废气（</w:t>
            </w:r>
            <w:r>
              <w:rPr>
                <w:rFonts w:cs="宋体" w:asciiTheme="minorEastAsia" w:hAnsiTheme="minorEastAsia" w:eastAsiaTheme="minorEastAsia"/>
              </w:rPr>
              <w:t>G1）、裁边废气（G3）、开料废气（G17）、钻孔废气（G19）、砂光废气（G4））</w:t>
            </w:r>
          </w:p>
        </w:tc>
        <w:tc>
          <w:tcPr>
            <w:tcW w:w="2977" w:type="dxa"/>
            <w:shd w:val="clear" w:color="auto" w:fill="auto"/>
            <w:noWrap/>
            <w:vAlign w:val="center"/>
          </w:tcPr>
          <w:p>
            <w:pPr>
              <w:pStyle w:val="164"/>
              <w:rPr>
                <w:rFonts w:asciiTheme="minorEastAsia" w:hAnsiTheme="minorEastAsia" w:eastAsiaTheme="minorEastAsia"/>
                <w:color w:val="FF0000"/>
              </w:rPr>
            </w:pPr>
            <w:r>
              <w:rPr>
                <w:rFonts w:hint="eastAsia" w:cs="宋体" w:asciiTheme="minorEastAsia" w:hAnsiTheme="minorEastAsia" w:eastAsiaTheme="minorEastAsia"/>
              </w:rPr>
              <w:t>颗粒物</w:t>
            </w:r>
          </w:p>
        </w:tc>
        <w:tc>
          <w:tcPr>
            <w:tcW w:w="3402"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布袋除尘</w:t>
            </w:r>
          </w:p>
        </w:tc>
        <w:tc>
          <w:tcPr>
            <w:tcW w:w="1134"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DA009</w:t>
            </w:r>
          </w:p>
        </w:tc>
        <w:tc>
          <w:tcPr>
            <w:tcW w:w="786"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1#线及</w:t>
            </w:r>
            <w:r>
              <w:rPr>
                <w:rFonts w:hint="eastAsia" w:asciiTheme="minorEastAsia" w:hAnsiTheme="minorEastAsia" w:eastAsiaTheme="minorEastAsia"/>
              </w:rPr>
              <w:t>UV</w:t>
            </w:r>
            <w:r>
              <w:rPr>
                <w:rFonts w:hint="eastAsia" w:cs="宋体" w:asciiTheme="minorEastAsia" w:hAnsiTheme="minorEastAsia" w:eastAsiaTheme="minorEastAsia"/>
              </w:rPr>
              <w:t>线涂装废气（1#线底漆涂装废气（</w:t>
            </w:r>
            <w:r>
              <w:rPr>
                <w:rFonts w:hint="eastAsia" w:asciiTheme="minorEastAsia" w:hAnsiTheme="minorEastAsia" w:eastAsiaTheme="minorEastAsia"/>
              </w:rPr>
              <w:t>G9-1</w:t>
            </w:r>
            <w:r>
              <w:rPr>
                <w:rFonts w:hint="eastAsia" w:cs="宋体" w:asciiTheme="minorEastAsia" w:hAnsiTheme="minorEastAsia" w:eastAsiaTheme="minorEastAsia"/>
              </w:rPr>
              <w:t>）、底漆晾</w:t>
            </w:r>
            <w:r>
              <w:rPr>
                <w:rFonts w:hint="eastAsia" w:asciiTheme="minorEastAsia" w:hAnsiTheme="minorEastAsia" w:eastAsiaTheme="minorEastAsia"/>
              </w:rPr>
              <w:t>/</w:t>
            </w:r>
            <w:r>
              <w:rPr>
                <w:rFonts w:hint="eastAsia" w:cs="宋体" w:asciiTheme="minorEastAsia" w:hAnsiTheme="minorEastAsia" w:eastAsiaTheme="minorEastAsia"/>
              </w:rPr>
              <w:t>烘干废气（</w:t>
            </w:r>
            <w:r>
              <w:rPr>
                <w:rFonts w:hint="eastAsia" w:asciiTheme="minorEastAsia" w:hAnsiTheme="minorEastAsia" w:eastAsiaTheme="minorEastAsia"/>
              </w:rPr>
              <w:t>G10-1</w:t>
            </w:r>
            <w:r>
              <w:rPr>
                <w:rFonts w:hint="eastAsia" w:cs="宋体" w:asciiTheme="minorEastAsia" w:hAnsiTheme="minorEastAsia" w:eastAsiaTheme="minorEastAsia"/>
              </w:rPr>
              <w:t>）、修色废气（</w:t>
            </w:r>
            <w:r>
              <w:rPr>
                <w:rFonts w:hint="eastAsia" w:asciiTheme="minorEastAsia" w:hAnsiTheme="minorEastAsia" w:eastAsiaTheme="minorEastAsia"/>
              </w:rPr>
              <w:t>G12-1</w:t>
            </w:r>
            <w:r>
              <w:rPr>
                <w:rFonts w:hint="eastAsia" w:cs="宋体" w:asciiTheme="minorEastAsia" w:hAnsiTheme="minorEastAsia" w:eastAsiaTheme="minorEastAsia"/>
              </w:rPr>
              <w:t>）调漆废气（</w:t>
            </w:r>
            <w:r>
              <w:rPr>
                <w:rFonts w:hint="eastAsia" w:asciiTheme="minorEastAsia" w:hAnsiTheme="minorEastAsia" w:eastAsiaTheme="minorEastAsia"/>
              </w:rPr>
              <w:t>G15-1</w:t>
            </w:r>
            <w:r>
              <w:rPr>
                <w:rFonts w:hint="eastAsia" w:cs="宋体" w:asciiTheme="minorEastAsia" w:hAnsiTheme="minorEastAsia" w:eastAsiaTheme="minorEastAsia"/>
              </w:rPr>
              <w:t>）、洗枪废气（</w:t>
            </w:r>
            <w:r>
              <w:rPr>
                <w:rFonts w:hint="eastAsia" w:asciiTheme="minorEastAsia" w:hAnsiTheme="minorEastAsia" w:eastAsiaTheme="minorEastAsia"/>
              </w:rPr>
              <w:t>G16-1</w:t>
            </w:r>
            <w:r>
              <w:rPr>
                <w:rFonts w:hint="eastAsia" w:cs="宋体" w:asciiTheme="minorEastAsia" w:hAnsiTheme="minorEastAsia" w:eastAsiaTheme="minorEastAsia"/>
              </w:rPr>
              <w:t>））</w:t>
            </w:r>
          </w:p>
        </w:tc>
        <w:tc>
          <w:tcPr>
            <w:tcW w:w="2977"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颗粒物、非甲烷总烃、</w:t>
            </w:r>
            <w:r>
              <w:rPr>
                <w:rFonts w:hint="eastAsia" w:asciiTheme="minorEastAsia" w:hAnsiTheme="minorEastAsia" w:eastAsiaTheme="minorEastAsia"/>
              </w:rPr>
              <w:t>VOCs</w:t>
            </w:r>
            <w:r>
              <w:rPr>
                <w:rFonts w:hint="eastAsia" w:cs="宋体" w:asciiTheme="minorEastAsia" w:hAnsiTheme="minorEastAsia" w:eastAsiaTheme="minorEastAsia"/>
              </w:rPr>
              <w:t>、甲苯</w:t>
            </w:r>
            <w:r>
              <w:rPr>
                <w:rFonts w:hint="eastAsia" w:asciiTheme="minorEastAsia" w:hAnsiTheme="minorEastAsia" w:eastAsiaTheme="minorEastAsia"/>
              </w:rPr>
              <w:t>+</w:t>
            </w:r>
            <w:r>
              <w:rPr>
                <w:rFonts w:hint="eastAsia" w:cs="宋体" w:asciiTheme="minorEastAsia" w:hAnsiTheme="minorEastAsia" w:eastAsiaTheme="minorEastAsia"/>
              </w:rPr>
              <w:t>二甲苯合计、苯系物</w:t>
            </w:r>
          </w:p>
        </w:tc>
        <w:tc>
          <w:tcPr>
            <w:tcW w:w="3402" w:type="dxa"/>
            <w:shd w:val="clear" w:color="auto" w:fill="auto"/>
            <w:vAlign w:val="center"/>
          </w:tcPr>
          <w:p>
            <w:pPr>
              <w:pStyle w:val="164"/>
              <w:rPr>
                <w:rFonts w:cs="宋体" w:asciiTheme="minorEastAsia" w:hAnsiTheme="minorEastAsia" w:eastAsiaTheme="minorEastAsia"/>
              </w:rPr>
            </w:pPr>
            <w:r>
              <w:rPr>
                <w:rFonts w:hint="eastAsia" w:asciiTheme="minorEastAsia" w:hAnsiTheme="minorEastAsia" w:eastAsiaTheme="minorEastAsia"/>
              </w:rPr>
              <w:t>湿式过滤</w:t>
            </w:r>
            <w:r>
              <w:rPr>
                <w:rFonts w:asciiTheme="minorEastAsia" w:hAnsiTheme="minorEastAsia" w:eastAsiaTheme="minorEastAsia"/>
              </w:rPr>
              <w:t>+干式过滤+活性炭吸附浓缩+解析（催化燃烧）</w:t>
            </w:r>
          </w:p>
        </w:tc>
        <w:tc>
          <w:tcPr>
            <w:tcW w:w="1134"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DA001</w:t>
            </w:r>
          </w:p>
        </w:tc>
        <w:tc>
          <w:tcPr>
            <w:tcW w:w="786"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2#线涂装废气（2#线面漆涂装废气（</w:t>
            </w:r>
            <w:r>
              <w:rPr>
                <w:rFonts w:hint="eastAsia" w:asciiTheme="minorEastAsia" w:hAnsiTheme="minorEastAsia" w:eastAsiaTheme="minorEastAsia"/>
              </w:rPr>
              <w:t>G13-1</w:t>
            </w:r>
            <w:r>
              <w:rPr>
                <w:rFonts w:hint="eastAsia" w:cs="宋体" w:asciiTheme="minorEastAsia" w:hAnsiTheme="minorEastAsia" w:eastAsiaTheme="minorEastAsia"/>
              </w:rPr>
              <w:t>）、面漆晾</w:t>
            </w:r>
            <w:r>
              <w:rPr>
                <w:rFonts w:hint="eastAsia" w:asciiTheme="minorEastAsia" w:hAnsiTheme="minorEastAsia" w:eastAsiaTheme="minorEastAsia"/>
              </w:rPr>
              <w:t>/</w:t>
            </w:r>
            <w:r>
              <w:rPr>
                <w:rFonts w:hint="eastAsia" w:cs="宋体" w:asciiTheme="minorEastAsia" w:hAnsiTheme="minorEastAsia" w:eastAsiaTheme="minorEastAsia"/>
              </w:rPr>
              <w:t>烘干废气（</w:t>
            </w:r>
            <w:r>
              <w:rPr>
                <w:rFonts w:hint="eastAsia" w:asciiTheme="minorEastAsia" w:hAnsiTheme="minorEastAsia" w:eastAsiaTheme="minorEastAsia"/>
              </w:rPr>
              <w:t>G14-1</w:t>
            </w:r>
            <w:r>
              <w:rPr>
                <w:rFonts w:hint="eastAsia" w:cs="宋体" w:asciiTheme="minorEastAsia" w:hAnsiTheme="minorEastAsia" w:eastAsiaTheme="minorEastAsia"/>
              </w:rPr>
              <w:t>）、调漆废气（</w:t>
            </w:r>
            <w:r>
              <w:rPr>
                <w:rFonts w:hint="eastAsia" w:asciiTheme="minorEastAsia" w:hAnsiTheme="minorEastAsia" w:eastAsiaTheme="minorEastAsia"/>
              </w:rPr>
              <w:t>G15-2</w:t>
            </w:r>
            <w:r>
              <w:rPr>
                <w:rFonts w:hint="eastAsia" w:cs="宋体" w:asciiTheme="minorEastAsia" w:hAnsiTheme="minorEastAsia" w:eastAsiaTheme="minorEastAsia"/>
              </w:rPr>
              <w:t>）、洗枪废气（</w:t>
            </w:r>
            <w:r>
              <w:rPr>
                <w:rFonts w:hint="eastAsia" w:asciiTheme="minorEastAsia" w:hAnsiTheme="minorEastAsia" w:eastAsiaTheme="minorEastAsia"/>
              </w:rPr>
              <w:t>G16-2</w:t>
            </w:r>
            <w:r>
              <w:rPr>
                <w:rFonts w:hint="eastAsia" w:cs="宋体" w:asciiTheme="minorEastAsia" w:hAnsiTheme="minorEastAsia" w:eastAsiaTheme="minorEastAsia"/>
              </w:rPr>
              <w:t>）、</w:t>
            </w:r>
            <w:r>
              <w:rPr>
                <w:rFonts w:hint="eastAsia" w:asciiTheme="minorEastAsia" w:hAnsiTheme="minorEastAsia" w:eastAsiaTheme="minorEastAsia"/>
              </w:rPr>
              <w:t>UV</w:t>
            </w:r>
            <w:r>
              <w:rPr>
                <w:rFonts w:hint="eastAsia" w:cs="宋体" w:asciiTheme="minorEastAsia" w:hAnsiTheme="minorEastAsia" w:eastAsiaTheme="minorEastAsia"/>
              </w:rPr>
              <w:t>涂装废气（</w:t>
            </w:r>
            <w:r>
              <w:rPr>
                <w:rFonts w:hint="eastAsia" w:asciiTheme="minorEastAsia" w:hAnsiTheme="minorEastAsia" w:eastAsiaTheme="minorEastAsia"/>
              </w:rPr>
              <w:t>G7</w:t>
            </w:r>
            <w:r>
              <w:rPr>
                <w:rFonts w:hint="eastAsia" w:cs="宋体" w:asciiTheme="minorEastAsia" w:hAnsiTheme="minorEastAsia" w:eastAsiaTheme="minorEastAsia"/>
              </w:rPr>
              <w:t>））</w:t>
            </w:r>
          </w:p>
        </w:tc>
        <w:tc>
          <w:tcPr>
            <w:tcW w:w="2977" w:type="dxa"/>
            <w:shd w:val="clear" w:color="auto" w:fill="auto"/>
            <w:noWrap/>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颗粒物、非甲烷总烃、</w:t>
            </w:r>
            <w:r>
              <w:rPr>
                <w:rFonts w:hint="eastAsia" w:asciiTheme="minorEastAsia" w:hAnsiTheme="minorEastAsia" w:eastAsiaTheme="minorEastAsia"/>
              </w:rPr>
              <w:t>VOCs</w:t>
            </w:r>
            <w:r>
              <w:rPr>
                <w:rFonts w:hint="eastAsia" w:cs="宋体" w:asciiTheme="minorEastAsia" w:hAnsiTheme="minorEastAsia" w:eastAsiaTheme="minorEastAsia"/>
              </w:rPr>
              <w:t>、甲苯</w:t>
            </w:r>
            <w:r>
              <w:rPr>
                <w:rFonts w:hint="eastAsia" w:asciiTheme="minorEastAsia" w:hAnsiTheme="minorEastAsia" w:eastAsiaTheme="minorEastAsia"/>
              </w:rPr>
              <w:t>+</w:t>
            </w:r>
            <w:r>
              <w:rPr>
                <w:rFonts w:hint="eastAsia" w:cs="宋体" w:asciiTheme="minorEastAsia" w:hAnsiTheme="minorEastAsia" w:eastAsiaTheme="minorEastAsia"/>
              </w:rPr>
              <w:t>二甲苯合计、苯系物</w:t>
            </w:r>
          </w:p>
        </w:tc>
        <w:tc>
          <w:tcPr>
            <w:tcW w:w="3402" w:type="dxa"/>
            <w:shd w:val="clear" w:color="auto" w:fill="auto"/>
            <w:vAlign w:val="center"/>
          </w:tcPr>
          <w:p>
            <w:pPr>
              <w:pStyle w:val="164"/>
              <w:rPr>
                <w:rFonts w:cs="宋体" w:asciiTheme="minorEastAsia" w:hAnsiTheme="minorEastAsia" w:eastAsiaTheme="minorEastAsia"/>
              </w:rPr>
            </w:pPr>
            <w:r>
              <w:rPr>
                <w:rFonts w:hint="eastAsia" w:asciiTheme="minorEastAsia" w:hAnsiTheme="minorEastAsia" w:eastAsiaTheme="minorEastAsia"/>
              </w:rPr>
              <w:t>湿式过滤</w:t>
            </w:r>
            <w:r>
              <w:rPr>
                <w:rFonts w:asciiTheme="minorEastAsia" w:hAnsiTheme="minorEastAsia" w:eastAsiaTheme="minorEastAsia"/>
              </w:rPr>
              <w:t>+干式过滤+活性炭吸附浓缩+解析（催化燃烧）</w:t>
            </w:r>
          </w:p>
        </w:tc>
        <w:tc>
          <w:tcPr>
            <w:tcW w:w="1134"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DA002</w:t>
            </w:r>
          </w:p>
        </w:tc>
        <w:tc>
          <w:tcPr>
            <w:tcW w:w="786"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3#线涂装废气（3#线底漆涂装废气（</w:t>
            </w:r>
            <w:r>
              <w:rPr>
                <w:rFonts w:hint="eastAsia" w:asciiTheme="minorEastAsia" w:hAnsiTheme="minorEastAsia" w:eastAsiaTheme="minorEastAsia"/>
              </w:rPr>
              <w:t>G9-2</w:t>
            </w:r>
            <w:r>
              <w:rPr>
                <w:rFonts w:hint="eastAsia" w:cs="宋体" w:asciiTheme="minorEastAsia" w:hAnsiTheme="minorEastAsia" w:eastAsiaTheme="minorEastAsia"/>
              </w:rPr>
              <w:t>）、底漆晾</w:t>
            </w:r>
            <w:r>
              <w:rPr>
                <w:rFonts w:hint="eastAsia" w:asciiTheme="minorEastAsia" w:hAnsiTheme="minorEastAsia" w:eastAsiaTheme="minorEastAsia"/>
              </w:rPr>
              <w:t>/</w:t>
            </w:r>
            <w:r>
              <w:rPr>
                <w:rFonts w:hint="eastAsia" w:cs="宋体" w:asciiTheme="minorEastAsia" w:hAnsiTheme="minorEastAsia" w:eastAsiaTheme="minorEastAsia"/>
              </w:rPr>
              <w:t>烘干废气（</w:t>
            </w:r>
            <w:r>
              <w:rPr>
                <w:rFonts w:hint="eastAsia" w:asciiTheme="minorEastAsia" w:hAnsiTheme="minorEastAsia" w:eastAsiaTheme="minorEastAsia"/>
              </w:rPr>
              <w:t>G10-2</w:t>
            </w:r>
            <w:r>
              <w:rPr>
                <w:rFonts w:hint="eastAsia" w:cs="宋体" w:asciiTheme="minorEastAsia" w:hAnsiTheme="minorEastAsia" w:eastAsiaTheme="minorEastAsia"/>
              </w:rPr>
              <w:t>）、修色废气（</w:t>
            </w:r>
            <w:r>
              <w:rPr>
                <w:rFonts w:hint="eastAsia" w:asciiTheme="minorEastAsia" w:hAnsiTheme="minorEastAsia" w:eastAsiaTheme="minorEastAsia"/>
              </w:rPr>
              <w:t>G12-2</w:t>
            </w:r>
            <w:r>
              <w:rPr>
                <w:rFonts w:hint="eastAsia" w:cs="宋体" w:asciiTheme="minorEastAsia" w:hAnsiTheme="minorEastAsia" w:eastAsiaTheme="minorEastAsia"/>
              </w:rPr>
              <w:t>）、调漆废气（</w:t>
            </w:r>
            <w:r>
              <w:rPr>
                <w:rFonts w:hint="eastAsia" w:asciiTheme="minorEastAsia" w:hAnsiTheme="minorEastAsia" w:eastAsiaTheme="minorEastAsia"/>
              </w:rPr>
              <w:t>G15-3</w:t>
            </w:r>
            <w:r>
              <w:rPr>
                <w:rFonts w:hint="eastAsia" w:cs="宋体" w:asciiTheme="minorEastAsia" w:hAnsiTheme="minorEastAsia" w:eastAsiaTheme="minorEastAsia"/>
              </w:rPr>
              <w:t>））</w:t>
            </w:r>
          </w:p>
        </w:tc>
        <w:tc>
          <w:tcPr>
            <w:tcW w:w="2977"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颗粒物、非甲烷总烃、</w:t>
            </w:r>
            <w:r>
              <w:rPr>
                <w:rFonts w:hint="eastAsia" w:asciiTheme="minorEastAsia" w:hAnsiTheme="minorEastAsia" w:eastAsiaTheme="minorEastAsia"/>
              </w:rPr>
              <w:t>VOCs</w:t>
            </w:r>
          </w:p>
        </w:tc>
        <w:tc>
          <w:tcPr>
            <w:tcW w:w="3402" w:type="dxa"/>
            <w:shd w:val="clear" w:color="auto" w:fill="auto"/>
            <w:vAlign w:val="center"/>
          </w:tcPr>
          <w:p>
            <w:pPr>
              <w:pStyle w:val="164"/>
              <w:rPr>
                <w:rFonts w:cs="宋体" w:asciiTheme="minorEastAsia" w:hAnsiTheme="minorEastAsia" w:eastAsiaTheme="minorEastAsia"/>
              </w:rPr>
            </w:pPr>
            <w:r>
              <w:rPr>
                <w:rFonts w:hint="eastAsia" w:asciiTheme="minorEastAsia" w:hAnsiTheme="minorEastAsia" w:eastAsiaTheme="minorEastAsia"/>
              </w:rPr>
              <w:t>湿式过滤</w:t>
            </w:r>
            <w:r>
              <w:rPr>
                <w:rFonts w:asciiTheme="minorEastAsia" w:hAnsiTheme="minorEastAsia" w:eastAsiaTheme="minorEastAsia"/>
              </w:rPr>
              <w:t>+干式过滤+活性炭吸附浓缩+解析（催化燃烧）</w:t>
            </w:r>
          </w:p>
        </w:tc>
        <w:tc>
          <w:tcPr>
            <w:tcW w:w="1134"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DA007</w:t>
            </w:r>
          </w:p>
        </w:tc>
        <w:tc>
          <w:tcPr>
            <w:tcW w:w="786"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4#线涂装废气（4#线面漆涂装废气（</w:t>
            </w:r>
            <w:r>
              <w:rPr>
                <w:rFonts w:hint="eastAsia" w:asciiTheme="minorEastAsia" w:hAnsiTheme="minorEastAsia" w:eastAsiaTheme="minorEastAsia"/>
              </w:rPr>
              <w:t>G13-2</w:t>
            </w:r>
            <w:r>
              <w:rPr>
                <w:rFonts w:hint="eastAsia" w:cs="宋体" w:asciiTheme="minorEastAsia" w:hAnsiTheme="minorEastAsia" w:eastAsiaTheme="minorEastAsia"/>
              </w:rPr>
              <w:t>）、面漆晾</w:t>
            </w:r>
            <w:r>
              <w:rPr>
                <w:rFonts w:hint="eastAsia" w:asciiTheme="minorEastAsia" w:hAnsiTheme="minorEastAsia" w:eastAsiaTheme="minorEastAsia"/>
              </w:rPr>
              <w:t>/</w:t>
            </w:r>
            <w:r>
              <w:rPr>
                <w:rFonts w:hint="eastAsia" w:cs="宋体" w:asciiTheme="minorEastAsia" w:hAnsiTheme="minorEastAsia" w:eastAsiaTheme="minorEastAsia"/>
              </w:rPr>
              <w:t>烘干废气（</w:t>
            </w:r>
            <w:r>
              <w:rPr>
                <w:rFonts w:hint="eastAsia" w:asciiTheme="minorEastAsia" w:hAnsiTheme="minorEastAsia" w:eastAsiaTheme="minorEastAsia"/>
              </w:rPr>
              <w:t>G14-2</w:t>
            </w:r>
            <w:r>
              <w:rPr>
                <w:rFonts w:hint="eastAsia" w:cs="宋体" w:asciiTheme="minorEastAsia" w:hAnsiTheme="minorEastAsia" w:eastAsiaTheme="minorEastAsia"/>
              </w:rPr>
              <w:t>）、调漆废气（</w:t>
            </w:r>
            <w:r>
              <w:rPr>
                <w:rFonts w:hint="eastAsia" w:asciiTheme="minorEastAsia" w:hAnsiTheme="minorEastAsia" w:eastAsiaTheme="minorEastAsia"/>
              </w:rPr>
              <w:t>G15-2</w:t>
            </w:r>
            <w:r>
              <w:rPr>
                <w:rFonts w:hint="eastAsia" w:cs="宋体" w:asciiTheme="minorEastAsia" w:hAnsiTheme="minorEastAsia" w:eastAsiaTheme="minorEastAsia"/>
              </w:rPr>
              <w:t>）、调漆废气（</w:t>
            </w:r>
            <w:r>
              <w:rPr>
                <w:rFonts w:hint="eastAsia" w:asciiTheme="minorEastAsia" w:hAnsiTheme="minorEastAsia" w:eastAsiaTheme="minorEastAsia"/>
              </w:rPr>
              <w:t>G15-4</w:t>
            </w:r>
            <w:r>
              <w:rPr>
                <w:rFonts w:hint="eastAsia" w:cs="宋体" w:asciiTheme="minorEastAsia" w:hAnsiTheme="minorEastAsia" w:eastAsiaTheme="minorEastAsia"/>
              </w:rPr>
              <w:t>））</w:t>
            </w:r>
          </w:p>
        </w:tc>
        <w:tc>
          <w:tcPr>
            <w:tcW w:w="2977" w:type="dxa"/>
            <w:shd w:val="clear" w:color="auto" w:fill="auto"/>
            <w:noWrap/>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颗粒物、非甲烷总烃、</w:t>
            </w:r>
            <w:r>
              <w:rPr>
                <w:rFonts w:hint="eastAsia" w:asciiTheme="minorEastAsia" w:hAnsiTheme="minorEastAsia" w:eastAsiaTheme="minorEastAsia"/>
              </w:rPr>
              <w:t>VOCs</w:t>
            </w:r>
          </w:p>
        </w:tc>
        <w:tc>
          <w:tcPr>
            <w:tcW w:w="3402" w:type="dxa"/>
            <w:shd w:val="clear" w:color="auto" w:fill="auto"/>
            <w:vAlign w:val="center"/>
          </w:tcPr>
          <w:p>
            <w:pPr>
              <w:pStyle w:val="164"/>
              <w:rPr>
                <w:rFonts w:cs="宋体" w:asciiTheme="minorEastAsia" w:hAnsiTheme="minorEastAsia" w:eastAsiaTheme="minorEastAsia"/>
              </w:rPr>
            </w:pPr>
            <w:r>
              <w:rPr>
                <w:rFonts w:hint="eastAsia" w:asciiTheme="minorEastAsia" w:hAnsiTheme="minorEastAsia" w:eastAsiaTheme="minorEastAsia"/>
              </w:rPr>
              <w:t>湿式过滤</w:t>
            </w:r>
            <w:r>
              <w:rPr>
                <w:rFonts w:asciiTheme="minorEastAsia" w:hAnsiTheme="minorEastAsia" w:eastAsiaTheme="minorEastAsia"/>
              </w:rPr>
              <w:t>+干式过滤+活性炭吸附浓缩+解析（催化燃烧）</w:t>
            </w:r>
          </w:p>
        </w:tc>
        <w:tc>
          <w:tcPr>
            <w:tcW w:w="1134"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DA008</w:t>
            </w:r>
          </w:p>
        </w:tc>
        <w:tc>
          <w:tcPr>
            <w:tcW w:w="786"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拼板废气（</w:t>
            </w:r>
            <w:r>
              <w:rPr>
                <w:rFonts w:hint="eastAsia" w:asciiTheme="minorEastAsia" w:hAnsiTheme="minorEastAsia" w:eastAsiaTheme="minorEastAsia"/>
              </w:rPr>
              <w:t>G2</w:t>
            </w:r>
            <w:r>
              <w:rPr>
                <w:rFonts w:hint="eastAsia" w:cs="宋体" w:asciiTheme="minorEastAsia" w:hAnsiTheme="minorEastAsia" w:eastAsiaTheme="minorEastAsia"/>
              </w:rPr>
              <w:t>）、封边废气（</w:t>
            </w:r>
            <w:r>
              <w:rPr>
                <w:rFonts w:hint="eastAsia" w:asciiTheme="minorEastAsia" w:hAnsiTheme="minorEastAsia" w:eastAsiaTheme="minorEastAsia"/>
              </w:rPr>
              <w:t>G18</w:t>
            </w:r>
            <w:r>
              <w:rPr>
                <w:rFonts w:hint="eastAsia" w:cs="宋体" w:asciiTheme="minorEastAsia" w:hAnsiTheme="minorEastAsia" w:eastAsiaTheme="minorEastAsia"/>
              </w:rPr>
              <w:t>）</w:t>
            </w:r>
          </w:p>
        </w:tc>
        <w:tc>
          <w:tcPr>
            <w:tcW w:w="2977"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非甲烷总烃、</w:t>
            </w:r>
            <w:r>
              <w:rPr>
                <w:rFonts w:hint="eastAsia" w:asciiTheme="minorEastAsia" w:hAnsiTheme="minorEastAsia" w:eastAsiaTheme="minorEastAsia"/>
              </w:rPr>
              <w:t>VOCs</w:t>
            </w:r>
          </w:p>
        </w:tc>
        <w:tc>
          <w:tcPr>
            <w:tcW w:w="3402"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w:t>
            </w:r>
          </w:p>
        </w:tc>
        <w:tc>
          <w:tcPr>
            <w:tcW w:w="1134"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无组织</w:t>
            </w:r>
          </w:p>
        </w:tc>
        <w:tc>
          <w:tcPr>
            <w:tcW w:w="786"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食堂油烟（</w:t>
            </w:r>
            <w:r>
              <w:rPr>
                <w:rFonts w:hint="eastAsia" w:asciiTheme="minorEastAsia" w:hAnsiTheme="minorEastAsia" w:eastAsiaTheme="minorEastAsia"/>
              </w:rPr>
              <w:t>G20</w:t>
            </w:r>
            <w:r>
              <w:rPr>
                <w:rFonts w:hint="eastAsia" w:cs="宋体" w:asciiTheme="minorEastAsia" w:hAnsiTheme="minorEastAsia" w:eastAsiaTheme="minorEastAsia"/>
              </w:rPr>
              <w:t>）</w:t>
            </w:r>
          </w:p>
        </w:tc>
        <w:tc>
          <w:tcPr>
            <w:tcW w:w="2977"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rPr>
              <w:t>油烟、非甲烷总烃</w:t>
            </w:r>
          </w:p>
        </w:tc>
        <w:tc>
          <w:tcPr>
            <w:tcW w:w="3402"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油烟净化器</w:t>
            </w:r>
          </w:p>
        </w:tc>
        <w:tc>
          <w:tcPr>
            <w:tcW w:w="1134" w:type="dxa"/>
            <w:shd w:val="clear" w:color="auto" w:fill="auto"/>
            <w:vAlign w:val="center"/>
          </w:tcPr>
          <w:p>
            <w:pPr>
              <w:pStyle w:val="164"/>
              <w:rPr>
                <w:rFonts w:cs="宋体" w:asciiTheme="minorEastAsia" w:hAnsiTheme="minorEastAsia" w:eastAsiaTheme="minorEastAsia"/>
              </w:rPr>
            </w:pPr>
            <w:r>
              <w:rPr>
                <w:rFonts w:hint="eastAsia" w:cs="宋体" w:asciiTheme="minorEastAsia" w:hAnsiTheme="minorEastAsia" w:eastAsiaTheme="minorEastAsia"/>
              </w:rPr>
              <w:t>DA010</w:t>
            </w:r>
          </w:p>
        </w:tc>
        <w:tc>
          <w:tcPr>
            <w:tcW w:w="786" w:type="dxa"/>
            <w:shd w:val="clear" w:color="auto" w:fill="auto"/>
            <w:vAlign w:val="center"/>
          </w:tcPr>
          <w:p>
            <w:pPr>
              <w:pStyle w:val="164"/>
              <w:rPr>
                <w:rFonts w:cs="宋体"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shd w:val="clear" w:color="auto" w:fill="auto"/>
            <w:noWrap/>
            <w:vAlign w:val="center"/>
          </w:tcPr>
          <w:p>
            <w:pPr>
              <w:pStyle w:val="164"/>
            </w:pPr>
            <w:r>
              <w:rPr>
                <w:rFonts w:hint="eastAsia" w:ascii="宋体" w:hAnsi="宋体" w:cs="宋体"/>
              </w:rPr>
              <w:t>噪声</w:t>
            </w:r>
          </w:p>
        </w:tc>
        <w:tc>
          <w:tcPr>
            <w:tcW w:w="4483" w:type="dxa"/>
            <w:shd w:val="clear" w:color="auto" w:fill="auto"/>
            <w:noWrap/>
            <w:vAlign w:val="center"/>
          </w:tcPr>
          <w:p>
            <w:pPr>
              <w:pStyle w:val="164"/>
              <w:rPr>
                <w:rFonts w:asciiTheme="minorEastAsia" w:hAnsiTheme="minorEastAsia" w:eastAsiaTheme="minorEastAsia"/>
              </w:rPr>
            </w:pPr>
            <w:r>
              <w:rPr>
                <w:rFonts w:hint="eastAsia" w:cs="宋体" w:asciiTheme="minorEastAsia" w:hAnsiTheme="minorEastAsia" w:eastAsiaTheme="minorEastAsia"/>
                <w:color w:val="auto"/>
              </w:rPr>
              <w:t>开料工序噪声（</w:t>
            </w:r>
            <w:r>
              <w:rPr>
                <w:rFonts w:asciiTheme="minorEastAsia" w:hAnsiTheme="minorEastAsia" w:eastAsiaTheme="minorEastAsia"/>
                <w:color w:val="auto"/>
              </w:rPr>
              <w:t>N1</w:t>
            </w:r>
            <w:r>
              <w:rPr>
                <w:rFonts w:hint="eastAsia" w:cs="宋体" w:asciiTheme="minorEastAsia" w:hAnsiTheme="minorEastAsia" w:eastAsiaTheme="minorEastAsia"/>
                <w:color w:val="auto"/>
              </w:rPr>
              <w:t>）、裁边工序噪声（</w:t>
            </w:r>
            <w:r>
              <w:rPr>
                <w:rFonts w:asciiTheme="minorEastAsia" w:hAnsiTheme="minorEastAsia" w:eastAsiaTheme="minorEastAsia"/>
                <w:color w:val="auto"/>
              </w:rPr>
              <w:t>N</w:t>
            </w:r>
            <w:r>
              <w:rPr>
                <w:rFonts w:hint="eastAsia" w:asciiTheme="minorEastAsia" w:hAnsiTheme="minorEastAsia" w:eastAsiaTheme="minorEastAsia"/>
                <w:color w:val="auto"/>
              </w:rPr>
              <w:t>2</w:t>
            </w:r>
            <w:r>
              <w:rPr>
                <w:rFonts w:hint="eastAsia" w:cs="宋体" w:asciiTheme="minorEastAsia" w:hAnsiTheme="minorEastAsia" w:eastAsiaTheme="minorEastAsia"/>
                <w:color w:val="auto"/>
              </w:rPr>
              <w:t>）、砂光工序噪声（</w:t>
            </w:r>
            <w:r>
              <w:rPr>
                <w:rFonts w:asciiTheme="minorEastAsia" w:hAnsiTheme="minorEastAsia" w:eastAsiaTheme="minorEastAsia"/>
                <w:color w:val="auto"/>
              </w:rPr>
              <w:t>N</w:t>
            </w:r>
            <w:r>
              <w:rPr>
                <w:rFonts w:hint="eastAsia" w:asciiTheme="minorEastAsia" w:hAnsiTheme="minorEastAsia" w:eastAsiaTheme="minorEastAsia"/>
                <w:color w:val="auto"/>
              </w:rPr>
              <w:t>3</w:t>
            </w:r>
            <w:r>
              <w:rPr>
                <w:rFonts w:hint="eastAsia" w:cs="宋体" w:asciiTheme="minorEastAsia" w:hAnsiTheme="minorEastAsia" w:eastAsiaTheme="minorEastAsia"/>
                <w:color w:val="auto"/>
              </w:rPr>
              <w:t>）、空压机噪声（N4）、、废气处理设施噪声（N5）</w:t>
            </w:r>
          </w:p>
        </w:tc>
        <w:tc>
          <w:tcPr>
            <w:tcW w:w="2977" w:type="dxa"/>
            <w:shd w:val="clear" w:color="auto" w:fill="auto"/>
            <w:noWrap/>
            <w:vAlign w:val="center"/>
          </w:tcPr>
          <w:p>
            <w:pPr>
              <w:pStyle w:val="164"/>
            </w:pPr>
            <w:r>
              <w:rPr>
                <w:rFonts w:hint="eastAsia" w:ascii="宋体" w:hAnsi="宋体" w:cs="宋体"/>
              </w:rPr>
              <w:t>噪声</w:t>
            </w:r>
          </w:p>
        </w:tc>
        <w:tc>
          <w:tcPr>
            <w:tcW w:w="3402" w:type="dxa"/>
            <w:shd w:val="clear" w:color="auto" w:fill="auto"/>
            <w:vAlign w:val="center"/>
          </w:tcPr>
          <w:p>
            <w:pPr>
              <w:pStyle w:val="164"/>
              <w:rPr>
                <w:rFonts w:ascii="宋体" w:hAnsi="宋体" w:cs="宋体"/>
              </w:rPr>
            </w:pPr>
          </w:p>
        </w:tc>
        <w:tc>
          <w:tcPr>
            <w:tcW w:w="1134" w:type="dxa"/>
            <w:shd w:val="clear" w:color="auto" w:fill="auto"/>
            <w:vAlign w:val="center"/>
          </w:tcPr>
          <w:p>
            <w:pPr>
              <w:pStyle w:val="164"/>
              <w:rPr>
                <w:rFonts w:ascii="宋体" w:hAnsi="宋体" w:cs="宋体"/>
              </w:rPr>
            </w:pPr>
          </w:p>
        </w:tc>
        <w:tc>
          <w:tcPr>
            <w:tcW w:w="786" w:type="dxa"/>
            <w:shd w:val="clear" w:color="auto" w:fill="auto"/>
            <w:vAlign w:val="center"/>
          </w:tcPr>
          <w:p>
            <w:pPr>
              <w:pStyle w:val="164"/>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restart"/>
            <w:shd w:val="clear" w:color="auto" w:fill="auto"/>
            <w:noWrap/>
            <w:vAlign w:val="center"/>
          </w:tcPr>
          <w:p>
            <w:pPr>
              <w:pStyle w:val="164"/>
            </w:pPr>
            <w:r>
              <w:rPr>
                <w:rFonts w:hint="eastAsia" w:ascii="宋体" w:hAnsi="宋体" w:cs="宋体"/>
              </w:rPr>
              <w:t>固体</w:t>
            </w:r>
          </w:p>
          <w:p>
            <w:pPr>
              <w:pStyle w:val="164"/>
            </w:pPr>
            <w:r>
              <w:rPr>
                <w:rFonts w:hint="eastAsia" w:ascii="宋体" w:hAnsi="宋体" w:cs="宋体"/>
              </w:rPr>
              <w:t>废物</w:t>
            </w:r>
          </w:p>
        </w:tc>
        <w:tc>
          <w:tcPr>
            <w:tcW w:w="4483" w:type="dxa"/>
            <w:shd w:val="clear" w:color="auto" w:fill="auto"/>
            <w:noWrap/>
            <w:vAlign w:val="center"/>
          </w:tcPr>
          <w:p>
            <w:pPr>
              <w:pStyle w:val="164"/>
            </w:pPr>
            <w:r>
              <w:rPr>
                <w:rFonts w:hint="eastAsia"/>
              </w:rPr>
              <w:t>开料边角料（</w:t>
            </w:r>
            <w:r>
              <w:t>S1）、裁边边角料（S3）、木粉（S4）、废砂纸（S5）、废包装（S6）、废封边条（S17）、切槽边角料（S18）、钻孔边角料（S19）、除尘器木粉（S20）、废水站生化段污泥（S22）</w:t>
            </w:r>
          </w:p>
        </w:tc>
        <w:tc>
          <w:tcPr>
            <w:tcW w:w="2977" w:type="dxa"/>
            <w:shd w:val="clear" w:color="auto" w:fill="auto"/>
            <w:noWrap/>
            <w:vAlign w:val="center"/>
          </w:tcPr>
          <w:p>
            <w:pPr>
              <w:pStyle w:val="164"/>
            </w:pPr>
            <w:r>
              <w:rPr>
                <w:rFonts w:hint="eastAsia" w:ascii="宋体" w:hAnsi="宋体" w:cs="宋体"/>
              </w:rPr>
              <w:t>一般工业</w:t>
            </w:r>
          </w:p>
          <w:p>
            <w:pPr>
              <w:pStyle w:val="164"/>
            </w:pPr>
            <w:r>
              <w:rPr>
                <w:rFonts w:hint="eastAsia" w:ascii="宋体" w:hAnsi="宋体" w:cs="宋体"/>
              </w:rPr>
              <w:t>固体废物</w:t>
            </w:r>
          </w:p>
        </w:tc>
        <w:tc>
          <w:tcPr>
            <w:tcW w:w="3402" w:type="dxa"/>
            <w:shd w:val="clear" w:color="auto" w:fill="auto"/>
            <w:vAlign w:val="center"/>
          </w:tcPr>
          <w:p>
            <w:pPr>
              <w:pStyle w:val="164"/>
              <w:rPr>
                <w:rFonts w:ascii="宋体" w:hAnsi="宋体" w:cs="宋体"/>
              </w:rPr>
            </w:pPr>
          </w:p>
        </w:tc>
        <w:tc>
          <w:tcPr>
            <w:tcW w:w="1134" w:type="dxa"/>
            <w:shd w:val="clear" w:color="auto" w:fill="auto"/>
            <w:vAlign w:val="center"/>
          </w:tcPr>
          <w:p>
            <w:pPr>
              <w:pStyle w:val="164"/>
              <w:rPr>
                <w:rFonts w:ascii="宋体" w:hAnsi="宋体" w:cs="宋体"/>
              </w:rPr>
            </w:pPr>
          </w:p>
        </w:tc>
        <w:tc>
          <w:tcPr>
            <w:tcW w:w="786" w:type="dxa"/>
            <w:shd w:val="clear" w:color="auto" w:fill="auto"/>
            <w:vAlign w:val="center"/>
          </w:tcPr>
          <w:p>
            <w:pPr>
              <w:pStyle w:val="164"/>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pPr>
            <w:r>
              <w:rPr>
                <w:rFonts w:hint="eastAsia"/>
              </w:rPr>
              <w:t>废胶桶（S2）、废胶桶（S7）、废油漆桶（S8）、废紫外光灯（S9）、漆粉（S10）、废油漆桶（S11）、废油漆桶（S12）、废活性炭（S13）、废催化剂（S14）、废风琴纸（S15）、废热熔胶（S16）、废水站物化段污泥（S21）、油磨除尘灰（S23）、废润滑油（S24）</w:t>
            </w:r>
          </w:p>
        </w:tc>
        <w:tc>
          <w:tcPr>
            <w:tcW w:w="2977" w:type="dxa"/>
            <w:shd w:val="clear" w:color="auto" w:fill="auto"/>
            <w:noWrap/>
            <w:vAlign w:val="center"/>
          </w:tcPr>
          <w:p>
            <w:pPr>
              <w:pStyle w:val="164"/>
            </w:pPr>
            <w:r>
              <w:rPr>
                <w:rFonts w:hint="eastAsia" w:ascii="宋体" w:hAnsi="宋体" w:cs="宋体"/>
              </w:rPr>
              <w:t>危险废物</w:t>
            </w:r>
          </w:p>
        </w:tc>
        <w:tc>
          <w:tcPr>
            <w:tcW w:w="3402" w:type="dxa"/>
            <w:shd w:val="clear" w:color="auto" w:fill="auto"/>
            <w:vAlign w:val="center"/>
          </w:tcPr>
          <w:p>
            <w:pPr>
              <w:pStyle w:val="164"/>
              <w:rPr>
                <w:rFonts w:ascii="宋体" w:hAnsi="宋体" w:cs="宋体"/>
              </w:rPr>
            </w:pPr>
          </w:p>
        </w:tc>
        <w:tc>
          <w:tcPr>
            <w:tcW w:w="1134" w:type="dxa"/>
            <w:shd w:val="clear" w:color="auto" w:fill="auto"/>
            <w:vAlign w:val="center"/>
          </w:tcPr>
          <w:p>
            <w:pPr>
              <w:pStyle w:val="164"/>
              <w:rPr>
                <w:rFonts w:ascii="宋体" w:hAnsi="宋体" w:cs="宋体"/>
              </w:rPr>
            </w:pPr>
          </w:p>
        </w:tc>
        <w:tc>
          <w:tcPr>
            <w:tcW w:w="786" w:type="dxa"/>
            <w:shd w:val="clear" w:color="auto" w:fill="auto"/>
            <w:vAlign w:val="center"/>
          </w:tcPr>
          <w:p>
            <w:pPr>
              <w:pStyle w:val="164"/>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79" w:type="dxa"/>
            <w:vMerge w:val="continue"/>
            <w:shd w:val="clear" w:color="auto" w:fill="auto"/>
            <w:vAlign w:val="center"/>
          </w:tcPr>
          <w:p>
            <w:pPr>
              <w:pStyle w:val="164"/>
            </w:pPr>
          </w:p>
        </w:tc>
        <w:tc>
          <w:tcPr>
            <w:tcW w:w="391" w:type="dxa"/>
            <w:vMerge w:val="continue"/>
            <w:shd w:val="clear" w:color="auto" w:fill="auto"/>
            <w:noWrap/>
            <w:vAlign w:val="center"/>
          </w:tcPr>
          <w:p>
            <w:pPr>
              <w:pStyle w:val="164"/>
            </w:pPr>
          </w:p>
        </w:tc>
        <w:tc>
          <w:tcPr>
            <w:tcW w:w="4483" w:type="dxa"/>
            <w:shd w:val="clear" w:color="auto" w:fill="auto"/>
            <w:noWrap/>
            <w:vAlign w:val="center"/>
          </w:tcPr>
          <w:p>
            <w:pPr>
              <w:pStyle w:val="164"/>
            </w:pPr>
            <w:r>
              <w:rPr>
                <w:rFonts w:hint="eastAsia" w:ascii="宋体" w:hAnsi="宋体" w:cs="宋体"/>
              </w:rPr>
              <w:t>生活垃圾</w:t>
            </w:r>
          </w:p>
        </w:tc>
        <w:tc>
          <w:tcPr>
            <w:tcW w:w="2977" w:type="dxa"/>
            <w:shd w:val="clear" w:color="auto" w:fill="auto"/>
            <w:noWrap/>
            <w:vAlign w:val="center"/>
          </w:tcPr>
          <w:p>
            <w:pPr>
              <w:pStyle w:val="164"/>
            </w:pPr>
            <w:r>
              <w:rPr>
                <w:rFonts w:hint="eastAsia" w:ascii="宋体" w:hAnsi="宋体" w:cs="宋体"/>
              </w:rPr>
              <w:t>生活垃圾</w:t>
            </w:r>
          </w:p>
        </w:tc>
        <w:tc>
          <w:tcPr>
            <w:tcW w:w="3402" w:type="dxa"/>
            <w:shd w:val="clear" w:color="auto" w:fill="auto"/>
            <w:vAlign w:val="center"/>
          </w:tcPr>
          <w:p>
            <w:pPr>
              <w:pStyle w:val="164"/>
              <w:rPr>
                <w:rFonts w:ascii="宋体" w:hAnsi="宋体" w:cs="宋体"/>
              </w:rPr>
            </w:pPr>
          </w:p>
        </w:tc>
        <w:tc>
          <w:tcPr>
            <w:tcW w:w="1134" w:type="dxa"/>
            <w:shd w:val="clear" w:color="auto" w:fill="auto"/>
            <w:vAlign w:val="center"/>
          </w:tcPr>
          <w:p>
            <w:pPr>
              <w:pStyle w:val="164"/>
              <w:rPr>
                <w:rFonts w:ascii="宋体" w:hAnsi="宋体" w:cs="宋体"/>
              </w:rPr>
            </w:pPr>
          </w:p>
        </w:tc>
        <w:tc>
          <w:tcPr>
            <w:tcW w:w="786" w:type="dxa"/>
            <w:shd w:val="clear" w:color="auto" w:fill="auto"/>
            <w:vAlign w:val="center"/>
          </w:tcPr>
          <w:p>
            <w:pPr>
              <w:pStyle w:val="164"/>
              <w:rPr>
                <w:rFonts w:ascii="宋体" w:hAnsi="宋体" w:cs="宋体"/>
              </w:rPr>
            </w:pPr>
          </w:p>
        </w:tc>
      </w:tr>
    </w:tbl>
    <w:p>
      <w:pPr>
        <w:pStyle w:val="81"/>
        <w:widowControl w:val="0"/>
        <w:adjustRightInd w:val="0"/>
        <w:snapToGrid w:val="0"/>
        <w:spacing w:beforeAutospacing="0" w:after="0" w:afterAutospacing="0"/>
        <w:jc w:val="center"/>
        <w:rPr>
          <w:rFonts w:cs="宋体"/>
        </w:rPr>
        <w:sectPr>
          <w:pgSz w:w="16838" w:h="11906" w:orient="landscape"/>
          <w:pgMar w:top="1531" w:right="1701" w:bottom="1531" w:left="1701" w:header="851" w:footer="851" w:gutter="0"/>
          <w:cols w:space="720" w:num="1"/>
          <w:docGrid w:linePitch="312" w:charSpace="0"/>
        </w:sectPr>
      </w:pPr>
    </w:p>
    <w:p>
      <w:pPr>
        <w:pStyle w:val="81"/>
        <w:widowControl w:val="0"/>
        <w:adjustRightInd w:val="0"/>
        <w:snapToGrid w:val="0"/>
        <w:spacing w:beforeAutospacing="0" w:after="0" w:afterAutospacing="0"/>
        <w:jc w:val="center"/>
        <w:rPr>
          <w:rFonts w:cs="宋体"/>
        </w:rPr>
      </w:pPr>
    </w:p>
    <w:p>
      <w:pPr>
        <w:pStyle w:val="81"/>
        <w:widowControl w:val="0"/>
        <w:adjustRightInd w:val="0"/>
        <w:snapToGrid w:val="0"/>
        <w:spacing w:beforeAutospacing="0" w:after="0" w:afterAutospacing="0"/>
        <w:jc w:val="center"/>
        <w:rPr>
          <w:rFonts w:cs="宋体"/>
        </w:rPr>
        <w:sectPr>
          <w:pgSz w:w="11906" w:h="16838"/>
          <w:pgMar w:top="1701" w:right="1531" w:bottom="1701" w:left="1531" w:header="851" w:footer="851" w:gutter="0"/>
          <w:cols w:space="720" w:num="1"/>
          <w:docGrid w:linePitch="312" w:charSpace="0"/>
        </w:sectPr>
      </w:pPr>
    </w:p>
    <w:bookmarkEnd w:id="23"/>
    <w:tbl>
      <w:tblPr>
        <w:tblStyle w:val="88"/>
        <w:tblW w:w="901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484" w:hRule="atLeast"/>
          <w:jc w:val="center"/>
        </w:trPr>
        <w:tc>
          <w:tcPr>
            <w:tcW w:w="456" w:type="dxa"/>
            <w:vAlign w:val="center"/>
          </w:tcPr>
          <w:p>
            <w:pPr>
              <w:pStyle w:val="160"/>
              <w:ind w:firstLine="0" w:firstLineChars="0"/>
              <w:rPr>
                <w:rFonts w:cs="宋体"/>
              </w:rPr>
            </w:pPr>
            <w:r>
              <w:rPr>
                <w:rFonts w:hint="eastAsia"/>
              </w:rPr>
              <w:t>与扩建项目有关的原有污染问题</w:t>
            </w:r>
          </w:p>
        </w:tc>
        <w:tc>
          <w:tcPr>
            <w:tcW w:w="8556" w:type="dxa"/>
          </w:tcPr>
          <w:p>
            <w:pPr>
              <w:pStyle w:val="4"/>
            </w:pPr>
            <w:r>
              <w:rPr>
                <w:rFonts w:hint="eastAsia"/>
              </w:rPr>
              <w:t>2.10  与项目有关的原有污染情况及主要环境问题</w:t>
            </w:r>
          </w:p>
          <w:p>
            <w:pPr>
              <w:pStyle w:val="160"/>
              <w:ind w:firstLine="480"/>
            </w:pPr>
            <w:r>
              <w:rPr>
                <w:rFonts w:hint="eastAsia" w:ascii="宋体" w:hAnsi="宋体"/>
                <w:color w:val="000000"/>
              </w:rPr>
              <w:t>重庆展成家俱制造有限公司成立于2012年，是以高端欧美古典民用</w:t>
            </w:r>
            <w:r>
              <w:rPr>
                <w:rFonts w:hint="eastAsia" w:ascii="宋体" w:hAnsi="宋体"/>
                <w:color w:val="000000"/>
                <w:lang w:eastAsia="zh-CN"/>
              </w:rPr>
              <w:t>家具</w:t>
            </w:r>
            <w:r>
              <w:rPr>
                <w:rFonts w:hint="eastAsia" w:ascii="宋体" w:hAnsi="宋体"/>
                <w:color w:val="000000"/>
              </w:rPr>
              <w:t>系列和高档酒店家具为主导，集</w:t>
            </w:r>
            <w:r>
              <w:rPr>
                <w:rFonts w:hint="eastAsia" w:ascii="宋体" w:hAnsi="宋体"/>
                <w:color w:val="000000"/>
                <w:lang w:eastAsia="zh-CN"/>
              </w:rPr>
              <w:t>家具</w:t>
            </w:r>
            <w:r>
              <w:rPr>
                <w:rFonts w:hint="eastAsia" w:ascii="宋体" w:hAnsi="宋体"/>
                <w:color w:val="000000"/>
              </w:rPr>
              <w:t>设计、研发、生产、销售为一体的大型家</w:t>
            </w:r>
            <w:r>
              <w:rPr>
                <w:rFonts w:hint="eastAsia" w:ascii="宋体" w:hAnsi="宋体"/>
                <w:color w:val="000000"/>
                <w:lang w:eastAsia="zh-CN"/>
              </w:rPr>
              <w:t>家具</w:t>
            </w:r>
            <w:r>
              <w:rPr>
                <w:rFonts w:hint="eastAsia" w:ascii="宋体" w:hAnsi="宋体"/>
                <w:color w:val="000000"/>
              </w:rPr>
              <w:t>生产企业。企业于2012年委托重庆市环境保护工程设计研究院有限公司编制了《重庆展成家俱制造有限公司环境影响报告书》，并于2012年取得了重庆市建设项目环境保护批准书（见附件4，渝（铜）环准[2012]31号）；并于2015年11月通过了环保验收，并取得了重庆市建设项目竣工环境保护验收意见。（见附件4，渝（铜）环验[2015]38号）；并于2020年4月取得了国家排污许可证（许可证编号：91500224771770441J001Q）。</w:t>
            </w:r>
          </w:p>
          <w:p>
            <w:pPr>
              <w:pStyle w:val="3"/>
              <w:tabs>
                <w:tab w:val="left" w:pos="269"/>
                <w:tab w:val="left" w:pos="371"/>
                <w:tab w:val="left" w:pos="432"/>
              </w:tabs>
              <w:jc w:val="left"/>
              <w:rPr>
                <w:bCs w:val="0"/>
                <w:sz w:val="24"/>
                <w:szCs w:val="22"/>
              </w:rPr>
            </w:pPr>
            <w:r>
              <w:rPr>
                <w:rFonts w:hint="eastAsia"/>
                <w:bCs w:val="0"/>
                <w:sz w:val="24"/>
                <w:szCs w:val="22"/>
              </w:rPr>
              <w:t>2.10.1原项目基本情况</w:t>
            </w:r>
          </w:p>
          <w:p>
            <w:pPr>
              <w:pStyle w:val="160"/>
              <w:ind w:firstLine="480"/>
            </w:pPr>
            <w:r>
              <w:rPr>
                <w:rFonts w:hint="eastAsia"/>
                <w:color w:val="000000"/>
              </w:rPr>
              <w:t>原项目主要建设6栋生产厂房、1栋综合办公楼及1栋研发中心，</w:t>
            </w:r>
            <w:r>
              <w:rPr>
                <w:rFonts w:hint="eastAsia" w:ascii="宋体" w:hAnsi="宋体"/>
                <w:color w:val="000000"/>
              </w:rPr>
              <w:t>以及门卫、污水处理设施、道路、各种管网等，占地面积约</w:t>
            </w:r>
            <w:r>
              <w:rPr>
                <w:rFonts w:hint="eastAsia" w:ascii="宋体" w:hAnsi="宋体"/>
                <w:color w:val="000000"/>
                <w:szCs w:val="20"/>
              </w:rPr>
              <w:t>31157.22m</w:t>
            </w:r>
            <w:r>
              <w:rPr>
                <w:rFonts w:hint="eastAsia" w:ascii="宋体" w:hAnsi="宋体"/>
                <w:color w:val="000000"/>
                <w:szCs w:val="20"/>
                <w:vertAlign w:val="superscript"/>
              </w:rPr>
              <w:t>2</w:t>
            </w:r>
            <w:r>
              <w:rPr>
                <w:rFonts w:hint="eastAsia" w:ascii="宋体" w:hAnsi="宋体"/>
                <w:color w:val="000000"/>
                <w:szCs w:val="20"/>
              </w:rPr>
              <w:t>，总建筑面积为44736.26m</w:t>
            </w:r>
            <w:r>
              <w:rPr>
                <w:rFonts w:hint="eastAsia" w:ascii="宋体" w:hAnsi="宋体"/>
                <w:color w:val="000000"/>
                <w:szCs w:val="20"/>
                <w:vertAlign w:val="superscript"/>
              </w:rPr>
              <w:t>2</w:t>
            </w:r>
            <w:r>
              <w:rPr>
                <w:rFonts w:hint="eastAsia" w:ascii="宋体" w:hAnsi="宋体"/>
                <w:color w:val="000000"/>
                <w:szCs w:val="20"/>
              </w:rPr>
              <w:t>。</w:t>
            </w:r>
            <w:r>
              <w:rPr>
                <w:rFonts w:hint="eastAsia" w:ascii="宋体" w:hAnsi="宋体"/>
                <w:color w:val="000000"/>
              </w:rPr>
              <w:t>项目生产规模为年产家具3400套。全年生产天数300</w:t>
            </w:r>
            <w:r>
              <w:rPr>
                <w:rFonts w:ascii="宋体" w:hAnsi="宋体"/>
                <w:color w:val="000000"/>
              </w:rPr>
              <w:t>天，实行</w:t>
            </w:r>
            <w:r>
              <w:rPr>
                <w:rFonts w:hint="eastAsia" w:ascii="宋体" w:hAnsi="宋体"/>
                <w:color w:val="000000"/>
              </w:rPr>
              <w:t>1</w:t>
            </w:r>
            <w:r>
              <w:rPr>
                <w:rFonts w:ascii="宋体" w:hAnsi="宋体"/>
                <w:color w:val="000000"/>
              </w:rPr>
              <w:t>班制，每天工作</w:t>
            </w:r>
            <w:r>
              <w:rPr>
                <w:rFonts w:hint="eastAsia" w:ascii="宋体" w:hAnsi="宋体"/>
                <w:color w:val="000000"/>
              </w:rPr>
              <w:t>8</w:t>
            </w:r>
            <w:r>
              <w:rPr>
                <w:rFonts w:ascii="宋体" w:hAnsi="宋体"/>
                <w:color w:val="000000"/>
              </w:rPr>
              <w:t>小时。</w:t>
            </w:r>
          </w:p>
          <w:p>
            <w:pPr>
              <w:jc w:val="center"/>
              <w:rPr>
                <w:rFonts w:ascii="宋体" w:hAnsi="宋体"/>
                <w:color w:val="000000"/>
              </w:rPr>
            </w:pPr>
            <w:r>
              <w:rPr>
                <w:rFonts w:hint="eastAsia" w:ascii="宋体" w:hAnsi="宋体"/>
                <w:color w:val="000000"/>
              </w:rPr>
              <w:t>表2.10-1      原项目主要组成及建设情况一览表</w:t>
            </w:r>
          </w:p>
          <w:tbl>
            <w:tblPr>
              <w:tblStyle w:val="88"/>
              <w:tblW w:w="8330"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603"/>
              <w:gridCol w:w="1458"/>
              <w:gridCol w:w="1624"/>
              <w:gridCol w:w="303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jc w:val="center"/>
              </w:trPr>
              <w:tc>
                <w:tcPr>
                  <w:tcW w:w="614" w:type="dxa"/>
                  <w:vAlign w:val="center"/>
                </w:tcPr>
                <w:p>
                  <w:pPr>
                    <w:jc w:val="center"/>
                    <w:rPr>
                      <w:rFonts w:ascii="宋体" w:hAnsi="宋体"/>
                      <w:color w:val="000000"/>
                    </w:rPr>
                  </w:pPr>
                  <w:r>
                    <w:rPr>
                      <w:rFonts w:hint="eastAsia" w:ascii="宋体" w:hAnsi="宋体"/>
                      <w:color w:val="000000"/>
                    </w:rPr>
                    <w:t>序号</w:t>
                  </w:r>
                </w:p>
              </w:tc>
              <w:tc>
                <w:tcPr>
                  <w:tcW w:w="1603" w:type="dxa"/>
                  <w:vAlign w:val="center"/>
                </w:tcPr>
                <w:p>
                  <w:pPr>
                    <w:jc w:val="center"/>
                    <w:rPr>
                      <w:rFonts w:ascii="宋体" w:hAnsi="宋体"/>
                      <w:color w:val="000000"/>
                    </w:rPr>
                  </w:pPr>
                  <w:r>
                    <w:rPr>
                      <w:rFonts w:hint="eastAsia" w:ascii="宋体" w:hAnsi="宋体"/>
                      <w:color w:val="000000"/>
                    </w:rPr>
                    <w:t>工程名称</w:t>
                  </w:r>
                </w:p>
              </w:tc>
              <w:tc>
                <w:tcPr>
                  <w:tcW w:w="3082" w:type="dxa"/>
                  <w:gridSpan w:val="2"/>
                  <w:vAlign w:val="center"/>
                </w:tcPr>
                <w:p>
                  <w:pPr>
                    <w:jc w:val="center"/>
                    <w:rPr>
                      <w:rFonts w:ascii="宋体" w:hAnsi="宋体"/>
                      <w:color w:val="000000"/>
                    </w:rPr>
                  </w:pPr>
                  <w:r>
                    <w:rPr>
                      <w:rFonts w:hint="eastAsia" w:ascii="宋体" w:hAnsi="宋体"/>
                      <w:color w:val="000000"/>
                    </w:rPr>
                    <w:t>生产任务及建设内容</w:t>
                  </w:r>
                </w:p>
              </w:tc>
              <w:tc>
                <w:tcPr>
                  <w:tcW w:w="3031" w:type="dxa"/>
                  <w:vAlign w:val="center"/>
                </w:tcPr>
                <w:p>
                  <w:pPr>
                    <w:jc w:val="center"/>
                    <w:rPr>
                      <w:rFonts w:ascii="宋体" w:hAnsi="宋体"/>
                      <w:color w:val="000000"/>
                    </w:rPr>
                  </w:pPr>
                  <w:r>
                    <w:rPr>
                      <w:rFonts w:hint="eastAsia" w:ascii="宋体" w:hAnsi="宋体"/>
                      <w:color w:val="000000"/>
                    </w:rPr>
                    <w:t>建设内容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gridAfter w:val="2"/>
                <w:wAfter w:w="4655" w:type="dxa"/>
                <w:jc w:val="center"/>
              </w:trPr>
              <w:tc>
                <w:tcPr>
                  <w:tcW w:w="3675" w:type="dxa"/>
                  <w:gridSpan w:val="3"/>
                  <w:vAlign w:val="center"/>
                </w:tcPr>
                <w:p>
                  <w:pPr>
                    <w:jc w:val="center"/>
                    <w:rPr>
                      <w:rFonts w:ascii="宋体" w:hAnsi="宋体"/>
                      <w:color w:val="000000"/>
                    </w:rPr>
                  </w:pPr>
                  <w:r>
                    <w:rPr>
                      <w:rFonts w:hint="eastAsia" w:ascii="宋体" w:hAnsi="宋体"/>
                      <w:color w:val="000000"/>
                    </w:rPr>
                    <w:t>一、主体工程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1</w:t>
                  </w:r>
                </w:p>
              </w:tc>
              <w:tc>
                <w:tcPr>
                  <w:tcW w:w="1603" w:type="dxa"/>
                  <w:vAlign w:val="center"/>
                </w:tcPr>
                <w:p>
                  <w:pPr>
                    <w:jc w:val="center"/>
                    <w:rPr>
                      <w:rFonts w:ascii="宋体" w:hAnsi="宋体"/>
                      <w:color w:val="000000"/>
                    </w:rPr>
                  </w:pPr>
                  <w:r>
                    <w:rPr>
                      <w:rFonts w:hint="eastAsia" w:ascii="宋体" w:hAnsi="宋体"/>
                      <w:color w:val="000000"/>
                    </w:rPr>
                    <w:t>1#厂房</w:t>
                  </w:r>
                </w:p>
              </w:tc>
              <w:tc>
                <w:tcPr>
                  <w:tcW w:w="3082" w:type="dxa"/>
                  <w:gridSpan w:val="2"/>
                  <w:vAlign w:val="center"/>
                </w:tcPr>
                <w:p>
                  <w:pPr>
                    <w:jc w:val="center"/>
                    <w:rPr>
                      <w:rFonts w:ascii="宋体" w:hAnsi="宋体"/>
                      <w:color w:val="000000"/>
                    </w:rPr>
                  </w:pPr>
                  <w:r>
                    <w:rPr>
                      <w:rFonts w:hint="eastAsia" w:ascii="宋体" w:hAnsi="宋体"/>
                      <w:color w:val="000000"/>
                    </w:rPr>
                    <w:t>木门、装饰板制造及柜类组装车间</w:t>
                  </w:r>
                </w:p>
              </w:tc>
              <w:tc>
                <w:tcPr>
                  <w:tcW w:w="3031" w:type="dxa"/>
                  <w:vAlign w:val="center"/>
                </w:tcPr>
                <w:p>
                  <w:pPr>
                    <w:jc w:val="center"/>
                    <w:rPr>
                      <w:rFonts w:ascii="宋体" w:hAnsi="宋体"/>
                      <w:color w:val="000000"/>
                    </w:rPr>
                  </w:pPr>
                  <w:r>
                    <w:rPr>
                      <w:rFonts w:hint="eastAsia" w:ascii="宋体" w:hAnsi="宋体"/>
                      <w:color w:val="000000"/>
                    </w:rPr>
                    <w:t>2层，建筑面积3542.70</w:t>
                  </w:r>
                  <w:r>
                    <w:rPr>
                      <w:rFonts w:ascii="宋体" w:hAnsi="宋体" w:cs="宋体"/>
                      <w:color w:val="000000"/>
                    </w:rPr>
                    <w:t>m</w:t>
                  </w:r>
                  <w:r>
                    <w:rPr>
                      <w:rFonts w:ascii="宋体" w:hAnsi="宋体" w:cs="宋体"/>
                      <w:color w:val="000000"/>
                      <w:vertAlign w:val="superscript"/>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restart"/>
                  <w:vAlign w:val="center"/>
                </w:tcPr>
                <w:p>
                  <w:pPr>
                    <w:jc w:val="center"/>
                    <w:rPr>
                      <w:rFonts w:ascii="宋体" w:hAnsi="宋体"/>
                      <w:color w:val="000000"/>
                    </w:rPr>
                  </w:pPr>
                  <w:r>
                    <w:rPr>
                      <w:rFonts w:hint="eastAsia" w:ascii="宋体" w:hAnsi="宋体"/>
                      <w:color w:val="000000"/>
                    </w:rPr>
                    <w:t>其中</w:t>
                  </w:r>
                </w:p>
              </w:tc>
              <w:tc>
                <w:tcPr>
                  <w:tcW w:w="1603" w:type="dxa"/>
                  <w:vAlign w:val="center"/>
                </w:tcPr>
                <w:p>
                  <w:pPr>
                    <w:jc w:val="center"/>
                    <w:rPr>
                      <w:rFonts w:ascii="宋体" w:hAnsi="宋体"/>
                      <w:color w:val="000000"/>
                    </w:rPr>
                  </w:pPr>
                  <w:r>
                    <w:rPr>
                      <w:rFonts w:hint="eastAsia" w:ascii="宋体" w:hAnsi="宋体"/>
                      <w:color w:val="000000"/>
                    </w:rPr>
                    <w:t>1层</w:t>
                  </w:r>
                </w:p>
              </w:tc>
              <w:tc>
                <w:tcPr>
                  <w:tcW w:w="3082" w:type="dxa"/>
                  <w:gridSpan w:val="2"/>
                  <w:vAlign w:val="center"/>
                </w:tcPr>
                <w:p>
                  <w:pPr>
                    <w:jc w:val="center"/>
                    <w:rPr>
                      <w:rFonts w:ascii="宋体" w:hAnsi="宋体"/>
                      <w:color w:val="000000"/>
                    </w:rPr>
                  </w:pPr>
                  <w:r>
                    <w:rPr>
                      <w:rFonts w:hint="eastAsia" w:ascii="宋体" w:hAnsi="宋体"/>
                      <w:color w:val="000000"/>
                    </w:rPr>
                    <w:t>主要进行木门、装饰板制造</w:t>
                  </w:r>
                </w:p>
              </w:tc>
              <w:tc>
                <w:tcPr>
                  <w:tcW w:w="3031" w:type="dxa"/>
                  <w:vAlign w:val="center"/>
                </w:tcPr>
                <w:p>
                  <w:pPr>
                    <w:jc w:val="center"/>
                    <w:rPr>
                      <w:rFonts w:ascii="宋体" w:hAnsi="宋体"/>
                      <w:color w:val="000000"/>
                    </w:rPr>
                  </w:pPr>
                  <w:r>
                    <w:rPr>
                      <w:rFonts w:hint="eastAsia" w:ascii="宋体" w:hAnsi="宋体"/>
                      <w:color w:val="000000"/>
                    </w:rPr>
                    <w:t>木门、装饰板制造生产线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continue"/>
                  <w:vAlign w:val="center"/>
                </w:tcPr>
                <w:p>
                  <w:pPr>
                    <w:jc w:val="center"/>
                    <w:rPr>
                      <w:rFonts w:ascii="宋体" w:hAnsi="宋体"/>
                      <w:color w:val="000000"/>
                    </w:rPr>
                  </w:pPr>
                </w:p>
              </w:tc>
              <w:tc>
                <w:tcPr>
                  <w:tcW w:w="1603" w:type="dxa"/>
                  <w:vAlign w:val="center"/>
                </w:tcPr>
                <w:p>
                  <w:pPr>
                    <w:jc w:val="center"/>
                    <w:rPr>
                      <w:rFonts w:ascii="宋体" w:hAnsi="宋体"/>
                      <w:color w:val="000000"/>
                    </w:rPr>
                  </w:pPr>
                  <w:r>
                    <w:rPr>
                      <w:rFonts w:hint="eastAsia" w:ascii="宋体" w:hAnsi="宋体"/>
                      <w:color w:val="000000"/>
                    </w:rPr>
                    <w:t>2层</w:t>
                  </w:r>
                </w:p>
              </w:tc>
              <w:tc>
                <w:tcPr>
                  <w:tcW w:w="3082" w:type="dxa"/>
                  <w:gridSpan w:val="2"/>
                  <w:vAlign w:val="center"/>
                </w:tcPr>
                <w:p>
                  <w:pPr>
                    <w:jc w:val="center"/>
                    <w:rPr>
                      <w:rFonts w:ascii="宋体" w:hAnsi="宋体"/>
                      <w:color w:val="000000"/>
                    </w:rPr>
                  </w:pPr>
                  <w:r>
                    <w:rPr>
                      <w:rFonts w:hint="eastAsia" w:ascii="宋体" w:hAnsi="宋体"/>
                      <w:color w:val="000000"/>
                    </w:rPr>
                    <w:t>主要进行柜类组装</w:t>
                  </w:r>
                </w:p>
              </w:tc>
              <w:tc>
                <w:tcPr>
                  <w:tcW w:w="3031" w:type="dxa"/>
                  <w:vAlign w:val="center"/>
                </w:tcPr>
                <w:p>
                  <w:pPr>
                    <w:jc w:val="center"/>
                    <w:rPr>
                      <w:rFonts w:ascii="宋体" w:hAnsi="宋体"/>
                      <w:color w:val="000000"/>
                    </w:rPr>
                  </w:pPr>
                  <w:r>
                    <w:rPr>
                      <w:rFonts w:hint="eastAsia" w:ascii="宋体" w:hAnsi="宋体"/>
                      <w:color w:val="000000"/>
                    </w:rPr>
                    <w:t>柜类组装线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2</w:t>
                  </w:r>
                </w:p>
              </w:tc>
              <w:tc>
                <w:tcPr>
                  <w:tcW w:w="1603" w:type="dxa"/>
                  <w:vAlign w:val="center"/>
                </w:tcPr>
                <w:p>
                  <w:pPr>
                    <w:jc w:val="center"/>
                    <w:rPr>
                      <w:rFonts w:ascii="宋体" w:hAnsi="宋体"/>
                      <w:color w:val="000000"/>
                    </w:rPr>
                  </w:pPr>
                  <w:r>
                    <w:rPr>
                      <w:rFonts w:hint="eastAsia" w:ascii="宋体" w:hAnsi="宋体"/>
                      <w:color w:val="000000"/>
                    </w:rPr>
                    <w:t>2#厂房</w:t>
                  </w:r>
                </w:p>
              </w:tc>
              <w:tc>
                <w:tcPr>
                  <w:tcW w:w="3082" w:type="dxa"/>
                  <w:gridSpan w:val="2"/>
                  <w:vAlign w:val="center"/>
                </w:tcPr>
                <w:p>
                  <w:pPr>
                    <w:jc w:val="center"/>
                    <w:rPr>
                      <w:rFonts w:ascii="宋体" w:hAnsi="宋体"/>
                      <w:color w:val="000000"/>
                    </w:rPr>
                  </w:pPr>
                  <w:r>
                    <w:rPr>
                      <w:rFonts w:hint="eastAsia" w:ascii="宋体" w:hAnsi="宋体"/>
                      <w:color w:val="000000"/>
                    </w:rPr>
                    <w:t>主要为库房</w:t>
                  </w:r>
                </w:p>
              </w:tc>
              <w:tc>
                <w:tcPr>
                  <w:tcW w:w="3031" w:type="dxa"/>
                  <w:vAlign w:val="center"/>
                </w:tcPr>
                <w:p>
                  <w:pPr>
                    <w:jc w:val="center"/>
                    <w:rPr>
                      <w:rFonts w:ascii="宋体" w:hAnsi="宋体"/>
                      <w:color w:val="000000"/>
                    </w:rPr>
                  </w:pPr>
                  <w:r>
                    <w:rPr>
                      <w:rFonts w:hint="eastAsia" w:ascii="宋体" w:hAnsi="宋体"/>
                      <w:color w:val="000000"/>
                    </w:rPr>
                    <w:t>2层，建筑面积3322.00</w:t>
                  </w:r>
                  <w:r>
                    <w:rPr>
                      <w:rFonts w:ascii="宋体" w:hAnsi="宋体" w:cs="宋体"/>
                      <w:color w:val="000000"/>
                    </w:rPr>
                    <w:t>m</w:t>
                  </w:r>
                  <w:r>
                    <w:rPr>
                      <w:rFonts w:ascii="宋体" w:hAnsi="宋体" w:cs="宋体"/>
                      <w:color w:val="000000"/>
                      <w:vertAlign w:val="superscript"/>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restart"/>
                  <w:vAlign w:val="center"/>
                </w:tcPr>
                <w:p>
                  <w:pPr>
                    <w:jc w:val="center"/>
                    <w:rPr>
                      <w:rFonts w:ascii="宋体" w:hAnsi="宋体"/>
                      <w:color w:val="000000"/>
                    </w:rPr>
                  </w:pPr>
                  <w:r>
                    <w:rPr>
                      <w:rFonts w:hint="eastAsia" w:ascii="宋体" w:hAnsi="宋体"/>
                      <w:color w:val="000000"/>
                    </w:rPr>
                    <w:t>其中</w:t>
                  </w:r>
                </w:p>
              </w:tc>
              <w:tc>
                <w:tcPr>
                  <w:tcW w:w="1603" w:type="dxa"/>
                  <w:vAlign w:val="center"/>
                </w:tcPr>
                <w:p>
                  <w:pPr>
                    <w:jc w:val="center"/>
                    <w:rPr>
                      <w:rFonts w:ascii="宋体" w:hAnsi="宋体"/>
                      <w:color w:val="000000"/>
                    </w:rPr>
                  </w:pPr>
                  <w:r>
                    <w:rPr>
                      <w:rFonts w:hint="eastAsia" w:ascii="宋体" w:hAnsi="宋体"/>
                      <w:color w:val="000000"/>
                    </w:rPr>
                    <w:t>1层</w:t>
                  </w:r>
                </w:p>
              </w:tc>
              <w:tc>
                <w:tcPr>
                  <w:tcW w:w="3082" w:type="dxa"/>
                  <w:gridSpan w:val="2"/>
                  <w:vAlign w:val="center"/>
                </w:tcPr>
                <w:p>
                  <w:pPr>
                    <w:jc w:val="center"/>
                    <w:rPr>
                      <w:rFonts w:ascii="宋体" w:hAnsi="宋体"/>
                      <w:color w:val="000000"/>
                    </w:rPr>
                  </w:pPr>
                  <w:r>
                    <w:rPr>
                      <w:rFonts w:hint="eastAsia" w:ascii="宋体" w:hAnsi="宋体"/>
                      <w:color w:val="000000"/>
                    </w:rPr>
                    <w:t>主要为木材、板材库房</w:t>
                  </w:r>
                </w:p>
              </w:tc>
              <w:tc>
                <w:tcPr>
                  <w:tcW w:w="3031" w:type="dxa"/>
                  <w:vAlign w:val="center"/>
                </w:tcPr>
                <w:p>
                  <w:pPr>
                    <w:jc w:val="center"/>
                    <w:rPr>
                      <w:rFonts w:ascii="宋体" w:hAnsi="宋体"/>
                      <w:color w:val="000000"/>
                    </w:rPr>
                  </w:pPr>
                  <w:r>
                    <w:rPr>
                      <w:rFonts w:hint="eastAsia" w:ascii="宋体" w:hAnsi="宋体"/>
                      <w:color w:val="000000"/>
                    </w:rPr>
                    <w:t>木材、板材库房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continue"/>
                  <w:vAlign w:val="center"/>
                </w:tcPr>
                <w:p>
                  <w:pPr>
                    <w:jc w:val="center"/>
                    <w:rPr>
                      <w:rFonts w:ascii="宋体" w:hAnsi="宋体"/>
                      <w:color w:val="000000"/>
                    </w:rPr>
                  </w:pPr>
                </w:p>
              </w:tc>
              <w:tc>
                <w:tcPr>
                  <w:tcW w:w="1603" w:type="dxa"/>
                  <w:vAlign w:val="center"/>
                </w:tcPr>
                <w:p>
                  <w:pPr>
                    <w:jc w:val="center"/>
                    <w:rPr>
                      <w:rFonts w:ascii="宋体" w:hAnsi="宋体"/>
                      <w:color w:val="000000"/>
                    </w:rPr>
                  </w:pPr>
                  <w:r>
                    <w:rPr>
                      <w:rFonts w:hint="eastAsia" w:ascii="宋体" w:hAnsi="宋体"/>
                      <w:color w:val="000000"/>
                    </w:rPr>
                    <w:t>2层</w:t>
                  </w:r>
                </w:p>
              </w:tc>
              <w:tc>
                <w:tcPr>
                  <w:tcW w:w="3082" w:type="dxa"/>
                  <w:gridSpan w:val="2"/>
                  <w:vAlign w:val="center"/>
                </w:tcPr>
                <w:p>
                  <w:pPr>
                    <w:jc w:val="center"/>
                    <w:rPr>
                      <w:rFonts w:ascii="宋体" w:hAnsi="宋体"/>
                      <w:color w:val="000000"/>
                    </w:rPr>
                  </w:pPr>
                  <w:r>
                    <w:rPr>
                      <w:rFonts w:hint="eastAsia" w:ascii="宋体" w:hAnsi="宋体"/>
                      <w:color w:val="000000"/>
                    </w:rPr>
                    <w:t>主要为民用家具半成品白坯库房</w:t>
                  </w:r>
                </w:p>
              </w:tc>
              <w:tc>
                <w:tcPr>
                  <w:tcW w:w="3031" w:type="dxa"/>
                  <w:vAlign w:val="center"/>
                </w:tcPr>
                <w:p>
                  <w:pPr>
                    <w:jc w:val="center"/>
                    <w:rPr>
                      <w:rFonts w:ascii="宋体" w:hAnsi="宋体"/>
                      <w:color w:val="000000"/>
                    </w:rPr>
                  </w:pPr>
                  <w:r>
                    <w:rPr>
                      <w:rFonts w:hint="eastAsia" w:ascii="宋体" w:hAnsi="宋体"/>
                      <w:color w:val="000000"/>
                    </w:rPr>
                    <w:t>民用家具半成品白坯库房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3</w:t>
                  </w:r>
                </w:p>
              </w:tc>
              <w:tc>
                <w:tcPr>
                  <w:tcW w:w="1603" w:type="dxa"/>
                  <w:vAlign w:val="center"/>
                </w:tcPr>
                <w:p>
                  <w:pPr>
                    <w:jc w:val="center"/>
                    <w:rPr>
                      <w:rFonts w:ascii="宋体" w:hAnsi="宋体"/>
                      <w:color w:val="000000"/>
                    </w:rPr>
                  </w:pPr>
                  <w:r>
                    <w:rPr>
                      <w:rFonts w:hint="eastAsia" w:ascii="宋体" w:hAnsi="宋体"/>
                      <w:color w:val="000000"/>
                    </w:rPr>
                    <w:t>3#和4#组合厂房</w:t>
                  </w:r>
                </w:p>
              </w:tc>
              <w:tc>
                <w:tcPr>
                  <w:tcW w:w="3082" w:type="dxa"/>
                  <w:gridSpan w:val="2"/>
                  <w:vAlign w:val="center"/>
                </w:tcPr>
                <w:p>
                  <w:pPr>
                    <w:jc w:val="center"/>
                    <w:rPr>
                      <w:rFonts w:ascii="宋体" w:hAnsi="宋体"/>
                      <w:color w:val="000000"/>
                    </w:rPr>
                  </w:pPr>
                  <w:r>
                    <w:rPr>
                      <w:rFonts w:hint="eastAsia" w:ascii="宋体" w:hAnsi="宋体"/>
                      <w:color w:val="000000"/>
                    </w:rPr>
                    <w:t>家具生产车间</w:t>
                  </w:r>
                </w:p>
              </w:tc>
              <w:tc>
                <w:tcPr>
                  <w:tcW w:w="3031" w:type="dxa"/>
                  <w:vAlign w:val="center"/>
                </w:tcPr>
                <w:p>
                  <w:pPr>
                    <w:jc w:val="center"/>
                    <w:rPr>
                      <w:rFonts w:ascii="宋体" w:hAnsi="宋体"/>
                      <w:color w:val="000000"/>
                    </w:rPr>
                  </w:pPr>
                  <w:r>
                    <w:rPr>
                      <w:rFonts w:hint="eastAsia" w:ascii="宋体" w:hAnsi="宋体"/>
                      <w:color w:val="000000"/>
                    </w:rPr>
                    <w:t>2层，建筑面积为16929.13</w:t>
                  </w:r>
                  <w:r>
                    <w:rPr>
                      <w:rFonts w:ascii="宋体" w:hAnsi="宋体" w:cs="宋体"/>
                      <w:color w:val="000000"/>
                    </w:rPr>
                    <w:t>m</w:t>
                  </w:r>
                  <w:r>
                    <w:rPr>
                      <w:rFonts w:ascii="宋体" w:hAnsi="宋体" w:cs="宋体"/>
                      <w:color w:val="000000"/>
                      <w:vertAlign w:val="superscript"/>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restart"/>
                  <w:vAlign w:val="center"/>
                </w:tcPr>
                <w:p>
                  <w:pPr>
                    <w:jc w:val="center"/>
                    <w:rPr>
                      <w:rFonts w:ascii="宋体" w:hAnsi="宋体"/>
                      <w:color w:val="000000"/>
                    </w:rPr>
                  </w:pPr>
                  <w:r>
                    <w:rPr>
                      <w:rFonts w:hint="eastAsia" w:ascii="宋体" w:hAnsi="宋体"/>
                      <w:color w:val="000000"/>
                    </w:rPr>
                    <w:t>其中</w:t>
                  </w:r>
                </w:p>
              </w:tc>
              <w:tc>
                <w:tcPr>
                  <w:tcW w:w="1603" w:type="dxa"/>
                  <w:vAlign w:val="center"/>
                </w:tcPr>
                <w:p>
                  <w:pPr>
                    <w:jc w:val="center"/>
                    <w:rPr>
                      <w:rFonts w:ascii="宋体" w:hAnsi="宋体"/>
                      <w:color w:val="000000"/>
                    </w:rPr>
                  </w:pPr>
                  <w:r>
                    <w:rPr>
                      <w:rFonts w:hint="eastAsia" w:ascii="宋体" w:hAnsi="宋体"/>
                      <w:color w:val="000000"/>
                    </w:rPr>
                    <w:t>3#厂房1层</w:t>
                  </w:r>
                </w:p>
              </w:tc>
              <w:tc>
                <w:tcPr>
                  <w:tcW w:w="3082" w:type="dxa"/>
                  <w:gridSpan w:val="2"/>
                  <w:vAlign w:val="center"/>
                </w:tcPr>
                <w:p>
                  <w:pPr>
                    <w:jc w:val="center"/>
                    <w:rPr>
                      <w:rFonts w:ascii="宋体" w:hAnsi="宋体"/>
                      <w:color w:val="000000"/>
                    </w:rPr>
                  </w:pPr>
                  <w:r>
                    <w:rPr>
                      <w:rFonts w:hint="eastAsia" w:ascii="宋体" w:hAnsi="宋体"/>
                      <w:color w:val="000000"/>
                    </w:rPr>
                    <w:t>主要为油漆无尘喷涂烘房</w:t>
                  </w:r>
                </w:p>
              </w:tc>
              <w:tc>
                <w:tcPr>
                  <w:tcW w:w="3031" w:type="dxa"/>
                  <w:vAlign w:val="center"/>
                </w:tcPr>
                <w:p>
                  <w:pPr>
                    <w:jc w:val="center"/>
                    <w:rPr>
                      <w:rFonts w:ascii="宋体" w:hAnsi="宋体"/>
                      <w:color w:val="000000"/>
                    </w:rPr>
                  </w:pPr>
                  <w:r>
                    <w:rPr>
                      <w:rFonts w:hint="eastAsia" w:ascii="宋体" w:hAnsi="宋体"/>
                      <w:color w:val="000000"/>
                    </w:rPr>
                    <w:t>油漆无尘喷涂生产线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continue"/>
                  <w:vAlign w:val="center"/>
                </w:tcPr>
                <w:p>
                  <w:pPr>
                    <w:jc w:val="center"/>
                    <w:rPr>
                      <w:rFonts w:ascii="宋体" w:hAnsi="宋体"/>
                      <w:color w:val="000000"/>
                    </w:rPr>
                  </w:pPr>
                </w:p>
              </w:tc>
              <w:tc>
                <w:tcPr>
                  <w:tcW w:w="1603" w:type="dxa"/>
                  <w:vAlign w:val="center"/>
                </w:tcPr>
                <w:p>
                  <w:pPr>
                    <w:jc w:val="center"/>
                    <w:rPr>
                      <w:rFonts w:ascii="宋体" w:hAnsi="宋体"/>
                      <w:color w:val="000000"/>
                    </w:rPr>
                  </w:pPr>
                  <w:r>
                    <w:rPr>
                      <w:rFonts w:hint="eastAsia" w:ascii="宋体" w:hAnsi="宋体"/>
                      <w:color w:val="000000"/>
                    </w:rPr>
                    <w:t>3#厂房2层</w:t>
                  </w:r>
                </w:p>
              </w:tc>
              <w:tc>
                <w:tcPr>
                  <w:tcW w:w="3082" w:type="dxa"/>
                  <w:gridSpan w:val="2"/>
                  <w:vAlign w:val="center"/>
                </w:tcPr>
                <w:p>
                  <w:pPr>
                    <w:jc w:val="center"/>
                    <w:rPr>
                      <w:rFonts w:ascii="宋体" w:hAnsi="宋体"/>
                      <w:color w:val="000000"/>
                    </w:rPr>
                  </w:pPr>
                  <w:r>
                    <w:rPr>
                      <w:rFonts w:hint="eastAsia" w:ascii="宋体" w:hAnsi="宋体"/>
                      <w:color w:val="000000"/>
                    </w:rPr>
                    <w:t>主要为油漆打磨车间</w:t>
                  </w:r>
                </w:p>
              </w:tc>
              <w:tc>
                <w:tcPr>
                  <w:tcW w:w="3031" w:type="dxa"/>
                  <w:vAlign w:val="center"/>
                </w:tcPr>
                <w:p>
                  <w:pPr>
                    <w:jc w:val="center"/>
                    <w:rPr>
                      <w:rFonts w:ascii="宋体" w:hAnsi="宋体"/>
                      <w:color w:val="000000"/>
                    </w:rPr>
                  </w:pPr>
                  <w:r>
                    <w:rPr>
                      <w:rFonts w:hint="eastAsia" w:ascii="宋体" w:hAnsi="宋体"/>
                      <w:color w:val="000000"/>
                    </w:rPr>
                    <w:t>油漆打磨生产线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continue"/>
                  <w:vAlign w:val="center"/>
                </w:tcPr>
                <w:p>
                  <w:pPr>
                    <w:jc w:val="center"/>
                    <w:rPr>
                      <w:rFonts w:ascii="宋体" w:hAnsi="宋体"/>
                      <w:color w:val="000000"/>
                    </w:rPr>
                  </w:pPr>
                </w:p>
              </w:tc>
              <w:tc>
                <w:tcPr>
                  <w:tcW w:w="1603" w:type="dxa"/>
                  <w:vAlign w:val="center"/>
                </w:tcPr>
                <w:p>
                  <w:pPr>
                    <w:jc w:val="center"/>
                    <w:rPr>
                      <w:rFonts w:ascii="宋体" w:hAnsi="宋体"/>
                      <w:color w:val="000000"/>
                    </w:rPr>
                  </w:pPr>
                  <w:r>
                    <w:rPr>
                      <w:rFonts w:hint="eastAsia" w:ascii="宋体" w:hAnsi="宋体"/>
                      <w:color w:val="000000"/>
                    </w:rPr>
                    <w:t>4#厂房1层</w:t>
                  </w:r>
                </w:p>
              </w:tc>
              <w:tc>
                <w:tcPr>
                  <w:tcW w:w="3082" w:type="dxa"/>
                  <w:gridSpan w:val="2"/>
                  <w:vAlign w:val="center"/>
                </w:tcPr>
                <w:p>
                  <w:pPr>
                    <w:jc w:val="center"/>
                    <w:rPr>
                      <w:rFonts w:ascii="宋体" w:hAnsi="宋体"/>
                      <w:color w:val="000000"/>
                    </w:rPr>
                  </w:pPr>
                  <w:r>
                    <w:rPr>
                      <w:rFonts w:hint="eastAsia" w:ascii="宋体" w:hAnsi="宋体"/>
                      <w:color w:val="000000"/>
                    </w:rPr>
                    <w:t>主要为实木机加工车间</w:t>
                  </w:r>
                </w:p>
              </w:tc>
              <w:tc>
                <w:tcPr>
                  <w:tcW w:w="3031" w:type="dxa"/>
                  <w:vAlign w:val="center"/>
                </w:tcPr>
                <w:p>
                  <w:pPr>
                    <w:jc w:val="center"/>
                    <w:rPr>
                      <w:rFonts w:ascii="宋体" w:hAnsi="宋体"/>
                      <w:color w:val="000000"/>
                    </w:rPr>
                  </w:pPr>
                  <w:r>
                    <w:rPr>
                      <w:rFonts w:hint="eastAsia" w:ascii="宋体" w:hAnsi="宋体"/>
                      <w:color w:val="000000"/>
                    </w:rPr>
                    <w:t>实木机加工生产线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continue"/>
                  <w:vAlign w:val="center"/>
                </w:tcPr>
                <w:p>
                  <w:pPr>
                    <w:jc w:val="center"/>
                    <w:rPr>
                      <w:rFonts w:ascii="宋体" w:hAnsi="宋体"/>
                      <w:color w:val="000000"/>
                    </w:rPr>
                  </w:pPr>
                </w:p>
              </w:tc>
              <w:tc>
                <w:tcPr>
                  <w:tcW w:w="1603" w:type="dxa"/>
                  <w:vAlign w:val="center"/>
                </w:tcPr>
                <w:p>
                  <w:pPr>
                    <w:jc w:val="center"/>
                    <w:rPr>
                      <w:rFonts w:ascii="宋体" w:hAnsi="宋体"/>
                      <w:color w:val="000000"/>
                    </w:rPr>
                  </w:pPr>
                  <w:r>
                    <w:rPr>
                      <w:rFonts w:hint="eastAsia" w:ascii="宋体" w:hAnsi="宋体"/>
                      <w:color w:val="000000"/>
                    </w:rPr>
                    <w:t>4#厂房2层</w:t>
                  </w:r>
                </w:p>
              </w:tc>
              <w:tc>
                <w:tcPr>
                  <w:tcW w:w="3082" w:type="dxa"/>
                  <w:gridSpan w:val="2"/>
                  <w:vAlign w:val="center"/>
                </w:tcPr>
                <w:p>
                  <w:pPr>
                    <w:jc w:val="center"/>
                    <w:rPr>
                      <w:rFonts w:ascii="宋体" w:hAnsi="宋体"/>
                      <w:color w:val="000000"/>
                    </w:rPr>
                  </w:pPr>
                  <w:r>
                    <w:rPr>
                      <w:rFonts w:hint="eastAsia" w:ascii="宋体" w:hAnsi="宋体"/>
                      <w:color w:val="000000"/>
                    </w:rPr>
                    <w:t>主要为白坯打磨车间</w:t>
                  </w:r>
                </w:p>
              </w:tc>
              <w:tc>
                <w:tcPr>
                  <w:tcW w:w="3031" w:type="dxa"/>
                  <w:vAlign w:val="center"/>
                </w:tcPr>
                <w:p>
                  <w:pPr>
                    <w:jc w:val="center"/>
                    <w:rPr>
                      <w:rFonts w:ascii="宋体" w:hAnsi="宋体"/>
                      <w:color w:val="000000"/>
                    </w:rPr>
                  </w:pPr>
                  <w:r>
                    <w:rPr>
                      <w:rFonts w:hint="eastAsia" w:ascii="宋体" w:hAnsi="宋体"/>
                      <w:color w:val="000000"/>
                    </w:rPr>
                    <w:t>白坯打磨生产线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4</w:t>
                  </w:r>
                </w:p>
              </w:tc>
              <w:tc>
                <w:tcPr>
                  <w:tcW w:w="1603" w:type="dxa"/>
                  <w:vAlign w:val="center"/>
                </w:tcPr>
                <w:p>
                  <w:pPr>
                    <w:jc w:val="center"/>
                    <w:rPr>
                      <w:rFonts w:ascii="宋体" w:hAnsi="宋体"/>
                      <w:color w:val="000000"/>
                    </w:rPr>
                  </w:pPr>
                  <w:r>
                    <w:rPr>
                      <w:rFonts w:hint="eastAsia" w:ascii="宋体" w:hAnsi="宋体"/>
                      <w:color w:val="000000"/>
                    </w:rPr>
                    <w:t>5#厂房</w:t>
                  </w:r>
                </w:p>
              </w:tc>
              <w:tc>
                <w:tcPr>
                  <w:tcW w:w="3082" w:type="dxa"/>
                  <w:gridSpan w:val="2"/>
                  <w:vAlign w:val="center"/>
                </w:tcPr>
                <w:p>
                  <w:pPr>
                    <w:jc w:val="center"/>
                    <w:rPr>
                      <w:rFonts w:ascii="宋体" w:hAnsi="宋体"/>
                      <w:color w:val="000000"/>
                    </w:rPr>
                  </w:pPr>
                  <w:r>
                    <w:rPr>
                      <w:rFonts w:hint="eastAsia" w:ascii="宋体" w:hAnsi="宋体"/>
                      <w:color w:val="000000"/>
                    </w:rPr>
                    <w:t>五金库房及包装车间</w:t>
                  </w:r>
                </w:p>
              </w:tc>
              <w:tc>
                <w:tcPr>
                  <w:tcW w:w="3031" w:type="dxa"/>
                  <w:vAlign w:val="center"/>
                </w:tcPr>
                <w:p>
                  <w:pPr>
                    <w:jc w:val="center"/>
                    <w:rPr>
                      <w:rFonts w:ascii="宋体" w:hAnsi="宋体"/>
                      <w:color w:val="000000"/>
                    </w:rPr>
                  </w:pPr>
                  <w:r>
                    <w:rPr>
                      <w:rFonts w:hint="eastAsia" w:ascii="宋体" w:hAnsi="宋体"/>
                      <w:color w:val="000000"/>
                    </w:rPr>
                    <w:t>2层，建筑面积为3327.86</w:t>
                  </w:r>
                  <w:r>
                    <w:rPr>
                      <w:rFonts w:ascii="宋体" w:hAnsi="宋体" w:cs="宋体"/>
                      <w:color w:val="000000"/>
                    </w:rPr>
                    <w:t>m</w:t>
                  </w:r>
                  <w:r>
                    <w:rPr>
                      <w:rFonts w:ascii="宋体" w:hAnsi="宋体" w:cs="宋体"/>
                      <w:color w:val="000000"/>
                      <w:vertAlign w:val="superscript"/>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restart"/>
                  <w:vAlign w:val="center"/>
                </w:tcPr>
                <w:p>
                  <w:pPr>
                    <w:jc w:val="center"/>
                    <w:rPr>
                      <w:rFonts w:ascii="宋体" w:hAnsi="宋体"/>
                      <w:color w:val="000000"/>
                    </w:rPr>
                  </w:pPr>
                  <w:r>
                    <w:rPr>
                      <w:rFonts w:hint="eastAsia" w:ascii="宋体" w:hAnsi="宋体"/>
                      <w:color w:val="000000"/>
                    </w:rPr>
                    <w:t>其中</w:t>
                  </w:r>
                </w:p>
              </w:tc>
              <w:tc>
                <w:tcPr>
                  <w:tcW w:w="1603" w:type="dxa"/>
                  <w:vAlign w:val="center"/>
                </w:tcPr>
                <w:p>
                  <w:pPr>
                    <w:jc w:val="center"/>
                    <w:rPr>
                      <w:rFonts w:ascii="宋体" w:hAnsi="宋体"/>
                      <w:color w:val="000000"/>
                    </w:rPr>
                  </w:pPr>
                  <w:r>
                    <w:rPr>
                      <w:rFonts w:hint="eastAsia" w:ascii="宋体" w:hAnsi="宋体"/>
                      <w:color w:val="000000"/>
                    </w:rPr>
                    <w:t>5#厂房1层</w:t>
                  </w:r>
                </w:p>
              </w:tc>
              <w:tc>
                <w:tcPr>
                  <w:tcW w:w="3082" w:type="dxa"/>
                  <w:gridSpan w:val="2"/>
                  <w:vAlign w:val="center"/>
                </w:tcPr>
                <w:p>
                  <w:pPr>
                    <w:jc w:val="center"/>
                    <w:rPr>
                      <w:rFonts w:ascii="宋体" w:hAnsi="宋体"/>
                      <w:color w:val="000000"/>
                    </w:rPr>
                  </w:pPr>
                  <w:r>
                    <w:rPr>
                      <w:rFonts w:hint="eastAsia" w:ascii="宋体" w:hAnsi="宋体"/>
                      <w:color w:val="000000"/>
                    </w:rPr>
                    <w:t>主要为五金库房</w:t>
                  </w:r>
                </w:p>
              </w:tc>
              <w:tc>
                <w:tcPr>
                  <w:tcW w:w="3031" w:type="dxa"/>
                  <w:vAlign w:val="center"/>
                </w:tcPr>
                <w:p>
                  <w:pPr>
                    <w:jc w:val="center"/>
                    <w:rPr>
                      <w:rFonts w:ascii="宋体" w:hAnsi="宋体"/>
                      <w:color w:val="000000"/>
                    </w:rPr>
                  </w:pPr>
                  <w:r>
                    <w:rPr>
                      <w:rFonts w:hint="eastAsia" w:ascii="宋体" w:hAnsi="宋体"/>
                      <w:color w:val="000000"/>
                    </w:rPr>
                    <w:t>五金库房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continue"/>
                  <w:vAlign w:val="center"/>
                </w:tcPr>
                <w:p>
                  <w:pPr>
                    <w:jc w:val="center"/>
                    <w:rPr>
                      <w:rFonts w:ascii="宋体" w:hAnsi="宋体"/>
                      <w:color w:val="000000"/>
                    </w:rPr>
                  </w:pPr>
                </w:p>
              </w:tc>
              <w:tc>
                <w:tcPr>
                  <w:tcW w:w="1603" w:type="dxa"/>
                  <w:vAlign w:val="center"/>
                </w:tcPr>
                <w:p>
                  <w:pPr>
                    <w:jc w:val="center"/>
                    <w:rPr>
                      <w:rFonts w:ascii="宋体" w:hAnsi="宋体"/>
                      <w:color w:val="000000"/>
                    </w:rPr>
                  </w:pPr>
                  <w:r>
                    <w:rPr>
                      <w:rFonts w:hint="eastAsia" w:ascii="宋体" w:hAnsi="宋体"/>
                      <w:color w:val="000000"/>
                    </w:rPr>
                    <w:t>5#厂房2层</w:t>
                  </w:r>
                </w:p>
              </w:tc>
              <w:tc>
                <w:tcPr>
                  <w:tcW w:w="3082" w:type="dxa"/>
                  <w:gridSpan w:val="2"/>
                  <w:vAlign w:val="center"/>
                </w:tcPr>
                <w:p>
                  <w:pPr>
                    <w:jc w:val="center"/>
                    <w:rPr>
                      <w:rFonts w:ascii="宋体" w:hAnsi="宋体"/>
                      <w:color w:val="000000"/>
                    </w:rPr>
                  </w:pPr>
                  <w:r>
                    <w:rPr>
                      <w:rFonts w:hint="eastAsia" w:ascii="宋体" w:hAnsi="宋体"/>
                      <w:color w:val="000000"/>
                    </w:rPr>
                    <w:t>主要为软包车间</w:t>
                  </w:r>
                </w:p>
              </w:tc>
              <w:tc>
                <w:tcPr>
                  <w:tcW w:w="3031" w:type="dxa"/>
                  <w:vAlign w:val="center"/>
                </w:tcPr>
                <w:p>
                  <w:pPr>
                    <w:jc w:val="center"/>
                    <w:rPr>
                      <w:rFonts w:ascii="宋体" w:hAnsi="宋体"/>
                      <w:color w:val="000000"/>
                    </w:rPr>
                  </w:pPr>
                  <w:r>
                    <w:rPr>
                      <w:rFonts w:hint="eastAsia" w:ascii="宋体" w:hAnsi="宋体"/>
                      <w:color w:val="000000"/>
                    </w:rPr>
                    <w:t>软包线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5</w:t>
                  </w:r>
                </w:p>
              </w:tc>
              <w:tc>
                <w:tcPr>
                  <w:tcW w:w="1603" w:type="dxa"/>
                  <w:vAlign w:val="center"/>
                </w:tcPr>
                <w:p>
                  <w:pPr>
                    <w:jc w:val="center"/>
                    <w:rPr>
                      <w:rFonts w:ascii="宋体" w:hAnsi="宋体"/>
                      <w:color w:val="000000"/>
                    </w:rPr>
                  </w:pPr>
                  <w:r>
                    <w:rPr>
                      <w:rFonts w:hint="eastAsia" w:ascii="宋体" w:hAnsi="宋体"/>
                      <w:color w:val="000000"/>
                    </w:rPr>
                    <w:t>6#厂房</w:t>
                  </w:r>
                </w:p>
              </w:tc>
              <w:tc>
                <w:tcPr>
                  <w:tcW w:w="3082" w:type="dxa"/>
                  <w:gridSpan w:val="2"/>
                  <w:vAlign w:val="center"/>
                </w:tcPr>
                <w:p>
                  <w:pPr>
                    <w:jc w:val="center"/>
                    <w:rPr>
                      <w:rFonts w:ascii="宋体" w:hAnsi="宋体"/>
                      <w:color w:val="000000"/>
                    </w:rPr>
                  </w:pPr>
                  <w:r>
                    <w:rPr>
                      <w:rFonts w:hint="eastAsia" w:ascii="宋体" w:hAnsi="宋体"/>
                      <w:color w:val="000000"/>
                    </w:rPr>
                    <w:t>家具成品库房</w:t>
                  </w:r>
                </w:p>
              </w:tc>
              <w:tc>
                <w:tcPr>
                  <w:tcW w:w="3031" w:type="dxa"/>
                  <w:vAlign w:val="center"/>
                </w:tcPr>
                <w:p>
                  <w:pPr>
                    <w:jc w:val="center"/>
                    <w:rPr>
                      <w:rFonts w:ascii="宋体" w:hAnsi="宋体"/>
                      <w:color w:val="000000"/>
                    </w:rPr>
                  </w:pPr>
                  <w:r>
                    <w:rPr>
                      <w:rFonts w:hint="eastAsia" w:ascii="宋体" w:hAnsi="宋体"/>
                      <w:color w:val="000000"/>
                    </w:rPr>
                    <w:t>家具成品库房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restart"/>
                  <w:vAlign w:val="center"/>
                </w:tcPr>
                <w:p>
                  <w:pPr>
                    <w:jc w:val="center"/>
                    <w:rPr>
                      <w:rFonts w:ascii="宋体" w:hAnsi="宋体"/>
                      <w:color w:val="000000"/>
                    </w:rPr>
                  </w:pPr>
                  <w:r>
                    <w:rPr>
                      <w:rFonts w:hint="eastAsia" w:ascii="宋体" w:hAnsi="宋体"/>
                      <w:color w:val="000000"/>
                    </w:rPr>
                    <w:t>其中</w:t>
                  </w:r>
                </w:p>
              </w:tc>
              <w:tc>
                <w:tcPr>
                  <w:tcW w:w="1603" w:type="dxa"/>
                  <w:vAlign w:val="center"/>
                </w:tcPr>
                <w:p>
                  <w:pPr>
                    <w:jc w:val="center"/>
                    <w:rPr>
                      <w:rFonts w:ascii="宋体" w:hAnsi="宋体"/>
                      <w:color w:val="000000"/>
                    </w:rPr>
                  </w:pPr>
                  <w:r>
                    <w:rPr>
                      <w:rFonts w:hint="eastAsia" w:ascii="宋体" w:hAnsi="宋体"/>
                      <w:color w:val="000000"/>
                    </w:rPr>
                    <w:t>6#厂房1层</w:t>
                  </w:r>
                </w:p>
              </w:tc>
              <w:tc>
                <w:tcPr>
                  <w:tcW w:w="3082" w:type="dxa"/>
                  <w:gridSpan w:val="2"/>
                  <w:vAlign w:val="center"/>
                </w:tcPr>
                <w:p>
                  <w:pPr>
                    <w:jc w:val="center"/>
                    <w:rPr>
                      <w:rFonts w:ascii="宋体" w:hAnsi="宋体"/>
                      <w:color w:val="000000"/>
                    </w:rPr>
                  </w:pPr>
                  <w:r>
                    <w:rPr>
                      <w:rFonts w:hint="eastAsia" w:ascii="宋体" w:hAnsi="宋体"/>
                      <w:color w:val="000000"/>
                    </w:rPr>
                    <w:t>主要为酒店家具成品库房</w:t>
                  </w:r>
                </w:p>
              </w:tc>
              <w:tc>
                <w:tcPr>
                  <w:tcW w:w="3031" w:type="dxa"/>
                  <w:vAlign w:val="center"/>
                </w:tcPr>
                <w:p>
                  <w:pPr>
                    <w:jc w:val="center"/>
                    <w:rPr>
                      <w:rFonts w:ascii="宋体" w:hAnsi="宋体"/>
                      <w:color w:val="000000"/>
                    </w:rPr>
                  </w:pPr>
                  <w:r>
                    <w:rPr>
                      <w:rFonts w:hint="eastAsia" w:ascii="宋体" w:hAnsi="宋体"/>
                      <w:color w:val="000000"/>
                    </w:rPr>
                    <w:t>酒店家具成品库房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Merge w:val="continue"/>
                  <w:vAlign w:val="center"/>
                </w:tcPr>
                <w:p>
                  <w:pPr>
                    <w:jc w:val="center"/>
                    <w:rPr>
                      <w:rFonts w:ascii="宋体" w:hAnsi="宋体"/>
                      <w:color w:val="000000"/>
                    </w:rPr>
                  </w:pPr>
                </w:p>
              </w:tc>
              <w:tc>
                <w:tcPr>
                  <w:tcW w:w="1603" w:type="dxa"/>
                  <w:vAlign w:val="center"/>
                </w:tcPr>
                <w:p>
                  <w:pPr>
                    <w:jc w:val="center"/>
                    <w:rPr>
                      <w:rFonts w:ascii="宋体" w:hAnsi="宋体"/>
                      <w:color w:val="000000"/>
                    </w:rPr>
                  </w:pPr>
                  <w:r>
                    <w:rPr>
                      <w:rFonts w:hint="eastAsia" w:ascii="宋体" w:hAnsi="宋体"/>
                      <w:color w:val="000000"/>
                    </w:rPr>
                    <w:t>6#厂房2层</w:t>
                  </w:r>
                </w:p>
              </w:tc>
              <w:tc>
                <w:tcPr>
                  <w:tcW w:w="3082" w:type="dxa"/>
                  <w:gridSpan w:val="2"/>
                  <w:vAlign w:val="center"/>
                </w:tcPr>
                <w:p>
                  <w:pPr>
                    <w:jc w:val="center"/>
                    <w:rPr>
                      <w:rFonts w:ascii="宋体" w:hAnsi="宋体"/>
                      <w:color w:val="000000"/>
                    </w:rPr>
                  </w:pPr>
                  <w:r>
                    <w:rPr>
                      <w:rFonts w:hint="eastAsia" w:ascii="宋体" w:hAnsi="宋体"/>
                      <w:color w:val="000000"/>
                    </w:rPr>
                    <w:t>主要为民用家具成品库房</w:t>
                  </w:r>
                </w:p>
              </w:tc>
              <w:tc>
                <w:tcPr>
                  <w:tcW w:w="3031" w:type="dxa"/>
                  <w:vAlign w:val="center"/>
                </w:tcPr>
                <w:p>
                  <w:pPr>
                    <w:jc w:val="center"/>
                    <w:rPr>
                      <w:rFonts w:ascii="宋体" w:hAnsi="宋体"/>
                      <w:color w:val="000000"/>
                    </w:rPr>
                  </w:pPr>
                  <w:r>
                    <w:rPr>
                      <w:rFonts w:hint="eastAsia" w:ascii="宋体" w:hAnsi="宋体"/>
                      <w:color w:val="000000"/>
                    </w:rPr>
                    <w:t>民用家具成品库房</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6</w:t>
                  </w:r>
                </w:p>
              </w:tc>
              <w:tc>
                <w:tcPr>
                  <w:tcW w:w="1603" w:type="dxa"/>
                  <w:vAlign w:val="center"/>
                </w:tcPr>
                <w:p>
                  <w:pPr>
                    <w:jc w:val="center"/>
                    <w:rPr>
                      <w:rFonts w:ascii="宋体" w:hAnsi="宋体"/>
                      <w:color w:val="000000"/>
                    </w:rPr>
                  </w:pPr>
                  <w:r>
                    <w:rPr>
                      <w:rFonts w:hint="eastAsia" w:ascii="宋体" w:hAnsi="宋体"/>
                      <w:color w:val="000000"/>
                    </w:rPr>
                    <w:t>办公宿舍楼</w:t>
                  </w:r>
                </w:p>
              </w:tc>
              <w:tc>
                <w:tcPr>
                  <w:tcW w:w="3082" w:type="dxa"/>
                  <w:gridSpan w:val="2"/>
                  <w:vAlign w:val="center"/>
                </w:tcPr>
                <w:p>
                  <w:pPr>
                    <w:jc w:val="center"/>
                    <w:rPr>
                      <w:rFonts w:ascii="宋体" w:hAnsi="宋体"/>
                      <w:color w:val="000000"/>
                    </w:rPr>
                  </w:pPr>
                  <w:r>
                    <w:rPr>
                      <w:rFonts w:hint="eastAsia" w:ascii="宋体" w:hAnsi="宋体"/>
                      <w:color w:val="000000"/>
                    </w:rPr>
                    <w:t>主要为工作人员办公及宿舍</w:t>
                  </w:r>
                </w:p>
              </w:tc>
              <w:tc>
                <w:tcPr>
                  <w:tcW w:w="3031" w:type="dxa"/>
                  <w:vAlign w:val="center"/>
                </w:tcPr>
                <w:p>
                  <w:pPr>
                    <w:jc w:val="center"/>
                    <w:rPr>
                      <w:rFonts w:ascii="宋体" w:hAnsi="宋体"/>
                      <w:color w:val="000000"/>
                    </w:rPr>
                  </w:pPr>
                  <w:r>
                    <w:rPr>
                      <w:rFonts w:hint="eastAsia" w:ascii="宋体" w:hAnsi="宋体"/>
                      <w:color w:val="000000"/>
                    </w:rPr>
                    <w:t>4层，建筑面积为2960m2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7</w:t>
                  </w:r>
                </w:p>
              </w:tc>
              <w:tc>
                <w:tcPr>
                  <w:tcW w:w="1603" w:type="dxa"/>
                  <w:vAlign w:val="center"/>
                </w:tcPr>
                <w:p>
                  <w:pPr>
                    <w:jc w:val="center"/>
                    <w:rPr>
                      <w:rFonts w:ascii="宋体" w:hAnsi="宋体"/>
                      <w:color w:val="000000"/>
                    </w:rPr>
                  </w:pPr>
                  <w:r>
                    <w:rPr>
                      <w:rFonts w:hint="eastAsia" w:ascii="宋体" w:hAnsi="宋体"/>
                      <w:color w:val="000000"/>
                    </w:rPr>
                    <w:t>产品研发楼</w:t>
                  </w:r>
                </w:p>
              </w:tc>
              <w:tc>
                <w:tcPr>
                  <w:tcW w:w="3082" w:type="dxa"/>
                  <w:gridSpan w:val="2"/>
                  <w:vAlign w:val="center"/>
                </w:tcPr>
                <w:p>
                  <w:pPr>
                    <w:jc w:val="center"/>
                    <w:rPr>
                      <w:rFonts w:ascii="宋体" w:hAnsi="宋体"/>
                      <w:color w:val="000000"/>
                    </w:rPr>
                  </w:pPr>
                  <w:r>
                    <w:rPr>
                      <w:rFonts w:hint="eastAsia" w:ascii="宋体" w:hAnsi="宋体"/>
                      <w:color w:val="000000"/>
                    </w:rPr>
                    <w:t>主要用作技术人员产品研发</w:t>
                  </w:r>
                </w:p>
              </w:tc>
              <w:tc>
                <w:tcPr>
                  <w:tcW w:w="3031" w:type="dxa"/>
                  <w:vAlign w:val="center"/>
                </w:tcPr>
                <w:p>
                  <w:pPr>
                    <w:jc w:val="center"/>
                    <w:rPr>
                      <w:rFonts w:ascii="宋体" w:hAnsi="宋体"/>
                      <w:color w:val="000000"/>
                    </w:rPr>
                  </w:pPr>
                  <w:r>
                    <w:rPr>
                      <w:rFonts w:hint="eastAsia" w:ascii="宋体" w:hAnsi="宋体"/>
                      <w:color w:val="000000"/>
                    </w:rPr>
                    <w:t>7层，占地面积5376.00m2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1</w:t>
                  </w:r>
                </w:p>
              </w:tc>
              <w:tc>
                <w:tcPr>
                  <w:tcW w:w="1603" w:type="dxa"/>
                  <w:vAlign w:val="center"/>
                </w:tcPr>
                <w:p>
                  <w:pPr>
                    <w:jc w:val="center"/>
                    <w:rPr>
                      <w:rFonts w:ascii="宋体" w:hAnsi="宋体"/>
                      <w:color w:val="000000"/>
                    </w:rPr>
                  </w:pPr>
                  <w:r>
                    <w:rPr>
                      <w:rFonts w:hint="eastAsia" w:ascii="宋体" w:hAnsi="宋体"/>
                      <w:color w:val="000000"/>
                    </w:rPr>
                    <w:t>污水处理设施</w:t>
                  </w:r>
                </w:p>
              </w:tc>
              <w:tc>
                <w:tcPr>
                  <w:tcW w:w="3082" w:type="dxa"/>
                  <w:gridSpan w:val="2"/>
                  <w:vAlign w:val="center"/>
                </w:tcPr>
                <w:p>
                  <w:pPr>
                    <w:jc w:val="center"/>
                    <w:rPr>
                      <w:rFonts w:ascii="宋体" w:hAnsi="宋体"/>
                      <w:color w:val="000000"/>
                    </w:rPr>
                  </w:pPr>
                  <w:r>
                    <w:rPr>
                      <w:rFonts w:hint="eastAsia" w:ascii="宋体" w:hAnsi="宋体"/>
                      <w:color w:val="000000"/>
                    </w:rPr>
                    <w:t>处理生活污水</w:t>
                  </w:r>
                </w:p>
              </w:tc>
              <w:tc>
                <w:tcPr>
                  <w:tcW w:w="3031" w:type="dxa"/>
                  <w:vAlign w:val="center"/>
                </w:tcPr>
                <w:p>
                  <w:pPr>
                    <w:jc w:val="center"/>
                    <w:rPr>
                      <w:rFonts w:ascii="宋体" w:hAnsi="宋体"/>
                      <w:color w:val="000000"/>
                    </w:rPr>
                  </w:pPr>
                  <w:r>
                    <w:rPr>
                      <w:rFonts w:hint="eastAsia" w:ascii="宋体" w:hAnsi="宋体"/>
                      <w:color w:val="000000"/>
                    </w:rPr>
                    <w:t>1个</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4" w:type="dxa"/>
                  <w:vAlign w:val="center"/>
                </w:tcPr>
                <w:p>
                  <w:pPr>
                    <w:jc w:val="center"/>
                    <w:rPr>
                      <w:rFonts w:ascii="宋体" w:hAnsi="宋体"/>
                      <w:color w:val="000000"/>
                    </w:rPr>
                  </w:pPr>
                  <w:r>
                    <w:rPr>
                      <w:rFonts w:hint="eastAsia" w:ascii="宋体" w:hAnsi="宋体"/>
                      <w:color w:val="000000"/>
                    </w:rPr>
                    <w:t>2</w:t>
                  </w:r>
                </w:p>
              </w:tc>
              <w:tc>
                <w:tcPr>
                  <w:tcW w:w="1603" w:type="dxa"/>
                  <w:vAlign w:val="center"/>
                </w:tcPr>
                <w:p>
                  <w:pPr>
                    <w:jc w:val="center"/>
                    <w:rPr>
                      <w:rFonts w:ascii="宋体" w:hAnsi="宋体"/>
                      <w:color w:val="000000"/>
                    </w:rPr>
                  </w:pPr>
                  <w:r>
                    <w:rPr>
                      <w:rFonts w:hint="eastAsia" w:ascii="宋体" w:hAnsi="宋体"/>
                      <w:color w:val="000000"/>
                    </w:rPr>
                    <w:t>固废暂存点</w:t>
                  </w:r>
                </w:p>
              </w:tc>
              <w:tc>
                <w:tcPr>
                  <w:tcW w:w="3082" w:type="dxa"/>
                  <w:gridSpan w:val="2"/>
                  <w:vAlign w:val="center"/>
                </w:tcPr>
                <w:p>
                  <w:pPr>
                    <w:jc w:val="center"/>
                    <w:rPr>
                      <w:rFonts w:ascii="宋体" w:hAnsi="宋体"/>
                      <w:color w:val="000000"/>
                    </w:rPr>
                  </w:pPr>
                  <w:r>
                    <w:rPr>
                      <w:rFonts w:hint="eastAsia" w:ascii="宋体" w:hAnsi="宋体"/>
                      <w:color w:val="000000"/>
                    </w:rPr>
                    <w:t>用于固体废物的暂时储存</w:t>
                  </w:r>
                </w:p>
              </w:tc>
              <w:tc>
                <w:tcPr>
                  <w:tcW w:w="3031" w:type="dxa"/>
                  <w:vAlign w:val="center"/>
                </w:tcPr>
                <w:p>
                  <w:pPr>
                    <w:jc w:val="center"/>
                    <w:rPr>
                      <w:rFonts w:ascii="宋体" w:hAnsi="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jc w:val="center"/>
              </w:trPr>
              <w:tc>
                <w:tcPr>
                  <w:tcW w:w="614" w:type="dxa"/>
                  <w:vAlign w:val="center"/>
                </w:tcPr>
                <w:p>
                  <w:pPr>
                    <w:jc w:val="center"/>
                    <w:rPr>
                      <w:rFonts w:ascii="宋体" w:hAnsi="宋体"/>
                      <w:color w:val="000000"/>
                    </w:rPr>
                  </w:pPr>
                  <w:r>
                    <w:rPr>
                      <w:rFonts w:hint="eastAsia" w:ascii="宋体" w:hAnsi="宋体"/>
                      <w:color w:val="000000"/>
                    </w:rPr>
                    <w:t>3</w:t>
                  </w:r>
                </w:p>
              </w:tc>
              <w:tc>
                <w:tcPr>
                  <w:tcW w:w="1603" w:type="dxa"/>
                  <w:vAlign w:val="center"/>
                </w:tcPr>
                <w:p>
                  <w:pPr>
                    <w:jc w:val="center"/>
                    <w:rPr>
                      <w:rFonts w:ascii="宋体" w:hAnsi="宋体"/>
                      <w:color w:val="000000"/>
                    </w:rPr>
                  </w:pPr>
                  <w:r>
                    <w:rPr>
                      <w:rFonts w:hint="eastAsia" w:ascii="宋体" w:hAnsi="宋体"/>
                      <w:color w:val="000000"/>
                    </w:rPr>
                    <w:t>危险废物暂存点</w:t>
                  </w:r>
                </w:p>
              </w:tc>
              <w:tc>
                <w:tcPr>
                  <w:tcW w:w="3082" w:type="dxa"/>
                  <w:gridSpan w:val="2"/>
                  <w:vAlign w:val="center"/>
                </w:tcPr>
                <w:p>
                  <w:pPr>
                    <w:jc w:val="center"/>
                    <w:rPr>
                      <w:rFonts w:ascii="宋体" w:hAnsi="宋体"/>
                      <w:color w:val="000000"/>
                    </w:rPr>
                  </w:pPr>
                  <w:r>
                    <w:rPr>
                      <w:rFonts w:hint="eastAsia" w:ascii="宋体" w:hAnsi="宋体"/>
                      <w:color w:val="000000"/>
                    </w:rPr>
                    <w:t>用于危险废物的暂时储存</w:t>
                  </w:r>
                </w:p>
              </w:tc>
              <w:tc>
                <w:tcPr>
                  <w:tcW w:w="3031" w:type="dxa"/>
                  <w:vAlign w:val="center"/>
                </w:tcPr>
                <w:p>
                  <w:pPr>
                    <w:jc w:val="center"/>
                    <w:rPr>
                      <w:rFonts w:ascii="宋体" w:hAnsi="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jc w:val="center"/>
              </w:trPr>
              <w:tc>
                <w:tcPr>
                  <w:tcW w:w="614" w:type="dxa"/>
                  <w:vAlign w:val="center"/>
                </w:tcPr>
                <w:p>
                  <w:pPr>
                    <w:jc w:val="center"/>
                    <w:rPr>
                      <w:rFonts w:ascii="宋体" w:hAnsi="宋体"/>
                      <w:color w:val="000000"/>
                    </w:rPr>
                  </w:pPr>
                  <w:r>
                    <w:rPr>
                      <w:rFonts w:hint="eastAsia" w:ascii="宋体" w:hAnsi="宋体"/>
                      <w:color w:val="000000"/>
                    </w:rPr>
                    <w:t>1</w:t>
                  </w:r>
                </w:p>
              </w:tc>
              <w:tc>
                <w:tcPr>
                  <w:tcW w:w="1603" w:type="dxa"/>
                  <w:vAlign w:val="center"/>
                </w:tcPr>
                <w:p>
                  <w:pPr>
                    <w:jc w:val="center"/>
                    <w:rPr>
                      <w:rFonts w:ascii="宋体" w:hAnsi="宋体"/>
                      <w:color w:val="000000"/>
                    </w:rPr>
                  </w:pPr>
                  <w:r>
                    <w:rPr>
                      <w:rFonts w:hint="eastAsia" w:ascii="宋体" w:hAnsi="宋体"/>
                      <w:color w:val="000000"/>
                    </w:rPr>
                    <w:t>门卫</w:t>
                  </w:r>
                </w:p>
              </w:tc>
              <w:tc>
                <w:tcPr>
                  <w:tcW w:w="3082" w:type="dxa"/>
                  <w:gridSpan w:val="2"/>
                  <w:vAlign w:val="center"/>
                </w:tcPr>
                <w:p>
                  <w:pPr>
                    <w:jc w:val="center"/>
                    <w:rPr>
                      <w:rFonts w:ascii="宋体" w:hAnsi="宋体"/>
                      <w:color w:val="000000"/>
                    </w:rPr>
                  </w:pPr>
                  <w:r>
                    <w:rPr>
                      <w:rFonts w:hint="eastAsia" w:ascii="宋体" w:hAnsi="宋体"/>
                      <w:color w:val="000000"/>
                    </w:rPr>
                    <w:t>门卫</w:t>
                  </w:r>
                </w:p>
              </w:tc>
              <w:tc>
                <w:tcPr>
                  <w:tcW w:w="3031" w:type="dxa"/>
                  <w:vAlign w:val="center"/>
                </w:tcPr>
                <w:p>
                  <w:pPr>
                    <w:jc w:val="center"/>
                    <w:rPr>
                      <w:rFonts w:ascii="宋体" w:hAnsi="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jc w:val="center"/>
              </w:trPr>
              <w:tc>
                <w:tcPr>
                  <w:tcW w:w="614" w:type="dxa"/>
                  <w:vAlign w:val="center"/>
                </w:tcPr>
                <w:p>
                  <w:pPr>
                    <w:jc w:val="center"/>
                    <w:rPr>
                      <w:rFonts w:ascii="宋体" w:hAnsi="宋体"/>
                      <w:color w:val="000000"/>
                    </w:rPr>
                  </w:pPr>
                  <w:r>
                    <w:rPr>
                      <w:rFonts w:hint="eastAsia" w:ascii="宋体" w:hAnsi="宋体"/>
                      <w:color w:val="000000"/>
                    </w:rPr>
                    <w:t>2</w:t>
                  </w:r>
                </w:p>
              </w:tc>
              <w:tc>
                <w:tcPr>
                  <w:tcW w:w="1603" w:type="dxa"/>
                  <w:vAlign w:val="center"/>
                </w:tcPr>
                <w:p>
                  <w:pPr>
                    <w:jc w:val="center"/>
                    <w:rPr>
                      <w:rFonts w:ascii="宋体" w:hAnsi="宋体"/>
                      <w:color w:val="000000"/>
                    </w:rPr>
                  </w:pPr>
                  <w:r>
                    <w:rPr>
                      <w:rFonts w:hint="eastAsia" w:ascii="宋体" w:hAnsi="宋体"/>
                      <w:color w:val="000000"/>
                    </w:rPr>
                    <w:t>职工食堂</w:t>
                  </w:r>
                </w:p>
              </w:tc>
              <w:tc>
                <w:tcPr>
                  <w:tcW w:w="3082" w:type="dxa"/>
                  <w:gridSpan w:val="2"/>
                  <w:vAlign w:val="center"/>
                </w:tcPr>
                <w:p>
                  <w:pPr>
                    <w:jc w:val="center"/>
                    <w:rPr>
                      <w:rFonts w:ascii="宋体" w:hAnsi="宋体"/>
                      <w:color w:val="000000"/>
                    </w:rPr>
                  </w:pPr>
                  <w:r>
                    <w:rPr>
                      <w:rFonts w:hint="eastAsia" w:ascii="宋体" w:hAnsi="宋体"/>
                      <w:color w:val="000000"/>
                    </w:rPr>
                    <w:t>食堂</w:t>
                  </w:r>
                </w:p>
              </w:tc>
              <w:tc>
                <w:tcPr>
                  <w:tcW w:w="3031" w:type="dxa"/>
                  <w:vAlign w:val="center"/>
                </w:tcPr>
                <w:p>
                  <w:pPr>
                    <w:jc w:val="center"/>
                    <w:rPr>
                      <w:rFonts w:ascii="宋体" w:hAnsi="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jc w:val="center"/>
              </w:trPr>
              <w:tc>
                <w:tcPr>
                  <w:tcW w:w="614" w:type="dxa"/>
                  <w:vAlign w:val="center"/>
                </w:tcPr>
                <w:p>
                  <w:pPr>
                    <w:jc w:val="center"/>
                    <w:rPr>
                      <w:rFonts w:ascii="宋体" w:hAnsi="宋体"/>
                      <w:color w:val="000000"/>
                    </w:rPr>
                  </w:pPr>
                  <w:r>
                    <w:rPr>
                      <w:rFonts w:hint="eastAsia" w:ascii="宋体" w:hAnsi="宋体"/>
                      <w:color w:val="000000"/>
                    </w:rPr>
                    <w:t>3</w:t>
                  </w:r>
                </w:p>
              </w:tc>
              <w:tc>
                <w:tcPr>
                  <w:tcW w:w="1603" w:type="dxa"/>
                  <w:vAlign w:val="center"/>
                </w:tcPr>
                <w:p>
                  <w:pPr>
                    <w:jc w:val="center"/>
                    <w:rPr>
                      <w:rFonts w:ascii="宋体" w:hAnsi="宋体"/>
                      <w:color w:val="000000"/>
                    </w:rPr>
                  </w:pPr>
                  <w:r>
                    <w:rPr>
                      <w:rFonts w:hint="eastAsia" w:ascii="宋体" w:hAnsi="宋体"/>
                      <w:color w:val="000000"/>
                    </w:rPr>
                    <w:t>停车车位</w:t>
                  </w:r>
                </w:p>
              </w:tc>
              <w:tc>
                <w:tcPr>
                  <w:tcW w:w="3082" w:type="dxa"/>
                  <w:gridSpan w:val="2"/>
                  <w:vAlign w:val="center"/>
                </w:tcPr>
                <w:p>
                  <w:pPr>
                    <w:jc w:val="center"/>
                    <w:rPr>
                      <w:rFonts w:ascii="宋体" w:hAnsi="宋体"/>
                      <w:color w:val="000000"/>
                    </w:rPr>
                  </w:pPr>
                  <w:r>
                    <w:rPr>
                      <w:rFonts w:hint="eastAsia" w:ascii="宋体" w:hAnsi="宋体"/>
                      <w:color w:val="000000"/>
                    </w:rPr>
                    <w:t>停车</w:t>
                  </w:r>
                </w:p>
              </w:tc>
              <w:tc>
                <w:tcPr>
                  <w:tcW w:w="3031" w:type="dxa"/>
                  <w:vAlign w:val="center"/>
                </w:tcPr>
                <w:p>
                  <w:pPr>
                    <w:jc w:val="center"/>
                    <w:rPr>
                      <w:rFonts w:ascii="宋体" w:hAnsi="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jc w:val="center"/>
              </w:trPr>
              <w:tc>
                <w:tcPr>
                  <w:tcW w:w="614" w:type="dxa"/>
                  <w:vAlign w:val="center"/>
                </w:tcPr>
                <w:p>
                  <w:pPr>
                    <w:jc w:val="center"/>
                    <w:rPr>
                      <w:rFonts w:ascii="宋体" w:hAnsi="宋体"/>
                      <w:color w:val="000000"/>
                    </w:rPr>
                  </w:pPr>
                  <w:r>
                    <w:rPr>
                      <w:rFonts w:hint="eastAsia" w:ascii="宋体" w:hAnsi="宋体"/>
                      <w:color w:val="000000"/>
                    </w:rPr>
                    <w:t>4</w:t>
                  </w:r>
                </w:p>
              </w:tc>
              <w:tc>
                <w:tcPr>
                  <w:tcW w:w="1603" w:type="dxa"/>
                  <w:vAlign w:val="center"/>
                </w:tcPr>
                <w:p>
                  <w:pPr>
                    <w:jc w:val="center"/>
                    <w:rPr>
                      <w:rFonts w:ascii="宋体" w:hAnsi="宋体"/>
                      <w:color w:val="000000"/>
                    </w:rPr>
                  </w:pPr>
                  <w:r>
                    <w:rPr>
                      <w:rFonts w:hint="eastAsia" w:ascii="宋体" w:hAnsi="宋体"/>
                      <w:color w:val="000000"/>
                    </w:rPr>
                    <w:t>公厕</w:t>
                  </w:r>
                </w:p>
              </w:tc>
              <w:tc>
                <w:tcPr>
                  <w:tcW w:w="3082" w:type="dxa"/>
                  <w:gridSpan w:val="2"/>
                  <w:vAlign w:val="center"/>
                </w:tcPr>
                <w:p>
                  <w:pPr>
                    <w:jc w:val="center"/>
                    <w:rPr>
                      <w:rFonts w:ascii="宋体" w:hAnsi="宋体"/>
                      <w:color w:val="000000"/>
                    </w:rPr>
                  </w:pPr>
                  <w:r>
                    <w:rPr>
                      <w:rFonts w:hint="eastAsia" w:ascii="宋体" w:hAnsi="宋体"/>
                      <w:color w:val="000000"/>
                    </w:rPr>
                    <w:t>公厕</w:t>
                  </w:r>
                </w:p>
              </w:tc>
              <w:tc>
                <w:tcPr>
                  <w:tcW w:w="3031" w:type="dxa"/>
                  <w:vAlign w:val="center"/>
                </w:tcPr>
                <w:p>
                  <w:pPr>
                    <w:jc w:val="center"/>
                    <w:rPr>
                      <w:rFonts w:ascii="宋体" w:hAnsi="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jc w:val="center"/>
              </w:trPr>
              <w:tc>
                <w:tcPr>
                  <w:tcW w:w="614" w:type="dxa"/>
                  <w:vAlign w:val="center"/>
                </w:tcPr>
                <w:p>
                  <w:pPr>
                    <w:jc w:val="center"/>
                    <w:rPr>
                      <w:rFonts w:ascii="宋体" w:hAnsi="宋体"/>
                      <w:color w:val="000000"/>
                    </w:rPr>
                  </w:pPr>
                  <w:r>
                    <w:rPr>
                      <w:rFonts w:hint="eastAsia" w:ascii="宋体" w:hAnsi="宋体"/>
                      <w:color w:val="000000"/>
                    </w:rPr>
                    <w:t>5</w:t>
                  </w:r>
                </w:p>
              </w:tc>
              <w:tc>
                <w:tcPr>
                  <w:tcW w:w="1603" w:type="dxa"/>
                  <w:vAlign w:val="center"/>
                </w:tcPr>
                <w:p>
                  <w:pPr>
                    <w:jc w:val="center"/>
                    <w:rPr>
                      <w:rFonts w:ascii="宋体" w:hAnsi="宋体"/>
                      <w:color w:val="000000"/>
                    </w:rPr>
                  </w:pPr>
                  <w:r>
                    <w:rPr>
                      <w:rFonts w:hint="eastAsia" w:ascii="宋体" w:hAnsi="宋体"/>
                      <w:color w:val="000000"/>
                    </w:rPr>
                    <w:t>配套管网</w:t>
                  </w:r>
                </w:p>
              </w:tc>
              <w:tc>
                <w:tcPr>
                  <w:tcW w:w="3082" w:type="dxa"/>
                  <w:gridSpan w:val="2"/>
                  <w:vAlign w:val="center"/>
                </w:tcPr>
                <w:p>
                  <w:pPr>
                    <w:jc w:val="center"/>
                    <w:rPr>
                      <w:rFonts w:ascii="宋体" w:hAnsi="宋体"/>
                      <w:color w:val="000000"/>
                    </w:rPr>
                  </w:pPr>
                  <w:r>
                    <w:rPr>
                      <w:rFonts w:hint="eastAsia" w:ascii="宋体" w:hAnsi="宋体"/>
                      <w:color w:val="000000"/>
                    </w:rPr>
                    <w:t>配套管网建设</w:t>
                  </w:r>
                </w:p>
              </w:tc>
              <w:tc>
                <w:tcPr>
                  <w:tcW w:w="3031" w:type="dxa"/>
                  <w:vAlign w:val="center"/>
                </w:tcPr>
                <w:p>
                  <w:pPr>
                    <w:jc w:val="center"/>
                    <w:rPr>
                      <w:rFonts w:ascii="宋体" w:hAnsi="宋体"/>
                      <w:color w:val="000000"/>
                    </w:rPr>
                  </w:pPr>
                </w:p>
              </w:tc>
            </w:tr>
          </w:tbl>
          <w:p>
            <w:pPr>
              <w:pStyle w:val="3"/>
              <w:tabs>
                <w:tab w:val="left" w:pos="269"/>
                <w:tab w:val="left" w:pos="371"/>
                <w:tab w:val="left" w:pos="432"/>
              </w:tabs>
              <w:jc w:val="left"/>
              <w:rPr>
                <w:bCs w:val="0"/>
                <w:sz w:val="24"/>
                <w:szCs w:val="22"/>
              </w:rPr>
            </w:pPr>
            <w:r>
              <w:rPr>
                <w:rFonts w:hint="eastAsia"/>
                <w:bCs w:val="0"/>
                <w:sz w:val="24"/>
                <w:szCs w:val="22"/>
              </w:rPr>
              <w:t>2.10.2  原项目产品方案</w:t>
            </w:r>
          </w:p>
          <w:p>
            <w:pPr>
              <w:jc w:val="center"/>
              <w:rPr>
                <w:rFonts w:ascii="宋体" w:hAnsi="宋体"/>
                <w:color w:val="000000"/>
              </w:rPr>
            </w:pPr>
            <w:r>
              <w:rPr>
                <w:rFonts w:hint="eastAsia" w:ascii="宋体" w:hAnsi="宋体"/>
                <w:color w:val="000000"/>
              </w:rPr>
              <w:t>表2.10-2    原项目产品方案一览表</w:t>
            </w:r>
          </w:p>
          <w:tbl>
            <w:tblPr>
              <w:tblStyle w:val="88"/>
              <w:tblW w:w="80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108"/>
              <w:gridCol w:w="2334"/>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2" w:type="dxa"/>
                  <w:gridSpan w:val="3"/>
                  <w:vAlign w:val="center"/>
                </w:tcPr>
                <w:p>
                  <w:pPr>
                    <w:jc w:val="center"/>
                    <w:rPr>
                      <w:rFonts w:ascii="宋体" w:hAnsi="宋体"/>
                      <w:color w:val="000000"/>
                    </w:rPr>
                  </w:pPr>
                  <w:r>
                    <w:rPr>
                      <w:rFonts w:hint="eastAsia" w:ascii="宋体" w:hAnsi="宋体"/>
                      <w:color w:val="000000"/>
                    </w:rPr>
                    <w:t>产品类别</w:t>
                  </w:r>
                </w:p>
              </w:tc>
              <w:tc>
                <w:tcPr>
                  <w:tcW w:w="3217" w:type="dxa"/>
                  <w:vAlign w:val="center"/>
                </w:tcPr>
                <w:p>
                  <w:pPr>
                    <w:jc w:val="center"/>
                    <w:rPr>
                      <w:rFonts w:ascii="宋体" w:hAnsi="宋体"/>
                      <w:color w:val="000000"/>
                    </w:rPr>
                  </w:pPr>
                  <w:r>
                    <w:rPr>
                      <w:rFonts w:hint="eastAsia" w:ascii="宋体" w:hAnsi="宋体"/>
                      <w:color w:val="000000"/>
                    </w:rPr>
                    <w:t>年生产能力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0" w:type="dxa"/>
                  <w:vMerge w:val="restart"/>
                  <w:vAlign w:val="center"/>
                </w:tcPr>
                <w:p>
                  <w:pPr>
                    <w:jc w:val="center"/>
                    <w:rPr>
                      <w:rFonts w:ascii="宋体" w:hAnsi="宋体"/>
                      <w:color w:val="000000"/>
                    </w:rPr>
                  </w:pPr>
                  <w:r>
                    <w:rPr>
                      <w:rFonts w:hint="eastAsia" w:ascii="宋体" w:hAnsi="宋体"/>
                      <w:color w:val="000000"/>
                    </w:rPr>
                    <w:t>酒店家具</w:t>
                  </w:r>
                </w:p>
              </w:tc>
              <w:tc>
                <w:tcPr>
                  <w:tcW w:w="1108" w:type="dxa"/>
                  <w:vMerge w:val="restart"/>
                  <w:vAlign w:val="center"/>
                </w:tcPr>
                <w:p>
                  <w:pPr>
                    <w:jc w:val="center"/>
                    <w:rPr>
                      <w:rFonts w:ascii="宋体" w:hAnsi="宋体"/>
                      <w:color w:val="000000"/>
                    </w:rPr>
                  </w:pPr>
                  <w:r>
                    <w:rPr>
                      <w:rFonts w:hint="eastAsia" w:ascii="宋体" w:hAnsi="宋体"/>
                      <w:color w:val="000000"/>
                    </w:rPr>
                    <w:t>板式家具</w:t>
                  </w:r>
                </w:p>
              </w:tc>
              <w:tc>
                <w:tcPr>
                  <w:tcW w:w="2334" w:type="dxa"/>
                  <w:vAlign w:val="center"/>
                </w:tcPr>
                <w:p>
                  <w:pPr>
                    <w:jc w:val="center"/>
                    <w:rPr>
                      <w:rFonts w:ascii="宋体" w:hAnsi="宋体"/>
                      <w:color w:val="000000"/>
                    </w:rPr>
                  </w:pPr>
                  <w:r>
                    <w:rPr>
                      <w:rFonts w:hint="eastAsia" w:ascii="宋体" w:hAnsi="宋体"/>
                      <w:color w:val="000000"/>
                    </w:rPr>
                    <w:t>软包</w:t>
                  </w:r>
                </w:p>
              </w:tc>
              <w:tc>
                <w:tcPr>
                  <w:tcW w:w="3217" w:type="dxa"/>
                  <w:vAlign w:val="center"/>
                </w:tcPr>
                <w:p>
                  <w:pPr>
                    <w:jc w:val="center"/>
                    <w:rPr>
                      <w:rFonts w:ascii="宋体" w:hAnsi="宋体"/>
                      <w:color w:val="000000"/>
                    </w:rPr>
                  </w:pPr>
                  <w:r>
                    <w:rPr>
                      <w:rFonts w:hint="eastAsia" w:ascii="宋体" w:hAnsi="宋体"/>
                      <w:color w:val="000000"/>
                    </w:rPr>
                    <w:t>300套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0" w:type="dxa"/>
                  <w:vMerge w:val="continue"/>
                  <w:vAlign w:val="center"/>
                </w:tcPr>
                <w:p>
                  <w:pPr>
                    <w:jc w:val="center"/>
                    <w:rPr>
                      <w:rFonts w:ascii="宋体" w:hAnsi="宋体"/>
                      <w:color w:val="000000"/>
                    </w:rPr>
                  </w:pPr>
                </w:p>
              </w:tc>
              <w:tc>
                <w:tcPr>
                  <w:tcW w:w="1108" w:type="dxa"/>
                  <w:vMerge w:val="continue"/>
                  <w:vAlign w:val="center"/>
                </w:tcPr>
                <w:p>
                  <w:pPr>
                    <w:jc w:val="center"/>
                    <w:rPr>
                      <w:rFonts w:ascii="宋体" w:hAnsi="宋体"/>
                      <w:color w:val="000000"/>
                    </w:rPr>
                  </w:pPr>
                </w:p>
              </w:tc>
              <w:tc>
                <w:tcPr>
                  <w:tcW w:w="2334" w:type="dxa"/>
                  <w:vAlign w:val="center"/>
                </w:tcPr>
                <w:p>
                  <w:pPr>
                    <w:jc w:val="center"/>
                    <w:rPr>
                      <w:rFonts w:ascii="宋体" w:hAnsi="宋体"/>
                      <w:color w:val="000000"/>
                    </w:rPr>
                  </w:pPr>
                  <w:r>
                    <w:rPr>
                      <w:rFonts w:hint="eastAsia" w:ascii="宋体" w:hAnsi="宋体"/>
                      <w:color w:val="000000"/>
                    </w:rPr>
                    <w:t>非软包</w:t>
                  </w:r>
                </w:p>
              </w:tc>
              <w:tc>
                <w:tcPr>
                  <w:tcW w:w="3217" w:type="dxa"/>
                  <w:vAlign w:val="center"/>
                </w:tcPr>
                <w:p>
                  <w:pPr>
                    <w:jc w:val="center"/>
                    <w:rPr>
                      <w:rFonts w:ascii="宋体" w:hAnsi="宋体"/>
                      <w:color w:val="000000"/>
                    </w:rPr>
                  </w:pPr>
                  <w:r>
                    <w:rPr>
                      <w:rFonts w:hint="eastAsia" w:ascii="宋体" w:hAnsi="宋体"/>
                      <w:color w:val="000000"/>
                    </w:rPr>
                    <w:t>700套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0" w:type="dxa"/>
                  <w:vMerge w:val="continue"/>
                  <w:vAlign w:val="center"/>
                </w:tcPr>
                <w:p>
                  <w:pPr>
                    <w:jc w:val="center"/>
                    <w:rPr>
                      <w:rFonts w:ascii="宋体" w:hAnsi="宋体"/>
                      <w:color w:val="000000"/>
                    </w:rPr>
                  </w:pPr>
                </w:p>
              </w:tc>
              <w:tc>
                <w:tcPr>
                  <w:tcW w:w="1108" w:type="dxa"/>
                  <w:vMerge w:val="restart"/>
                  <w:vAlign w:val="center"/>
                </w:tcPr>
                <w:p>
                  <w:pPr>
                    <w:jc w:val="center"/>
                    <w:rPr>
                      <w:rFonts w:ascii="宋体" w:hAnsi="宋体"/>
                      <w:color w:val="000000"/>
                    </w:rPr>
                  </w:pPr>
                  <w:r>
                    <w:rPr>
                      <w:rFonts w:hint="eastAsia" w:ascii="宋体" w:hAnsi="宋体"/>
                      <w:color w:val="000000"/>
                    </w:rPr>
                    <w:t>实木家具</w:t>
                  </w:r>
                </w:p>
              </w:tc>
              <w:tc>
                <w:tcPr>
                  <w:tcW w:w="2334" w:type="dxa"/>
                  <w:vAlign w:val="center"/>
                </w:tcPr>
                <w:p>
                  <w:pPr>
                    <w:jc w:val="center"/>
                    <w:rPr>
                      <w:rFonts w:ascii="宋体" w:hAnsi="宋体"/>
                      <w:color w:val="000000"/>
                    </w:rPr>
                  </w:pPr>
                  <w:r>
                    <w:rPr>
                      <w:rFonts w:hint="eastAsia" w:ascii="宋体" w:hAnsi="宋体"/>
                      <w:color w:val="000000"/>
                    </w:rPr>
                    <w:t>软包</w:t>
                  </w:r>
                </w:p>
              </w:tc>
              <w:tc>
                <w:tcPr>
                  <w:tcW w:w="3217" w:type="dxa"/>
                  <w:vAlign w:val="center"/>
                </w:tcPr>
                <w:p>
                  <w:pPr>
                    <w:jc w:val="center"/>
                    <w:rPr>
                      <w:rFonts w:ascii="宋体" w:hAnsi="宋体"/>
                      <w:color w:val="000000"/>
                    </w:rPr>
                  </w:pPr>
                  <w:r>
                    <w:rPr>
                      <w:rFonts w:hint="eastAsia" w:ascii="宋体" w:hAnsi="宋体"/>
                      <w:color w:val="000000"/>
                    </w:rPr>
                    <w:t>720套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0" w:type="dxa"/>
                  <w:vMerge w:val="continue"/>
                  <w:vAlign w:val="center"/>
                </w:tcPr>
                <w:p>
                  <w:pPr>
                    <w:jc w:val="center"/>
                    <w:rPr>
                      <w:rFonts w:ascii="宋体" w:hAnsi="宋体"/>
                      <w:color w:val="000000"/>
                    </w:rPr>
                  </w:pPr>
                </w:p>
              </w:tc>
              <w:tc>
                <w:tcPr>
                  <w:tcW w:w="1108" w:type="dxa"/>
                  <w:vMerge w:val="continue"/>
                  <w:vAlign w:val="center"/>
                </w:tcPr>
                <w:p>
                  <w:pPr>
                    <w:jc w:val="center"/>
                    <w:rPr>
                      <w:rFonts w:ascii="宋体" w:hAnsi="宋体"/>
                      <w:color w:val="000000"/>
                    </w:rPr>
                  </w:pPr>
                </w:p>
              </w:tc>
              <w:tc>
                <w:tcPr>
                  <w:tcW w:w="2334" w:type="dxa"/>
                  <w:vAlign w:val="center"/>
                </w:tcPr>
                <w:p>
                  <w:pPr>
                    <w:jc w:val="center"/>
                    <w:rPr>
                      <w:rFonts w:ascii="宋体" w:hAnsi="宋体"/>
                      <w:color w:val="000000"/>
                    </w:rPr>
                  </w:pPr>
                  <w:r>
                    <w:rPr>
                      <w:rFonts w:hint="eastAsia" w:ascii="宋体" w:hAnsi="宋体"/>
                      <w:color w:val="000000"/>
                    </w:rPr>
                    <w:t>非软包</w:t>
                  </w:r>
                </w:p>
              </w:tc>
              <w:tc>
                <w:tcPr>
                  <w:tcW w:w="3217" w:type="dxa"/>
                  <w:vAlign w:val="center"/>
                </w:tcPr>
                <w:p>
                  <w:pPr>
                    <w:jc w:val="center"/>
                    <w:rPr>
                      <w:rFonts w:ascii="宋体" w:hAnsi="宋体"/>
                      <w:color w:val="000000"/>
                    </w:rPr>
                  </w:pPr>
                  <w:r>
                    <w:rPr>
                      <w:rFonts w:hint="eastAsia" w:ascii="宋体" w:hAnsi="宋体"/>
                      <w:color w:val="000000"/>
                    </w:rPr>
                    <w:t>1680套</w:t>
                  </w:r>
                </w:p>
              </w:tc>
            </w:tr>
          </w:tbl>
          <w:p>
            <w:pPr>
              <w:pStyle w:val="3"/>
              <w:tabs>
                <w:tab w:val="left" w:pos="269"/>
                <w:tab w:val="left" w:pos="371"/>
                <w:tab w:val="left" w:pos="432"/>
              </w:tabs>
              <w:jc w:val="left"/>
              <w:rPr>
                <w:bCs w:val="0"/>
                <w:sz w:val="24"/>
                <w:szCs w:val="22"/>
              </w:rPr>
            </w:pPr>
            <w:r>
              <w:rPr>
                <w:rFonts w:hint="eastAsia"/>
                <w:bCs w:val="0"/>
                <w:sz w:val="24"/>
                <w:szCs w:val="22"/>
              </w:rPr>
              <w:t>2.10.3  原项目工艺流程</w:t>
            </w:r>
          </w:p>
          <w:p>
            <w:pPr>
              <w:adjustRightInd w:val="0"/>
              <w:snapToGrid w:val="0"/>
              <w:spacing w:line="360" w:lineRule="auto"/>
              <w:rPr>
                <w:rFonts w:ascii="宋体" w:hAnsi="宋体"/>
                <w:b/>
                <w:color w:val="000000"/>
                <w:sz w:val="24"/>
              </w:rPr>
            </w:pPr>
            <w:r>
              <w:rPr>
                <w:rFonts w:hint="eastAsia" w:eastAsia="宋体"/>
                <w:b/>
                <w:bCs/>
                <w:sz w:val="24"/>
                <w:szCs w:val="22"/>
              </w:rPr>
              <w:t>2.10.</w:t>
            </w:r>
            <w:r>
              <w:rPr>
                <w:rFonts w:hint="eastAsia"/>
                <w:b/>
                <w:bCs/>
                <w:sz w:val="24"/>
                <w:szCs w:val="22"/>
              </w:rPr>
              <w:t>3.1</w:t>
            </w:r>
            <w:r>
              <w:rPr>
                <w:rFonts w:hint="eastAsia" w:ascii="宋体" w:hAnsi="宋体"/>
                <w:b/>
                <w:color w:val="000000"/>
                <w:sz w:val="24"/>
              </w:rPr>
              <w:t>生产工艺流程及产污环节图</w:t>
            </w:r>
          </w:p>
          <w:p>
            <w:pPr>
              <w:adjustRightInd w:val="0"/>
              <w:snapToGrid w:val="0"/>
              <w:spacing w:line="360" w:lineRule="auto"/>
              <w:rPr>
                <w:rFonts w:ascii="宋体" w:hAnsi="宋体"/>
                <w:color w:val="000000"/>
                <w:sz w:val="24"/>
              </w:rPr>
            </w:pPr>
            <w:r>
              <w:rPr>
                <w:rFonts w:hint="eastAsia" w:ascii="宋体" w:hAnsi="宋体"/>
                <w:color w:val="000000"/>
                <w:sz w:val="24"/>
              </w:rPr>
              <w:drawing>
                <wp:inline distT="0" distB="0" distL="0" distR="0">
                  <wp:extent cx="5267325" cy="2495550"/>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9"/>
                          <a:srcRect/>
                          <a:stretch>
                            <a:fillRect/>
                          </a:stretch>
                        </pic:blipFill>
                        <pic:spPr>
                          <a:xfrm>
                            <a:off x="0" y="0"/>
                            <a:ext cx="5267325" cy="2495550"/>
                          </a:xfrm>
                          <a:prstGeom prst="rect">
                            <a:avLst/>
                          </a:prstGeom>
                          <a:noFill/>
                          <a:ln w="9525" cmpd="sng">
                            <a:noFill/>
                            <a:miter lim="800000"/>
                            <a:headEnd/>
                            <a:tailEnd/>
                          </a:ln>
                        </pic:spPr>
                      </pic:pic>
                    </a:graphicData>
                  </a:graphic>
                </wp:inline>
              </w:drawing>
            </w:r>
          </w:p>
          <w:p>
            <w:pPr>
              <w:adjustRightInd w:val="0"/>
              <w:snapToGrid w:val="0"/>
              <w:spacing w:line="360" w:lineRule="auto"/>
              <w:rPr>
                <w:rFonts w:ascii="宋体" w:hAnsi="宋体"/>
                <w:color w:val="000000"/>
                <w:sz w:val="24"/>
              </w:rPr>
            </w:pPr>
            <w:r>
              <w:rPr>
                <w:rFonts w:hint="eastAsia" w:ascii="宋体" w:hAnsi="宋体"/>
                <w:color w:val="000000"/>
                <w:sz w:val="24"/>
              </w:rPr>
              <w:drawing>
                <wp:inline distT="0" distB="0" distL="0" distR="0">
                  <wp:extent cx="5276850" cy="2743200"/>
                  <wp:effectExtent l="1905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30"/>
                          <a:srcRect/>
                          <a:stretch>
                            <a:fillRect/>
                          </a:stretch>
                        </pic:blipFill>
                        <pic:spPr>
                          <a:xfrm>
                            <a:off x="0" y="0"/>
                            <a:ext cx="5276850" cy="2743200"/>
                          </a:xfrm>
                          <a:prstGeom prst="rect">
                            <a:avLst/>
                          </a:prstGeom>
                          <a:noFill/>
                          <a:ln w="9525" cmpd="sng">
                            <a:noFill/>
                            <a:miter lim="800000"/>
                            <a:headEnd/>
                            <a:tailEnd/>
                          </a:ln>
                        </pic:spPr>
                      </pic:pic>
                    </a:graphicData>
                  </a:graphic>
                </wp:inline>
              </w:drawing>
            </w:r>
          </w:p>
          <w:p>
            <w:pPr>
              <w:pStyle w:val="3"/>
              <w:tabs>
                <w:tab w:val="left" w:pos="269"/>
                <w:tab w:val="left" w:pos="371"/>
                <w:tab w:val="left" w:pos="432"/>
              </w:tabs>
              <w:jc w:val="left"/>
              <w:rPr>
                <w:bCs w:val="0"/>
                <w:sz w:val="24"/>
                <w:szCs w:val="22"/>
              </w:rPr>
            </w:pPr>
            <w:bookmarkStart w:id="24" w:name="_Toc531708229"/>
            <w:bookmarkStart w:id="25" w:name="_Toc7447"/>
            <w:r>
              <w:rPr>
                <w:rFonts w:hint="eastAsia"/>
                <w:bCs w:val="0"/>
                <w:sz w:val="24"/>
                <w:szCs w:val="22"/>
              </w:rPr>
              <w:t>2.10.4  现有工程污染物</w:t>
            </w:r>
            <w:bookmarkEnd w:id="24"/>
            <w:bookmarkEnd w:id="25"/>
            <w:r>
              <w:rPr>
                <w:rFonts w:hint="eastAsia"/>
                <w:bCs w:val="0"/>
                <w:sz w:val="24"/>
                <w:szCs w:val="22"/>
              </w:rPr>
              <w:t>排放达标情况</w:t>
            </w:r>
          </w:p>
          <w:p>
            <w:pPr>
              <w:spacing w:line="360" w:lineRule="auto"/>
              <w:ind w:firstLine="480" w:firstLineChars="200"/>
              <w:rPr>
                <w:rFonts w:ascii="宋体" w:hAnsi="宋体"/>
                <w:color w:val="000000"/>
                <w:sz w:val="24"/>
              </w:rPr>
            </w:pPr>
            <w:r>
              <w:rPr>
                <w:rFonts w:ascii="宋体" w:hAnsi="宋体"/>
                <w:color w:val="000000"/>
                <w:sz w:val="24"/>
              </w:rPr>
              <w:t>（1）废水</w:t>
            </w:r>
          </w:p>
          <w:p>
            <w:pPr>
              <w:spacing w:line="360" w:lineRule="auto"/>
              <w:ind w:firstLine="480" w:firstLineChars="200"/>
              <w:rPr>
                <w:rFonts w:ascii="宋体" w:hAnsi="宋体"/>
                <w:color w:val="000000"/>
                <w:sz w:val="24"/>
              </w:rPr>
            </w:pPr>
            <w:r>
              <w:rPr>
                <w:rFonts w:hint="eastAsia" w:ascii="宋体" w:hAnsi="宋体"/>
                <w:color w:val="000000"/>
                <w:sz w:val="24"/>
              </w:rPr>
              <w:t>项目产生的废水经厂区已建污水处理设施处理达标后排入园区污水管网，输送至东城污水处理厂处理，处理达标后排入淮远河。其中企业污水排放口执行《污水综合排放标准》（</w:t>
            </w:r>
            <w:r>
              <w:rPr>
                <w:rFonts w:ascii="宋体" w:hAnsi="宋体"/>
                <w:color w:val="000000"/>
                <w:sz w:val="24"/>
              </w:rPr>
              <w:t>GB8978—1996）三级标准；东城污水处理厂排放口执行废水《城镇污水处理厂污染物排放标准》（GB18918—2002）中的一级B标准后排入淮远河。</w:t>
            </w:r>
          </w:p>
          <w:p>
            <w:pPr>
              <w:jc w:val="center"/>
              <w:rPr>
                <w:rFonts w:ascii="宋体" w:hAnsi="宋体"/>
                <w:color w:val="000000"/>
              </w:rPr>
            </w:pPr>
            <w:r>
              <w:rPr>
                <w:rFonts w:ascii="宋体" w:hAnsi="宋体"/>
                <w:color w:val="000000"/>
              </w:rPr>
              <w:t>表2.1</w:t>
            </w:r>
            <w:r>
              <w:rPr>
                <w:rFonts w:hint="eastAsia" w:ascii="宋体" w:hAnsi="宋体"/>
                <w:color w:val="000000"/>
              </w:rPr>
              <w:t xml:space="preserve">0-3  </w:t>
            </w:r>
            <w:r>
              <w:rPr>
                <w:rFonts w:ascii="宋体" w:hAnsi="宋体"/>
                <w:color w:val="000000"/>
              </w:rPr>
              <w:t xml:space="preserve"> 废水治理</w:t>
            </w:r>
            <w:r>
              <w:rPr>
                <w:rFonts w:hint="eastAsia" w:ascii="宋体" w:hAnsi="宋体"/>
                <w:color w:val="000000"/>
              </w:rPr>
              <w:t>设施</w:t>
            </w:r>
            <w:r>
              <w:rPr>
                <w:rFonts w:ascii="宋体" w:hAnsi="宋体"/>
                <w:color w:val="000000"/>
              </w:rPr>
              <w:t>情况表</w:t>
            </w:r>
          </w:p>
          <w:tbl>
            <w:tblPr>
              <w:tblStyle w:val="88"/>
              <w:tblW w:w="833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7"/>
              <w:gridCol w:w="42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037" w:type="dxa"/>
                  <w:vMerge w:val="restart"/>
                  <w:vAlign w:val="center"/>
                </w:tcPr>
                <w:p>
                  <w:pPr>
                    <w:pStyle w:val="164"/>
                    <w:rPr>
                      <w:bCs/>
                      <w:color w:val="auto"/>
                    </w:rPr>
                  </w:pPr>
                  <w:r>
                    <w:rPr>
                      <w:rFonts w:hint="eastAsia"/>
                      <w:bCs/>
                      <w:color w:val="auto"/>
                    </w:rPr>
                    <w:t>废水治理设施名称</w:t>
                  </w:r>
                </w:p>
              </w:tc>
              <w:tc>
                <w:tcPr>
                  <w:tcW w:w="4293" w:type="dxa"/>
                  <w:vMerge w:val="restart"/>
                  <w:vAlign w:val="center"/>
                </w:tcPr>
                <w:p>
                  <w:pPr>
                    <w:pStyle w:val="164"/>
                    <w:rPr>
                      <w:bCs/>
                      <w:color w:val="auto"/>
                    </w:rPr>
                  </w:pPr>
                  <w:r>
                    <w:rPr>
                      <w:rFonts w:hint="eastAsia"/>
                      <w:bCs/>
                      <w:color w:val="auto"/>
                    </w:rPr>
                    <w:t>设计处理能力(m3/d)</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037" w:type="dxa"/>
                  <w:vMerge w:val="continue"/>
                  <w:vAlign w:val="center"/>
                </w:tcPr>
                <w:p>
                  <w:pPr>
                    <w:pStyle w:val="164"/>
                    <w:rPr>
                      <w:bCs/>
                      <w:color w:val="auto"/>
                    </w:rPr>
                  </w:pPr>
                </w:p>
              </w:tc>
              <w:tc>
                <w:tcPr>
                  <w:tcW w:w="4293" w:type="dxa"/>
                  <w:vMerge w:val="continue"/>
                  <w:vAlign w:val="center"/>
                </w:tcPr>
                <w:p>
                  <w:pPr>
                    <w:pStyle w:val="164"/>
                    <w:rPr>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7" w:type="dxa"/>
                  <w:vAlign w:val="center"/>
                </w:tcPr>
                <w:p>
                  <w:pPr>
                    <w:pStyle w:val="164"/>
                    <w:rPr>
                      <w:bCs/>
                      <w:color w:val="auto"/>
                    </w:rPr>
                  </w:pPr>
                  <w:r>
                    <w:rPr>
                      <w:rFonts w:hint="eastAsia"/>
                      <w:bCs/>
                      <w:color w:val="auto"/>
                    </w:rPr>
                    <w:t>废水处理站</w:t>
                  </w:r>
                </w:p>
              </w:tc>
              <w:tc>
                <w:tcPr>
                  <w:tcW w:w="4293" w:type="dxa"/>
                  <w:vAlign w:val="center"/>
                </w:tcPr>
                <w:p>
                  <w:pPr>
                    <w:pStyle w:val="164"/>
                    <w:rPr>
                      <w:bCs/>
                      <w:color w:val="auto"/>
                    </w:rPr>
                  </w:pPr>
                  <w:r>
                    <w:rPr>
                      <w:rFonts w:hint="eastAsia"/>
                      <w:bCs/>
                      <w:color w:val="auto"/>
                    </w:rPr>
                    <w:t>100</w:t>
                  </w:r>
                </w:p>
              </w:tc>
            </w:tr>
          </w:tbl>
          <w:p>
            <w:pPr>
              <w:spacing w:line="360" w:lineRule="auto"/>
              <w:ind w:firstLine="480" w:firstLineChars="200"/>
              <w:rPr>
                <w:rFonts w:ascii="宋体" w:hAnsi="宋体"/>
                <w:color w:val="000000"/>
                <w:sz w:val="24"/>
              </w:rPr>
            </w:pPr>
            <w:r>
              <w:rPr>
                <w:rFonts w:hint="eastAsia" w:ascii="宋体" w:hAnsi="宋体"/>
                <w:color w:val="000000"/>
                <w:sz w:val="24"/>
              </w:rPr>
              <w:t>本次评价根据原项目监督性监测报告进行核定（天航[2020]第QTWT0623号）对废水污染物排放情况进行判定。</w:t>
            </w:r>
          </w:p>
          <w:p>
            <w:pPr>
              <w:pStyle w:val="164"/>
              <w:rPr>
                <w:bCs/>
                <w:color w:val="auto"/>
              </w:rPr>
            </w:pPr>
            <w:r>
              <w:rPr>
                <w:bCs/>
                <w:color w:val="auto"/>
              </w:rPr>
              <w:t>表2.1</w:t>
            </w:r>
            <w:r>
              <w:rPr>
                <w:rFonts w:hint="eastAsia"/>
                <w:bCs/>
                <w:color w:val="auto"/>
              </w:rPr>
              <w:t xml:space="preserve">0-4   </w:t>
            </w:r>
            <w:r>
              <w:rPr>
                <w:bCs/>
                <w:color w:val="auto"/>
              </w:rPr>
              <w:t>废水产生情况表</w:t>
            </w:r>
          </w:p>
          <w:tbl>
            <w:tblPr>
              <w:tblStyle w:val="88"/>
              <w:tblW w:w="8320" w:type="dxa"/>
              <w:jc w:val="center"/>
              <w:tblInd w:w="0" w:type="dxa"/>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272"/>
              <w:gridCol w:w="1110"/>
              <w:gridCol w:w="1310"/>
              <w:gridCol w:w="1163"/>
              <w:gridCol w:w="1105"/>
              <w:gridCol w:w="1130"/>
            </w:tblGrid>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1230" w:type="dxa"/>
                  <w:vAlign w:val="center"/>
                </w:tcPr>
                <w:p>
                  <w:pPr>
                    <w:pStyle w:val="164"/>
                    <w:rPr>
                      <w:bCs/>
                      <w:color w:val="auto"/>
                    </w:rPr>
                  </w:pPr>
                  <w:r>
                    <w:rPr>
                      <w:rFonts w:hint="eastAsia"/>
                      <w:bCs/>
                      <w:color w:val="auto"/>
                    </w:rPr>
                    <w:t>排放口</w:t>
                  </w:r>
                </w:p>
              </w:tc>
              <w:tc>
                <w:tcPr>
                  <w:tcW w:w="1272" w:type="dxa"/>
                  <w:vAlign w:val="center"/>
                </w:tcPr>
                <w:p>
                  <w:pPr>
                    <w:pStyle w:val="164"/>
                    <w:rPr>
                      <w:bCs/>
                      <w:color w:val="auto"/>
                    </w:rPr>
                  </w:pPr>
                  <w:r>
                    <w:rPr>
                      <w:rFonts w:hint="eastAsia"/>
                      <w:bCs/>
                      <w:color w:val="auto"/>
                    </w:rPr>
                    <w:t>废水产生量（t/d）</w:t>
                  </w:r>
                </w:p>
              </w:tc>
              <w:tc>
                <w:tcPr>
                  <w:tcW w:w="1110" w:type="dxa"/>
                  <w:vAlign w:val="center"/>
                </w:tcPr>
                <w:p>
                  <w:pPr>
                    <w:pStyle w:val="164"/>
                    <w:rPr>
                      <w:bCs/>
                      <w:color w:val="auto"/>
                    </w:rPr>
                  </w:pPr>
                  <w:r>
                    <w:rPr>
                      <w:rFonts w:hint="eastAsia"/>
                      <w:bCs/>
                      <w:color w:val="auto"/>
                    </w:rPr>
                    <w:t>污染因子</w:t>
                  </w:r>
                </w:p>
              </w:tc>
              <w:tc>
                <w:tcPr>
                  <w:tcW w:w="1310" w:type="dxa"/>
                  <w:vAlign w:val="center"/>
                </w:tcPr>
                <w:p>
                  <w:pPr>
                    <w:pStyle w:val="164"/>
                    <w:rPr>
                      <w:bCs/>
                      <w:color w:val="auto"/>
                    </w:rPr>
                  </w:pPr>
                  <w:r>
                    <w:rPr>
                      <w:rFonts w:hint="eastAsia"/>
                      <w:bCs/>
                      <w:color w:val="auto"/>
                    </w:rPr>
                    <w:t>监测浓度</w:t>
                  </w:r>
                </w:p>
              </w:tc>
              <w:tc>
                <w:tcPr>
                  <w:tcW w:w="1163" w:type="dxa"/>
                  <w:vAlign w:val="center"/>
                </w:tcPr>
                <w:p>
                  <w:pPr>
                    <w:pStyle w:val="164"/>
                    <w:rPr>
                      <w:bCs/>
                      <w:color w:val="auto"/>
                    </w:rPr>
                  </w:pPr>
                  <w:r>
                    <w:rPr>
                      <w:rFonts w:hint="eastAsia"/>
                      <w:bCs/>
                      <w:color w:val="auto"/>
                    </w:rPr>
                    <w:t>实际排放总量</w:t>
                  </w:r>
                </w:p>
              </w:tc>
              <w:tc>
                <w:tcPr>
                  <w:tcW w:w="1105" w:type="dxa"/>
                  <w:vAlign w:val="center"/>
                </w:tcPr>
                <w:p>
                  <w:pPr>
                    <w:pStyle w:val="164"/>
                    <w:rPr>
                      <w:bCs/>
                      <w:color w:val="auto"/>
                    </w:rPr>
                  </w:pPr>
                  <w:r>
                    <w:rPr>
                      <w:rFonts w:hint="eastAsia"/>
                      <w:bCs/>
                      <w:color w:val="auto"/>
                    </w:rPr>
                    <w:t>排污许可证总量</w:t>
                  </w:r>
                </w:p>
              </w:tc>
              <w:tc>
                <w:tcPr>
                  <w:tcW w:w="1130" w:type="dxa"/>
                </w:tcPr>
                <w:p>
                  <w:pPr>
                    <w:pStyle w:val="164"/>
                    <w:rPr>
                      <w:bCs/>
                      <w:color w:val="auto"/>
                    </w:rPr>
                  </w:pPr>
                  <w:r>
                    <w:rPr>
                      <w:rFonts w:hint="eastAsia"/>
                      <w:bCs/>
                      <w:color w:val="auto"/>
                    </w:rPr>
                    <w:t>标准限值（三级标准）</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30" w:type="dxa"/>
                  <w:vMerge w:val="restart"/>
                  <w:vAlign w:val="center"/>
                </w:tcPr>
                <w:p>
                  <w:pPr>
                    <w:pStyle w:val="164"/>
                    <w:rPr>
                      <w:bCs/>
                      <w:color w:val="auto"/>
                    </w:rPr>
                  </w:pPr>
                  <w:r>
                    <w:rPr>
                      <w:rFonts w:hint="eastAsia"/>
                      <w:bCs/>
                      <w:color w:val="auto"/>
                    </w:rPr>
                    <w:t>WS001</w:t>
                  </w:r>
                </w:p>
              </w:tc>
              <w:tc>
                <w:tcPr>
                  <w:tcW w:w="1272" w:type="dxa"/>
                  <w:vMerge w:val="restart"/>
                  <w:vAlign w:val="center"/>
                </w:tcPr>
                <w:p>
                  <w:pPr>
                    <w:pStyle w:val="164"/>
                    <w:rPr>
                      <w:bCs/>
                      <w:color w:val="auto"/>
                    </w:rPr>
                  </w:pPr>
                  <w:r>
                    <w:rPr>
                      <w:rFonts w:hint="eastAsia"/>
                      <w:bCs/>
                      <w:color w:val="auto"/>
                    </w:rPr>
                    <w:t>320</w:t>
                  </w:r>
                </w:p>
              </w:tc>
              <w:tc>
                <w:tcPr>
                  <w:tcW w:w="1110" w:type="dxa"/>
                  <w:vAlign w:val="center"/>
                </w:tcPr>
                <w:p>
                  <w:pPr>
                    <w:pStyle w:val="164"/>
                    <w:rPr>
                      <w:bCs/>
                      <w:color w:val="auto"/>
                    </w:rPr>
                  </w:pPr>
                  <w:r>
                    <w:rPr>
                      <w:rFonts w:hint="eastAsia"/>
                      <w:bCs/>
                      <w:color w:val="auto"/>
                    </w:rPr>
                    <w:t>COD</w:t>
                  </w:r>
                </w:p>
              </w:tc>
              <w:tc>
                <w:tcPr>
                  <w:tcW w:w="1310" w:type="dxa"/>
                  <w:vAlign w:val="center"/>
                </w:tcPr>
                <w:p>
                  <w:pPr>
                    <w:pStyle w:val="164"/>
                    <w:rPr>
                      <w:bCs/>
                      <w:color w:val="auto"/>
                    </w:rPr>
                  </w:pPr>
                  <w:r>
                    <w:rPr>
                      <w:rFonts w:hint="eastAsia"/>
                      <w:bCs/>
                      <w:color w:val="auto"/>
                    </w:rPr>
                    <w:t>121</w:t>
                  </w:r>
                </w:p>
              </w:tc>
              <w:tc>
                <w:tcPr>
                  <w:tcW w:w="1163" w:type="dxa"/>
                </w:tcPr>
                <w:p>
                  <w:pPr>
                    <w:pStyle w:val="164"/>
                    <w:rPr>
                      <w:bCs/>
                      <w:color w:val="auto"/>
                    </w:rPr>
                  </w:pPr>
                  <w:r>
                    <w:rPr>
                      <w:rFonts w:hint="eastAsia"/>
                      <w:bCs/>
                      <w:color w:val="auto"/>
                    </w:rPr>
                    <w:t xml:space="preserve">2.112 </w:t>
                  </w:r>
                </w:p>
              </w:tc>
              <w:tc>
                <w:tcPr>
                  <w:tcW w:w="1105" w:type="dxa"/>
                </w:tcPr>
                <w:p>
                  <w:pPr>
                    <w:pStyle w:val="164"/>
                    <w:rPr>
                      <w:bCs/>
                      <w:color w:val="auto"/>
                    </w:rPr>
                  </w:pPr>
                  <w:r>
                    <w:rPr>
                      <w:rFonts w:hint="eastAsia"/>
                      <w:bCs/>
                      <w:color w:val="auto"/>
                    </w:rPr>
                    <w:t>/</w:t>
                  </w:r>
                </w:p>
              </w:tc>
              <w:tc>
                <w:tcPr>
                  <w:tcW w:w="1130" w:type="dxa"/>
                </w:tcPr>
                <w:p>
                  <w:pPr>
                    <w:pStyle w:val="164"/>
                    <w:rPr>
                      <w:bCs/>
                      <w:color w:val="auto"/>
                    </w:rPr>
                  </w:pPr>
                  <w:r>
                    <w:rPr>
                      <w:rFonts w:hint="eastAsia"/>
                      <w:bCs/>
                      <w:color w:val="auto"/>
                    </w:rPr>
                    <w:t>500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30" w:type="dxa"/>
                  <w:vMerge w:val="continue"/>
                  <w:vAlign w:val="center"/>
                </w:tcPr>
                <w:p>
                  <w:pPr>
                    <w:pStyle w:val="164"/>
                    <w:rPr>
                      <w:bCs/>
                      <w:color w:val="auto"/>
                    </w:rPr>
                  </w:pPr>
                </w:p>
              </w:tc>
              <w:tc>
                <w:tcPr>
                  <w:tcW w:w="1272" w:type="dxa"/>
                  <w:vMerge w:val="continue"/>
                  <w:vAlign w:val="center"/>
                </w:tcPr>
                <w:p>
                  <w:pPr>
                    <w:pStyle w:val="164"/>
                    <w:rPr>
                      <w:bCs/>
                      <w:color w:val="auto"/>
                    </w:rPr>
                  </w:pPr>
                </w:p>
              </w:tc>
              <w:tc>
                <w:tcPr>
                  <w:tcW w:w="1110" w:type="dxa"/>
                  <w:vAlign w:val="center"/>
                </w:tcPr>
                <w:p>
                  <w:pPr>
                    <w:pStyle w:val="164"/>
                    <w:rPr>
                      <w:bCs/>
                      <w:color w:val="auto"/>
                    </w:rPr>
                  </w:pPr>
                  <w:r>
                    <w:rPr>
                      <w:rFonts w:hint="eastAsia"/>
                      <w:bCs/>
                      <w:color w:val="auto"/>
                    </w:rPr>
                    <w:t>SS</w:t>
                  </w:r>
                </w:p>
              </w:tc>
              <w:tc>
                <w:tcPr>
                  <w:tcW w:w="1310" w:type="dxa"/>
                  <w:vAlign w:val="center"/>
                </w:tcPr>
                <w:p>
                  <w:pPr>
                    <w:pStyle w:val="164"/>
                    <w:rPr>
                      <w:bCs/>
                      <w:color w:val="auto"/>
                    </w:rPr>
                  </w:pPr>
                  <w:r>
                    <w:rPr>
                      <w:rFonts w:hint="eastAsia"/>
                      <w:bCs/>
                      <w:color w:val="auto"/>
                    </w:rPr>
                    <w:t>26</w:t>
                  </w:r>
                </w:p>
              </w:tc>
              <w:tc>
                <w:tcPr>
                  <w:tcW w:w="1163" w:type="dxa"/>
                </w:tcPr>
                <w:p>
                  <w:pPr>
                    <w:pStyle w:val="164"/>
                    <w:rPr>
                      <w:bCs/>
                      <w:color w:val="auto"/>
                    </w:rPr>
                  </w:pPr>
                  <w:r>
                    <w:rPr>
                      <w:rFonts w:hint="eastAsia"/>
                      <w:bCs/>
                      <w:color w:val="auto"/>
                    </w:rPr>
                    <w:t xml:space="preserve">1.152 </w:t>
                  </w:r>
                </w:p>
              </w:tc>
              <w:tc>
                <w:tcPr>
                  <w:tcW w:w="1105" w:type="dxa"/>
                </w:tcPr>
                <w:p>
                  <w:pPr>
                    <w:pStyle w:val="164"/>
                    <w:rPr>
                      <w:bCs/>
                      <w:color w:val="auto"/>
                    </w:rPr>
                  </w:pPr>
                  <w:r>
                    <w:rPr>
                      <w:rFonts w:hint="eastAsia"/>
                      <w:bCs/>
                      <w:color w:val="auto"/>
                    </w:rPr>
                    <w:t>/</w:t>
                  </w:r>
                </w:p>
              </w:tc>
              <w:tc>
                <w:tcPr>
                  <w:tcW w:w="1130" w:type="dxa"/>
                </w:tcPr>
                <w:p>
                  <w:pPr>
                    <w:pStyle w:val="164"/>
                    <w:rPr>
                      <w:bCs/>
                      <w:color w:val="auto"/>
                    </w:rPr>
                  </w:pPr>
                  <w:r>
                    <w:rPr>
                      <w:rFonts w:hint="eastAsia"/>
                      <w:bCs/>
                      <w:color w:val="auto"/>
                    </w:rPr>
                    <w:t>400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30" w:type="dxa"/>
                  <w:vMerge w:val="continue"/>
                  <w:vAlign w:val="center"/>
                </w:tcPr>
                <w:p>
                  <w:pPr>
                    <w:pStyle w:val="164"/>
                    <w:rPr>
                      <w:bCs/>
                      <w:color w:val="auto"/>
                    </w:rPr>
                  </w:pPr>
                </w:p>
              </w:tc>
              <w:tc>
                <w:tcPr>
                  <w:tcW w:w="1272" w:type="dxa"/>
                  <w:vMerge w:val="continue"/>
                  <w:vAlign w:val="center"/>
                </w:tcPr>
                <w:p>
                  <w:pPr>
                    <w:pStyle w:val="164"/>
                    <w:rPr>
                      <w:bCs/>
                      <w:color w:val="auto"/>
                    </w:rPr>
                  </w:pPr>
                </w:p>
              </w:tc>
              <w:tc>
                <w:tcPr>
                  <w:tcW w:w="1110" w:type="dxa"/>
                  <w:vAlign w:val="center"/>
                </w:tcPr>
                <w:p>
                  <w:pPr>
                    <w:pStyle w:val="164"/>
                    <w:rPr>
                      <w:bCs/>
                      <w:color w:val="auto"/>
                    </w:rPr>
                  </w:pPr>
                  <w:r>
                    <w:rPr>
                      <w:rFonts w:hint="eastAsia"/>
                      <w:bCs/>
                      <w:color w:val="auto"/>
                    </w:rPr>
                    <w:t>BOD</w:t>
                  </w:r>
                  <w:r>
                    <w:rPr>
                      <w:rFonts w:hint="eastAsia"/>
                      <w:bCs/>
                      <w:color w:val="auto"/>
                      <w:vertAlign w:val="subscript"/>
                    </w:rPr>
                    <w:t>5</w:t>
                  </w:r>
                </w:p>
              </w:tc>
              <w:tc>
                <w:tcPr>
                  <w:tcW w:w="1310" w:type="dxa"/>
                  <w:vAlign w:val="center"/>
                </w:tcPr>
                <w:p>
                  <w:pPr>
                    <w:pStyle w:val="164"/>
                    <w:rPr>
                      <w:bCs/>
                      <w:color w:val="auto"/>
                    </w:rPr>
                  </w:pPr>
                  <w:r>
                    <w:rPr>
                      <w:rFonts w:hint="eastAsia"/>
                      <w:bCs/>
                      <w:color w:val="auto"/>
                    </w:rPr>
                    <w:t>30.7</w:t>
                  </w:r>
                </w:p>
              </w:tc>
              <w:tc>
                <w:tcPr>
                  <w:tcW w:w="1163" w:type="dxa"/>
                </w:tcPr>
                <w:p>
                  <w:pPr>
                    <w:pStyle w:val="164"/>
                    <w:rPr>
                      <w:bCs/>
                      <w:color w:val="auto"/>
                    </w:rPr>
                  </w:pPr>
                  <w:r>
                    <w:rPr>
                      <w:rFonts w:hint="eastAsia"/>
                      <w:bCs/>
                      <w:color w:val="auto"/>
                    </w:rPr>
                    <w:t xml:space="preserve">0.012 </w:t>
                  </w:r>
                </w:p>
              </w:tc>
              <w:tc>
                <w:tcPr>
                  <w:tcW w:w="1105" w:type="dxa"/>
                </w:tcPr>
                <w:p>
                  <w:pPr>
                    <w:pStyle w:val="164"/>
                    <w:rPr>
                      <w:bCs/>
                      <w:color w:val="auto"/>
                    </w:rPr>
                  </w:pPr>
                  <w:r>
                    <w:rPr>
                      <w:rFonts w:hint="eastAsia"/>
                      <w:bCs/>
                      <w:color w:val="auto"/>
                    </w:rPr>
                    <w:t>/</w:t>
                  </w:r>
                </w:p>
              </w:tc>
              <w:tc>
                <w:tcPr>
                  <w:tcW w:w="1130" w:type="dxa"/>
                </w:tcPr>
                <w:p>
                  <w:pPr>
                    <w:pStyle w:val="164"/>
                    <w:rPr>
                      <w:bCs/>
                      <w:color w:val="auto"/>
                    </w:rPr>
                  </w:pPr>
                  <w:r>
                    <w:rPr>
                      <w:rFonts w:hint="eastAsia"/>
                      <w:bCs/>
                      <w:color w:val="auto"/>
                    </w:rPr>
                    <w:t>20</w:t>
                  </w:r>
                </w:p>
              </w:tc>
            </w:tr>
          </w:tbl>
          <w:p>
            <w:pPr>
              <w:spacing w:line="360" w:lineRule="auto"/>
              <w:ind w:firstLine="480" w:firstLineChars="200"/>
              <w:rPr>
                <w:rFonts w:ascii="宋体" w:hAnsi="宋体"/>
                <w:color w:val="000000"/>
                <w:sz w:val="24"/>
              </w:rPr>
            </w:pPr>
            <w:r>
              <w:rPr>
                <w:rFonts w:hint="eastAsia" w:ascii="宋体" w:hAnsi="宋体"/>
                <w:color w:val="000000"/>
                <w:sz w:val="24"/>
              </w:rPr>
              <w:t>由上表可知，原项目企业污水排放口满足《污水综合排放标准》（</w:t>
            </w:r>
            <w:r>
              <w:rPr>
                <w:rFonts w:ascii="宋体" w:hAnsi="宋体"/>
                <w:color w:val="000000"/>
                <w:sz w:val="24"/>
              </w:rPr>
              <w:t>GB8978—1996）三级标准</w:t>
            </w:r>
            <w:r>
              <w:rPr>
                <w:rFonts w:hint="eastAsia" w:ascii="宋体" w:hAnsi="宋体"/>
                <w:color w:val="000000"/>
                <w:sz w:val="24"/>
              </w:rPr>
              <w:t>，同时满足原环评及排污许可证核定总量。</w:t>
            </w:r>
          </w:p>
          <w:p>
            <w:pPr>
              <w:spacing w:line="360" w:lineRule="auto"/>
              <w:ind w:firstLine="480" w:firstLineChars="200"/>
              <w:rPr>
                <w:rFonts w:ascii="宋体" w:hAnsi="宋体"/>
                <w:color w:val="000000"/>
                <w:sz w:val="24"/>
              </w:rPr>
            </w:pPr>
            <w:r>
              <w:rPr>
                <w:rFonts w:ascii="宋体" w:hAnsi="宋体"/>
                <w:color w:val="000000"/>
                <w:sz w:val="24"/>
              </w:rPr>
              <w:t>（2）废气</w:t>
            </w:r>
          </w:p>
          <w:p>
            <w:pPr>
              <w:spacing w:line="360" w:lineRule="auto"/>
              <w:ind w:firstLine="480" w:firstLineChars="200"/>
              <w:rPr>
                <w:rFonts w:ascii="宋体" w:hAnsi="宋体"/>
                <w:color w:val="000000"/>
                <w:sz w:val="24"/>
              </w:rPr>
            </w:pPr>
            <w:r>
              <w:rPr>
                <w:rFonts w:hint="eastAsia" w:ascii="宋体" w:hAnsi="宋体"/>
                <w:color w:val="000000"/>
                <w:sz w:val="24"/>
              </w:rPr>
              <w:t xml:space="preserve">① </w:t>
            </w:r>
            <w:r>
              <w:rPr>
                <w:rFonts w:ascii="宋体" w:hAnsi="宋体"/>
                <w:color w:val="000000"/>
                <w:sz w:val="24"/>
              </w:rPr>
              <w:t>废气产生情况</w:t>
            </w:r>
          </w:p>
          <w:p>
            <w:pPr>
              <w:spacing w:line="360" w:lineRule="auto"/>
              <w:ind w:firstLine="480" w:firstLineChars="200"/>
              <w:rPr>
                <w:rFonts w:ascii="宋体" w:hAnsi="宋体"/>
                <w:color w:val="000000"/>
                <w:sz w:val="24"/>
              </w:rPr>
            </w:pPr>
            <w:r>
              <w:rPr>
                <w:rFonts w:hint="eastAsia" w:ascii="宋体" w:hAnsi="宋体"/>
                <w:color w:val="000000"/>
                <w:sz w:val="24"/>
              </w:rPr>
              <w:t>现有项目废气主要为底漆涂装废气、面漆涂装废气、木工加工废气（1-4#）。</w:t>
            </w:r>
          </w:p>
          <w:p>
            <w:pPr>
              <w:spacing w:line="360" w:lineRule="auto"/>
              <w:ind w:firstLine="480" w:firstLineChars="200"/>
              <w:rPr>
                <w:rFonts w:ascii="宋体" w:hAnsi="宋体"/>
                <w:color w:val="000000"/>
                <w:sz w:val="24"/>
              </w:rPr>
            </w:pPr>
            <w:r>
              <w:rPr>
                <w:rFonts w:hint="eastAsia" w:ascii="宋体" w:hAnsi="宋体"/>
                <w:color w:val="000000"/>
                <w:sz w:val="24"/>
              </w:rPr>
              <w:t>②废气治理设施情况</w:t>
            </w:r>
          </w:p>
          <w:p>
            <w:pPr>
              <w:spacing w:line="360" w:lineRule="auto"/>
              <w:ind w:firstLine="480" w:firstLineChars="200"/>
              <w:rPr>
                <w:rFonts w:ascii="宋体" w:hAnsi="宋体"/>
                <w:color w:val="000000"/>
                <w:sz w:val="24"/>
              </w:rPr>
            </w:pPr>
            <w:r>
              <w:rPr>
                <w:rFonts w:hint="eastAsia" w:ascii="宋体" w:hAnsi="宋体"/>
                <w:color w:val="000000"/>
                <w:sz w:val="24"/>
              </w:rPr>
              <w:t>现有项目废气治理情况详见表2.10</w:t>
            </w:r>
            <w:r>
              <w:rPr>
                <w:rFonts w:ascii="宋体" w:hAnsi="宋体"/>
                <w:color w:val="000000"/>
                <w:sz w:val="24"/>
              </w:rPr>
              <w:t>-</w:t>
            </w:r>
            <w:r>
              <w:rPr>
                <w:rFonts w:hint="eastAsia" w:ascii="宋体" w:hAnsi="宋体"/>
                <w:color w:val="000000"/>
                <w:sz w:val="24"/>
              </w:rPr>
              <w:t>5。</w:t>
            </w:r>
          </w:p>
          <w:p>
            <w:pPr>
              <w:pStyle w:val="164"/>
              <w:rPr>
                <w:bCs/>
                <w:color w:val="auto"/>
              </w:rPr>
            </w:pPr>
            <w:r>
              <w:rPr>
                <w:rFonts w:hint="eastAsia"/>
                <w:bCs/>
                <w:color w:val="auto"/>
              </w:rPr>
              <w:t>表2.10</w:t>
            </w:r>
            <w:r>
              <w:rPr>
                <w:bCs/>
                <w:color w:val="auto"/>
              </w:rPr>
              <w:t>-</w:t>
            </w:r>
            <w:r>
              <w:rPr>
                <w:rFonts w:hint="eastAsia"/>
                <w:bCs/>
                <w:color w:val="auto"/>
              </w:rPr>
              <w:t>5废气治理设施情况</w:t>
            </w:r>
          </w:p>
          <w:tbl>
            <w:tblPr>
              <w:tblStyle w:val="88"/>
              <w:tblW w:w="7896"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3905"/>
              <w:gridCol w:w="2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PrEx>
              <w:trPr>
                <w:trHeight w:val="544" w:hRule="atLeast"/>
                <w:jc w:val="center"/>
              </w:trPr>
              <w:tc>
                <w:tcPr>
                  <w:tcW w:w="1476" w:type="dxa"/>
                  <w:vAlign w:val="center"/>
                </w:tcPr>
                <w:p>
                  <w:pPr>
                    <w:pStyle w:val="164"/>
                    <w:rPr>
                      <w:bCs/>
                      <w:color w:val="auto"/>
                    </w:rPr>
                  </w:pPr>
                  <w:r>
                    <w:rPr>
                      <w:rFonts w:hint="eastAsia"/>
                      <w:bCs/>
                      <w:color w:val="auto"/>
                    </w:rPr>
                    <w:t>产生工序</w:t>
                  </w:r>
                </w:p>
              </w:tc>
              <w:tc>
                <w:tcPr>
                  <w:tcW w:w="3905" w:type="dxa"/>
                  <w:vAlign w:val="center"/>
                </w:tcPr>
                <w:p>
                  <w:pPr>
                    <w:pStyle w:val="164"/>
                    <w:rPr>
                      <w:bCs/>
                      <w:color w:val="auto"/>
                    </w:rPr>
                  </w:pPr>
                  <w:r>
                    <w:rPr>
                      <w:rFonts w:hint="eastAsia"/>
                      <w:bCs/>
                      <w:color w:val="auto"/>
                    </w:rPr>
                    <w:t>污染物</w:t>
                  </w:r>
                </w:p>
              </w:tc>
              <w:tc>
                <w:tcPr>
                  <w:tcW w:w="2515" w:type="dxa"/>
                  <w:vAlign w:val="center"/>
                </w:tcPr>
                <w:p>
                  <w:pPr>
                    <w:pStyle w:val="164"/>
                    <w:rPr>
                      <w:bCs/>
                      <w:color w:val="auto"/>
                    </w:rPr>
                  </w:pPr>
                  <w:r>
                    <w:rPr>
                      <w:rFonts w:hint="eastAsia"/>
                      <w:bCs/>
                      <w:color w:val="auto"/>
                    </w:rPr>
                    <w:t>处理措施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476" w:type="dxa"/>
                  <w:vAlign w:val="center"/>
                </w:tcPr>
                <w:p>
                  <w:pPr>
                    <w:pStyle w:val="164"/>
                    <w:rPr>
                      <w:bCs/>
                      <w:color w:val="auto"/>
                    </w:rPr>
                  </w:pPr>
                  <w:r>
                    <w:rPr>
                      <w:rFonts w:hint="eastAsia"/>
                      <w:bCs/>
                      <w:color w:val="auto"/>
                    </w:rPr>
                    <w:t>底漆涂装废气</w:t>
                  </w:r>
                </w:p>
              </w:tc>
              <w:tc>
                <w:tcPr>
                  <w:tcW w:w="3905" w:type="dxa"/>
                  <w:vAlign w:val="center"/>
                </w:tcPr>
                <w:p>
                  <w:pPr>
                    <w:pStyle w:val="164"/>
                    <w:rPr>
                      <w:bCs/>
                      <w:color w:val="auto"/>
                    </w:rPr>
                  </w:pPr>
                  <w:r>
                    <w:rPr>
                      <w:rFonts w:hint="eastAsia"/>
                      <w:bCs/>
                      <w:color w:val="auto"/>
                    </w:rPr>
                    <w:t>非甲烷总烃、甲苯</w:t>
                  </w:r>
                  <w:r>
                    <w:rPr>
                      <w:bCs/>
                      <w:color w:val="auto"/>
                    </w:rPr>
                    <w:t>+</w:t>
                  </w:r>
                  <w:r>
                    <w:rPr>
                      <w:rFonts w:hint="eastAsia"/>
                      <w:bCs/>
                      <w:color w:val="auto"/>
                    </w:rPr>
                    <w:t>二甲苯、苯系物</w:t>
                  </w:r>
                </w:p>
              </w:tc>
              <w:tc>
                <w:tcPr>
                  <w:tcW w:w="2515" w:type="dxa"/>
                  <w:vAlign w:val="center"/>
                </w:tcPr>
                <w:p>
                  <w:pPr>
                    <w:pStyle w:val="164"/>
                    <w:rPr>
                      <w:bCs/>
                      <w:color w:val="auto"/>
                    </w:rPr>
                  </w:pPr>
                  <w:r>
                    <w:rPr>
                      <w:rFonts w:hint="eastAsia"/>
                      <w:bCs/>
                      <w:color w:val="auto"/>
                    </w:rPr>
                    <w:t>活性炭吸附（DA001）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476" w:type="dxa"/>
                  <w:vAlign w:val="center"/>
                </w:tcPr>
                <w:p>
                  <w:pPr>
                    <w:pStyle w:val="164"/>
                    <w:rPr>
                      <w:bCs/>
                      <w:color w:val="auto"/>
                    </w:rPr>
                  </w:pPr>
                  <w:r>
                    <w:rPr>
                      <w:rFonts w:hint="eastAsia"/>
                      <w:bCs/>
                      <w:color w:val="auto"/>
                    </w:rPr>
                    <w:t>修色废气</w:t>
                  </w:r>
                </w:p>
              </w:tc>
              <w:tc>
                <w:tcPr>
                  <w:tcW w:w="3905" w:type="dxa"/>
                  <w:vAlign w:val="center"/>
                </w:tcPr>
                <w:p>
                  <w:pPr>
                    <w:pStyle w:val="164"/>
                    <w:rPr>
                      <w:bCs/>
                      <w:color w:val="auto"/>
                    </w:rPr>
                  </w:pPr>
                  <w:r>
                    <w:rPr>
                      <w:rFonts w:hint="eastAsia"/>
                      <w:bCs/>
                      <w:color w:val="auto"/>
                    </w:rPr>
                    <w:t>非甲烷总烃、甲苯</w:t>
                  </w:r>
                  <w:r>
                    <w:rPr>
                      <w:bCs/>
                      <w:color w:val="auto"/>
                    </w:rPr>
                    <w:t>+</w:t>
                  </w:r>
                  <w:r>
                    <w:rPr>
                      <w:rFonts w:hint="eastAsia"/>
                      <w:bCs/>
                      <w:color w:val="auto"/>
                    </w:rPr>
                    <w:t>二甲苯、苯系物</w:t>
                  </w:r>
                </w:p>
              </w:tc>
              <w:tc>
                <w:tcPr>
                  <w:tcW w:w="2515" w:type="dxa"/>
                  <w:vAlign w:val="center"/>
                </w:tcPr>
                <w:p>
                  <w:pPr>
                    <w:pStyle w:val="164"/>
                    <w:rPr>
                      <w:bCs/>
                      <w:color w:val="auto"/>
                    </w:rPr>
                  </w:pPr>
                  <w:r>
                    <w:rPr>
                      <w:rFonts w:hint="eastAsia"/>
                      <w:bCs/>
                      <w:color w:val="auto"/>
                    </w:rPr>
                    <w:t>活性炭吸附（DA002）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476" w:type="dxa"/>
                  <w:vAlign w:val="center"/>
                </w:tcPr>
                <w:p>
                  <w:pPr>
                    <w:pStyle w:val="164"/>
                    <w:rPr>
                      <w:bCs/>
                      <w:color w:val="auto"/>
                    </w:rPr>
                  </w:pPr>
                  <w:r>
                    <w:rPr>
                      <w:rFonts w:hint="eastAsia"/>
                      <w:bCs/>
                      <w:color w:val="auto"/>
                    </w:rPr>
                    <w:t>面漆涂装废气</w:t>
                  </w:r>
                </w:p>
              </w:tc>
              <w:tc>
                <w:tcPr>
                  <w:tcW w:w="3905" w:type="dxa"/>
                  <w:vAlign w:val="center"/>
                </w:tcPr>
                <w:p>
                  <w:pPr>
                    <w:pStyle w:val="164"/>
                    <w:rPr>
                      <w:bCs/>
                      <w:color w:val="auto"/>
                    </w:rPr>
                  </w:pPr>
                  <w:r>
                    <w:rPr>
                      <w:rFonts w:hint="eastAsia"/>
                      <w:bCs/>
                      <w:color w:val="auto"/>
                    </w:rPr>
                    <w:t>非甲烷总烃、甲苯</w:t>
                  </w:r>
                  <w:r>
                    <w:rPr>
                      <w:bCs/>
                      <w:color w:val="auto"/>
                    </w:rPr>
                    <w:t>+</w:t>
                  </w:r>
                  <w:r>
                    <w:rPr>
                      <w:rFonts w:hint="eastAsia"/>
                      <w:bCs/>
                      <w:color w:val="auto"/>
                    </w:rPr>
                    <w:t>二甲苯、苯系物</w:t>
                  </w:r>
                </w:p>
              </w:tc>
              <w:tc>
                <w:tcPr>
                  <w:tcW w:w="2515" w:type="dxa"/>
                  <w:vAlign w:val="center"/>
                </w:tcPr>
                <w:p>
                  <w:pPr>
                    <w:pStyle w:val="164"/>
                    <w:rPr>
                      <w:bCs/>
                      <w:color w:val="auto"/>
                    </w:rPr>
                  </w:pPr>
                  <w:r>
                    <w:rPr>
                      <w:rFonts w:hint="eastAsia"/>
                      <w:bCs/>
                      <w:color w:val="auto"/>
                    </w:rPr>
                    <w:t>活性炭吸附（DA007）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476" w:type="dxa"/>
                  <w:vMerge w:val="restart"/>
                  <w:vAlign w:val="center"/>
                </w:tcPr>
                <w:p>
                  <w:pPr>
                    <w:pStyle w:val="164"/>
                    <w:rPr>
                      <w:bCs/>
                      <w:color w:val="auto"/>
                    </w:rPr>
                  </w:pPr>
                  <w:r>
                    <w:rPr>
                      <w:bCs/>
                      <w:color w:val="auto"/>
                    </w:rPr>
                    <w:t>木工加工废气</w:t>
                  </w:r>
                </w:p>
              </w:tc>
              <w:tc>
                <w:tcPr>
                  <w:tcW w:w="3905" w:type="dxa"/>
                  <w:vAlign w:val="center"/>
                </w:tcPr>
                <w:p>
                  <w:pPr>
                    <w:pStyle w:val="164"/>
                    <w:rPr>
                      <w:bCs/>
                      <w:color w:val="auto"/>
                    </w:rPr>
                  </w:pPr>
                  <w:r>
                    <w:rPr>
                      <w:bCs/>
                      <w:color w:val="auto"/>
                    </w:rPr>
                    <w:t>颗粒物</w:t>
                  </w:r>
                </w:p>
              </w:tc>
              <w:tc>
                <w:tcPr>
                  <w:tcW w:w="2515" w:type="dxa"/>
                  <w:vAlign w:val="center"/>
                </w:tcPr>
                <w:p>
                  <w:pPr>
                    <w:pStyle w:val="164"/>
                    <w:rPr>
                      <w:bCs/>
                      <w:color w:val="auto"/>
                    </w:rPr>
                  </w:pPr>
                  <w:r>
                    <w:rPr>
                      <w:rFonts w:hint="eastAsia"/>
                      <w:bCs/>
                    </w:rPr>
                    <w:t>1#</w:t>
                  </w:r>
                  <w:r>
                    <w:rPr>
                      <w:bCs/>
                    </w:rPr>
                    <w:t>布袋除尘器</w:t>
                  </w:r>
                  <w:r>
                    <w:rPr>
                      <w:rFonts w:hint="eastAsia"/>
                      <w:bCs/>
                    </w:rPr>
                    <w:t>（DA003）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76" w:type="dxa"/>
                  <w:vMerge w:val="continue"/>
                  <w:vAlign w:val="center"/>
                </w:tcPr>
                <w:p>
                  <w:pPr>
                    <w:pStyle w:val="164"/>
                    <w:rPr>
                      <w:bCs/>
                      <w:color w:val="auto"/>
                    </w:rPr>
                  </w:pPr>
                </w:p>
              </w:tc>
              <w:tc>
                <w:tcPr>
                  <w:tcW w:w="3905" w:type="dxa"/>
                  <w:vAlign w:val="center"/>
                </w:tcPr>
                <w:p>
                  <w:pPr>
                    <w:pStyle w:val="164"/>
                    <w:rPr>
                      <w:bCs/>
                      <w:color w:val="auto"/>
                    </w:rPr>
                  </w:pPr>
                  <w:r>
                    <w:rPr>
                      <w:bCs/>
                      <w:color w:val="auto"/>
                    </w:rPr>
                    <w:t>颗粒物</w:t>
                  </w:r>
                </w:p>
              </w:tc>
              <w:tc>
                <w:tcPr>
                  <w:tcW w:w="2515" w:type="dxa"/>
                  <w:vAlign w:val="center"/>
                </w:tcPr>
                <w:p>
                  <w:pPr>
                    <w:pStyle w:val="164"/>
                    <w:rPr>
                      <w:bCs/>
                      <w:color w:val="auto"/>
                    </w:rPr>
                  </w:pPr>
                  <w:r>
                    <w:rPr>
                      <w:rFonts w:hint="eastAsia"/>
                      <w:bCs/>
                    </w:rPr>
                    <w:t>2#</w:t>
                  </w:r>
                  <w:r>
                    <w:rPr>
                      <w:bCs/>
                    </w:rPr>
                    <w:t>布袋除尘器</w:t>
                  </w:r>
                  <w:r>
                    <w:rPr>
                      <w:rFonts w:hint="eastAsia"/>
                      <w:bCs/>
                    </w:rPr>
                    <w:t>（DA004）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76" w:type="dxa"/>
                  <w:vMerge w:val="continue"/>
                  <w:vAlign w:val="center"/>
                </w:tcPr>
                <w:p>
                  <w:pPr>
                    <w:pStyle w:val="164"/>
                    <w:rPr>
                      <w:bCs/>
                      <w:color w:val="auto"/>
                    </w:rPr>
                  </w:pPr>
                </w:p>
              </w:tc>
              <w:tc>
                <w:tcPr>
                  <w:tcW w:w="3905" w:type="dxa"/>
                  <w:vAlign w:val="center"/>
                </w:tcPr>
                <w:p>
                  <w:pPr>
                    <w:pStyle w:val="164"/>
                    <w:rPr>
                      <w:bCs/>
                      <w:color w:val="auto"/>
                    </w:rPr>
                  </w:pPr>
                  <w:r>
                    <w:rPr>
                      <w:bCs/>
                      <w:color w:val="auto"/>
                    </w:rPr>
                    <w:t>颗粒物</w:t>
                  </w:r>
                </w:p>
              </w:tc>
              <w:tc>
                <w:tcPr>
                  <w:tcW w:w="2515" w:type="dxa"/>
                  <w:vAlign w:val="center"/>
                </w:tcPr>
                <w:p>
                  <w:pPr>
                    <w:pStyle w:val="164"/>
                    <w:rPr>
                      <w:bCs/>
                      <w:color w:val="auto"/>
                    </w:rPr>
                  </w:pPr>
                  <w:r>
                    <w:rPr>
                      <w:rFonts w:hint="eastAsia"/>
                      <w:bCs/>
                    </w:rPr>
                    <w:t>3#</w:t>
                  </w:r>
                  <w:r>
                    <w:rPr>
                      <w:bCs/>
                    </w:rPr>
                    <w:t>布袋除尘器</w:t>
                  </w:r>
                  <w:r>
                    <w:rPr>
                      <w:rFonts w:hint="eastAsia"/>
                      <w:bCs/>
                    </w:rPr>
                    <w:t>（DA005）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1476" w:type="dxa"/>
                  <w:vMerge w:val="continue"/>
                  <w:vAlign w:val="center"/>
                </w:tcPr>
                <w:p>
                  <w:pPr>
                    <w:pStyle w:val="164"/>
                    <w:rPr>
                      <w:bCs/>
                      <w:color w:val="auto"/>
                    </w:rPr>
                  </w:pPr>
                </w:p>
              </w:tc>
              <w:tc>
                <w:tcPr>
                  <w:tcW w:w="3905" w:type="dxa"/>
                  <w:vAlign w:val="center"/>
                </w:tcPr>
                <w:p>
                  <w:pPr>
                    <w:pStyle w:val="164"/>
                    <w:rPr>
                      <w:bCs/>
                      <w:color w:val="auto"/>
                    </w:rPr>
                  </w:pPr>
                  <w:r>
                    <w:rPr>
                      <w:bCs/>
                      <w:color w:val="auto"/>
                    </w:rPr>
                    <w:t>颗粒物</w:t>
                  </w:r>
                </w:p>
              </w:tc>
              <w:tc>
                <w:tcPr>
                  <w:tcW w:w="2515" w:type="dxa"/>
                  <w:vAlign w:val="center"/>
                </w:tcPr>
                <w:p>
                  <w:pPr>
                    <w:pStyle w:val="164"/>
                    <w:rPr>
                      <w:bCs/>
                      <w:color w:val="auto"/>
                    </w:rPr>
                  </w:pPr>
                  <w:r>
                    <w:rPr>
                      <w:rFonts w:hint="eastAsia"/>
                      <w:bCs/>
                    </w:rPr>
                    <w:t>4#</w:t>
                  </w:r>
                  <w:r>
                    <w:rPr>
                      <w:bCs/>
                    </w:rPr>
                    <w:t>布袋除尘器</w:t>
                  </w:r>
                  <w:r>
                    <w:rPr>
                      <w:rFonts w:hint="eastAsia"/>
                      <w:bCs/>
                    </w:rPr>
                    <w:t>（DA006）</w:t>
                  </w:r>
                </w:p>
              </w:tc>
            </w:tr>
          </w:tbl>
          <w:p>
            <w:pPr>
              <w:spacing w:line="360" w:lineRule="auto"/>
              <w:ind w:firstLine="480" w:firstLineChars="200"/>
              <w:rPr>
                <w:rFonts w:ascii="宋体" w:hAnsi="宋体"/>
                <w:color w:val="000000"/>
                <w:sz w:val="24"/>
              </w:rPr>
            </w:pPr>
            <w:r>
              <w:rPr>
                <w:rFonts w:hint="eastAsia" w:ascii="宋体" w:hAnsi="宋体"/>
                <w:color w:val="000000"/>
                <w:sz w:val="24"/>
              </w:rPr>
              <w:t>本次评价根据企业2020年12月监督性监测报告（天航[2020]第QTWT0623号）对底漆涂装废气、面漆涂装废气、木工加工废气污染物排放情况进行判定。</w:t>
            </w:r>
          </w:p>
          <w:p>
            <w:pPr>
              <w:pStyle w:val="164"/>
            </w:pPr>
            <w:r>
              <w:rPr>
                <w:rFonts w:hint="eastAsia"/>
              </w:rPr>
              <w:t>表2.10</w:t>
            </w:r>
            <w:r>
              <w:t>-</w:t>
            </w:r>
            <w:r>
              <w:rPr>
                <w:rFonts w:hint="eastAsia"/>
              </w:rPr>
              <w:t>6原项目企业废气污染物排放情况一览表</w:t>
            </w:r>
          </w:p>
          <w:tbl>
            <w:tblPr>
              <w:tblStyle w:val="88"/>
              <w:tblW w:w="8236" w:type="dxa"/>
              <w:tblInd w:w="94"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697"/>
              <w:gridCol w:w="1419"/>
              <w:gridCol w:w="1280"/>
              <w:gridCol w:w="1107"/>
              <w:gridCol w:w="114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3283" w:type="dxa"/>
                  <w:gridSpan w:val="2"/>
                  <w:vMerge w:val="restart"/>
                  <w:vAlign w:val="center"/>
                </w:tcPr>
                <w:p>
                  <w:pPr>
                    <w:pStyle w:val="164"/>
                    <w:rPr>
                      <w:rFonts w:asciiTheme="minorEastAsia" w:hAnsiTheme="minorEastAsia" w:eastAsiaTheme="minorEastAsia"/>
                    </w:rPr>
                  </w:pPr>
                  <w:r>
                    <w:rPr>
                      <w:rFonts w:hint="eastAsia" w:asciiTheme="minorEastAsia" w:hAnsiTheme="minorEastAsia" w:eastAsiaTheme="minorEastAsia"/>
                    </w:rPr>
                    <w:t>项目</w:t>
                  </w:r>
                </w:p>
              </w:tc>
              <w:tc>
                <w:tcPr>
                  <w:tcW w:w="1419" w:type="dxa"/>
                  <w:vMerge w:val="restart"/>
                  <w:vAlign w:val="center"/>
                </w:tcPr>
                <w:p>
                  <w:pPr>
                    <w:pStyle w:val="164"/>
                    <w:rPr>
                      <w:rFonts w:asciiTheme="minorEastAsia" w:hAnsiTheme="minorEastAsia" w:eastAsiaTheme="minorEastAsia"/>
                    </w:rPr>
                  </w:pPr>
                  <w:r>
                    <w:rPr>
                      <w:rFonts w:hint="eastAsia" w:asciiTheme="minorEastAsia" w:hAnsiTheme="minorEastAsia" w:eastAsiaTheme="minorEastAsia"/>
                    </w:rPr>
                    <w:t>监测浓度mg/m³</w:t>
                  </w:r>
                </w:p>
              </w:tc>
              <w:tc>
                <w:tcPr>
                  <w:tcW w:w="1280" w:type="dxa"/>
                  <w:vMerge w:val="restart"/>
                  <w:vAlign w:val="center"/>
                </w:tcPr>
                <w:p>
                  <w:pPr>
                    <w:pStyle w:val="164"/>
                    <w:rPr>
                      <w:rFonts w:asciiTheme="minorEastAsia" w:hAnsiTheme="minorEastAsia" w:eastAsiaTheme="minorEastAsia"/>
                    </w:rPr>
                  </w:pPr>
                  <w:r>
                    <w:rPr>
                      <w:rFonts w:hint="eastAsia" w:asciiTheme="minorEastAsia" w:hAnsiTheme="minorEastAsia" w:eastAsiaTheme="minorEastAsia"/>
                    </w:rPr>
                    <w:t>排放速率kg/h</w:t>
                  </w:r>
                </w:p>
              </w:tc>
              <w:tc>
                <w:tcPr>
                  <w:tcW w:w="2254" w:type="dxa"/>
                  <w:gridSpan w:val="2"/>
                  <w:vAlign w:val="center"/>
                </w:tcPr>
                <w:p>
                  <w:pPr>
                    <w:pStyle w:val="164"/>
                    <w:rPr>
                      <w:rFonts w:asciiTheme="minorEastAsia" w:hAnsiTheme="minorEastAsia" w:eastAsiaTheme="minorEastAsia"/>
                    </w:rPr>
                  </w:pPr>
                  <w:r>
                    <w:rPr>
                      <w:rFonts w:hint="eastAsia" w:asciiTheme="minorEastAsia" w:hAnsiTheme="minorEastAsia" w:eastAsiaTheme="minorEastAsia"/>
                    </w:rPr>
                    <w:t>标准限值</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283" w:type="dxa"/>
                  <w:gridSpan w:val="2"/>
                  <w:vMerge w:val="continue"/>
                  <w:vAlign w:val="center"/>
                </w:tcPr>
                <w:p>
                  <w:pPr>
                    <w:pStyle w:val="164"/>
                    <w:rPr>
                      <w:rFonts w:asciiTheme="minorEastAsia" w:hAnsiTheme="minorEastAsia" w:eastAsiaTheme="minorEastAsia"/>
                    </w:rPr>
                  </w:pPr>
                </w:p>
              </w:tc>
              <w:tc>
                <w:tcPr>
                  <w:tcW w:w="1419" w:type="dxa"/>
                  <w:vMerge w:val="continue"/>
                  <w:vAlign w:val="center"/>
                </w:tcPr>
                <w:p>
                  <w:pPr>
                    <w:pStyle w:val="164"/>
                    <w:rPr>
                      <w:rFonts w:asciiTheme="minorEastAsia" w:hAnsiTheme="minorEastAsia" w:eastAsiaTheme="minorEastAsia"/>
                    </w:rPr>
                  </w:pPr>
                </w:p>
              </w:tc>
              <w:tc>
                <w:tcPr>
                  <w:tcW w:w="1280" w:type="dxa"/>
                  <w:vMerge w:val="continue"/>
                  <w:vAlign w:val="center"/>
                </w:tcPr>
                <w:p>
                  <w:pPr>
                    <w:pStyle w:val="164"/>
                    <w:rPr>
                      <w:rFonts w:asciiTheme="minorEastAsia" w:hAnsiTheme="minorEastAsia" w:eastAsiaTheme="minorEastAsia"/>
                    </w:rPr>
                  </w:pP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浓度mg/m³</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排放速率kg/h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restart"/>
                  <w:vAlign w:val="center"/>
                </w:tcPr>
                <w:p>
                  <w:pPr>
                    <w:pStyle w:val="164"/>
                    <w:rPr>
                      <w:rFonts w:asciiTheme="minorEastAsia" w:hAnsiTheme="minorEastAsia" w:eastAsiaTheme="minorEastAsia"/>
                    </w:rPr>
                  </w:pPr>
                  <w:r>
                    <w:rPr>
                      <w:rFonts w:hint="eastAsia" w:asciiTheme="minorEastAsia" w:hAnsiTheme="minorEastAsia" w:eastAsiaTheme="minorEastAsia"/>
                    </w:rPr>
                    <w:t>底漆涂装废气（原DA001）</w:t>
                  </w: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非甲烷总烃</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8.12</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0.31</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40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6.48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苯</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3.0×10</w:t>
                  </w:r>
                  <w:r>
                    <w:rPr>
                      <w:rFonts w:hint="eastAsia" w:asciiTheme="minorEastAsia" w:hAnsiTheme="minorEastAsia" w:eastAsiaTheme="minorEastAsia"/>
                      <w:vertAlign w:val="superscript"/>
                    </w:rPr>
                    <w:t>-3</w:t>
                  </w:r>
                  <w:r>
                    <w:rPr>
                      <w:rFonts w:hint="eastAsia" w:asciiTheme="minorEastAsia" w:hAnsiTheme="minorEastAsia" w:eastAsiaTheme="minorEastAsia"/>
                    </w:rPr>
                    <w:t>L</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3.0×10</w:t>
                  </w:r>
                  <w:r>
                    <w:rPr>
                      <w:rFonts w:hint="eastAsia" w:asciiTheme="minorEastAsia" w:hAnsiTheme="minorEastAsia" w:eastAsiaTheme="minorEastAsia"/>
                      <w:vertAlign w:val="superscript"/>
                    </w:rPr>
                    <w:t>-3</w:t>
                  </w:r>
                  <w:r>
                    <w:rPr>
                      <w:rFonts w:hint="eastAsia" w:asciiTheme="minorEastAsia" w:hAnsiTheme="minorEastAsia" w:eastAsiaTheme="minorEastAsia"/>
                    </w:rPr>
                    <w:t>L</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0.45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甲苯</w:t>
                  </w:r>
                  <w:r>
                    <w:rPr>
                      <w:rFonts w:asciiTheme="minorEastAsia" w:hAnsiTheme="minorEastAsia" w:eastAsiaTheme="minorEastAsia"/>
                    </w:rPr>
                    <w:t>+</w:t>
                  </w:r>
                  <w:r>
                    <w:rPr>
                      <w:rFonts w:hint="eastAsia" w:asciiTheme="minorEastAsia" w:hAnsiTheme="minorEastAsia" w:eastAsiaTheme="minorEastAsia"/>
                    </w:rPr>
                    <w:t>二甲苯</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2.36</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0.090</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3.42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苯系物</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2.367</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0.090</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35</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4.32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restart"/>
                  <w:vAlign w:val="center"/>
                </w:tcPr>
                <w:p>
                  <w:pPr>
                    <w:pStyle w:val="164"/>
                    <w:rPr>
                      <w:rFonts w:asciiTheme="minorEastAsia" w:hAnsiTheme="minorEastAsia" w:eastAsiaTheme="minorEastAsia"/>
                    </w:rPr>
                  </w:pPr>
                  <w:r>
                    <w:rPr>
                      <w:rFonts w:hint="eastAsia" w:asciiTheme="minorEastAsia" w:hAnsiTheme="minorEastAsia" w:eastAsiaTheme="minorEastAsia"/>
                    </w:rPr>
                    <w:t>修色废气（原DA002）</w:t>
                  </w: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非甲烷总烃</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8.623</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0.349</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40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6.48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苯</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3.0×10</w:t>
                  </w:r>
                  <w:r>
                    <w:rPr>
                      <w:rFonts w:hint="eastAsia" w:asciiTheme="minorEastAsia" w:hAnsiTheme="minorEastAsia" w:eastAsiaTheme="minorEastAsia"/>
                      <w:vertAlign w:val="superscript"/>
                    </w:rPr>
                    <w:t>-3</w:t>
                  </w:r>
                  <w:r>
                    <w:rPr>
                      <w:rFonts w:hint="eastAsia" w:asciiTheme="minorEastAsia" w:hAnsiTheme="minorEastAsia" w:eastAsiaTheme="minorEastAsia"/>
                    </w:rPr>
                    <w:t>L</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3.0×10</w:t>
                  </w:r>
                  <w:r>
                    <w:rPr>
                      <w:rFonts w:hint="eastAsia" w:asciiTheme="minorEastAsia" w:hAnsiTheme="minorEastAsia" w:eastAsiaTheme="minorEastAsia"/>
                      <w:vertAlign w:val="superscript"/>
                    </w:rPr>
                    <w:t>-3</w:t>
                  </w:r>
                  <w:r>
                    <w:rPr>
                      <w:rFonts w:hint="eastAsia" w:asciiTheme="minorEastAsia" w:hAnsiTheme="minorEastAsia" w:eastAsiaTheme="minorEastAsia"/>
                    </w:rPr>
                    <w:t>L</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0.45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甲苯</w:t>
                  </w:r>
                  <w:r>
                    <w:rPr>
                      <w:rFonts w:asciiTheme="minorEastAsia" w:hAnsiTheme="minorEastAsia" w:eastAsiaTheme="minorEastAsia"/>
                    </w:rPr>
                    <w:t>+</w:t>
                  </w:r>
                  <w:r>
                    <w:rPr>
                      <w:rFonts w:hint="eastAsia" w:asciiTheme="minorEastAsia" w:hAnsiTheme="minorEastAsia" w:eastAsiaTheme="minorEastAsia"/>
                    </w:rPr>
                    <w:t>二甲苯</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1.323</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0.053</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3.42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苯系物</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1.333</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0.054</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35</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4.32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restart"/>
                  <w:vAlign w:val="center"/>
                </w:tcPr>
                <w:p>
                  <w:pPr>
                    <w:pStyle w:val="164"/>
                    <w:rPr>
                      <w:rFonts w:asciiTheme="minorEastAsia" w:hAnsiTheme="minorEastAsia" w:eastAsiaTheme="minorEastAsia"/>
                    </w:rPr>
                  </w:pPr>
                  <w:r>
                    <w:rPr>
                      <w:rFonts w:hint="eastAsia" w:asciiTheme="minorEastAsia" w:hAnsiTheme="minorEastAsia" w:eastAsiaTheme="minorEastAsia"/>
                    </w:rPr>
                    <w:t>面漆涂装废气（原DA007）</w:t>
                  </w: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非甲烷总烃</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9.26</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0.305</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40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6.48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苯</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3.0×10</w:t>
                  </w:r>
                  <w:r>
                    <w:rPr>
                      <w:rFonts w:hint="eastAsia" w:asciiTheme="minorEastAsia" w:hAnsiTheme="minorEastAsia" w:eastAsiaTheme="minorEastAsia"/>
                      <w:vertAlign w:val="superscript"/>
                    </w:rPr>
                    <w:t>-3</w:t>
                  </w:r>
                  <w:r>
                    <w:rPr>
                      <w:rFonts w:hint="eastAsia" w:asciiTheme="minorEastAsia" w:hAnsiTheme="minorEastAsia" w:eastAsiaTheme="minorEastAsia"/>
                    </w:rPr>
                    <w:t>L</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3.0×10</w:t>
                  </w:r>
                  <w:r>
                    <w:rPr>
                      <w:rFonts w:hint="eastAsia" w:asciiTheme="minorEastAsia" w:hAnsiTheme="minorEastAsia" w:eastAsiaTheme="minorEastAsia"/>
                      <w:vertAlign w:val="superscript"/>
                    </w:rPr>
                    <w:t>-3</w:t>
                  </w:r>
                  <w:r>
                    <w:rPr>
                      <w:rFonts w:hint="eastAsia" w:asciiTheme="minorEastAsia" w:hAnsiTheme="minorEastAsia" w:eastAsiaTheme="minorEastAsia"/>
                    </w:rPr>
                    <w:t>L</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0.45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甲苯</w:t>
                  </w:r>
                  <w:r>
                    <w:rPr>
                      <w:rFonts w:asciiTheme="minorEastAsia" w:hAnsiTheme="minorEastAsia" w:eastAsiaTheme="minorEastAsia"/>
                    </w:rPr>
                    <w:t>+</w:t>
                  </w:r>
                  <w:r>
                    <w:rPr>
                      <w:rFonts w:hint="eastAsia" w:asciiTheme="minorEastAsia" w:hAnsiTheme="minorEastAsia" w:eastAsiaTheme="minorEastAsia"/>
                    </w:rPr>
                    <w:t>二甲苯</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2.300</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0.076</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30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3.42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86" w:type="dxa"/>
                  <w:vMerge w:val="continue"/>
                  <w:vAlign w:val="center"/>
                </w:tcPr>
                <w:p>
                  <w:pPr>
                    <w:pStyle w:val="164"/>
                    <w:rPr>
                      <w:rFonts w:asciiTheme="minorEastAsia" w:hAnsiTheme="minorEastAsia" w:eastAsiaTheme="minorEastAsia"/>
                    </w:rPr>
                  </w:pP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苯系物</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2.303</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0.076</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35</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4.32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586" w:type="dxa"/>
                  <w:vAlign w:val="center"/>
                </w:tcPr>
                <w:p>
                  <w:pPr>
                    <w:pStyle w:val="164"/>
                    <w:rPr>
                      <w:rFonts w:asciiTheme="minorEastAsia" w:hAnsiTheme="minorEastAsia" w:eastAsiaTheme="minorEastAsia"/>
                    </w:rPr>
                  </w:pPr>
                  <w:r>
                    <w:rPr>
                      <w:rFonts w:hint="eastAsia" w:asciiTheme="minorEastAsia" w:hAnsiTheme="minorEastAsia" w:eastAsiaTheme="minorEastAsia"/>
                    </w:rPr>
                    <w:t>木工加工废气（DA003）</w:t>
                  </w: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18.1</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0.663</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100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3.5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586" w:type="dxa"/>
                  <w:vAlign w:val="center"/>
                </w:tcPr>
                <w:p>
                  <w:pPr>
                    <w:pStyle w:val="164"/>
                    <w:rPr>
                      <w:rFonts w:asciiTheme="minorEastAsia" w:hAnsiTheme="minorEastAsia" w:eastAsiaTheme="minorEastAsia"/>
                    </w:rPr>
                  </w:pPr>
                  <w:r>
                    <w:rPr>
                      <w:rFonts w:hint="eastAsia" w:asciiTheme="minorEastAsia" w:hAnsiTheme="minorEastAsia" w:eastAsiaTheme="minorEastAsia"/>
                    </w:rPr>
                    <w:t>木工加工废气（DA004）</w:t>
                  </w: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16.0</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0.303</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100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3.5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586" w:type="dxa"/>
                  <w:vAlign w:val="center"/>
                </w:tcPr>
                <w:p>
                  <w:pPr>
                    <w:pStyle w:val="164"/>
                    <w:rPr>
                      <w:rFonts w:asciiTheme="minorEastAsia" w:hAnsiTheme="minorEastAsia" w:eastAsiaTheme="minorEastAsia"/>
                    </w:rPr>
                  </w:pPr>
                  <w:r>
                    <w:rPr>
                      <w:rFonts w:hint="eastAsia" w:asciiTheme="minorEastAsia" w:hAnsiTheme="minorEastAsia" w:eastAsiaTheme="minorEastAsia"/>
                    </w:rPr>
                    <w:t>木工加工废气（DA005）</w:t>
                  </w: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19.80</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0.377</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100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3.5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586" w:type="dxa"/>
                  <w:vAlign w:val="center"/>
                </w:tcPr>
                <w:p>
                  <w:pPr>
                    <w:pStyle w:val="164"/>
                    <w:rPr>
                      <w:rFonts w:asciiTheme="minorEastAsia" w:hAnsiTheme="minorEastAsia" w:eastAsiaTheme="minorEastAsia"/>
                    </w:rPr>
                  </w:pPr>
                  <w:r>
                    <w:rPr>
                      <w:rFonts w:hint="eastAsia" w:asciiTheme="minorEastAsia" w:hAnsiTheme="minorEastAsia" w:eastAsiaTheme="minorEastAsia"/>
                    </w:rPr>
                    <w:t>木工加工废气（DA006）</w:t>
                  </w:r>
                </w:p>
              </w:tc>
              <w:tc>
                <w:tcPr>
                  <w:tcW w:w="1697" w:type="dxa"/>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1419" w:type="dxa"/>
                  <w:vAlign w:val="center"/>
                </w:tcPr>
                <w:p>
                  <w:pPr>
                    <w:pStyle w:val="164"/>
                    <w:rPr>
                      <w:rFonts w:asciiTheme="minorEastAsia" w:hAnsiTheme="minorEastAsia" w:eastAsiaTheme="minorEastAsia"/>
                    </w:rPr>
                  </w:pPr>
                  <w:r>
                    <w:rPr>
                      <w:rFonts w:hint="eastAsia" w:asciiTheme="minorEastAsia" w:hAnsiTheme="minorEastAsia" w:eastAsiaTheme="minorEastAsia"/>
                    </w:rPr>
                    <w:t>20.867</w:t>
                  </w:r>
                </w:p>
              </w:tc>
              <w:tc>
                <w:tcPr>
                  <w:tcW w:w="1280" w:type="dxa"/>
                  <w:vAlign w:val="center"/>
                </w:tcPr>
                <w:p>
                  <w:pPr>
                    <w:pStyle w:val="164"/>
                    <w:rPr>
                      <w:rFonts w:asciiTheme="minorEastAsia" w:hAnsiTheme="minorEastAsia" w:eastAsiaTheme="minorEastAsia"/>
                    </w:rPr>
                  </w:pPr>
                  <w:r>
                    <w:rPr>
                      <w:rFonts w:hint="eastAsia" w:asciiTheme="minorEastAsia" w:hAnsiTheme="minorEastAsia" w:eastAsiaTheme="minorEastAsia"/>
                    </w:rPr>
                    <w:t>0.757</w:t>
                  </w:r>
                </w:p>
              </w:tc>
              <w:tc>
                <w:tcPr>
                  <w:tcW w:w="1107" w:type="dxa"/>
                  <w:vAlign w:val="center"/>
                </w:tcPr>
                <w:p>
                  <w:pPr>
                    <w:pStyle w:val="164"/>
                    <w:rPr>
                      <w:rFonts w:asciiTheme="minorEastAsia" w:hAnsiTheme="minorEastAsia" w:eastAsiaTheme="minorEastAsia"/>
                    </w:rPr>
                  </w:pPr>
                  <w:r>
                    <w:rPr>
                      <w:rFonts w:hint="eastAsia" w:asciiTheme="minorEastAsia" w:hAnsiTheme="minorEastAsia" w:eastAsiaTheme="minorEastAsia"/>
                    </w:rPr>
                    <w:t>100</w:t>
                  </w:r>
                </w:p>
              </w:tc>
              <w:tc>
                <w:tcPr>
                  <w:tcW w:w="1147" w:type="dxa"/>
                  <w:vAlign w:val="center"/>
                </w:tcPr>
                <w:p>
                  <w:pPr>
                    <w:pStyle w:val="164"/>
                    <w:rPr>
                      <w:rFonts w:asciiTheme="minorEastAsia" w:hAnsiTheme="minorEastAsia" w:eastAsiaTheme="minorEastAsia"/>
                    </w:rPr>
                  </w:pPr>
                  <w:r>
                    <w:rPr>
                      <w:rFonts w:hint="eastAsia" w:asciiTheme="minorEastAsia" w:hAnsiTheme="minorEastAsia" w:eastAsiaTheme="minorEastAsia"/>
                    </w:rPr>
                    <w:t>3.5</w:t>
                  </w:r>
                </w:p>
              </w:tc>
            </w:tr>
          </w:tbl>
          <w:p>
            <w:pPr>
              <w:widowControl/>
              <w:jc w:val="left"/>
              <w:rPr>
                <w:rFonts w:cs="宋体"/>
                <w:kern w:val="0"/>
              </w:rPr>
            </w:pPr>
            <w:r>
              <w:rPr>
                <w:rFonts w:hint="eastAsia" w:cs="宋体"/>
                <w:kern w:val="0"/>
              </w:rPr>
              <w:t>*排污许可证为简化管理，未总量进行限定。</w:t>
            </w:r>
          </w:p>
          <w:p>
            <w:pPr>
              <w:spacing w:line="360" w:lineRule="auto"/>
              <w:ind w:firstLine="480" w:firstLineChars="200"/>
              <w:rPr>
                <w:rFonts w:ascii="宋体" w:hAnsi="宋体"/>
                <w:color w:val="000000"/>
                <w:sz w:val="24"/>
              </w:rPr>
            </w:pPr>
            <w:r>
              <w:rPr>
                <w:rFonts w:hint="eastAsia" w:ascii="宋体" w:hAnsi="宋体"/>
                <w:color w:val="000000"/>
                <w:sz w:val="24"/>
              </w:rPr>
              <w:t>由表2.13</w:t>
            </w:r>
            <w:r>
              <w:rPr>
                <w:rFonts w:ascii="宋体" w:hAnsi="宋体"/>
                <w:color w:val="000000"/>
                <w:sz w:val="24"/>
              </w:rPr>
              <w:t>-</w:t>
            </w:r>
            <w:r>
              <w:rPr>
                <w:rFonts w:hint="eastAsia" w:ascii="宋体" w:hAnsi="宋体"/>
                <w:color w:val="000000"/>
                <w:sz w:val="24"/>
              </w:rPr>
              <w:t>5及表2.13</w:t>
            </w:r>
            <w:r>
              <w:rPr>
                <w:rFonts w:ascii="宋体" w:hAnsi="宋体"/>
                <w:color w:val="000000"/>
                <w:sz w:val="24"/>
              </w:rPr>
              <w:t>-</w:t>
            </w:r>
            <w:r>
              <w:rPr>
                <w:rFonts w:hint="eastAsia" w:ascii="宋体" w:hAnsi="宋体"/>
                <w:color w:val="000000"/>
                <w:sz w:val="24"/>
              </w:rPr>
              <w:t>6可知，项目废气污染物排放浓度、排放速率满足重庆市地方标准《家具制造业大气污染物排放标准》（</w:t>
            </w:r>
            <w:r>
              <w:rPr>
                <w:rFonts w:ascii="宋体" w:hAnsi="宋体"/>
                <w:color w:val="000000"/>
                <w:sz w:val="24"/>
              </w:rPr>
              <w:t>DB50/757-2017）</w:t>
            </w:r>
            <w:r>
              <w:rPr>
                <w:rFonts w:hint="eastAsia" w:ascii="宋体" w:hAnsi="宋体"/>
                <w:color w:val="000000"/>
                <w:sz w:val="24"/>
              </w:rPr>
              <w:t>排放限值要求。</w:t>
            </w:r>
          </w:p>
          <w:p>
            <w:pPr>
              <w:spacing w:line="360" w:lineRule="auto"/>
              <w:ind w:firstLine="480" w:firstLineChars="200"/>
              <w:rPr>
                <w:rFonts w:ascii="宋体" w:hAnsi="宋体"/>
                <w:color w:val="000000"/>
                <w:sz w:val="24"/>
              </w:rPr>
            </w:pPr>
            <w:r>
              <w:rPr>
                <w:rFonts w:ascii="宋体" w:hAnsi="宋体"/>
                <w:color w:val="000000"/>
                <w:sz w:val="24"/>
              </w:rPr>
              <w:t xml:space="preserve">(3) </w:t>
            </w:r>
            <w:r>
              <w:rPr>
                <w:rFonts w:hint="eastAsia" w:ascii="宋体" w:hAnsi="宋体"/>
                <w:color w:val="000000"/>
                <w:sz w:val="24"/>
              </w:rPr>
              <w:t>噪声</w:t>
            </w:r>
          </w:p>
          <w:p>
            <w:pPr>
              <w:spacing w:line="360" w:lineRule="auto"/>
              <w:ind w:firstLine="480" w:firstLineChars="200"/>
              <w:rPr>
                <w:rFonts w:ascii="宋体" w:hAnsi="宋体"/>
                <w:color w:val="000000"/>
                <w:sz w:val="24"/>
              </w:rPr>
            </w:pPr>
            <w:r>
              <w:rPr>
                <w:rFonts w:hint="eastAsia" w:ascii="宋体" w:hAnsi="宋体"/>
                <w:color w:val="000000"/>
                <w:sz w:val="24"/>
              </w:rPr>
              <w:t>根据企业提供的2020年12月委托监测报告的数据可知（天航</w:t>
            </w:r>
            <w:r>
              <w:rPr>
                <w:rFonts w:ascii="宋体" w:hAnsi="宋体"/>
                <w:color w:val="000000"/>
                <w:sz w:val="24"/>
              </w:rPr>
              <w:t>[2020]第QTWT0623号</w:t>
            </w:r>
            <w:r>
              <w:rPr>
                <w:rFonts w:hint="eastAsia" w:ascii="宋体" w:hAnsi="宋体"/>
                <w:color w:val="000000"/>
                <w:sz w:val="24"/>
              </w:rPr>
              <w:t>），厂界噪声东侧最大厂（场）界噪声值昼间57 dB(A)、夜间46 dB(A)。满足《声环境质量标准》（GB3096-2008）中3类标准要求。</w:t>
            </w:r>
          </w:p>
          <w:p>
            <w:pPr>
              <w:spacing w:line="360" w:lineRule="auto"/>
              <w:ind w:firstLine="480" w:firstLineChars="200"/>
              <w:rPr>
                <w:rFonts w:ascii="宋体" w:hAnsi="宋体"/>
                <w:color w:val="000000"/>
                <w:sz w:val="24"/>
              </w:rPr>
            </w:pPr>
            <w:r>
              <w:rPr>
                <w:rFonts w:ascii="宋体" w:hAnsi="宋体"/>
                <w:color w:val="000000"/>
                <w:sz w:val="24"/>
              </w:rPr>
              <w:t xml:space="preserve">(4) </w:t>
            </w:r>
            <w:r>
              <w:rPr>
                <w:rFonts w:hint="eastAsia" w:ascii="宋体" w:hAnsi="宋体"/>
                <w:color w:val="000000"/>
                <w:sz w:val="24"/>
              </w:rPr>
              <w:t>固体废物</w:t>
            </w:r>
          </w:p>
          <w:p>
            <w:pPr>
              <w:spacing w:line="360" w:lineRule="auto"/>
              <w:ind w:firstLine="480" w:firstLineChars="200"/>
              <w:rPr>
                <w:rFonts w:ascii="宋体" w:hAnsi="宋体"/>
                <w:color w:val="000000"/>
                <w:sz w:val="24"/>
              </w:rPr>
            </w:pPr>
            <w:r>
              <w:rPr>
                <w:rFonts w:hint="eastAsia" w:ascii="宋体" w:hAnsi="宋体"/>
                <w:color w:val="000000"/>
                <w:sz w:val="24"/>
              </w:rPr>
              <w:t>现有项目固体废物产生情况及处理处置情况，见表2.10</w:t>
            </w:r>
            <w:r>
              <w:rPr>
                <w:rFonts w:ascii="宋体" w:hAnsi="宋体"/>
                <w:color w:val="000000"/>
                <w:sz w:val="24"/>
              </w:rPr>
              <w:t>-</w:t>
            </w:r>
            <w:r>
              <w:rPr>
                <w:rFonts w:hint="eastAsia" w:ascii="宋体" w:hAnsi="宋体"/>
                <w:color w:val="000000"/>
                <w:sz w:val="24"/>
              </w:rPr>
              <w:t>7。</w:t>
            </w:r>
          </w:p>
          <w:p>
            <w:pPr>
              <w:pStyle w:val="164"/>
              <w:rPr>
                <w:bCs/>
                <w:color w:val="auto"/>
              </w:rPr>
            </w:pPr>
            <w:r>
              <w:rPr>
                <w:rFonts w:hint="eastAsia"/>
                <w:bCs/>
                <w:color w:val="auto"/>
              </w:rPr>
              <w:t>表2.10-7  固体废物产生情况及处理处置情况</w:t>
            </w:r>
          </w:p>
          <w:tbl>
            <w:tblPr>
              <w:tblStyle w:val="88"/>
              <w:tblW w:w="8330"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912"/>
              <w:gridCol w:w="1560"/>
              <w:gridCol w:w="1960"/>
              <w:gridCol w:w="1417"/>
              <w:gridCol w:w="18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序号</w:t>
                  </w:r>
                </w:p>
              </w:tc>
              <w:tc>
                <w:tcPr>
                  <w:tcW w:w="2472" w:type="dxa"/>
                  <w:gridSpan w:val="2"/>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污染源</w:t>
                  </w:r>
                </w:p>
              </w:tc>
              <w:tc>
                <w:tcPr>
                  <w:tcW w:w="1960" w:type="dxa"/>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危废编号</w:t>
                  </w:r>
                </w:p>
              </w:tc>
              <w:tc>
                <w:tcPr>
                  <w:tcW w:w="1417" w:type="dxa"/>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产生量（</w:t>
                  </w:r>
                  <w:r>
                    <w:rPr>
                      <w:rFonts w:asciiTheme="minorEastAsia" w:hAnsiTheme="minorEastAsia" w:eastAsiaTheme="minorEastAsia"/>
                      <w:bCs/>
                      <w:color w:val="auto"/>
                    </w:rPr>
                    <w:t>t/a</w:t>
                  </w:r>
                  <w:r>
                    <w:rPr>
                      <w:rFonts w:hint="eastAsia" w:asciiTheme="minorEastAsia" w:hAnsiTheme="minorEastAsia" w:eastAsiaTheme="minorEastAsia"/>
                      <w:bCs/>
                      <w:color w:val="auto"/>
                    </w:rPr>
                    <w:t>）</w:t>
                  </w:r>
                </w:p>
              </w:tc>
              <w:tc>
                <w:tcPr>
                  <w:tcW w:w="1893" w:type="dxa"/>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处理措施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Merge w:val="restart"/>
                  <w:vAlign w:val="center"/>
                </w:tcPr>
                <w:p>
                  <w:pPr>
                    <w:pStyle w:val="164"/>
                    <w:rPr>
                      <w:rFonts w:asciiTheme="minorEastAsia" w:hAnsiTheme="minorEastAsia" w:eastAsiaTheme="minorEastAsia"/>
                      <w:bCs/>
                      <w:color w:val="auto"/>
                    </w:rPr>
                  </w:pPr>
                  <w:r>
                    <w:rPr>
                      <w:rFonts w:asciiTheme="minorEastAsia" w:hAnsiTheme="minorEastAsia" w:eastAsiaTheme="minorEastAsia"/>
                      <w:bCs/>
                      <w:color w:val="auto"/>
                    </w:rPr>
                    <w:t>1</w:t>
                  </w:r>
                </w:p>
              </w:tc>
              <w:tc>
                <w:tcPr>
                  <w:tcW w:w="912" w:type="dxa"/>
                  <w:vMerge w:val="restart"/>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一般固废</w:t>
                  </w:r>
                </w:p>
              </w:tc>
              <w:tc>
                <w:tcPr>
                  <w:tcW w:w="1560" w:type="dxa"/>
                  <w:vAlign w:val="center"/>
                </w:tcPr>
                <w:p>
                  <w:pPr>
                    <w:jc w:val="center"/>
                    <w:rPr>
                      <w:rFonts w:cs="宋体" w:asciiTheme="minorEastAsia" w:hAnsiTheme="minorEastAsia"/>
                    </w:rPr>
                  </w:pPr>
                  <w:r>
                    <w:rPr>
                      <w:rFonts w:hint="eastAsia" w:asciiTheme="minorEastAsia" w:hAnsiTheme="minorEastAsia"/>
                    </w:rPr>
                    <w:t>板材边角料</w:t>
                  </w:r>
                </w:p>
              </w:tc>
              <w:tc>
                <w:tcPr>
                  <w:tcW w:w="1960" w:type="dxa"/>
                  <w:vMerge w:val="restart"/>
                  <w:vAlign w:val="center"/>
                </w:tcPr>
                <w:p>
                  <w:pPr>
                    <w:pStyle w:val="164"/>
                    <w:rPr>
                      <w:rFonts w:asciiTheme="minorEastAsia" w:hAnsiTheme="minorEastAsia" w:eastAsiaTheme="minorEastAsia"/>
                      <w:bCs/>
                      <w:color w:val="auto"/>
                    </w:rPr>
                  </w:pPr>
                  <w:r>
                    <w:rPr>
                      <w:rFonts w:asciiTheme="minorEastAsia" w:hAnsiTheme="minorEastAsia" w:eastAsiaTheme="minorEastAsia"/>
                      <w:bCs/>
                      <w:color w:val="auto"/>
                    </w:rPr>
                    <w:t>/</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1594.18 </w:t>
                  </w:r>
                </w:p>
              </w:tc>
              <w:tc>
                <w:tcPr>
                  <w:tcW w:w="1893" w:type="dxa"/>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破碎机破碎后回用于注塑工序或回收单位处理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废砂纸</w:t>
                  </w:r>
                </w:p>
              </w:tc>
              <w:tc>
                <w:tcPr>
                  <w:tcW w:w="1960" w:type="dxa"/>
                  <w:vMerge w:val="continue"/>
                  <w:vAlign w:val="center"/>
                </w:tcPr>
                <w:p>
                  <w:pPr>
                    <w:pStyle w:val="164"/>
                    <w:rPr>
                      <w:rFonts w:asciiTheme="minorEastAsia" w:hAnsiTheme="minorEastAsia" w:eastAsiaTheme="minorEastAsia"/>
                      <w:bCs/>
                      <w:color w:val="auto"/>
                    </w:rPr>
                  </w:pP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0.12 </w:t>
                  </w:r>
                </w:p>
              </w:tc>
              <w:tc>
                <w:tcPr>
                  <w:tcW w:w="1893" w:type="dxa"/>
                  <w:vMerge w:val="restart"/>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分类收集于用地东北侧的一般固废暂存点，然后及时交由相应的回收单位处理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废包装</w:t>
                  </w:r>
                </w:p>
              </w:tc>
              <w:tc>
                <w:tcPr>
                  <w:tcW w:w="1960" w:type="dxa"/>
                  <w:vMerge w:val="continue"/>
                  <w:vAlign w:val="center"/>
                </w:tcPr>
                <w:p>
                  <w:pPr>
                    <w:pStyle w:val="164"/>
                    <w:rPr>
                      <w:rFonts w:asciiTheme="minorEastAsia" w:hAnsiTheme="minorEastAsia" w:eastAsiaTheme="minorEastAsia"/>
                      <w:bCs/>
                      <w:color w:val="auto"/>
                    </w:rPr>
                  </w:pP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1.23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废封边条</w:t>
                  </w:r>
                </w:p>
              </w:tc>
              <w:tc>
                <w:tcPr>
                  <w:tcW w:w="1960" w:type="dxa"/>
                  <w:vMerge w:val="continue"/>
                  <w:vAlign w:val="center"/>
                </w:tcPr>
                <w:p>
                  <w:pPr>
                    <w:pStyle w:val="164"/>
                    <w:rPr>
                      <w:rFonts w:asciiTheme="minorEastAsia" w:hAnsiTheme="minorEastAsia" w:eastAsiaTheme="minorEastAsia"/>
                      <w:bCs/>
                      <w:color w:val="auto"/>
                    </w:rPr>
                  </w:pP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0.12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除尘器木粉</w:t>
                  </w:r>
                </w:p>
              </w:tc>
              <w:tc>
                <w:tcPr>
                  <w:tcW w:w="1960" w:type="dxa"/>
                  <w:vMerge w:val="continue"/>
                  <w:vAlign w:val="center"/>
                </w:tcPr>
                <w:p>
                  <w:pPr>
                    <w:pStyle w:val="164"/>
                    <w:rPr>
                      <w:rFonts w:asciiTheme="minorEastAsia" w:hAnsiTheme="minorEastAsia" w:eastAsiaTheme="minorEastAsia"/>
                      <w:bCs/>
                      <w:color w:val="auto"/>
                    </w:rPr>
                  </w:pP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4.34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废水站生化段污泥</w:t>
                  </w:r>
                </w:p>
              </w:tc>
              <w:tc>
                <w:tcPr>
                  <w:tcW w:w="1960" w:type="dxa"/>
                  <w:vMerge w:val="continue"/>
                  <w:vAlign w:val="center"/>
                </w:tcPr>
                <w:p>
                  <w:pPr>
                    <w:pStyle w:val="164"/>
                    <w:rPr>
                      <w:rFonts w:asciiTheme="minorEastAsia" w:hAnsiTheme="minorEastAsia" w:eastAsiaTheme="minorEastAsia"/>
                      <w:bCs/>
                      <w:color w:val="auto"/>
                    </w:rPr>
                  </w:pP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1.00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88" w:type="dxa"/>
                  <w:vMerge w:val="restart"/>
                  <w:vAlign w:val="center"/>
                </w:tcPr>
                <w:p>
                  <w:pPr>
                    <w:pStyle w:val="164"/>
                    <w:rPr>
                      <w:rFonts w:asciiTheme="minorEastAsia" w:hAnsiTheme="minorEastAsia" w:eastAsiaTheme="minorEastAsia"/>
                      <w:bCs/>
                      <w:color w:val="auto"/>
                    </w:rPr>
                  </w:pPr>
                  <w:r>
                    <w:rPr>
                      <w:rFonts w:asciiTheme="minorEastAsia" w:hAnsiTheme="minorEastAsia" w:eastAsiaTheme="minorEastAsia"/>
                      <w:bCs/>
                      <w:color w:val="auto"/>
                    </w:rPr>
                    <w:t>2</w:t>
                  </w:r>
                </w:p>
              </w:tc>
              <w:tc>
                <w:tcPr>
                  <w:tcW w:w="912" w:type="dxa"/>
                  <w:vMerge w:val="restart"/>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危险废物</w:t>
                  </w:r>
                </w:p>
              </w:tc>
              <w:tc>
                <w:tcPr>
                  <w:tcW w:w="1560" w:type="dxa"/>
                  <w:vAlign w:val="center"/>
                </w:tcPr>
                <w:p>
                  <w:pPr>
                    <w:jc w:val="center"/>
                    <w:rPr>
                      <w:rFonts w:cs="宋体" w:asciiTheme="minorEastAsia" w:hAnsiTheme="minorEastAsia"/>
                    </w:rPr>
                  </w:pPr>
                  <w:r>
                    <w:rPr>
                      <w:rFonts w:hint="eastAsia" w:asciiTheme="minorEastAsia" w:hAnsiTheme="minorEastAsia"/>
                    </w:rPr>
                    <w:t>废胶桶</w:t>
                  </w:r>
                </w:p>
              </w:tc>
              <w:tc>
                <w:tcPr>
                  <w:tcW w:w="1960" w:type="dxa"/>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HW49  900-041-49</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1.23 </w:t>
                  </w:r>
                </w:p>
              </w:tc>
              <w:tc>
                <w:tcPr>
                  <w:tcW w:w="1893" w:type="dxa"/>
                  <w:vMerge w:val="restart"/>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分类收集于用地东北侧的危险废物暂存间，定期送有资质的危险废物处置单位处置。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宋体" w:asciiTheme="minorEastAsia" w:hAnsiTheme="minorEastAsia"/>
                    </w:rPr>
                  </w:pPr>
                  <w:r>
                    <w:rPr>
                      <w:rFonts w:hint="eastAsia" w:asciiTheme="minorEastAsia" w:hAnsiTheme="minorEastAsia"/>
                    </w:rPr>
                    <w:t>废水性漆桶</w:t>
                  </w:r>
                </w:p>
              </w:tc>
              <w:tc>
                <w:tcPr>
                  <w:tcW w:w="1960" w:type="dxa"/>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HW49  900-252-12</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2.47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废紫外光灯</w:t>
                  </w:r>
                </w:p>
              </w:tc>
              <w:tc>
                <w:tcPr>
                  <w:tcW w:w="1960" w:type="dxa"/>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HW29  900-023-29</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0.00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宋体" w:asciiTheme="minorEastAsia" w:hAnsiTheme="minorEastAsia"/>
                    </w:rPr>
                  </w:pPr>
                  <w:r>
                    <w:rPr>
                      <w:rFonts w:hint="eastAsia" w:asciiTheme="minorEastAsia" w:hAnsiTheme="minorEastAsia"/>
                    </w:rPr>
                    <w:t>漆粉</w:t>
                  </w:r>
                </w:p>
              </w:tc>
              <w:tc>
                <w:tcPr>
                  <w:tcW w:w="1960" w:type="dxa"/>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HW49  900-252-12</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0.00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废活性炭</w:t>
                  </w:r>
                </w:p>
              </w:tc>
              <w:tc>
                <w:tcPr>
                  <w:tcW w:w="1960" w:type="dxa"/>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HW49  900-039-49</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143.02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废热熔胶</w:t>
                  </w:r>
                </w:p>
              </w:tc>
              <w:tc>
                <w:tcPr>
                  <w:tcW w:w="1960" w:type="dxa"/>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HW13  900-014-13</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0.10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88" w:type="dxa"/>
                  <w:vMerge w:val="continue"/>
                  <w:vAlign w:val="center"/>
                </w:tcPr>
                <w:p>
                  <w:pPr>
                    <w:pStyle w:val="164"/>
                    <w:rPr>
                      <w:rFonts w:asciiTheme="minorEastAsia" w:hAnsiTheme="minorEastAsia" w:eastAsiaTheme="minorEastAsia"/>
                      <w:bCs/>
                      <w:color w:val="auto"/>
                    </w:rPr>
                  </w:pPr>
                </w:p>
              </w:tc>
              <w:tc>
                <w:tcPr>
                  <w:tcW w:w="912" w:type="dxa"/>
                  <w:vMerge w:val="continue"/>
                  <w:vAlign w:val="center"/>
                </w:tcPr>
                <w:p>
                  <w:pPr>
                    <w:pStyle w:val="164"/>
                    <w:rPr>
                      <w:rFonts w:asciiTheme="minorEastAsia" w:hAnsiTheme="minorEastAsia" w:eastAsiaTheme="minorEastAsia"/>
                      <w:bCs/>
                      <w:color w:val="auto"/>
                    </w:rPr>
                  </w:pPr>
                </w:p>
              </w:tc>
              <w:tc>
                <w:tcPr>
                  <w:tcW w:w="1560" w:type="dxa"/>
                  <w:vAlign w:val="center"/>
                </w:tcPr>
                <w:p>
                  <w:pPr>
                    <w:jc w:val="center"/>
                    <w:rPr>
                      <w:rFonts w:cs="Times New Roman" w:asciiTheme="minorEastAsia" w:hAnsiTheme="minorEastAsia"/>
                    </w:rPr>
                  </w:pPr>
                  <w:r>
                    <w:rPr>
                      <w:rFonts w:cs="Times New Roman" w:asciiTheme="minorEastAsia" w:hAnsiTheme="minorEastAsia"/>
                    </w:rPr>
                    <w:t>废水站物化段污泥</w:t>
                  </w:r>
                </w:p>
              </w:tc>
              <w:tc>
                <w:tcPr>
                  <w:tcW w:w="1960" w:type="dxa"/>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HW49 900-252-12</w:t>
                  </w:r>
                </w:p>
              </w:tc>
              <w:tc>
                <w:tcPr>
                  <w:tcW w:w="1417" w:type="dxa"/>
                  <w:vAlign w:val="center"/>
                </w:tcPr>
                <w:p>
                  <w:pPr>
                    <w:jc w:val="center"/>
                    <w:rPr>
                      <w:rFonts w:cs="Times New Roman" w:asciiTheme="minorEastAsia" w:hAnsiTheme="minorEastAsia"/>
                    </w:rPr>
                  </w:pPr>
                  <w:r>
                    <w:rPr>
                      <w:rFonts w:cs="Times New Roman" w:asciiTheme="minorEastAsia" w:hAnsiTheme="minorEastAsia"/>
                    </w:rPr>
                    <w:t xml:space="preserve">0.80 </w:t>
                  </w:r>
                </w:p>
              </w:tc>
              <w:tc>
                <w:tcPr>
                  <w:tcW w:w="1893" w:type="dxa"/>
                  <w:vMerge w:val="continue"/>
                  <w:vAlign w:val="center"/>
                </w:tcPr>
                <w:p>
                  <w:pPr>
                    <w:pStyle w:val="164"/>
                    <w:rPr>
                      <w:rFonts w:asciiTheme="minorEastAsia" w:hAnsiTheme="minorEastAsia" w:eastAsiaTheme="minorEastAsia"/>
                      <w:bCs/>
                      <w:color w:val="auto"/>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588" w:type="dxa"/>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3</w:t>
                  </w:r>
                </w:p>
              </w:tc>
              <w:tc>
                <w:tcPr>
                  <w:tcW w:w="2472" w:type="dxa"/>
                  <w:gridSpan w:val="2"/>
                  <w:vAlign w:val="center"/>
                </w:tcPr>
                <w:p>
                  <w:pPr>
                    <w:pStyle w:val="164"/>
                    <w:rPr>
                      <w:rFonts w:asciiTheme="minorEastAsia" w:hAnsiTheme="minorEastAsia" w:eastAsiaTheme="minorEastAsia"/>
                      <w:bCs/>
                      <w:color w:val="auto"/>
                    </w:rPr>
                  </w:pPr>
                  <w:r>
                    <w:rPr>
                      <w:rFonts w:hint="eastAsia" w:asciiTheme="minorEastAsia" w:hAnsiTheme="minorEastAsia" w:eastAsiaTheme="minorEastAsia"/>
                      <w:bCs/>
                      <w:color w:val="auto"/>
                    </w:rPr>
                    <w:t>生活垃圾</w:t>
                  </w:r>
                </w:p>
              </w:tc>
              <w:tc>
                <w:tcPr>
                  <w:tcW w:w="1960" w:type="dxa"/>
                  <w:vAlign w:val="center"/>
                </w:tcPr>
                <w:p>
                  <w:pPr>
                    <w:pStyle w:val="164"/>
                    <w:rPr>
                      <w:rFonts w:asciiTheme="minorEastAsia" w:hAnsiTheme="minorEastAsia" w:eastAsiaTheme="minorEastAsia"/>
                      <w:bCs/>
                      <w:color w:val="auto"/>
                    </w:rPr>
                  </w:pPr>
                  <w:r>
                    <w:rPr>
                      <w:rFonts w:asciiTheme="minorEastAsia" w:hAnsiTheme="minorEastAsia" w:eastAsiaTheme="minorEastAsia"/>
                      <w:bCs/>
                      <w:color w:val="auto"/>
                    </w:rPr>
                    <w:t>/</w:t>
                  </w:r>
                </w:p>
              </w:tc>
              <w:tc>
                <w:tcPr>
                  <w:tcW w:w="1417" w:type="dxa"/>
                  <w:vAlign w:val="center"/>
                </w:tcPr>
                <w:p>
                  <w:pPr>
                    <w:pStyle w:val="164"/>
                    <w:rPr>
                      <w:rFonts w:asciiTheme="minorEastAsia" w:hAnsiTheme="minorEastAsia" w:eastAsiaTheme="minorEastAsia"/>
                      <w:bCs/>
                      <w:color w:val="auto"/>
                    </w:rPr>
                  </w:pPr>
                  <w:r>
                    <w:rPr>
                      <w:rFonts w:asciiTheme="minorEastAsia" w:hAnsiTheme="minorEastAsia" w:eastAsiaTheme="minorEastAsia"/>
                      <w:bCs/>
                      <w:color w:val="auto"/>
                    </w:rPr>
                    <w:t>37.00</w:t>
                  </w:r>
                </w:p>
              </w:tc>
              <w:tc>
                <w:tcPr>
                  <w:tcW w:w="1893" w:type="dxa"/>
                  <w:vAlign w:val="center"/>
                </w:tcPr>
                <w:p>
                  <w:pPr>
                    <w:jc w:val="center"/>
                    <w:rPr>
                      <w:rFonts w:cs="Times New Roman" w:asciiTheme="minorEastAsia" w:hAnsiTheme="minorEastAsia"/>
                    </w:rPr>
                  </w:pPr>
                  <w:r>
                    <w:rPr>
                      <w:rFonts w:cs="Times New Roman" w:asciiTheme="minorEastAsia" w:hAnsiTheme="minorEastAsia"/>
                    </w:rPr>
                    <w:t>18</w:t>
                  </w:r>
                </w:p>
              </w:tc>
            </w:tr>
          </w:tbl>
          <w:p>
            <w:pPr>
              <w:pStyle w:val="164"/>
              <w:rPr>
                <w:bCs/>
                <w:color w:val="auto"/>
              </w:rPr>
            </w:pPr>
          </w:p>
          <w:p>
            <w:pPr>
              <w:pStyle w:val="160"/>
              <w:ind w:firstLine="480"/>
            </w:pPr>
            <w:bookmarkStart w:id="26" w:name="_Toc324845381"/>
            <w:bookmarkStart w:id="27" w:name="_Toc322858241"/>
            <w:r>
              <w:rPr>
                <w:rFonts w:hint="eastAsia"/>
              </w:rPr>
              <w:t>现有项目厂区西侧设置了一般固废暂存点，用于暂时存放边角料、不合格产品、包装废料等一般固废，其面积约8</w:t>
            </w:r>
            <w:r>
              <w:t>0m</w:t>
            </w:r>
            <w:r>
              <w:rPr>
                <w:vertAlign w:val="superscript"/>
              </w:rPr>
              <w:t>2</w:t>
            </w:r>
            <w:r>
              <w:rPr>
                <w:rFonts w:hint="eastAsia"/>
              </w:rPr>
              <w:t>。</w:t>
            </w:r>
          </w:p>
          <w:p>
            <w:pPr>
              <w:pStyle w:val="160"/>
              <w:ind w:firstLine="480"/>
            </w:pPr>
            <w:r>
              <w:rPr>
                <w:rFonts w:hint="eastAsia"/>
              </w:rPr>
              <w:t>现有项目危险废物主要为废胶桶、废水性漆桶、废紫外光灯、漆粉、废活性炭、废热熔胶、废水站物化段污泥。厂区设置了1座危险废物暂存间，位于厂区西侧，危险固废暂存间面积约15</w:t>
            </w:r>
            <w:r>
              <w:t>m</w:t>
            </w:r>
            <w:r>
              <w:rPr>
                <w:vertAlign w:val="superscript"/>
              </w:rPr>
              <w:t>2</w:t>
            </w:r>
            <w:r>
              <w:rPr>
                <w:rFonts w:hint="eastAsia"/>
              </w:rPr>
              <w:t>。现有危废暂存间地面存在破损。</w:t>
            </w:r>
          </w:p>
          <w:bookmarkEnd w:id="26"/>
          <w:bookmarkEnd w:id="27"/>
          <w:p>
            <w:pPr>
              <w:pStyle w:val="3"/>
              <w:tabs>
                <w:tab w:val="left" w:pos="269"/>
                <w:tab w:val="left" w:pos="371"/>
                <w:tab w:val="left" w:pos="432"/>
              </w:tabs>
              <w:jc w:val="left"/>
              <w:rPr>
                <w:bCs w:val="0"/>
                <w:sz w:val="24"/>
                <w:szCs w:val="22"/>
              </w:rPr>
            </w:pPr>
            <w:r>
              <w:rPr>
                <w:rFonts w:hint="eastAsia"/>
                <w:bCs w:val="0"/>
                <w:sz w:val="24"/>
                <w:szCs w:val="22"/>
              </w:rPr>
              <w:t>2.13.3环保投诉</w:t>
            </w:r>
          </w:p>
          <w:p>
            <w:pPr>
              <w:pStyle w:val="160"/>
              <w:ind w:firstLine="480"/>
            </w:pPr>
            <w:r>
              <w:rPr>
                <w:rFonts w:hint="eastAsia"/>
              </w:rPr>
              <w:t>根据业主提供资料，企业从2020年至今，未接到环保投诉。</w:t>
            </w:r>
          </w:p>
          <w:p>
            <w:pPr>
              <w:pStyle w:val="3"/>
              <w:tabs>
                <w:tab w:val="left" w:pos="269"/>
                <w:tab w:val="left" w:pos="371"/>
                <w:tab w:val="left" w:pos="432"/>
              </w:tabs>
              <w:jc w:val="left"/>
              <w:rPr>
                <w:bCs w:val="0"/>
                <w:sz w:val="24"/>
                <w:szCs w:val="22"/>
              </w:rPr>
            </w:pPr>
            <w:r>
              <w:rPr>
                <w:rFonts w:hint="eastAsia"/>
                <w:bCs w:val="0"/>
                <w:sz w:val="24"/>
                <w:szCs w:val="22"/>
              </w:rPr>
              <w:t>2.13.3现有项目存在的主要环境问题</w:t>
            </w:r>
          </w:p>
          <w:p>
            <w:pPr>
              <w:pStyle w:val="160"/>
              <w:ind w:firstLine="480"/>
            </w:pPr>
            <w:r>
              <w:rPr>
                <w:rFonts w:hint="eastAsia"/>
              </w:rPr>
              <w:t>项目主要存在的原有环境问题为：</w:t>
            </w:r>
          </w:p>
          <w:p>
            <w:pPr>
              <w:pStyle w:val="160"/>
              <w:ind w:firstLine="480"/>
            </w:pPr>
            <w:r>
              <w:rPr>
                <w:rFonts w:hint="eastAsia"/>
              </w:rPr>
              <w:t>（1）现有危废暂存间地面存在破损情况，应对危废暂存间进行“四防”修补。</w:t>
            </w:r>
          </w:p>
          <w:p>
            <w:pPr>
              <w:pStyle w:val="160"/>
              <w:ind w:firstLine="480"/>
            </w:pPr>
            <w:r>
              <w:rPr>
                <w:rFonts w:hint="eastAsia"/>
              </w:rPr>
              <w:t>（2）食堂油烟废气未设置废气处理设施，需增加油烟净化器。</w:t>
            </w:r>
          </w:p>
          <w:p>
            <w:pPr>
              <w:pStyle w:val="160"/>
              <w:ind w:firstLine="480"/>
            </w:pPr>
            <w:r>
              <w:rPr>
                <w:rFonts w:hint="eastAsia"/>
              </w:rPr>
              <w:t>（3）现有底漆涂装线（1#线）无封闭措施，涂装线为半开放式涂装，废气收集效率较低。应对现有底漆涂装线（1#线）进行改造，对涂装线进行密闭，提高废气收集效率。</w:t>
            </w:r>
          </w:p>
          <w:p>
            <w:pPr>
              <w:pStyle w:val="160"/>
              <w:ind w:firstLine="199" w:firstLineChars="83"/>
            </w:pPr>
          </w:p>
        </w:tc>
      </w:tr>
    </w:tbl>
    <w:p>
      <w:pPr>
        <w:pStyle w:val="81"/>
        <w:widowControl w:val="0"/>
        <w:adjustRightInd w:val="0"/>
        <w:snapToGrid w:val="0"/>
        <w:jc w:val="center"/>
        <w:rPr>
          <w:snapToGrid w:val="0"/>
          <w:sz w:val="36"/>
          <w:szCs w:val="36"/>
        </w:rPr>
        <w:sectPr>
          <w:type w:val="continuous"/>
          <w:pgSz w:w="11906" w:h="16838"/>
          <w:pgMar w:top="1701" w:right="1531" w:bottom="1701" w:left="1531" w:header="851" w:footer="851" w:gutter="0"/>
          <w:cols w:space="720" w:num="1"/>
          <w:docGrid w:linePitch="312" w:charSpace="0"/>
        </w:sectPr>
      </w:pPr>
    </w:p>
    <w:p>
      <w:pPr>
        <w:pStyle w:val="3"/>
      </w:pPr>
      <w:r>
        <w:rPr>
          <w:rFonts w:hint="eastAsia"/>
        </w:rPr>
        <w:t>三、区域环境质量现状、环境保护目标及评价标准</w:t>
      </w:r>
    </w:p>
    <w:tbl>
      <w:tblPr>
        <w:tblStyle w:val="88"/>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800"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区域</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环境</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质量</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现状</w:t>
            </w:r>
          </w:p>
        </w:tc>
        <w:tc>
          <w:tcPr>
            <w:tcW w:w="8190" w:type="dxa"/>
            <w:vAlign w:val="center"/>
          </w:tcPr>
          <w:p>
            <w:pPr>
              <w:pStyle w:val="4"/>
              <w:keepNext w:val="0"/>
              <w:keepLines w:val="0"/>
              <w:snapToGrid w:val="0"/>
              <w:rPr>
                <w:rFonts w:ascii="宋体" w:hAnsi="宋体"/>
              </w:rPr>
            </w:pPr>
            <w:r>
              <w:rPr>
                <w:rFonts w:hint="eastAsia" w:ascii="宋体" w:hAnsi="宋体"/>
              </w:rPr>
              <w:t>3.1环境空气质量现状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根据《重庆市人民政府关于印发重庆市环境空气质量功能区划分规定的通知》（渝府发</w:t>
            </w:r>
            <w:r>
              <w:rPr>
                <w:rFonts w:ascii="宋体" w:hAnsi="宋体" w:eastAsia="宋体" w:cs="宋体"/>
                <w:sz w:val="24"/>
                <w:szCs w:val="24"/>
              </w:rPr>
              <w:t>[2016]19号）等相关文件规定，扩建项目位于</w:t>
            </w:r>
            <w:r>
              <w:rPr>
                <w:rFonts w:hint="eastAsia" w:ascii="宋体" w:hAnsi="宋体" w:eastAsia="宋体" w:cs="宋体"/>
                <w:sz w:val="24"/>
                <w:szCs w:val="24"/>
              </w:rPr>
              <w:t>重庆市铜梁区姜家岩工业园区</w:t>
            </w:r>
            <w:r>
              <w:rPr>
                <w:rFonts w:ascii="宋体" w:hAnsi="宋体" w:eastAsia="宋体" w:cs="宋体"/>
                <w:sz w:val="24"/>
                <w:szCs w:val="24"/>
              </w:rPr>
              <w:t>，所在区域环境空气功能区划为二类区，环境空气质量执行《环境空气质量标准》</w:t>
            </w:r>
            <w:r>
              <w:rPr>
                <w:rFonts w:hint="eastAsia" w:ascii="宋体" w:hAnsi="宋体" w:eastAsia="宋体" w:cs="宋体"/>
                <w:sz w:val="24"/>
                <w:szCs w:val="24"/>
              </w:rPr>
              <w:t>（</w:t>
            </w:r>
            <w:r>
              <w:rPr>
                <w:rFonts w:ascii="宋体" w:hAnsi="宋体" w:eastAsia="宋体" w:cs="宋体"/>
                <w:sz w:val="24"/>
                <w:szCs w:val="24"/>
              </w:rPr>
              <w:t>GB 3095-2012</w:t>
            </w:r>
            <w:r>
              <w:rPr>
                <w:rFonts w:hint="eastAsia" w:ascii="宋体" w:hAnsi="宋体" w:eastAsia="宋体" w:cs="宋体"/>
                <w:sz w:val="24"/>
                <w:szCs w:val="24"/>
              </w:rPr>
              <w:t>）</w:t>
            </w:r>
            <w:r>
              <w:rPr>
                <w:rFonts w:ascii="宋体" w:hAnsi="宋体" w:eastAsia="宋体" w:cs="宋体"/>
                <w:sz w:val="24"/>
                <w:szCs w:val="24"/>
              </w:rPr>
              <w:t>二级标准。</w:t>
            </w:r>
          </w:p>
          <w:p>
            <w:pPr>
              <w:pStyle w:val="5"/>
            </w:pPr>
            <w:r>
              <w:rPr>
                <w:rFonts w:hint="eastAsia"/>
              </w:rPr>
              <w:t>3.1.1大气环境质量现状监测与评价</w:t>
            </w:r>
          </w:p>
          <w:p>
            <w:pPr>
              <w:pStyle w:val="4075"/>
              <w:numPr>
                <w:ilvl w:val="0"/>
                <w:numId w:val="6"/>
              </w:numPr>
              <w:rPr>
                <w:b/>
              </w:rPr>
            </w:pPr>
            <w:r>
              <w:rPr>
                <w:rFonts w:hint="eastAsia"/>
                <w:b/>
              </w:rPr>
              <w:t>基本污染物</w:t>
            </w:r>
          </w:p>
          <w:p>
            <w:pPr>
              <w:pStyle w:val="160"/>
              <w:ind w:firstLine="480"/>
              <w:rPr>
                <w:rFonts w:asciiTheme="minorEastAsia" w:hAnsiTheme="minorEastAsia" w:eastAsiaTheme="minorEastAsia" w:cstheme="minorEastAsia"/>
                <w:b/>
              </w:rPr>
            </w:pPr>
            <w:r>
              <w:rPr>
                <w:rFonts w:hint="eastAsia" w:asciiTheme="minorEastAsia" w:hAnsiTheme="minorEastAsia" w:eastAsiaTheme="minorEastAsia" w:cstheme="minorEastAsia"/>
              </w:rPr>
              <w:t>环境空气基本污染物为SO</w:t>
            </w:r>
            <w:r>
              <w:rPr>
                <w:rFonts w:hint="eastAsia" w:asciiTheme="minorEastAsia" w:hAnsiTheme="minorEastAsia" w:eastAsiaTheme="minorEastAsia" w:cstheme="minorEastAsia"/>
                <w:vertAlign w:val="subscript"/>
              </w:rPr>
              <w:t>2</w:t>
            </w:r>
            <w:r>
              <w:rPr>
                <w:rFonts w:hint="eastAsia" w:asciiTheme="minorEastAsia" w:hAnsiTheme="minorEastAsia" w:eastAsiaTheme="minorEastAsia" w:cstheme="minorEastAsia"/>
              </w:rPr>
              <w:t>、NO</w:t>
            </w:r>
            <w:r>
              <w:rPr>
                <w:rFonts w:hint="eastAsia" w:asciiTheme="minorEastAsia" w:hAnsiTheme="minorEastAsia" w:eastAsiaTheme="minorEastAsia" w:cstheme="minorEastAsia"/>
                <w:vertAlign w:val="subscript"/>
              </w:rPr>
              <w:t>2</w:t>
            </w:r>
            <w:r>
              <w:rPr>
                <w:rFonts w:hint="eastAsia" w:asciiTheme="minorEastAsia" w:hAnsiTheme="minorEastAsia" w:eastAsiaTheme="minorEastAsia" w:cstheme="minorEastAsia"/>
              </w:rPr>
              <w:t>、PM</w:t>
            </w:r>
            <w:r>
              <w:rPr>
                <w:rFonts w:hint="eastAsia" w:asciiTheme="minorEastAsia" w:hAnsiTheme="minorEastAsia" w:eastAsiaTheme="minorEastAsia" w:cstheme="minorEastAsia"/>
                <w:vertAlign w:val="subscript"/>
              </w:rPr>
              <w:t>10</w:t>
            </w:r>
            <w:r>
              <w:rPr>
                <w:rFonts w:hint="eastAsia" w:asciiTheme="minorEastAsia" w:hAnsiTheme="minorEastAsia" w:eastAsiaTheme="minorEastAsia" w:cstheme="minorEastAsia"/>
              </w:rPr>
              <w:t>、PM</w:t>
            </w:r>
            <w:r>
              <w:rPr>
                <w:rFonts w:hint="eastAsia" w:asciiTheme="minorEastAsia" w:hAnsiTheme="minorEastAsia" w:eastAsiaTheme="minorEastAsia" w:cstheme="minorEastAsia"/>
                <w:vertAlign w:val="subscript"/>
              </w:rPr>
              <w:t>2.5</w:t>
            </w:r>
            <w:r>
              <w:rPr>
                <w:rFonts w:hint="eastAsia" w:asciiTheme="minorEastAsia" w:hAnsiTheme="minorEastAsia" w:eastAsiaTheme="minorEastAsia" w:cstheme="minorEastAsia"/>
              </w:rPr>
              <w:t>、CO、O</w:t>
            </w:r>
            <w:r>
              <w:rPr>
                <w:rFonts w:hint="eastAsia" w:asciiTheme="minorEastAsia" w:hAnsiTheme="minorEastAsia" w:eastAsiaTheme="minorEastAsia" w:cstheme="minorEastAsia"/>
                <w:vertAlign w:val="subscript"/>
              </w:rPr>
              <w:t>3</w:t>
            </w:r>
            <w:r>
              <w:rPr>
                <w:rFonts w:hint="eastAsia" w:asciiTheme="minorEastAsia" w:hAnsiTheme="minorEastAsia" w:eastAsiaTheme="minorEastAsia" w:cstheme="minorEastAsia"/>
              </w:rPr>
              <w:t>，根据重庆市生态环境局官方网站公布的《2021年重庆市生态环境状况公报》，2021年铜梁区环境空气基本污染物指标监测结果如</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REF _Ref82519958 \h</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表3.1</w:t>
            </w:r>
            <w:r>
              <w:rPr>
                <w:rFonts w:hint="eastAsia" w:asciiTheme="minorEastAsia" w:hAnsiTheme="minorEastAsia" w:eastAsiaTheme="minorEastAsia" w:cstheme="minorEastAsia"/>
              </w:rPr>
              <w:noBreakHyphen/>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所示。</w:t>
            </w:r>
          </w:p>
          <w:p>
            <w:pPr>
              <w:pStyle w:val="164"/>
              <w:rPr>
                <w:lang w:val="en-US"/>
              </w:rPr>
            </w:pPr>
            <w:bookmarkStart w:id="28" w:name="_Ref82519958"/>
            <w:r>
              <w:rPr>
                <w:rFonts w:hint="eastAsia"/>
                <w:lang w:val="en-US"/>
              </w:rPr>
              <w:t>表</w:t>
            </w:r>
            <w:r>
              <w:rPr>
                <w:lang w:val="en-US"/>
              </w:rPr>
              <w:fldChar w:fldCharType="begin"/>
            </w:r>
            <w:r>
              <w:rPr>
                <w:rFonts w:hint="eastAsia"/>
                <w:lang w:val="en-US"/>
              </w:rPr>
              <w:instrText xml:space="preserve">STYLEREF 2 \s</w:instrText>
            </w:r>
            <w:r>
              <w:rPr>
                <w:lang w:val="en-US"/>
              </w:rPr>
              <w:fldChar w:fldCharType="separate"/>
            </w:r>
            <w:r>
              <w:rPr>
                <w:lang w:val="en-US"/>
              </w:rPr>
              <w:t>3.1</w:t>
            </w:r>
            <w:r>
              <w:rPr>
                <w:lang w:val="en-US"/>
              </w:rPr>
              <w:fldChar w:fldCharType="end"/>
            </w:r>
            <w:r>
              <w:rPr>
                <w:lang w:val="en-US"/>
              </w:rPr>
              <w:noBreakHyphen/>
            </w:r>
            <w:r>
              <w:rPr>
                <w:lang w:val="en-US"/>
              </w:rPr>
              <w:fldChar w:fldCharType="begin"/>
            </w:r>
            <w:r>
              <w:rPr>
                <w:rFonts w:hint="eastAsia"/>
                <w:lang w:val="en-US"/>
              </w:rPr>
              <w:instrText xml:space="preserve">SEQ 表 \* ARABIC \s 2</w:instrText>
            </w:r>
            <w:r>
              <w:rPr>
                <w:lang w:val="en-US"/>
              </w:rPr>
              <w:fldChar w:fldCharType="separate"/>
            </w:r>
            <w:r>
              <w:rPr>
                <w:lang w:val="en-US"/>
              </w:rPr>
              <w:t>1</w:t>
            </w:r>
            <w:r>
              <w:rPr>
                <w:lang w:val="en-US"/>
              </w:rPr>
              <w:fldChar w:fldCharType="end"/>
            </w:r>
            <w:bookmarkEnd w:id="28"/>
            <w:r>
              <w:rPr>
                <w:rFonts w:hint="eastAsia"/>
                <w:lang w:val="en-US"/>
              </w:rPr>
              <w:t>环境空气质量现状监测及评价结果</w:t>
            </w:r>
          </w:p>
          <w:tbl>
            <w:tblPr>
              <w:tblStyle w:val="162"/>
              <w:tblW w:w="797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9"/>
              <w:gridCol w:w="903"/>
              <w:gridCol w:w="1579"/>
              <w:gridCol w:w="1144"/>
              <w:gridCol w:w="1198"/>
              <w:gridCol w:w="1597"/>
              <w:gridCol w:w="78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shd w:val="clear" w:color="auto" w:fill="auto"/>
                  <w:vAlign w:val="center"/>
                </w:tcPr>
                <w:p>
                  <w:pPr>
                    <w:pStyle w:val="164"/>
                    <w:rPr>
                      <w:b/>
                    </w:rPr>
                  </w:pPr>
                  <w:r>
                    <w:rPr>
                      <w:b w:val="0"/>
                    </w:rPr>
                    <w:t>监测</w:t>
                  </w:r>
                  <w:r>
                    <w:rPr>
                      <w:rFonts w:hint="eastAsia"/>
                      <w:b w:val="0"/>
                    </w:rPr>
                    <w:t>地名</w:t>
                  </w:r>
                  <w:r>
                    <w:rPr>
                      <w:b w:val="0"/>
                    </w:rPr>
                    <w:t>称</w:t>
                  </w:r>
                </w:p>
              </w:tc>
              <w:tc>
                <w:tcPr>
                  <w:tcW w:w="903" w:type="dxa"/>
                  <w:shd w:val="clear" w:color="auto" w:fill="auto"/>
                  <w:vAlign w:val="center"/>
                </w:tcPr>
                <w:p>
                  <w:pPr>
                    <w:pStyle w:val="164"/>
                    <w:rPr>
                      <w:b/>
                    </w:rPr>
                  </w:pPr>
                  <w:r>
                    <w:rPr>
                      <w:b w:val="0"/>
                    </w:rPr>
                    <w:t>污染物</w:t>
                  </w:r>
                </w:p>
              </w:tc>
              <w:tc>
                <w:tcPr>
                  <w:tcW w:w="1579" w:type="dxa"/>
                  <w:shd w:val="clear" w:color="auto" w:fill="auto"/>
                  <w:vAlign w:val="center"/>
                </w:tcPr>
                <w:p>
                  <w:pPr>
                    <w:pStyle w:val="164"/>
                    <w:rPr>
                      <w:b/>
                    </w:rPr>
                  </w:pPr>
                  <w:r>
                    <w:rPr>
                      <w:b w:val="0"/>
                    </w:rPr>
                    <w:t>年评价指标</w:t>
                  </w:r>
                </w:p>
              </w:tc>
              <w:tc>
                <w:tcPr>
                  <w:tcW w:w="1144" w:type="dxa"/>
                  <w:shd w:val="clear" w:color="auto" w:fill="auto"/>
                  <w:vAlign w:val="center"/>
                </w:tcPr>
                <w:p>
                  <w:pPr>
                    <w:pStyle w:val="164"/>
                    <w:rPr>
                      <w:b/>
                    </w:rPr>
                  </w:pPr>
                  <w:r>
                    <w:rPr>
                      <w:b w:val="0"/>
                    </w:rPr>
                    <w:t>现状浓度（μg/m</w:t>
                  </w:r>
                  <w:r>
                    <w:rPr>
                      <w:b w:val="0"/>
                      <w:vertAlign w:val="superscript"/>
                    </w:rPr>
                    <w:t>3</w:t>
                  </w:r>
                  <w:r>
                    <w:rPr>
                      <w:b w:val="0"/>
                    </w:rPr>
                    <w:t>）</w:t>
                  </w:r>
                </w:p>
              </w:tc>
              <w:tc>
                <w:tcPr>
                  <w:tcW w:w="1198" w:type="dxa"/>
                  <w:shd w:val="clear" w:color="auto" w:fill="auto"/>
                  <w:vAlign w:val="center"/>
                </w:tcPr>
                <w:p>
                  <w:pPr>
                    <w:pStyle w:val="164"/>
                    <w:rPr>
                      <w:b/>
                    </w:rPr>
                  </w:pPr>
                  <w:r>
                    <w:rPr>
                      <w:b w:val="0"/>
                    </w:rPr>
                    <w:t>标准值</w:t>
                  </w:r>
                </w:p>
                <w:p>
                  <w:pPr>
                    <w:pStyle w:val="164"/>
                    <w:rPr>
                      <w:b/>
                    </w:rPr>
                  </w:pPr>
                  <w:r>
                    <w:rPr>
                      <w:b w:val="0"/>
                    </w:rPr>
                    <w:t>（μg/m</w:t>
                  </w:r>
                  <w:r>
                    <w:rPr>
                      <w:b w:val="0"/>
                      <w:vertAlign w:val="superscript"/>
                    </w:rPr>
                    <w:t>3</w:t>
                  </w:r>
                  <w:r>
                    <w:rPr>
                      <w:b w:val="0"/>
                    </w:rPr>
                    <w:t>）</w:t>
                  </w:r>
                </w:p>
              </w:tc>
              <w:tc>
                <w:tcPr>
                  <w:tcW w:w="1597" w:type="dxa"/>
                  <w:shd w:val="clear" w:color="auto" w:fill="auto"/>
                  <w:vAlign w:val="center"/>
                </w:tcPr>
                <w:p>
                  <w:pPr>
                    <w:pStyle w:val="164"/>
                    <w:rPr>
                      <w:b/>
                    </w:rPr>
                  </w:pPr>
                  <w:r>
                    <w:rPr>
                      <w:b w:val="0"/>
                    </w:rPr>
                    <w:t>最大浓度</w:t>
                  </w:r>
                </w:p>
                <w:p>
                  <w:pPr>
                    <w:pStyle w:val="164"/>
                    <w:rPr>
                      <w:b/>
                    </w:rPr>
                  </w:pPr>
                  <w:r>
                    <w:rPr>
                      <w:b w:val="0"/>
                    </w:rPr>
                    <w:t>占标率（%）</w:t>
                  </w:r>
                </w:p>
              </w:tc>
              <w:tc>
                <w:tcPr>
                  <w:tcW w:w="784" w:type="dxa"/>
                  <w:shd w:val="clear" w:color="auto" w:fill="auto"/>
                  <w:vAlign w:val="center"/>
                </w:tcPr>
                <w:p>
                  <w:pPr>
                    <w:pStyle w:val="164"/>
                    <w:rPr>
                      <w:b/>
                    </w:rPr>
                  </w:pPr>
                  <w:r>
                    <w:rPr>
                      <w:b w:val="0"/>
                    </w:rPr>
                    <w:t>达标</w:t>
                  </w:r>
                </w:p>
                <w:p>
                  <w:pPr>
                    <w:pStyle w:val="164"/>
                    <w:rPr>
                      <w:b/>
                    </w:rPr>
                  </w:pPr>
                  <w:r>
                    <w:rPr>
                      <w:b w:val="0"/>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Merge w:val="restart"/>
                  <w:shd w:val="clear" w:color="auto" w:fill="auto"/>
                  <w:vAlign w:val="center"/>
                </w:tcPr>
                <w:p>
                  <w:pPr>
                    <w:pStyle w:val="164"/>
                    <w:rPr>
                      <w:color w:val="FF0000"/>
                    </w:rPr>
                  </w:pPr>
                  <w:r>
                    <w:rPr>
                      <w:rFonts w:hint="eastAsia"/>
                      <w:lang w:val="en-US"/>
                    </w:rPr>
                    <w:t>重庆市铜梁区</w:t>
                  </w:r>
                </w:p>
              </w:tc>
              <w:tc>
                <w:tcPr>
                  <w:tcW w:w="903" w:type="dxa"/>
                  <w:shd w:val="clear" w:color="auto" w:fill="auto"/>
                  <w:vAlign w:val="center"/>
                </w:tcPr>
                <w:p>
                  <w:pPr>
                    <w:pStyle w:val="164"/>
                  </w:pPr>
                  <w:r>
                    <w:t>SO</w:t>
                  </w:r>
                  <w:r>
                    <w:rPr>
                      <w:vertAlign w:val="subscript"/>
                    </w:rPr>
                    <w:t>2</w:t>
                  </w:r>
                </w:p>
              </w:tc>
              <w:tc>
                <w:tcPr>
                  <w:tcW w:w="1579" w:type="dxa"/>
                  <w:vMerge w:val="restart"/>
                  <w:shd w:val="clear" w:color="auto" w:fill="auto"/>
                  <w:vAlign w:val="center"/>
                </w:tcPr>
                <w:p>
                  <w:pPr>
                    <w:pStyle w:val="164"/>
                  </w:pPr>
                  <w:r>
                    <w:t>年平均质量浓度</w:t>
                  </w:r>
                </w:p>
              </w:tc>
              <w:tc>
                <w:tcPr>
                  <w:tcW w:w="1144" w:type="dxa"/>
                  <w:shd w:val="clear" w:color="auto" w:fill="auto"/>
                  <w:vAlign w:val="center"/>
                </w:tcPr>
                <w:p>
                  <w:pPr>
                    <w:pStyle w:val="164"/>
                    <w:rPr>
                      <w:lang w:val="en-US"/>
                    </w:rPr>
                  </w:pPr>
                  <w:r>
                    <w:rPr>
                      <w:rFonts w:hint="eastAsia"/>
                      <w:lang w:val="en-US"/>
                    </w:rPr>
                    <w:t>12</w:t>
                  </w:r>
                </w:p>
              </w:tc>
              <w:tc>
                <w:tcPr>
                  <w:tcW w:w="1198" w:type="dxa"/>
                  <w:shd w:val="clear" w:color="auto" w:fill="auto"/>
                  <w:vAlign w:val="center"/>
                </w:tcPr>
                <w:p>
                  <w:pPr>
                    <w:pStyle w:val="164"/>
                  </w:pPr>
                  <w:r>
                    <w:t>60</w:t>
                  </w:r>
                </w:p>
              </w:tc>
              <w:tc>
                <w:tcPr>
                  <w:tcW w:w="1597" w:type="dxa"/>
                  <w:shd w:val="clear" w:color="auto" w:fill="auto"/>
                  <w:vAlign w:val="center"/>
                </w:tcPr>
                <w:p>
                  <w:pPr>
                    <w:pStyle w:val="164"/>
                  </w:pPr>
                  <w:r>
                    <w:rPr>
                      <w:rFonts w:hint="eastAsia"/>
                    </w:rPr>
                    <w:t>20.0%</w:t>
                  </w:r>
                </w:p>
              </w:tc>
              <w:tc>
                <w:tcPr>
                  <w:tcW w:w="784" w:type="dxa"/>
                  <w:shd w:val="clear" w:color="auto" w:fill="auto"/>
                  <w:vAlign w:val="center"/>
                </w:tcPr>
                <w:p>
                  <w:pPr>
                    <w:pStyle w:val="164"/>
                  </w:pPr>
                  <w: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Merge w:val="continue"/>
                  <w:shd w:val="clear" w:color="auto" w:fill="auto"/>
                  <w:vAlign w:val="center"/>
                </w:tcPr>
                <w:p>
                  <w:pPr>
                    <w:pStyle w:val="164"/>
                    <w:rPr>
                      <w:color w:val="FF0000"/>
                    </w:rPr>
                  </w:pPr>
                </w:p>
              </w:tc>
              <w:tc>
                <w:tcPr>
                  <w:tcW w:w="903" w:type="dxa"/>
                  <w:shd w:val="clear" w:color="auto" w:fill="auto"/>
                  <w:vAlign w:val="center"/>
                </w:tcPr>
                <w:p>
                  <w:pPr>
                    <w:pStyle w:val="164"/>
                  </w:pPr>
                  <w:r>
                    <w:t>NO</w:t>
                  </w:r>
                  <w:r>
                    <w:rPr>
                      <w:vertAlign w:val="subscript"/>
                    </w:rPr>
                    <w:t>2</w:t>
                  </w:r>
                </w:p>
              </w:tc>
              <w:tc>
                <w:tcPr>
                  <w:tcW w:w="1579" w:type="dxa"/>
                  <w:vMerge w:val="continue"/>
                  <w:shd w:val="clear" w:color="auto" w:fill="auto"/>
                  <w:vAlign w:val="center"/>
                </w:tcPr>
                <w:p>
                  <w:pPr>
                    <w:pStyle w:val="164"/>
                  </w:pPr>
                </w:p>
              </w:tc>
              <w:tc>
                <w:tcPr>
                  <w:tcW w:w="1144" w:type="dxa"/>
                  <w:shd w:val="clear" w:color="auto" w:fill="auto"/>
                  <w:vAlign w:val="center"/>
                </w:tcPr>
                <w:p>
                  <w:pPr>
                    <w:pStyle w:val="164"/>
                    <w:rPr>
                      <w:lang w:val="en-US"/>
                    </w:rPr>
                  </w:pPr>
                  <w:r>
                    <w:rPr>
                      <w:rFonts w:hint="eastAsia"/>
                      <w:lang w:val="en-US"/>
                    </w:rPr>
                    <w:t>29</w:t>
                  </w:r>
                </w:p>
              </w:tc>
              <w:tc>
                <w:tcPr>
                  <w:tcW w:w="1198" w:type="dxa"/>
                  <w:shd w:val="clear" w:color="auto" w:fill="auto"/>
                  <w:vAlign w:val="center"/>
                </w:tcPr>
                <w:p>
                  <w:pPr>
                    <w:pStyle w:val="164"/>
                  </w:pPr>
                  <w:r>
                    <w:t>40</w:t>
                  </w:r>
                </w:p>
              </w:tc>
              <w:tc>
                <w:tcPr>
                  <w:tcW w:w="1597" w:type="dxa"/>
                  <w:shd w:val="clear" w:color="auto" w:fill="auto"/>
                  <w:vAlign w:val="center"/>
                </w:tcPr>
                <w:p>
                  <w:pPr>
                    <w:pStyle w:val="164"/>
                  </w:pPr>
                  <w:r>
                    <w:rPr>
                      <w:rFonts w:hint="eastAsia"/>
                    </w:rPr>
                    <w:t>72.5%</w:t>
                  </w:r>
                </w:p>
              </w:tc>
              <w:tc>
                <w:tcPr>
                  <w:tcW w:w="784" w:type="dxa"/>
                  <w:shd w:val="clear" w:color="auto" w:fill="auto"/>
                  <w:vAlign w:val="center"/>
                </w:tcPr>
                <w:p>
                  <w:pPr>
                    <w:pStyle w:val="164"/>
                  </w:pPr>
                  <w: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Merge w:val="continue"/>
                  <w:shd w:val="clear" w:color="auto" w:fill="auto"/>
                  <w:vAlign w:val="center"/>
                </w:tcPr>
                <w:p>
                  <w:pPr>
                    <w:pStyle w:val="164"/>
                    <w:rPr>
                      <w:color w:val="FF0000"/>
                    </w:rPr>
                  </w:pPr>
                </w:p>
              </w:tc>
              <w:tc>
                <w:tcPr>
                  <w:tcW w:w="903" w:type="dxa"/>
                  <w:shd w:val="clear" w:color="auto" w:fill="auto"/>
                  <w:vAlign w:val="center"/>
                </w:tcPr>
                <w:p>
                  <w:pPr>
                    <w:pStyle w:val="164"/>
                  </w:pPr>
                  <w:r>
                    <w:t>PM</w:t>
                  </w:r>
                  <w:r>
                    <w:rPr>
                      <w:vertAlign w:val="subscript"/>
                    </w:rPr>
                    <w:t>10</w:t>
                  </w:r>
                </w:p>
              </w:tc>
              <w:tc>
                <w:tcPr>
                  <w:tcW w:w="1579" w:type="dxa"/>
                  <w:vMerge w:val="continue"/>
                  <w:shd w:val="clear" w:color="auto" w:fill="auto"/>
                  <w:vAlign w:val="center"/>
                </w:tcPr>
                <w:p>
                  <w:pPr>
                    <w:pStyle w:val="164"/>
                  </w:pPr>
                </w:p>
              </w:tc>
              <w:tc>
                <w:tcPr>
                  <w:tcW w:w="1144" w:type="dxa"/>
                  <w:shd w:val="clear" w:color="auto" w:fill="auto"/>
                  <w:vAlign w:val="center"/>
                </w:tcPr>
                <w:p>
                  <w:pPr>
                    <w:pStyle w:val="164"/>
                  </w:pPr>
                  <w:r>
                    <w:rPr>
                      <w:rFonts w:hint="eastAsia"/>
                    </w:rPr>
                    <w:t>54</w:t>
                  </w:r>
                </w:p>
              </w:tc>
              <w:tc>
                <w:tcPr>
                  <w:tcW w:w="1198" w:type="dxa"/>
                  <w:shd w:val="clear" w:color="auto" w:fill="auto"/>
                  <w:vAlign w:val="center"/>
                </w:tcPr>
                <w:p>
                  <w:pPr>
                    <w:pStyle w:val="164"/>
                  </w:pPr>
                  <w:r>
                    <w:t>70</w:t>
                  </w:r>
                </w:p>
              </w:tc>
              <w:tc>
                <w:tcPr>
                  <w:tcW w:w="1597" w:type="dxa"/>
                  <w:shd w:val="clear" w:color="auto" w:fill="auto"/>
                  <w:vAlign w:val="center"/>
                </w:tcPr>
                <w:p>
                  <w:pPr>
                    <w:pStyle w:val="164"/>
                  </w:pPr>
                  <w:r>
                    <w:rPr>
                      <w:rFonts w:hint="eastAsia"/>
                    </w:rPr>
                    <w:t>77.1%</w:t>
                  </w:r>
                </w:p>
              </w:tc>
              <w:tc>
                <w:tcPr>
                  <w:tcW w:w="784" w:type="dxa"/>
                  <w:shd w:val="clear" w:color="auto" w:fill="auto"/>
                  <w:vAlign w:val="center"/>
                </w:tcPr>
                <w:p>
                  <w:pPr>
                    <w:pStyle w:val="164"/>
                  </w:pPr>
                  <w: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Merge w:val="continue"/>
                  <w:shd w:val="clear" w:color="auto" w:fill="auto"/>
                  <w:vAlign w:val="center"/>
                </w:tcPr>
                <w:p>
                  <w:pPr>
                    <w:pStyle w:val="164"/>
                    <w:rPr>
                      <w:color w:val="FF0000"/>
                    </w:rPr>
                  </w:pPr>
                </w:p>
              </w:tc>
              <w:tc>
                <w:tcPr>
                  <w:tcW w:w="903" w:type="dxa"/>
                  <w:shd w:val="clear" w:color="auto" w:fill="auto"/>
                  <w:vAlign w:val="center"/>
                </w:tcPr>
                <w:p>
                  <w:pPr>
                    <w:pStyle w:val="164"/>
                  </w:pPr>
                  <w:r>
                    <w:t>PM</w:t>
                  </w:r>
                  <w:r>
                    <w:rPr>
                      <w:vertAlign w:val="subscript"/>
                    </w:rPr>
                    <w:t>2.5</w:t>
                  </w:r>
                </w:p>
              </w:tc>
              <w:tc>
                <w:tcPr>
                  <w:tcW w:w="1579" w:type="dxa"/>
                  <w:vMerge w:val="continue"/>
                  <w:shd w:val="clear" w:color="auto" w:fill="auto"/>
                  <w:vAlign w:val="center"/>
                </w:tcPr>
                <w:p>
                  <w:pPr>
                    <w:pStyle w:val="164"/>
                  </w:pPr>
                </w:p>
              </w:tc>
              <w:tc>
                <w:tcPr>
                  <w:tcW w:w="1144" w:type="dxa"/>
                  <w:shd w:val="clear" w:color="auto" w:fill="auto"/>
                  <w:vAlign w:val="center"/>
                </w:tcPr>
                <w:p>
                  <w:pPr>
                    <w:pStyle w:val="164"/>
                    <w:rPr>
                      <w:lang w:val="en-US"/>
                    </w:rPr>
                  </w:pPr>
                  <w:r>
                    <w:rPr>
                      <w:rFonts w:hint="eastAsia"/>
                      <w:lang w:val="en-US"/>
                    </w:rPr>
                    <w:t>38</w:t>
                  </w:r>
                </w:p>
              </w:tc>
              <w:tc>
                <w:tcPr>
                  <w:tcW w:w="1198" w:type="dxa"/>
                  <w:shd w:val="clear" w:color="auto" w:fill="auto"/>
                  <w:vAlign w:val="center"/>
                </w:tcPr>
                <w:p>
                  <w:pPr>
                    <w:pStyle w:val="164"/>
                  </w:pPr>
                  <w:r>
                    <w:t>35</w:t>
                  </w:r>
                </w:p>
              </w:tc>
              <w:tc>
                <w:tcPr>
                  <w:tcW w:w="1597" w:type="dxa"/>
                  <w:shd w:val="clear" w:color="auto" w:fill="auto"/>
                  <w:vAlign w:val="center"/>
                </w:tcPr>
                <w:p>
                  <w:pPr>
                    <w:pStyle w:val="164"/>
                  </w:pPr>
                  <w:r>
                    <w:rPr>
                      <w:rFonts w:hint="eastAsia"/>
                    </w:rPr>
                    <w:t>108.6%</w:t>
                  </w:r>
                </w:p>
              </w:tc>
              <w:tc>
                <w:tcPr>
                  <w:tcW w:w="784" w:type="dxa"/>
                  <w:shd w:val="clear" w:color="auto" w:fill="auto"/>
                  <w:vAlign w:val="center"/>
                </w:tcPr>
                <w:p>
                  <w:pPr>
                    <w:pStyle w:val="164"/>
                  </w:pPr>
                  <w: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Merge w:val="continue"/>
                  <w:shd w:val="clear" w:color="auto" w:fill="auto"/>
                  <w:vAlign w:val="center"/>
                </w:tcPr>
                <w:p>
                  <w:pPr>
                    <w:pStyle w:val="164"/>
                    <w:rPr>
                      <w:color w:val="FF0000"/>
                    </w:rPr>
                  </w:pPr>
                </w:p>
              </w:tc>
              <w:tc>
                <w:tcPr>
                  <w:tcW w:w="903" w:type="dxa"/>
                  <w:shd w:val="clear" w:color="auto" w:fill="auto"/>
                  <w:vAlign w:val="center"/>
                </w:tcPr>
                <w:p>
                  <w:pPr>
                    <w:pStyle w:val="164"/>
                  </w:pPr>
                  <w:r>
                    <w:t>CO</w:t>
                  </w:r>
                </w:p>
              </w:tc>
              <w:tc>
                <w:tcPr>
                  <w:tcW w:w="1579" w:type="dxa"/>
                  <w:shd w:val="clear" w:color="auto" w:fill="auto"/>
                  <w:vAlign w:val="center"/>
                </w:tcPr>
                <w:p>
                  <w:pPr>
                    <w:pStyle w:val="164"/>
                  </w:pPr>
                  <w:r>
                    <w:t>日均浓度的第95百分</w:t>
                  </w:r>
                  <w:r>
                    <w:rPr>
                      <w:rStyle w:val="145"/>
                      <w:rFonts w:hint="eastAsia"/>
                      <w:color w:val="auto"/>
                      <w:kern w:val="2"/>
                      <w:lang w:val="en-US"/>
                    </w:rPr>
                    <w:t>位数</w:t>
                  </w:r>
                </w:p>
              </w:tc>
              <w:tc>
                <w:tcPr>
                  <w:tcW w:w="1144" w:type="dxa"/>
                  <w:shd w:val="clear" w:color="auto" w:fill="auto"/>
                  <w:vAlign w:val="center"/>
                </w:tcPr>
                <w:p>
                  <w:pPr>
                    <w:pStyle w:val="164"/>
                    <w:rPr>
                      <w:lang w:val="en-US"/>
                    </w:rPr>
                  </w:pPr>
                  <w:r>
                    <w:rPr>
                      <w:rFonts w:hint="eastAsia"/>
                      <w:lang w:val="en-US"/>
                    </w:rPr>
                    <w:t>1100</w:t>
                  </w:r>
                </w:p>
              </w:tc>
              <w:tc>
                <w:tcPr>
                  <w:tcW w:w="1198" w:type="dxa"/>
                  <w:shd w:val="clear" w:color="auto" w:fill="auto"/>
                  <w:vAlign w:val="center"/>
                </w:tcPr>
                <w:p>
                  <w:pPr>
                    <w:pStyle w:val="164"/>
                  </w:pPr>
                  <w:r>
                    <w:t>4000</w:t>
                  </w:r>
                </w:p>
              </w:tc>
              <w:tc>
                <w:tcPr>
                  <w:tcW w:w="1597" w:type="dxa"/>
                  <w:shd w:val="clear" w:color="auto" w:fill="auto"/>
                  <w:vAlign w:val="center"/>
                </w:tcPr>
                <w:p>
                  <w:pPr>
                    <w:pStyle w:val="164"/>
                  </w:pPr>
                  <w:r>
                    <w:rPr>
                      <w:rFonts w:hint="eastAsia"/>
                    </w:rPr>
                    <w:t>27.5%</w:t>
                  </w:r>
                </w:p>
              </w:tc>
              <w:tc>
                <w:tcPr>
                  <w:tcW w:w="784" w:type="dxa"/>
                  <w:shd w:val="clear" w:color="auto" w:fill="auto"/>
                  <w:vAlign w:val="center"/>
                </w:tcPr>
                <w:p>
                  <w:pPr>
                    <w:pStyle w:val="164"/>
                  </w:pPr>
                  <w: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69" w:type="dxa"/>
                  <w:vMerge w:val="continue"/>
                  <w:shd w:val="clear" w:color="auto" w:fill="auto"/>
                  <w:vAlign w:val="center"/>
                </w:tcPr>
                <w:p>
                  <w:pPr>
                    <w:pStyle w:val="164"/>
                    <w:rPr>
                      <w:color w:val="FF0000"/>
                    </w:rPr>
                  </w:pPr>
                </w:p>
              </w:tc>
              <w:tc>
                <w:tcPr>
                  <w:tcW w:w="903" w:type="dxa"/>
                  <w:shd w:val="clear" w:color="auto" w:fill="auto"/>
                  <w:vAlign w:val="center"/>
                </w:tcPr>
                <w:p>
                  <w:pPr>
                    <w:pStyle w:val="164"/>
                  </w:pPr>
                  <w:r>
                    <w:t>O</w:t>
                  </w:r>
                  <w:r>
                    <w:rPr>
                      <w:vertAlign w:val="subscript"/>
                    </w:rPr>
                    <w:t>3</w:t>
                  </w:r>
                </w:p>
              </w:tc>
              <w:tc>
                <w:tcPr>
                  <w:tcW w:w="1579" w:type="dxa"/>
                  <w:shd w:val="clear" w:color="auto" w:fill="auto"/>
                  <w:vAlign w:val="center"/>
                </w:tcPr>
                <w:p>
                  <w:pPr>
                    <w:pStyle w:val="164"/>
                  </w:pPr>
                  <w:r>
                    <w:t>日最大8</w:t>
                  </w:r>
                  <w:r>
                    <w:rPr>
                      <w:rFonts w:hint="eastAsia"/>
                    </w:rPr>
                    <w:t>小时</w:t>
                  </w:r>
                  <w:r>
                    <w:t>平均浓度的第90百分位数</w:t>
                  </w:r>
                </w:p>
              </w:tc>
              <w:tc>
                <w:tcPr>
                  <w:tcW w:w="1144" w:type="dxa"/>
                  <w:shd w:val="clear" w:color="auto" w:fill="auto"/>
                  <w:vAlign w:val="center"/>
                </w:tcPr>
                <w:p>
                  <w:pPr>
                    <w:pStyle w:val="164"/>
                    <w:rPr>
                      <w:lang w:val="en-US"/>
                    </w:rPr>
                  </w:pPr>
                  <w:r>
                    <w:rPr>
                      <w:rFonts w:hint="eastAsia"/>
                      <w:lang w:val="en-US"/>
                    </w:rPr>
                    <w:t>132</w:t>
                  </w:r>
                </w:p>
              </w:tc>
              <w:tc>
                <w:tcPr>
                  <w:tcW w:w="1198" w:type="dxa"/>
                  <w:shd w:val="clear" w:color="auto" w:fill="auto"/>
                  <w:vAlign w:val="center"/>
                </w:tcPr>
                <w:p>
                  <w:pPr>
                    <w:pStyle w:val="164"/>
                  </w:pPr>
                  <w:r>
                    <w:t>160</w:t>
                  </w:r>
                </w:p>
              </w:tc>
              <w:tc>
                <w:tcPr>
                  <w:tcW w:w="1597" w:type="dxa"/>
                  <w:shd w:val="clear" w:color="auto" w:fill="auto"/>
                  <w:vAlign w:val="center"/>
                </w:tcPr>
                <w:p>
                  <w:pPr>
                    <w:pStyle w:val="164"/>
                  </w:pPr>
                  <w:r>
                    <w:rPr>
                      <w:rFonts w:hint="eastAsia"/>
                    </w:rPr>
                    <w:t>82.5%</w:t>
                  </w:r>
                </w:p>
              </w:tc>
              <w:tc>
                <w:tcPr>
                  <w:tcW w:w="784" w:type="dxa"/>
                  <w:shd w:val="clear" w:color="auto" w:fill="auto"/>
                  <w:vAlign w:val="center"/>
                </w:tcPr>
                <w:p>
                  <w:pPr>
                    <w:pStyle w:val="164"/>
                  </w:pPr>
                  <w:r>
                    <w:t>达标</w:t>
                  </w:r>
                </w:p>
              </w:tc>
            </w:tr>
          </w:tbl>
          <w:p>
            <w:pPr>
              <w:pStyle w:val="165"/>
            </w:pPr>
          </w:p>
          <w:p>
            <w:pPr>
              <w:pStyle w:val="160"/>
              <w:adjustRightInd w:val="0"/>
              <w:snapToGrid w:val="0"/>
              <w:ind w:firstLine="480"/>
              <w:jc w:val="left"/>
            </w:pPr>
            <w:r>
              <w:rPr>
                <w:rFonts w:hint="eastAsia"/>
              </w:rPr>
              <w:t>根据以上数据分析，本项目所在区域基本污染物中</w:t>
            </w:r>
            <w:r>
              <w:t>SO</w:t>
            </w:r>
            <w:r>
              <w:rPr>
                <w:vertAlign w:val="subscript"/>
              </w:rPr>
              <w:t>2</w:t>
            </w:r>
            <w:r>
              <w:t>、NO</w:t>
            </w:r>
            <w:r>
              <w:rPr>
                <w:vertAlign w:val="subscript"/>
              </w:rPr>
              <w:t>2</w:t>
            </w:r>
            <w:r>
              <w:t>、O</w:t>
            </w:r>
            <w:r>
              <w:rPr>
                <w:vertAlign w:val="subscript"/>
              </w:rPr>
              <w:t>3</w:t>
            </w:r>
            <w:r>
              <w:t>、CO、O</w:t>
            </w:r>
            <w:r>
              <w:rPr>
                <w:vertAlign w:val="subscript"/>
              </w:rPr>
              <w:t>3</w:t>
            </w:r>
            <w:r>
              <w:t>均能够满足《环境空气质量标准》（GB3095-2012）中的二级浓度限值要求，PM</w:t>
            </w:r>
            <w:r>
              <w:rPr>
                <w:vertAlign w:val="subscript"/>
              </w:rPr>
              <w:t>2.5</w:t>
            </w:r>
            <w:r>
              <w:t>超过二级浓度限值。根据《环境影响评价技术导则-大气环境》（HJ2.2-2018）相关要求，该区域出现超标指标，为不达标区。</w:t>
            </w:r>
          </w:p>
          <w:p>
            <w:pPr>
              <w:pStyle w:val="160"/>
              <w:adjustRightInd w:val="0"/>
              <w:snapToGrid w:val="0"/>
              <w:ind w:firstLine="480"/>
              <w:jc w:val="left"/>
            </w:pPr>
            <w:r>
              <w:rPr>
                <w:rFonts w:hint="eastAsia"/>
              </w:rPr>
              <w:t>铜梁区已制定区域环境空气质量限期达标规划（</w:t>
            </w:r>
            <w:r>
              <w:t>2017-2025年），执行相应的整治措施后，可改善区域环境质量达标情况。</w:t>
            </w:r>
          </w:p>
          <w:p>
            <w:pPr>
              <w:pStyle w:val="4075"/>
              <w:numPr>
                <w:ilvl w:val="0"/>
                <w:numId w:val="6"/>
              </w:numPr>
              <w:rPr>
                <w:b/>
              </w:rPr>
            </w:pPr>
            <w:r>
              <w:rPr>
                <w:rFonts w:hint="eastAsia"/>
                <w:b/>
              </w:rPr>
              <w:t>补充监测</w:t>
            </w:r>
          </w:p>
          <w:p>
            <w:pPr>
              <w:pStyle w:val="165"/>
              <w:spacing w:line="360" w:lineRule="auto"/>
              <w:ind w:firstLine="480" w:firstLineChars="200"/>
              <w:jc w:val="left"/>
              <w:rPr>
                <w:rFonts w:cs="Times New Roman"/>
                <w:b w:val="0"/>
                <w:bCs/>
              </w:rPr>
            </w:pPr>
            <w:r>
              <w:rPr>
                <w:rFonts w:hint="eastAsia" w:cs="Times New Roman"/>
                <w:b w:val="0"/>
                <w:bCs/>
              </w:rPr>
              <w:t>其他污染物中的非甲烷总烃，引用重庆红旗金龙弹簧有限公司《弹簧生产技改项目环境影响报告表》中的实测监测数据进行评价。该监测点位于扩建项目东北侧（下风向）约1400m处，监测时间为2020年12月17日～12月23日，监测至今周边环境未发生重大变化，监测数据具有可比性，数据引用有效。监测点位基本信息见表3.1-2，环境质量现状监测结果见表3.1-3。</w:t>
            </w:r>
          </w:p>
          <w:p>
            <w:pPr>
              <w:pStyle w:val="164"/>
            </w:pPr>
            <w:r>
              <w:rPr>
                <w:rFonts w:hint="eastAsia"/>
              </w:rPr>
              <w:t>表3.1-2  其他污染物监测点位基本信息</w:t>
            </w:r>
          </w:p>
          <w:tbl>
            <w:tblPr>
              <w:tblStyle w:val="88"/>
              <w:tblW w:w="797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57"/>
              <w:gridCol w:w="833"/>
              <w:gridCol w:w="2539"/>
              <w:gridCol w:w="935"/>
              <w:gridCol w:w="14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2257" w:type="dxa"/>
                  <w:vMerge w:val="restart"/>
                  <w:vAlign w:val="center"/>
                </w:tcPr>
                <w:p>
                  <w:pPr>
                    <w:pStyle w:val="164"/>
                  </w:pPr>
                  <w:r>
                    <w:rPr>
                      <w:rFonts w:hint="eastAsia"/>
                    </w:rPr>
                    <w:t>监测点名称</w:t>
                  </w:r>
                </w:p>
              </w:tc>
              <w:tc>
                <w:tcPr>
                  <w:tcW w:w="833" w:type="dxa"/>
                  <w:vMerge w:val="restart"/>
                  <w:vAlign w:val="center"/>
                </w:tcPr>
                <w:p>
                  <w:pPr>
                    <w:pStyle w:val="164"/>
                  </w:pPr>
                  <w:r>
                    <w:rPr>
                      <w:rFonts w:hint="eastAsia"/>
                    </w:rPr>
                    <w:t>监测因子</w:t>
                  </w:r>
                </w:p>
              </w:tc>
              <w:tc>
                <w:tcPr>
                  <w:tcW w:w="2539" w:type="dxa"/>
                  <w:vMerge w:val="restart"/>
                  <w:vAlign w:val="center"/>
                </w:tcPr>
                <w:p>
                  <w:pPr>
                    <w:pStyle w:val="164"/>
                  </w:pPr>
                  <w:r>
                    <w:rPr>
                      <w:rFonts w:hint="eastAsia"/>
                    </w:rPr>
                    <w:t>监测时段</w:t>
                  </w:r>
                </w:p>
              </w:tc>
              <w:tc>
                <w:tcPr>
                  <w:tcW w:w="935" w:type="dxa"/>
                  <w:vMerge w:val="restart"/>
                  <w:vAlign w:val="center"/>
                </w:tcPr>
                <w:p>
                  <w:pPr>
                    <w:pStyle w:val="164"/>
                  </w:pPr>
                  <w:r>
                    <w:rPr>
                      <w:rFonts w:hint="eastAsia"/>
                    </w:rPr>
                    <w:t>相对厂址方位</w:t>
                  </w:r>
                </w:p>
              </w:tc>
              <w:tc>
                <w:tcPr>
                  <w:tcW w:w="1410" w:type="dxa"/>
                  <w:vMerge w:val="restart"/>
                  <w:vAlign w:val="center"/>
                </w:tcPr>
                <w:p>
                  <w:pPr>
                    <w:pStyle w:val="164"/>
                  </w:pPr>
                  <w:r>
                    <w:rPr>
                      <w:rFonts w:hint="eastAsia"/>
                    </w:rPr>
                    <w:t>相对厂界距离（m）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2257" w:type="dxa"/>
                  <w:vMerge w:val="continue"/>
                  <w:vAlign w:val="center"/>
                </w:tcPr>
                <w:p>
                  <w:pPr>
                    <w:pStyle w:val="164"/>
                  </w:pPr>
                </w:p>
              </w:tc>
              <w:tc>
                <w:tcPr>
                  <w:tcW w:w="833" w:type="dxa"/>
                  <w:vMerge w:val="continue"/>
                  <w:vAlign w:val="center"/>
                </w:tcPr>
                <w:p>
                  <w:pPr>
                    <w:pStyle w:val="164"/>
                  </w:pPr>
                </w:p>
              </w:tc>
              <w:tc>
                <w:tcPr>
                  <w:tcW w:w="2539" w:type="dxa"/>
                  <w:vMerge w:val="continue"/>
                  <w:vAlign w:val="center"/>
                </w:tcPr>
                <w:p>
                  <w:pPr>
                    <w:pStyle w:val="164"/>
                  </w:pPr>
                </w:p>
              </w:tc>
              <w:tc>
                <w:tcPr>
                  <w:tcW w:w="935" w:type="dxa"/>
                  <w:vMerge w:val="continue"/>
                  <w:vAlign w:val="center"/>
                </w:tcPr>
                <w:p>
                  <w:pPr>
                    <w:pStyle w:val="164"/>
                  </w:pPr>
                </w:p>
              </w:tc>
              <w:tc>
                <w:tcPr>
                  <w:tcW w:w="1410" w:type="dxa"/>
                  <w:vMerge w:val="continue"/>
                  <w:vAlign w:val="center"/>
                </w:tcPr>
                <w:p>
                  <w:pPr>
                    <w:pStyle w:val="16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85" w:hRule="atLeast"/>
                <w:jc w:val="center"/>
              </w:trPr>
              <w:tc>
                <w:tcPr>
                  <w:tcW w:w="2257" w:type="dxa"/>
                  <w:vAlign w:val="center"/>
                </w:tcPr>
                <w:p>
                  <w:pPr>
                    <w:pStyle w:val="164"/>
                  </w:pPr>
                  <w:r>
                    <w:rPr>
                      <w:rFonts w:hint="eastAsia"/>
                    </w:rPr>
                    <w:t>重庆红旗金龙弹簧有限公司厂区西南侧点位</w:t>
                  </w:r>
                </w:p>
              </w:tc>
              <w:tc>
                <w:tcPr>
                  <w:tcW w:w="833" w:type="dxa"/>
                  <w:vAlign w:val="center"/>
                </w:tcPr>
                <w:p>
                  <w:pPr>
                    <w:pStyle w:val="164"/>
                  </w:pPr>
                  <w:r>
                    <w:rPr>
                      <w:rFonts w:hint="eastAsia"/>
                    </w:rPr>
                    <w:t>非甲烷总烃</w:t>
                  </w:r>
                </w:p>
              </w:tc>
              <w:tc>
                <w:tcPr>
                  <w:tcW w:w="2539" w:type="dxa"/>
                  <w:vAlign w:val="center"/>
                </w:tcPr>
                <w:p>
                  <w:pPr>
                    <w:pStyle w:val="164"/>
                  </w:pPr>
                  <w:r>
                    <w:rPr>
                      <w:rFonts w:hint="eastAsia"/>
                    </w:rPr>
                    <w:t>2020年12月17日～12月23日，连续监测7天</w:t>
                  </w:r>
                </w:p>
              </w:tc>
              <w:tc>
                <w:tcPr>
                  <w:tcW w:w="935" w:type="dxa"/>
                  <w:vAlign w:val="center"/>
                </w:tcPr>
                <w:p>
                  <w:pPr>
                    <w:pStyle w:val="164"/>
                  </w:pPr>
                  <w:r>
                    <w:rPr>
                      <w:rFonts w:hint="eastAsia"/>
                    </w:rPr>
                    <w:t>东北</w:t>
                  </w:r>
                </w:p>
              </w:tc>
              <w:tc>
                <w:tcPr>
                  <w:tcW w:w="1410" w:type="dxa"/>
                  <w:vAlign w:val="center"/>
                </w:tcPr>
                <w:p>
                  <w:pPr>
                    <w:pStyle w:val="164"/>
                  </w:pPr>
                  <w:r>
                    <w:rPr>
                      <w:rFonts w:hint="eastAsia"/>
                    </w:rPr>
                    <w:t>1200</w:t>
                  </w:r>
                </w:p>
              </w:tc>
            </w:tr>
          </w:tbl>
          <w:p>
            <w:pPr>
              <w:pStyle w:val="164"/>
            </w:pPr>
            <w:r>
              <w:rPr>
                <w:rFonts w:hint="eastAsia"/>
              </w:rPr>
              <w:t>表3.1-3  其他污染物环境质量现状监测结果表</w:t>
            </w:r>
          </w:p>
          <w:tbl>
            <w:tblPr>
              <w:tblStyle w:val="88"/>
              <w:tblW w:w="797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2"/>
              <w:gridCol w:w="902"/>
              <w:gridCol w:w="888"/>
              <w:gridCol w:w="1307"/>
              <w:gridCol w:w="1233"/>
              <w:gridCol w:w="999"/>
              <w:gridCol w:w="823"/>
              <w:gridCol w:w="6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42" w:type="dxa"/>
                  <w:vMerge w:val="restart"/>
                  <w:vAlign w:val="center"/>
                </w:tcPr>
                <w:p>
                  <w:pPr>
                    <w:pStyle w:val="164"/>
                  </w:pPr>
                  <w:r>
                    <w:rPr>
                      <w:rFonts w:hint="eastAsia"/>
                    </w:rPr>
                    <w:t>监测点位</w:t>
                  </w:r>
                </w:p>
              </w:tc>
              <w:tc>
                <w:tcPr>
                  <w:tcW w:w="902" w:type="dxa"/>
                  <w:vMerge w:val="restart"/>
                  <w:vAlign w:val="center"/>
                </w:tcPr>
                <w:p>
                  <w:pPr>
                    <w:pStyle w:val="164"/>
                  </w:pPr>
                  <w:r>
                    <w:rPr>
                      <w:rFonts w:hint="eastAsia"/>
                    </w:rPr>
                    <w:t>污染物</w:t>
                  </w:r>
                </w:p>
              </w:tc>
              <w:tc>
                <w:tcPr>
                  <w:tcW w:w="888" w:type="dxa"/>
                  <w:vMerge w:val="restart"/>
                  <w:vAlign w:val="center"/>
                </w:tcPr>
                <w:p>
                  <w:pPr>
                    <w:pStyle w:val="164"/>
                  </w:pPr>
                  <w:r>
                    <w:rPr>
                      <w:rFonts w:hint="eastAsia"/>
                    </w:rPr>
                    <w:t>平均时间</w:t>
                  </w:r>
                </w:p>
              </w:tc>
              <w:tc>
                <w:tcPr>
                  <w:tcW w:w="1307" w:type="dxa"/>
                  <w:vMerge w:val="restart"/>
                  <w:vAlign w:val="center"/>
                </w:tcPr>
                <w:p>
                  <w:pPr>
                    <w:pStyle w:val="164"/>
                  </w:pPr>
                  <w:r>
                    <w:rPr>
                      <w:rFonts w:hint="eastAsia"/>
                    </w:rPr>
                    <w:t>评价标准（mg/m3）</w:t>
                  </w:r>
                </w:p>
              </w:tc>
              <w:tc>
                <w:tcPr>
                  <w:tcW w:w="1233" w:type="dxa"/>
                  <w:vMerge w:val="restart"/>
                  <w:vAlign w:val="center"/>
                </w:tcPr>
                <w:p>
                  <w:pPr>
                    <w:pStyle w:val="164"/>
                  </w:pPr>
                  <w:r>
                    <w:rPr>
                      <w:rFonts w:hint="eastAsia"/>
                    </w:rPr>
                    <w:t>小时值监测浓度范围（mg/m3）</w:t>
                  </w:r>
                </w:p>
              </w:tc>
              <w:tc>
                <w:tcPr>
                  <w:tcW w:w="999" w:type="dxa"/>
                  <w:vMerge w:val="restart"/>
                  <w:vAlign w:val="center"/>
                </w:tcPr>
                <w:p>
                  <w:pPr>
                    <w:pStyle w:val="164"/>
                  </w:pPr>
                  <w:r>
                    <w:rPr>
                      <w:rFonts w:hint="eastAsia"/>
                    </w:rPr>
                    <w:t>最大浓度占标率（%）</w:t>
                  </w:r>
                </w:p>
              </w:tc>
              <w:tc>
                <w:tcPr>
                  <w:tcW w:w="823" w:type="dxa"/>
                  <w:vMerge w:val="restart"/>
                  <w:vAlign w:val="center"/>
                </w:tcPr>
                <w:p>
                  <w:pPr>
                    <w:pStyle w:val="164"/>
                  </w:pPr>
                  <w:r>
                    <w:rPr>
                      <w:rFonts w:hint="eastAsia"/>
                    </w:rPr>
                    <w:t>超标率（%）</w:t>
                  </w:r>
                </w:p>
              </w:tc>
              <w:tc>
                <w:tcPr>
                  <w:tcW w:w="680" w:type="dxa"/>
                  <w:vMerge w:val="restart"/>
                  <w:vAlign w:val="center"/>
                </w:tcPr>
                <w:p>
                  <w:pPr>
                    <w:pStyle w:val="164"/>
                  </w:pPr>
                  <w:r>
                    <w:rPr>
                      <w:rFonts w:hint="eastAsia"/>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42" w:type="dxa"/>
                  <w:vMerge w:val="continue"/>
                  <w:vAlign w:val="center"/>
                </w:tcPr>
                <w:p>
                  <w:pPr>
                    <w:pStyle w:val="164"/>
                  </w:pPr>
                </w:p>
              </w:tc>
              <w:tc>
                <w:tcPr>
                  <w:tcW w:w="902" w:type="dxa"/>
                  <w:vMerge w:val="continue"/>
                  <w:vAlign w:val="center"/>
                </w:tcPr>
                <w:p>
                  <w:pPr>
                    <w:pStyle w:val="164"/>
                  </w:pPr>
                </w:p>
              </w:tc>
              <w:tc>
                <w:tcPr>
                  <w:tcW w:w="888" w:type="dxa"/>
                  <w:vMerge w:val="continue"/>
                  <w:vAlign w:val="center"/>
                </w:tcPr>
                <w:p>
                  <w:pPr>
                    <w:pStyle w:val="164"/>
                  </w:pPr>
                </w:p>
              </w:tc>
              <w:tc>
                <w:tcPr>
                  <w:tcW w:w="1307" w:type="dxa"/>
                  <w:vMerge w:val="continue"/>
                  <w:vAlign w:val="center"/>
                </w:tcPr>
                <w:p>
                  <w:pPr>
                    <w:pStyle w:val="164"/>
                  </w:pPr>
                </w:p>
              </w:tc>
              <w:tc>
                <w:tcPr>
                  <w:tcW w:w="1233" w:type="dxa"/>
                  <w:vMerge w:val="continue"/>
                  <w:vAlign w:val="center"/>
                </w:tcPr>
                <w:p>
                  <w:pPr>
                    <w:pStyle w:val="164"/>
                  </w:pPr>
                </w:p>
              </w:tc>
              <w:tc>
                <w:tcPr>
                  <w:tcW w:w="999" w:type="dxa"/>
                  <w:vMerge w:val="continue"/>
                  <w:vAlign w:val="center"/>
                </w:tcPr>
                <w:p>
                  <w:pPr>
                    <w:pStyle w:val="164"/>
                  </w:pPr>
                </w:p>
              </w:tc>
              <w:tc>
                <w:tcPr>
                  <w:tcW w:w="823" w:type="dxa"/>
                  <w:vMerge w:val="continue"/>
                  <w:vAlign w:val="center"/>
                </w:tcPr>
                <w:p>
                  <w:pPr>
                    <w:pStyle w:val="164"/>
                  </w:pPr>
                </w:p>
              </w:tc>
              <w:tc>
                <w:tcPr>
                  <w:tcW w:w="680" w:type="dxa"/>
                  <w:vMerge w:val="continue"/>
                  <w:vAlign w:val="center"/>
                </w:tcPr>
                <w:p>
                  <w:pPr>
                    <w:pStyle w:val="164"/>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42" w:type="dxa"/>
                  <w:vAlign w:val="center"/>
                </w:tcPr>
                <w:p>
                  <w:pPr>
                    <w:pStyle w:val="164"/>
                  </w:pPr>
                  <w:r>
                    <w:rPr>
                      <w:rFonts w:hint="eastAsia"/>
                    </w:rPr>
                    <w:t>重庆红旗金龙弹簧有限公司厂区西南侧点位</w:t>
                  </w:r>
                </w:p>
              </w:tc>
              <w:tc>
                <w:tcPr>
                  <w:tcW w:w="902" w:type="dxa"/>
                  <w:vAlign w:val="center"/>
                </w:tcPr>
                <w:p>
                  <w:pPr>
                    <w:pStyle w:val="164"/>
                  </w:pPr>
                  <w:r>
                    <w:rPr>
                      <w:rFonts w:hint="eastAsia"/>
                    </w:rPr>
                    <w:t>非甲烷总烃</w:t>
                  </w:r>
                </w:p>
              </w:tc>
              <w:tc>
                <w:tcPr>
                  <w:tcW w:w="888" w:type="dxa"/>
                  <w:vAlign w:val="center"/>
                </w:tcPr>
                <w:p>
                  <w:pPr>
                    <w:pStyle w:val="164"/>
                  </w:pPr>
                  <w:r>
                    <w:rPr>
                      <w:rFonts w:hint="eastAsia"/>
                    </w:rPr>
                    <w:t>连续7天（小时值）</w:t>
                  </w:r>
                </w:p>
              </w:tc>
              <w:tc>
                <w:tcPr>
                  <w:tcW w:w="1307" w:type="dxa"/>
                  <w:vAlign w:val="center"/>
                </w:tcPr>
                <w:p>
                  <w:pPr>
                    <w:pStyle w:val="164"/>
                  </w:pPr>
                  <w:r>
                    <w:rPr>
                      <w:rFonts w:hint="eastAsia"/>
                    </w:rPr>
                    <w:t>2</w:t>
                  </w:r>
                </w:p>
              </w:tc>
              <w:tc>
                <w:tcPr>
                  <w:tcW w:w="1233" w:type="dxa"/>
                  <w:vAlign w:val="center"/>
                </w:tcPr>
                <w:p>
                  <w:pPr>
                    <w:pStyle w:val="164"/>
                  </w:pPr>
                  <w:r>
                    <w:rPr>
                      <w:rFonts w:hint="eastAsia"/>
                    </w:rPr>
                    <w:t>0.73～0.97</w:t>
                  </w:r>
                </w:p>
              </w:tc>
              <w:tc>
                <w:tcPr>
                  <w:tcW w:w="999" w:type="dxa"/>
                  <w:vAlign w:val="center"/>
                </w:tcPr>
                <w:p>
                  <w:pPr>
                    <w:pStyle w:val="164"/>
                  </w:pPr>
                  <w:r>
                    <w:rPr>
                      <w:rFonts w:hint="eastAsia"/>
                    </w:rPr>
                    <w:t>48.5</w:t>
                  </w:r>
                </w:p>
              </w:tc>
              <w:tc>
                <w:tcPr>
                  <w:tcW w:w="823" w:type="dxa"/>
                  <w:vAlign w:val="center"/>
                </w:tcPr>
                <w:p>
                  <w:pPr>
                    <w:pStyle w:val="164"/>
                  </w:pPr>
                  <w:r>
                    <w:rPr>
                      <w:rFonts w:hint="eastAsia"/>
                    </w:rPr>
                    <w:t>0</w:t>
                  </w:r>
                </w:p>
              </w:tc>
              <w:tc>
                <w:tcPr>
                  <w:tcW w:w="680" w:type="dxa"/>
                  <w:vAlign w:val="center"/>
                </w:tcPr>
                <w:p>
                  <w:pPr>
                    <w:pStyle w:val="164"/>
                  </w:pPr>
                  <w:r>
                    <w:rPr>
                      <w:rFonts w:hint="eastAsia"/>
                    </w:rPr>
                    <w:t>达标</w:t>
                  </w:r>
                </w:p>
              </w:tc>
            </w:tr>
          </w:tbl>
          <w:p>
            <w:pPr>
              <w:pStyle w:val="160"/>
              <w:adjustRightInd w:val="0"/>
              <w:snapToGrid w:val="0"/>
              <w:ind w:firstLine="480"/>
              <w:jc w:val="left"/>
              <w:rPr>
                <w:rFonts w:ascii="宋体" w:hAnsi="宋体" w:cs="宋体"/>
              </w:rPr>
            </w:pPr>
            <w:r>
              <w:rPr>
                <w:rFonts w:hint="eastAsia" w:ascii="宋体" w:hAnsi="宋体" w:cs="宋体"/>
              </w:rPr>
              <w:t>由上表可知，扩建项目所在区域环境空气中非甲烷总烃监测值满足参照执行的河北省地方标准《环境空气质量  非甲烷总烃限值》（DB13/1577-2012）二级标准。</w:t>
            </w:r>
          </w:p>
          <w:p>
            <w:pPr>
              <w:pStyle w:val="4"/>
            </w:pPr>
            <w:r>
              <w:rPr>
                <w:rFonts w:hint="eastAsia"/>
              </w:rPr>
              <w:t xml:space="preserve">3.2  </w:t>
            </w:r>
            <w:r>
              <w:t>地表水环境质量现状</w:t>
            </w:r>
          </w:p>
          <w:p>
            <w:pPr>
              <w:spacing w:line="360" w:lineRule="auto"/>
              <w:ind w:firstLine="480" w:firstLineChars="200"/>
              <w:rPr>
                <w:rFonts w:ascii="宋体" w:hAnsi="宋体" w:cs="宋体"/>
                <w:sz w:val="24"/>
                <w:szCs w:val="24"/>
              </w:rPr>
            </w:pPr>
            <w:r>
              <w:rPr>
                <w:rFonts w:hint="eastAsia" w:ascii="宋体" w:hAnsi="宋体" w:cs="宋体"/>
                <w:sz w:val="24"/>
                <w:szCs w:val="24"/>
              </w:rPr>
              <w:t>根据《重庆人民政府批转重庆市地表水环境功能类别调整方案的通知》（渝府发〔2012〕4号），淮远河评价段为IV类水域，执行《地表水环境质量标准》（GB3838—2002）IV类水域水质标准。</w:t>
            </w:r>
            <w:r>
              <w:rPr>
                <w:rFonts w:hint="eastAsia" w:ascii="宋体" w:hAnsi="宋体" w:eastAsia="宋体" w:cs="宋体"/>
                <w:sz w:val="24"/>
                <w:szCs w:val="24"/>
              </w:rPr>
              <w:t>扩建项目所在区域地表水体达标情况判定，优先采用国务院生态环境保护主管部门统一发布的水环境状况信息。根据重庆市铜梁区人民政府网上公示（</w:t>
            </w:r>
            <w:r>
              <w:rPr>
                <w:rFonts w:ascii="宋体" w:hAnsi="宋体" w:eastAsia="宋体" w:cs="宋体"/>
                <w:sz w:val="24"/>
                <w:szCs w:val="24"/>
              </w:rPr>
              <w:t xml:space="preserve"> https://www.cqstl.gov.cn/bm/qsthjj_71108/zwgk_70831/fdzdgknr_70834/jdjc/jdjc/202202/t20220224_10432641.html）的“重庆市铜梁区地表水水质状况（2022年1月）”，2022年1月，铜梁区共监测5个断面地表水型，地表水水质达标率为100%。5个监测断面满足《地表水环境质量标准》（GB3838-2002）IV类水域标准要求。</w:t>
            </w:r>
          </w:p>
          <w:p>
            <w:pPr>
              <w:pStyle w:val="4"/>
              <w:keepNext w:val="0"/>
              <w:keepLines w:val="0"/>
              <w:rPr>
                <w:rFonts w:ascii="宋体" w:hAnsi="宋体"/>
              </w:rPr>
            </w:pPr>
            <w:r>
              <w:rPr>
                <w:rFonts w:hint="eastAsia" w:ascii="宋体" w:hAnsi="宋体"/>
              </w:rPr>
              <w:t>3.3  声环境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扩建项目位于铜梁高新区姜家岩片区，扩建项目所在区域为3类区。扩建项目南侧和西侧厂界执行《声环境质量标准》（GB3096-2008）3类标准，扩建项目东侧厂界临金山大道、北侧临铜合大道，为城市次干道，执行《声环境质量标准》（GB3096-2008）4a类标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本次评价委托</w:t>
            </w:r>
            <w:r>
              <w:rPr>
                <w:rFonts w:hint="eastAsia" w:ascii="宋体" w:hAnsi="宋体" w:cs="宋体"/>
                <w:kern w:val="0"/>
                <w:sz w:val="24"/>
              </w:rPr>
              <w:t>重庆开创环境监测有限公司</w:t>
            </w:r>
            <w:r>
              <w:rPr>
                <w:rFonts w:hint="eastAsia" w:ascii="宋体" w:hAnsi="宋体" w:cs="宋体"/>
                <w:sz w:val="24"/>
              </w:rPr>
              <w:t>对扩建项目所在厂区周边声环境质量现状进行监测，监测时间</w:t>
            </w:r>
            <w:r>
              <w:rPr>
                <w:rFonts w:hint="eastAsia" w:ascii="宋体" w:hAnsi="宋体" w:cs="宋体"/>
                <w:kern w:val="0"/>
                <w:sz w:val="24"/>
              </w:rPr>
              <w:t>2021年12月21日～22日</w:t>
            </w:r>
            <w:r>
              <w:rPr>
                <w:rFonts w:hint="eastAsia" w:ascii="宋体" w:hAnsi="宋体" w:cs="宋体"/>
                <w:sz w:val="24"/>
              </w:rPr>
              <w:t>，监测报告见附件，监测点位置见附图。</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（1）现状监测</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监测扩建项目：等效连续A声级</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监测时间：2021年12月21日～22日</w:t>
            </w:r>
          </w:p>
          <w:p>
            <w:pPr>
              <w:spacing w:line="360" w:lineRule="auto"/>
              <w:ind w:firstLine="480" w:firstLineChars="200"/>
              <w:rPr>
                <w:rFonts w:ascii="宋体" w:hAnsi="宋体" w:cs="宋体"/>
                <w:bCs/>
                <w:sz w:val="24"/>
              </w:rPr>
            </w:pPr>
            <w:r>
              <w:rPr>
                <w:rFonts w:hint="eastAsia" w:ascii="宋体" w:hAnsi="宋体" w:cs="宋体"/>
                <w:bCs/>
                <w:sz w:val="24"/>
              </w:rPr>
              <w:t>监测频率：连续监测两天，每天昼、夜各一次。</w:t>
            </w:r>
          </w:p>
          <w:p>
            <w:pPr>
              <w:spacing w:line="360" w:lineRule="auto"/>
              <w:ind w:firstLine="480" w:firstLineChars="200"/>
              <w:rPr>
                <w:rFonts w:ascii="宋体" w:hAnsi="宋体" w:cs="宋体"/>
                <w:sz w:val="24"/>
              </w:rPr>
            </w:pPr>
            <w:r>
              <w:rPr>
                <w:rFonts w:hint="eastAsia" w:ascii="宋体" w:hAnsi="宋体" w:cs="宋体"/>
                <w:sz w:val="24"/>
              </w:rPr>
              <w:t>监测点位：C1点位于扩建项目所在厂区北侧东城卫生中心处，C2点位于扩建项目所在厂区西侧厂界外1m处。</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（2）监测及评价结果</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声环境质量现状监测及评价结果详见表3.3-1。</w:t>
            </w:r>
          </w:p>
          <w:p>
            <w:pPr>
              <w:pStyle w:val="852"/>
              <w:spacing w:line="240" w:lineRule="auto"/>
            </w:pPr>
            <w:r>
              <w:rPr>
                <w:rFonts w:hint="eastAsia"/>
              </w:rPr>
              <w:t>表3.3-1  声环境质量现状监测及评价结果表</w:t>
            </w:r>
          </w:p>
          <w:tbl>
            <w:tblPr>
              <w:tblStyle w:val="88"/>
              <w:tblW w:w="79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346"/>
              <w:gridCol w:w="985"/>
              <w:gridCol w:w="831"/>
              <w:gridCol w:w="774"/>
              <w:gridCol w:w="807"/>
              <w:gridCol w:w="729"/>
              <w:gridCol w:w="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1776" w:type="dxa"/>
                  <w:vMerge w:val="restart"/>
                  <w:vAlign w:val="center"/>
                </w:tcPr>
                <w:p>
                  <w:pPr>
                    <w:pStyle w:val="852"/>
                    <w:spacing w:line="240" w:lineRule="auto"/>
                  </w:pPr>
                  <w:r>
                    <w:rPr>
                      <w:rFonts w:hint="eastAsia"/>
                    </w:rPr>
                    <w:t>监测时间</w:t>
                  </w:r>
                </w:p>
              </w:tc>
              <w:tc>
                <w:tcPr>
                  <w:tcW w:w="1346" w:type="dxa"/>
                  <w:vMerge w:val="restart"/>
                  <w:vAlign w:val="center"/>
                </w:tcPr>
                <w:p>
                  <w:pPr>
                    <w:pStyle w:val="852"/>
                    <w:spacing w:line="240" w:lineRule="auto"/>
                  </w:pPr>
                  <w:r>
                    <w:rPr>
                      <w:rFonts w:hint="eastAsia"/>
                    </w:rPr>
                    <w:t>监测点位</w:t>
                  </w:r>
                </w:p>
              </w:tc>
              <w:tc>
                <w:tcPr>
                  <w:tcW w:w="1816" w:type="dxa"/>
                  <w:gridSpan w:val="2"/>
                  <w:vAlign w:val="center"/>
                </w:tcPr>
                <w:p>
                  <w:pPr>
                    <w:pStyle w:val="852"/>
                    <w:spacing w:line="240" w:lineRule="auto"/>
                  </w:pPr>
                  <w:r>
                    <w:rPr>
                      <w:rFonts w:hint="eastAsia"/>
                    </w:rPr>
                    <w:t>监测值dB（A）</w:t>
                  </w:r>
                </w:p>
              </w:tc>
              <w:tc>
                <w:tcPr>
                  <w:tcW w:w="1581" w:type="dxa"/>
                  <w:gridSpan w:val="2"/>
                  <w:vAlign w:val="center"/>
                </w:tcPr>
                <w:p>
                  <w:pPr>
                    <w:pStyle w:val="852"/>
                    <w:spacing w:line="240" w:lineRule="auto"/>
                  </w:pPr>
                  <w:r>
                    <w:rPr>
                      <w:rFonts w:hint="eastAsia"/>
                    </w:rPr>
                    <w:t>标准值dB（A）</w:t>
                  </w:r>
                </w:p>
              </w:tc>
              <w:tc>
                <w:tcPr>
                  <w:tcW w:w="1455" w:type="dxa"/>
                  <w:gridSpan w:val="2"/>
                  <w:vAlign w:val="center"/>
                </w:tcPr>
                <w:p>
                  <w:pPr>
                    <w:pStyle w:val="852"/>
                    <w:spacing w:line="240" w:lineRule="auto"/>
                  </w:pPr>
                  <w:r>
                    <w:rPr>
                      <w:rFonts w:hint="eastAsia"/>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1776" w:type="dxa"/>
                  <w:vMerge w:val="continue"/>
                  <w:vAlign w:val="center"/>
                </w:tcPr>
                <w:p>
                  <w:pPr>
                    <w:pStyle w:val="852"/>
                    <w:spacing w:line="240" w:lineRule="auto"/>
                  </w:pPr>
                </w:p>
              </w:tc>
              <w:tc>
                <w:tcPr>
                  <w:tcW w:w="1346" w:type="dxa"/>
                  <w:vMerge w:val="continue"/>
                  <w:vAlign w:val="center"/>
                </w:tcPr>
                <w:p>
                  <w:pPr>
                    <w:pStyle w:val="852"/>
                    <w:spacing w:line="240" w:lineRule="auto"/>
                  </w:pPr>
                </w:p>
              </w:tc>
              <w:tc>
                <w:tcPr>
                  <w:tcW w:w="985" w:type="dxa"/>
                  <w:vAlign w:val="center"/>
                </w:tcPr>
                <w:p>
                  <w:pPr>
                    <w:pStyle w:val="852"/>
                    <w:spacing w:line="240" w:lineRule="auto"/>
                  </w:pPr>
                  <w:r>
                    <w:rPr>
                      <w:rFonts w:hint="eastAsia"/>
                    </w:rPr>
                    <w:t>昼间</w:t>
                  </w:r>
                </w:p>
              </w:tc>
              <w:tc>
                <w:tcPr>
                  <w:tcW w:w="831" w:type="dxa"/>
                  <w:vAlign w:val="center"/>
                </w:tcPr>
                <w:p>
                  <w:pPr>
                    <w:pStyle w:val="852"/>
                    <w:spacing w:line="240" w:lineRule="auto"/>
                  </w:pPr>
                  <w:r>
                    <w:rPr>
                      <w:rFonts w:hint="eastAsia"/>
                    </w:rPr>
                    <w:t>夜间</w:t>
                  </w:r>
                </w:p>
              </w:tc>
              <w:tc>
                <w:tcPr>
                  <w:tcW w:w="774" w:type="dxa"/>
                  <w:vAlign w:val="center"/>
                </w:tcPr>
                <w:p>
                  <w:pPr>
                    <w:pStyle w:val="852"/>
                    <w:spacing w:line="240" w:lineRule="auto"/>
                  </w:pPr>
                  <w:r>
                    <w:rPr>
                      <w:rFonts w:hint="eastAsia"/>
                    </w:rPr>
                    <w:t>昼间</w:t>
                  </w:r>
                </w:p>
              </w:tc>
              <w:tc>
                <w:tcPr>
                  <w:tcW w:w="807" w:type="dxa"/>
                  <w:vAlign w:val="center"/>
                </w:tcPr>
                <w:p>
                  <w:pPr>
                    <w:pStyle w:val="852"/>
                    <w:spacing w:line="240" w:lineRule="auto"/>
                  </w:pPr>
                  <w:r>
                    <w:rPr>
                      <w:rFonts w:hint="eastAsia"/>
                    </w:rPr>
                    <w:t>夜间</w:t>
                  </w:r>
                </w:p>
              </w:tc>
              <w:tc>
                <w:tcPr>
                  <w:tcW w:w="729" w:type="dxa"/>
                  <w:vAlign w:val="center"/>
                </w:tcPr>
                <w:p>
                  <w:pPr>
                    <w:pStyle w:val="852"/>
                    <w:spacing w:line="240" w:lineRule="auto"/>
                  </w:pPr>
                  <w:r>
                    <w:rPr>
                      <w:rFonts w:hint="eastAsia"/>
                    </w:rPr>
                    <w:t>昼间</w:t>
                  </w:r>
                </w:p>
              </w:tc>
              <w:tc>
                <w:tcPr>
                  <w:tcW w:w="726" w:type="dxa"/>
                  <w:vAlign w:val="center"/>
                </w:tcPr>
                <w:p>
                  <w:pPr>
                    <w:pStyle w:val="852"/>
                    <w:spacing w:line="240" w:lineRule="auto"/>
                  </w:pPr>
                  <w:r>
                    <w:rPr>
                      <w:rFonts w:hint="eastAsia"/>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1776" w:type="dxa"/>
                  <w:vMerge w:val="restart"/>
                  <w:vAlign w:val="center"/>
                </w:tcPr>
                <w:p>
                  <w:pPr>
                    <w:pStyle w:val="852"/>
                    <w:spacing w:line="240" w:lineRule="auto"/>
                  </w:pPr>
                  <w:r>
                    <w:rPr>
                      <w:rFonts w:hint="eastAsia"/>
                    </w:rPr>
                    <w:t>2021年12月21日</w:t>
                  </w:r>
                </w:p>
              </w:tc>
              <w:tc>
                <w:tcPr>
                  <w:tcW w:w="1346" w:type="dxa"/>
                  <w:vAlign w:val="center"/>
                </w:tcPr>
                <w:p>
                  <w:pPr>
                    <w:pStyle w:val="852"/>
                    <w:spacing w:line="240" w:lineRule="auto"/>
                    <w:rPr>
                      <w:rFonts w:eastAsiaTheme="minorEastAsia"/>
                    </w:rPr>
                  </w:pPr>
                  <w:r>
                    <w:rPr>
                      <w:rFonts w:hint="eastAsia" w:eastAsiaTheme="minorEastAsia"/>
                    </w:rPr>
                    <w:t>E-1</w:t>
                  </w:r>
                </w:p>
              </w:tc>
              <w:tc>
                <w:tcPr>
                  <w:tcW w:w="985" w:type="dxa"/>
                  <w:vAlign w:val="center"/>
                </w:tcPr>
                <w:p>
                  <w:pPr>
                    <w:pStyle w:val="852"/>
                    <w:spacing w:line="240" w:lineRule="auto"/>
                    <w:rPr>
                      <w:rFonts w:eastAsiaTheme="minorEastAsia"/>
                    </w:rPr>
                  </w:pPr>
                  <w:r>
                    <w:rPr>
                      <w:rFonts w:hint="eastAsia" w:eastAsiaTheme="minorEastAsia"/>
                    </w:rPr>
                    <w:t>54</w:t>
                  </w:r>
                </w:p>
              </w:tc>
              <w:tc>
                <w:tcPr>
                  <w:tcW w:w="831" w:type="dxa"/>
                  <w:vAlign w:val="center"/>
                </w:tcPr>
                <w:p>
                  <w:pPr>
                    <w:pStyle w:val="852"/>
                    <w:spacing w:line="240" w:lineRule="auto"/>
                    <w:rPr>
                      <w:rFonts w:eastAsiaTheme="minorEastAsia"/>
                    </w:rPr>
                  </w:pPr>
                  <w:r>
                    <w:rPr>
                      <w:rFonts w:hint="eastAsia" w:eastAsiaTheme="minorEastAsia"/>
                    </w:rPr>
                    <w:t>43</w:t>
                  </w:r>
                </w:p>
              </w:tc>
              <w:tc>
                <w:tcPr>
                  <w:tcW w:w="774" w:type="dxa"/>
                  <w:vAlign w:val="center"/>
                </w:tcPr>
                <w:p>
                  <w:pPr>
                    <w:pStyle w:val="852"/>
                    <w:spacing w:line="240" w:lineRule="auto"/>
                    <w:rPr>
                      <w:rFonts w:eastAsiaTheme="minorEastAsia"/>
                    </w:rPr>
                  </w:pPr>
                  <w:r>
                    <w:rPr>
                      <w:rFonts w:hint="eastAsia" w:eastAsiaTheme="minorEastAsia"/>
                    </w:rPr>
                    <w:t>70</w:t>
                  </w:r>
                </w:p>
              </w:tc>
              <w:tc>
                <w:tcPr>
                  <w:tcW w:w="807" w:type="dxa"/>
                  <w:vAlign w:val="center"/>
                </w:tcPr>
                <w:p>
                  <w:pPr>
                    <w:pStyle w:val="852"/>
                    <w:spacing w:line="240" w:lineRule="auto"/>
                    <w:rPr>
                      <w:rFonts w:eastAsiaTheme="minorEastAsia"/>
                    </w:rPr>
                  </w:pPr>
                  <w:r>
                    <w:rPr>
                      <w:rFonts w:hint="eastAsia" w:eastAsiaTheme="minorEastAsia"/>
                    </w:rPr>
                    <w:t>55</w:t>
                  </w:r>
                </w:p>
              </w:tc>
              <w:tc>
                <w:tcPr>
                  <w:tcW w:w="729" w:type="dxa"/>
                  <w:vAlign w:val="center"/>
                </w:tcPr>
                <w:p>
                  <w:pPr>
                    <w:pStyle w:val="852"/>
                    <w:spacing w:line="240" w:lineRule="auto"/>
                  </w:pPr>
                  <w:r>
                    <w:rPr>
                      <w:rFonts w:hint="eastAsia"/>
                    </w:rPr>
                    <w:t>达标</w:t>
                  </w:r>
                </w:p>
              </w:tc>
              <w:tc>
                <w:tcPr>
                  <w:tcW w:w="726" w:type="dxa"/>
                  <w:vAlign w:val="center"/>
                </w:tcPr>
                <w:p>
                  <w:pPr>
                    <w:pStyle w:val="852"/>
                    <w:spacing w:line="240" w:lineRule="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1776" w:type="dxa"/>
                  <w:vMerge w:val="continue"/>
                  <w:vAlign w:val="center"/>
                </w:tcPr>
                <w:p>
                  <w:pPr>
                    <w:pStyle w:val="852"/>
                    <w:spacing w:line="240" w:lineRule="auto"/>
                  </w:pPr>
                </w:p>
              </w:tc>
              <w:tc>
                <w:tcPr>
                  <w:tcW w:w="1346" w:type="dxa"/>
                  <w:vAlign w:val="center"/>
                </w:tcPr>
                <w:p>
                  <w:pPr>
                    <w:pStyle w:val="852"/>
                    <w:spacing w:line="240" w:lineRule="auto"/>
                    <w:rPr>
                      <w:rFonts w:eastAsiaTheme="minorEastAsia"/>
                    </w:rPr>
                  </w:pPr>
                  <w:r>
                    <w:rPr>
                      <w:rFonts w:hint="eastAsia" w:eastAsiaTheme="minorEastAsia"/>
                    </w:rPr>
                    <w:t>E-2</w:t>
                  </w:r>
                </w:p>
              </w:tc>
              <w:tc>
                <w:tcPr>
                  <w:tcW w:w="985" w:type="dxa"/>
                  <w:vAlign w:val="center"/>
                </w:tcPr>
                <w:p>
                  <w:pPr>
                    <w:pStyle w:val="852"/>
                    <w:spacing w:line="240" w:lineRule="auto"/>
                    <w:rPr>
                      <w:rFonts w:eastAsiaTheme="minorEastAsia"/>
                    </w:rPr>
                  </w:pPr>
                  <w:r>
                    <w:rPr>
                      <w:rFonts w:hint="eastAsia" w:eastAsiaTheme="minorEastAsia"/>
                    </w:rPr>
                    <w:t>57</w:t>
                  </w:r>
                </w:p>
              </w:tc>
              <w:tc>
                <w:tcPr>
                  <w:tcW w:w="831" w:type="dxa"/>
                  <w:vAlign w:val="center"/>
                </w:tcPr>
                <w:p>
                  <w:pPr>
                    <w:pStyle w:val="852"/>
                    <w:spacing w:line="240" w:lineRule="auto"/>
                    <w:rPr>
                      <w:rFonts w:eastAsiaTheme="minorEastAsia"/>
                    </w:rPr>
                  </w:pPr>
                  <w:r>
                    <w:rPr>
                      <w:rFonts w:hint="eastAsia" w:eastAsiaTheme="minorEastAsia"/>
                    </w:rPr>
                    <w:t>44</w:t>
                  </w:r>
                </w:p>
              </w:tc>
              <w:tc>
                <w:tcPr>
                  <w:tcW w:w="774" w:type="dxa"/>
                  <w:vAlign w:val="center"/>
                </w:tcPr>
                <w:p>
                  <w:pPr>
                    <w:pStyle w:val="852"/>
                    <w:spacing w:line="240" w:lineRule="auto"/>
                    <w:rPr>
                      <w:rFonts w:eastAsiaTheme="minorEastAsia"/>
                    </w:rPr>
                  </w:pPr>
                  <w:r>
                    <w:rPr>
                      <w:rFonts w:hint="eastAsia" w:eastAsiaTheme="minorEastAsia"/>
                    </w:rPr>
                    <w:t>60</w:t>
                  </w:r>
                </w:p>
              </w:tc>
              <w:tc>
                <w:tcPr>
                  <w:tcW w:w="807" w:type="dxa"/>
                  <w:vAlign w:val="center"/>
                </w:tcPr>
                <w:p>
                  <w:pPr>
                    <w:pStyle w:val="852"/>
                    <w:spacing w:line="240" w:lineRule="auto"/>
                    <w:rPr>
                      <w:rFonts w:eastAsiaTheme="minorEastAsia"/>
                    </w:rPr>
                  </w:pPr>
                  <w:r>
                    <w:rPr>
                      <w:rFonts w:hint="eastAsia" w:eastAsiaTheme="minorEastAsia"/>
                    </w:rPr>
                    <w:t>55</w:t>
                  </w:r>
                </w:p>
              </w:tc>
              <w:tc>
                <w:tcPr>
                  <w:tcW w:w="729" w:type="dxa"/>
                  <w:vAlign w:val="center"/>
                </w:tcPr>
                <w:p>
                  <w:pPr>
                    <w:pStyle w:val="852"/>
                    <w:spacing w:line="240" w:lineRule="auto"/>
                  </w:pPr>
                  <w:r>
                    <w:rPr>
                      <w:rFonts w:hint="eastAsia"/>
                    </w:rPr>
                    <w:t>达标</w:t>
                  </w:r>
                </w:p>
              </w:tc>
              <w:tc>
                <w:tcPr>
                  <w:tcW w:w="726" w:type="dxa"/>
                  <w:vAlign w:val="center"/>
                </w:tcPr>
                <w:p>
                  <w:pPr>
                    <w:pStyle w:val="852"/>
                    <w:spacing w:line="240" w:lineRule="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1776" w:type="dxa"/>
                  <w:vMerge w:val="restart"/>
                  <w:vAlign w:val="center"/>
                </w:tcPr>
                <w:p>
                  <w:pPr>
                    <w:pStyle w:val="852"/>
                    <w:spacing w:line="240" w:lineRule="auto"/>
                  </w:pPr>
                  <w:r>
                    <w:rPr>
                      <w:rFonts w:hint="eastAsia"/>
                    </w:rPr>
                    <w:t>2021年12月22日</w:t>
                  </w:r>
                </w:p>
              </w:tc>
              <w:tc>
                <w:tcPr>
                  <w:tcW w:w="1346" w:type="dxa"/>
                  <w:vAlign w:val="center"/>
                </w:tcPr>
                <w:p>
                  <w:pPr>
                    <w:pStyle w:val="852"/>
                    <w:spacing w:line="240" w:lineRule="auto"/>
                    <w:rPr>
                      <w:rFonts w:eastAsiaTheme="minorEastAsia"/>
                    </w:rPr>
                  </w:pPr>
                  <w:r>
                    <w:rPr>
                      <w:rFonts w:hint="eastAsia" w:eastAsiaTheme="minorEastAsia"/>
                    </w:rPr>
                    <w:t>E-1</w:t>
                  </w:r>
                </w:p>
              </w:tc>
              <w:tc>
                <w:tcPr>
                  <w:tcW w:w="985" w:type="dxa"/>
                  <w:vAlign w:val="center"/>
                </w:tcPr>
                <w:p>
                  <w:pPr>
                    <w:pStyle w:val="852"/>
                    <w:spacing w:line="240" w:lineRule="auto"/>
                    <w:rPr>
                      <w:rFonts w:eastAsiaTheme="minorEastAsia"/>
                    </w:rPr>
                  </w:pPr>
                  <w:r>
                    <w:rPr>
                      <w:rFonts w:hint="eastAsia" w:eastAsiaTheme="minorEastAsia"/>
                    </w:rPr>
                    <w:t>56</w:t>
                  </w:r>
                </w:p>
              </w:tc>
              <w:tc>
                <w:tcPr>
                  <w:tcW w:w="831" w:type="dxa"/>
                  <w:vAlign w:val="center"/>
                </w:tcPr>
                <w:p>
                  <w:pPr>
                    <w:pStyle w:val="852"/>
                    <w:spacing w:line="240" w:lineRule="auto"/>
                    <w:rPr>
                      <w:rFonts w:eastAsiaTheme="minorEastAsia"/>
                    </w:rPr>
                  </w:pPr>
                  <w:r>
                    <w:rPr>
                      <w:rFonts w:hint="eastAsia" w:eastAsiaTheme="minorEastAsia"/>
                    </w:rPr>
                    <w:t>42</w:t>
                  </w:r>
                </w:p>
              </w:tc>
              <w:tc>
                <w:tcPr>
                  <w:tcW w:w="774" w:type="dxa"/>
                  <w:vAlign w:val="center"/>
                </w:tcPr>
                <w:p>
                  <w:pPr>
                    <w:pStyle w:val="852"/>
                    <w:spacing w:line="240" w:lineRule="auto"/>
                    <w:rPr>
                      <w:rFonts w:eastAsiaTheme="minorEastAsia"/>
                    </w:rPr>
                  </w:pPr>
                  <w:r>
                    <w:rPr>
                      <w:rFonts w:hint="eastAsia" w:eastAsiaTheme="minorEastAsia"/>
                    </w:rPr>
                    <w:t>70</w:t>
                  </w:r>
                </w:p>
              </w:tc>
              <w:tc>
                <w:tcPr>
                  <w:tcW w:w="807" w:type="dxa"/>
                  <w:vAlign w:val="center"/>
                </w:tcPr>
                <w:p>
                  <w:pPr>
                    <w:pStyle w:val="852"/>
                    <w:spacing w:line="240" w:lineRule="auto"/>
                    <w:rPr>
                      <w:rFonts w:eastAsiaTheme="minorEastAsia"/>
                    </w:rPr>
                  </w:pPr>
                  <w:r>
                    <w:rPr>
                      <w:rFonts w:hint="eastAsia" w:eastAsiaTheme="minorEastAsia"/>
                    </w:rPr>
                    <w:t>55</w:t>
                  </w:r>
                </w:p>
              </w:tc>
              <w:tc>
                <w:tcPr>
                  <w:tcW w:w="729" w:type="dxa"/>
                  <w:vAlign w:val="center"/>
                </w:tcPr>
                <w:p>
                  <w:pPr>
                    <w:pStyle w:val="852"/>
                    <w:spacing w:line="240" w:lineRule="auto"/>
                  </w:pPr>
                  <w:r>
                    <w:rPr>
                      <w:rFonts w:hint="eastAsia"/>
                    </w:rPr>
                    <w:t>达标</w:t>
                  </w:r>
                </w:p>
              </w:tc>
              <w:tc>
                <w:tcPr>
                  <w:tcW w:w="726" w:type="dxa"/>
                  <w:vAlign w:val="center"/>
                </w:tcPr>
                <w:p>
                  <w:pPr>
                    <w:pStyle w:val="852"/>
                    <w:spacing w:line="240" w:lineRule="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jc w:val="center"/>
              </w:trPr>
              <w:tc>
                <w:tcPr>
                  <w:tcW w:w="1776" w:type="dxa"/>
                  <w:vMerge w:val="continue"/>
                  <w:vAlign w:val="center"/>
                </w:tcPr>
                <w:p>
                  <w:pPr>
                    <w:pStyle w:val="852"/>
                    <w:spacing w:line="240" w:lineRule="auto"/>
                  </w:pPr>
                </w:p>
              </w:tc>
              <w:tc>
                <w:tcPr>
                  <w:tcW w:w="1346" w:type="dxa"/>
                  <w:vAlign w:val="center"/>
                </w:tcPr>
                <w:p>
                  <w:pPr>
                    <w:pStyle w:val="852"/>
                    <w:spacing w:line="240" w:lineRule="auto"/>
                    <w:rPr>
                      <w:rFonts w:eastAsiaTheme="minorEastAsia"/>
                    </w:rPr>
                  </w:pPr>
                  <w:r>
                    <w:rPr>
                      <w:rFonts w:hint="eastAsia" w:eastAsiaTheme="minorEastAsia"/>
                    </w:rPr>
                    <w:t>E-2</w:t>
                  </w:r>
                </w:p>
              </w:tc>
              <w:tc>
                <w:tcPr>
                  <w:tcW w:w="985" w:type="dxa"/>
                  <w:vAlign w:val="center"/>
                </w:tcPr>
                <w:p>
                  <w:pPr>
                    <w:pStyle w:val="852"/>
                    <w:spacing w:line="240" w:lineRule="auto"/>
                    <w:rPr>
                      <w:rFonts w:eastAsiaTheme="minorEastAsia"/>
                    </w:rPr>
                  </w:pPr>
                  <w:r>
                    <w:rPr>
                      <w:rFonts w:hint="eastAsia" w:eastAsiaTheme="minorEastAsia"/>
                    </w:rPr>
                    <w:t>56</w:t>
                  </w:r>
                </w:p>
              </w:tc>
              <w:tc>
                <w:tcPr>
                  <w:tcW w:w="831" w:type="dxa"/>
                  <w:vAlign w:val="center"/>
                </w:tcPr>
                <w:p>
                  <w:pPr>
                    <w:pStyle w:val="852"/>
                    <w:spacing w:line="240" w:lineRule="auto"/>
                    <w:rPr>
                      <w:rFonts w:eastAsiaTheme="minorEastAsia"/>
                    </w:rPr>
                  </w:pPr>
                  <w:r>
                    <w:rPr>
                      <w:rFonts w:hint="eastAsia" w:eastAsiaTheme="minorEastAsia"/>
                    </w:rPr>
                    <w:t>43</w:t>
                  </w:r>
                </w:p>
              </w:tc>
              <w:tc>
                <w:tcPr>
                  <w:tcW w:w="774" w:type="dxa"/>
                  <w:vAlign w:val="center"/>
                </w:tcPr>
                <w:p>
                  <w:pPr>
                    <w:pStyle w:val="852"/>
                    <w:spacing w:line="240" w:lineRule="auto"/>
                    <w:rPr>
                      <w:rFonts w:eastAsiaTheme="minorEastAsia"/>
                    </w:rPr>
                  </w:pPr>
                  <w:r>
                    <w:rPr>
                      <w:rFonts w:hint="eastAsia" w:eastAsiaTheme="minorEastAsia"/>
                    </w:rPr>
                    <w:t>60</w:t>
                  </w:r>
                </w:p>
              </w:tc>
              <w:tc>
                <w:tcPr>
                  <w:tcW w:w="807" w:type="dxa"/>
                  <w:vAlign w:val="center"/>
                </w:tcPr>
                <w:p>
                  <w:pPr>
                    <w:pStyle w:val="852"/>
                    <w:spacing w:line="240" w:lineRule="auto"/>
                    <w:rPr>
                      <w:rFonts w:eastAsiaTheme="minorEastAsia"/>
                    </w:rPr>
                  </w:pPr>
                  <w:r>
                    <w:rPr>
                      <w:rFonts w:hint="eastAsia" w:eastAsiaTheme="minorEastAsia"/>
                    </w:rPr>
                    <w:t>55</w:t>
                  </w:r>
                </w:p>
              </w:tc>
              <w:tc>
                <w:tcPr>
                  <w:tcW w:w="729" w:type="dxa"/>
                  <w:vAlign w:val="center"/>
                </w:tcPr>
                <w:p>
                  <w:pPr>
                    <w:pStyle w:val="852"/>
                    <w:spacing w:line="240" w:lineRule="auto"/>
                  </w:pPr>
                  <w:r>
                    <w:rPr>
                      <w:rFonts w:hint="eastAsia"/>
                    </w:rPr>
                    <w:t>达标</w:t>
                  </w:r>
                </w:p>
              </w:tc>
              <w:tc>
                <w:tcPr>
                  <w:tcW w:w="726" w:type="dxa"/>
                  <w:vAlign w:val="center"/>
                </w:tcPr>
                <w:p>
                  <w:pPr>
                    <w:pStyle w:val="852"/>
                    <w:spacing w:line="240" w:lineRule="auto"/>
                  </w:pPr>
                  <w:r>
                    <w:rPr>
                      <w:rFonts w:hint="eastAsia"/>
                    </w:rPr>
                    <w:t>达标</w:t>
                  </w:r>
                </w:p>
              </w:tc>
            </w:tr>
          </w:tbl>
          <w:p>
            <w:pPr>
              <w:pStyle w:val="160"/>
              <w:ind w:firstLine="480"/>
              <w:rPr>
                <w:color w:val="FF0000"/>
              </w:rPr>
            </w:pPr>
            <w:r>
              <w:rPr>
                <w:rFonts w:hint="eastAsia" w:ascii="宋体" w:hAnsi="宋体" w:cs="宋体"/>
              </w:rPr>
              <w:t>由上表可知，扩建项目所在区域C1点昼、夜间噪声监测值均满足《声环境质量标准》（GB3096-2008）2类标准、C2点昼、夜间噪声监测值均满足《声环境质量标准》（GB3096-2008）3类标准。因此，评价认为扩建项目所在区域声环境质量现状总体较好，不会制约扩建项目的建设。</w:t>
            </w:r>
          </w:p>
          <w:p>
            <w:pPr>
              <w:pStyle w:val="4"/>
            </w:pPr>
            <w:r>
              <w:rPr>
                <w:rFonts w:hint="eastAsia"/>
              </w:rPr>
              <w:t>3.4  生态环境</w:t>
            </w:r>
          </w:p>
          <w:p>
            <w:pPr>
              <w:pStyle w:val="160"/>
              <w:ind w:firstLine="480"/>
            </w:pPr>
            <w:r>
              <w:rPr>
                <w:rFonts w:hint="eastAsia"/>
              </w:rPr>
              <w:t>扩建项目所在地为城市建成区，生态结构简单，评价范围内（扩建项目占地范围及场界外</w:t>
            </w:r>
            <w:r>
              <w:t>200m）无重点文物保护单位，无名胜古迹和珍稀野生动植物分布，场地周边没有需要特殊保护的环境敏感目标和珍稀野生动植物等。</w:t>
            </w:r>
          </w:p>
          <w:p>
            <w:pPr>
              <w:pStyle w:val="4"/>
            </w:pPr>
            <w:r>
              <w:rPr>
                <w:rFonts w:hint="eastAsia"/>
              </w:rPr>
              <w:t>3.5  地下水、土壤环境</w:t>
            </w:r>
          </w:p>
          <w:p>
            <w:pPr>
              <w:pStyle w:val="160"/>
              <w:ind w:firstLine="480"/>
            </w:pPr>
            <w:r>
              <w:rPr>
                <w:rFonts w:hint="eastAsia" w:ascii="宋体" w:hAnsi="宋体" w:cs="宋体"/>
              </w:rPr>
              <w:t>根据编制指南，扩建项目可不进行地下水和土壤环境现状监测。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800"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环境</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保护</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目标</w:t>
            </w:r>
          </w:p>
        </w:tc>
        <w:tc>
          <w:tcPr>
            <w:tcW w:w="8190" w:type="dxa"/>
          </w:tcPr>
          <w:p>
            <w:pPr>
              <w:pStyle w:val="4"/>
            </w:pPr>
            <w:r>
              <w:rPr>
                <w:rFonts w:hint="eastAsia"/>
              </w:rPr>
              <w:t>3.6环境保护目标</w:t>
            </w:r>
          </w:p>
          <w:p>
            <w:pPr>
              <w:pStyle w:val="5"/>
              <w:rPr>
                <w:rFonts w:ascii="宋体" w:hAnsi="宋体" w:cs="宋体"/>
              </w:rPr>
            </w:pPr>
            <w:bookmarkStart w:id="29" w:name="_Toc9178"/>
            <w:r>
              <w:rPr>
                <w:rFonts w:hint="eastAsia" w:ascii="宋体" w:hAnsi="宋体" w:cs="宋体"/>
              </w:rPr>
              <w:t>3.6.1周边环境概况</w:t>
            </w:r>
            <w:bookmarkEnd w:id="29"/>
          </w:p>
          <w:p>
            <w:pPr>
              <w:pStyle w:val="160"/>
              <w:ind w:firstLine="480"/>
            </w:pPr>
            <w:r>
              <w:rPr>
                <w:rFonts w:hint="eastAsia"/>
              </w:rPr>
              <w:t>扩建项目位于重庆市铜梁高新区姜家岩片区，周边以工业区域为主，所在地周边无自然保护区、风景名胜区、世界文化和自然遗产地、基本农田保护区、森林公园、地质公园、重要水生生物自然产卵场及索饵场、越冬场和洄游通道、天然渔场等环境敏感区。</w:t>
            </w:r>
          </w:p>
          <w:p>
            <w:pPr>
              <w:pStyle w:val="160"/>
              <w:ind w:firstLine="480"/>
            </w:pPr>
            <w:r>
              <w:rPr>
                <w:rFonts w:hint="eastAsia"/>
              </w:rPr>
              <w:t>扩建项目周边外环境关系见表</w:t>
            </w:r>
            <w:r>
              <w:t>3.</w:t>
            </w:r>
            <w:r>
              <w:rPr>
                <w:rFonts w:hint="eastAsia"/>
              </w:rPr>
              <w:t>6</w:t>
            </w:r>
            <w:r>
              <w:t>-1。</w:t>
            </w:r>
          </w:p>
          <w:p>
            <w:pPr>
              <w:pStyle w:val="164"/>
              <w:rPr>
                <w:color w:val="auto"/>
              </w:rPr>
            </w:pPr>
            <w:bookmarkStart w:id="30" w:name="_Ref82520068"/>
            <w:r>
              <w:rPr>
                <w:rFonts w:hint="eastAsia"/>
                <w:color w:val="auto"/>
              </w:rPr>
              <w:t>表</w:t>
            </w:r>
            <w:r>
              <w:rPr>
                <w:color w:val="auto"/>
              </w:rPr>
              <w:fldChar w:fldCharType="begin"/>
            </w:r>
            <w:r>
              <w:rPr>
                <w:rFonts w:hint="eastAsia"/>
                <w:color w:val="auto"/>
              </w:rPr>
              <w:instrText xml:space="preserve">STYLEREF 2 \s</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rFonts w:hint="eastAsia"/>
                <w:color w:val="auto"/>
              </w:rPr>
              <w:instrText xml:space="preserve">SEQ 表 \* ARABIC \s 2</w:instrText>
            </w:r>
            <w:r>
              <w:rPr>
                <w:color w:val="auto"/>
              </w:rPr>
              <w:fldChar w:fldCharType="separate"/>
            </w:r>
            <w:r>
              <w:rPr>
                <w:color w:val="auto"/>
              </w:rPr>
              <w:t>1</w:t>
            </w:r>
            <w:r>
              <w:rPr>
                <w:color w:val="auto"/>
              </w:rPr>
              <w:fldChar w:fldCharType="end"/>
            </w:r>
            <w:bookmarkEnd w:id="30"/>
            <w:r>
              <w:rPr>
                <w:rFonts w:hint="eastAsia"/>
                <w:color w:val="auto"/>
              </w:rPr>
              <w:t>扩建项目周边情况一览表</w:t>
            </w:r>
          </w:p>
          <w:tbl>
            <w:tblPr>
              <w:tblStyle w:val="162"/>
              <w:tblW w:w="796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0"/>
              <w:gridCol w:w="3020"/>
              <w:gridCol w:w="1706"/>
              <w:gridCol w:w="656"/>
              <w:gridCol w:w="656"/>
              <w:gridCol w:w="12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3" w:hRule="atLeast"/>
                <w:jc w:val="center"/>
              </w:trPr>
              <w:tc>
                <w:tcPr>
                  <w:tcW w:w="650" w:type="dxa"/>
                  <w:shd w:val="clear" w:color="auto" w:fill="auto"/>
                  <w:vAlign w:val="center"/>
                </w:tcPr>
                <w:p>
                  <w:pPr>
                    <w:pStyle w:val="164"/>
                    <w:rPr>
                      <w:b w:val="0"/>
                      <w:bCs/>
                      <w:color w:val="auto"/>
                    </w:rPr>
                  </w:pPr>
                  <w:r>
                    <w:rPr>
                      <w:b/>
                      <w:bCs/>
                      <w:color w:val="auto"/>
                    </w:rPr>
                    <w:t>序号</w:t>
                  </w:r>
                </w:p>
              </w:tc>
              <w:tc>
                <w:tcPr>
                  <w:tcW w:w="3020" w:type="dxa"/>
                  <w:shd w:val="clear" w:color="auto" w:fill="auto"/>
                  <w:vAlign w:val="center"/>
                </w:tcPr>
                <w:p>
                  <w:pPr>
                    <w:pStyle w:val="164"/>
                    <w:rPr>
                      <w:b w:val="0"/>
                      <w:bCs/>
                      <w:color w:val="auto"/>
                    </w:rPr>
                  </w:pPr>
                  <w:r>
                    <w:rPr>
                      <w:b/>
                      <w:bCs/>
                      <w:color w:val="auto"/>
                    </w:rPr>
                    <w:t>名称</w:t>
                  </w:r>
                </w:p>
              </w:tc>
              <w:tc>
                <w:tcPr>
                  <w:tcW w:w="1706" w:type="dxa"/>
                  <w:shd w:val="clear" w:color="auto" w:fill="auto"/>
                  <w:vAlign w:val="center"/>
                </w:tcPr>
                <w:p>
                  <w:pPr>
                    <w:pStyle w:val="164"/>
                    <w:rPr>
                      <w:b w:val="0"/>
                      <w:bCs/>
                      <w:color w:val="auto"/>
                    </w:rPr>
                  </w:pPr>
                  <w:r>
                    <w:rPr>
                      <w:b/>
                      <w:bCs/>
                      <w:color w:val="auto"/>
                    </w:rPr>
                    <w:t>最近距离（m）</w:t>
                  </w:r>
                </w:p>
              </w:tc>
              <w:tc>
                <w:tcPr>
                  <w:tcW w:w="656" w:type="dxa"/>
                  <w:shd w:val="clear" w:color="auto" w:fill="auto"/>
                  <w:vAlign w:val="center"/>
                </w:tcPr>
                <w:p>
                  <w:pPr>
                    <w:pStyle w:val="164"/>
                    <w:rPr>
                      <w:b w:val="0"/>
                      <w:bCs/>
                      <w:color w:val="auto"/>
                    </w:rPr>
                  </w:pPr>
                  <w:r>
                    <w:rPr>
                      <w:b/>
                      <w:bCs/>
                      <w:color w:val="auto"/>
                    </w:rPr>
                    <w:t>方位</w:t>
                  </w:r>
                </w:p>
              </w:tc>
              <w:tc>
                <w:tcPr>
                  <w:tcW w:w="656" w:type="dxa"/>
                  <w:shd w:val="clear" w:color="auto" w:fill="auto"/>
                  <w:vAlign w:val="center"/>
                </w:tcPr>
                <w:p>
                  <w:pPr>
                    <w:pStyle w:val="164"/>
                    <w:rPr>
                      <w:b w:val="0"/>
                      <w:bCs/>
                      <w:color w:val="auto"/>
                    </w:rPr>
                  </w:pPr>
                  <w:r>
                    <w:rPr>
                      <w:b/>
                      <w:bCs/>
                      <w:color w:val="auto"/>
                    </w:rPr>
                    <w:t>性质</w:t>
                  </w:r>
                </w:p>
              </w:tc>
              <w:tc>
                <w:tcPr>
                  <w:tcW w:w="1276" w:type="dxa"/>
                  <w:shd w:val="clear" w:color="auto" w:fill="auto"/>
                  <w:vAlign w:val="center"/>
                </w:tcPr>
                <w:p>
                  <w:pPr>
                    <w:pStyle w:val="164"/>
                    <w:rPr>
                      <w:b w:val="0"/>
                      <w:bCs/>
                      <w:color w:val="auto"/>
                    </w:rPr>
                  </w:pPr>
                  <w:r>
                    <w:rPr>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20" w:hRule="atLeast"/>
                <w:jc w:val="center"/>
              </w:trPr>
              <w:tc>
                <w:tcPr>
                  <w:tcW w:w="650" w:type="dxa"/>
                  <w:shd w:val="clear" w:color="auto" w:fill="auto"/>
                  <w:vAlign w:val="center"/>
                </w:tcPr>
                <w:p>
                  <w:pPr>
                    <w:pStyle w:val="152"/>
                    <w:numPr>
                      <w:ilvl w:val="0"/>
                      <w:numId w:val="7"/>
                    </w:numPr>
                    <w:ind w:firstLineChars="0"/>
                    <w:jc w:val="center"/>
                    <w:rPr>
                      <w:rFonts w:ascii="Times New Roman" w:hAnsi="Times New Roman" w:eastAsia="宋体"/>
                    </w:rPr>
                  </w:pPr>
                </w:p>
              </w:tc>
              <w:tc>
                <w:tcPr>
                  <w:tcW w:w="3020" w:type="dxa"/>
                  <w:shd w:val="clear" w:color="auto" w:fill="auto"/>
                  <w:vAlign w:val="center"/>
                </w:tcPr>
                <w:p>
                  <w:pPr>
                    <w:pStyle w:val="164"/>
                    <w:rPr>
                      <w:color w:val="auto"/>
                    </w:rPr>
                  </w:pPr>
                  <w:r>
                    <w:rPr>
                      <w:color w:val="auto"/>
                    </w:rPr>
                    <w:t>斯威特电梯</w:t>
                  </w:r>
                </w:p>
              </w:tc>
              <w:tc>
                <w:tcPr>
                  <w:tcW w:w="1706" w:type="dxa"/>
                  <w:shd w:val="clear" w:color="auto" w:fill="auto"/>
                  <w:vAlign w:val="center"/>
                </w:tcPr>
                <w:p>
                  <w:pPr>
                    <w:pStyle w:val="164"/>
                    <w:rPr>
                      <w:color w:val="auto"/>
                    </w:rPr>
                  </w:pPr>
                  <w:r>
                    <w:rPr>
                      <w:rFonts w:hint="eastAsia"/>
                      <w:color w:val="auto"/>
                    </w:rPr>
                    <w:t>85</w:t>
                  </w:r>
                </w:p>
              </w:tc>
              <w:tc>
                <w:tcPr>
                  <w:tcW w:w="656" w:type="dxa"/>
                  <w:shd w:val="clear" w:color="auto" w:fill="auto"/>
                  <w:vAlign w:val="center"/>
                </w:tcPr>
                <w:p>
                  <w:pPr>
                    <w:pStyle w:val="164"/>
                    <w:rPr>
                      <w:color w:val="auto"/>
                    </w:rPr>
                  </w:pPr>
                  <w:r>
                    <w:rPr>
                      <w:color w:val="auto"/>
                    </w:rPr>
                    <w:t>东南</w:t>
                  </w:r>
                </w:p>
              </w:tc>
              <w:tc>
                <w:tcPr>
                  <w:tcW w:w="656" w:type="dxa"/>
                  <w:shd w:val="clear" w:color="auto" w:fill="auto"/>
                  <w:vAlign w:val="center"/>
                </w:tcPr>
                <w:p>
                  <w:pPr>
                    <w:pStyle w:val="164"/>
                    <w:rPr>
                      <w:color w:val="auto"/>
                    </w:rPr>
                  </w:pPr>
                  <w:r>
                    <w:rPr>
                      <w:color w:val="auto"/>
                    </w:rPr>
                    <w:t>企业</w:t>
                  </w:r>
                </w:p>
              </w:tc>
              <w:tc>
                <w:tcPr>
                  <w:tcW w:w="1276" w:type="dxa"/>
                  <w:shd w:val="clear" w:color="auto" w:fill="auto"/>
                  <w:vAlign w:val="center"/>
                </w:tcPr>
                <w:p>
                  <w:pPr>
                    <w:pStyle w:val="164"/>
                    <w:rPr>
                      <w:color w:val="auto"/>
                    </w:rPr>
                  </w:pPr>
                  <w:r>
                    <w:rPr>
                      <w:color w:val="auto"/>
                    </w:rPr>
                    <w:t>电梯制造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50" w:type="dxa"/>
                  <w:shd w:val="clear" w:color="auto" w:fill="auto"/>
                  <w:vAlign w:val="center"/>
                </w:tcPr>
                <w:p>
                  <w:pPr>
                    <w:pStyle w:val="152"/>
                    <w:numPr>
                      <w:ilvl w:val="0"/>
                      <w:numId w:val="7"/>
                    </w:numPr>
                    <w:ind w:firstLineChars="0"/>
                    <w:jc w:val="center"/>
                    <w:rPr>
                      <w:rFonts w:ascii="Times New Roman" w:hAnsi="Times New Roman" w:eastAsia="宋体"/>
                    </w:rPr>
                  </w:pPr>
                </w:p>
              </w:tc>
              <w:tc>
                <w:tcPr>
                  <w:tcW w:w="3020" w:type="dxa"/>
                  <w:shd w:val="clear" w:color="auto" w:fill="auto"/>
                  <w:vAlign w:val="center"/>
                </w:tcPr>
                <w:p>
                  <w:pPr>
                    <w:pStyle w:val="164"/>
                    <w:rPr>
                      <w:color w:val="auto"/>
                    </w:rPr>
                  </w:pPr>
                  <w:r>
                    <w:rPr>
                      <w:rFonts w:hint="eastAsia"/>
                      <w:color w:val="auto"/>
                    </w:rPr>
                    <w:t>创</w:t>
                  </w:r>
                  <w:r>
                    <w:rPr>
                      <w:color w:val="auto"/>
                    </w:rPr>
                    <w:t>祥电池集团</w:t>
                  </w:r>
                </w:p>
              </w:tc>
              <w:tc>
                <w:tcPr>
                  <w:tcW w:w="1706" w:type="dxa"/>
                  <w:shd w:val="clear" w:color="auto" w:fill="auto"/>
                  <w:vAlign w:val="center"/>
                </w:tcPr>
                <w:p>
                  <w:pPr>
                    <w:pStyle w:val="164"/>
                    <w:rPr>
                      <w:color w:val="auto"/>
                    </w:rPr>
                  </w:pPr>
                  <w:r>
                    <w:rPr>
                      <w:color w:val="auto"/>
                    </w:rPr>
                    <w:t>紧邻</w:t>
                  </w:r>
                </w:p>
              </w:tc>
              <w:tc>
                <w:tcPr>
                  <w:tcW w:w="656" w:type="dxa"/>
                  <w:shd w:val="clear" w:color="auto" w:fill="auto"/>
                  <w:vAlign w:val="center"/>
                </w:tcPr>
                <w:p>
                  <w:pPr>
                    <w:pStyle w:val="164"/>
                    <w:rPr>
                      <w:color w:val="auto"/>
                    </w:rPr>
                  </w:pPr>
                  <w:r>
                    <w:rPr>
                      <w:color w:val="auto"/>
                    </w:rPr>
                    <w:t>南</w:t>
                  </w:r>
                </w:p>
              </w:tc>
              <w:tc>
                <w:tcPr>
                  <w:tcW w:w="656" w:type="dxa"/>
                  <w:shd w:val="clear" w:color="auto" w:fill="auto"/>
                  <w:vAlign w:val="center"/>
                </w:tcPr>
                <w:p>
                  <w:pPr>
                    <w:pStyle w:val="164"/>
                    <w:rPr>
                      <w:color w:val="auto"/>
                    </w:rPr>
                  </w:pPr>
                  <w:r>
                    <w:rPr>
                      <w:color w:val="auto"/>
                    </w:rPr>
                    <w:t>企业</w:t>
                  </w:r>
                </w:p>
              </w:tc>
              <w:tc>
                <w:tcPr>
                  <w:tcW w:w="1276" w:type="dxa"/>
                  <w:shd w:val="clear" w:color="auto" w:fill="auto"/>
                  <w:vAlign w:val="center"/>
                </w:tcPr>
                <w:p>
                  <w:pPr>
                    <w:pStyle w:val="164"/>
                    <w:rPr>
                      <w:color w:val="auto"/>
                    </w:rPr>
                  </w:pPr>
                  <w:r>
                    <w:rPr>
                      <w:color w:val="auto"/>
                    </w:rPr>
                    <w:t>电池组装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650" w:type="dxa"/>
                  <w:shd w:val="clear" w:color="auto" w:fill="auto"/>
                  <w:vAlign w:val="center"/>
                </w:tcPr>
                <w:p>
                  <w:pPr>
                    <w:pStyle w:val="152"/>
                    <w:numPr>
                      <w:ilvl w:val="0"/>
                      <w:numId w:val="7"/>
                    </w:numPr>
                    <w:ind w:firstLineChars="0"/>
                    <w:jc w:val="center"/>
                    <w:rPr>
                      <w:rFonts w:ascii="Times New Roman" w:hAnsi="Times New Roman" w:eastAsia="宋体"/>
                    </w:rPr>
                  </w:pPr>
                </w:p>
              </w:tc>
              <w:tc>
                <w:tcPr>
                  <w:tcW w:w="3020" w:type="dxa"/>
                  <w:shd w:val="clear" w:color="auto" w:fill="auto"/>
                  <w:vAlign w:val="center"/>
                </w:tcPr>
                <w:p>
                  <w:pPr>
                    <w:pStyle w:val="164"/>
                    <w:rPr>
                      <w:color w:val="auto"/>
                    </w:rPr>
                  </w:pPr>
                  <w:r>
                    <w:rPr>
                      <w:color w:val="auto"/>
                    </w:rPr>
                    <w:t>福斯特饲料</w:t>
                  </w:r>
                </w:p>
              </w:tc>
              <w:tc>
                <w:tcPr>
                  <w:tcW w:w="1706" w:type="dxa"/>
                  <w:shd w:val="clear" w:color="auto" w:fill="auto"/>
                  <w:vAlign w:val="center"/>
                </w:tcPr>
                <w:p>
                  <w:pPr>
                    <w:pStyle w:val="164"/>
                    <w:rPr>
                      <w:color w:val="auto"/>
                    </w:rPr>
                  </w:pPr>
                  <w:r>
                    <w:rPr>
                      <w:color w:val="auto"/>
                    </w:rPr>
                    <w:t>紧邻</w:t>
                  </w:r>
                </w:p>
              </w:tc>
              <w:tc>
                <w:tcPr>
                  <w:tcW w:w="656" w:type="dxa"/>
                  <w:shd w:val="clear" w:color="auto" w:fill="auto"/>
                  <w:vAlign w:val="center"/>
                </w:tcPr>
                <w:p>
                  <w:pPr>
                    <w:pStyle w:val="164"/>
                    <w:rPr>
                      <w:color w:val="auto"/>
                    </w:rPr>
                  </w:pPr>
                  <w:r>
                    <w:rPr>
                      <w:color w:val="auto"/>
                    </w:rPr>
                    <w:t>北</w:t>
                  </w:r>
                </w:p>
              </w:tc>
              <w:tc>
                <w:tcPr>
                  <w:tcW w:w="656" w:type="dxa"/>
                  <w:shd w:val="clear" w:color="auto" w:fill="auto"/>
                  <w:vAlign w:val="center"/>
                </w:tcPr>
                <w:p>
                  <w:pPr>
                    <w:pStyle w:val="164"/>
                    <w:rPr>
                      <w:color w:val="auto"/>
                    </w:rPr>
                  </w:pPr>
                  <w:r>
                    <w:rPr>
                      <w:color w:val="auto"/>
                    </w:rPr>
                    <w:t>企业</w:t>
                  </w:r>
                </w:p>
              </w:tc>
              <w:tc>
                <w:tcPr>
                  <w:tcW w:w="1276" w:type="dxa"/>
                  <w:shd w:val="clear" w:color="auto" w:fill="auto"/>
                  <w:vAlign w:val="center"/>
                </w:tcPr>
                <w:p>
                  <w:pPr>
                    <w:pStyle w:val="164"/>
                    <w:rPr>
                      <w:color w:val="auto"/>
                    </w:rPr>
                  </w:pPr>
                  <w:r>
                    <w:rPr>
                      <w:color w:val="auto"/>
                    </w:rPr>
                    <w:t>饲料制造</w:t>
                  </w:r>
                </w:p>
              </w:tc>
            </w:tr>
          </w:tbl>
          <w:p>
            <w:pPr>
              <w:pStyle w:val="5"/>
              <w:rPr>
                <w:rFonts w:ascii="宋体" w:hAnsi="宋体" w:cs="宋体"/>
              </w:rPr>
            </w:pPr>
            <w:r>
              <w:rPr>
                <w:rFonts w:hint="eastAsia" w:ascii="宋体" w:hAnsi="宋体" w:cs="宋体"/>
              </w:rPr>
              <w:t xml:space="preserve">3.6.2  </w:t>
            </w:r>
            <w:r>
              <w:rPr>
                <w:rFonts w:ascii="宋体" w:hAnsi="宋体" w:cs="宋体"/>
              </w:rPr>
              <w:t>环境保护目标</w:t>
            </w:r>
          </w:p>
          <w:p>
            <w:pPr>
              <w:pStyle w:val="160"/>
              <w:ind w:firstLine="480"/>
            </w:pPr>
            <w:r>
              <w:rPr>
                <w:rFonts w:hint="eastAsia"/>
              </w:rPr>
              <w:t>（1）环境空气</w:t>
            </w:r>
          </w:p>
          <w:p>
            <w:pPr>
              <w:pStyle w:val="160"/>
              <w:ind w:firstLine="480"/>
            </w:pPr>
            <w:r>
              <w:rPr>
                <w:rFonts w:hint="eastAsia" w:ascii="宋体" w:hAnsi="宋体" w:cs="宋体"/>
              </w:rPr>
              <w:t>本次评价大气环境现状调查时，重点调查扩建项目周边500m范围内的保护目标，扩建项目厂界外500米范围内的自然保护区、风景名胜区、居住区、文化区和农村地区中人群较集中的区域等保护目标。扩建项目环境空气保护目标见表3.6-2。</w:t>
            </w:r>
          </w:p>
          <w:p>
            <w:pPr>
              <w:pStyle w:val="164"/>
              <w:rPr>
                <w:color w:val="auto"/>
              </w:rPr>
            </w:pPr>
            <w:r>
              <w:rPr>
                <w:rFonts w:hint="eastAsia"/>
                <w:color w:val="auto"/>
              </w:rPr>
              <w:t>表3.6-2   扩建项目大气环境保护目标一览表</w:t>
            </w:r>
          </w:p>
          <w:tbl>
            <w:tblPr>
              <w:tblStyle w:val="88"/>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85"/>
              <w:gridCol w:w="496"/>
              <w:gridCol w:w="463"/>
              <w:gridCol w:w="1171"/>
              <w:gridCol w:w="771"/>
              <w:gridCol w:w="924"/>
              <w:gridCol w:w="1372"/>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484" w:type="dxa"/>
                  <w:vMerge w:val="restart"/>
                  <w:vAlign w:val="center"/>
                </w:tcPr>
                <w:p>
                  <w:pPr>
                    <w:pStyle w:val="164"/>
                    <w:rPr>
                      <w:color w:val="auto"/>
                    </w:rPr>
                  </w:pPr>
                  <w:r>
                    <w:rPr>
                      <w:rFonts w:hint="eastAsia"/>
                      <w:color w:val="auto"/>
                    </w:rPr>
                    <w:t>序号</w:t>
                  </w:r>
                </w:p>
              </w:tc>
              <w:tc>
                <w:tcPr>
                  <w:tcW w:w="885" w:type="dxa"/>
                  <w:vMerge w:val="restart"/>
                  <w:vAlign w:val="center"/>
                </w:tcPr>
                <w:p>
                  <w:pPr>
                    <w:pStyle w:val="164"/>
                    <w:rPr>
                      <w:color w:val="auto"/>
                    </w:rPr>
                  </w:pPr>
                  <w:r>
                    <w:rPr>
                      <w:rFonts w:hint="eastAsia"/>
                      <w:color w:val="auto"/>
                    </w:rPr>
                    <w:t>保护目标名称</w:t>
                  </w:r>
                </w:p>
              </w:tc>
              <w:tc>
                <w:tcPr>
                  <w:tcW w:w="959" w:type="dxa"/>
                  <w:gridSpan w:val="2"/>
                  <w:vAlign w:val="center"/>
                </w:tcPr>
                <w:p>
                  <w:pPr>
                    <w:pStyle w:val="164"/>
                    <w:rPr>
                      <w:color w:val="auto"/>
                    </w:rPr>
                  </w:pPr>
                  <w:r>
                    <w:rPr>
                      <w:rFonts w:hint="eastAsia"/>
                      <w:color w:val="auto"/>
                    </w:rPr>
                    <w:t>坐标</w:t>
                  </w:r>
                </w:p>
              </w:tc>
              <w:tc>
                <w:tcPr>
                  <w:tcW w:w="1171" w:type="dxa"/>
                  <w:vMerge w:val="restart"/>
                  <w:vAlign w:val="center"/>
                </w:tcPr>
                <w:p>
                  <w:pPr>
                    <w:pStyle w:val="164"/>
                    <w:rPr>
                      <w:color w:val="auto"/>
                    </w:rPr>
                  </w:pPr>
                  <w:r>
                    <w:rPr>
                      <w:rFonts w:hint="eastAsia"/>
                      <w:color w:val="auto"/>
                    </w:rPr>
                    <w:t>保护内容</w:t>
                  </w:r>
                </w:p>
              </w:tc>
              <w:tc>
                <w:tcPr>
                  <w:tcW w:w="771" w:type="dxa"/>
                  <w:vMerge w:val="restart"/>
                  <w:vAlign w:val="center"/>
                </w:tcPr>
                <w:p>
                  <w:pPr>
                    <w:pStyle w:val="164"/>
                    <w:rPr>
                      <w:color w:val="auto"/>
                    </w:rPr>
                  </w:pPr>
                  <w:r>
                    <w:rPr>
                      <w:rFonts w:hint="eastAsia"/>
                      <w:color w:val="auto"/>
                    </w:rPr>
                    <w:t>环境功能区</w:t>
                  </w:r>
                </w:p>
              </w:tc>
              <w:tc>
                <w:tcPr>
                  <w:tcW w:w="924" w:type="dxa"/>
                  <w:vMerge w:val="restart"/>
                  <w:vAlign w:val="center"/>
                </w:tcPr>
                <w:p>
                  <w:pPr>
                    <w:pStyle w:val="164"/>
                    <w:rPr>
                      <w:color w:val="auto"/>
                    </w:rPr>
                  </w:pPr>
                  <w:r>
                    <w:rPr>
                      <w:rFonts w:hint="eastAsia"/>
                      <w:color w:val="auto"/>
                    </w:rPr>
                    <w:t>相对厂址方向</w:t>
                  </w:r>
                </w:p>
              </w:tc>
              <w:tc>
                <w:tcPr>
                  <w:tcW w:w="1372" w:type="dxa"/>
                  <w:vMerge w:val="restart"/>
                  <w:vAlign w:val="center"/>
                </w:tcPr>
                <w:p>
                  <w:pPr>
                    <w:pStyle w:val="164"/>
                    <w:rPr>
                      <w:color w:val="auto"/>
                    </w:rPr>
                  </w:pPr>
                  <w:r>
                    <w:rPr>
                      <w:rFonts w:hint="eastAsia"/>
                      <w:color w:val="auto"/>
                    </w:rPr>
                    <w:t>与厂界最近距离（m）</w:t>
                  </w:r>
                </w:p>
              </w:tc>
              <w:tc>
                <w:tcPr>
                  <w:tcW w:w="1372" w:type="dxa"/>
                  <w:vMerge w:val="restart"/>
                </w:tcPr>
                <w:p>
                  <w:pPr>
                    <w:pStyle w:val="164"/>
                    <w:rPr>
                      <w:color w:val="auto"/>
                    </w:rPr>
                  </w:pPr>
                  <w:r>
                    <w:rPr>
                      <w:rFonts w:hint="eastAsia"/>
                      <w:color w:val="auto"/>
                    </w:rPr>
                    <w:t>与排气筒（DA007）最近距离（m）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484" w:type="dxa"/>
                  <w:vMerge w:val="continue"/>
                  <w:vAlign w:val="center"/>
                </w:tcPr>
                <w:p>
                  <w:pPr>
                    <w:pStyle w:val="164"/>
                    <w:rPr>
                      <w:color w:val="auto"/>
                    </w:rPr>
                  </w:pPr>
                </w:p>
              </w:tc>
              <w:tc>
                <w:tcPr>
                  <w:tcW w:w="885" w:type="dxa"/>
                  <w:vMerge w:val="continue"/>
                  <w:vAlign w:val="center"/>
                </w:tcPr>
                <w:p>
                  <w:pPr>
                    <w:pStyle w:val="164"/>
                    <w:rPr>
                      <w:color w:val="auto"/>
                    </w:rPr>
                  </w:pPr>
                </w:p>
              </w:tc>
              <w:tc>
                <w:tcPr>
                  <w:tcW w:w="496" w:type="dxa"/>
                  <w:vAlign w:val="center"/>
                </w:tcPr>
                <w:p>
                  <w:pPr>
                    <w:pStyle w:val="164"/>
                    <w:rPr>
                      <w:color w:val="auto"/>
                    </w:rPr>
                  </w:pPr>
                  <w:r>
                    <w:rPr>
                      <w:rFonts w:hint="eastAsia"/>
                      <w:color w:val="auto"/>
                    </w:rPr>
                    <w:t>X</w:t>
                  </w:r>
                </w:p>
              </w:tc>
              <w:tc>
                <w:tcPr>
                  <w:tcW w:w="463" w:type="dxa"/>
                  <w:vAlign w:val="center"/>
                </w:tcPr>
                <w:p>
                  <w:pPr>
                    <w:pStyle w:val="164"/>
                    <w:rPr>
                      <w:color w:val="auto"/>
                    </w:rPr>
                  </w:pPr>
                  <w:r>
                    <w:rPr>
                      <w:rFonts w:hint="eastAsia"/>
                      <w:color w:val="auto"/>
                    </w:rPr>
                    <w:t>Y</w:t>
                  </w:r>
                </w:p>
              </w:tc>
              <w:tc>
                <w:tcPr>
                  <w:tcW w:w="1171" w:type="dxa"/>
                  <w:vMerge w:val="continue"/>
                  <w:vAlign w:val="center"/>
                </w:tcPr>
                <w:p>
                  <w:pPr>
                    <w:pStyle w:val="164"/>
                    <w:rPr>
                      <w:color w:val="auto"/>
                    </w:rPr>
                  </w:pPr>
                </w:p>
              </w:tc>
              <w:tc>
                <w:tcPr>
                  <w:tcW w:w="771" w:type="dxa"/>
                  <w:vMerge w:val="continue"/>
                  <w:vAlign w:val="center"/>
                </w:tcPr>
                <w:p>
                  <w:pPr>
                    <w:pStyle w:val="164"/>
                    <w:rPr>
                      <w:color w:val="auto"/>
                    </w:rPr>
                  </w:pPr>
                </w:p>
              </w:tc>
              <w:tc>
                <w:tcPr>
                  <w:tcW w:w="924" w:type="dxa"/>
                  <w:vMerge w:val="continue"/>
                  <w:vAlign w:val="center"/>
                </w:tcPr>
                <w:p>
                  <w:pPr>
                    <w:pStyle w:val="164"/>
                    <w:rPr>
                      <w:color w:val="auto"/>
                    </w:rPr>
                  </w:pPr>
                </w:p>
              </w:tc>
              <w:tc>
                <w:tcPr>
                  <w:tcW w:w="1372" w:type="dxa"/>
                  <w:vMerge w:val="continue"/>
                  <w:vAlign w:val="center"/>
                </w:tcPr>
                <w:p>
                  <w:pPr>
                    <w:pStyle w:val="164"/>
                    <w:rPr>
                      <w:color w:val="auto"/>
                    </w:rPr>
                  </w:pPr>
                </w:p>
              </w:tc>
              <w:tc>
                <w:tcPr>
                  <w:tcW w:w="1372" w:type="dxa"/>
                  <w:vMerge w:val="continue"/>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484" w:type="dxa"/>
                  <w:vAlign w:val="center"/>
                </w:tcPr>
                <w:p>
                  <w:pPr>
                    <w:pStyle w:val="164"/>
                    <w:rPr>
                      <w:color w:val="auto"/>
                    </w:rPr>
                  </w:pPr>
                  <w:r>
                    <w:rPr>
                      <w:rFonts w:hint="eastAsia"/>
                      <w:color w:val="auto"/>
                    </w:rPr>
                    <w:t>1</w:t>
                  </w:r>
                </w:p>
              </w:tc>
              <w:tc>
                <w:tcPr>
                  <w:tcW w:w="885" w:type="dxa"/>
                  <w:vAlign w:val="center"/>
                </w:tcPr>
                <w:p>
                  <w:pPr>
                    <w:pStyle w:val="164"/>
                    <w:rPr>
                      <w:color w:val="auto"/>
                    </w:rPr>
                  </w:pPr>
                  <w:r>
                    <w:rPr>
                      <w:rFonts w:hint="eastAsia"/>
                      <w:color w:val="auto"/>
                    </w:rPr>
                    <w:t>姜家岩还建房</w:t>
                  </w:r>
                </w:p>
              </w:tc>
              <w:tc>
                <w:tcPr>
                  <w:tcW w:w="496" w:type="dxa"/>
                  <w:vAlign w:val="center"/>
                </w:tcPr>
                <w:p>
                  <w:pPr>
                    <w:pStyle w:val="164"/>
                    <w:rPr>
                      <w:color w:val="auto"/>
                    </w:rPr>
                  </w:pPr>
                  <w:r>
                    <w:rPr>
                      <w:rFonts w:hint="eastAsia"/>
                      <w:color w:val="auto"/>
                    </w:rPr>
                    <w:t>-292</w:t>
                  </w:r>
                </w:p>
              </w:tc>
              <w:tc>
                <w:tcPr>
                  <w:tcW w:w="463" w:type="dxa"/>
                  <w:vAlign w:val="center"/>
                </w:tcPr>
                <w:p>
                  <w:pPr>
                    <w:pStyle w:val="164"/>
                    <w:rPr>
                      <w:color w:val="auto"/>
                    </w:rPr>
                  </w:pPr>
                  <w:r>
                    <w:rPr>
                      <w:rFonts w:hint="eastAsia"/>
                      <w:color w:val="auto"/>
                    </w:rPr>
                    <w:t>220</w:t>
                  </w:r>
                </w:p>
              </w:tc>
              <w:tc>
                <w:tcPr>
                  <w:tcW w:w="1171" w:type="dxa"/>
                  <w:vAlign w:val="center"/>
                </w:tcPr>
                <w:p>
                  <w:pPr>
                    <w:pStyle w:val="164"/>
                    <w:rPr>
                      <w:color w:val="auto"/>
                    </w:rPr>
                  </w:pPr>
                  <w:r>
                    <w:rPr>
                      <w:rFonts w:hint="eastAsia"/>
                      <w:color w:val="auto"/>
                    </w:rPr>
                    <w:t>居住区、约1000人</w:t>
                  </w:r>
                </w:p>
              </w:tc>
              <w:tc>
                <w:tcPr>
                  <w:tcW w:w="771" w:type="dxa"/>
                  <w:vAlign w:val="center"/>
                </w:tcPr>
                <w:p>
                  <w:pPr>
                    <w:pStyle w:val="164"/>
                    <w:rPr>
                      <w:color w:val="auto"/>
                    </w:rPr>
                  </w:pPr>
                  <w:r>
                    <w:rPr>
                      <w:color w:val="auto"/>
                    </w:rPr>
                    <w:t>二类区</w:t>
                  </w:r>
                </w:p>
              </w:tc>
              <w:tc>
                <w:tcPr>
                  <w:tcW w:w="924" w:type="dxa"/>
                  <w:vAlign w:val="center"/>
                </w:tcPr>
                <w:p>
                  <w:pPr>
                    <w:pStyle w:val="164"/>
                    <w:rPr>
                      <w:color w:val="auto"/>
                    </w:rPr>
                  </w:pPr>
                  <w:r>
                    <w:rPr>
                      <w:rFonts w:hint="eastAsia"/>
                      <w:color w:val="auto"/>
                    </w:rPr>
                    <w:t>NW</w:t>
                  </w:r>
                </w:p>
              </w:tc>
              <w:tc>
                <w:tcPr>
                  <w:tcW w:w="1372" w:type="dxa"/>
                  <w:vAlign w:val="center"/>
                </w:tcPr>
                <w:p>
                  <w:pPr>
                    <w:pStyle w:val="164"/>
                    <w:rPr>
                      <w:color w:val="auto"/>
                    </w:rPr>
                  </w:pPr>
                  <w:r>
                    <w:rPr>
                      <w:rFonts w:hint="eastAsia"/>
                      <w:color w:val="auto"/>
                    </w:rPr>
                    <w:t>40</w:t>
                  </w:r>
                </w:p>
              </w:tc>
              <w:tc>
                <w:tcPr>
                  <w:tcW w:w="1372" w:type="dxa"/>
                  <w:vAlign w:val="center"/>
                </w:tcPr>
                <w:p>
                  <w:pPr>
                    <w:pStyle w:val="164"/>
                    <w:rPr>
                      <w:color w:val="auto"/>
                    </w:rPr>
                  </w:pPr>
                  <w:r>
                    <w:rPr>
                      <w:rFonts w:hint="eastAsia"/>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484" w:type="dxa"/>
                  <w:vAlign w:val="center"/>
                </w:tcPr>
                <w:p>
                  <w:pPr>
                    <w:pStyle w:val="164"/>
                    <w:rPr>
                      <w:color w:val="auto"/>
                    </w:rPr>
                  </w:pPr>
                  <w:r>
                    <w:rPr>
                      <w:rFonts w:hint="eastAsia"/>
                      <w:color w:val="auto"/>
                    </w:rPr>
                    <w:t>2</w:t>
                  </w:r>
                </w:p>
              </w:tc>
              <w:tc>
                <w:tcPr>
                  <w:tcW w:w="885" w:type="dxa"/>
                  <w:vAlign w:val="center"/>
                </w:tcPr>
                <w:p>
                  <w:pPr>
                    <w:pStyle w:val="164"/>
                    <w:rPr>
                      <w:color w:val="auto"/>
                    </w:rPr>
                  </w:pPr>
                  <w:r>
                    <w:rPr>
                      <w:rFonts w:hint="eastAsia"/>
                      <w:color w:val="auto"/>
                    </w:rPr>
                    <w:t>姜家岩公寓</w:t>
                  </w:r>
                </w:p>
              </w:tc>
              <w:tc>
                <w:tcPr>
                  <w:tcW w:w="496" w:type="dxa"/>
                  <w:vAlign w:val="center"/>
                </w:tcPr>
                <w:p>
                  <w:pPr>
                    <w:pStyle w:val="164"/>
                    <w:rPr>
                      <w:color w:val="auto"/>
                    </w:rPr>
                  </w:pPr>
                  <w:r>
                    <w:rPr>
                      <w:rFonts w:hint="eastAsia"/>
                      <w:color w:val="auto"/>
                    </w:rPr>
                    <w:t>-292</w:t>
                  </w:r>
                </w:p>
              </w:tc>
              <w:tc>
                <w:tcPr>
                  <w:tcW w:w="463" w:type="dxa"/>
                  <w:vAlign w:val="center"/>
                </w:tcPr>
                <w:p>
                  <w:pPr>
                    <w:pStyle w:val="164"/>
                    <w:rPr>
                      <w:color w:val="auto"/>
                    </w:rPr>
                  </w:pPr>
                  <w:r>
                    <w:rPr>
                      <w:rFonts w:hint="eastAsia"/>
                      <w:color w:val="auto"/>
                    </w:rPr>
                    <w:t>350</w:t>
                  </w:r>
                </w:p>
              </w:tc>
              <w:tc>
                <w:tcPr>
                  <w:tcW w:w="1171" w:type="dxa"/>
                  <w:vAlign w:val="center"/>
                </w:tcPr>
                <w:p>
                  <w:pPr>
                    <w:pStyle w:val="164"/>
                    <w:rPr>
                      <w:color w:val="auto"/>
                    </w:rPr>
                  </w:pPr>
                  <w:r>
                    <w:rPr>
                      <w:rFonts w:hint="eastAsia"/>
                      <w:color w:val="auto"/>
                    </w:rPr>
                    <w:t>居住区、约500人</w:t>
                  </w:r>
                </w:p>
              </w:tc>
              <w:tc>
                <w:tcPr>
                  <w:tcW w:w="771" w:type="dxa"/>
                  <w:vAlign w:val="center"/>
                </w:tcPr>
                <w:p>
                  <w:pPr>
                    <w:pStyle w:val="164"/>
                    <w:rPr>
                      <w:color w:val="auto"/>
                    </w:rPr>
                  </w:pPr>
                  <w:r>
                    <w:rPr>
                      <w:color w:val="auto"/>
                    </w:rPr>
                    <w:t>二类区</w:t>
                  </w:r>
                </w:p>
              </w:tc>
              <w:tc>
                <w:tcPr>
                  <w:tcW w:w="924" w:type="dxa"/>
                  <w:vAlign w:val="center"/>
                </w:tcPr>
                <w:p>
                  <w:pPr>
                    <w:pStyle w:val="164"/>
                    <w:rPr>
                      <w:color w:val="auto"/>
                    </w:rPr>
                  </w:pPr>
                  <w:r>
                    <w:rPr>
                      <w:rFonts w:hint="eastAsia"/>
                      <w:color w:val="auto"/>
                    </w:rPr>
                    <w:t>NW</w:t>
                  </w:r>
                </w:p>
              </w:tc>
              <w:tc>
                <w:tcPr>
                  <w:tcW w:w="1372" w:type="dxa"/>
                  <w:vAlign w:val="center"/>
                </w:tcPr>
                <w:p>
                  <w:pPr>
                    <w:pStyle w:val="164"/>
                    <w:rPr>
                      <w:color w:val="auto"/>
                    </w:rPr>
                  </w:pPr>
                  <w:r>
                    <w:rPr>
                      <w:rFonts w:hint="eastAsia"/>
                      <w:color w:val="auto"/>
                    </w:rPr>
                    <w:t>240</w:t>
                  </w:r>
                </w:p>
              </w:tc>
              <w:tc>
                <w:tcPr>
                  <w:tcW w:w="1372" w:type="dxa"/>
                  <w:vAlign w:val="center"/>
                </w:tcPr>
                <w:p>
                  <w:pPr>
                    <w:pStyle w:val="164"/>
                    <w:rPr>
                      <w:color w:val="auto"/>
                    </w:rPr>
                  </w:pPr>
                  <w:r>
                    <w:rPr>
                      <w:rFonts w:hint="eastAsia"/>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484" w:type="dxa"/>
                  <w:vAlign w:val="center"/>
                </w:tcPr>
                <w:p>
                  <w:pPr>
                    <w:pStyle w:val="164"/>
                    <w:rPr>
                      <w:color w:val="auto"/>
                    </w:rPr>
                  </w:pPr>
                  <w:r>
                    <w:rPr>
                      <w:rFonts w:hint="eastAsia"/>
                      <w:color w:val="auto"/>
                    </w:rPr>
                    <w:t>3</w:t>
                  </w:r>
                </w:p>
              </w:tc>
              <w:tc>
                <w:tcPr>
                  <w:tcW w:w="885" w:type="dxa"/>
                  <w:vAlign w:val="center"/>
                </w:tcPr>
                <w:p>
                  <w:pPr>
                    <w:pStyle w:val="164"/>
                    <w:rPr>
                      <w:color w:val="auto"/>
                    </w:rPr>
                  </w:pPr>
                  <w:r>
                    <w:rPr>
                      <w:rFonts w:hint="eastAsia"/>
                      <w:color w:val="auto"/>
                    </w:rPr>
                    <w:t>东城卫生中心</w:t>
                  </w:r>
                </w:p>
              </w:tc>
              <w:tc>
                <w:tcPr>
                  <w:tcW w:w="496" w:type="dxa"/>
                  <w:vAlign w:val="center"/>
                </w:tcPr>
                <w:p>
                  <w:pPr>
                    <w:pStyle w:val="164"/>
                    <w:rPr>
                      <w:color w:val="auto"/>
                    </w:rPr>
                  </w:pPr>
                  <w:r>
                    <w:rPr>
                      <w:rFonts w:hint="eastAsia"/>
                      <w:color w:val="auto"/>
                    </w:rPr>
                    <w:t>-70</w:t>
                  </w:r>
                </w:p>
              </w:tc>
              <w:tc>
                <w:tcPr>
                  <w:tcW w:w="463" w:type="dxa"/>
                  <w:vAlign w:val="center"/>
                </w:tcPr>
                <w:p>
                  <w:pPr>
                    <w:pStyle w:val="164"/>
                    <w:rPr>
                      <w:color w:val="auto"/>
                    </w:rPr>
                  </w:pPr>
                  <w:r>
                    <w:rPr>
                      <w:rFonts w:hint="eastAsia"/>
                      <w:color w:val="auto"/>
                    </w:rPr>
                    <w:t>144</w:t>
                  </w:r>
                </w:p>
              </w:tc>
              <w:tc>
                <w:tcPr>
                  <w:tcW w:w="1171" w:type="dxa"/>
                  <w:vAlign w:val="center"/>
                </w:tcPr>
                <w:p>
                  <w:pPr>
                    <w:pStyle w:val="164"/>
                    <w:rPr>
                      <w:color w:val="auto"/>
                    </w:rPr>
                  </w:pPr>
                  <w:r>
                    <w:rPr>
                      <w:rFonts w:hint="eastAsia"/>
                      <w:color w:val="auto"/>
                    </w:rPr>
                    <w:t>医院、病床约20张</w:t>
                  </w:r>
                </w:p>
              </w:tc>
              <w:tc>
                <w:tcPr>
                  <w:tcW w:w="771" w:type="dxa"/>
                  <w:vAlign w:val="center"/>
                </w:tcPr>
                <w:p>
                  <w:pPr>
                    <w:pStyle w:val="164"/>
                    <w:rPr>
                      <w:color w:val="auto"/>
                    </w:rPr>
                  </w:pPr>
                  <w:r>
                    <w:rPr>
                      <w:color w:val="auto"/>
                    </w:rPr>
                    <w:t>二类区</w:t>
                  </w:r>
                </w:p>
              </w:tc>
              <w:tc>
                <w:tcPr>
                  <w:tcW w:w="924" w:type="dxa"/>
                  <w:vAlign w:val="center"/>
                </w:tcPr>
                <w:p>
                  <w:pPr>
                    <w:pStyle w:val="164"/>
                    <w:rPr>
                      <w:color w:val="auto"/>
                    </w:rPr>
                  </w:pPr>
                  <w:r>
                    <w:rPr>
                      <w:rFonts w:hint="eastAsia"/>
                      <w:color w:val="auto"/>
                    </w:rPr>
                    <w:t>NW</w:t>
                  </w:r>
                </w:p>
              </w:tc>
              <w:tc>
                <w:tcPr>
                  <w:tcW w:w="1372" w:type="dxa"/>
                  <w:vAlign w:val="center"/>
                </w:tcPr>
                <w:p>
                  <w:pPr>
                    <w:pStyle w:val="164"/>
                    <w:rPr>
                      <w:color w:val="auto"/>
                    </w:rPr>
                  </w:pPr>
                  <w:r>
                    <w:rPr>
                      <w:rFonts w:hint="eastAsia"/>
                      <w:color w:val="auto"/>
                    </w:rPr>
                    <w:t>40</w:t>
                  </w:r>
                </w:p>
              </w:tc>
              <w:tc>
                <w:tcPr>
                  <w:tcW w:w="1372" w:type="dxa"/>
                  <w:vAlign w:val="center"/>
                </w:tcPr>
                <w:p>
                  <w:pPr>
                    <w:pStyle w:val="164"/>
                    <w:rPr>
                      <w:color w:val="auto"/>
                    </w:rPr>
                  </w:pPr>
                  <w:r>
                    <w:rPr>
                      <w:rFonts w:hint="eastAsia"/>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84" w:type="dxa"/>
                  <w:vAlign w:val="center"/>
                </w:tcPr>
                <w:p>
                  <w:pPr>
                    <w:pStyle w:val="164"/>
                    <w:rPr>
                      <w:color w:val="auto"/>
                    </w:rPr>
                  </w:pPr>
                  <w:r>
                    <w:rPr>
                      <w:rFonts w:hint="eastAsia"/>
                      <w:color w:val="auto"/>
                    </w:rPr>
                    <w:t>4</w:t>
                  </w:r>
                </w:p>
              </w:tc>
              <w:tc>
                <w:tcPr>
                  <w:tcW w:w="885" w:type="dxa"/>
                  <w:vAlign w:val="center"/>
                </w:tcPr>
                <w:p>
                  <w:pPr>
                    <w:pStyle w:val="164"/>
                    <w:rPr>
                      <w:color w:val="auto"/>
                    </w:rPr>
                  </w:pPr>
                  <w:r>
                    <w:rPr>
                      <w:rFonts w:hint="eastAsia"/>
                      <w:color w:val="auto"/>
                    </w:rPr>
                    <w:t>东城敬老院</w:t>
                  </w:r>
                </w:p>
              </w:tc>
              <w:tc>
                <w:tcPr>
                  <w:tcW w:w="496" w:type="dxa"/>
                  <w:vAlign w:val="center"/>
                </w:tcPr>
                <w:p>
                  <w:pPr>
                    <w:pStyle w:val="164"/>
                    <w:rPr>
                      <w:color w:val="auto"/>
                    </w:rPr>
                  </w:pPr>
                  <w:r>
                    <w:rPr>
                      <w:rFonts w:hint="eastAsia"/>
                      <w:color w:val="auto"/>
                    </w:rPr>
                    <w:t>0</w:t>
                  </w:r>
                </w:p>
              </w:tc>
              <w:tc>
                <w:tcPr>
                  <w:tcW w:w="463" w:type="dxa"/>
                  <w:vAlign w:val="center"/>
                </w:tcPr>
                <w:p>
                  <w:pPr>
                    <w:pStyle w:val="164"/>
                    <w:rPr>
                      <w:color w:val="auto"/>
                    </w:rPr>
                  </w:pPr>
                  <w:r>
                    <w:rPr>
                      <w:rFonts w:hint="eastAsia"/>
                      <w:color w:val="auto"/>
                    </w:rPr>
                    <w:t>150</w:t>
                  </w:r>
                </w:p>
              </w:tc>
              <w:tc>
                <w:tcPr>
                  <w:tcW w:w="1171" w:type="dxa"/>
                  <w:vAlign w:val="center"/>
                </w:tcPr>
                <w:p>
                  <w:pPr>
                    <w:pStyle w:val="164"/>
                    <w:rPr>
                      <w:color w:val="auto"/>
                    </w:rPr>
                  </w:pPr>
                  <w:r>
                    <w:rPr>
                      <w:rFonts w:hint="eastAsia"/>
                      <w:color w:val="auto"/>
                    </w:rPr>
                    <w:t>敬老院，约</w:t>
                  </w:r>
                  <w:r>
                    <w:rPr>
                      <w:rFonts w:hint="eastAsia"/>
                      <w:color w:val="auto"/>
                      <w:lang w:val="en-US"/>
                    </w:rPr>
                    <w:t>5</w:t>
                  </w:r>
                  <w:r>
                    <w:rPr>
                      <w:rFonts w:hint="eastAsia"/>
                      <w:color w:val="auto"/>
                    </w:rPr>
                    <w:t>0人</w:t>
                  </w:r>
                </w:p>
              </w:tc>
              <w:tc>
                <w:tcPr>
                  <w:tcW w:w="771" w:type="dxa"/>
                  <w:vAlign w:val="center"/>
                </w:tcPr>
                <w:p>
                  <w:pPr>
                    <w:pStyle w:val="164"/>
                    <w:rPr>
                      <w:color w:val="auto"/>
                    </w:rPr>
                  </w:pPr>
                  <w:r>
                    <w:rPr>
                      <w:color w:val="auto"/>
                    </w:rPr>
                    <w:t>二类区</w:t>
                  </w:r>
                </w:p>
              </w:tc>
              <w:tc>
                <w:tcPr>
                  <w:tcW w:w="924" w:type="dxa"/>
                  <w:vAlign w:val="center"/>
                </w:tcPr>
                <w:p>
                  <w:pPr>
                    <w:pStyle w:val="164"/>
                    <w:rPr>
                      <w:color w:val="auto"/>
                    </w:rPr>
                  </w:pPr>
                  <w:r>
                    <w:rPr>
                      <w:rFonts w:hint="eastAsia"/>
                      <w:color w:val="auto"/>
                    </w:rPr>
                    <w:t>NW</w:t>
                  </w:r>
                </w:p>
              </w:tc>
              <w:tc>
                <w:tcPr>
                  <w:tcW w:w="1372" w:type="dxa"/>
                  <w:vAlign w:val="center"/>
                </w:tcPr>
                <w:p>
                  <w:pPr>
                    <w:pStyle w:val="164"/>
                    <w:rPr>
                      <w:color w:val="auto"/>
                    </w:rPr>
                  </w:pPr>
                  <w:r>
                    <w:rPr>
                      <w:rFonts w:hint="eastAsia"/>
                      <w:color w:val="auto"/>
                    </w:rPr>
                    <w:t>40</w:t>
                  </w:r>
                </w:p>
              </w:tc>
              <w:tc>
                <w:tcPr>
                  <w:tcW w:w="1372" w:type="dxa"/>
                  <w:vAlign w:val="center"/>
                </w:tcPr>
                <w:p>
                  <w:pPr>
                    <w:pStyle w:val="164"/>
                    <w:rPr>
                      <w:color w:val="auto"/>
                    </w:rPr>
                  </w:pPr>
                  <w:r>
                    <w:rPr>
                      <w:rFonts w:hint="eastAsia"/>
                      <w:color w:val="auto"/>
                    </w:rPr>
                    <w:t>100</w:t>
                  </w:r>
                </w:p>
              </w:tc>
            </w:tr>
          </w:tbl>
          <w:p>
            <w:pPr>
              <w:pStyle w:val="160"/>
              <w:ind w:firstLine="480"/>
            </w:pPr>
            <w:r>
              <w:rPr>
                <w:rFonts w:hint="eastAsia"/>
              </w:rPr>
              <w:t>（2）声环境</w:t>
            </w:r>
          </w:p>
          <w:p>
            <w:pPr>
              <w:pStyle w:val="160"/>
              <w:ind w:firstLine="480"/>
            </w:pPr>
            <w:r>
              <w:rPr>
                <w:rFonts w:hint="eastAsia"/>
              </w:rPr>
              <w:t>扩建项目区域为工业园区，扩建项目周边主要为市政道路和工业企业，周边50m范围无声环境保护目标。</w:t>
            </w:r>
          </w:p>
          <w:p>
            <w:pPr>
              <w:pStyle w:val="164"/>
              <w:rPr>
                <w:color w:val="auto"/>
              </w:rPr>
            </w:pPr>
            <w:r>
              <w:rPr>
                <w:rFonts w:hint="eastAsia"/>
                <w:color w:val="auto"/>
              </w:rPr>
              <w:t>表3.6-3   扩建项目大气环境保护目标一览表（以厂区中心为0,0）</w:t>
            </w:r>
          </w:p>
          <w:tbl>
            <w:tblPr>
              <w:tblStyle w:val="88"/>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072"/>
              <w:gridCol w:w="574"/>
              <w:gridCol w:w="531"/>
              <w:gridCol w:w="1469"/>
              <w:gridCol w:w="943"/>
              <w:gridCol w:w="1126"/>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55" w:type="dxa"/>
                  <w:vMerge w:val="restart"/>
                  <w:vAlign w:val="center"/>
                </w:tcPr>
                <w:p>
                  <w:pPr>
                    <w:pStyle w:val="164"/>
                    <w:rPr>
                      <w:color w:val="auto"/>
                    </w:rPr>
                  </w:pPr>
                  <w:r>
                    <w:rPr>
                      <w:rFonts w:hint="eastAsia"/>
                      <w:color w:val="auto"/>
                    </w:rPr>
                    <w:t>序号</w:t>
                  </w:r>
                </w:p>
              </w:tc>
              <w:tc>
                <w:tcPr>
                  <w:tcW w:w="1072" w:type="dxa"/>
                  <w:vMerge w:val="restart"/>
                  <w:vAlign w:val="center"/>
                </w:tcPr>
                <w:p>
                  <w:pPr>
                    <w:pStyle w:val="164"/>
                    <w:rPr>
                      <w:color w:val="auto"/>
                    </w:rPr>
                  </w:pPr>
                  <w:r>
                    <w:rPr>
                      <w:rFonts w:hint="eastAsia"/>
                      <w:color w:val="auto"/>
                    </w:rPr>
                    <w:t>保护目标名称</w:t>
                  </w:r>
                </w:p>
              </w:tc>
              <w:tc>
                <w:tcPr>
                  <w:tcW w:w="1105" w:type="dxa"/>
                  <w:gridSpan w:val="2"/>
                  <w:vAlign w:val="center"/>
                </w:tcPr>
                <w:p>
                  <w:pPr>
                    <w:pStyle w:val="164"/>
                    <w:rPr>
                      <w:color w:val="auto"/>
                    </w:rPr>
                  </w:pPr>
                  <w:r>
                    <w:rPr>
                      <w:rFonts w:hint="eastAsia"/>
                      <w:color w:val="auto"/>
                    </w:rPr>
                    <w:t>坐标</w:t>
                  </w:r>
                </w:p>
              </w:tc>
              <w:tc>
                <w:tcPr>
                  <w:tcW w:w="1469" w:type="dxa"/>
                  <w:vMerge w:val="restart"/>
                  <w:vAlign w:val="center"/>
                </w:tcPr>
                <w:p>
                  <w:pPr>
                    <w:pStyle w:val="164"/>
                    <w:rPr>
                      <w:color w:val="auto"/>
                    </w:rPr>
                  </w:pPr>
                  <w:r>
                    <w:rPr>
                      <w:rFonts w:hint="eastAsia"/>
                      <w:color w:val="auto"/>
                    </w:rPr>
                    <w:t>保护内容</w:t>
                  </w:r>
                </w:p>
              </w:tc>
              <w:tc>
                <w:tcPr>
                  <w:tcW w:w="943" w:type="dxa"/>
                  <w:vMerge w:val="restart"/>
                  <w:vAlign w:val="center"/>
                </w:tcPr>
                <w:p>
                  <w:pPr>
                    <w:pStyle w:val="164"/>
                    <w:rPr>
                      <w:color w:val="auto"/>
                    </w:rPr>
                  </w:pPr>
                  <w:r>
                    <w:rPr>
                      <w:rFonts w:hint="eastAsia"/>
                      <w:color w:val="auto"/>
                    </w:rPr>
                    <w:t>环境功能区</w:t>
                  </w:r>
                </w:p>
              </w:tc>
              <w:tc>
                <w:tcPr>
                  <w:tcW w:w="1126" w:type="dxa"/>
                  <w:vMerge w:val="restart"/>
                  <w:vAlign w:val="center"/>
                </w:tcPr>
                <w:p>
                  <w:pPr>
                    <w:pStyle w:val="164"/>
                    <w:rPr>
                      <w:color w:val="auto"/>
                    </w:rPr>
                  </w:pPr>
                  <w:r>
                    <w:rPr>
                      <w:rFonts w:hint="eastAsia"/>
                      <w:color w:val="auto"/>
                    </w:rPr>
                    <w:t>相对厂址方向</w:t>
                  </w:r>
                </w:p>
              </w:tc>
              <w:tc>
                <w:tcPr>
                  <w:tcW w:w="1704" w:type="dxa"/>
                  <w:vMerge w:val="restart"/>
                  <w:vAlign w:val="center"/>
                </w:tcPr>
                <w:p>
                  <w:pPr>
                    <w:pStyle w:val="164"/>
                    <w:rPr>
                      <w:color w:val="auto"/>
                    </w:rPr>
                  </w:pPr>
                  <w:r>
                    <w:rPr>
                      <w:rFonts w:hint="eastAsia"/>
                      <w:color w:val="auto"/>
                    </w:rPr>
                    <w:t>与厂界最近距离（m）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55" w:type="dxa"/>
                  <w:vMerge w:val="continue"/>
                  <w:vAlign w:val="center"/>
                </w:tcPr>
                <w:p>
                  <w:pPr>
                    <w:pStyle w:val="164"/>
                    <w:rPr>
                      <w:color w:val="auto"/>
                    </w:rPr>
                  </w:pPr>
                </w:p>
              </w:tc>
              <w:tc>
                <w:tcPr>
                  <w:tcW w:w="1072" w:type="dxa"/>
                  <w:vMerge w:val="continue"/>
                  <w:vAlign w:val="center"/>
                </w:tcPr>
                <w:p>
                  <w:pPr>
                    <w:pStyle w:val="164"/>
                    <w:rPr>
                      <w:color w:val="auto"/>
                    </w:rPr>
                  </w:pPr>
                </w:p>
              </w:tc>
              <w:tc>
                <w:tcPr>
                  <w:tcW w:w="574" w:type="dxa"/>
                  <w:vAlign w:val="center"/>
                </w:tcPr>
                <w:p>
                  <w:pPr>
                    <w:pStyle w:val="164"/>
                    <w:rPr>
                      <w:color w:val="auto"/>
                    </w:rPr>
                  </w:pPr>
                  <w:r>
                    <w:rPr>
                      <w:rFonts w:hint="eastAsia"/>
                      <w:color w:val="auto"/>
                    </w:rPr>
                    <w:t>X</w:t>
                  </w:r>
                </w:p>
              </w:tc>
              <w:tc>
                <w:tcPr>
                  <w:tcW w:w="531" w:type="dxa"/>
                  <w:vAlign w:val="center"/>
                </w:tcPr>
                <w:p>
                  <w:pPr>
                    <w:pStyle w:val="164"/>
                    <w:rPr>
                      <w:color w:val="auto"/>
                    </w:rPr>
                  </w:pPr>
                  <w:r>
                    <w:rPr>
                      <w:rFonts w:hint="eastAsia"/>
                      <w:color w:val="auto"/>
                    </w:rPr>
                    <w:t>Y</w:t>
                  </w:r>
                </w:p>
              </w:tc>
              <w:tc>
                <w:tcPr>
                  <w:tcW w:w="1469" w:type="dxa"/>
                  <w:vMerge w:val="continue"/>
                  <w:vAlign w:val="center"/>
                </w:tcPr>
                <w:p>
                  <w:pPr>
                    <w:pStyle w:val="164"/>
                    <w:rPr>
                      <w:color w:val="auto"/>
                    </w:rPr>
                  </w:pPr>
                </w:p>
              </w:tc>
              <w:tc>
                <w:tcPr>
                  <w:tcW w:w="943" w:type="dxa"/>
                  <w:vMerge w:val="continue"/>
                  <w:vAlign w:val="center"/>
                </w:tcPr>
                <w:p>
                  <w:pPr>
                    <w:pStyle w:val="164"/>
                    <w:rPr>
                      <w:color w:val="auto"/>
                    </w:rPr>
                  </w:pPr>
                </w:p>
              </w:tc>
              <w:tc>
                <w:tcPr>
                  <w:tcW w:w="1126" w:type="dxa"/>
                  <w:vMerge w:val="continue"/>
                  <w:vAlign w:val="center"/>
                </w:tcPr>
                <w:p>
                  <w:pPr>
                    <w:pStyle w:val="164"/>
                    <w:rPr>
                      <w:color w:val="auto"/>
                    </w:rPr>
                  </w:pPr>
                </w:p>
              </w:tc>
              <w:tc>
                <w:tcPr>
                  <w:tcW w:w="1704" w:type="dxa"/>
                  <w:vMerge w:val="continue"/>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55" w:type="dxa"/>
                  <w:vAlign w:val="center"/>
                </w:tcPr>
                <w:p>
                  <w:pPr>
                    <w:pStyle w:val="164"/>
                    <w:rPr>
                      <w:color w:val="auto"/>
                    </w:rPr>
                  </w:pPr>
                  <w:r>
                    <w:rPr>
                      <w:rFonts w:hint="eastAsia"/>
                      <w:color w:val="auto"/>
                    </w:rPr>
                    <w:t>1</w:t>
                  </w:r>
                </w:p>
              </w:tc>
              <w:tc>
                <w:tcPr>
                  <w:tcW w:w="1072" w:type="dxa"/>
                  <w:vAlign w:val="center"/>
                </w:tcPr>
                <w:p>
                  <w:pPr>
                    <w:pStyle w:val="164"/>
                    <w:rPr>
                      <w:color w:val="auto"/>
                    </w:rPr>
                  </w:pPr>
                  <w:r>
                    <w:rPr>
                      <w:rFonts w:hint="eastAsia"/>
                      <w:color w:val="auto"/>
                    </w:rPr>
                    <w:t>姜家岩还建房</w:t>
                  </w:r>
                </w:p>
              </w:tc>
              <w:tc>
                <w:tcPr>
                  <w:tcW w:w="574" w:type="dxa"/>
                  <w:vAlign w:val="center"/>
                </w:tcPr>
                <w:p>
                  <w:pPr>
                    <w:pStyle w:val="164"/>
                    <w:rPr>
                      <w:color w:val="auto"/>
                    </w:rPr>
                  </w:pPr>
                  <w:r>
                    <w:rPr>
                      <w:rFonts w:hint="eastAsia"/>
                      <w:color w:val="auto"/>
                    </w:rPr>
                    <w:t>-292</w:t>
                  </w:r>
                </w:p>
              </w:tc>
              <w:tc>
                <w:tcPr>
                  <w:tcW w:w="531" w:type="dxa"/>
                  <w:vAlign w:val="center"/>
                </w:tcPr>
                <w:p>
                  <w:pPr>
                    <w:pStyle w:val="164"/>
                    <w:rPr>
                      <w:color w:val="auto"/>
                    </w:rPr>
                  </w:pPr>
                  <w:r>
                    <w:rPr>
                      <w:rFonts w:hint="eastAsia"/>
                      <w:color w:val="auto"/>
                    </w:rPr>
                    <w:t>220</w:t>
                  </w:r>
                </w:p>
              </w:tc>
              <w:tc>
                <w:tcPr>
                  <w:tcW w:w="1469" w:type="dxa"/>
                  <w:vAlign w:val="center"/>
                </w:tcPr>
                <w:p>
                  <w:pPr>
                    <w:pStyle w:val="164"/>
                    <w:rPr>
                      <w:color w:val="auto"/>
                    </w:rPr>
                  </w:pPr>
                  <w:r>
                    <w:rPr>
                      <w:rFonts w:hint="eastAsia"/>
                      <w:color w:val="auto"/>
                    </w:rPr>
                    <w:t>居住区、约1000人</w:t>
                  </w:r>
                </w:p>
              </w:tc>
              <w:tc>
                <w:tcPr>
                  <w:tcW w:w="943" w:type="dxa"/>
                  <w:vAlign w:val="center"/>
                </w:tcPr>
                <w:p>
                  <w:pPr>
                    <w:pStyle w:val="164"/>
                    <w:rPr>
                      <w:color w:val="auto"/>
                    </w:rPr>
                  </w:pPr>
                  <w:r>
                    <w:rPr>
                      <w:color w:val="auto"/>
                    </w:rPr>
                    <w:t>二类区</w:t>
                  </w:r>
                </w:p>
              </w:tc>
              <w:tc>
                <w:tcPr>
                  <w:tcW w:w="1126" w:type="dxa"/>
                  <w:vAlign w:val="center"/>
                </w:tcPr>
                <w:p>
                  <w:pPr>
                    <w:pStyle w:val="164"/>
                    <w:rPr>
                      <w:color w:val="auto"/>
                    </w:rPr>
                  </w:pPr>
                  <w:r>
                    <w:rPr>
                      <w:rFonts w:hint="eastAsia"/>
                      <w:color w:val="auto"/>
                    </w:rPr>
                    <w:t>NW</w:t>
                  </w:r>
                </w:p>
              </w:tc>
              <w:tc>
                <w:tcPr>
                  <w:tcW w:w="1704" w:type="dxa"/>
                  <w:vAlign w:val="center"/>
                </w:tcPr>
                <w:p>
                  <w:pPr>
                    <w:pStyle w:val="164"/>
                    <w:rPr>
                      <w:color w:val="auto"/>
                    </w:rPr>
                  </w:pPr>
                  <w:r>
                    <w:rPr>
                      <w:rFonts w:hint="eastAsia"/>
                      <w:color w:val="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55" w:type="dxa"/>
                  <w:vAlign w:val="center"/>
                </w:tcPr>
                <w:p>
                  <w:pPr>
                    <w:pStyle w:val="164"/>
                    <w:rPr>
                      <w:color w:val="auto"/>
                    </w:rPr>
                  </w:pPr>
                  <w:r>
                    <w:rPr>
                      <w:rFonts w:hint="eastAsia"/>
                      <w:color w:val="auto"/>
                    </w:rPr>
                    <w:t>2</w:t>
                  </w:r>
                </w:p>
              </w:tc>
              <w:tc>
                <w:tcPr>
                  <w:tcW w:w="1072" w:type="dxa"/>
                  <w:vAlign w:val="center"/>
                </w:tcPr>
                <w:p>
                  <w:pPr>
                    <w:pStyle w:val="164"/>
                    <w:rPr>
                      <w:color w:val="auto"/>
                    </w:rPr>
                  </w:pPr>
                  <w:r>
                    <w:rPr>
                      <w:rFonts w:hint="eastAsia"/>
                      <w:color w:val="auto"/>
                    </w:rPr>
                    <w:t>东城卫生中心</w:t>
                  </w:r>
                </w:p>
              </w:tc>
              <w:tc>
                <w:tcPr>
                  <w:tcW w:w="574" w:type="dxa"/>
                  <w:vAlign w:val="center"/>
                </w:tcPr>
                <w:p>
                  <w:pPr>
                    <w:pStyle w:val="164"/>
                    <w:rPr>
                      <w:color w:val="auto"/>
                    </w:rPr>
                  </w:pPr>
                  <w:r>
                    <w:rPr>
                      <w:rFonts w:hint="eastAsia"/>
                      <w:color w:val="auto"/>
                    </w:rPr>
                    <w:t>-70</w:t>
                  </w:r>
                </w:p>
              </w:tc>
              <w:tc>
                <w:tcPr>
                  <w:tcW w:w="531" w:type="dxa"/>
                  <w:vAlign w:val="center"/>
                </w:tcPr>
                <w:p>
                  <w:pPr>
                    <w:pStyle w:val="164"/>
                    <w:rPr>
                      <w:color w:val="auto"/>
                    </w:rPr>
                  </w:pPr>
                  <w:r>
                    <w:rPr>
                      <w:rFonts w:hint="eastAsia"/>
                      <w:color w:val="auto"/>
                    </w:rPr>
                    <w:t>144</w:t>
                  </w:r>
                </w:p>
              </w:tc>
              <w:tc>
                <w:tcPr>
                  <w:tcW w:w="1469" w:type="dxa"/>
                  <w:vAlign w:val="center"/>
                </w:tcPr>
                <w:p>
                  <w:pPr>
                    <w:pStyle w:val="164"/>
                    <w:rPr>
                      <w:color w:val="auto"/>
                    </w:rPr>
                  </w:pPr>
                  <w:r>
                    <w:rPr>
                      <w:rFonts w:hint="eastAsia"/>
                      <w:color w:val="auto"/>
                    </w:rPr>
                    <w:t>医院、病床约20张</w:t>
                  </w:r>
                </w:p>
              </w:tc>
              <w:tc>
                <w:tcPr>
                  <w:tcW w:w="943" w:type="dxa"/>
                  <w:vAlign w:val="center"/>
                </w:tcPr>
                <w:p>
                  <w:pPr>
                    <w:pStyle w:val="164"/>
                    <w:rPr>
                      <w:color w:val="auto"/>
                    </w:rPr>
                  </w:pPr>
                  <w:r>
                    <w:rPr>
                      <w:color w:val="auto"/>
                    </w:rPr>
                    <w:t>二类区</w:t>
                  </w:r>
                </w:p>
              </w:tc>
              <w:tc>
                <w:tcPr>
                  <w:tcW w:w="1126" w:type="dxa"/>
                  <w:vAlign w:val="center"/>
                </w:tcPr>
                <w:p>
                  <w:pPr>
                    <w:pStyle w:val="164"/>
                    <w:rPr>
                      <w:color w:val="auto"/>
                    </w:rPr>
                  </w:pPr>
                  <w:r>
                    <w:rPr>
                      <w:rFonts w:hint="eastAsia"/>
                      <w:color w:val="auto"/>
                    </w:rPr>
                    <w:t>NW</w:t>
                  </w:r>
                </w:p>
              </w:tc>
              <w:tc>
                <w:tcPr>
                  <w:tcW w:w="1704" w:type="dxa"/>
                  <w:vAlign w:val="center"/>
                </w:tcPr>
                <w:p>
                  <w:pPr>
                    <w:pStyle w:val="164"/>
                    <w:rPr>
                      <w:color w:val="auto"/>
                    </w:rPr>
                  </w:pPr>
                  <w:r>
                    <w:rPr>
                      <w:rFonts w:hint="eastAsia"/>
                      <w:color w:val="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5" w:type="dxa"/>
                  <w:vAlign w:val="center"/>
                </w:tcPr>
                <w:p>
                  <w:pPr>
                    <w:pStyle w:val="164"/>
                    <w:rPr>
                      <w:color w:val="auto"/>
                    </w:rPr>
                  </w:pPr>
                  <w:r>
                    <w:rPr>
                      <w:rFonts w:hint="eastAsia"/>
                      <w:color w:val="auto"/>
                    </w:rPr>
                    <w:t>3</w:t>
                  </w:r>
                </w:p>
              </w:tc>
              <w:tc>
                <w:tcPr>
                  <w:tcW w:w="1072" w:type="dxa"/>
                  <w:vAlign w:val="center"/>
                </w:tcPr>
                <w:p>
                  <w:pPr>
                    <w:pStyle w:val="164"/>
                    <w:rPr>
                      <w:color w:val="auto"/>
                    </w:rPr>
                  </w:pPr>
                  <w:r>
                    <w:rPr>
                      <w:rFonts w:hint="eastAsia"/>
                      <w:color w:val="auto"/>
                    </w:rPr>
                    <w:t>东城敬老院</w:t>
                  </w:r>
                </w:p>
              </w:tc>
              <w:tc>
                <w:tcPr>
                  <w:tcW w:w="574" w:type="dxa"/>
                  <w:vAlign w:val="center"/>
                </w:tcPr>
                <w:p>
                  <w:pPr>
                    <w:pStyle w:val="164"/>
                    <w:rPr>
                      <w:color w:val="auto"/>
                    </w:rPr>
                  </w:pPr>
                  <w:r>
                    <w:rPr>
                      <w:rFonts w:hint="eastAsia"/>
                      <w:color w:val="auto"/>
                    </w:rPr>
                    <w:t>0</w:t>
                  </w:r>
                </w:p>
              </w:tc>
              <w:tc>
                <w:tcPr>
                  <w:tcW w:w="531" w:type="dxa"/>
                  <w:vAlign w:val="center"/>
                </w:tcPr>
                <w:p>
                  <w:pPr>
                    <w:pStyle w:val="164"/>
                    <w:rPr>
                      <w:color w:val="auto"/>
                    </w:rPr>
                  </w:pPr>
                  <w:r>
                    <w:rPr>
                      <w:rFonts w:hint="eastAsia"/>
                      <w:color w:val="auto"/>
                    </w:rPr>
                    <w:t>150</w:t>
                  </w:r>
                </w:p>
              </w:tc>
              <w:tc>
                <w:tcPr>
                  <w:tcW w:w="1469" w:type="dxa"/>
                  <w:vAlign w:val="center"/>
                </w:tcPr>
                <w:p>
                  <w:pPr>
                    <w:pStyle w:val="164"/>
                    <w:rPr>
                      <w:color w:val="auto"/>
                    </w:rPr>
                  </w:pPr>
                  <w:r>
                    <w:rPr>
                      <w:rFonts w:hint="eastAsia"/>
                      <w:color w:val="auto"/>
                    </w:rPr>
                    <w:t>敬老院，约50人</w:t>
                  </w:r>
                </w:p>
              </w:tc>
              <w:tc>
                <w:tcPr>
                  <w:tcW w:w="943" w:type="dxa"/>
                  <w:vAlign w:val="center"/>
                </w:tcPr>
                <w:p>
                  <w:pPr>
                    <w:pStyle w:val="164"/>
                    <w:rPr>
                      <w:color w:val="auto"/>
                    </w:rPr>
                  </w:pPr>
                  <w:r>
                    <w:rPr>
                      <w:color w:val="auto"/>
                    </w:rPr>
                    <w:t>二类区</w:t>
                  </w:r>
                </w:p>
              </w:tc>
              <w:tc>
                <w:tcPr>
                  <w:tcW w:w="1126" w:type="dxa"/>
                  <w:vAlign w:val="center"/>
                </w:tcPr>
                <w:p>
                  <w:pPr>
                    <w:pStyle w:val="164"/>
                    <w:rPr>
                      <w:color w:val="auto"/>
                    </w:rPr>
                  </w:pPr>
                  <w:r>
                    <w:rPr>
                      <w:rFonts w:hint="eastAsia"/>
                      <w:color w:val="auto"/>
                    </w:rPr>
                    <w:t>NW</w:t>
                  </w:r>
                </w:p>
              </w:tc>
              <w:tc>
                <w:tcPr>
                  <w:tcW w:w="1704" w:type="dxa"/>
                  <w:vAlign w:val="center"/>
                </w:tcPr>
                <w:p>
                  <w:pPr>
                    <w:pStyle w:val="164"/>
                    <w:rPr>
                      <w:color w:val="auto"/>
                    </w:rPr>
                  </w:pPr>
                  <w:r>
                    <w:rPr>
                      <w:rFonts w:hint="eastAsia"/>
                      <w:color w:val="auto"/>
                    </w:rPr>
                    <w:t>40</w:t>
                  </w:r>
                </w:p>
              </w:tc>
            </w:tr>
          </w:tbl>
          <w:p>
            <w:pPr>
              <w:pStyle w:val="160"/>
              <w:ind w:firstLine="480"/>
            </w:pPr>
          </w:p>
          <w:p>
            <w:pPr>
              <w:pStyle w:val="6"/>
              <w:rPr>
                <w:rFonts w:ascii="宋体" w:hAnsi="宋体" w:cs="宋体"/>
              </w:rPr>
            </w:pPr>
            <w:r>
              <w:rPr>
                <w:rFonts w:hint="eastAsia" w:ascii="宋体" w:hAnsi="宋体" w:cs="宋体"/>
              </w:rPr>
              <w:t>3.6.3水环境</w:t>
            </w:r>
          </w:p>
          <w:p>
            <w:pPr>
              <w:pStyle w:val="160"/>
              <w:ind w:firstLine="480"/>
            </w:pPr>
            <w:r>
              <w:rPr>
                <w:rFonts w:hint="eastAsia"/>
              </w:rPr>
              <w:t>扩建项目污水受纳水体为淮远河。</w:t>
            </w:r>
          </w:p>
          <w:p>
            <w:pPr>
              <w:pStyle w:val="164"/>
              <w:rPr>
                <w:color w:val="auto"/>
              </w:rPr>
            </w:pPr>
            <w:r>
              <w:rPr>
                <w:rFonts w:hint="eastAsia"/>
                <w:color w:val="auto"/>
              </w:rPr>
              <w:t>表3.6-4  扩建项目地表水环境保护目标一览表</w:t>
            </w:r>
          </w:p>
          <w:tbl>
            <w:tblPr>
              <w:tblStyle w:val="88"/>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298"/>
              <w:gridCol w:w="1241"/>
              <w:gridCol w:w="1395"/>
              <w:gridCol w:w="1300"/>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488" w:type="dxa"/>
                  <w:vMerge w:val="restart"/>
                  <w:vAlign w:val="center"/>
                </w:tcPr>
                <w:p>
                  <w:pPr>
                    <w:pStyle w:val="164"/>
                    <w:rPr>
                      <w:color w:val="auto"/>
                    </w:rPr>
                  </w:pPr>
                  <w:r>
                    <w:rPr>
                      <w:rFonts w:hint="eastAsia"/>
                      <w:color w:val="auto"/>
                    </w:rPr>
                    <w:t>保护目标名称</w:t>
                  </w:r>
                </w:p>
              </w:tc>
              <w:tc>
                <w:tcPr>
                  <w:tcW w:w="1298" w:type="dxa"/>
                  <w:vMerge w:val="restart"/>
                  <w:vAlign w:val="center"/>
                </w:tcPr>
                <w:p>
                  <w:pPr>
                    <w:pStyle w:val="164"/>
                    <w:rPr>
                      <w:color w:val="auto"/>
                    </w:rPr>
                  </w:pPr>
                  <w:r>
                    <w:rPr>
                      <w:rFonts w:hint="eastAsia"/>
                      <w:color w:val="auto"/>
                    </w:rPr>
                    <w:t>保护对象</w:t>
                  </w:r>
                </w:p>
              </w:tc>
              <w:tc>
                <w:tcPr>
                  <w:tcW w:w="1241" w:type="dxa"/>
                  <w:vMerge w:val="restart"/>
                  <w:vAlign w:val="center"/>
                </w:tcPr>
                <w:p>
                  <w:pPr>
                    <w:pStyle w:val="164"/>
                    <w:rPr>
                      <w:color w:val="auto"/>
                    </w:rPr>
                  </w:pPr>
                  <w:r>
                    <w:rPr>
                      <w:rFonts w:hint="eastAsia"/>
                      <w:color w:val="auto"/>
                    </w:rPr>
                    <w:t>保护内容</w:t>
                  </w:r>
                </w:p>
              </w:tc>
              <w:tc>
                <w:tcPr>
                  <w:tcW w:w="1395" w:type="dxa"/>
                  <w:vMerge w:val="restart"/>
                  <w:vAlign w:val="center"/>
                </w:tcPr>
                <w:p>
                  <w:pPr>
                    <w:pStyle w:val="164"/>
                    <w:rPr>
                      <w:color w:val="auto"/>
                    </w:rPr>
                  </w:pPr>
                  <w:r>
                    <w:rPr>
                      <w:rFonts w:hint="eastAsia"/>
                      <w:color w:val="auto"/>
                    </w:rPr>
                    <w:t>环境功能区</w:t>
                  </w:r>
                </w:p>
              </w:tc>
              <w:tc>
                <w:tcPr>
                  <w:tcW w:w="1300" w:type="dxa"/>
                  <w:vMerge w:val="restart"/>
                  <w:vAlign w:val="center"/>
                </w:tcPr>
                <w:p>
                  <w:pPr>
                    <w:pStyle w:val="164"/>
                    <w:rPr>
                      <w:color w:val="auto"/>
                    </w:rPr>
                  </w:pPr>
                  <w:r>
                    <w:rPr>
                      <w:rFonts w:hint="eastAsia"/>
                      <w:color w:val="auto"/>
                    </w:rPr>
                    <w:t>相对厂址方位</w:t>
                  </w:r>
                </w:p>
              </w:tc>
              <w:tc>
                <w:tcPr>
                  <w:tcW w:w="1252" w:type="dxa"/>
                  <w:vMerge w:val="restart"/>
                  <w:vAlign w:val="center"/>
                </w:tcPr>
                <w:p>
                  <w:pPr>
                    <w:pStyle w:val="164"/>
                    <w:rPr>
                      <w:color w:val="auto"/>
                    </w:rPr>
                  </w:pPr>
                  <w:r>
                    <w:rPr>
                      <w:rFonts w:hint="eastAsia"/>
                      <w:color w:val="auto"/>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488" w:type="dxa"/>
                  <w:vMerge w:val="continue"/>
                  <w:vAlign w:val="center"/>
                </w:tcPr>
                <w:p>
                  <w:pPr>
                    <w:pStyle w:val="164"/>
                    <w:rPr>
                      <w:color w:val="auto"/>
                    </w:rPr>
                  </w:pPr>
                </w:p>
              </w:tc>
              <w:tc>
                <w:tcPr>
                  <w:tcW w:w="1298" w:type="dxa"/>
                  <w:vMerge w:val="continue"/>
                  <w:vAlign w:val="center"/>
                </w:tcPr>
                <w:p>
                  <w:pPr>
                    <w:pStyle w:val="164"/>
                    <w:rPr>
                      <w:color w:val="auto"/>
                    </w:rPr>
                  </w:pPr>
                </w:p>
              </w:tc>
              <w:tc>
                <w:tcPr>
                  <w:tcW w:w="1241" w:type="dxa"/>
                  <w:vMerge w:val="continue"/>
                  <w:vAlign w:val="center"/>
                </w:tcPr>
                <w:p>
                  <w:pPr>
                    <w:pStyle w:val="164"/>
                    <w:rPr>
                      <w:color w:val="auto"/>
                    </w:rPr>
                  </w:pPr>
                </w:p>
              </w:tc>
              <w:tc>
                <w:tcPr>
                  <w:tcW w:w="1395" w:type="dxa"/>
                  <w:vMerge w:val="continue"/>
                  <w:vAlign w:val="center"/>
                </w:tcPr>
                <w:p>
                  <w:pPr>
                    <w:pStyle w:val="164"/>
                    <w:rPr>
                      <w:color w:val="auto"/>
                    </w:rPr>
                  </w:pPr>
                </w:p>
              </w:tc>
              <w:tc>
                <w:tcPr>
                  <w:tcW w:w="1300" w:type="dxa"/>
                  <w:vMerge w:val="continue"/>
                  <w:vAlign w:val="center"/>
                </w:tcPr>
                <w:p>
                  <w:pPr>
                    <w:pStyle w:val="164"/>
                    <w:rPr>
                      <w:color w:val="auto"/>
                    </w:rPr>
                  </w:pPr>
                </w:p>
              </w:tc>
              <w:tc>
                <w:tcPr>
                  <w:tcW w:w="1252" w:type="dxa"/>
                  <w:vMerge w:val="continue"/>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8" w:type="dxa"/>
                  <w:vAlign w:val="center"/>
                </w:tcPr>
                <w:p>
                  <w:pPr>
                    <w:pStyle w:val="164"/>
                    <w:rPr>
                      <w:color w:val="auto"/>
                    </w:rPr>
                  </w:pPr>
                  <w:r>
                    <w:rPr>
                      <w:rFonts w:hint="eastAsia"/>
                      <w:color w:val="auto"/>
                    </w:rPr>
                    <w:t>淮远河</w:t>
                  </w:r>
                </w:p>
              </w:tc>
              <w:tc>
                <w:tcPr>
                  <w:tcW w:w="1298" w:type="dxa"/>
                  <w:vAlign w:val="center"/>
                </w:tcPr>
                <w:p>
                  <w:pPr>
                    <w:pStyle w:val="164"/>
                    <w:rPr>
                      <w:color w:val="auto"/>
                    </w:rPr>
                  </w:pPr>
                  <w:r>
                    <w:rPr>
                      <w:rFonts w:hint="eastAsia"/>
                      <w:color w:val="auto"/>
                    </w:rPr>
                    <w:t>IV类水域</w:t>
                  </w:r>
                </w:p>
              </w:tc>
              <w:tc>
                <w:tcPr>
                  <w:tcW w:w="1241" w:type="dxa"/>
                  <w:vAlign w:val="center"/>
                </w:tcPr>
                <w:p>
                  <w:pPr>
                    <w:pStyle w:val="164"/>
                    <w:rPr>
                      <w:color w:val="auto"/>
                    </w:rPr>
                  </w:pPr>
                  <w:r>
                    <w:rPr>
                      <w:rFonts w:hint="eastAsia"/>
                      <w:color w:val="auto"/>
                    </w:rPr>
                    <w:t>IV类水域</w:t>
                  </w:r>
                </w:p>
              </w:tc>
              <w:tc>
                <w:tcPr>
                  <w:tcW w:w="1395" w:type="dxa"/>
                  <w:vAlign w:val="center"/>
                </w:tcPr>
                <w:p>
                  <w:pPr>
                    <w:pStyle w:val="164"/>
                    <w:rPr>
                      <w:color w:val="auto"/>
                    </w:rPr>
                  </w:pPr>
                  <w:r>
                    <w:rPr>
                      <w:rFonts w:hint="eastAsia"/>
                      <w:color w:val="auto"/>
                    </w:rPr>
                    <w:t>IV</w:t>
                  </w:r>
                </w:p>
              </w:tc>
              <w:tc>
                <w:tcPr>
                  <w:tcW w:w="1300" w:type="dxa"/>
                  <w:vAlign w:val="center"/>
                </w:tcPr>
                <w:p>
                  <w:pPr>
                    <w:pStyle w:val="164"/>
                    <w:rPr>
                      <w:color w:val="auto"/>
                    </w:rPr>
                  </w:pPr>
                  <w:r>
                    <w:rPr>
                      <w:rFonts w:hint="eastAsia"/>
                      <w:color w:val="auto"/>
                    </w:rPr>
                    <w:t>S</w:t>
                  </w:r>
                </w:p>
              </w:tc>
              <w:tc>
                <w:tcPr>
                  <w:tcW w:w="1252" w:type="dxa"/>
                  <w:vAlign w:val="center"/>
                </w:tcPr>
                <w:p>
                  <w:pPr>
                    <w:pStyle w:val="164"/>
                    <w:rPr>
                      <w:color w:val="auto"/>
                    </w:rPr>
                  </w:pPr>
                  <w:r>
                    <w:rPr>
                      <w:rFonts w:hint="eastAsia"/>
                      <w:color w:val="auto"/>
                    </w:rPr>
                    <w:t>2000</w:t>
                  </w:r>
                </w:p>
              </w:tc>
            </w:tr>
          </w:tbl>
          <w:p>
            <w:pPr>
              <w:pStyle w:val="164"/>
              <w:rPr>
                <w:color w:val="FF0000"/>
              </w:rPr>
            </w:pPr>
          </w:p>
          <w:p>
            <w:pPr>
              <w:pStyle w:val="6"/>
              <w:rPr>
                <w:rFonts w:ascii="宋体" w:hAnsi="宋体" w:cs="宋体"/>
              </w:rPr>
            </w:pPr>
            <w:r>
              <w:rPr>
                <w:rFonts w:hint="eastAsia" w:ascii="宋体" w:hAnsi="宋体" w:cs="宋体"/>
              </w:rPr>
              <w:t>3.6.4  地下水环境</w:t>
            </w:r>
          </w:p>
          <w:p>
            <w:pPr>
              <w:pStyle w:val="160"/>
              <w:ind w:firstLine="480"/>
            </w:pPr>
            <w:r>
              <w:rPr>
                <w:rFonts w:hint="eastAsia" w:ascii="宋体" w:hAnsi="宋体" w:cs="宋体"/>
              </w:rPr>
              <w:t>根据调查，企业周边500m范围内不存在地下水集中式饮用水水源和热水、矿泉水、温泉等特殊地下水资源。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800" w:type="dxa"/>
            <w:tcMar>
              <w:left w:w="28" w:type="dxa"/>
              <w:right w:w="28" w:type="dxa"/>
            </w:tcMar>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污染</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物排</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放控</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制标</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准</w:t>
            </w:r>
          </w:p>
        </w:tc>
        <w:tc>
          <w:tcPr>
            <w:tcW w:w="8190" w:type="dxa"/>
            <w:vAlign w:val="center"/>
          </w:tcPr>
          <w:p>
            <w:pPr>
              <w:pStyle w:val="4"/>
              <w:keepNext w:val="0"/>
              <w:keepLines w:val="0"/>
              <w:snapToGrid w:val="0"/>
              <w:rPr>
                <w:rFonts w:ascii="宋体" w:hAnsi="宋体"/>
              </w:rPr>
            </w:pPr>
            <w:r>
              <w:rPr>
                <w:rFonts w:hint="eastAsia" w:ascii="宋体" w:hAnsi="宋体"/>
              </w:rPr>
              <w:t>3.7污染物排放控制标准</w:t>
            </w:r>
          </w:p>
          <w:p>
            <w:pPr>
              <w:pStyle w:val="5"/>
              <w:keepNext w:val="0"/>
              <w:keepLines w:val="0"/>
              <w:snapToGrid w:val="0"/>
              <w:rPr>
                <w:rFonts w:ascii="宋体" w:hAnsi="宋体"/>
              </w:rPr>
            </w:pPr>
            <w:r>
              <w:rPr>
                <w:rFonts w:hint="eastAsia" w:ascii="宋体" w:hAnsi="宋体"/>
              </w:rPr>
              <w:t>3.7.1废气</w:t>
            </w:r>
          </w:p>
          <w:p>
            <w:pPr>
              <w:pStyle w:val="160"/>
              <w:ind w:firstLine="480"/>
            </w:pPr>
            <w:r>
              <w:rPr>
                <w:rFonts w:hint="eastAsia"/>
              </w:rPr>
              <w:t>铜梁区为其他区域，其污染物排放标准按其他区域执行。</w:t>
            </w:r>
          </w:p>
          <w:p>
            <w:pPr>
              <w:pStyle w:val="160"/>
              <w:ind w:firstLine="480"/>
            </w:pPr>
            <w:r>
              <w:rPr>
                <w:rFonts w:hint="eastAsia"/>
              </w:rPr>
              <w:t>扩建项目位于重庆市铜梁工业园姜家岩片区，扩建项目开料粉尘、裁边粉尘、砂光粉尘、喷漆颗粒物、非甲烷总烃、V</w:t>
            </w:r>
            <w:r>
              <w:t>OC</w:t>
            </w:r>
            <w:r>
              <w:rPr>
                <w:rFonts w:hint="eastAsia"/>
              </w:rPr>
              <w:t>s、甲苯及二甲苯合计、苯系物执行重庆市《家具制造业大气污染物排放标准》（DB50/757-2017）中表2其他区域相关标准要求。</w:t>
            </w:r>
            <w:r>
              <w:t>具体数值见</w:t>
            </w:r>
            <w:r>
              <w:fldChar w:fldCharType="begin"/>
            </w:r>
            <w:r>
              <w:instrText xml:space="preserve"> REF _Ref82520096 \h  \* MERGEFORMAT </w:instrText>
            </w:r>
            <w:r>
              <w:fldChar w:fldCharType="separate"/>
            </w:r>
            <w:r>
              <w:rPr>
                <w:rFonts w:hint="eastAsia"/>
              </w:rPr>
              <w:t>表</w:t>
            </w:r>
            <w:r>
              <w:t>3.7</w:t>
            </w:r>
            <w:r>
              <w:noBreakHyphen/>
            </w:r>
            <w:r>
              <w:t>1</w:t>
            </w:r>
            <w:r>
              <w:fldChar w:fldCharType="end"/>
            </w:r>
            <w:r>
              <w:rPr>
                <w:rFonts w:hint="eastAsia"/>
              </w:rPr>
              <w:t>、</w:t>
            </w:r>
            <w:r>
              <w:fldChar w:fldCharType="begin"/>
            </w:r>
            <w:r>
              <w:instrText xml:space="preserve">REF _Ref82520119 \h  \* MERGEFORMAT </w:instrText>
            </w:r>
            <w:r>
              <w:fldChar w:fldCharType="separate"/>
            </w:r>
            <w:r>
              <w:rPr>
                <w:rFonts w:hint="eastAsia"/>
              </w:rPr>
              <w:t>表</w:t>
            </w:r>
            <w:r>
              <w:t>3.7</w:t>
            </w:r>
            <w:r>
              <w:noBreakHyphen/>
            </w:r>
            <w:r>
              <w:t>2</w:t>
            </w:r>
            <w:r>
              <w:fldChar w:fldCharType="end"/>
            </w:r>
            <w:r>
              <w:t>。</w:t>
            </w:r>
          </w:p>
          <w:p>
            <w:pPr>
              <w:pStyle w:val="160"/>
              <w:ind w:firstLine="480"/>
              <w:rPr>
                <w:rFonts w:ascii="宋体" w:hAnsi="宋体" w:cs="宋体"/>
              </w:rPr>
            </w:pPr>
            <w:r>
              <w:rPr>
                <w:rFonts w:hint="eastAsia" w:ascii="宋体" w:hAnsi="宋体" w:cs="宋体"/>
              </w:rPr>
              <w:t>营运期食堂所产生的油烟、非甲烷总烃执行重庆市地方标准《餐饮业大气污染物排放标准》（DB50/859-2018），厂房外监控点执行《挥发性有机物无组织排放控制标准》（GB37822-2019）厂房外无组织排放限值中的特别排放限值。标准限值详见表3.7-1至3.7-6。</w:t>
            </w:r>
          </w:p>
          <w:p>
            <w:pPr>
              <w:pStyle w:val="164"/>
            </w:pPr>
          </w:p>
          <w:p>
            <w:pPr>
              <w:pStyle w:val="164"/>
            </w:pPr>
          </w:p>
          <w:p>
            <w:pPr>
              <w:pStyle w:val="164"/>
            </w:pPr>
            <w:r>
              <w:rPr>
                <w:rFonts w:hint="eastAsia"/>
              </w:rPr>
              <w:t>表</w:t>
            </w:r>
            <w:r>
              <w:fldChar w:fldCharType="begin"/>
            </w:r>
            <w:r>
              <w:rPr>
                <w:rFonts w:hint="eastAsia"/>
              </w:rPr>
              <w:instrText xml:space="preserve">STYLEREF 2 \s</w:instrText>
            </w:r>
            <w:r>
              <w:fldChar w:fldCharType="separate"/>
            </w:r>
            <w:r>
              <w:t>3.7</w:t>
            </w:r>
            <w:r>
              <w:fldChar w:fldCharType="end"/>
            </w:r>
            <w:r>
              <w:noBreakHyphen/>
            </w:r>
            <w:r>
              <w:fldChar w:fldCharType="begin"/>
            </w:r>
            <w:r>
              <w:rPr>
                <w:rFonts w:hint="eastAsia"/>
              </w:rPr>
              <w:instrText xml:space="preserve">SEQ 表 \* ARABIC \s 2</w:instrText>
            </w:r>
            <w:r>
              <w:fldChar w:fldCharType="separate"/>
            </w:r>
            <w:r>
              <w:t>1</w:t>
            </w:r>
            <w:r>
              <w:fldChar w:fldCharType="end"/>
            </w:r>
            <w:r>
              <w:rPr>
                <w:rFonts w:hint="eastAsia"/>
              </w:rPr>
              <w:t xml:space="preserve">  废气执行标准汇总表</w:t>
            </w:r>
          </w:p>
          <w:tbl>
            <w:tblPr>
              <w:tblStyle w:val="162"/>
              <w:tblW w:w="793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26"/>
              <w:gridCol w:w="3027"/>
              <w:gridCol w:w="1065"/>
              <w:gridCol w:w="24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rPr>
                      <w:b w:val="0"/>
                    </w:rPr>
                  </w:pPr>
                  <w:bookmarkStart w:id="31" w:name="_Ref82520096"/>
                  <w:r>
                    <w:rPr>
                      <w:rFonts w:hint="eastAsia"/>
                      <w:b w:val="0"/>
                    </w:rPr>
                    <w:t>污染源</w:t>
                  </w:r>
                </w:p>
              </w:tc>
              <w:tc>
                <w:tcPr>
                  <w:tcW w:w="3027" w:type="dxa"/>
                  <w:shd w:val="clear" w:color="auto" w:fill="auto"/>
                  <w:noWrap/>
                  <w:vAlign w:val="center"/>
                </w:tcPr>
                <w:p>
                  <w:pPr>
                    <w:pStyle w:val="164"/>
                    <w:rPr>
                      <w:b w:val="0"/>
                    </w:rPr>
                  </w:pPr>
                  <w:r>
                    <w:rPr>
                      <w:rFonts w:hint="eastAsia"/>
                      <w:b w:val="0"/>
                    </w:rPr>
                    <w:t>主要污染物</w:t>
                  </w:r>
                </w:p>
              </w:tc>
              <w:tc>
                <w:tcPr>
                  <w:tcW w:w="1065" w:type="dxa"/>
                  <w:shd w:val="clear" w:color="auto" w:fill="auto"/>
                  <w:vAlign w:val="center"/>
                </w:tcPr>
                <w:p>
                  <w:pPr>
                    <w:pStyle w:val="164"/>
                    <w:rPr>
                      <w:b w:val="0"/>
                    </w:rPr>
                  </w:pPr>
                  <w:r>
                    <w:rPr>
                      <w:rFonts w:hint="eastAsia"/>
                      <w:b w:val="0"/>
                    </w:rPr>
                    <w:t>排放口编号</w:t>
                  </w:r>
                </w:p>
              </w:tc>
              <w:tc>
                <w:tcPr>
                  <w:tcW w:w="2420" w:type="dxa"/>
                  <w:shd w:val="clear" w:color="auto" w:fill="auto"/>
                  <w:vAlign w:val="center"/>
                </w:tcPr>
                <w:p>
                  <w:pPr>
                    <w:pStyle w:val="164"/>
                    <w:rPr>
                      <w:b w:val="0"/>
                    </w:rPr>
                  </w:pPr>
                  <w:r>
                    <w:rPr>
                      <w:rFonts w:hint="eastAsia"/>
                      <w:b w:val="0"/>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新增木工车间废气</w:t>
                  </w:r>
                </w:p>
              </w:tc>
              <w:tc>
                <w:tcPr>
                  <w:tcW w:w="3027" w:type="dxa"/>
                  <w:shd w:val="clear" w:color="auto" w:fill="auto"/>
                  <w:noWrap/>
                  <w:vAlign w:val="center"/>
                </w:tcPr>
                <w:p>
                  <w:pPr>
                    <w:pStyle w:val="164"/>
                  </w:pPr>
                  <w:r>
                    <w:rPr>
                      <w:rFonts w:hint="eastAsia"/>
                    </w:rPr>
                    <w:t>颗粒物</w:t>
                  </w:r>
                </w:p>
              </w:tc>
              <w:tc>
                <w:tcPr>
                  <w:tcW w:w="1065" w:type="dxa"/>
                  <w:shd w:val="clear" w:color="auto" w:fill="auto"/>
                  <w:vAlign w:val="center"/>
                </w:tcPr>
                <w:p>
                  <w:pPr>
                    <w:pStyle w:val="164"/>
                  </w:pPr>
                  <w:r>
                    <w:rPr>
                      <w:rFonts w:hint="eastAsia"/>
                    </w:rPr>
                    <w:t>DA009</w:t>
                  </w:r>
                </w:p>
              </w:tc>
              <w:tc>
                <w:tcPr>
                  <w:tcW w:w="2420" w:type="dxa"/>
                  <w:vMerge w:val="restart"/>
                  <w:shd w:val="clear" w:color="auto" w:fill="auto"/>
                  <w:vAlign w:val="center"/>
                </w:tcPr>
                <w:p>
                  <w:pPr>
                    <w:pStyle w:val="164"/>
                  </w:pPr>
                  <w:r>
                    <w:rPr>
                      <w:rFonts w:hint="eastAsia"/>
                    </w:rPr>
                    <w:t>《家具制造业大气污染物排放标准》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1#线及UV线涂装废气</w:t>
                  </w:r>
                </w:p>
              </w:tc>
              <w:tc>
                <w:tcPr>
                  <w:tcW w:w="3027" w:type="dxa"/>
                  <w:shd w:val="clear" w:color="auto" w:fill="auto"/>
                  <w:noWrap/>
                  <w:vAlign w:val="center"/>
                </w:tcPr>
                <w:p>
                  <w:pPr>
                    <w:pStyle w:val="164"/>
                  </w:pPr>
                  <w:r>
                    <w:rPr>
                      <w:rFonts w:hint="eastAsia"/>
                    </w:rPr>
                    <w:t>颗粒物、非甲烷总烃、VOCs、甲苯+二甲苯合计、苯系物</w:t>
                  </w:r>
                </w:p>
              </w:tc>
              <w:tc>
                <w:tcPr>
                  <w:tcW w:w="1065" w:type="dxa"/>
                  <w:shd w:val="clear" w:color="auto" w:fill="auto"/>
                  <w:vAlign w:val="center"/>
                </w:tcPr>
                <w:p>
                  <w:pPr>
                    <w:pStyle w:val="164"/>
                  </w:pPr>
                  <w:r>
                    <w:rPr>
                      <w:rFonts w:hint="eastAsia"/>
                    </w:rPr>
                    <w:t>DA001</w:t>
                  </w:r>
                </w:p>
              </w:tc>
              <w:tc>
                <w:tcPr>
                  <w:tcW w:w="2420"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2#线涂装废气</w:t>
                  </w:r>
                </w:p>
              </w:tc>
              <w:tc>
                <w:tcPr>
                  <w:tcW w:w="3027" w:type="dxa"/>
                  <w:shd w:val="clear" w:color="auto" w:fill="auto"/>
                  <w:noWrap/>
                  <w:vAlign w:val="center"/>
                </w:tcPr>
                <w:p>
                  <w:pPr>
                    <w:pStyle w:val="164"/>
                  </w:pPr>
                  <w:r>
                    <w:rPr>
                      <w:rFonts w:hint="eastAsia"/>
                    </w:rPr>
                    <w:t>颗粒物、非甲烷总烃、VOCs、甲苯+二甲苯合计、苯系物</w:t>
                  </w:r>
                </w:p>
              </w:tc>
              <w:tc>
                <w:tcPr>
                  <w:tcW w:w="1065" w:type="dxa"/>
                  <w:shd w:val="clear" w:color="auto" w:fill="auto"/>
                  <w:vAlign w:val="center"/>
                </w:tcPr>
                <w:p>
                  <w:pPr>
                    <w:pStyle w:val="164"/>
                  </w:pPr>
                  <w:r>
                    <w:rPr>
                      <w:rFonts w:hint="eastAsia"/>
                    </w:rPr>
                    <w:t>DA002</w:t>
                  </w:r>
                </w:p>
              </w:tc>
              <w:tc>
                <w:tcPr>
                  <w:tcW w:w="2420"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3#线涂装废气</w:t>
                  </w:r>
                </w:p>
              </w:tc>
              <w:tc>
                <w:tcPr>
                  <w:tcW w:w="3027" w:type="dxa"/>
                  <w:shd w:val="clear" w:color="auto" w:fill="auto"/>
                  <w:noWrap/>
                  <w:vAlign w:val="center"/>
                </w:tcPr>
                <w:p>
                  <w:pPr>
                    <w:pStyle w:val="164"/>
                  </w:pPr>
                  <w:r>
                    <w:rPr>
                      <w:rFonts w:hint="eastAsia"/>
                    </w:rPr>
                    <w:t>颗粒物、非甲烷总烃、VOCs</w:t>
                  </w:r>
                </w:p>
              </w:tc>
              <w:tc>
                <w:tcPr>
                  <w:tcW w:w="1065" w:type="dxa"/>
                  <w:shd w:val="clear" w:color="auto" w:fill="auto"/>
                  <w:vAlign w:val="center"/>
                </w:tcPr>
                <w:p>
                  <w:pPr>
                    <w:pStyle w:val="164"/>
                  </w:pPr>
                  <w:r>
                    <w:rPr>
                      <w:rFonts w:hint="eastAsia"/>
                    </w:rPr>
                    <w:t>DA007</w:t>
                  </w:r>
                </w:p>
              </w:tc>
              <w:tc>
                <w:tcPr>
                  <w:tcW w:w="2420"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水性漆涂装废气</w:t>
                  </w:r>
                </w:p>
              </w:tc>
              <w:tc>
                <w:tcPr>
                  <w:tcW w:w="3027" w:type="dxa"/>
                  <w:shd w:val="clear" w:color="auto" w:fill="auto"/>
                  <w:noWrap/>
                  <w:vAlign w:val="center"/>
                </w:tcPr>
                <w:p>
                  <w:pPr>
                    <w:pStyle w:val="164"/>
                  </w:pPr>
                  <w:r>
                    <w:rPr>
                      <w:rFonts w:hint="eastAsia"/>
                    </w:rPr>
                    <w:t>颗粒物、非甲烷总烃、VOCs</w:t>
                  </w:r>
                </w:p>
              </w:tc>
              <w:tc>
                <w:tcPr>
                  <w:tcW w:w="1065" w:type="dxa"/>
                  <w:shd w:val="clear" w:color="auto" w:fill="auto"/>
                  <w:vAlign w:val="center"/>
                </w:tcPr>
                <w:p>
                  <w:pPr>
                    <w:pStyle w:val="164"/>
                  </w:pPr>
                  <w:r>
                    <w:rPr>
                      <w:rFonts w:hint="eastAsia"/>
                    </w:rPr>
                    <w:t>DA008</w:t>
                  </w:r>
                </w:p>
              </w:tc>
              <w:tc>
                <w:tcPr>
                  <w:tcW w:w="2420"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拼板废气（G2）、封边废气（G18）</w:t>
                  </w:r>
                </w:p>
              </w:tc>
              <w:tc>
                <w:tcPr>
                  <w:tcW w:w="3027" w:type="dxa"/>
                  <w:shd w:val="clear" w:color="auto" w:fill="auto"/>
                  <w:noWrap/>
                  <w:vAlign w:val="center"/>
                </w:tcPr>
                <w:p>
                  <w:pPr>
                    <w:pStyle w:val="164"/>
                  </w:pPr>
                  <w:r>
                    <w:rPr>
                      <w:rFonts w:hint="eastAsia"/>
                    </w:rPr>
                    <w:t>非甲烷总烃、VOCs</w:t>
                  </w:r>
                </w:p>
              </w:tc>
              <w:tc>
                <w:tcPr>
                  <w:tcW w:w="1065" w:type="dxa"/>
                  <w:shd w:val="clear" w:color="auto" w:fill="auto"/>
                  <w:vAlign w:val="center"/>
                </w:tcPr>
                <w:p>
                  <w:pPr>
                    <w:pStyle w:val="164"/>
                  </w:pPr>
                  <w:r>
                    <w:rPr>
                      <w:rFonts w:hint="eastAsia"/>
                    </w:rPr>
                    <w:t>无组织</w:t>
                  </w:r>
                </w:p>
              </w:tc>
              <w:tc>
                <w:tcPr>
                  <w:tcW w:w="2420" w:type="dxa"/>
                  <w:shd w:val="clear" w:color="auto" w:fill="auto"/>
                  <w:vAlign w:val="center"/>
                </w:tcPr>
                <w:p>
                  <w:pPr>
                    <w:pStyle w:val="164"/>
                  </w:pPr>
                  <w:r>
                    <w:rPr>
                      <w:rFonts w:hint="eastAsia"/>
                    </w:rPr>
                    <w:t>《家具制造业大气污染物排放标准》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食堂油烟（G20）</w:t>
                  </w:r>
                </w:p>
              </w:tc>
              <w:tc>
                <w:tcPr>
                  <w:tcW w:w="3027" w:type="dxa"/>
                  <w:shd w:val="clear" w:color="auto" w:fill="auto"/>
                  <w:noWrap/>
                  <w:vAlign w:val="center"/>
                </w:tcPr>
                <w:p>
                  <w:pPr>
                    <w:pStyle w:val="164"/>
                  </w:pPr>
                  <w:r>
                    <w:rPr>
                      <w:rFonts w:hint="eastAsia"/>
                    </w:rPr>
                    <w:t>油烟、非甲烷总烃</w:t>
                  </w:r>
                </w:p>
              </w:tc>
              <w:tc>
                <w:tcPr>
                  <w:tcW w:w="1065" w:type="dxa"/>
                  <w:shd w:val="clear" w:color="auto" w:fill="auto"/>
                  <w:vAlign w:val="center"/>
                </w:tcPr>
                <w:p>
                  <w:pPr>
                    <w:pStyle w:val="164"/>
                  </w:pPr>
                  <w:r>
                    <w:rPr>
                      <w:rFonts w:hint="eastAsia"/>
                    </w:rPr>
                    <w:t>DA010</w:t>
                  </w:r>
                </w:p>
              </w:tc>
              <w:tc>
                <w:tcPr>
                  <w:tcW w:w="2420" w:type="dxa"/>
                  <w:shd w:val="clear" w:color="auto" w:fill="auto"/>
                  <w:vAlign w:val="center"/>
                </w:tcPr>
                <w:p>
                  <w:pPr>
                    <w:pStyle w:val="164"/>
                  </w:pPr>
                  <w:r>
                    <w:rPr>
                      <w:rFonts w:hint="eastAsia"/>
                    </w:rPr>
                    <w:t>《餐饮业大气污染物排放标准》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426" w:type="dxa"/>
                  <w:shd w:val="clear" w:color="auto" w:fill="auto"/>
                  <w:noWrap/>
                  <w:vAlign w:val="center"/>
                </w:tcPr>
                <w:p>
                  <w:pPr>
                    <w:pStyle w:val="164"/>
                  </w:pPr>
                  <w:r>
                    <w:rPr>
                      <w:rFonts w:hint="eastAsia"/>
                    </w:rPr>
                    <w:t>厂房外无组织</w:t>
                  </w:r>
                </w:p>
              </w:tc>
              <w:tc>
                <w:tcPr>
                  <w:tcW w:w="3027" w:type="dxa"/>
                  <w:shd w:val="clear" w:color="auto" w:fill="auto"/>
                  <w:noWrap/>
                  <w:vAlign w:val="center"/>
                </w:tcPr>
                <w:p>
                  <w:pPr>
                    <w:pStyle w:val="164"/>
                  </w:pPr>
                  <w:r>
                    <w:rPr>
                      <w:rFonts w:hint="eastAsia"/>
                    </w:rPr>
                    <w:t>非甲烷总烃</w:t>
                  </w:r>
                </w:p>
              </w:tc>
              <w:tc>
                <w:tcPr>
                  <w:tcW w:w="1065" w:type="dxa"/>
                  <w:shd w:val="clear" w:color="auto" w:fill="auto"/>
                  <w:vAlign w:val="center"/>
                </w:tcPr>
                <w:p>
                  <w:pPr>
                    <w:pStyle w:val="164"/>
                  </w:pPr>
                  <w:r>
                    <w:rPr>
                      <w:rFonts w:hint="eastAsia"/>
                    </w:rPr>
                    <w:t>/</w:t>
                  </w:r>
                </w:p>
              </w:tc>
              <w:tc>
                <w:tcPr>
                  <w:tcW w:w="2420" w:type="dxa"/>
                  <w:shd w:val="clear" w:color="auto" w:fill="auto"/>
                  <w:vAlign w:val="center"/>
                </w:tcPr>
                <w:p>
                  <w:pPr>
                    <w:pStyle w:val="164"/>
                  </w:pPr>
                  <w:r>
                    <w:rPr>
                      <w:rFonts w:hint="eastAsia"/>
                    </w:rPr>
                    <w:t>《挥发性有机物无组织排放控制标准》</w:t>
                  </w:r>
                </w:p>
              </w:tc>
            </w:tr>
          </w:tbl>
          <w:p>
            <w:pPr>
              <w:pStyle w:val="164"/>
            </w:pPr>
          </w:p>
          <w:p>
            <w:pPr>
              <w:pStyle w:val="164"/>
            </w:pPr>
            <w:r>
              <w:rPr>
                <w:rFonts w:hint="eastAsia"/>
              </w:rPr>
              <w:t>表</w:t>
            </w:r>
            <w:r>
              <w:fldChar w:fldCharType="begin"/>
            </w:r>
            <w:r>
              <w:rPr>
                <w:rFonts w:hint="eastAsia"/>
              </w:rPr>
              <w:instrText xml:space="preserve">STYLEREF 2 \s</w:instrText>
            </w:r>
            <w:r>
              <w:fldChar w:fldCharType="separate"/>
            </w:r>
            <w:r>
              <w:t>3.7</w:t>
            </w:r>
            <w:r>
              <w:fldChar w:fldCharType="end"/>
            </w:r>
            <w:r>
              <w:noBreakHyphen/>
            </w:r>
            <w:bookmarkEnd w:id="31"/>
            <w:r>
              <w:rPr>
                <w:rFonts w:hint="eastAsia"/>
              </w:rPr>
              <w:t>2重庆市《家具制造业大气污染物排放标准》（DB50/757-2017）</w:t>
            </w:r>
          </w:p>
          <w:tbl>
            <w:tblPr>
              <w:tblStyle w:val="162"/>
              <w:tblW w:w="793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13"/>
              <w:gridCol w:w="1190"/>
              <w:gridCol w:w="1203"/>
              <w:gridCol w:w="800"/>
              <w:gridCol w:w="1163"/>
              <w:gridCol w:w="1117"/>
              <w:gridCol w:w="19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3" w:type="dxa"/>
                  <w:vMerge w:val="restart"/>
                  <w:shd w:val="clear" w:color="auto" w:fill="auto"/>
                  <w:vAlign w:val="center"/>
                </w:tcPr>
                <w:p>
                  <w:pPr>
                    <w:pStyle w:val="164"/>
                    <w:rPr>
                      <w:b w:val="0"/>
                    </w:rPr>
                  </w:pPr>
                  <w:r>
                    <w:rPr>
                      <w:b w:val="0"/>
                    </w:rPr>
                    <w:t>序号</w:t>
                  </w:r>
                </w:p>
              </w:tc>
              <w:tc>
                <w:tcPr>
                  <w:tcW w:w="1190" w:type="dxa"/>
                  <w:vMerge w:val="restart"/>
                  <w:shd w:val="clear" w:color="auto" w:fill="auto"/>
                  <w:vAlign w:val="center"/>
                </w:tcPr>
                <w:p>
                  <w:pPr>
                    <w:pStyle w:val="164"/>
                    <w:rPr>
                      <w:b w:val="0"/>
                    </w:rPr>
                  </w:pPr>
                  <w:r>
                    <w:rPr>
                      <w:b w:val="0"/>
                    </w:rPr>
                    <w:t>污染物扩建项目</w:t>
                  </w:r>
                </w:p>
              </w:tc>
              <w:tc>
                <w:tcPr>
                  <w:tcW w:w="1203" w:type="dxa"/>
                  <w:vMerge w:val="restart"/>
                  <w:shd w:val="clear" w:color="auto" w:fill="auto"/>
                  <w:vAlign w:val="center"/>
                </w:tcPr>
                <w:p>
                  <w:pPr>
                    <w:pStyle w:val="164"/>
                    <w:rPr>
                      <w:b w:val="0"/>
                    </w:rPr>
                  </w:pPr>
                  <w:r>
                    <w:rPr>
                      <w:b w:val="0"/>
                    </w:rPr>
                    <w:t>大气污染物最高允许排放浓度</w:t>
                  </w:r>
                  <w:r>
                    <w:rPr>
                      <w:rFonts w:hint="eastAsia"/>
                      <w:b w:val="0"/>
                    </w:rPr>
                    <w:t>（</w:t>
                  </w:r>
                  <w:r>
                    <w:rPr>
                      <w:b w:val="0"/>
                    </w:rPr>
                    <w:t>mg/m</w:t>
                  </w:r>
                  <w:r>
                    <w:rPr>
                      <w:b w:val="0"/>
                      <w:vertAlign w:val="superscript"/>
                    </w:rPr>
                    <w:t>3</w:t>
                  </w:r>
                  <w:r>
                    <w:rPr>
                      <w:rFonts w:hint="eastAsia"/>
                      <w:b w:val="0"/>
                    </w:rPr>
                    <w:t>）</w:t>
                  </w:r>
                </w:p>
              </w:tc>
              <w:tc>
                <w:tcPr>
                  <w:tcW w:w="1963" w:type="dxa"/>
                  <w:gridSpan w:val="2"/>
                  <w:shd w:val="clear" w:color="auto" w:fill="auto"/>
                  <w:vAlign w:val="center"/>
                </w:tcPr>
                <w:p>
                  <w:pPr>
                    <w:pStyle w:val="164"/>
                    <w:rPr>
                      <w:b w:val="0"/>
                    </w:rPr>
                  </w:pPr>
                  <w:r>
                    <w:rPr>
                      <w:b w:val="0"/>
                    </w:rPr>
                    <w:t>最高允许排放速率</w:t>
                  </w:r>
                </w:p>
              </w:tc>
              <w:tc>
                <w:tcPr>
                  <w:tcW w:w="1117" w:type="dxa"/>
                  <w:vMerge w:val="restart"/>
                  <w:shd w:val="clear" w:color="auto" w:fill="auto"/>
                  <w:vAlign w:val="center"/>
                </w:tcPr>
                <w:p>
                  <w:pPr>
                    <w:pStyle w:val="164"/>
                    <w:rPr>
                      <w:b w:val="0"/>
                    </w:rPr>
                  </w:pPr>
                  <w:r>
                    <w:rPr>
                      <w:b w:val="0"/>
                    </w:rPr>
                    <w:t>无组织排放监控点浓度限值</w:t>
                  </w:r>
                  <w:r>
                    <w:rPr>
                      <w:rFonts w:hint="eastAsia"/>
                      <w:b w:val="0"/>
                    </w:rPr>
                    <w:t>（</w:t>
                  </w:r>
                  <w:r>
                    <w:rPr>
                      <w:b w:val="0"/>
                    </w:rPr>
                    <w:t>mg/m</w:t>
                  </w:r>
                  <w:r>
                    <w:rPr>
                      <w:b w:val="0"/>
                      <w:vertAlign w:val="superscript"/>
                    </w:rPr>
                    <w:t>3</w:t>
                  </w:r>
                  <w:r>
                    <w:rPr>
                      <w:rFonts w:hint="eastAsia"/>
                      <w:b w:val="0"/>
                    </w:rPr>
                    <w:t>）</w:t>
                  </w:r>
                </w:p>
              </w:tc>
              <w:tc>
                <w:tcPr>
                  <w:tcW w:w="1952" w:type="dxa"/>
                  <w:vMerge w:val="restart"/>
                  <w:shd w:val="clear" w:color="auto" w:fill="auto"/>
                  <w:vAlign w:val="center"/>
                </w:tcPr>
                <w:p>
                  <w:pPr>
                    <w:pStyle w:val="164"/>
                    <w:rPr>
                      <w:b w:val="0"/>
                    </w:rPr>
                  </w:pPr>
                  <w:r>
                    <w:rPr>
                      <w:b w:val="0"/>
                    </w:rPr>
                    <w:t>排放标准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3" w:type="dxa"/>
                  <w:vMerge w:val="continue"/>
                  <w:shd w:val="clear" w:color="auto" w:fill="auto"/>
                  <w:vAlign w:val="center"/>
                </w:tcPr>
                <w:p>
                  <w:pPr>
                    <w:pStyle w:val="164"/>
                  </w:pPr>
                </w:p>
              </w:tc>
              <w:tc>
                <w:tcPr>
                  <w:tcW w:w="1190" w:type="dxa"/>
                  <w:vMerge w:val="continue"/>
                  <w:shd w:val="clear" w:color="auto" w:fill="auto"/>
                  <w:vAlign w:val="center"/>
                </w:tcPr>
                <w:p>
                  <w:pPr>
                    <w:pStyle w:val="164"/>
                  </w:pPr>
                </w:p>
              </w:tc>
              <w:tc>
                <w:tcPr>
                  <w:tcW w:w="1203" w:type="dxa"/>
                  <w:vMerge w:val="continue"/>
                  <w:shd w:val="clear" w:color="auto" w:fill="auto"/>
                  <w:vAlign w:val="center"/>
                </w:tcPr>
                <w:p>
                  <w:pPr>
                    <w:pStyle w:val="164"/>
                  </w:pPr>
                </w:p>
              </w:tc>
              <w:tc>
                <w:tcPr>
                  <w:tcW w:w="800" w:type="dxa"/>
                  <w:shd w:val="clear" w:color="auto" w:fill="auto"/>
                  <w:vAlign w:val="center"/>
                </w:tcPr>
                <w:p>
                  <w:pPr>
                    <w:pStyle w:val="164"/>
                    <w:rPr>
                      <w:bCs/>
                    </w:rPr>
                  </w:pPr>
                  <w:r>
                    <w:rPr>
                      <w:bCs/>
                    </w:rPr>
                    <w:t>排气筒（m）</w:t>
                  </w:r>
                </w:p>
              </w:tc>
              <w:tc>
                <w:tcPr>
                  <w:tcW w:w="1163" w:type="dxa"/>
                  <w:shd w:val="clear" w:color="auto" w:fill="auto"/>
                  <w:vAlign w:val="center"/>
                </w:tcPr>
                <w:p>
                  <w:pPr>
                    <w:pStyle w:val="164"/>
                    <w:rPr>
                      <w:bCs/>
                    </w:rPr>
                  </w:pPr>
                  <w:r>
                    <w:rPr>
                      <w:bCs/>
                    </w:rPr>
                    <w:t>最高允许排放速率</w:t>
                  </w:r>
                  <w:r>
                    <w:rPr>
                      <w:rFonts w:hint="eastAsia"/>
                      <w:bCs/>
                    </w:rPr>
                    <w:t>（</w:t>
                  </w:r>
                  <w:r>
                    <w:rPr>
                      <w:bCs/>
                    </w:rPr>
                    <w:t>kg/h）</w:t>
                  </w:r>
                </w:p>
              </w:tc>
              <w:tc>
                <w:tcPr>
                  <w:tcW w:w="1117" w:type="dxa"/>
                  <w:vMerge w:val="continue"/>
                  <w:shd w:val="clear" w:color="auto" w:fill="auto"/>
                  <w:vAlign w:val="center"/>
                </w:tcPr>
                <w:p>
                  <w:pPr>
                    <w:pStyle w:val="164"/>
                  </w:pPr>
                </w:p>
              </w:tc>
              <w:tc>
                <w:tcPr>
                  <w:tcW w:w="195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3" w:type="dxa"/>
                  <w:shd w:val="clear" w:color="auto" w:fill="auto"/>
                  <w:vAlign w:val="center"/>
                </w:tcPr>
                <w:p>
                  <w:pPr>
                    <w:pStyle w:val="152"/>
                    <w:numPr>
                      <w:ilvl w:val="0"/>
                      <w:numId w:val="8"/>
                    </w:numPr>
                    <w:ind w:firstLineChars="0"/>
                    <w:rPr>
                      <w:rFonts w:ascii="Times New Roman" w:hAnsi="Times New Roman" w:eastAsia="宋体"/>
                    </w:rPr>
                  </w:pPr>
                </w:p>
              </w:tc>
              <w:tc>
                <w:tcPr>
                  <w:tcW w:w="1190" w:type="dxa"/>
                  <w:shd w:val="clear" w:color="auto" w:fill="auto"/>
                  <w:vAlign w:val="center"/>
                </w:tcPr>
                <w:p>
                  <w:pPr>
                    <w:pStyle w:val="164"/>
                  </w:pPr>
                  <w:r>
                    <w:t>颗粒物</w:t>
                  </w:r>
                </w:p>
              </w:tc>
              <w:tc>
                <w:tcPr>
                  <w:tcW w:w="1203" w:type="dxa"/>
                  <w:shd w:val="clear" w:color="auto" w:fill="auto"/>
                  <w:vAlign w:val="center"/>
                </w:tcPr>
                <w:p>
                  <w:pPr>
                    <w:pStyle w:val="164"/>
                  </w:pPr>
                  <w:r>
                    <w:rPr>
                      <w:rFonts w:hint="eastAsia"/>
                    </w:rPr>
                    <w:t>100</w:t>
                  </w:r>
                </w:p>
              </w:tc>
              <w:tc>
                <w:tcPr>
                  <w:tcW w:w="800" w:type="dxa"/>
                  <w:shd w:val="clear" w:color="auto" w:fill="auto"/>
                  <w:vAlign w:val="center"/>
                </w:tcPr>
                <w:p>
                  <w:pPr>
                    <w:pStyle w:val="164"/>
                  </w:pPr>
                  <w:r>
                    <w:rPr>
                      <w:rFonts w:hint="eastAsia"/>
                    </w:rPr>
                    <w:t>15</w:t>
                  </w:r>
                </w:p>
              </w:tc>
              <w:tc>
                <w:tcPr>
                  <w:tcW w:w="1163" w:type="dxa"/>
                  <w:shd w:val="clear" w:color="auto" w:fill="auto"/>
                  <w:vAlign w:val="center"/>
                </w:tcPr>
                <w:p>
                  <w:pPr>
                    <w:pStyle w:val="164"/>
                  </w:pPr>
                  <w:r>
                    <w:rPr>
                      <w:rFonts w:hint="eastAsia"/>
                    </w:rPr>
                    <w:t>1.75</w:t>
                  </w:r>
                </w:p>
              </w:tc>
              <w:tc>
                <w:tcPr>
                  <w:tcW w:w="1117" w:type="dxa"/>
                  <w:shd w:val="clear" w:color="auto" w:fill="auto"/>
                  <w:vAlign w:val="center"/>
                </w:tcPr>
                <w:p>
                  <w:pPr>
                    <w:pStyle w:val="164"/>
                  </w:pPr>
                  <w:r>
                    <w:rPr>
                      <w:rFonts w:hint="eastAsia"/>
                    </w:rPr>
                    <w:t>1.0</w:t>
                  </w:r>
                </w:p>
              </w:tc>
              <w:tc>
                <w:tcPr>
                  <w:tcW w:w="1952" w:type="dxa"/>
                  <w:vMerge w:val="restart"/>
                  <w:shd w:val="clear" w:color="auto" w:fill="auto"/>
                  <w:vAlign w:val="center"/>
                </w:tcPr>
                <w:p>
                  <w:pPr>
                    <w:pStyle w:val="164"/>
                  </w:pPr>
                  <w:r>
                    <w:t>重庆市《家具制造业大气污染物排放标准》（DB 50/757-2017）中表2其他区域相关标准要求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3" w:type="dxa"/>
                  <w:shd w:val="clear" w:color="auto" w:fill="auto"/>
                  <w:vAlign w:val="center"/>
                </w:tcPr>
                <w:p>
                  <w:pPr>
                    <w:pStyle w:val="152"/>
                    <w:numPr>
                      <w:ilvl w:val="0"/>
                      <w:numId w:val="8"/>
                    </w:numPr>
                    <w:ind w:firstLineChars="0"/>
                    <w:rPr>
                      <w:rFonts w:ascii="Times New Roman" w:hAnsi="Times New Roman" w:eastAsia="宋体"/>
                    </w:rPr>
                  </w:pPr>
                </w:p>
              </w:tc>
              <w:tc>
                <w:tcPr>
                  <w:tcW w:w="1190" w:type="dxa"/>
                  <w:shd w:val="clear" w:color="auto" w:fill="auto"/>
                  <w:vAlign w:val="center"/>
                </w:tcPr>
                <w:p>
                  <w:pPr>
                    <w:pStyle w:val="164"/>
                  </w:pPr>
                  <w:r>
                    <w:rPr>
                      <w:rFonts w:hint="eastAsia"/>
                    </w:rPr>
                    <w:t>总</w:t>
                  </w:r>
                  <w:r>
                    <w:t>VOCs</w:t>
                  </w:r>
                </w:p>
              </w:tc>
              <w:tc>
                <w:tcPr>
                  <w:tcW w:w="1203" w:type="dxa"/>
                  <w:shd w:val="clear" w:color="auto" w:fill="auto"/>
                  <w:vAlign w:val="center"/>
                </w:tcPr>
                <w:p>
                  <w:pPr>
                    <w:pStyle w:val="164"/>
                  </w:pPr>
                  <w:r>
                    <w:rPr>
                      <w:rFonts w:hint="eastAsia"/>
                    </w:rPr>
                    <w:t>50</w:t>
                  </w:r>
                </w:p>
              </w:tc>
              <w:tc>
                <w:tcPr>
                  <w:tcW w:w="800" w:type="dxa"/>
                  <w:shd w:val="clear" w:color="auto" w:fill="auto"/>
                  <w:vAlign w:val="center"/>
                </w:tcPr>
                <w:p>
                  <w:pPr>
                    <w:pStyle w:val="164"/>
                  </w:pPr>
                  <w:r>
                    <w:rPr>
                      <w:rFonts w:hint="eastAsia"/>
                    </w:rPr>
                    <w:t>15</w:t>
                  </w:r>
                </w:p>
              </w:tc>
              <w:tc>
                <w:tcPr>
                  <w:tcW w:w="1163" w:type="dxa"/>
                  <w:shd w:val="clear" w:color="auto" w:fill="auto"/>
                  <w:vAlign w:val="center"/>
                </w:tcPr>
                <w:p>
                  <w:pPr>
                    <w:pStyle w:val="164"/>
                  </w:pPr>
                  <w:r>
                    <w:rPr>
                      <w:rFonts w:hint="eastAsia"/>
                    </w:rPr>
                    <w:t>4.32</w:t>
                  </w:r>
                </w:p>
              </w:tc>
              <w:tc>
                <w:tcPr>
                  <w:tcW w:w="1117" w:type="dxa"/>
                  <w:shd w:val="clear" w:color="auto" w:fill="auto"/>
                  <w:vAlign w:val="center"/>
                </w:tcPr>
                <w:p>
                  <w:pPr>
                    <w:pStyle w:val="164"/>
                  </w:pPr>
                  <w:r>
                    <w:rPr>
                      <w:rFonts w:hint="eastAsia"/>
                    </w:rPr>
                    <w:t>6.0</w:t>
                  </w:r>
                </w:p>
              </w:tc>
              <w:tc>
                <w:tcPr>
                  <w:tcW w:w="195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3" w:type="dxa"/>
                  <w:shd w:val="clear" w:color="auto" w:fill="auto"/>
                  <w:vAlign w:val="center"/>
                </w:tcPr>
                <w:p>
                  <w:pPr>
                    <w:pStyle w:val="152"/>
                    <w:numPr>
                      <w:ilvl w:val="0"/>
                      <w:numId w:val="8"/>
                    </w:numPr>
                    <w:ind w:firstLineChars="0"/>
                    <w:rPr>
                      <w:rFonts w:ascii="Times New Roman" w:hAnsi="Times New Roman" w:eastAsia="宋体"/>
                    </w:rPr>
                  </w:pPr>
                </w:p>
              </w:tc>
              <w:tc>
                <w:tcPr>
                  <w:tcW w:w="1190" w:type="dxa"/>
                  <w:shd w:val="clear" w:color="auto" w:fill="auto"/>
                  <w:vAlign w:val="center"/>
                </w:tcPr>
                <w:p>
                  <w:pPr>
                    <w:pStyle w:val="164"/>
                  </w:pPr>
                  <w:r>
                    <w:rPr>
                      <w:rFonts w:hint="eastAsia"/>
                    </w:rPr>
                    <w:t>非甲烷总烃</w:t>
                  </w:r>
                </w:p>
              </w:tc>
              <w:tc>
                <w:tcPr>
                  <w:tcW w:w="1203" w:type="dxa"/>
                  <w:shd w:val="clear" w:color="auto" w:fill="auto"/>
                  <w:vAlign w:val="center"/>
                </w:tcPr>
                <w:p>
                  <w:pPr>
                    <w:pStyle w:val="164"/>
                  </w:pPr>
                  <w:r>
                    <w:rPr>
                      <w:rFonts w:hint="eastAsia"/>
                    </w:rPr>
                    <w:t>40</w:t>
                  </w:r>
                </w:p>
              </w:tc>
              <w:tc>
                <w:tcPr>
                  <w:tcW w:w="800" w:type="dxa"/>
                  <w:shd w:val="clear" w:color="auto" w:fill="auto"/>
                  <w:vAlign w:val="center"/>
                </w:tcPr>
                <w:p>
                  <w:pPr>
                    <w:pStyle w:val="164"/>
                  </w:pPr>
                  <w:r>
                    <w:rPr>
                      <w:rFonts w:hint="eastAsia"/>
                    </w:rPr>
                    <w:t>15</w:t>
                  </w:r>
                </w:p>
              </w:tc>
              <w:tc>
                <w:tcPr>
                  <w:tcW w:w="1163" w:type="dxa"/>
                  <w:shd w:val="clear" w:color="auto" w:fill="auto"/>
                  <w:vAlign w:val="center"/>
                </w:tcPr>
                <w:p>
                  <w:pPr>
                    <w:pStyle w:val="164"/>
                  </w:pPr>
                  <w:r>
                    <w:rPr>
                      <w:rFonts w:hint="eastAsia"/>
                    </w:rPr>
                    <w:t>3.24</w:t>
                  </w:r>
                </w:p>
              </w:tc>
              <w:tc>
                <w:tcPr>
                  <w:tcW w:w="1117" w:type="dxa"/>
                  <w:shd w:val="clear" w:color="auto" w:fill="auto"/>
                  <w:vAlign w:val="center"/>
                </w:tcPr>
                <w:p>
                  <w:pPr>
                    <w:pStyle w:val="164"/>
                  </w:pPr>
                  <w:r>
                    <w:rPr>
                      <w:rFonts w:hint="eastAsia"/>
                    </w:rPr>
                    <w:t>4.0</w:t>
                  </w:r>
                </w:p>
              </w:tc>
              <w:tc>
                <w:tcPr>
                  <w:tcW w:w="195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3" w:type="dxa"/>
                  <w:shd w:val="clear" w:color="auto" w:fill="auto"/>
                  <w:vAlign w:val="center"/>
                </w:tcPr>
                <w:p>
                  <w:pPr>
                    <w:pStyle w:val="152"/>
                    <w:numPr>
                      <w:ilvl w:val="0"/>
                      <w:numId w:val="8"/>
                    </w:numPr>
                    <w:ind w:firstLineChars="0"/>
                    <w:rPr>
                      <w:rFonts w:ascii="Times New Roman" w:hAnsi="Times New Roman" w:eastAsia="宋体"/>
                    </w:rPr>
                  </w:pPr>
                </w:p>
              </w:tc>
              <w:tc>
                <w:tcPr>
                  <w:tcW w:w="1190" w:type="dxa"/>
                  <w:shd w:val="clear" w:color="auto" w:fill="auto"/>
                  <w:vAlign w:val="center"/>
                </w:tcPr>
                <w:p>
                  <w:r>
                    <w:rPr>
                      <w:rStyle w:val="248"/>
                      <w:rFonts w:hint="default"/>
                    </w:rPr>
                    <w:t>甲苯与二甲苯合计</w:t>
                  </w:r>
                </w:p>
              </w:tc>
              <w:tc>
                <w:tcPr>
                  <w:tcW w:w="1203" w:type="dxa"/>
                  <w:shd w:val="clear" w:color="auto" w:fill="auto"/>
                  <w:vAlign w:val="center"/>
                </w:tcPr>
                <w:p>
                  <w:pPr>
                    <w:pStyle w:val="164"/>
                  </w:pPr>
                  <w:r>
                    <w:rPr>
                      <w:rFonts w:hint="eastAsia"/>
                    </w:rPr>
                    <w:t>30</w:t>
                  </w:r>
                </w:p>
              </w:tc>
              <w:tc>
                <w:tcPr>
                  <w:tcW w:w="800" w:type="dxa"/>
                  <w:shd w:val="clear" w:color="auto" w:fill="auto"/>
                  <w:vAlign w:val="center"/>
                </w:tcPr>
                <w:p>
                  <w:pPr>
                    <w:pStyle w:val="164"/>
                  </w:pPr>
                  <w:r>
                    <w:rPr>
                      <w:rFonts w:hint="eastAsia"/>
                    </w:rPr>
                    <w:t>15</w:t>
                  </w:r>
                </w:p>
              </w:tc>
              <w:tc>
                <w:tcPr>
                  <w:tcW w:w="1163" w:type="dxa"/>
                  <w:shd w:val="clear" w:color="auto" w:fill="auto"/>
                  <w:vAlign w:val="center"/>
                </w:tcPr>
                <w:p>
                  <w:pPr>
                    <w:pStyle w:val="164"/>
                  </w:pPr>
                  <w:r>
                    <w:rPr>
                      <w:rFonts w:hint="eastAsia"/>
                    </w:rPr>
                    <w:t>1.71</w:t>
                  </w:r>
                </w:p>
              </w:tc>
              <w:tc>
                <w:tcPr>
                  <w:tcW w:w="1117" w:type="dxa"/>
                  <w:shd w:val="clear" w:color="auto" w:fill="auto"/>
                  <w:vAlign w:val="center"/>
                </w:tcPr>
                <w:p>
                  <w:pPr>
                    <w:pStyle w:val="164"/>
                  </w:pPr>
                  <w:r>
                    <w:rPr>
                      <w:rFonts w:hint="eastAsia"/>
                    </w:rPr>
                    <w:t>0.8</w:t>
                  </w:r>
                </w:p>
              </w:tc>
              <w:tc>
                <w:tcPr>
                  <w:tcW w:w="1952" w:type="dxa"/>
                  <w:vMerge w:val="continue"/>
                  <w:shd w:val="clear" w:color="auto" w:fill="auto"/>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3" w:type="dxa"/>
                  <w:shd w:val="clear" w:color="auto" w:fill="auto"/>
                  <w:vAlign w:val="center"/>
                </w:tcPr>
                <w:p>
                  <w:pPr>
                    <w:pStyle w:val="152"/>
                    <w:numPr>
                      <w:ilvl w:val="0"/>
                      <w:numId w:val="8"/>
                    </w:numPr>
                    <w:ind w:firstLineChars="0"/>
                    <w:rPr>
                      <w:rFonts w:ascii="Times New Roman" w:hAnsi="Times New Roman" w:eastAsia="宋体"/>
                    </w:rPr>
                  </w:pPr>
                </w:p>
              </w:tc>
              <w:tc>
                <w:tcPr>
                  <w:tcW w:w="1190" w:type="dxa"/>
                  <w:shd w:val="clear" w:color="auto" w:fill="auto"/>
                  <w:vAlign w:val="center"/>
                </w:tcPr>
                <w:p>
                  <w:pPr>
                    <w:pStyle w:val="164"/>
                  </w:pPr>
                  <w:r>
                    <w:rPr>
                      <w:rFonts w:hint="eastAsia"/>
                    </w:rPr>
                    <w:t>苯系物</w:t>
                  </w:r>
                </w:p>
              </w:tc>
              <w:tc>
                <w:tcPr>
                  <w:tcW w:w="1203" w:type="dxa"/>
                  <w:shd w:val="clear" w:color="auto" w:fill="auto"/>
                  <w:vAlign w:val="center"/>
                </w:tcPr>
                <w:p>
                  <w:pPr>
                    <w:pStyle w:val="164"/>
                  </w:pPr>
                  <w:r>
                    <w:rPr>
                      <w:rFonts w:hint="eastAsia"/>
                    </w:rPr>
                    <w:t>35</w:t>
                  </w:r>
                </w:p>
              </w:tc>
              <w:tc>
                <w:tcPr>
                  <w:tcW w:w="800" w:type="dxa"/>
                  <w:shd w:val="clear" w:color="auto" w:fill="auto"/>
                  <w:vAlign w:val="center"/>
                </w:tcPr>
                <w:p>
                  <w:pPr>
                    <w:pStyle w:val="164"/>
                  </w:pPr>
                  <w:r>
                    <w:rPr>
                      <w:rFonts w:hint="eastAsia"/>
                    </w:rPr>
                    <w:t>15</w:t>
                  </w:r>
                </w:p>
              </w:tc>
              <w:tc>
                <w:tcPr>
                  <w:tcW w:w="1163" w:type="dxa"/>
                  <w:shd w:val="clear" w:color="auto" w:fill="auto"/>
                  <w:vAlign w:val="center"/>
                </w:tcPr>
                <w:p>
                  <w:pPr>
                    <w:pStyle w:val="164"/>
                  </w:pPr>
                  <w:r>
                    <w:rPr>
                      <w:rFonts w:hint="eastAsia"/>
                    </w:rPr>
                    <w:t>2.16</w:t>
                  </w:r>
                </w:p>
              </w:tc>
              <w:tc>
                <w:tcPr>
                  <w:tcW w:w="1117" w:type="dxa"/>
                  <w:shd w:val="clear" w:color="auto" w:fill="auto"/>
                  <w:vAlign w:val="center"/>
                </w:tcPr>
                <w:p>
                  <w:pPr>
                    <w:pStyle w:val="164"/>
                  </w:pPr>
                  <w:r>
                    <w:rPr>
                      <w:rFonts w:hint="eastAsia"/>
                    </w:rPr>
                    <w:t>1.0</w:t>
                  </w:r>
                </w:p>
              </w:tc>
              <w:tc>
                <w:tcPr>
                  <w:tcW w:w="1952" w:type="dxa"/>
                  <w:vMerge w:val="continue"/>
                  <w:shd w:val="clear" w:color="auto" w:fill="auto"/>
                  <w:vAlign w:val="center"/>
                </w:tcPr>
                <w:p>
                  <w:pPr>
                    <w:pStyle w:val="164"/>
                  </w:pPr>
                </w:p>
              </w:tc>
            </w:tr>
          </w:tbl>
          <w:p>
            <w:pPr>
              <w:pStyle w:val="164"/>
              <w:jc w:val="both"/>
            </w:pPr>
            <w:bookmarkStart w:id="32" w:name="_Ref82520119"/>
            <w:r>
              <w:rPr>
                <w:rFonts w:hint="eastAsia"/>
              </w:rPr>
              <w:t>*排气筒低于</w:t>
            </w:r>
            <w:r>
              <w:t>200m 范围</w:t>
            </w:r>
            <w:r>
              <w:rPr>
                <w:rFonts w:hint="eastAsia"/>
              </w:rPr>
              <w:t>内的周边建筑物</w:t>
            </w:r>
            <w:r>
              <w:t xml:space="preserve"> 3m，因此排放速严格</w:t>
            </w:r>
            <w:r>
              <w:rPr>
                <w:rFonts w:hint="eastAsia"/>
              </w:rPr>
              <w:t>50%执行。</w:t>
            </w:r>
          </w:p>
          <w:p>
            <w:pPr>
              <w:pStyle w:val="164"/>
            </w:pPr>
            <w:r>
              <w:rPr>
                <w:rFonts w:hint="eastAsia"/>
              </w:rPr>
              <w:t>表</w:t>
            </w:r>
            <w:r>
              <w:fldChar w:fldCharType="begin"/>
            </w:r>
            <w:r>
              <w:rPr>
                <w:rFonts w:hint="eastAsia"/>
              </w:rPr>
              <w:instrText xml:space="preserve">STYLEREF 2 \s</w:instrText>
            </w:r>
            <w:r>
              <w:fldChar w:fldCharType="separate"/>
            </w:r>
            <w:r>
              <w:t>3.7</w:t>
            </w:r>
            <w:r>
              <w:fldChar w:fldCharType="end"/>
            </w:r>
            <w:r>
              <w:noBreakHyphen/>
            </w:r>
            <w:bookmarkEnd w:id="32"/>
            <w:r>
              <w:rPr>
                <w:rFonts w:hint="eastAsia"/>
              </w:rPr>
              <w:t>3  《挥发性有机物无组织排放控制标准》（GB 37822-2019）</w:t>
            </w:r>
          </w:p>
          <w:tbl>
            <w:tblPr>
              <w:tblStyle w:val="162"/>
              <w:tblW w:w="796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1"/>
              <w:gridCol w:w="929"/>
              <w:gridCol w:w="1513"/>
              <w:gridCol w:w="2477"/>
              <w:gridCol w:w="23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731" w:type="dxa"/>
                  <w:shd w:val="clear" w:color="auto" w:fill="auto"/>
                  <w:vAlign w:val="center"/>
                </w:tcPr>
                <w:p>
                  <w:pPr>
                    <w:pStyle w:val="164"/>
                    <w:rPr>
                      <w:b w:val="0"/>
                    </w:rPr>
                  </w:pPr>
                  <w:r>
                    <w:rPr>
                      <w:rFonts w:hint="eastAsia"/>
                      <w:b w:val="0"/>
                    </w:rPr>
                    <w:t>序号</w:t>
                  </w:r>
                </w:p>
              </w:tc>
              <w:tc>
                <w:tcPr>
                  <w:tcW w:w="929" w:type="dxa"/>
                  <w:shd w:val="clear" w:color="auto" w:fill="auto"/>
                  <w:vAlign w:val="center"/>
                </w:tcPr>
                <w:p>
                  <w:pPr>
                    <w:pStyle w:val="164"/>
                    <w:rPr>
                      <w:b w:val="0"/>
                    </w:rPr>
                  </w:pPr>
                  <w:r>
                    <w:rPr>
                      <w:b w:val="0"/>
                    </w:rPr>
                    <w:t>污染物名称</w:t>
                  </w:r>
                </w:p>
              </w:tc>
              <w:tc>
                <w:tcPr>
                  <w:tcW w:w="1513" w:type="dxa"/>
                  <w:shd w:val="clear" w:color="auto" w:fill="auto"/>
                  <w:vAlign w:val="center"/>
                </w:tcPr>
                <w:p>
                  <w:pPr>
                    <w:pStyle w:val="164"/>
                    <w:rPr>
                      <w:b w:val="0"/>
                    </w:rPr>
                  </w:pPr>
                  <w:r>
                    <w:rPr>
                      <w:b w:val="0"/>
                    </w:rPr>
                    <w:t>特别排放限值</w:t>
                  </w:r>
                </w:p>
                <w:p>
                  <w:pPr>
                    <w:pStyle w:val="164"/>
                    <w:rPr>
                      <w:b w:val="0"/>
                    </w:rPr>
                  </w:pPr>
                  <w:r>
                    <w:rPr>
                      <w:b w:val="0"/>
                    </w:rPr>
                    <w:t>（mg/m</w:t>
                  </w:r>
                  <w:r>
                    <w:rPr>
                      <w:b w:val="0"/>
                      <w:vertAlign w:val="superscript"/>
                    </w:rPr>
                    <w:t>3</w:t>
                  </w:r>
                  <w:r>
                    <w:rPr>
                      <w:b w:val="0"/>
                    </w:rPr>
                    <w:t>）</w:t>
                  </w:r>
                </w:p>
              </w:tc>
              <w:tc>
                <w:tcPr>
                  <w:tcW w:w="2477" w:type="dxa"/>
                  <w:shd w:val="clear" w:color="auto" w:fill="auto"/>
                  <w:vAlign w:val="center"/>
                </w:tcPr>
                <w:p>
                  <w:pPr>
                    <w:pStyle w:val="164"/>
                    <w:rPr>
                      <w:b w:val="0"/>
                    </w:rPr>
                  </w:pPr>
                  <w:r>
                    <w:rPr>
                      <w:b w:val="0"/>
                    </w:rPr>
                    <w:t>限值含义</w:t>
                  </w:r>
                </w:p>
              </w:tc>
              <w:tc>
                <w:tcPr>
                  <w:tcW w:w="2314" w:type="dxa"/>
                  <w:shd w:val="clear" w:color="auto" w:fill="auto"/>
                  <w:vAlign w:val="center"/>
                </w:tcPr>
                <w:p>
                  <w:pPr>
                    <w:pStyle w:val="164"/>
                    <w:rPr>
                      <w:b w:val="0"/>
                    </w:rPr>
                  </w:pPr>
                  <w:r>
                    <w:rPr>
                      <w:b w:val="0"/>
                    </w:rPr>
                    <w:t>无组织排放监控位置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29" w:hRule="atLeast"/>
                <w:jc w:val="center"/>
              </w:trPr>
              <w:tc>
                <w:tcPr>
                  <w:tcW w:w="731" w:type="dxa"/>
                  <w:vMerge w:val="restart"/>
                  <w:shd w:val="clear" w:color="auto" w:fill="auto"/>
                  <w:vAlign w:val="center"/>
                </w:tcPr>
                <w:p>
                  <w:pPr>
                    <w:pStyle w:val="164"/>
                  </w:pPr>
                  <w:r>
                    <w:rPr>
                      <w:rFonts w:hint="eastAsia"/>
                    </w:rPr>
                    <w:t>1</w:t>
                  </w:r>
                </w:p>
              </w:tc>
              <w:tc>
                <w:tcPr>
                  <w:tcW w:w="929" w:type="dxa"/>
                  <w:vMerge w:val="restart"/>
                  <w:shd w:val="clear" w:color="auto" w:fill="auto"/>
                  <w:vAlign w:val="center"/>
                </w:tcPr>
                <w:p>
                  <w:pPr>
                    <w:pStyle w:val="164"/>
                  </w:pPr>
                  <w:r>
                    <w:t>NMHC</w:t>
                  </w:r>
                </w:p>
              </w:tc>
              <w:tc>
                <w:tcPr>
                  <w:tcW w:w="1513" w:type="dxa"/>
                  <w:shd w:val="clear" w:color="auto" w:fill="auto"/>
                  <w:vAlign w:val="center"/>
                </w:tcPr>
                <w:p>
                  <w:pPr>
                    <w:pStyle w:val="164"/>
                  </w:pPr>
                  <w:r>
                    <w:t>6</w:t>
                  </w:r>
                </w:p>
              </w:tc>
              <w:tc>
                <w:tcPr>
                  <w:tcW w:w="2477" w:type="dxa"/>
                  <w:shd w:val="clear" w:color="auto" w:fill="auto"/>
                  <w:vAlign w:val="center"/>
                </w:tcPr>
                <w:p>
                  <w:pPr>
                    <w:pStyle w:val="164"/>
                  </w:pPr>
                  <w:r>
                    <w:t>监控点处1h平均浓度值</w:t>
                  </w:r>
                </w:p>
              </w:tc>
              <w:tc>
                <w:tcPr>
                  <w:tcW w:w="2314" w:type="dxa"/>
                  <w:vMerge w:val="restart"/>
                  <w:shd w:val="clear" w:color="auto" w:fill="auto"/>
                  <w:vAlign w:val="center"/>
                </w:tcPr>
                <w:p>
                  <w:pPr>
                    <w:pStyle w:val="164"/>
                  </w:pPr>
                  <w:r>
                    <w:t>在厂房外设置监控点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32" w:hRule="atLeast"/>
                <w:jc w:val="center"/>
              </w:trPr>
              <w:tc>
                <w:tcPr>
                  <w:tcW w:w="731" w:type="dxa"/>
                  <w:vMerge w:val="continue"/>
                  <w:shd w:val="clear" w:color="auto" w:fill="auto"/>
                  <w:vAlign w:val="center"/>
                </w:tcPr>
                <w:p>
                  <w:pPr>
                    <w:pStyle w:val="164"/>
                  </w:pPr>
                </w:p>
              </w:tc>
              <w:tc>
                <w:tcPr>
                  <w:tcW w:w="929" w:type="dxa"/>
                  <w:vMerge w:val="continue"/>
                  <w:shd w:val="clear" w:color="auto" w:fill="auto"/>
                  <w:vAlign w:val="center"/>
                </w:tcPr>
                <w:p>
                  <w:pPr>
                    <w:pStyle w:val="164"/>
                  </w:pPr>
                </w:p>
              </w:tc>
              <w:tc>
                <w:tcPr>
                  <w:tcW w:w="1513" w:type="dxa"/>
                  <w:shd w:val="clear" w:color="auto" w:fill="auto"/>
                  <w:vAlign w:val="center"/>
                </w:tcPr>
                <w:p>
                  <w:pPr>
                    <w:pStyle w:val="164"/>
                  </w:pPr>
                  <w:r>
                    <w:t>20</w:t>
                  </w:r>
                </w:p>
              </w:tc>
              <w:tc>
                <w:tcPr>
                  <w:tcW w:w="2477" w:type="dxa"/>
                  <w:shd w:val="clear" w:color="auto" w:fill="auto"/>
                  <w:vAlign w:val="center"/>
                </w:tcPr>
                <w:p>
                  <w:pPr>
                    <w:pStyle w:val="164"/>
                  </w:pPr>
                  <w:r>
                    <w:t>监控点处任意一次浓度值</w:t>
                  </w:r>
                </w:p>
              </w:tc>
              <w:tc>
                <w:tcPr>
                  <w:tcW w:w="2314" w:type="dxa"/>
                  <w:vMerge w:val="continue"/>
                  <w:shd w:val="clear" w:color="auto" w:fill="auto"/>
                  <w:vAlign w:val="center"/>
                </w:tcPr>
                <w:p>
                  <w:pPr>
                    <w:pStyle w:val="164"/>
                  </w:pPr>
                </w:p>
              </w:tc>
            </w:tr>
          </w:tbl>
          <w:p>
            <w:pPr>
              <w:pStyle w:val="4087"/>
              <w:spacing w:before="24"/>
              <w:ind w:firstLine="400"/>
              <w:rPr>
                <w:rFonts w:ascii="宋体" w:hAnsi="宋体" w:cs="宋体"/>
              </w:rPr>
            </w:pPr>
          </w:p>
          <w:p>
            <w:pPr>
              <w:pStyle w:val="4087"/>
              <w:spacing w:before="24"/>
              <w:ind w:firstLine="400"/>
              <w:rPr>
                <w:rFonts w:ascii="宋体" w:hAnsi="宋体" w:cs="宋体"/>
              </w:rPr>
            </w:pPr>
          </w:p>
          <w:p>
            <w:pPr>
              <w:pStyle w:val="4087"/>
              <w:spacing w:before="24"/>
              <w:ind w:firstLine="400"/>
              <w:rPr>
                <w:rFonts w:ascii="宋体" w:hAnsi="宋体" w:cs="宋体"/>
              </w:rPr>
            </w:pPr>
          </w:p>
          <w:p>
            <w:pPr>
              <w:pStyle w:val="4087"/>
              <w:spacing w:before="24"/>
              <w:ind w:firstLine="400"/>
              <w:rPr>
                <w:rFonts w:ascii="宋体" w:hAnsi="宋体" w:cs="宋体"/>
              </w:rPr>
            </w:pPr>
            <w:r>
              <w:rPr>
                <w:rFonts w:hint="eastAsia" w:ascii="宋体" w:hAnsi="宋体" w:cs="宋体"/>
              </w:rPr>
              <w:t xml:space="preserve">表3.7-4    《餐饮业大气污染物排放标准》（DB50/859-2018） </w:t>
            </w:r>
          </w:p>
          <w:tbl>
            <w:tblPr>
              <w:tblStyle w:val="88"/>
              <w:tblW w:w="7964"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563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33" w:type="dxa"/>
                  <w:vAlign w:val="center"/>
                </w:tcPr>
                <w:p>
                  <w:pPr>
                    <w:pStyle w:val="4087"/>
                    <w:spacing w:before="24"/>
                    <w:ind w:firstLine="400"/>
                    <w:rPr>
                      <w:rFonts w:ascii="宋体" w:hAnsi="宋体" w:cs="宋体"/>
                    </w:rPr>
                  </w:pPr>
                  <w:r>
                    <w:rPr>
                      <w:rFonts w:hint="eastAsia" w:ascii="宋体" w:hAnsi="宋体" w:cs="宋体"/>
                    </w:rPr>
                    <w:t>污染物项目</w:t>
                  </w:r>
                </w:p>
              </w:tc>
              <w:tc>
                <w:tcPr>
                  <w:tcW w:w="5631" w:type="dxa"/>
                  <w:vAlign w:val="center"/>
                </w:tcPr>
                <w:p>
                  <w:pPr>
                    <w:pStyle w:val="4087"/>
                    <w:spacing w:before="24"/>
                    <w:ind w:firstLine="400"/>
                    <w:rPr>
                      <w:rFonts w:ascii="宋体" w:hAnsi="宋体" w:cs="宋体"/>
                    </w:rPr>
                  </w:pPr>
                  <w:r>
                    <w:rPr>
                      <w:rFonts w:hint="eastAsia" w:ascii="宋体" w:hAnsi="宋体" w:cs="宋体"/>
                    </w:rPr>
                    <w:t>最高允许排放浓度（mg/m³）</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33" w:type="dxa"/>
                  <w:vAlign w:val="center"/>
                </w:tcPr>
                <w:p>
                  <w:pPr>
                    <w:pStyle w:val="4087"/>
                    <w:spacing w:before="24"/>
                    <w:ind w:firstLine="400"/>
                    <w:rPr>
                      <w:rFonts w:ascii="宋体" w:hAnsi="宋体" w:cs="宋体"/>
                    </w:rPr>
                  </w:pPr>
                  <w:r>
                    <w:rPr>
                      <w:rFonts w:hint="eastAsia" w:ascii="宋体" w:hAnsi="宋体" w:cs="宋体"/>
                    </w:rPr>
                    <w:t>油烟</w:t>
                  </w:r>
                </w:p>
              </w:tc>
              <w:tc>
                <w:tcPr>
                  <w:tcW w:w="5631" w:type="dxa"/>
                  <w:vAlign w:val="center"/>
                </w:tcPr>
                <w:p>
                  <w:pPr>
                    <w:pStyle w:val="4087"/>
                    <w:spacing w:before="24"/>
                    <w:ind w:firstLine="400"/>
                    <w:rPr>
                      <w:rFonts w:ascii="宋体" w:hAnsi="宋体" w:cs="宋体"/>
                    </w:rPr>
                  </w:pPr>
                  <w:r>
                    <w:rPr>
                      <w:rFonts w:hint="eastAsia" w:ascii="宋体" w:hAnsi="宋体" w:cs="宋体"/>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33" w:type="dxa"/>
                  <w:vAlign w:val="center"/>
                </w:tcPr>
                <w:p>
                  <w:pPr>
                    <w:pStyle w:val="4087"/>
                    <w:spacing w:before="24"/>
                    <w:ind w:firstLine="400"/>
                    <w:rPr>
                      <w:rFonts w:ascii="宋体" w:hAnsi="宋体" w:cs="宋体"/>
                    </w:rPr>
                  </w:pPr>
                  <w:r>
                    <w:rPr>
                      <w:rFonts w:hint="eastAsia" w:ascii="宋体" w:hAnsi="宋体" w:cs="宋体"/>
                    </w:rPr>
                    <w:t>非甲烷总烃</w:t>
                  </w:r>
                </w:p>
              </w:tc>
              <w:tc>
                <w:tcPr>
                  <w:tcW w:w="5631" w:type="dxa"/>
                  <w:vAlign w:val="center"/>
                </w:tcPr>
                <w:p>
                  <w:pPr>
                    <w:pStyle w:val="4087"/>
                    <w:spacing w:before="24"/>
                    <w:ind w:firstLine="400"/>
                    <w:rPr>
                      <w:rFonts w:ascii="宋体" w:hAnsi="宋体" w:cs="宋体"/>
                    </w:rPr>
                  </w:pPr>
                  <w:r>
                    <w:rPr>
                      <w:rFonts w:hint="eastAsia" w:ascii="宋体" w:hAnsi="宋体" w:cs="宋体"/>
                    </w:rPr>
                    <w:t>10.0</w:t>
                  </w:r>
                </w:p>
              </w:tc>
            </w:tr>
          </w:tbl>
          <w:p>
            <w:pPr>
              <w:pStyle w:val="4087"/>
              <w:spacing w:before="24"/>
              <w:ind w:firstLine="400"/>
              <w:rPr>
                <w:rFonts w:ascii="宋体" w:hAnsi="宋体" w:cs="宋体"/>
              </w:rPr>
            </w:pPr>
          </w:p>
          <w:p>
            <w:pPr>
              <w:pStyle w:val="4087"/>
              <w:spacing w:before="24"/>
              <w:ind w:firstLine="400"/>
              <w:rPr>
                <w:rFonts w:ascii="宋体" w:hAnsi="宋体" w:cs="宋体"/>
              </w:rPr>
            </w:pPr>
            <w:r>
              <w:rPr>
                <w:rFonts w:hint="eastAsia" w:ascii="宋体" w:hAnsi="宋体" w:cs="宋体"/>
              </w:rPr>
              <w:t>表3.7-5   饮食业单位的规模划分</w:t>
            </w:r>
          </w:p>
          <w:tbl>
            <w:tblPr>
              <w:tblStyle w:val="88"/>
              <w:tblW w:w="7961" w:type="dxa"/>
              <w:jc w:val="center"/>
              <w:tblInd w:w="0" w:type="dxa"/>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93"/>
              <w:gridCol w:w="1654"/>
              <w:gridCol w:w="1756"/>
              <w:gridCol w:w="1758"/>
            </w:tblGrid>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93" w:type="dxa"/>
                  <w:vAlign w:val="center"/>
                </w:tcPr>
                <w:p>
                  <w:pPr>
                    <w:pStyle w:val="4087"/>
                    <w:rPr>
                      <w:rFonts w:ascii="宋体" w:hAnsi="宋体" w:cs="宋体"/>
                    </w:rPr>
                  </w:pPr>
                  <w:r>
                    <w:rPr>
                      <w:rFonts w:hint="eastAsia" w:ascii="宋体" w:hAnsi="宋体" w:cs="宋体"/>
                    </w:rPr>
                    <w:t>规模</w:t>
                  </w:r>
                </w:p>
              </w:tc>
              <w:tc>
                <w:tcPr>
                  <w:tcW w:w="1654" w:type="dxa"/>
                  <w:vAlign w:val="center"/>
                </w:tcPr>
                <w:p>
                  <w:pPr>
                    <w:pStyle w:val="4087"/>
                    <w:rPr>
                      <w:rFonts w:ascii="宋体" w:hAnsi="宋体" w:cs="宋体"/>
                    </w:rPr>
                  </w:pPr>
                  <w:r>
                    <w:rPr>
                      <w:rFonts w:hint="eastAsia" w:ascii="宋体" w:hAnsi="宋体" w:cs="宋体"/>
                    </w:rPr>
                    <w:t>小型</w:t>
                  </w:r>
                </w:p>
              </w:tc>
              <w:tc>
                <w:tcPr>
                  <w:tcW w:w="1756" w:type="dxa"/>
                  <w:vAlign w:val="center"/>
                </w:tcPr>
                <w:p>
                  <w:pPr>
                    <w:pStyle w:val="4087"/>
                    <w:rPr>
                      <w:rFonts w:ascii="宋体" w:hAnsi="宋体" w:cs="宋体"/>
                    </w:rPr>
                  </w:pPr>
                  <w:r>
                    <w:rPr>
                      <w:rFonts w:hint="eastAsia" w:ascii="宋体" w:hAnsi="宋体" w:cs="宋体"/>
                    </w:rPr>
                    <w:t>中型</w:t>
                  </w:r>
                </w:p>
              </w:tc>
              <w:tc>
                <w:tcPr>
                  <w:tcW w:w="1758" w:type="dxa"/>
                  <w:vAlign w:val="center"/>
                </w:tcPr>
                <w:p>
                  <w:pPr>
                    <w:pStyle w:val="4087"/>
                    <w:rPr>
                      <w:rFonts w:ascii="宋体" w:hAnsi="宋体" w:cs="宋体"/>
                    </w:rPr>
                  </w:pPr>
                  <w:r>
                    <w:rPr>
                      <w:rFonts w:hint="eastAsia" w:ascii="宋体" w:hAnsi="宋体" w:cs="宋体"/>
                    </w:rPr>
                    <w:t>大型</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93" w:type="dxa"/>
                  <w:vAlign w:val="center"/>
                </w:tcPr>
                <w:p>
                  <w:pPr>
                    <w:pStyle w:val="4087"/>
                    <w:rPr>
                      <w:rFonts w:ascii="宋体" w:hAnsi="宋体" w:cs="宋体"/>
                    </w:rPr>
                  </w:pPr>
                  <w:r>
                    <w:rPr>
                      <w:rFonts w:hint="eastAsia" w:ascii="宋体" w:hAnsi="宋体" w:cs="宋体"/>
                    </w:rPr>
                    <w:t>基准灶头数1</w:t>
                  </w:r>
                </w:p>
              </w:tc>
              <w:tc>
                <w:tcPr>
                  <w:tcW w:w="1654" w:type="dxa"/>
                  <w:vAlign w:val="center"/>
                </w:tcPr>
                <w:p>
                  <w:pPr>
                    <w:pStyle w:val="4087"/>
                    <w:rPr>
                      <w:rFonts w:ascii="宋体" w:hAnsi="宋体" w:cs="宋体"/>
                    </w:rPr>
                  </w:pPr>
                  <w:r>
                    <w:rPr>
                      <w:rFonts w:hint="eastAsia" w:ascii="宋体" w:hAnsi="宋体" w:cs="宋体"/>
                    </w:rPr>
                    <w:t>≥1，＜3</w:t>
                  </w:r>
                </w:p>
              </w:tc>
              <w:tc>
                <w:tcPr>
                  <w:tcW w:w="1756" w:type="dxa"/>
                  <w:vAlign w:val="center"/>
                </w:tcPr>
                <w:p>
                  <w:pPr>
                    <w:pStyle w:val="4087"/>
                    <w:rPr>
                      <w:rFonts w:ascii="宋体" w:hAnsi="宋体" w:cs="宋体"/>
                    </w:rPr>
                  </w:pPr>
                  <w:r>
                    <w:rPr>
                      <w:rFonts w:hint="eastAsia" w:ascii="宋体" w:hAnsi="宋体" w:cs="宋体"/>
                    </w:rPr>
                    <w:t>≥3.＜6</w:t>
                  </w:r>
                </w:p>
              </w:tc>
              <w:tc>
                <w:tcPr>
                  <w:tcW w:w="1758" w:type="dxa"/>
                  <w:vAlign w:val="center"/>
                </w:tcPr>
                <w:p>
                  <w:pPr>
                    <w:pStyle w:val="4087"/>
                    <w:rPr>
                      <w:rFonts w:ascii="宋体" w:hAnsi="宋体" w:cs="宋体"/>
                    </w:rPr>
                  </w:pPr>
                  <w:r>
                    <w:rPr>
                      <w:rFonts w:hint="eastAsia" w:ascii="宋体" w:hAnsi="宋体" w:cs="宋体"/>
                    </w:rPr>
                    <w:t>≥6</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93" w:type="dxa"/>
                  <w:vAlign w:val="center"/>
                </w:tcPr>
                <w:p>
                  <w:pPr>
                    <w:pStyle w:val="4087"/>
                    <w:rPr>
                      <w:rFonts w:ascii="宋体" w:hAnsi="宋体" w:cs="宋体"/>
                    </w:rPr>
                  </w:pPr>
                  <w:r>
                    <w:rPr>
                      <w:rFonts w:hint="eastAsia" w:ascii="宋体" w:hAnsi="宋体" w:cs="宋体"/>
                    </w:rPr>
                    <w:t>对应灶头总功率（108J/h）</w:t>
                  </w:r>
                </w:p>
              </w:tc>
              <w:tc>
                <w:tcPr>
                  <w:tcW w:w="1654" w:type="dxa"/>
                  <w:vAlign w:val="center"/>
                </w:tcPr>
                <w:p>
                  <w:pPr>
                    <w:pStyle w:val="4087"/>
                    <w:rPr>
                      <w:rFonts w:ascii="宋体" w:hAnsi="宋体" w:cs="宋体"/>
                    </w:rPr>
                  </w:pPr>
                  <w:r>
                    <w:rPr>
                      <w:rFonts w:hint="eastAsia" w:ascii="宋体" w:hAnsi="宋体" w:cs="宋体"/>
                    </w:rPr>
                    <w:t>≥1.67，＜5.00</w:t>
                  </w:r>
                </w:p>
              </w:tc>
              <w:tc>
                <w:tcPr>
                  <w:tcW w:w="1756" w:type="dxa"/>
                  <w:vAlign w:val="center"/>
                </w:tcPr>
                <w:p>
                  <w:pPr>
                    <w:pStyle w:val="4087"/>
                    <w:rPr>
                      <w:rFonts w:ascii="宋体" w:hAnsi="宋体" w:cs="宋体"/>
                    </w:rPr>
                  </w:pPr>
                  <w:r>
                    <w:rPr>
                      <w:rFonts w:hint="eastAsia" w:ascii="宋体" w:hAnsi="宋体" w:cs="宋体"/>
                    </w:rPr>
                    <w:t>≥5，＜10</w:t>
                  </w:r>
                </w:p>
              </w:tc>
              <w:tc>
                <w:tcPr>
                  <w:tcW w:w="1758" w:type="dxa"/>
                  <w:vAlign w:val="center"/>
                </w:tcPr>
                <w:p>
                  <w:pPr>
                    <w:pStyle w:val="4087"/>
                    <w:rPr>
                      <w:rFonts w:ascii="宋体" w:hAnsi="宋体" w:cs="宋体"/>
                    </w:rPr>
                  </w:pPr>
                  <w:r>
                    <w:rPr>
                      <w:rFonts w:hint="eastAsia" w:ascii="宋体" w:hAnsi="宋体" w:cs="宋体"/>
                    </w:rPr>
                    <w:t>≥10</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93" w:type="dxa"/>
                  <w:vAlign w:val="center"/>
                </w:tcPr>
                <w:p>
                  <w:pPr>
                    <w:pStyle w:val="4087"/>
                    <w:rPr>
                      <w:rFonts w:ascii="宋体" w:hAnsi="宋体" w:cs="宋体"/>
                    </w:rPr>
                  </w:pPr>
                  <w:r>
                    <w:rPr>
                      <w:rFonts w:hint="eastAsia" w:ascii="宋体" w:hAnsi="宋体" w:cs="宋体"/>
                    </w:rPr>
                    <w:t>对应排气罩灶面总投影面积（㎡）</w:t>
                  </w:r>
                </w:p>
              </w:tc>
              <w:tc>
                <w:tcPr>
                  <w:tcW w:w="1654" w:type="dxa"/>
                  <w:vAlign w:val="center"/>
                </w:tcPr>
                <w:p>
                  <w:pPr>
                    <w:pStyle w:val="4087"/>
                    <w:rPr>
                      <w:rFonts w:ascii="宋体" w:hAnsi="宋体" w:cs="宋体"/>
                    </w:rPr>
                  </w:pPr>
                  <w:r>
                    <w:rPr>
                      <w:rFonts w:hint="eastAsia" w:ascii="宋体" w:hAnsi="宋体" w:cs="宋体"/>
                    </w:rPr>
                    <w:t>≥1.1，＜3.3</w:t>
                  </w:r>
                </w:p>
              </w:tc>
              <w:tc>
                <w:tcPr>
                  <w:tcW w:w="1756" w:type="dxa"/>
                  <w:vAlign w:val="center"/>
                </w:tcPr>
                <w:p>
                  <w:pPr>
                    <w:pStyle w:val="4087"/>
                    <w:rPr>
                      <w:rFonts w:ascii="宋体" w:hAnsi="宋体" w:cs="宋体"/>
                    </w:rPr>
                  </w:pPr>
                  <w:r>
                    <w:rPr>
                      <w:rFonts w:hint="eastAsia" w:ascii="宋体" w:hAnsi="宋体" w:cs="宋体"/>
                    </w:rPr>
                    <w:t>≥3.3，＜6.6</w:t>
                  </w:r>
                </w:p>
              </w:tc>
              <w:tc>
                <w:tcPr>
                  <w:tcW w:w="1758" w:type="dxa"/>
                  <w:vAlign w:val="center"/>
                </w:tcPr>
                <w:p>
                  <w:pPr>
                    <w:pStyle w:val="4087"/>
                    <w:rPr>
                      <w:rFonts w:ascii="宋体" w:hAnsi="宋体" w:cs="宋体"/>
                    </w:rPr>
                  </w:pPr>
                  <w:r>
                    <w:rPr>
                      <w:rFonts w:hint="eastAsia" w:ascii="宋体" w:hAnsi="宋体" w:cs="宋体"/>
                    </w:rPr>
                    <w:t>≥6.6</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93" w:type="dxa"/>
                  <w:vAlign w:val="center"/>
                </w:tcPr>
                <w:p>
                  <w:pPr>
                    <w:pStyle w:val="4087"/>
                    <w:rPr>
                      <w:rFonts w:ascii="宋体" w:hAnsi="宋体" w:cs="宋体"/>
                    </w:rPr>
                  </w:pPr>
                  <w:r>
                    <w:rPr>
                      <w:rFonts w:hint="eastAsia" w:ascii="宋体" w:hAnsi="宋体" w:cs="宋体"/>
                    </w:rPr>
                    <w:t>经营场所使用面积（㎡）</w:t>
                  </w:r>
                </w:p>
              </w:tc>
              <w:tc>
                <w:tcPr>
                  <w:tcW w:w="1654" w:type="dxa"/>
                  <w:vAlign w:val="center"/>
                </w:tcPr>
                <w:p>
                  <w:pPr>
                    <w:pStyle w:val="4087"/>
                    <w:rPr>
                      <w:rFonts w:ascii="宋体" w:hAnsi="宋体" w:cs="宋体"/>
                    </w:rPr>
                  </w:pPr>
                  <w:r>
                    <w:rPr>
                      <w:rFonts w:hint="eastAsia" w:ascii="宋体" w:hAnsi="宋体" w:cs="宋体"/>
                    </w:rPr>
                    <w:t>≤150</w:t>
                  </w:r>
                </w:p>
              </w:tc>
              <w:tc>
                <w:tcPr>
                  <w:tcW w:w="1756" w:type="dxa"/>
                  <w:vAlign w:val="center"/>
                </w:tcPr>
                <w:p>
                  <w:pPr>
                    <w:pStyle w:val="4087"/>
                    <w:rPr>
                      <w:rFonts w:ascii="宋体" w:hAnsi="宋体" w:cs="宋体"/>
                    </w:rPr>
                  </w:pPr>
                  <w:r>
                    <w:rPr>
                      <w:rFonts w:hint="eastAsia" w:ascii="宋体" w:hAnsi="宋体" w:cs="宋体"/>
                    </w:rPr>
                    <w:t>＞150，≤500</w:t>
                  </w:r>
                </w:p>
              </w:tc>
              <w:tc>
                <w:tcPr>
                  <w:tcW w:w="1758" w:type="dxa"/>
                  <w:vAlign w:val="center"/>
                </w:tcPr>
                <w:p>
                  <w:pPr>
                    <w:pStyle w:val="4087"/>
                    <w:rPr>
                      <w:rFonts w:ascii="宋体" w:hAnsi="宋体" w:cs="宋体"/>
                    </w:rPr>
                  </w:pPr>
                  <w:r>
                    <w:rPr>
                      <w:rFonts w:hint="eastAsia" w:ascii="宋体" w:hAnsi="宋体" w:cs="宋体"/>
                    </w:rPr>
                    <w:t>＞500</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793" w:type="dxa"/>
                  <w:vAlign w:val="center"/>
                </w:tcPr>
                <w:p>
                  <w:pPr>
                    <w:pStyle w:val="4087"/>
                    <w:rPr>
                      <w:rFonts w:ascii="宋体" w:hAnsi="宋体" w:cs="宋体"/>
                    </w:rPr>
                  </w:pPr>
                  <w:r>
                    <w:rPr>
                      <w:rFonts w:hint="eastAsia" w:ascii="宋体" w:hAnsi="宋体" w:cs="宋体"/>
                    </w:rPr>
                    <w:t>就餐座位数2（座）</w:t>
                  </w:r>
                </w:p>
              </w:tc>
              <w:tc>
                <w:tcPr>
                  <w:tcW w:w="1654" w:type="dxa"/>
                  <w:vAlign w:val="center"/>
                </w:tcPr>
                <w:p>
                  <w:pPr>
                    <w:pStyle w:val="4087"/>
                    <w:rPr>
                      <w:rFonts w:ascii="宋体" w:hAnsi="宋体" w:cs="宋体"/>
                    </w:rPr>
                  </w:pPr>
                  <w:r>
                    <w:rPr>
                      <w:rFonts w:hint="eastAsia" w:ascii="宋体" w:hAnsi="宋体" w:cs="宋体"/>
                    </w:rPr>
                    <w:t>≤75</w:t>
                  </w:r>
                </w:p>
              </w:tc>
              <w:tc>
                <w:tcPr>
                  <w:tcW w:w="1756" w:type="dxa"/>
                  <w:vAlign w:val="center"/>
                </w:tcPr>
                <w:p>
                  <w:pPr>
                    <w:pStyle w:val="4087"/>
                    <w:rPr>
                      <w:rFonts w:ascii="宋体" w:hAnsi="宋体" w:cs="宋体"/>
                    </w:rPr>
                  </w:pPr>
                  <w:r>
                    <w:rPr>
                      <w:rFonts w:hint="eastAsia" w:ascii="宋体" w:hAnsi="宋体" w:cs="宋体"/>
                    </w:rPr>
                    <w:t>＞75，＜150</w:t>
                  </w:r>
                </w:p>
              </w:tc>
              <w:tc>
                <w:tcPr>
                  <w:tcW w:w="1758" w:type="dxa"/>
                  <w:vAlign w:val="center"/>
                </w:tcPr>
                <w:p>
                  <w:pPr>
                    <w:pStyle w:val="4087"/>
                    <w:rPr>
                      <w:rFonts w:ascii="宋体" w:hAnsi="宋体" w:cs="宋体"/>
                    </w:rPr>
                  </w:pPr>
                  <w:r>
                    <w:rPr>
                      <w:rFonts w:hint="eastAsia" w:ascii="宋体" w:hAnsi="宋体" w:cs="宋体"/>
                    </w:rPr>
                    <w:t>≥150</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961" w:type="dxa"/>
                  <w:gridSpan w:val="4"/>
                </w:tcPr>
                <w:p>
                  <w:pPr>
                    <w:pStyle w:val="4087"/>
                    <w:spacing w:before="24"/>
                    <w:ind w:firstLine="400"/>
                    <w:jc w:val="both"/>
                    <w:rPr>
                      <w:rFonts w:ascii="宋体" w:hAnsi="宋体" w:cs="宋体"/>
                    </w:rPr>
                  </w:pPr>
                  <w:r>
                    <w:rPr>
                      <w:rFonts w:hint="eastAsia" w:ascii="宋体" w:hAnsi="宋体" w:cs="宋体"/>
                    </w:rPr>
                    <w:t>注1：基准灶头数不足1个时按1个计；</w:t>
                  </w:r>
                </w:p>
                <w:p>
                  <w:pPr>
                    <w:pStyle w:val="4087"/>
                    <w:spacing w:before="24"/>
                    <w:ind w:firstLine="400"/>
                    <w:jc w:val="both"/>
                    <w:rPr>
                      <w:rFonts w:ascii="宋体" w:hAnsi="宋体" w:cs="宋体"/>
                    </w:rPr>
                  </w:pPr>
                  <w:r>
                    <w:rPr>
                      <w:rFonts w:hint="eastAsia" w:ascii="宋体" w:hAnsi="宋体" w:cs="宋体"/>
                    </w:rPr>
                    <w:t>注2：就餐位＞150座的餐饮服务业每增加40个座位视为增加1个基准灶头数。</w:t>
                  </w:r>
                </w:p>
              </w:tc>
            </w:tr>
          </w:tbl>
          <w:p>
            <w:pPr>
              <w:pStyle w:val="4087"/>
              <w:spacing w:before="24"/>
              <w:ind w:firstLine="400"/>
              <w:rPr>
                <w:rFonts w:ascii="宋体" w:hAnsi="宋体" w:cs="宋体"/>
              </w:rPr>
            </w:pPr>
            <w:r>
              <w:rPr>
                <w:rFonts w:hint="eastAsia" w:ascii="宋体" w:hAnsi="宋体" w:cs="宋体"/>
              </w:rPr>
              <w:t>表3.7-6   净化设备的污染物去除效率</w:t>
            </w:r>
          </w:p>
          <w:tbl>
            <w:tblPr>
              <w:tblStyle w:val="88"/>
              <w:tblW w:w="7961" w:type="dxa"/>
              <w:jc w:val="center"/>
              <w:tblInd w:w="0" w:type="dxa"/>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92"/>
              <w:gridCol w:w="1992"/>
              <w:gridCol w:w="1992"/>
              <w:gridCol w:w="1985"/>
            </w:tblGrid>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992" w:type="dxa"/>
                </w:tcPr>
                <w:p>
                  <w:pPr>
                    <w:jc w:val="center"/>
                    <w:rPr>
                      <w:rFonts w:ascii="宋体" w:hAnsi="宋体" w:cs="宋体"/>
                    </w:rPr>
                  </w:pPr>
                  <w:r>
                    <w:rPr>
                      <w:rFonts w:hint="eastAsia" w:ascii="宋体" w:hAnsi="宋体" w:cs="宋体"/>
                    </w:rPr>
                    <w:t>规模</w:t>
                  </w:r>
                </w:p>
              </w:tc>
              <w:tc>
                <w:tcPr>
                  <w:tcW w:w="1992" w:type="dxa"/>
                </w:tcPr>
                <w:p>
                  <w:pPr>
                    <w:jc w:val="center"/>
                    <w:rPr>
                      <w:rFonts w:ascii="宋体" w:hAnsi="宋体" w:cs="宋体"/>
                    </w:rPr>
                  </w:pPr>
                  <w:r>
                    <w:rPr>
                      <w:rFonts w:hint="eastAsia" w:ascii="宋体" w:hAnsi="宋体" w:cs="宋体"/>
                    </w:rPr>
                    <w:t>小型</w:t>
                  </w:r>
                </w:p>
              </w:tc>
              <w:tc>
                <w:tcPr>
                  <w:tcW w:w="1992" w:type="dxa"/>
                </w:tcPr>
                <w:p>
                  <w:pPr>
                    <w:jc w:val="center"/>
                    <w:rPr>
                      <w:rFonts w:ascii="宋体" w:hAnsi="宋体" w:cs="宋体"/>
                    </w:rPr>
                  </w:pPr>
                  <w:r>
                    <w:rPr>
                      <w:rFonts w:hint="eastAsia" w:ascii="宋体" w:hAnsi="宋体" w:cs="宋体"/>
                    </w:rPr>
                    <w:t>中型</w:t>
                  </w:r>
                </w:p>
              </w:tc>
              <w:tc>
                <w:tcPr>
                  <w:tcW w:w="1985" w:type="dxa"/>
                </w:tcPr>
                <w:p>
                  <w:pPr>
                    <w:jc w:val="center"/>
                    <w:rPr>
                      <w:rFonts w:ascii="宋体" w:hAnsi="宋体" w:cs="宋体"/>
                    </w:rPr>
                  </w:pPr>
                  <w:r>
                    <w:rPr>
                      <w:rFonts w:hint="eastAsia" w:ascii="宋体" w:hAnsi="宋体" w:cs="宋体"/>
                    </w:rPr>
                    <w:t>大型</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992" w:type="dxa"/>
                </w:tcPr>
                <w:p>
                  <w:pPr>
                    <w:jc w:val="center"/>
                    <w:rPr>
                      <w:rFonts w:ascii="宋体" w:hAnsi="宋体" w:cs="宋体"/>
                    </w:rPr>
                  </w:pPr>
                  <w:r>
                    <w:rPr>
                      <w:rFonts w:hint="eastAsia" w:ascii="宋体" w:hAnsi="宋体" w:cs="宋体"/>
                    </w:rPr>
                    <w:t>油烟</w:t>
                  </w:r>
                </w:p>
              </w:tc>
              <w:tc>
                <w:tcPr>
                  <w:tcW w:w="1992" w:type="dxa"/>
                </w:tcPr>
                <w:p>
                  <w:pPr>
                    <w:jc w:val="center"/>
                    <w:rPr>
                      <w:rFonts w:ascii="宋体" w:hAnsi="宋体" w:cs="宋体"/>
                    </w:rPr>
                  </w:pPr>
                  <w:r>
                    <w:rPr>
                      <w:rFonts w:hint="eastAsia" w:ascii="宋体" w:hAnsi="宋体" w:cs="宋体"/>
                    </w:rPr>
                    <w:t>≥90</w:t>
                  </w:r>
                </w:p>
              </w:tc>
              <w:tc>
                <w:tcPr>
                  <w:tcW w:w="1992" w:type="dxa"/>
                </w:tcPr>
                <w:p>
                  <w:pPr>
                    <w:jc w:val="center"/>
                    <w:rPr>
                      <w:rFonts w:ascii="宋体" w:hAnsi="宋体" w:cs="宋体"/>
                    </w:rPr>
                  </w:pPr>
                  <w:r>
                    <w:rPr>
                      <w:rFonts w:hint="eastAsia" w:ascii="宋体" w:hAnsi="宋体" w:cs="宋体"/>
                    </w:rPr>
                    <w:t>≥90</w:t>
                  </w:r>
                </w:p>
              </w:tc>
              <w:tc>
                <w:tcPr>
                  <w:tcW w:w="1985" w:type="dxa"/>
                </w:tcPr>
                <w:p>
                  <w:pPr>
                    <w:jc w:val="center"/>
                    <w:rPr>
                      <w:rFonts w:ascii="宋体" w:hAnsi="宋体" w:cs="宋体"/>
                    </w:rPr>
                  </w:pPr>
                  <w:r>
                    <w:rPr>
                      <w:rFonts w:hint="eastAsia" w:ascii="宋体" w:hAnsi="宋体" w:cs="宋体"/>
                    </w:rPr>
                    <w:t>≥95</w:t>
                  </w:r>
                </w:p>
              </w:tc>
            </w:tr>
            <w:tr>
              <w:tblPrEx>
                <w:tblBorders>
                  <w:top w:val="single" w:color="auto" w:sz="12" w:space="0"/>
                  <w:left w:val="single" w:color="auto" w:sz="4"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992" w:type="dxa"/>
                </w:tcPr>
                <w:p>
                  <w:pPr>
                    <w:jc w:val="center"/>
                    <w:rPr>
                      <w:rFonts w:ascii="宋体" w:hAnsi="宋体" w:cs="宋体"/>
                    </w:rPr>
                  </w:pPr>
                  <w:r>
                    <w:rPr>
                      <w:rFonts w:hint="eastAsia" w:ascii="宋体" w:hAnsi="宋体" w:cs="宋体"/>
                    </w:rPr>
                    <w:t>非甲烷总烃</w:t>
                  </w:r>
                </w:p>
              </w:tc>
              <w:tc>
                <w:tcPr>
                  <w:tcW w:w="1992" w:type="dxa"/>
                </w:tcPr>
                <w:p>
                  <w:pPr>
                    <w:jc w:val="center"/>
                    <w:rPr>
                      <w:rFonts w:ascii="宋体" w:hAnsi="宋体" w:cs="宋体"/>
                    </w:rPr>
                  </w:pPr>
                  <w:r>
                    <w:rPr>
                      <w:rFonts w:hint="eastAsia" w:ascii="宋体" w:hAnsi="宋体" w:cs="宋体"/>
                    </w:rPr>
                    <w:t>≥65</w:t>
                  </w:r>
                </w:p>
              </w:tc>
              <w:tc>
                <w:tcPr>
                  <w:tcW w:w="1992" w:type="dxa"/>
                </w:tcPr>
                <w:p>
                  <w:pPr>
                    <w:jc w:val="center"/>
                    <w:rPr>
                      <w:rFonts w:ascii="宋体" w:hAnsi="宋体" w:cs="宋体"/>
                    </w:rPr>
                  </w:pPr>
                  <w:r>
                    <w:rPr>
                      <w:rFonts w:hint="eastAsia" w:ascii="宋体" w:hAnsi="宋体" w:cs="宋体"/>
                    </w:rPr>
                    <w:t>≥75</w:t>
                  </w:r>
                </w:p>
              </w:tc>
              <w:tc>
                <w:tcPr>
                  <w:tcW w:w="1985" w:type="dxa"/>
                </w:tcPr>
                <w:p>
                  <w:pPr>
                    <w:jc w:val="center"/>
                    <w:rPr>
                      <w:rFonts w:ascii="宋体" w:hAnsi="宋体" w:cs="宋体"/>
                    </w:rPr>
                  </w:pPr>
                  <w:r>
                    <w:rPr>
                      <w:rFonts w:hint="eastAsia" w:ascii="宋体" w:hAnsi="宋体" w:cs="宋体"/>
                    </w:rPr>
                    <w:t>≥85</w:t>
                  </w:r>
                </w:p>
              </w:tc>
            </w:tr>
          </w:tbl>
          <w:p>
            <w:pPr>
              <w:pStyle w:val="5"/>
              <w:keepNext w:val="0"/>
              <w:keepLines w:val="0"/>
              <w:snapToGrid w:val="0"/>
              <w:rPr>
                <w:rFonts w:ascii="宋体" w:hAnsi="宋体"/>
              </w:rPr>
            </w:pPr>
            <w:r>
              <w:rPr>
                <w:rFonts w:hint="eastAsia" w:ascii="宋体" w:hAnsi="宋体"/>
              </w:rPr>
              <w:t>3.7.2废水</w:t>
            </w:r>
          </w:p>
          <w:p>
            <w:pPr>
              <w:pStyle w:val="160"/>
              <w:ind w:firstLine="480"/>
            </w:pPr>
            <w:r>
              <w:rPr>
                <w:rFonts w:hint="eastAsia" w:ascii="宋体" w:hAnsi="宋体" w:cs="宋体"/>
              </w:rPr>
              <w:t>扩建项目所在区域属于铜梁区东城污水处理厂的服务范围。扩建项目产生的废水依托厂区已建污水处理设施处理达标后排入园区污水管网，输送至东城污水处理厂处理，处理达标后排入淮远河。其中企业污水排放口执行《污水综合排放标准》（GB8978—1996）三级标准；东城污水处理厂排放口执行废水《城镇污水处理厂污染物排放标准》（GB18918—2002）中的一级B标准后排入淮远河。</w:t>
            </w:r>
            <w:r>
              <w:rPr>
                <w:rFonts w:hint="eastAsia"/>
              </w:rPr>
              <w:t>具体标准见</w:t>
            </w:r>
            <w:r>
              <w:fldChar w:fldCharType="begin"/>
            </w:r>
            <w:r>
              <w:rPr>
                <w:rFonts w:hint="eastAsia"/>
              </w:rPr>
              <w:instrText xml:space="preserve">REF _Ref82520167 \h</w:instrText>
            </w:r>
            <w:r>
              <w:fldChar w:fldCharType="separate"/>
            </w:r>
            <w:r>
              <w:rPr>
                <w:rFonts w:hint="eastAsia"/>
              </w:rPr>
              <w:t>表</w:t>
            </w:r>
            <w:r>
              <w:t>3.7</w:t>
            </w:r>
            <w:r>
              <w:noBreakHyphen/>
            </w:r>
            <w:r>
              <w:rPr>
                <w:rFonts w:hint="eastAsia"/>
              </w:rPr>
              <w:t>7</w:t>
            </w:r>
            <w:r>
              <w:fldChar w:fldCharType="end"/>
            </w:r>
            <w:r>
              <w:rPr>
                <w:rFonts w:hint="eastAsia"/>
              </w:rPr>
              <w:t>、</w:t>
            </w:r>
            <w:r>
              <w:fldChar w:fldCharType="begin"/>
            </w:r>
            <w:r>
              <w:rPr>
                <w:rFonts w:hint="eastAsia"/>
              </w:rPr>
              <w:instrText xml:space="preserve">REF _Ref82520176 \h</w:instrText>
            </w:r>
            <w:r>
              <w:fldChar w:fldCharType="separate"/>
            </w:r>
            <w:r>
              <w:rPr>
                <w:rFonts w:hint="eastAsia"/>
              </w:rPr>
              <w:t>表</w:t>
            </w:r>
            <w:r>
              <w:t>3.7</w:t>
            </w:r>
            <w:r>
              <w:noBreakHyphen/>
            </w:r>
            <w:r>
              <w:rPr>
                <w:rFonts w:hint="eastAsia"/>
              </w:rPr>
              <w:t>8</w:t>
            </w:r>
            <w:r>
              <w:fldChar w:fldCharType="end"/>
            </w:r>
            <w:r>
              <w:rPr>
                <w:rFonts w:hint="eastAsia"/>
              </w:rPr>
              <w:t>。</w:t>
            </w:r>
          </w:p>
          <w:p>
            <w:pPr>
              <w:pStyle w:val="164"/>
            </w:pPr>
            <w:bookmarkStart w:id="33" w:name="_Ref82520167"/>
            <w:bookmarkStart w:id="34" w:name="_Hlk69043435"/>
            <w:r>
              <w:rPr>
                <w:rFonts w:hint="eastAsia"/>
              </w:rPr>
              <w:t>表</w:t>
            </w:r>
            <w:r>
              <w:fldChar w:fldCharType="begin"/>
            </w:r>
            <w:r>
              <w:rPr>
                <w:rFonts w:hint="eastAsia"/>
              </w:rPr>
              <w:instrText xml:space="preserve">STYLEREF 2 \s</w:instrText>
            </w:r>
            <w:r>
              <w:fldChar w:fldCharType="separate"/>
            </w:r>
            <w:r>
              <w:t>3.7</w:t>
            </w:r>
            <w:r>
              <w:fldChar w:fldCharType="end"/>
            </w:r>
            <w:r>
              <w:noBreakHyphen/>
            </w:r>
            <w:bookmarkEnd w:id="33"/>
            <w:r>
              <w:rPr>
                <w:rFonts w:hint="eastAsia"/>
              </w:rPr>
              <w:t xml:space="preserve">7  </w:t>
            </w:r>
            <w:r>
              <w:t>《污水综合排放标准》</w:t>
            </w:r>
            <w:r>
              <w:rPr>
                <w:rFonts w:hint="eastAsia"/>
              </w:rPr>
              <w:t>（GB 8978-1996）</w:t>
            </w:r>
            <w:r>
              <w:t>单位：mg/L，pH无量纲</w:t>
            </w:r>
          </w:p>
          <w:tbl>
            <w:tblPr>
              <w:tblStyle w:val="88"/>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238"/>
              <w:gridCol w:w="833"/>
              <w:gridCol w:w="1048"/>
              <w:gridCol w:w="908"/>
              <w:gridCol w:w="828"/>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250" w:type="dxa"/>
                </w:tcPr>
                <w:p>
                  <w:pPr>
                    <w:pStyle w:val="164"/>
                  </w:pPr>
                  <w:bookmarkStart w:id="35" w:name="_Ref82520176"/>
                  <w:r>
                    <w:rPr>
                      <w:rFonts w:hint="eastAsia"/>
                    </w:rPr>
                    <w:t>污染物</w:t>
                  </w:r>
                </w:p>
                <w:p>
                  <w:pPr>
                    <w:pStyle w:val="164"/>
                  </w:pPr>
                  <w:r>
                    <w:rPr>
                      <w:rFonts w:hint="eastAsia"/>
                    </w:rPr>
                    <w:t>标准来源</w:t>
                  </w:r>
                </w:p>
              </w:tc>
              <w:tc>
                <w:tcPr>
                  <w:tcW w:w="1238" w:type="dxa"/>
                  <w:vAlign w:val="center"/>
                </w:tcPr>
                <w:p>
                  <w:pPr>
                    <w:pStyle w:val="164"/>
                  </w:pPr>
                  <w:r>
                    <w:rPr>
                      <w:rFonts w:hint="eastAsia"/>
                    </w:rPr>
                    <w:t>pH（无量纲）</w:t>
                  </w:r>
                </w:p>
              </w:tc>
              <w:tc>
                <w:tcPr>
                  <w:tcW w:w="833" w:type="dxa"/>
                  <w:vAlign w:val="center"/>
                </w:tcPr>
                <w:p>
                  <w:pPr>
                    <w:pStyle w:val="164"/>
                  </w:pPr>
                  <w:r>
                    <w:rPr>
                      <w:rFonts w:hint="eastAsia"/>
                    </w:rPr>
                    <w:t>COD</w:t>
                  </w:r>
                </w:p>
              </w:tc>
              <w:tc>
                <w:tcPr>
                  <w:tcW w:w="1048" w:type="dxa"/>
                  <w:vAlign w:val="center"/>
                </w:tcPr>
                <w:p>
                  <w:pPr>
                    <w:pStyle w:val="164"/>
                  </w:pPr>
                  <w:r>
                    <w:rPr>
                      <w:rFonts w:hint="eastAsia"/>
                    </w:rPr>
                    <w:t>BOD</w:t>
                  </w:r>
                  <w:r>
                    <w:rPr>
                      <w:rFonts w:hint="eastAsia"/>
                      <w:vertAlign w:val="subscript"/>
                    </w:rPr>
                    <w:t>5</w:t>
                  </w:r>
                </w:p>
              </w:tc>
              <w:tc>
                <w:tcPr>
                  <w:tcW w:w="908" w:type="dxa"/>
                  <w:vAlign w:val="center"/>
                </w:tcPr>
                <w:p>
                  <w:pPr>
                    <w:pStyle w:val="164"/>
                  </w:pPr>
                  <w:r>
                    <w:rPr>
                      <w:rFonts w:hint="eastAsia"/>
                    </w:rPr>
                    <w:t>石油类</w:t>
                  </w:r>
                </w:p>
              </w:tc>
              <w:tc>
                <w:tcPr>
                  <w:tcW w:w="828" w:type="dxa"/>
                  <w:vAlign w:val="center"/>
                </w:tcPr>
                <w:p>
                  <w:pPr>
                    <w:pStyle w:val="164"/>
                  </w:pPr>
                  <w:r>
                    <w:rPr>
                      <w:rFonts w:hint="eastAsia"/>
                    </w:rPr>
                    <w:t>SS</w:t>
                  </w:r>
                </w:p>
              </w:tc>
              <w:tc>
                <w:tcPr>
                  <w:tcW w:w="833" w:type="dxa"/>
                  <w:vAlign w:val="center"/>
                </w:tcPr>
                <w:p>
                  <w:pPr>
                    <w:pStyle w:val="164"/>
                  </w:pPr>
                  <w:r>
                    <w:rPr>
                      <w:rFonts w:hint="eastAsia"/>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250" w:type="dxa"/>
                  <w:vAlign w:val="center"/>
                </w:tcPr>
                <w:p>
                  <w:pPr>
                    <w:pStyle w:val="164"/>
                  </w:pPr>
                  <w:r>
                    <w:rPr>
                      <w:rFonts w:hint="eastAsia"/>
                    </w:rPr>
                    <w:t>GB8978—1996表4中三级标准</w:t>
                  </w:r>
                </w:p>
              </w:tc>
              <w:tc>
                <w:tcPr>
                  <w:tcW w:w="1238" w:type="dxa"/>
                  <w:vAlign w:val="center"/>
                </w:tcPr>
                <w:p>
                  <w:pPr>
                    <w:pStyle w:val="164"/>
                  </w:pPr>
                  <w:r>
                    <w:rPr>
                      <w:rFonts w:hint="eastAsia"/>
                    </w:rPr>
                    <w:t>6～9</w:t>
                  </w:r>
                </w:p>
              </w:tc>
              <w:tc>
                <w:tcPr>
                  <w:tcW w:w="833" w:type="dxa"/>
                  <w:vAlign w:val="center"/>
                </w:tcPr>
                <w:p>
                  <w:pPr>
                    <w:pStyle w:val="164"/>
                  </w:pPr>
                  <w:r>
                    <w:rPr>
                      <w:rFonts w:hint="eastAsia"/>
                    </w:rPr>
                    <w:t>500</w:t>
                  </w:r>
                </w:p>
              </w:tc>
              <w:tc>
                <w:tcPr>
                  <w:tcW w:w="1048" w:type="dxa"/>
                  <w:vAlign w:val="center"/>
                </w:tcPr>
                <w:p>
                  <w:pPr>
                    <w:pStyle w:val="164"/>
                  </w:pPr>
                  <w:r>
                    <w:rPr>
                      <w:rFonts w:hint="eastAsia"/>
                    </w:rPr>
                    <w:t>300</w:t>
                  </w:r>
                </w:p>
              </w:tc>
              <w:tc>
                <w:tcPr>
                  <w:tcW w:w="908" w:type="dxa"/>
                  <w:vAlign w:val="center"/>
                </w:tcPr>
                <w:p>
                  <w:pPr>
                    <w:pStyle w:val="164"/>
                  </w:pPr>
                  <w:r>
                    <w:rPr>
                      <w:rFonts w:hint="eastAsia"/>
                    </w:rPr>
                    <w:t>20</w:t>
                  </w:r>
                </w:p>
              </w:tc>
              <w:tc>
                <w:tcPr>
                  <w:tcW w:w="828" w:type="dxa"/>
                  <w:vAlign w:val="center"/>
                </w:tcPr>
                <w:p>
                  <w:pPr>
                    <w:pStyle w:val="164"/>
                  </w:pPr>
                  <w:r>
                    <w:rPr>
                      <w:rFonts w:hint="eastAsia"/>
                    </w:rPr>
                    <w:t>400</w:t>
                  </w:r>
                </w:p>
              </w:tc>
              <w:tc>
                <w:tcPr>
                  <w:tcW w:w="833" w:type="dxa"/>
                  <w:vAlign w:val="center"/>
                </w:tcPr>
                <w:p>
                  <w:pPr>
                    <w:pStyle w:val="164"/>
                  </w:pPr>
                  <w:r>
                    <w:rPr>
                      <w:rFonts w:hint="eastAsia"/>
                    </w:rPr>
                    <w:t>100</w:t>
                  </w:r>
                </w:p>
              </w:tc>
            </w:tr>
          </w:tbl>
          <w:p>
            <w:pPr>
              <w:pStyle w:val="164"/>
            </w:pPr>
            <w:r>
              <w:rPr>
                <w:rFonts w:hint="eastAsia"/>
              </w:rPr>
              <w:t>表</w:t>
            </w:r>
            <w:r>
              <w:fldChar w:fldCharType="begin"/>
            </w:r>
            <w:r>
              <w:rPr>
                <w:rFonts w:hint="eastAsia"/>
              </w:rPr>
              <w:instrText xml:space="preserve">STYLEREF 2 \s</w:instrText>
            </w:r>
            <w:r>
              <w:fldChar w:fldCharType="separate"/>
            </w:r>
            <w:r>
              <w:t>3.7</w:t>
            </w:r>
            <w:r>
              <w:fldChar w:fldCharType="end"/>
            </w:r>
            <w:r>
              <w:noBreakHyphen/>
            </w:r>
            <w:bookmarkEnd w:id="35"/>
            <w:r>
              <w:rPr>
                <w:rFonts w:hint="eastAsia"/>
              </w:rPr>
              <w:t xml:space="preserve">8  </w:t>
            </w:r>
            <w:r>
              <w:t>《城镇污水处理厂污染物排放标准》</w:t>
            </w:r>
            <w:r>
              <w:rPr>
                <w:rFonts w:hint="eastAsia"/>
              </w:rPr>
              <w:t>（GB 18918-2002）</w:t>
            </w:r>
            <w:r>
              <w:t>单位：mg/L，pH无量纲</w:t>
            </w:r>
          </w:p>
          <w:tbl>
            <w:tblPr>
              <w:tblStyle w:val="88"/>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1305"/>
              <w:gridCol w:w="793"/>
              <w:gridCol w:w="866"/>
              <w:gridCol w:w="956"/>
              <w:gridCol w:w="656"/>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6" w:type="dxa"/>
                  <w:vAlign w:val="center"/>
                </w:tcPr>
                <w:p>
                  <w:pPr>
                    <w:pStyle w:val="164"/>
                  </w:pPr>
                  <w:r>
                    <w:rPr>
                      <w:rFonts w:hint="eastAsia"/>
                    </w:rPr>
                    <w:t>污染物标准来源</w:t>
                  </w:r>
                </w:p>
              </w:tc>
              <w:tc>
                <w:tcPr>
                  <w:tcW w:w="1305" w:type="dxa"/>
                  <w:vAlign w:val="center"/>
                </w:tcPr>
                <w:p>
                  <w:pPr>
                    <w:pStyle w:val="164"/>
                  </w:pPr>
                  <w:r>
                    <w:rPr>
                      <w:rFonts w:hint="eastAsia"/>
                    </w:rPr>
                    <w:t>pH（无量纲）</w:t>
                  </w:r>
                </w:p>
              </w:tc>
              <w:tc>
                <w:tcPr>
                  <w:tcW w:w="793" w:type="dxa"/>
                  <w:vAlign w:val="center"/>
                </w:tcPr>
                <w:p>
                  <w:pPr>
                    <w:pStyle w:val="164"/>
                  </w:pPr>
                  <w:r>
                    <w:rPr>
                      <w:rFonts w:hint="eastAsia"/>
                    </w:rPr>
                    <w:t>COD</w:t>
                  </w:r>
                </w:p>
              </w:tc>
              <w:tc>
                <w:tcPr>
                  <w:tcW w:w="866" w:type="dxa"/>
                  <w:vAlign w:val="center"/>
                </w:tcPr>
                <w:p>
                  <w:pPr>
                    <w:pStyle w:val="164"/>
                  </w:pPr>
                  <w:r>
                    <w:rPr>
                      <w:rFonts w:hint="eastAsia"/>
                    </w:rPr>
                    <w:t>BOD5</w:t>
                  </w:r>
                </w:p>
              </w:tc>
              <w:tc>
                <w:tcPr>
                  <w:tcW w:w="956" w:type="dxa"/>
                  <w:vAlign w:val="center"/>
                </w:tcPr>
                <w:p>
                  <w:pPr>
                    <w:pStyle w:val="164"/>
                  </w:pPr>
                  <w:r>
                    <w:rPr>
                      <w:rFonts w:hint="eastAsia"/>
                    </w:rPr>
                    <w:t>石油类</w:t>
                  </w:r>
                </w:p>
              </w:tc>
              <w:tc>
                <w:tcPr>
                  <w:tcW w:w="656" w:type="dxa"/>
                  <w:vAlign w:val="center"/>
                </w:tcPr>
                <w:p>
                  <w:pPr>
                    <w:pStyle w:val="164"/>
                  </w:pPr>
                  <w:r>
                    <w:rPr>
                      <w:rFonts w:hint="eastAsia"/>
                    </w:rPr>
                    <w:t>SS</w:t>
                  </w:r>
                </w:p>
              </w:tc>
              <w:tc>
                <w:tcPr>
                  <w:tcW w:w="1076" w:type="dxa"/>
                  <w:vAlign w:val="center"/>
                </w:tcPr>
                <w:p>
                  <w:pPr>
                    <w:pStyle w:val="164"/>
                  </w:pPr>
                  <w:r>
                    <w:rPr>
                      <w:rFonts w:hint="eastAsia"/>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6" w:type="dxa"/>
                  <w:vAlign w:val="center"/>
                </w:tcPr>
                <w:p>
                  <w:pPr>
                    <w:pStyle w:val="164"/>
                  </w:pPr>
                  <w:r>
                    <w:rPr>
                      <w:rFonts w:hint="eastAsia"/>
                    </w:rPr>
                    <w:t>GB18918—2002表1中（一级B标准）</w:t>
                  </w:r>
                </w:p>
              </w:tc>
              <w:tc>
                <w:tcPr>
                  <w:tcW w:w="1305" w:type="dxa"/>
                  <w:vAlign w:val="center"/>
                </w:tcPr>
                <w:p>
                  <w:pPr>
                    <w:pStyle w:val="164"/>
                  </w:pPr>
                  <w:r>
                    <w:rPr>
                      <w:rFonts w:hint="eastAsia"/>
                    </w:rPr>
                    <w:t>6～9</w:t>
                  </w:r>
                </w:p>
              </w:tc>
              <w:tc>
                <w:tcPr>
                  <w:tcW w:w="793" w:type="dxa"/>
                  <w:vAlign w:val="center"/>
                </w:tcPr>
                <w:p>
                  <w:pPr>
                    <w:pStyle w:val="164"/>
                  </w:pPr>
                  <w:r>
                    <w:rPr>
                      <w:rFonts w:hint="eastAsia"/>
                    </w:rPr>
                    <w:t>60</w:t>
                  </w:r>
                </w:p>
              </w:tc>
              <w:tc>
                <w:tcPr>
                  <w:tcW w:w="866" w:type="dxa"/>
                  <w:vAlign w:val="center"/>
                </w:tcPr>
                <w:p>
                  <w:pPr>
                    <w:pStyle w:val="164"/>
                  </w:pPr>
                  <w:r>
                    <w:rPr>
                      <w:rFonts w:hint="eastAsia"/>
                    </w:rPr>
                    <w:t>20</w:t>
                  </w:r>
                </w:p>
              </w:tc>
              <w:tc>
                <w:tcPr>
                  <w:tcW w:w="956" w:type="dxa"/>
                  <w:vAlign w:val="center"/>
                </w:tcPr>
                <w:p>
                  <w:pPr>
                    <w:pStyle w:val="164"/>
                  </w:pPr>
                  <w:r>
                    <w:rPr>
                      <w:rFonts w:hint="eastAsia"/>
                    </w:rPr>
                    <w:t>3</w:t>
                  </w:r>
                </w:p>
              </w:tc>
              <w:tc>
                <w:tcPr>
                  <w:tcW w:w="656" w:type="dxa"/>
                  <w:vAlign w:val="center"/>
                </w:tcPr>
                <w:p>
                  <w:pPr>
                    <w:pStyle w:val="164"/>
                  </w:pPr>
                  <w:r>
                    <w:rPr>
                      <w:rFonts w:hint="eastAsia"/>
                    </w:rPr>
                    <w:t>20</w:t>
                  </w:r>
                </w:p>
              </w:tc>
              <w:tc>
                <w:tcPr>
                  <w:tcW w:w="1076" w:type="dxa"/>
                  <w:vAlign w:val="center"/>
                </w:tcPr>
                <w:p>
                  <w:pPr>
                    <w:pStyle w:val="164"/>
                  </w:pPr>
                  <w:r>
                    <w:rPr>
                      <w:rFonts w:hint="eastAsia"/>
                    </w:rPr>
                    <w:t>3</w:t>
                  </w:r>
                </w:p>
              </w:tc>
            </w:tr>
            <w:bookmarkEnd w:id="34"/>
          </w:tbl>
          <w:p>
            <w:pPr>
              <w:pStyle w:val="5"/>
              <w:keepNext w:val="0"/>
              <w:keepLines w:val="0"/>
              <w:snapToGrid w:val="0"/>
              <w:rPr>
                <w:rFonts w:ascii="宋体" w:hAnsi="宋体"/>
              </w:rPr>
            </w:pPr>
          </w:p>
          <w:p>
            <w:pPr>
              <w:pStyle w:val="5"/>
              <w:keepNext w:val="0"/>
              <w:keepLines w:val="0"/>
              <w:snapToGrid w:val="0"/>
              <w:rPr>
                <w:rFonts w:ascii="宋体" w:hAnsi="宋体"/>
              </w:rPr>
            </w:pPr>
            <w:r>
              <w:rPr>
                <w:rFonts w:hint="eastAsia" w:ascii="宋体" w:hAnsi="宋体"/>
              </w:rPr>
              <w:t>3.7.3  噪声排放标准</w:t>
            </w:r>
          </w:p>
          <w:p>
            <w:pPr>
              <w:pStyle w:val="160"/>
              <w:ind w:firstLine="480"/>
            </w:pPr>
            <w:r>
              <w:t>施工期</w:t>
            </w:r>
            <w:r>
              <w:rPr>
                <w:rFonts w:hint="eastAsia"/>
              </w:rPr>
              <w:t>（设备安装）</w:t>
            </w:r>
            <w:r>
              <w:t>噪声执行《建筑施工场界环境噪声排放标准》（GB 12523-2011）中标准限值要求。标准值见</w:t>
            </w:r>
            <w:r>
              <w:fldChar w:fldCharType="begin"/>
            </w:r>
            <w:r>
              <w:instrText xml:space="preserve"> REF _Ref82520205 \h </w:instrText>
            </w:r>
            <w:r>
              <w:fldChar w:fldCharType="separate"/>
            </w:r>
            <w:r>
              <w:rPr>
                <w:rFonts w:hint="eastAsia"/>
              </w:rPr>
              <w:t>表</w:t>
            </w:r>
            <w:r>
              <w:t>3.7</w:t>
            </w:r>
            <w:r>
              <w:noBreakHyphen/>
            </w:r>
            <w:r>
              <w:rPr>
                <w:rFonts w:hint="eastAsia"/>
              </w:rPr>
              <w:t>9</w:t>
            </w:r>
            <w:r>
              <w:fldChar w:fldCharType="end"/>
            </w:r>
            <w:r>
              <w:t>。</w:t>
            </w:r>
          </w:p>
          <w:p>
            <w:pPr>
              <w:pStyle w:val="164"/>
            </w:pPr>
            <w:bookmarkStart w:id="36" w:name="_Ref82520205"/>
            <w:r>
              <w:rPr>
                <w:rFonts w:hint="eastAsia"/>
              </w:rPr>
              <w:t>表</w:t>
            </w:r>
            <w:r>
              <w:fldChar w:fldCharType="begin"/>
            </w:r>
            <w:r>
              <w:rPr>
                <w:rFonts w:hint="eastAsia"/>
              </w:rPr>
              <w:instrText xml:space="preserve">STYLEREF 2 \s</w:instrText>
            </w:r>
            <w:r>
              <w:fldChar w:fldCharType="separate"/>
            </w:r>
            <w:r>
              <w:t>3.7</w:t>
            </w:r>
            <w:r>
              <w:fldChar w:fldCharType="end"/>
            </w:r>
            <w:r>
              <w:noBreakHyphen/>
            </w:r>
            <w:bookmarkEnd w:id="36"/>
            <w:r>
              <w:rPr>
                <w:rFonts w:hint="eastAsia"/>
              </w:rPr>
              <w:t xml:space="preserve">9  </w:t>
            </w:r>
            <w:r>
              <w:t>建筑施工场界环境噪声排放限值单位：dB（A）</w:t>
            </w:r>
          </w:p>
          <w:tbl>
            <w:tblPr>
              <w:tblStyle w:val="162"/>
              <w:tblW w:w="797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580"/>
              <w:gridCol w:w="2049"/>
              <w:gridCol w:w="23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3" w:hRule="exact"/>
                <w:jc w:val="center"/>
              </w:trPr>
              <w:tc>
                <w:tcPr>
                  <w:tcW w:w="35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rPr>
                      <w:b w:val="0"/>
                      <w:bCs/>
                    </w:rPr>
                  </w:pPr>
                  <w:r>
                    <w:rPr>
                      <w:b w:val="0"/>
                      <w:bCs/>
                    </w:rPr>
                    <w:t>标准</w:t>
                  </w:r>
                </w:p>
              </w:tc>
              <w:tc>
                <w:tcPr>
                  <w:tcW w:w="20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rPr>
                      <w:b w:val="0"/>
                      <w:bCs/>
                    </w:rPr>
                  </w:pPr>
                  <w:r>
                    <w:rPr>
                      <w:b w:val="0"/>
                      <w:bCs/>
                    </w:rPr>
                    <w:t>昼间</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rPr>
                      <w:b w:val="0"/>
                      <w:bCs/>
                    </w:rPr>
                  </w:pPr>
                  <w:r>
                    <w:rPr>
                      <w:b w:val="0"/>
                      <w:bCs/>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4" w:hRule="exact"/>
                <w:jc w:val="center"/>
              </w:trPr>
              <w:tc>
                <w:tcPr>
                  <w:tcW w:w="35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pPr>
                  <w:r>
                    <w:rPr>
                      <w:spacing w:val="-2"/>
                    </w:rPr>
                    <w:t>《建筑施工场界环境噪声排放标准》</w:t>
                  </w:r>
                </w:p>
              </w:tc>
              <w:tc>
                <w:tcPr>
                  <w:tcW w:w="20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pPr>
                  <w:r>
                    <w:t>70</w:t>
                  </w:r>
                </w:p>
              </w:tc>
              <w:tc>
                <w:tcPr>
                  <w:tcW w:w="23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4"/>
                  </w:pPr>
                  <w:r>
                    <w:t>55</w:t>
                  </w:r>
                </w:p>
              </w:tc>
            </w:tr>
          </w:tbl>
          <w:p>
            <w:pPr>
              <w:pStyle w:val="160"/>
              <w:ind w:firstLine="480"/>
            </w:pPr>
            <w:r>
              <w:rPr>
                <w:rFonts w:hint="eastAsia"/>
              </w:rPr>
              <w:t>扩建项目位于铜梁高新区姜家岩片区，</w:t>
            </w:r>
            <w:r>
              <w:t>营运期噪声执行《工业企业厂界环境噪声排放标准》（GB 12348-2008）中3类、4类标准，相关标准值见</w:t>
            </w:r>
            <w:r>
              <w:fldChar w:fldCharType="begin"/>
            </w:r>
            <w:r>
              <w:instrText xml:space="preserve"> REF _Ref82520237 \h </w:instrText>
            </w:r>
            <w:r>
              <w:fldChar w:fldCharType="separate"/>
            </w:r>
            <w:r>
              <w:rPr>
                <w:rFonts w:hint="eastAsia"/>
              </w:rPr>
              <w:t>表</w:t>
            </w:r>
            <w:r>
              <w:t>3.7</w:t>
            </w:r>
            <w:r>
              <w:noBreakHyphen/>
            </w:r>
            <w:r>
              <w:rPr>
                <w:rFonts w:hint="eastAsia"/>
              </w:rPr>
              <w:t>10</w:t>
            </w:r>
            <w:r>
              <w:fldChar w:fldCharType="end"/>
            </w:r>
            <w:r>
              <w:t>。</w:t>
            </w:r>
          </w:p>
          <w:p>
            <w:pPr>
              <w:pStyle w:val="164"/>
            </w:pPr>
            <w:bookmarkStart w:id="37" w:name="_Ref82520237"/>
            <w:r>
              <w:rPr>
                <w:rFonts w:hint="eastAsia"/>
              </w:rPr>
              <w:t>表</w:t>
            </w:r>
            <w:r>
              <w:fldChar w:fldCharType="begin"/>
            </w:r>
            <w:r>
              <w:rPr>
                <w:rFonts w:hint="eastAsia"/>
              </w:rPr>
              <w:instrText xml:space="preserve">STYLEREF 2 \s</w:instrText>
            </w:r>
            <w:r>
              <w:fldChar w:fldCharType="separate"/>
            </w:r>
            <w:r>
              <w:t>3.7</w:t>
            </w:r>
            <w:r>
              <w:fldChar w:fldCharType="end"/>
            </w:r>
            <w:r>
              <w:noBreakHyphen/>
            </w:r>
            <w:bookmarkEnd w:id="37"/>
            <w:r>
              <w:rPr>
                <w:rFonts w:hint="eastAsia"/>
              </w:rPr>
              <w:t>10  《</w:t>
            </w:r>
            <w:r>
              <w:t>工业企业厂界环境噪声排放标准》（GB 12348-2008）单位：dB（A）</w:t>
            </w:r>
          </w:p>
          <w:tbl>
            <w:tblPr>
              <w:tblStyle w:val="88"/>
              <w:tblW w:w="797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1306"/>
              <w:gridCol w:w="1303"/>
              <w:gridCol w:w="18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33" w:type="dxa"/>
                  <w:tcBorders>
                    <w:top w:val="single" w:color="auto" w:sz="4" w:space="0"/>
                    <w:left w:val="single" w:color="auto" w:sz="4" w:space="0"/>
                    <w:tl2br w:val="single" w:color="auto" w:sz="4" w:space="0"/>
                  </w:tcBorders>
                  <w:vAlign w:val="center"/>
                </w:tcPr>
                <w:p>
                  <w:pPr>
                    <w:pStyle w:val="164"/>
                    <w:rPr>
                      <w:bCs/>
                    </w:rPr>
                  </w:pPr>
                  <w:r>
                    <w:rPr>
                      <w:rFonts w:hint="eastAsia"/>
                      <w:bCs/>
                    </w:rPr>
                    <w:t>时段</w:t>
                  </w:r>
                </w:p>
                <w:p>
                  <w:pPr>
                    <w:pStyle w:val="164"/>
                    <w:rPr>
                      <w:bCs/>
                    </w:rPr>
                  </w:pPr>
                  <w:r>
                    <w:rPr>
                      <w:rFonts w:hint="eastAsia"/>
                      <w:bCs/>
                    </w:rPr>
                    <w:t>厂界外声环境功能区类别</w:t>
                  </w:r>
                </w:p>
              </w:tc>
              <w:tc>
                <w:tcPr>
                  <w:tcW w:w="1306" w:type="dxa"/>
                  <w:tcBorders>
                    <w:top w:val="single" w:color="auto" w:sz="4" w:space="0"/>
                  </w:tcBorders>
                  <w:vAlign w:val="center"/>
                </w:tcPr>
                <w:p>
                  <w:pPr>
                    <w:pStyle w:val="164"/>
                    <w:rPr>
                      <w:bCs/>
                    </w:rPr>
                  </w:pPr>
                  <w:r>
                    <w:rPr>
                      <w:rFonts w:hint="eastAsia"/>
                      <w:bCs/>
                    </w:rPr>
                    <w:t>昼间</w:t>
                  </w:r>
                </w:p>
              </w:tc>
              <w:tc>
                <w:tcPr>
                  <w:tcW w:w="1303" w:type="dxa"/>
                  <w:tcBorders>
                    <w:top w:val="single" w:color="auto" w:sz="4" w:space="0"/>
                  </w:tcBorders>
                  <w:vAlign w:val="center"/>
                </w:tcPr>
                <w:p>
                  <w:pPr>
                    <w:pStyle w:val="164"/>
                    <w:rPr>
                      <w:bCs/>
                    </w:rPr>
                  </w:pPr>
                  <w:r>
                    <w:rPr>
                      <w:rFonts w:hint="eastAsia"/>
                      <w:bCs/>
                    </w:rPr>
                    <w:t>夜间</w:t>
                  </w:r>
                </w:p>
              </w:tc>
              <w:tc>
                <w:tcPr>
                  <w:tcW w:w="1832" w:type="dxa"/>
                  <w:tcBorders>
                    <w:top w:val="single" w:color="auto" w:sz="4" w:space="0"/>
                    <w:right w:val="single" w:color="auto" w:sz="4" w:space="0"/>
                  </w:tcBorders>
                  <w:vAlign w:val="center"/>
                </w:tcPr>
                <w:p>
                  <w:pPr>
                    <w:pStyle w:val="164"/>
                    <w:rPr>
                      <w:bCs/>
                    </w:rPr>
                  </w:pPr>
                  <w:r>
                    <w:rPr>
                      <w:rFonts w:hint="eastAsia"/>
                      <w:bC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33" w:type="dxa"/>
                  <w:tcBorders>
                    <w:left w:val="single" w:color="auto" w:sz="4" w:space="0"/>
                  </w:tcBorders>
                  <w:vAlign w:val="center"/>
                </w:tcPr>
                <w:p>
                  <w:pPr>
                    <w:pStyle w:val="164"/>
                    <w:rPr>
                      <w:bCs/>
                    </w:rPr>
                  </w:pPr>
                  <w:r>
                    <w:rPr>
                      <w:rFonts w:hint="eastAsia"/>
                      <w:bCs/>
                    </w:rPr>
                    <w:t>3类</w:t>
                  </w:r>
                </w:p>
              </w:tc>
              <w:tc>
                <w:tcPr>
                  <w:tcW w:w="1306" w:type="dxa"/>
                  <w:vAlign w:val="center"/>
                </w:tcPr>
                <w:p>
                  <w:pPr>
                    <w:pStyle w:val="164"/>
                    <w:rPr>
                      <w:bCs/>
                    </w:rPr>
                  </w:pPr>
                  <w:r>
                    <w:rPr>
                      <w:rFonts w:hint="eastAsia"/>
                      <w:bCs/>
                    </w:rPr>
                    <w:t>65</w:t>
                  </w:r>
                </w:p>
              </w:tc>
              <w:tc>
                <w:tcPr>
                  <w:tcW w:w="1303" w:type="dxa"/>
                  <w:vAlign w:val="center"/>
                </w:tcPr>
                <w:p>
                  <w:pPr>
                    <w:pStyle w:val="164"/>
                    <w:rPr>
                      <w:bCs/>
                    </w:rPr>
                  </w:pPr>
                  <w:r>
                    <w:rPr>
                      <w:rFonts w:hint="eastAsia"/>
                      <w:bCs/>
                    </w:rPr>
                    <w:t>55</w:t>
                  </w:r>
                </w:p>
              </w:tc>
              <w:tc>
                <w:tcPr>
                  <w:tcW w:w="1832" w:type="dxa"/>
                  <w:tcBorders>
                    <w:right w:val="single" w:color="auto" w:sz="4" w:space="0"/>
                  </w:tcBorders>
                  <w:vAlign w:val="center"/>
                </w:tcPr>
                <w:p>
                  <w:pPr>
                    <w:pStyle w:val="164"/>
                    <w:rPr>
                      <w:bCs/>
                    </w:rPr>
                  </w:pPr>
                  <w:r>
                    <w:rPr>
                      <w:rFonts w:hint="eastAsia"/>
                      <w:bCs/>
                    </w:rPr>
                    <w:t>西、南侧厂界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533" w:type="dxa"/>
                  <w:tcBorders>
                    <w:left w:val="single" w:color="auto" w:sz="4" w:space="0"/>
                    <w:bottom w:val="single" w:color="auto" w:sz="4" w:space="0"/>
                  </w:tcBorders>
                  <w:vAlign w:val="center"/>
                </w:tcPr>
                <w:p>
                  <w:pPr>
                    <w:pStyle w:val="164"/>
                    <w:rPr>
                      <w:bCs/>
                    </w:rPr>
                  </w:pPr>
                  <w:r>
                    <w:rPr>
                      <w:rFonts w:hint="eastAsia"/>
                      <w:bCs/>
                    </w:rPr>
                    <w:t>4类</w:t>
                  </w:r>
                </w:p>
              </w:tc>
              <w:tc>
                <w:tcPr>
                  <w:tcW w:w="1306" w:type="dxa"/>
                  <w:tcBorders>
                    <w:bottom w:val="single" w:color="auto" w:sz="4" w:space="0"/>
                  </w:tcBorders>
                  <w:vAlign w:val="center"/>
                </w:tcPr>
                <w:p>
                  <w:pPr>
                    <w:pStyle w:val="164"/>
                    <w:rPr>
                      <w:bCs/>
                    </w:rPr>
                  </w:pPr>
                  <w:r>
                    <w:rPr>
                      <w:rFonts w:hint="eastAsia"/>
                      <w:bCs/>
                    </w:rPr>
                    <w:t>70</w:t>
                  </w:r>
                </w:p>
              </w:tc>
              <w:tc>
                <w:tcPr>
                  <w:tcW w:w="1303" w:type="dxa"/>
                  <w:tcBorders>
                    <w:bottom w:val="single" w:color="auto" w:sz="4" w:space="0"/>
                  </w:tcBorders>
                  <w:vAlign w:val="center"/>
                </w:tcPr>
                <w:p>
                  <w:pPr>
                    <w:pStyle w:val="164"/>
                    <w:rPr>
                      <w:bCs/>
                    </w:rPr>
                  </w:pPr>
                  <w:r>
                    <w:rPr>
                      <w:rFonts w:hint="eastAsia"/>
                      <w:bCs/>
                    </w:rPr>
                    <w:t>55</w:t>
                  </w:r>
                </w:p>
              </w:tc>
              <w:tc>
                <w:tcPr>
                  <w:tcW w:w="1832" w:type="dxa"/>
                  <w:tcBorders>
                    <w:bottom w:val="single" w:color="auto" w:sz="4" w:space="0"/>
                    <w:right w:val="single" w:color="auto" w:sz="4" w:space="0"/>
                  </w:tcBorders>
                  <w:vAlign w:val="center"/>
                </w:tcPr>
                <w:p>
                  <w:pPr>
                    <w:pStyle w:val="164"/>
                    <w:rPr>
                      <w:bCs/>
                    </w:rPr>
                  </w:pPr>
                  <w:r>
                    <w:rPr>
                      <w:rFonts w:hint="eastAsia"/>
                      <w:bCs/>
                    </w:rPr>
                    <w:t>北、东侧厂界</w:t>
                  </w:r>
                </w:p>
              </w:tc>
            </w:tr>
          </w:tbl>
          <w:p>
            <w:pPr>
              <w:pStyle w:val="165"/>
              <w:rPr>
                <w:b w:val="0"/>
              </w:rPr>
            </w:pPr>
          </w:p>
          <w:p>
            <w:pPr>
              <w:pStyle w:val="5"/>
              <w:keepNext w:val="0"/>
              <w:keepLines w:val="0"/>
              <w:snapToGrid w:val="0"/>
              <w:rPr>
                <w:rFonts w:ascii="宋体" w:hAnsi="宋体"/>
              </w:rPr>
            </w:pPr>
            <w:r>
              <w:rPr>
                <w:rFonts w:hint="eastAsia" w:ascii="宋体" w:hAnsi="宋体"/>
              </w:rPr>
              <w:t>3.7.4  固体废物</w:t>
            </w:r>
          </w:p>
          <w:p>
            <w:pPr>
              <w:pStyle w:val="160"/>
              <w:ind w:firstLine="480"/>
            </w:pPr>
            <w:r>
              <w:rPr>
                <w:rFonts w:hint="eastAsia"/>
              </w:rPr>
              <w:t>生活垃圾经收集后交当地环卫部门处理；一般工业固废不执行《一般工业固体废物贮存和填埋污染控制标准》（</w:t>
            </w:r>
            <w:r>
              <w:t>GB18599-2020），但一般工业固废贮存应满足相应防渗漏、防雨淋、防扬尘等环境保护要求，委托他人运输、利用、处置工业固体废物时，应当对受托方的主体资格和技术能力进行核实。</w:t>
            </w:r>
          </w:p>
          <w:p>
            <w:pPr>
              <w:pStyle w:val="160"/>
              <w:ind w:firstLine="480"/>
              <w:rPr>
                <w:color w:val="FF0000"/>
              </w:rPr>
            </w:pPr>
            <w:r>
              <w:rPr>
                <w:rFonts w:hint="eastAsia"/>
              </w:rPr>
              <w:t>危险废物执行《危险废物贮存污染控制标准》（</w:t>
            </w:r>
            <w:r>
              <w:t>GB18597-2023）、《危险废物转移管理办法》（2021年11月30日生态环境部、公安部、交通运输部令第23号）中相关要求。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800"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总量</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控制</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指标</w:t>
            </w:r>
          </w:p>
        </w:tc>
        <w:tc>
          <w:tcPr>
            <w:tcW w:w="8190" w:type="dxa"/>
          </w:tcPr>
          <w:p>
            <w:pPr>
              <w:pStyle w:val="3"/>
              <w:tabs>
                <w:tab w:val="left" w:pos="269"/>
                <w:tab w:val="left" w:pos="371"/>
                <w:tab w:val="left" w:pos="432"/>
              </w:tabs>
              <w:adjustRightInd w:val="0"/>
              <w:jc w:val="left"/>
              <w:rPr>
                <w:rFonts w:ascii="宋体" w:hAnsi="宋体"/>
                <w:bCs w:val="0"/>
                <w:sz w:val="24"/>
                <w:szCs w:val="22"/>
              </w:rPr>
            </w:pPr>
            <w:r>
              <w:rPr>
                <w:rFonts w:hint="eastAsia" w:ascii="宋体" w:hAnsi="宋体"/>
                <w:bCs w:val="0"/>
                <w:sz w:val="24"/>
                <w:szCs w:val="22"/>
              </w:rPr>
              <w:t>3.8总量控制</w:t>
            </w:r>
          </w:p>
          <w:p>
            <w:pPr>
              <w:pStyle w:val="160"/>
              <w:ind w:firstLine="480"/>
              <w:rPr>
                <w:rFonts w:asciiTheme="minorEastAsia" w:hAnsiTheme="minorEastAsia" w:eastAsiaTheme="minorEastAsia"/>
              </w:rPr>
            </w:pPr>
            <w:r>
              <w:rPr>
                <w:rFonts w:hint="eastAsia" w:asciiTheme="minorEastAsia" w:hAnsiTheme="minorEastAsia" w:eastAsiaTheme="minorEastAsia"/>
              </w:rPr>
              <w:t>扩建项目生活污水及生产废水排放量为0.49万m³/a，COD排放量为3.49t/a。</w:t>
            </w:r>
          </w:p>
          <w:p>
            <w:pPr>
              <w:pStyle w:val="160"/>
              <w:ind w:firstLine="480"/>
              <w:rPr>
                <w:rFonts w:asciiTheme="minorEastAsia" w:hAnsiTheme="minorEastAsia" w:eastAsiaTheme="minorEastAsia"/>
              </w:rPr>
            </w:pPr>
            <w:r>
              <w:rPr>
                <w:rFonts w:hint="eastAsia" w:asciiTheme="minorEastAsia" w:hAnsiTheme="minorEastAsia" w:eastAsiaTheme="minorEastAsia"/>
              </w:rPr>
              <w:t>废气中颗粒物排放量为7.46t/a，总VOCs排放量为4.54t/a、非甲烷总烃4.54t/a、甲苯与二甲苯合计0.54t/a；苯系物0.54t/a。</w:t>
            </w:r>
          </w:p>
          <w:p>
            <w:pPr>
              <w:pStyle w:val="160"/>
              <w:ind w:firstLine="480"/>
              <w:rPr>
                <w:rFonts w:ascii="宋体" w:hAnsi="宋体"/>
              </w:rPr>
            </w:pPr>
            <w:r>
              <w:rPr>
                <w:rFonts w:hint="eastAsia" w:asciiTheme="minorEastAsia" w:hAnsiTheme="minorEastAsia" w:eastAsiaTheme="minorEastAsia"/>
              </w:rPr>
              <w:t>一般工业固废产生量约1860.04t/a、危险固废产生量约57.07t/a、生活垃圾和污泥产生量约14t/a。</w:t>
            </w:r>
          </w:p>
        </w:tc>
      </w:tr>
    </w:tbl>
    <w:p>
      <w:pPr>
        <w:pStyle w:val="3"/>
      </w:pPr>
      <w:r>
        <w:rPr>
          <w:rFonts w:hint="eastAsia"/>
        </w:rPr>
        <w:t>四、主要环境影响和保护措施</w:t>
      </w:r>
    </w:p>
    <w:tbl>
      <w:tblPr>
        <w:tblStyle w:val="88"/>
        <w:tblW w:w="927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5"/>
        <w:gridCol w:w="8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81" w:hRule="atLeast"/>
          <w:jc w:val="center"/>
        </w:trPr>
        <w:tc>
          <w:tcPr>
            <w:tcW w:w="665" w:type="dxa"/>
            <w:tcMar>
              <w:left w:w="28" w:type="dxa"/>
              <w:right w:w="28" w:type="dxa"/>
            </w:tcMar>
            <w:vAlign w:val="center"/>
          </w:tcPr>
          <w:p>
            <w:pPr>
              <w:pStyle w:val="81"/>
              <w:widowControl w:val="0"/>
              <w:adjustRightInd w:val="0"/>
              <w:snapToGrid w:val="0"/>
              <w:spacing w:beforeAutospacing="0" w:after="0" w:afterAutospacing="0"/>
              <w:jc w:val="center"/>
              <w:rPr>
                <w:rFonts w:cs="宋体"/>
                <w:kern w:val="2"/>
                <w:sz w:val="21"/>
                <w:szCs w:val="21"/>
              </w:rPr>
            </w:pPr>
            <w:bookmarkStart w:id="38" w:name="_Hlk69218685"/>
            <w:r>
              <w:rPr>
                <w:rFonts w:hint="eastAsia" w:cs="宋体"/>
                <w:kern w:val="2"/>
                <w:sz w:val="21"/>
                <w:szCs w:val="21"/>
              </w:rPr>
              <w:t>施工</w:t>
            </w:r>
          </w:p>
          <w:p>
            <w:pPr>
              <w:pStyle w:val="81"/>
              <w:widowControl w:val="0"/>
              <w:adjustRightInd w:val="0"/>
              <w:snapToGrid w:val="0"/>
              <w:spacing w:beforeAutospacing="0" w:after="0" w:afterAutospacing="0"/>
              <w:jc w:val="center"/>
              <w:rPr>
                <w:rFonts w:cs="宋体"/>
                <w:kern w:val="2"/>
                <w:sz w:val="21"/>
                <w:szCs w:val="21"/>
              </w:rPr>
            </w:pPr>
            <w:r>
              <w:rPr>
                <w:rFonts w:hint="eastAsia" w:cs="宋体"/>
                <w:kern w:val="2"/>
                <w:sz w:val="21"/>
                <w:szCs w:val="21"/>
              </w:rPr>
              <w:t>期环</w:t>
            </w:r>
          </w:p>
          <w:p>
            <w:pPr>
              <w:pStyle w:val="81"/>
              <w:widowControl w:val="0"/>
              <w:adjustRightInd w:val="0"/>
              <w:snapToGrid w:val="0"/>
              <w:spacing w:beforeAutospacing="0" w:after="0" w:afterAutospacing="0"/>
              <w:jc w:val="center"/>
              <w:rPr>
                <w:rFonts w:cs="宋体"/>
                <w:kern w:val="2"/>
                <w:sz w:val="21"/>
                <w:szCs w:val="21"/>
              </w:rPr>
            </w:pPr>
            <w:r>
              <w:rPr>
                <w:rFonts w:hint="eastAsia" w:cs="宋体"/>
                <w:kern w:val="2"/>
                <w:sz w:val="21"/>
                <w:szCs w:val="21"/>
              </w:rPr>
              <w:t>境保</w:t>
            </w:r>
          </w:p>
          <w:p>
            <w:pPr>
              <w:pStyle w:val="81"/>
              <w:widowControl w:val="0"/>
              <w:adjustRightInd w:val="0"/>
              <w:snapToGrid w:val="0"/>
              <w:spacing w:beforeAutospacing="0" w:after="0" w:afterAutospacing="0"/>
              <w:jc w:val="center"/>
              <w:rPr>
                <w:rFonts w:cs="宋体"/>
                <w:kern w:val="2"/>
                <w:sz w:val="21"/>
                <w:szCs w:val="21"/>
              </w:rPr>
            </w:pPr>
            <w:r>
              <w:rPr>
                <w:rFonts w:hint="eastAsia" w:cs="宋体"/>
                <w:kern w:val="2"/>
                <w:sz w:val="21"/>
                <w:szCs w:val="21"/>
              </w:rPr>
              <w:t>护措</w:t>
            </w:r>
          </w:p>
          <w:p>
            <w:pPr>
              <w:pStyle w:val="81"/>
              <w:widowControl w:val="0"/>
              <w:adjustRightInd w:val="0"/>
              <w:snapToGrid w:val="0"/>
              <w:spacing w:beforeAutospacing="0" w:after="0" w:afterAutospacing="0"/>
              <w:jc w:val="center"/>
              <w:rPr>
                <w:rFonts w:cs="宋体"/>
                <w:bCs/>
                <w:kern w:val="2"/>
                <w:sz w:val="21"/>
                <w:szCs w:val="21"/>
              </w:rPr>
            </w:pPr>
            <w:r>
              <w:rPr>
                <w:rFonts w:hint="eastAsia" w:cs="宋体"/>
                <w:kern w:val="2"/>
                <w:sz w:val="21"/>
                <w:szCs w:val="21"/>
              </w:rPr>
              <w:t>施</w:t>
            </w:r>
          </w:p>
        </w:tc>
        <w:tc>
          <w:tcPr>
            <w:tcW w:w="8614" w:type="dxa"/>
          </w:tcPr>
          <w:p>
            <w:pPr>
              <w:pStyle w:val="4"/>
              <w:keepNext w:val="0"/>
              <w:keepLines w:val="0"/>
              <w:snapToGrid w:val="0"/>
              <w:rPr>
                <w:rFonts w:ascii="宋体" w:hAnsi="宋体"/>
              </w:rPr>
            </w:pPr>
            <w:r>
              <w:rPr>
                <w:rFonts w:hint="eastAsia" w:ascii="宋体" w:hAnsi="宋体"/>
              </w:rPr>
              <w:t>4.1施工期环境保护措施</w:t>
            </w:r>
          </w:p>
          <w:p>
            <w:pPr>
              <w:pStyle w:val="160"/>
              <w:ind w:firstLine="480"/>
            </w:pPr>
            <w:r>
              <w:t>扩建项目</w:t>
            </w:r>
            <w:r>
              <w:rPr>
                <w:rFonts w:hint="eastAsia"/>
              </w:rPr>
              <w:t>位于重庆市铜梁工业园区姜家岩工业小区</w:t>
            </w:r>
            <w:r>
              <w:t>，厂房及其配套设施已经建成</w:t>
            </w:r>
            <w:r>
              <w:rPr>
                <w:rFonts w:hint="eastAsia"/>
              </w:rPr>
              <w:t>，扩建项目不涉及土建工程。施工期影响主要为设备安装产生的废水、噪声和固体废物，对环境影响较小、本次评价不对施工期环境影响进行评价。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31" w:hRule="atLeast"/>
          <w:jc w:val="center"/>
        </w:trPr>
        <w:tc>
          <w:tcPr>
            <w:tcW w:w="665" w:type="dxa"/>
            <w:tcMar>
              <w:left w:w="28" w:type="dxa"/>
              <w:right w:w="28" w:type="dxa"/>
            </w:tcMar>
            <w:vAlign w:val="center"/>
          </w:tcPr>
          <w:p>
            <w:pPr>
              <w:pStyle w:val="81"/>
              <w:widowControl w:val="0"/>
              <w:adjustRightInd w:val="0"/>
              <w:snapToGrid w:val="0"/>
              <w:spacing w:beforeAutospacing="0" w:after="0" w:afterAutospacing="0"/>
              <w:jc w:val="center"/>
              <w:rPr>
                <w:rFonts w:cs="宋体"/>
                <w:kern w:val="2"/>
                <w:sz w:val="21"/>
                <w:szCs w:val="21"/>
              </w:rPr>
            </w:pPr>
          </w:p>
        </w:tc>
        <w:tc>
          <w:tcPr>
            <w:tcW w:w="8614" w:type="dxa"/>
          </w:tcPr>
          <w:p>
            <w:pPr>
              <w:pStyle w:val="4"/>
              <w:keepNext w:val="0"/>
              <w:keepLines w:val="0"/>
              <w:snapToGrid w:val="0"/>
              <w:rPr>
                <w:rFonts w:ascii="宋体" w:hAnsi="宋体" w:cs="Times New Roman"/>
              </w:rPr>
            </w:pPr>
            <w:r>
              <w:rPr>
                <w:rFonts w:hint="eastAsia" w:ascii="宋体" w:hAnsi="宋体" w:cs="Times New Roman"/>
              </w:rPr>
              <w:t>4.2</w:t>
            </w:r>
            <w:r>
              <w:rPr>
                <w:rFonts w:ascii="宋体" w:hAnsi="宋体" w:cs="Times New Roman"/>
              </w:rPr>
              <w:t>运营期环境影响和保护措施</w:t>
            </w:r>
          </w:p>
          <w:p>
            <w:pPr>
              <w:pStyle w:val="5"/>
              <w:keepNext w:val="0"/>
              <w:keepLines w:val="0"/>
              <w:snapToGrid w:val="0"/>
              <w:rPr>
                <w:rFonts w:ascii="宋体" w:hAnsi="宋体" w:cs="Times New Roman"/>
              </w:rPr>
            </w:pPr>
            <w:r>
              <w:rPr>
                <w:rFonts w:hint="eastAsia" w:ascii="宋体" w:hAnsi="宋体" w:cs="Times New Roman"/>
              </w:rPr>
              <w:t>4.2.1</w:t>
            </w:r>
            <w:r>
              <w:rPr>
                <w:rFonts w:ascii="宋体" w:hAnsi="宋体" w:cs="Times New Roman"/>
              </w:rPr>
              <w:t>废气</w:t>
            </w:r>
          </w:p>
          <w:p>
            <w:pPr>
              <w:pStyle w:val="4075"/>
              <w:numPr>
                <w:ilvl w:val="0"/>
                <w:numId w:val="9"/>
              </w:numPr>
            </w:pPr>
            <w:r>
              <w:rPr>
                <w:rFonts w:hint="eastAsia"/>
              </w:rPr>
              <w:t>木工粉尘</w:t>
            </w:r>
          </w:p>
          <w:p>
            <w:pPr>
              <w:pStyle w:val="160"/>
              <w:ind w:firstLine="480"/>
            </w:pPr>
            <w:r>
              <w:rPr>
                <w:rFonts w:hint="eastAsia"/>
              </w:rPr>
              <w:t>木工粉尘包括机加工粉尘及砂光粉尘。</w:t>
            </w:r>
          </w:p>
          <w:p>
            <w:pPr>
              <w:pStyle w:val="4076"/>
              <w:numPr>
                <w:ilvl w:val="0"/>
                <w:numId w:val="10"/>
              </w:numPr>
            </w:pPr>
            <w:r>
              <w:rPr>
                <w:rFonts w:hint="eastAsia"/>
              </w:rPr>
              <w:t>木工机加工粉尘</w:t>
            </w:r>
            <w:r>
              <w:t>（</w:t>
            </w:r>
            <w:r>
              <w:rPr>
                <w:rFonts w:hint="eastAsia"/>
              </w:rPr>
              <w:t>G1、G3、G17、G19</w:t>
            </w:r>
            <w:r>
              <w:t>）</w:t>
            </w:r>
          </w:p>
          <w:p>
            <w:pPr>
              <w:pStyle w:val="160"/>
              <w:ind w:firstLine="480"/>
            </w:pPr>
            <w:r>
              <w:rPr>
                <w:rFonts w:hint="eastAsia"/>
              </w:rPr>
              <w:t>扩建项目在开料、裁边、开料及钻孔等机加工过程中会产生一定量的木屑机加工粉尘</w:t>
            </w:r>
            <w:r>
              <w:t>（</w:t>
            </w:r>
            <w:r>
              <w:rPr>
                <w:rFonts w:hint="eastAsia"/>
              </w:rPr>
              <w:t>G1、G3、G17、G19</w:t>
            </w:r>
            <w:r>
              <w:t>），根据《排放源统计调查产排污核算方法和系数手册》（211木质家具制造行业系数手册），</w:t>
            </w:r>
            <w:r>
              <w:rPr>
                <w:rFonts w:hint="eastAsia"/>
              </w:rPr>
              <w:t>“</w:t>
            </w:r>
            <w:r>
              <w:t>下料</w:t>
            </w:r>
            <w:r>
              <w:rPr>
                <w:rFonts w:hint="eastAsia"/>
              </w:rPr>
              <w:t>-</w:t>
            </w:r>
            <w:r>
              <w:t>人造板家具</w:t>
            </w:r>
            <w:r>
              <w:rPr>
                <w:rFonts w:hint="eastAsia"/>
              </w:rPr>
              <w:t>/实木家具</w:t>
            </w:r>
            <w:r>
              <w:t>-人造板</w:t>
            </w:r>
            <w:r>
              <w:rPr>
                <w:rFonts w:hint="eastAsia"/>
              </w:rPr>
              <w:t>/实木</w:t>
            </w:r>
            <w:r>
              <w:t>-机加工-所有规模</w:t>
            </w:r>
            <w:r>
              <w:rPr>
                <w:rFonts w:hint="eastAsia"/>
              </w:rPr>
              <w:t>”</w:t>
            </w:r>
            <w:r>
              <w:t>颗粒物的产污系数为150g/m</w:t>
            </w:r>
            <w:r>
              <w:rPr>
                <w:vertAlign w:val="superscript"/>
              </w:rPr>
              <w:t>3</w:t>
            </w:r>
            <w:r>
              <w:rPr>
                <w:rFonts w:hint="eastAsia"/>
              </w:rPr>
              <w:t>-</w:t>
            </w:r>
            <w:r>
              <w:t>原料，扩建项目各类木板使用量约3683.04 m</w:t>
            </w:r>
            <w:r>
              <w:rPr>
                <w:vertAlign w:val="superscript"/>
              </w:rPr>
              <w:t>3</w:t>
            </w:r>
            <w:r>
              <w:t>/a，则</w:t>
            </w:r>
            <w:r>
              <w:rPr>
                <w:rFonts w:hint="eastAsia"/>
              </w:rPr>
              <w:t>机加工粉尘</w:t>
            </w:r>
            <w:r>
              <w:t>产生量为</w:t>
            </w:r>
            <w:r>
              <w:rPr>
                <w:rFonts w:hint="eastAsia"/>
              </w:rPr>
              <w:t>0.552</w:t>
            </w:r>
            <w:r>
              <w:t>t/a，木材</w:t>
            </w:r>
            <w:r>
              <w:rPr>
                <w:rFonts w:hint="eastAsia"/>
              </w:rPr>
              <w:t>机</w:t>
            </w:r>
            <w:r>
              <w:t>加工工序平均每天运行约</w:t>
            </w:r>
            <w:r>
              <w:rPr>
                <w:rFonts w:hint="eastAsia"/>
              </w:rPr>
              <w:t>8</w:t>
            </w:r>
            <w:r>
              <w:t>h，年工作</w:t>
            </w:r>
            <w:r>
              <w:rPr>
                <w:rFonts w:hint="eastAsia"/>
              </w:rPr>
              <w:t>时间约24</w:t>
            </w:r>
            <w:r>
              <w:t>00</w:t>
            </w:r>
            <w:r>
              <w:rPr>
                <w:rFonts w:hint="eastAsia"/>
              </w:rPr>
              <w:t>h。</w:t>
            </w:r>
          </w:p>
          <w:p>
            <w:pPr>
              <w:pStyle w:val="4076"/>
              <w:numPr>
                <w:ilvl w:val="0"/>
                <w:numId w:val="10"/>
              </w:numPr>
            </w:pPr>
            <w:r>
              <w:rPr>
                <w:rFonts w:hint="eastAsia"/>
              </w:rPr>
              <w:t>木材砂光粉尘（G</w:t>
            </w:r>
            <w:r>
              <w:t>4</w:t>
            </w:r>
            <w:r>
              <w:rPr>
                <w:rFonts w:hint="eastAsia"/>
              </w:rPr>
              <w:t>）</w:t>
            </w:r>
          </w:p>
          <w:p>
            <w:pPr>
              <w:pStyle w:val="160"/>
              <w:ind w:firstLine="480"/>
            </w:pPr>
            <w:r>
              <w:rPr>
                <w:rFonts w:hint="eastAsia"/>
              </w:rPr>
              <w:t>主要为实木家具木材砂光粉尘。根据</w:t>
            </w:r>
            <w:r>
              <w:t>《排放源统计调查产排污核算方法和系数手册》（211木质家具制造行业系数手册）</w:t>
            </w:r>
            <w:r>
              <w:rPr>
                <w:rFonts w:hint="eastAsia"/>
              </w:rPr>
              <w:t>，“211木制家具制造行业磨光”，扩建项目粉尘产污系数取23.5g/m</w:t>
            </w:r>
            <w:r>
              <w:rPr>
                <w:vertAlign w:val="superscript"/>
              </w:rPr>
              <w:t>2</w:t>
            </w:r>
            <w:r>
              <w:rPr>
                <w:rFonts w:hint="eastAsia"/>
              </w:rPr>
              <w:t>-产品。扩建项目仅实木家具柜体、柜门的正、反两面需砂光，则砂光面积为</w:t>
            </w:r>
            <w:r>
              <w:t>120262.50 m</w:t>
            </w:r>
            <w:r>
              <w:rPr>
                <w:vertAlign w:val="superscript"/>
              </w:rPr>
              <w:t>2</w:t>
            </w:r>
            <w:r>
              <w:t>，</w:t>
            </w:r>
            <w:r>
              <w:rPr>
                <w:rFonts w:hint="eastAsia"/>
              </w:rPr>
              <w:t>砂光</w:t>
            </w:r>
            <w:r>
              <w:t>粉尘总计产生的颗粒物为5.652 t/a，</w:t>
            </w:r>
            <w:r>
              <w:rPr>
                <w:rFonts w:hint="eastAsia"/>
              </w:rPr>
              <w:t>木材砂光作业每天约8h，</w:t>
            </w:r>
            <w:r>
              <w:t>砂光年生产时间为2400h。</w:t>
            </w:r>
          </w:p>
          <w:p>
            <w:pPr>
              <w:pStyle w:val="160"/>
              <w:ind w:firstLine="480"/>
            </w:pPr>
            <w:bookmarkStart w:id="39" w:name="_Hlk77433351"/>
            <w:r>
              <w:rPr>
                <w:rFonts w:hint="eastAsia"/>
              </w:rPr>
              <w:t>在下料机、推台锯、砂光机等产尘设备上方设置集气罩（收集效率</w:t>
            </w:r>
            <w:r>
              <w:t>80%），产生的木工粉尘经集气罩收集后通过废气管道抽入</w:t>
            </w:r>
            <w:r>
              <w:rPr>
                <w:rFonts w:hint="eastAsia"/>
              </w:rPr>
              <w:t>中央</w:t>
            </w:r>
            <w:r>
              <w:t>除尘器（处理效率</w:t>
            </w:r>
            <w:r>
              <w:rPr>
                <w:rFonts w:hint="eastAsia"/>
              </w:rPr>
              <w:t>80</w:t>
            </w:r>
            <w:r>
              <w:t>%）处理后通过15m高的</w:t>
            </w:r>
            <w:r>
              <w:rPr>
                <w:rFonts w:hint="eastAsia"/>
              </w:rPr>
              <w:t>D</w:t>
            </w:r>
            <w:r>
              <w:t>A00</w:t>
            </w:r>
            <w:r>
              <w:rPr>
                <w:rFonts w:hint="eastAsia"/>
              </w:rPr>
              <w:t>9</w:t>
            </w:r>
            <w:r>
              <w:t>排气筒排放。根据《大气污染控制工程》中集气罩的设计原则，集气罩风量按如下公式进行计算：</w:t>
            </w:r>
          </w:p>
          <w:p>
            <w:pPr>
              <w:pStyle w:val="160"/>
              <w:ind w:firstLine="480"/>
              <w:jc w:val="center"/>
            </w:pPr>
            <w:r>
              <w:t>Q=V</w:t>
            </w:r>
            <w:r>
              <w:rPr>
                <w:vertAlign w:val="subscript"/>
              </w:rPr>
              <w:t>0</w:t>
            </w:r>
            <w:r>
              <w:rPr>
                <w:rFonts w:cs="Times New Roman"/>
              </w:rPr>
              <w:t>×</w:t>
            </w:r>
            <w:r>
              <w:t>A</w:t>
            </w:r>
            <w:r>
              <w:rPr>
                <w:vertAlign w:val="subscript"/>
              </w:rPr>
              <w:t>0</w:t>
            </w:r>
            <w:r>
              <w:t>×3600</w:t>
            </w:r>
          </w:p>
          <w:p>
            <w:pPr>
              <w:pStyle w:val="160"/>
              <w:ind w:firstLine="480"/>
            </w:pPr>
            <w:r>
              <w:rPr>
                <w:rFonts w:hint="eastAsia"/>
              </w:rPr>
              <w:t>其中</w:t>
            </w:r>
            <w:r>
              <w:t>：</w:t>
            </w:r>
          </w:p>
          <w:p>
            <w:pPr>
              <w:pStyle w:val="160"/>
              <w:ind w:firstLine="480"/>
            </w:pPr>
            <w:r>
              <w:t>Q</w:t>
            </w:r>
            <w:r>
              <w:rPr>
                <w:rFonts w:hint="eastAsia"/>
              </w:rPr>
              <w:t>-</w:t>
            </w:r>
            <w:r>
              <w:t>集气罩风量，m</w:t>
            </w:r>
            <w:r>
              <w:rPr>
                <w:vertAlign w:val="superscript"/>
              </w:rPr>
              <w:t>3</w:t>
            </w:r>
            <w:r>
              <w:t>/h</w:t>
            </w:r>
            <w:r>
              <w:rPr>
                <w:rFonts w:hint="eastAsia"/>
              </w:rPr>
              <w:t>；</w:t>
            </w:r>
          </w:p>
          <w:p>
            <w:pPr>
              <w:pStyle w:val="160"/>
              <w:ind w:firstLine="480"/>
            </w:pPr>
            <w:r>
              <w:t>A</w:t>
            </w:r>
            <w:r>
              <w:rPr>
                <w:vertAlign w:val="subscript"/>
              </w:rPr>
              <w:t>0</w:t>
            </w:r>
            <w:r>
              <w:rPr>
                <w:rFonts w:hint="eastAsia"/>
              </w:rPr>
              <w:t>-</w:t>
            </w:r>
            <w:r>
              <w:t>吸气口面积，m</w:t>
            </w:r>
            <w:r>
              <w:rPr>
                <w:vertAlign w:val="superscript"/>
              </w:rPr>
              <w:t>2</w:t>
            </w:r>
            <w:r>
              <w:t>（取0.5m</w:t>
            </w:r>
            <w:r>
              <w:rPr>
                <w:vertAlign w:val="superscript"/>
              </w:rPr>
              <w:t>2</w:t>
            </w:r>
            <w:r>
              <w:t>）；</w:t>
            </w:r>
          </w:p>
          <w:p>
            <w:pPr>
              <w:pStyle w:val="160"/>
              <w:ind w:firstLine="480"/>
            </w:pPr>
            <w:r>
              <w:t>V</w:t>
            </w:r>
            <w:r>
              <w:rPr>
                <w:vertAlign w:val="subscript"/>
              </w:rPr>
              <w:t>0</w:t>
            </w:r>
            <w:r>
              <w:rPr>
                <w:rFonts w:hint="eastAsia"/>
              </w:rPr>
              <w:t>-</w:t>
            </w:r>
            <w:r>
              <w:t>污染源气体流速，m/s（取1.4m/s）；</w:t>
            </w:r>
          </w:p>
          <w:p>
            <w:pPr>
              <w:pStyle w:val="160"/>
              <w:ind w:firstLine="480"/>
            </w:pPr>
            <w:r>
              <w:rPr>
                <w:rFonts w:hint="eastAsia"/>
              </w:rPr>
              <w:t>经计算，单个集气罩风量约为</w:t>
            </w:r>
            <w:r>
              <w:t>2520m</w:t>
            </w:r>
            <w:r>
              <w:rPr>
                <w:vertAlign w:val="superscript"/>
              </w:rPr>
              <w:t>3</w:t>
            </w:r>
            <w:r>
              <w:t>/h，扩建项目开料机、推台锯</w:t>
            </w:r>
            <w:r>
              <w:rPr>
                <w:rFonts w:hint="eastAsia"/>
              </w:rPr>
              <w:t>、砂光机</w:t>
            </w:r>
            <w:r>
              <w:t>等产尘设备共</w:t>
            </w:r>
            <w:r>
              <w:rPr>
                <w:rFonts w:hint="eastAsia"/>
              </w:rPr>
              <w:t>31</w:t>
            </w:r>
            <w:r>
              <w:t>个产尘点位，故共设置</w:t>
            </w:r>
            <w:r>
              <w:rPr>
                <w:rFonts w:hint="eastAsia"/>
              </w:rPr>
              <w:t>31</w:t>
            </w:r>
            <w:r>
              <w:t>个集气罩，计算出总风量为</w:t>
            </w:r>
            <w:r>
              <w:rPr>
                <w:rFonts w:hint="eastAsia"/>
              </w:rPr>
              <w:t>78120</w:t>
            </w:r>
            <w:r>
              <w:t>m</w:t>
            </w:r>
            <w:r>
              <w:rPr>
                <w:vertAlign w:val="superscript"/>
              </w:rPr>
              <w:t>3</w:t>
            </w:r>
            <w:r>
              <w:t>/h，本次评价取整，</w:t>
            </w:r>
            <w:r>
              <w:rPr>
                <w:rFonts w:hint="eastAsia"/>
              </w:rPr>
              <w:t>木工</w:t>
            </w:r>
            <w:r>
              <w:t>产尘点位总风量按</w:t>
            </w:r>
            <w:r>
              <w:rPr>
                <w:rFonts w:hint="eastAsia"/>
              </w:rPr>
              <w:t>80000</w:t>
            </w:r>
            <w:r>
              <w:t>m</w:t>
            </w:r>
            <w:r>
              <w:rPr>
                <w:vertAlign w:val="superscript"/>
              </w:rPr>
              <w:t>3</w:t>
            </w:r>
            <w:r>
              <w:t>/h</w:t>
            </w:r>
            <w:r>
              <w:rPr>
                <w:rFonts w:hint="eastAsia"/>
              </w:rPr>
              <w:t>计算</w:t>
            </w:r>
            <w:r>
              <w:t>。</w:t>
            </w:r>
          </w:p>
          <w:p>
            <w:pPr>
              <w:pStyle w:val="160"/>
              <w:ind w:firstLine="480"/>
            </w:pPr>
            <w:r>
              <w:rPr>
                <w:rFonts w:hint="eastAsia"/>
              </w:rPr>
              <w:t>则木工粉尘产生总量为6.20t/a，其中有组织收集量为4.96t/a，有组织排放量为</w:t>
            </w:r>
            <w:r>
              <w:t>0.</w:t>
            </w:r>
            <w:r>
              <w:rPr>
                <w:rFonts w:hint="eastAsia"/>
              </w:rPr>
              <w:t>50t/a；无组织产生量为1.24t/a，排放量为1.24t/a。</w:t>
            </w:r>
          </w:p>
          <w:p>
            <w:pPr>
              <w:pStyle w:val="4076"/>
              <w:numPr>
                <w:ilvl w:val="0"/>
                <w:numId w:val="10"/>
              </w:numPr>
            </w:pPr>
            <w:r>
              <w:rPr>
                <w:rFonts w:hint="eastAsia"/>
              </w:rPr>
              <w:t>砂纸打磨废气（G5）</w:t>
            </w:r>
          </w:p>
          <w:p>
            <w:pPr>
              <w:pStyle w:val="4075"/>
            </w:pPr>
            <w:r>
              <w:rPr>
                <w:rFonts w:hint="eastAsia"/>
              </w:rPr>
              <w:t>人工用砂纸对木板在砂光工序产生的毛刺进行进一步打磨，使其光滑、平整。打磨过程将产生少量砂纸打磨废气（G5），砂纸打磨废气（G5）车间无组织排放。</w:t>
            </w:r>
          </w:p>
          <w:p>
            <w:pPr>
              <w:pStyle w:val="4076"/>
              <w:numPr>
                <w:ilvl w:val="0"/>
                <w:numId w:val="10"/>
              </w:numPr>
            </w:pPr>
            <w:r>
              <w:rPr>
                <w:rFonts w:hint="eastAsia"/>
              </w:rPr>
              <w:t>灰磨废气（G6）</w:t>
            </w:r>
          </w:p>
          <w:p>
            <w:pPr>
              <w:pStyle w:val="160"/>
              <w:ind w:firstLine="480"/>
            </w:pPr>
            <w:r>
              <w:rPr>
                <w:rFonts w:hint="eastAsia"/>
              </w:rPr>
              <w:t>扩建项目批灰打磨过程会产生少量粉尘。根据建设单位提供资料，扩建项目腻子粉用量约3.0</w:t>
            </w:r>
            <w:r>
              <w:t>t/a，粉尘产生量约为腻子灰使用量的20%，则</w:t>
            </w:r>
            <w:r>
              <w:rPr>
                <w:rFonts w:hint="eastAsia"/>
              </w:rPr>
              <w:t>白坯</w:t>
            </w:r>
            <w:r>
              <w:t>过程粉尘产生量约0.</w:t>
            </w:r>
            <w:r>
              <w:rPr>
                <w:rFonts w:hint="eastAsia"/>
              </w:rPr>
              <w:t>6</w:t>
            </w:r>
            <w:r>
              <w:t>t/a</w:t>
            </w:r>
            <w:r>
              <w:rPr>
                <w:rFonts w:hint="eastAsia"/>
              </w:rPr>
              <w:t>，0.25kg/h</w:t>
            </w:r>
            <w:r>
              <w:t>。</w:t>
            </w:r>
            <w:r>
              <w:rPr>
                <w:rFonts w:hint="eastAsia"/>
              </w:rPr>
              <w:t>白坯</w:t>
            </w:r>
            <w:r>
              <w:t>工序时间为2400h</w:t>
            </w:r>
            <w:r>
              <w:rPr>
                <w:rFonts w:hint="eastAsia"/>
              </w:rPr>
              <w:t>/a</w:t>
            </w:r>
            <w:r>
              <w:t>。</w:t>
            </w:r>
            <w:r>
              <w:rPr>
                <w:rFonts w:hint="eastAsia" w:ascii="宋体" w:hAnsi="宋体" w:cs="宋体"/>
              </w:rPr>
              <w:t>灰磨废气</w:t>
            </w:r>
            <w:r>
              <w:rPr>
                <w:rFonts w:hint="eastAsia"/>
              </w:rPr>
              <w:t>（G6）通过打磨间自带的喷淋除尘装置处理后车间无组织排放。喷淋处理系统处理效率按60%计算，则排放量为</w:t>
            </w:r>
            <w:r>
              <w:t>0.</w:t>
            </w:r>
            <w:r>
              <w:rPr>
                <w:rFonts w:hint="eastAsia"/>
              </w:rPr>
              <w:t>24</w:t>
            </w:r>
            <w:r>
              <w:t>t/a</w:t>
            </w:r>
            <w:r>
              <w:rPr>
                <w:rFonts w:hint="eastAsia"/>
              </w:rPr>
              <w:t>，0.1kg/h</w:t>
            </w:r>
            <w:r>
              <w:t>。</w:t>
            </w:r>
          </w:p>
          <w:p>
            <w:pPr>
              <w:pStyle w:val="4076"/>
              <w:numPr>
                <w:ilvl w:val="0"/>
                <w:numId w:val="10"/>
              </w:numPr>
            </w:pPr>
            <w:r>
              <w:rPr>
                <w:rFonts w:hint="eastAsia"/>
              </w:rPr>
              <w:t>油磨粉尘（G</w:t>
            </w:r>
            <w:r>
              <w:t>1</w:t>
            </w:r>
            <w:r>
              <w:rPr>
                <w:rFonts w:hint="eastAsia"/>
              </w:rPr>
              <w:t>1）</w:t>
            </w:r>
          </w:p>
          <w:p>
            <w:pPr>
              <w:pStyle w:val="160"/>
              <w:ind w:firstLine="480"/>
            </w:pPr>
            <w:r>
              <w:rPr>
                <w:rFonts w:hint="eastAsia"/>
              </w:rPr>
              <w:t>主要为底漆打磨粉尘。根据</w:t>
            </w:r>
            <w:r>
              <w:t>《排放源统计调查产排污核算方法和系数手册》（211木质家具制造行业系数手册）</w:t>
            </w:r>
            <w:r>
              <w:rPr>
                <w:rFonts w:hint="eastAsia"/>
              </w:rPr>
              <w:t>，“211木制家具制造行业磨光”，扩建项目颗粒物产污系数取23.5g/m</w:t>
            </w:r>
            <w:r>
              <w:rPr>
                <w:vertAlign w:val="superscript"/>
              </w:rPr>
              <w:t>2</w:t>
            </w:r>
            <w:r>
              <w:rPr>
                <w:rFonts w:hint="eastAsia"/>
              </w:rPr>
              <w:t>-产品。扩建项目油磨面积为</w:t>
            </w:r>
            <w:r>
              <w:t>67347.0  m</w:t>
            </w:r>
            <w:r>
              <w:rPr>
                <w:vertAlign w:val="superscript"/>
              </w:rPr>
              <w:t>2</w:t>
            </w:r>
            <w:r>
              <w:t>。则</w:t>
            </w:r>
            <w:r>
              <w:rPr>
                <w:rFonts w:hint="eastAsia"/>
              </w:rPr>
              <w:t>油磨</w:t>
            </w:r>
            <w:r>
              <w:t>过程粉尘产生量约1.583t/a</w:t>
            </w:r>
            <w:r>
              <w:rPr>
                <w:rFonts w:hint="eastAsia"/>
              </w:rPr>
              <w:t>，0.66kg/h</w:t>
            </w:r>
            <w:r>
              <w:t>。</w:t>
            </w:r>
            <w:r>
              <w:rPr>
                <w:rFonts w:hint="eastAsia"/>
              </w:rPr>
              <w:t>油磨</w:t>
            </w:r>
            <w:r>
              <w:t>工序时间为2400h</w:t>
            </w:r>
            <w:r>
              <w:rPr>
                <w:rFonts w:hint="eastAsia"/>
              </w:rPr>
              <w:t>/a</w:t>
            </w:r>
            <w:r>
              <w:t>。</w:t>
            </w:r>
            <w:r>
              <w:rPr>
                <w:rFonts w:hint="eastAsia"/>
              </w:rPr>
              <w:t>油磨粉尘（G</w:t>
            </w:r>
            <w:r>
              <w:t>1</w:t>
            </w:r>
            <w:r>
              <w:rPr>
                <w:rFonts w:hint="eastAsia"/>
              </w:rPr>
              <w:t>1）通过打磨间自带的喷淋除尘装置处理后车间无组织排放。喷淋处理系统处理效率按60%计算，则排放量为</w:t>
            </w:r>
            <w:r>
              <w:t>0.</w:t>
            </w:r>
            <w:r>
              <w:rPr>
                <w:rFonts w:hint="eastAsia"/>
              </w:rPr>
              <w:t>63</w:t>
            </w:r>
            <w:r>
              <w:t>t/a</w:t>
            </w:r>
            <w:r>
              <w:rPr>
                <w:rFonts w:hint="eastAsia"/>
              </w:rPr>
              <w:t>，0.26kg/h</w:t>
            </w:r>
            <w:r>
              <w:t>。</w:t>
            </w:r>
          </w:p>
          <w:p>
            <w:pPr>
              <w:pStyle w:val="4076"/>
              <w:numPr>
                <w:ilvl w:val="0"/>
                <w:numId w:val="10"/>
              </w:numPr>
            </w:pPr>
            <w:r>
              <w:t>UV打磨废气</w:t>
            </w:r>
            <w:r>
              <w:rPr>
                <w:rFonts w:hint="eastAsia"/>
              </w:rPr>
              <w:t>（G8）</w:t>
            </w:r>
          </w:p>
          <w:p>
            <w:pPr>
              <w:pStyle w:val="160"/>
              <w:ind w:firstLine="480"/>
            </w:pPr>
            <w:r>
              <w:rPr>
                <w:rFonts w:hint="eastAsia"/>
              </w:rPr>
              <w:t>主要为UV打磨粉尘。根据</w:t>
            </w:r>
            <w:r>
              <w:t>《排放源统计调查产排污核算方法和系数手册》（211木质家具制造行业系数手册）</w:t>
            </w:r>
            <w:r>
              <w:rPr>
                <w:rFonts w:hint="eastAsia"/>
              </w:rPr>
              <w:t>，“211木制家具制造行业磨光”，扩建项目颗粒物产污系数取23.5g/m</w:t>
            </w:r>
            <w:r>
              <w:rPr>
                <w:vertAlign w:val="superscript"/>
              </w:rPr>
              <w:t>2</w:t>
            </w:r>
            <w:r>
              <w:rPr>
                <w:rFonts w:hint="eastAsia"/>
              </w:rPr>
              <w:t>-产品。扩建项目UV打磨面积为</w:t>
            </w:r>
            <w:r>
              <w:t>16836.8  m</w:t>
            </w:r>
            <w:r>
              <w:rPr>
                <w:vertAlign w:val="superscript"/>
              </w:rPr>
              <w:t>2</w:t>
            </w:r>
            <w:r>
              <w:t xml:space="preserve">。则UV打磨过程粉尘产生量约0.396 </w:t>
            </w:r>
            <w:r>
              <w:tab/>
            </w:r>
            <w:r>
              <w:t>t/a</w:t>
            </w:r>
            <w:r>
              <w:rPr>
                <w:rFonts w:hint="eastAsia"/>
              </w:rPr>
              <w:t>，0.16kg/h</w:t>
            </w:r>
            <w:r>
              <w:t>。UV打磨工序时间为2400h</w:t>
            </w:r>
            <w:r>
              <w:rPr>
                <w:rFonts w:hint="eastAsia"/>
              </w:rPr>
              <w:t>/a</w:t>
            </w:r>
            <w:r>
              <w:t>。UV打磨废气（G8）</w:t>
            </w:r>
            <w:r>
              <w:rPr>
                <w:rFonts w:hint="eastAsia"/>
              </w:rPr>
              <w:t>通过设备自带的喷淋除尘装置处理后车间无组织排放。喷淋处理系统处理效率按60%计算，则排放量为0.16</w:t>
            </w:r>
            <w:r>
              <w:t>t/a</w:t>
            </w:r>
            <w:r>
              <w:rPr>
                <w:rFonts w:hint="eastAsia"/>
              </w:rPr>
              <w:t>，0.07kg/h</w:t>
            </w:r>
            <w:r>
              <w:t>。</w:t>
            </w:r>
          </w:p>
          <w:p>
            <w:pPr>
              <w:pStyle w:val="4075"/>
              <w:numPr>
                <w:ilvl w:val="0"/>
                <w:numId w:val="9"/>
              </w:numPr>
            </w:pPr>
            <w:r>
              <w:rPr>
                <w:rFonts w:hint="eastAsia"/>
              </w:rPr>
              <w:t>涂装废气</w:t>
            </w:r>
          </w:p>
          <w:p>
            <w:pPr>
              <w:pStyle w:val="4075"/>
              <w:rPr>
                <w:rFonts w:cs="宋体" w:asciiTheme="minorEastAsia" w:hAnsiTheme="minorEastAsia" w:eastAsiaTheme="minorEastAsia"/>
              </w:rPr>
            </w:pPr>
            <w:r>
              <w:rPr>
                <w:rFonts w:hint="eastAsia" w:cs="宋体" w:asciiTheme="minorEastAsia" w:hAnsiTheme="minorEastAsia" w:eastAsiaTheme="minorEastAsia"/>
              </w:rPr>
              <w:t>1#线、2#线涂装废气及U</w:t>
            </w:r>
            <w:r>
              <w:rPr>
                <w:rFonts w:hint="eastAsia" w:asciiTheme="minorEastAsia" w:hAnsiTheme="minorEastAsia" w:eastAsiaTheme="minorEastAsia"/>
              </w:rPr>
              <w:t>V</w:t>
            </w:r>
            <w:r>
              <w:rPr>
                <w:rFonts w:hint="eastAsia" w:cs="宋体" w:asciiTheme="minorEastAsia" w:hAnsiTheme="minorEastAsia" w:eastAsiaTheme="minorEastAsia"/>
              </w:rPr>
              <w:t>漆涂装废气包括：底漆涂装废气（</w:t>
            </w:r>
            <w:r>
              <w:rPr>
                <w:rFonts w:hint="eastAsia" w:asciiTheme="minorEastAsia" w:hAnsiTheme="minorEastAsia" w:eastAsiaTheme="minorEastAsia"/>
              </w:rPr>
              <w:t>G9-1</w:t>
            </w:r>
            <w:r>
              <w:rPr>
                <w:rFonts w:hint="eastAsia" w:cs="宋体" w:asciiTheme="minorEastAsia" w:hAnsiTheme="minorEastAsia" w:eastAsiaTheme="minorEastAsia"/>
              </w:rPr>
              <w:t>）、底漆晾</w:t>
            </w:r>
            <w:r>
              <w:rPr>
                <w:rFonts w:hint="eastAsia" w:asciiTheme="minorEastAsia" w:hAnsiTheme="minorEastAsia" w:eastAsiaTheme="minorEastAsia"/>
              </w:rPr>
              <w:t>/</w:t>
            </w:r>
            <w:r>
              <w:rPr>
                <w:rFonts w:hint="eastAsia" w:cs="宋体" w:asciiTheme="minorEastAsia" w:hAnsiTheme="minorEastAsia" w:eastAsiaTheme="minorEastAsia"/>
              </w:rPr>
              <w:t>烘干废气（</w:t>
            </w:r>
            <w:r>
              <w:rPr>
                <w:rFonts w:hint="eastAsia" w:asciiTheme="minorEastAsia" w:hAnsiTheme="minorEastAsia" w:eastAsiaTheme="minorEastAsia"/>
              </w:rPr>
              <w:t>G10-1</w:t>
            </w:r>
            <w:r>
              <w:rPr>
                <w:rFonts w:hint="eastAsia" w:cs="宋体" w:asciiTheme="minorEastAsia" w:hAnsiTheme="minorEastAsia" w:eastAsiaTheme="minorEastAsia"/>
              </w:rPr>
              <w:t>）、修色废气（</w:t>
            </w:r>
            <w:r>
              <w:rPr>
                <w:rFonts w:hint="eastAsia" w:asciiTheme="minorEastAsia" w:hAnsiTheme="minorEastAsia" w:eastAsiaTheme="minorEastAsia"/>
              </w:rPr>
              <w:t>G12-1</w:t>
            </w:r>
            <w:r>
              <w:rPr>
                <w:rFonts w:hint="eastAsia" w:cs="宋体" w:asciiTheme="minorEastAsia" w:hAnsiTheme="minorEastAsia" w:eastAsiaTheme="minorEastAsia"/>
              </w:rPr>
              <w:t>）、面漆涂装废气（</w:t>
            </w:r>
            <w:r>
              <w:rPr>
                <w:rFonts w:hint="eastAsia" w:asciiTheme="minorEastAsia" w:hAnsiTheme="minorEastAsia" w:eastAsiaTheme="minorEastAsia"/>
              </w:rPr>
              <w:t>G13-1</w:t>
            </w:r>
            <w:r>
              <w:rPr>
                <w:rFonts w:hint="eastAsia" w:cs="宋体" w:asciiTheme="minorEastAsia" w:hAnsiTheme="minorEastAsia" w:eastAsiaTheme="minorEastAsia"/>
              </w:rPr>
              <w:t>）、面漆晾</w:t>
            </w:r>
            <w:r>
              <w:rPr>
                <w:rFonts w:hint="eastAsia" w:asciiTheme="minorEastAsia" w:hAnsiTheme="minorEastAsia" w:eastAsiaTheme="minorEastAsia"/>
              </w:rPr>
              <w:t>/</w:t>
            </w:r>
            <w:r>
              <w:rPr>
                <w:rFonts w:hint="eastAsia" w:cs="宋体" w:asciiTheme="minorEastAsia" w:hAnsiTheme="minorEastAsia" w:eastAsiaTheme="minorEastAsia"/>
              </w:rPr>
              <w:t>烘干废气（</w:t>
            </w:r>
            <w:r>
              <w:rPr>
                <w:rFonts w:hint="eastAsia" w:asciiTheme="minorEastAsia" w:hAnsiTheme="minorEastAsia" w:eastAsiaTheme="minorEastAsia"/>
              </w:rPr>
              <w:t>G14-1</w:t>
            </w:r>
            <w:r>
              <w:rPr>
                <w:rFonts w:hint="eastAsia" w:cs="宋体" w:asciiTheme="minorEastAsia" w:hAnsiTheme="minorEastAsia" w:eastAsiaTheme="minorEastAsia"/>
              </w:rPr>
              <w:t>）、调漆废气（</w:t>
            </w:r>
            <w:r>
              <w:rPr>
                <w:rFonts w:hint="eastAsia" w:asciiTheme="minorEastAsia" w:hAnsiTheme="minorEastAsia" w:eastAsiaTheme="minorEastAsia"/>
              </w:rPr>
              <w:t>G15-1/2</w:t>
            </w:r>
            <w:r>
              <w:rPr>
                <w:rFonts w:hint="eastAsia" w:cs="宋体" w:asciiTheme="minorEastAsia" w:hAnsiTheme="minorEastAsia" w:eastAsiaTheme="minorEastAsia"/>
              </w:rPr>
              <w:t>）、洗枪废气（</w:t>
            </w:r>
            <w:r>
              <w:rPr>
                <w:rFonts w:hint="eastAsia" w:asciiTheme="minorEastAsia" w:hAnsiTheme="minorEastAsia" w:eastAsiaTheme="minorEastAsia"/>
              </w:rPr>
              <w:t>G16-1</w:t>
            </w:r>
            <w:r>
              <w:rPr>
                <w:rFonts w:hint="eastAsia" w:cs="宋体" w:asciiTheme="minorEastAsia" w:hAnsiTheme="minorEastAsia" w:eastAsiaTheme="minorEastAsia"/>
              </w:rPr>
              <w:t>）、</w:t>
            </w:r>
            <w:r>
              <w:rPr>
                <w:rFonts w:hint="eastAsia" w:asciiTheme="minorEastAsia" w:hAnsiTheme="minorEastAsia" w:eastAsiaTheme="minorEastAsia"/>
              </w:rPr>
              <w:t>UV</w:t>
            </w:r>
            <w:r>
              <w:rPr>
                <w:rFonts w:hint="eastAsia" w:cs="宋体" w:asciiTheme="minorEastAsia" w:hAnsiTheme="minorEastAsia" w:eastAsiaTheme="minorEastAsia"/>
              </w:rPr>
              <w:t>涂装废气（</w:t>
            </w:r>
            <w:r>
              <w:rPr>
                <w:rFonts w:hint="eastAsia" w:asciiTheme="minorEastAsia" w:hAnsiTheme="minorEastAsia" w:eastAsiaTheme="minorEastAsia"/>
              </w:rPr>
              <w:t>G7</w:t>
            </w:r>
            <w:r>
              <w:rPr>
                <w:rFonts w:hint="eastAsia" w:cs="宋体" w:asciiTheme="minorEastAsia" w:hAnsiTheme="minorEastAsia" w:eastAsiaTheme="minorEastAsia"/>
              </w:rPr>
              <w:t>）。</w:t>
            </w:r>
            <w:r>
              <w:rPr>
                <w:rFonts w:asciiTheme="minorEastAsia" w:hAnsiTheme="minorEastAsia" w:eastAsiaTheme="minorEastAsia"/>
              </w:rPr>
              <w:t>主要污染因子为</w:t>
            </w:r>
            <w:r>
              <w:rPr>
                <w:rFonts w:hint="eastAsia" w:cs="宋体" w:asciiTheme="minorEastAsia" w:hAnsiTheme="minorEastAsia" w:eastAsiaTheme="minorEastAsia"/>
              </w:rPr>
              <w:t>颗粒物、非甲烷总烃、</w:t>
            </w:r>
            <w:r>
              <w:rPr>
                <w:rFonts w:hint="eastAsia" w:asciiTheme="minorEastAsia" w:hAnsiTheme="minorEastAsia" w:eastAsiaTheme="minorEastAsia"/>
              </w:rPr>
              <w:t>VOCs</w:t>
            </w:r>
            <w:r>
              <w:rPr>
                <w:rFonts w:hint="eastAsia" w:cs="宋体" w:asciiTheme="minorEastAsia" w:hAnsiTheme="minorEastAsia" w:eastAsiaTheme="minorEastAsia"/>
              </w:rPr>
              <w:t>、甲苯</w:t>
            </w:r>
            <w:r>
              <w:rPr>
                <w:rFonts w:hint="eastAsia" w:asciiTheme="minorEastAsia" w:hAnsiTheme="minorEastAsia" w:eastAsiaTheme="minorEastAsia"/>
              </w:rPr>
              <w:t>+</w:t>
            </w:r>
            <w:r>
              <w:rPr>
                <w:rFonts w:hint="eastAsia" w:cs="宋体" w:asciiTheme="minorEastAsia" w:hAnsiTheme="minorEastAsia" w:eastAsiaTheme="minorEastAsia"/>
              </w:rPr>
              <w:t>二甲苯合计、苯系物</w:t>
            </w:r>
            <w:r>
              <w:rPr>
                <w:rFonts w:hint="eastAsia" w:asciiTheme="minorEastAsia" w:hAnsiTheme="minorEastAsia" w:eastAsiaTheme="minorEastAsia"/>
              </w:rPr>
              <w:t>。</w:t>
            </w:r>
            <w:r>
              <w:rPr>
                <w:rFonts w:hint="eastAsia" w:cs="宋体" w:asciiTheme="minorEastAsia" w:hAnsiTheme="minorEastAsia" w:eastAsiaTheme="minorEastAsia"/>
              </w:rPr>
              <w:t>1#线涂装废气经1#湿式过滤</w:t>
            </w:r>
            <w:r>
              <w:rPr>
                <w:rFonts w:cs="宋体" w:asciiTheme="minorEastAsia" w:hAnsiTheme="minorEastAsia" w:eastAsiaTheme="minorEastAsia"/>
              </w:rPr>
              <w:t>+干式过滤+活性炭吸附浓缩+解析（催化燃烧）</w:t>
            </w:r>
            <w:r>
              <w:rPr>
                <w:rFonts w:hint="eastAsia" w:cs="宋体" w:asciiTheme="minorEastAsia" w:hAnsiTheme="minorEastAsia" w:eastAsiaTheme="minorEastAsia"/>
              </w:rPr>
              <w:t>处理</w:t>
            </w:r>
            <w:r>
              <w:rPr>
                <w:rFonts w:cs="宋体" w:asciiTheme="minorEastAsia" w:hAnsiTheme="minorEastAsia" w:eastAsiaTheme="minorEastAsia"/>
              </w:rPr>
              <w:t>后通过</w:t>
            </w:r>
            <w:r>
              <w:rPr>
                <w:rFonts w:hint="eastAsia" w:cs="宋体" w:asciiTheme="minorEastAsia" w:hAnsiTheme="minorEastAsia" w:eastAsiaTheme="minorEastAsia"/>
              </w:rPr>
              <w:t>15m排气筒DA001高空排放，2#线涂装废气及UV涂装废气经2#湿式过滤</w:t>
            </w:r>
            <w:r>
              <w:rPr>
                <w:rFonts w:cs="宋体" w:asciiTheme="minorEastAsia" w:hAnsiTheme="minorEastAsia" w:eastAsiaTheme="minorEastAsia"/>
              </w:rPr>
              <w:t>+干式过滤+活性炭吸附浓缩+解析（催化燃烧）</w:t>
            </w:r>
            <w:r>
              <w:rPr>
                <w:rFonts w:hint="eastAsia" w:cs="宋体" w:asciiTheme="minorEastAsia" w:hAnsiTheme="minorEastAsia" w:eastAsiaTheme="minorEastAsia"/>
              </w:rPr>
              <w:t>处理</w:t>
            </w:r>
            <w:r>
              <w:rPr>
                <w:rFonts w:cs="宋体" w:asciiTheme="minorEastAsia" w:hAnsiTheme="minorEastAsia" w:eastAsiaTheme="minorEastAsia"/>
              </w:rPr>
              <w:t>后通过</w:t>
            </w:r>
            <w:r>
              <w:rPr>
                <w:rFonts w:hint="eastAsia" w:cs="宋体" w:asciiTheme="minorEastAsia" w:hAnsiTheme="minorEastAsia" w:eastAsiaTheme="minorEastAsia"/>
              </w:rPr>
              <w:t>15m排气筒DA002高空排放</w:t>
            </w:r>
            <w:r>
              <w:rPr>
                <w:rFonts w:cs="宋体" w:asciiTheme="minorEastAsia" w:hAnsiTheme="minorEastAsia" w:eastAsiaTheme="minorEastAsia"/>
              </w:rPr>
              <w:t>。</w:t>
            </w:r>
          </w:p>
          <w:p>
            <w:pPr>
              <w:pStyle w:val="4075"/>
              <w:rPr>
                <w:rFonts w:asciiTheme="minorEastAsia" w:hAnsiTheme="minorEastAsia" w:eastAsiaTheme="minorEastAsia"/>
              </w:rPr>
            </w:pPr>
            <w:r>
              <w:rPr>
                <w:rFonts w:hint="eastAsia" w:cs="宋体" w:asciiTheme="minorEastAsia" w:hAnsiTheme="minorEastAsia" w:eastAsiaTheme="minorEastAsia"/>
              </w:rPr>
              <w:t>3#及4#线涂装废气包括：底漆涂装废气（</w:t>
            </w:r>
            <w:r>
              <w:rPr>
                <w:rFonts w:cs="宋体" w:asciiTheme="minorEastAsia" w:hAnsiTheme="minorEastAsia" w:eastAsiaTheme="minorEastAsia"/>
              </w:rPr>
              <w:t>G9-2）、底漆晾/烘干废气（G10-2）、修色废气（G12-2）、面漆涂装废气（G13-2）、面漆晾/烘干废气（G14-2）</w:t>
            </w:r>
            <w:r>
              <w:rPr>
                <w:rFonts w:hint="eastAsia" w:cs="宋体" w:asciiTheme="minorEastAsia" w:hAnsiTheme="minorEastAsia" w:eastAsiaTheme="minorEastAsia"/>
              </w:rPr>
              <w:t>。</w:t>
            </w:r>
            <w:r>
              <w:rPr>
                <w:rFonts w:asciiTheme="minorEastAsia" w:hAnsiTheme="minorEastAsia" w:eastAsiaTheme="minorEastAsia"/>
              </w:rPr>
              <w:t>主要污染因子为</w:t>
            </w:r>
            <w:r>
              <w:rPr>
                <w:rFonts w:hint="eastAsia" w:cs="宋体" w:asciiTheme="minorEastAsia" w:hAnsiTheme="minorEastAsia" w:eastAsiaTheme="minorEastAsia"/>
              </w:rPr>
              <w:t>颗粒物、非甲烷总烃、</w:t>
            </w:r>
            <w:r>
              <w:rPr>
                <w:rFonts w:hint="eastAsia" w:asciiTheme="minorEastAsia" w:hAnsiTheme="minorEastAsia" w:eastAsiaTheme="minorEastAsia"/>
              </w:rPr>
              <w:t>VOCs。</w:t>
            </w:r>
            <w:r>
              <w:rPr>
                <w:rFonts w:hint="eastAsia" w:cs="宋体" w:asciiTheme="minorEastAsia" w:hAnsiTheme="minorEastAsia" w:eastAsiaTheme="minorEastAsia"/>
              </w:rPr>
              <w:t>3#及4#线涂装废气经3#及4#湿式过滤+干式过滤+活性炭吸附浓缩+解析（催化燃烧）处理</w:t>
            </w:r>
            <w:r>
              <w:rPr>
                <w:rFonts w:cs="宋体" w:asciiTheme="minorEastAsia" w:hAnsiTheme="minorEastAsia" w:eastAsiaTheme="minorEastAsia"/>
              </w:rPr>
              <w:t>后通过</w:t>
            </w:r>
            <w:r>
              <w:rPr>
                <w:rFonts w:hint="eastAsia" w:cs="宋体" w:asciiTheme="minorEastAsia" w:hAnsiTheme="minorEastAsia" w:eastAsiaTheme="minorEastAsia"/>
              </w:rPr>
              <w:t>15m排气筒D007/DA008高空排放</w:t>
            </w:r>
            <w:r>
              <w:rPr>
                <w:rFonts w:cs="宋体" w:asciiTheme="minorEastAsia" w:hAnsiTheme="minorEastAsia" w:eastAsiaTheme="minorEastAsia"/>
              </w:rPr>
              <w:t>。</w:t>
            </w:r>
          </w:p>
          <w:p>
            <w:pPr>
              <w:pStyle w:val="160"/>
              <w:ind w:firstLine="480"/>
              <w:rPr>
                <w:rFonts w:asciiTheme="minorEastAsia" w:hAnsiTheme="minorEastAsia" w:eastAsiaTheme="minorEastAsia"/>
              </w:rPr>
            </w:pPr>
            <w:bookmarkStart w:id="40" w:name="_Hlk77432511"/>
            <w:r>
              <w:rPr>
                <w:rFonts w:hint="eastAsia" w:asciiTheme="minorEastAsia" w:hAnsiTheme="minorEastAsia" w:eastAsiaTheme="minorEastAsia"/>
              </w:rPr>
              <w:t>产生的有机污染物的量通过物料衡算法计算，计算过程见表2.7-9至2.7-12。</w:t>
            </w:r>
          </w:p>
          <w:bookmarkEnd w:id="39"/>
          <w:bookmarkEnd w:id="40"/>
          <w:p>
            <w:pPr>
              <w:pStyle w:val="4075"/>
              <w:numPr>
                <w:ilvl w:val="0"/>
                <w:numId w:val="9"/>
              </w:numPr>
            </w:pPr>
            <w:r>
              <w:rPr>
                <w:rFonts w:hint="eastAsia"/>
              </w:rPr>
              <w:t>拼板废气（G</w:t>
            </w:r>
            <w:r>
              <w:t>2</w:t>
            </w:r>
            <w:r>
              <w:rPr>
                <w:rFonts w:hint="eastAsia"/>
              </w:rPr>
              <w:t>）</w:t>
            </w:r>
          </w:p>
          <w:p>
            <w:pPr>
              <w:pStyle w:val="160"/>
              <w:ind w:firstLine="480"/>
            </w:pPr>
            <w:r>
              <w:rPr>
                <w:rFonts w:hint="eastAsia"/>
              </w:rPr>
              <w:t>扩建项目拼板采用白乳胶作为胶粘剂，其年用量约</w:t>
            </w:r>
            <w:r>
              <w:t>3</w:t>
            </w:r>
            <w:r>
              <w:rPr>
                <w:rFonts w:hint="eastAsia"/>
              </w:rPr>
              <w:t>t。白乳胶在常温下使用，扩建项目所用白乳胶为水基型聚乙酸乙烯酯胶粘剂，属于环保型涂料，其稳定性好，一般在250℃以上才会发生分解，常温下冷压</w:t>
            </w:r>
            <w:r>
              <w:rPr>
                <w:rFonts w:hint="eastAsia"/>
                <w:bCs/>
              </w:rPr>
              <w:t>不</w:t>
            </w:r>
            <w:r>
              <w:rPr>
                <w:rFonts w:hint="eastAsia"/>
              </w:rPr>
              <w:t>分解，但是也有少量挥发性组分挥发，产生少量有机废气无组织排放。</w:t>
            </w:r>
          </w:p>
          <w:p>
            <w:pPr>
              <w:pStyle w:val="160"/>
              <w:ind w:firstLine="460"/>
              <w:rPr>
                <w:rFonts w:cs="Times New Roman"/>
                <w:bCs/>
                <w:spacing w:val="-10"/>
                <w:szCs w:val="24"/>
              </w:rPr>
            </w:pPr>
            <w:bookmarkStart w:id="41" w:name="_Hlk77173759"/>
            <w:r>
              <w:rPr>
                <w:rFonts w:hint="eastAsia" w:cs="Times New Roman"/>
                <w:bCs/>
                <w:spacing w:val="-10"/>
                <w:szCs w:val="24"/>
              </w:rPr>
              <w:t>根据白乳胶MSDS报告可知，白乳胶中固分含量约为5</w:t>
            </w:r>
            <w:r>
              <w:rPr>
                <w:rFonts w:cs="Times New Roman"/>
                <w:bCs/>
                <w:spacing w:val="-10"/>
                <w:szCs w:val="24"/>
              </w:rPr>
              <w:t>0</w:t>
            </w:r>
            <w:r>
              <w:rPr>
                <w:rFonts w:hint="eastAsia" w:cs="Times New Roman"/>
                <w:bCs/>
                <w:spacing w:val="-10"/>
                <w:szCs w:val="24"/>
              </w:rPr>
              <w:t>%~5</w:t>
            </w:r>
            <w:r>
              <w:rPr>
                <w:rFonts w:cs="Times New Roman"/>
                <w:bCs/>
                <w:spacing w:val="-10"/>
                <w:szCs w:val="24"/>
              </w:rPr>
              <w:t>5</w:t>
            </w:r>
            <w:r>
              <w:rPr>
                <w:rFonts w:hint="eastAsia" w:cs="Times New Roman"/>
                <w:bCs/>
                <w:spacing w:val="-10"/>
                <w:szCs w:val="24"/>
              </w:rPr>
              <w:t>%，水含量约为</w:t>
            </w:r>
            <w:r>
              <w:rPr>
                <w:rFonts w:cs="Times New Roman"/>
                <w:bCs/>
                <w:spacing w:val="-10"/>
                <w:szCs w:val="24"/>
              </w:rPr>
              <w:t>40</w:t>
            </w:r>
            <w:r>
              <w:rPr>
                <w:rFonts w:hint="eastAsia" w:cs="Times New Roman"/>
                <w:bCs/>
                <w:spacing w:val="-10"/>
                <w:szCs w:val="24"/>
              </w:rPr>
              <w:t>%~</w:t>
            </w:r>
            <w:r>
              <w:rPr>
                <w:rFonts w:cs="Times New Roman"/>
                <w:bCs/>
                <w:spacing w:val="-10"/>
                <w:szCs w:val="24"/>
              </w:rPr>
              <w:t>45</w:t>
            </w:r>
            <w:r>
              <w:rPr>
                <w:rFonts w:hint="eastAsia" w:cs="Times New Roman"/>
                <w:bCs/>
                <w:spacing w:val="-10"/>
                <w:szCs w:val="24"/>
              </w:rPr>
              <w:t>%，其他含量约</w:t>
            </w:r>
            <w:r>
              <w:rPr>
                <w:rFonts w:cs="Times New Roman"/>
                <w:bCs/>
                <w:spacing w:val="-10"/>
                <w:szCs w:val="24"/>
              </w:rPr>
              <w:t>0</w:t>
            </w:r>
            <w:r>
              <w:rPr>
                <w:rFonts w:hint="eastAsia" w:cs="Times New Roman"/>
                <w:bCs/>
                <w:spacing w:val="-10"/>
                <w:szCs w:val="24"/>
              </w:rPr>
              <w:t>~</w:t>
            </w:r>
            <w:r>
              <w:rPr>
                <w:rFonts w:cs="Times New Roman"/>
                <w:bCs/>
                <w:spacing w:val="-10"/>
                <w:szCs w:val="24"/>
              </w:rPr>
              <w:t>5</w:t>
            </w:r>
            <w:r>
              <w:rPr>
                <w:rFonts w:hint="eastAsia" w:cs="Times New Roman"/>
                <w:bCs/>
                <w:spacing w:val="-10"/>
                <w:szCs w:val="24"/>
              </w:rPr>
              <w:t>%，按最不利情况，考虑剩余</w:t>
            </w:r>
            <w:r>
              <w:rPr>
                <w:rFonts w:cs="Times New Roman"/>
                <w:bCs/>
                <w:spacing w:val="-10"/>
                <w:szCs w:val="24"/>
              </w:rPr>
              <w:t>5</w:t>
            </w:r>
            <w:r>
              <w:rPr>
                <w:rFonts w:hint="eastAsia" w:cs="Times New Roman"/>
                <w:bCs/>
                <w:spacing w:val="-10"/>
                <w:szCs w:val="24"/>
              </w:rPr>
              <w:t>%全部为挥发性有机物。则白乳胶中</w:t>
            </w:r>
            <w:r>
              <w:rPr>
                <w:rFonts w:hint="eastAsia"/>
              </w:rPr>
              <w:t>V</w:t>
            </w:r>
            <w:r>
              <w:t>OC</w:t>
            </w:r>
            <w:r>
              <w:rPr>
                <w:rFonts w:hint="eastAsia"/>
              </w:rPr>
              <w:t>s、非甲烷总烃</w:t>
            </w:r>
            <w:r>
              <w:rPr>
                <w:rFonts w:hint="eastAsia" w:cs="Times New Roman"/>
                <w:bCs/>
                <w:spacing w:val="-10"/>
                <w:szCs w:val="24"/>
              </w:rPr>
              <w:t>产生量按白乳胶总量的</w:t>
            </w:r>
            <w:r>
              <w:rPr>
                <w:rFonts w:cs="Times New Roman"/>
                <w:bCs/>
                <w:spacing w:val="-10"/>
                <w:szCs w:val="24"/>
              </w:rPr>
              <w:t>5</w:t>
            </w:r>
            <w:r>
              <w:rPr>
                <w:rFonts w:hint="eastAsia" w:cs="Times New Roman"/>
                <w:bCs/>
                <w:spacing w:val="-10"/>
                <w:szCs w:val="24"/>
              </w:rPr>
              <w:t>%计，即扩建项目拼板过程中</w:t>
            </w:r>
            <w:r>
              <w:rPr>
                <w:rFonts w:hint="eastAsia"/>
              </w:rPr>
              <w:t>V</w:t>
            </w:r>
            <w:r>
              <w:t>OC</w:t>
            </w:r>
            <w:r>
              <w:rPr>
                <w:rFonts w:hint="eastAsia"/>
              </w:rPr>
              <w:t>s/非甲烷总烃</w:t>
            </w:r>
            <w:r>
              <w:rPr>
                <w:rFonts w:hint="eastAsia" w:cs="Times New Roman"/>
                <w:bCs/>
                <w:spacing w:val="-10"/>
                <w:szCs w:val="24"/>
              </w:rPr>
              <w:t>产生量约为0.30t/a，产生量较小，车间无组织排放。</w:t>
            </w:r>
          </w:p>
          <w:bookmarkEnd w:id="41"/>
          <w:p>
            <w:pPr>
              <w:pStyle w:val="4075"/>
              <w:numPr>
                <w:ilvl w:val="0"/>
                <w:numId w:val="9"/>
              </w:numPr>
            </w:pPr>
            <w:bookmarkStart w:id="42" w:name="_Hlk77171333"/>
            <w:r>
              <w:rPr>
                <w:rFonts w:hint="eastAsia"/>
              </w:rPr>
              <w:t>封边废气（G</w:t>
            </w:r>
            <w:r>
              <w:t>1</w:t>
            </w:r>
            <w:r>
              <w:rPr>
                <w:rFonts w:hint="eastAsia"/>
              </w:rPr>
              <w:t>8）</w:t>
            </w:r>
          </w:p>
          <w:p>
            <w:pPr>
              <w:pStyle w:val="160"/>
              <w:ind w:firstLine="480"/>
              <w:rPr>
                <w:rFonts w:asciiTheme="minorEastAsia" w:hAnsiTheme="minorEastAsia" w:eastAsiaTheme="minorEastAsia"/>
              </w:rPr>
            </w:pPr>
            <w:r>
              <w:rPr>
                <w:rFonts w:hint="eastAsia"/>
              </w:rPr>
              <w:t>根据建设单位提供的资料，扩建项目封边热熔胶用量约为4.5t封边热熔胶。扩建项目封边操作工</w:t>
            </w:r>
            <w:r>
              <w:rPr>
                <w:rFonts w:hint="eastAsia" w:asciiTheme="minorEastAsia" w:hAnsiTheme="minorEastAsia" w:eastAsiaTheme="minorEastAsia"/>
              </w:rPr>
              <w:t>作温度未达到热熔胶固体分（</w:t>
            </w:r>
            <w:r>
              <w:rPr>
                <w:rFonts w:asciiTheme="minorEastAsia" w:hAnsiTheme="minorEastAsia" w:eastAsiaTheme="minorEastAsia"/>
              </w:rPr>
              <w:t>EVA树脂</w:t>
            </w:r>
            <w:r>
              <w:rPr>
                <w:rFonts w:hint="eastAsia" w:asciiTheme="minorEastAsia" w:hAnsiTheme="minorEastAsia" w:eastAsiaTheme="minorEastAsia"/>
              </w:rPr>
              <w:t>、</w:t>
            </w:r>
            <w:r>
              <w:rPr>
                <w:rFonts w:asciiTheme="minorEastAsia" w:hAnsiTheme="minorEastAsia" w:eastAsiaTheme="minorEastAsia"/>
              </w:rPr>
              <w:t>松香树脂</w:t>
            </w:r>
            <w:r>
              <w:rPr>
                <w:rFonts w:hint="eastAsia" w:asciiTheme="minorEastAsia" w:hAnsiTheme="minorEastAsia" w:eastAsiaTheme="minorEastAsia"/>
              </w:rPr>
              <w:t>）分解温度，但达到了抗氧化剂分解挥发温度，因而在此温度下封边胶不会发生分解，仅有少量有机废气产生。</w:t>
            </w:r>
          </w:p>
          <w:p>
            <w:pPr>
              <w:pStyle w:val="160"/>
              <w:ind w:firstLine="480"/>
              <w:rPr>
                <w:rFonts w:cs="Times New Roman" w:asciiTheme="minorEastAsia" w:hAnsiTheme="minorEastAsia" w:eastAsiaTheme="minorEastAsia"/>
                <w:bCs/>
                <w:spacing w:val="-10"/>
                <w:szCs w:val="24"/>
              </w:rPr>
            </w:pPr>
            <w:r>
              <w:rPr>
                <w:rFonts w:hint="eastAsia" w:asciiTheme="minorEastAsia" w:hAnsiTheme="minorEastAsia" w:eastAsiaTheme="minorEastAsia"/>
                <w:szCs w:val="26"/>
              </w:rPr>
              <w:t>根据热</w:t>
            </w:r>
            <w:r>
              <w:rPr>
                <w:rFonts w:hint="eastAsia" w:cs="Times New Roman" w:asciiTheme="minorEastAsia" w:hAnsiTheme="minorEastAsia" w:eastAsiaTheme="minorEastAsia"/>
                <w:bCs/>
                <w:spacing w:val="-10"/>
                <w:szCs w:val="24"/>
              </w:rPr>
              <w:t>熔胶MSDS报告可知，热熔胶中EVA高聚物树脂含量</w:t>
            </w:r>
            <w:r>
              <w:rPr>
                <w:rFonts w:cs="Times New Roman" w:asciiTheme="minorEastAsia" w:hAnsiTheme="minorEastAsia" w:eastAsiaTheme="minorEastAsia"/>
                <w:bCs/>
                <w:spacing w:val="-10"/>
                <w:szCs w:val="24"/>
              </w:rPr>
              <w:t>70</w:t>
            </w:r>
            <w:r>
              <w:rPr>
                <w:rFonts w:hint="eastAsia" w:cs="Times New Roman" w:asciiTheme="minorEastAsia" w:hAnsiTheme="minorEastAsia" w:eastAsiaTheme="minorEastAsia"/>
                <w:bCs/>
                <w:spacing w:val="-10"/>
                <w:szCs w:val="24"/>
              </w:rPr>
              <w:t>%</w:t>
            </w:r>
            <w:r>
              <w:rPr>
                <w:rFonts w:asciiTheme="minorEastAsia" w:hAnsiTheme="minorEastAsia" w:eastAsiaTheme="minorEastAsia"/>
              </w:rPr>
              <w:t>（230℃分解）</w:t>
            </w:r>
            <w:r>
              <w:rPr>
                <w:rFonts w:hint="eastAsia" w:cs="Times New Roman" w:asciiTheme="minorEastAsia" w:hAnsiTheme="minorEastAsia" w:eastAsiaTheme="minorEastAsia"/>
                <w:bCs/>
                <w:spacing w:val="-10"/>
                <w:szCs w:val="24"/>
              </w:rPr>
              <w:t>，松香树脂含量</w:t>
            </w:r>
            <w:r>
              <w:rPr>
                <w:rFonts w:cs="Times New Roman" w:asciiTheme="minorEastAsia" w:hAnsiTheme="minorEastAsia" w:eastAsiaTheme="minorEastAsia"/>
                <w:bCs/>
                <w:spacing w:val="-10"/>
                <w:szCs w:val="24"/>
              </w:rPr>
              <w:t>28</w:t>
            </w:r>
            <w:r>
              <w:rPr>
                <w:rFonts w:hint="eastAsia" w:cs="Times New Roman" w:asciiTheme="minorEastAsia" w:hAnsiTheme="minorEastAsia" w:eastAsiaTheme="minorEastAsia"/>
                <w:bCs/>
                <w:spacing w:val="-10"/>
                <w:szCs w:val="24"/>
              </w:rPr>
              <w:t>%</w:t>
            </w:r>
            <w:r>
              <w:rPr>
                <w:rFonts w:asciiTheme="minorEastAsia" w:hAnsiTheme="minorEastAsia" w:eastAsiaTheme="minorEastAsia"/>
              </w:rPr>
              <w:t>（300℃分解）</w:t>
            </w:r>
            <w:r>
              <w:rPr>
                <w:rFonts w:hint="eastAsia" w:cs="Times New Roman" w:asciiTheme="minorEastAsia" w:hAnsiTheme="minorEastAsia" w:eastAsiaTheme="minorEastAsia"/>
                <w:bCs/>
                <w:spacing w:val="-10"/>
                <w:szCs w:val="24"/>
              </w:rPr>
              <w:t>，抗氧化剂含量</w:t>
            </w:r>
            <w:r>
              <w:rPr>
                <w:rFonts w:cs="Times New Roman" w:asciiTheme="minorEastAsia" w:hAnsiTheme="minorEastAsia" w:eastAsiaTheme="minorEastAsia"/>
                <w:bCs/>
                <w:spacing w:val="-10"/>
                <w:szCs w:val="24"/>
              </w:rPr>
              <w:t>2</w:t>
            </w:r>
            <w:r>
              <w:rPr>
                <w:rFonts w:hint="eastAsia" w:cs="Times New Roman" w:asciiTheme="minorEastAsia" w:hAnsiTheme="minorEastAsia" w:eastAsiaTheme="minorEastAsia"/>
                <w:bCs/>
                <w:spacing w:val="-10"/>
                <w:szCs w:val="24"/>
              </w:rPr>
              <w:t>%</w:t>
            </w:r>
            <w:r>
              <w:rPr>
                <w:rFonts w:asciiTheme="minorEastAsia" w:hAnsiTheme="minorEastAsia" w:eastAsiaTheme="minorEastAsia"/>
              </w:rPr>
              <w:t>（200℃分解）</w:t>
            </w:r>
            <w:r>
              <w:rPr>
                <w:rFonts w:hint="eastAsia" w:cs="Times New Roman" w:asciiTheme="minorEastAsia" w:hAnsiTheme="minorEastAsia" w:eastAsiaTheme="minorEastAsia"/>
                <w:bCs/>
                <w:spacing w:val="-10"/>
                <w:szCs w:val="24"/>
              </w:rPr>
              <w:t>，封边机工作温度为1</w:t>
            </w:r>
            <w:r>
              <w:rPr>
                <w:rFonts w:cs="Times New Roman" w:asciiTheme="minorEastAsia" w:hAnsiTheme="minorEastAsia" w:eastAsiaTheme="minorEastAsia"/>
                <w:bCs/>
                <w:spacing w:val="-10"/>
                <w:szCs w:val="24"/>
              </w:rPr>
              <w:t>90</w:t>
            </w:r>
            <w:r>
              <w:rPr>
                <w:rFonts w:asciiTheme="minorEastAsia" w:hAnsiTheme="minorEastAsia" w:eastAsiaTheme="minorEastAsia"/>
              </w:rPr>
              <w:t>℃</w:t>
            </w:r>
            <w:r>
              <w:rPr>
                <w:rFonts w:hint="eastAsia" w:asciiTheme="minorEastAsia" w:hAnsiTheme="minorEastAsia" w:eastAsiaTheme="minorEastAsia"/>
              </w:rPr>
              <w:t>~</w:t>
            </w:r>
            <w:r>
              <w:rPr>
                <w:rFonts w:asciiTheme="minorEastAsia" w:hAnsiTheme="minorEastAsia" w:eastAsiaTheme="minorEastAsia"/>
              </w:rPr>
              <w:t>210℃</w:t>
            </w:r>
            <w:r>
              <w:rPr>
                <w:rFonts w:hint="eastAsia" w:cs="Times New Roman" w:asciiTheme="minorEastAsia" w:hAnsiTheme="minorEastAsia" w:eastAsiaTheme="minorEastAsia"/>
                <w:bCs/>
                <w:spacing w:val="-10"/>
                <w:szCs w:val="24"/>
              </w:rPr>
              <w:t>，按最不利情况，考虑抗氧化剂含量</w:t>
            </w:r>
            <w:r>
              <w:rPr>
                <w:rFonts w:cs="Times New Roman" w:asciiTheme="minorEastAsia" w:hAnsiTheme="minorEastAsia" w:eastAsiaTheme="minorEastAsia"/>
                <w:bCs/>
                <w:spacing w:val="-10"/>
                <w:szCs w:val="24"/>
              </w:rPr>
              <w:t>2</w:t>
            </w:r>
            <w:r>
              <w:rPr>
                <w:rFonts w:hint="eastAsia" w:cs="Times New Roman" w:asciiTheme="minorEastAsia" w:hAnsiTheme="minorEastAsia" w:eastAsiaTheme="minorEastAsia"/>
                <w:bCs/>
                <w:spacing w:val="-10"/>
                <w:szCs w:val="24"/>
              </w:rPr>
              <w:t>%全部挥发，扩建项目热熔胶使用量约4.5t/a，则封边过程产生的</w:t>
            </w:r>
            <w:r>
              <w:rPr>
                <w:rFonts w:hint="eastAsia" w:asciiTheme="minorEastAsia" w:hAnsiTheme="minorEastAsia" w:eastAsiaTheme="minorEastAsia"/>
              </w:rPr>
              <w:t>V</w:t>
            </w:r>
            <w:r>
              <w:rPr>
                <w:rFonts w:asciiTheme="minorEastAsia" w:hAnsiTheme="minorEastAsia" w:eastAsiaTheme="minorEastAsia"/>
              </w:rPr>
              <w:t>OC</w:t>
            </w:r>
            <w:r>
              <w:rPr>
                <w:rFonts w:hint="eastAsia" w:asciiTheme="minorEastAsia" w:hAnsiTheme="minorEastAsia" w:eastAsiaTheme="minorEastAsia"/>
              </w:rPr>
              <w:t>s</w:t>
            </w:r>
            <w:r>
              <w:rPr>
                <w:rFonts w:hint="eastAsia" w:cs="Times New Roman" w:asciiTheme="minorEastAsia" w:hAnsiTheme="minorEastAsia" w:eastAsiaTheme="minorEastAsia"/>
                <w:bCs/>
                <w:spacing w:val="-10"/>
                <w:szCs w:val="24"/>
              </w:rPr>
              <w:t>为0</w:t>
            </w:r>
            <w:r>
              <w:rPr>
                <w:rFonts w:cs="Times New Roman" w:asciiTheme="minorEastAsia" w:hAnsiTheme="minorEastAsia" w:eastAsiaTheme="minorEastAsia"/>
                <w:bCs/>
                <w:spacing w:val="-10"/>
                <w:szCs w:val="24"/>
              </w:rPr>
              <w:t>.0</w:t>
            </w:r>
            <w:r>
              <w:rPr>
                <w:rFonts w:hint="eastAsia" w:cs="Times New Roman" w:asciiTheme="minorEastAsia" w:hAnsiTheme="minorEastAsia" w:eastAsiaTheme="minorEastAsia"/>
                <w:bCs/>
                <w:spacing w:val="-10"/>
                <w:szCs w:val="24"/>
              </w:rPr>
              <w:t>9t/a，</w:t>
            </w:r>
            <w:r>
              <w:rPr>
                <w:rFonts w:hint="eastAsia" w:asciiTheme="minorEastAsia" w:hAnsiTheme="minorEastAsia" w:eastAsiaTheme="minorEastAsia"/>
              </w:rPr>
              <w:t>非甲烷总烃</w:t>
            </w:r>
            <w:r>
              <w:rPr>
                <w:rFonts w:hint="eastAsia" w:cs="Times New Roman" w:asciiTheme="minorEastAsia" w:hAnsiTheme="minorEastAsia" w:eastAsiaTheme="minorEastAsia"/>
                <w:bCs/>
                <w:spacing w:val="-10"/>
                <w:szCs w:val="24"/>
              </w:rPr>
              <w:t>为0</w:t>
            </w:r>
            <w:r>
              <w:rPr>
                <w:rFonts w:cs="Times New Roman" w:asciiTheme="minorEastAsia" w:hAnsiTheme="minorEastAsia" w:eastAsiaTheme="minorEastAsia"/>
                <w:bCs/>
                <w:spacing w:val="-10"/>
                <w:szCs w:val="24"/>
              </w:rPr>
              <w:t>.0</w:t>
            </w:r>
            <w:r>
              <w:rPr>
                <w:rFonts w:hint="eastAsia" w:cs="Times New Roman" w:asciiTheme="minorEastAsia" w:hAnsiTheme="minorEastAsia" w:eastAsiaTheme="minorEastAsia"/>
                <w:bCs/>
                <w:spacing w:val="-10"/>
                <w:szCs w:val="24"/>
              </w:rPr>
              <w:t>9t/a，产生量较小，车间无组织排放。</w:t>
            </w:r>
            <w:bookmarkEnd w:id="42"/>
          </w:p>
          <w:p>
            <w:pPr>
              <w:pStyle w:val="4075"/>
              <w:numPr>
                <w:ilvl w:val="0"/>
                <w:numId w:val="9"/>
              </w:numPr>
            </w:pPr>
            <w:r>
              <w:rPr>
                <w:rFonts w:hint="eastAsia"/>
              </w:rPr>
              <w:t>食堂油烟（G19）</w:t>
            </w:r>
          </w:p>
          <w:p>
            <w:pPr>
              <w:pStyle w:val="160"/>
              <w:ind w:firstLine="480"/>
              <w:rPr>
                <w:rFonts w:asciiTheme="minorEastAsia" w:hAnsiTheme="minorEastAsia" w:eastAsiaTheme="minorEastAsia"/>
              </w:rPr>
            </w:pPr>
            <w:r>
              <w:rPr>
                <w:rFonts w:hint="eastAsia" w:asciiTheme="minorEastAsia" w:hAnsiTheme="minorEastAsia" w:eastAsiaTheme="minorEastAsia"/>
              </w:rPr>
              <w:t>扩建项目食堂以天然气为燃料，烹饪时会产生一定量的油烟，油烟中主要污染物为油烟以及非甲烷总烃。根据《污染源源强核算技术指南 准则》（HJ884-2018）中各种污染源核算方法，扩建项目采用类比同类型项目的方法，食堂油烟废气中油烟的产生浓度约13mg/m³、非甲烷总烃约60 mg/m³，经烟罩收集后进入油烟净化器处理后引至楼屋顶排放。</w:t>
            </w:r>
          </w:p>
          <w:p>
            <w:pPr>
              <w:pStyle w:val="160"/>
              <w:ind w:firstLine="480"/>
            </w:pPr>
            <w:r>
              <w:rPr>
                <w:rFonts w:hint="eastAsia" w:asciiTheme="minorEastAsia" w:hAnsiTheme="minorEastAsia" w:eastAsiaTheme="minorEastAsia"/>
              </w:rPr>
              <w:t>扩建项目置最大就餐人数为200人，属于大型餐饮单位，按照《餐饮业大气污染物排放标准》（DB50/859-2018）附录B提供的净化设备的污染物去除效率选择参考，油烟净化器油烟去除效率按95%、非甲烷总烃去除效率按85%计算，则食堂油烟废气中油烟的排放浓度约0.65mg/m³、非甲烷总烃约9mg/m³，满足《餐饮业大气污染物排放标准》（DB50/859-2018）限值要求后排放。</w:t>
            </w:r>
          </w:p>
        </w:tc>
      </w:tr>
    </w:tbl>
    <w:p>
      <w:pPr>
        <w:sectPr>
          <w:pgSz w:w="11907" w:h="16840"/>
          <w:pgMar w:top="1701" w:right="1531" w:bottom="1701" w:left="1531" w:header="851" w:footer="851" w:gutter="0"/>
          <w:cols w:space="720" w:num="1"/>
          <w:docGrid w:linePitch="312" w:charSpace="0"/>
        </w:sectPr>
      </w:pPr>
    </w:p>
    <w:p>
      <w:pPr>
        <w:pStyle w:val="164"/>
      </w:pPr>
      <w:bookmarkStart w:id="43" w:name="_Ref83917409"/>
      <w:bookmarkStart w:id="44" w:name="_Hlk77184544"/>
      <w:r>
        <w:rPr>
          <w:rFonts w:hint="eastAsia"/>
        </w:rPr>
        <w:t>表</w:t>
      </w:r>
      <w:r>
        <w:fldChar w:fldCharType="begin"/>
      </w:r>
      <w:r>
        <w:rPr>
          <w:rFonts w:hint="eastAsia"/>
        </w:rPr>
        <w:instrText xml:space="preserve">STYLEREF 2 \s</w:instrText>
      </w:r>
      <w:r>
        <w:fldChar w:fldCharType="separate"/>
      </w:r>
      <w:r>
        <w:t>4.2</w:t>
      </w:r>
      <w:r>
        <w:fldChar w:fldCharType="end"/>
      </w:r>
      <w:r>
        <w:noBreakHyphen/>
      </w:r>
      <w:r>
        <w:fldChar w:fldCharType="begin"/>
      </w:r>
      <w:r>
        <w:rPr>
          <w:rFonts w:hint="eastAsia"/>
        </w:rPr>
        <w:instrText xml:space="preserve">SEQ 表 \* ARABIC \s 2</w:instrText>
      </w:r>
      <w:r>
        <w:fldChar w:fldCharType="separate"/>
      </w:r>
      <w:r>
        <w:t>1</w:t>
      </w:r>
      <w:r>
        <w:fldChar w:fldCharType="end"/>
      </w:r>
      <w:bookmarkEnd w:id="43"/>
      <w:r>
        <w:rPr>
          <w:rFonts w:hint="eastAsia"/>
        </w:rPr>
        <w:t>废气污染源强核算结果及相关参数一览表</w:t>
      </w:r>
    </w:p>
    <w:tbl>
      <w:tblPr>
        <w:tblStyle w:val="88"/>
        <w:tblW w:w="15616" w:type="dxa"/>
        <w:tblInd w:w="0" w:type="dxa"/>
        <w:tblLayout w:type="fixed"/>
        <w:tblCellMar>
          <w:top w:w="0" w:type="dxa"/>
          <w:left w:w="108" w:type="dxa"/>
          <w:bottom w:w="0" w:type="dxa"/>
          <w:right w:w="108" w:type="dxa"/>
        </w:tblCellMar>
      </w:tblPr>
      <w:tblGrid>
        <w:gridCol w:w="527"/>
        <w:gridCol w:w="1708"/>
        <w:gridCol w:w="1474"/>
        <w:gridCol w:w="1324"/>
        <w:gridCol w:w="846"/>
        <w:gridCol w:w="700"/>
        <w:gridCol w:w="1893"/>
        <w:gridCol w:w="993"/>
        <w:gridCol w:w="706"/>
        <w:gridCol w:w="572"/>
        <w:gridCol w:w="553"/>
        <w:gridCol w:w="656"/>
        <w:gridCol w:w="771"/>
        <w:gridCol w:w="778"/>
        <w:gridCol w:w="778"/>
        <w:gridCol w:w="647"/>
        <w:gridCol w:w="690"/>
      </w:tblGrid>
      <w:tr>
        <w:tblPrEx>
          <w:tblLayout w:type="fixed"/>
          <w:tblCellMar>
            <w:top w:w="0" w:type="dxa"/>
            <w:left w:w="108" w:type="dxa"/>
            <w:bottom w:w="0" w:type="dxa"/>
            <w:right w:w="108" w:type="dxa"/>
          </w:tblCellMar>
        </w:tblPrEx>
        <w:trPr>
          <w:trHeight w:val="270" w:hRule="atLeast"/>
          <w:tblHeader/>
        </w:trPr>
        <w:tc>
          <w:tcPr>
            <w:tcW w:w="52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序号</w:t>
            </w:r>
          </w:p>
        </w:tc>
        <w:tc>
          <w:tcPr>
            <w:tcW w:w="170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产污环节</w:t>
            </w:r>
          </w:p>
        </w:tc>
        <w:tc>
          <w:tcPr>
            <w:tcW w:w="147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污染物种类</w:t>
            </w:r>
          </w:p>
        </w:tc>
        <w:tc>
          <w:tcPr>
            <w:tcW w:w="287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污染物产生情况</w:t>
            </w:r>
          </w:p>
        </w:tc>
        <w:tc>
          <w:tcPr>
            <w:tcW w:w="4717" w:type="dxa"/>
            <w:gridSpan w:val="5"/>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治理设施</w:t>
            </w:r>
          </w:p>
        </w:tc>
        <w:tc>
          <w:tcPr>
            <w:tcW w:w="2205"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污染物排放情况</w:t>
            </w:r>
          </w:p>
        </w:tc>
        <w:tc>
          <w:tcPr>
            <w:tcW w:w="1425"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排放标准</w:t>
            </w:r>
          </w:p>
        </w:tc>
        <w:tc>
          <w:tcPr>
            <w:tcW w:w="69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达标分析</w:t>
            </w:r>
          </w:p>
        </w:tc>
      </w:tr>
      <w:tr>
        <w:tblPrEx>
          <w:tblLayout w:type="fixed"/>
          <w:tblCellMar>
            <w:top w:w="0" w:type="dxa"/>
            <w:left w:w="108" w:type="dxa"/>
            <w:bottom w:w="0" w:type="dxa"/>
            <w:right w:w="108" w:type="dxa"/>
          </w:tblCellMar>
        </w:tblPrEx>
        <w:trPr>
          <w:trHeight w:val="495" w:hRule="atLeast"/>
          <w:tblHeader/>
        </w:trPr>
        <w:tc>
          <w:tcPr>
            <w:tcW w:w="527"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708"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474"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产生量</w:t>
            </w:r>
            <w:r>
              <w:rPr>
                <w:rFonts w:ascii="Times New Roman" w:hAnsi="Times New Roman" w:eastAsia="宋体" w:cs="Times New Roman"/>
                <w:b/>
                <w:bCs/>
                <w:color w:val="000000"/>
                <w:kern w:val="0"/>
                <w:sz w:val="20"/>
                <w:szCs w:val="20"/>
              </w:rPr>
              <w:t>t/a</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产生浓度</w:t>
            </w:r>
            <w:r>
              <w:rPr>
                <w:rFonts w:ascii="Times New Roman" w:hAnsi="Times New Roman" w:eastAsia="宋体" w:cs="Times New Roman"/>
                <w:b/>
                <w:bCs/>
                <w:color w:val="000000"/>
                <w:kern w:val="0"/>
                <w:sz w:val="20"/>
                <w:szCs w:val="20"/>
              </w:rPr>
              <w:t>mg/m</w:t>
            </w:r>
            <w:r>
              <w:rPr>
                <w:rFonts w:ascii="Times New Roman" w:hAnsi="Times New Roman" w:eastAsia="宋体" w:cs="Times New Roman"/>
                <w:b/>
                <w:bCs/>
                <w:color w:val="000000"/>
                <w:kern w:val="0"/>
                <w:sz w:val="20"/>
                <w:szCs w:val="20"/>
                <w:vertAlign w:val="superscript"/>
              </w:rPr>
              <w:t>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产生速率</w:t>
            </w:r>
            <w:r>
              <w:rPr>
                <w:rFonts w:ascii="Times New Roman" w:hAnsi="Times New Roman" w:eastAsia="宋体" w:cs="Times New Roman"/>
                <w:b/>
                <w:bCs/>
                <w:color w:val="000000"/>
                <w:kern w:val="0"/>
                <w:sz w:val="20"/>
                <w:szCs w:val="20"/>
              </w:rPr>
              <w:t>kg/h</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治理工艺</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风机风量</w:t>
            </w:r>
            <w:r>
              <w:rPr>
                <w:rFonts w:ascii="Times New Roman" w:hAnsi="Times New Roman" w:eastAsia="宋体" w:cs="Times New Roman"/>
                <w:b/>
                <w:bCs/>
                <w:color w:val="000000"/>
                <w:kern w:val="0"/>
                <w:sz w:val="20"/>
                <w:szCs w:val="20"/>
              </w:rPr>
              <w:t>m</w:t>
            </w:r>
            <w:r>
              <w:rPr>
                <w:rFonts w:ascii="Times New Roman" w:hAnsi="Times New Roman" w:eastAsia="宋体" w:cs="Times New Roman"/>
                <w:b/>
                <w:bCs/>
                <w:color w:val="000000"/>
                <w:kern w:val="0"/>
                <w:sz w:val="20"/>
                <w:szCs w:val="20"/>
                <w:vertAlign w:val="superscript"/>
              </w:rPr>
              <w:t>3</w:t>
            </w:r>
            <w:r>
              <w:rPr>
                <w:rFonts w:ascii="Times New Roman" w:hAnsi="Times New Roman" w:eastAsia="宋体" w:cs="Times New Roman"/>
                <w:b/>
                <w:bCs/>
                <w:color w:val="000000"/>
                <w:kern w:val="0"/>
                <w:sz w:val="20"/>
                <w:szCs w:val="20"/>
              </w:rPr>
              <w:t>/h</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收集效率</w:t>
            </w:r>
            <w:r>
              <w:rPr>
                <w:rFonts w:ascii="Times New Roman" w:hAnsi="Times New Roman" w:eastAsia="宋体" w:cs="Times New Roman"/>
                <w:b/>
                <w:bCs/>
                <w:color w:val="000000"/>
                <w:kern w:val="0"/>
                <w:sz w:val="20"/>
                <w:szCs w:val="20"/>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去除效率</w:t>
            </w:r>
            <w:r>
              <w:rPr>
                <w:rFonts w:ascii="Times New Roman" w:hAnsi="Times New Roman" w:eastAsia="宋体" w:cs="Times New Roman"/>
                <w:b/>
                <w:bCs/>
                <w:color w:val="000000"/>
                <w:kern w:val="0"/>
                <w:sz w:val="20"/>
                <w:szCs w:val="20"/>
              </w:rPr>
              <w:t>%</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是否为可行技术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排放量</w:t>
            </w:r>
            <w:r>
              <w:rPr>
                <w:rFonts w:ascii="Times New Roman" w:hAnsi="Times New Roman" w:eastAsia="宋体" w:cs="Times New Roman"/>
                <w:b/>
                <w:bCs/>
                <w:color w:val="000000"/>
                <w:kern w:val="0"/>
                <w:sz w:val="20"/>
                <w:szCs w:val="20"/>
              </w:rPr>
              <w:t>t/a</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排放浓度</w:t>
            </w:r>
            <w:r>
              <w:rPr>
                <w:rFonts w:ascii="Times New Roman" w:hAnsi="Times New Roman" w:eastAsia="宋体" w:cs="Times New Roman"/>
                <w:b/>
                <w:bCs/>
                <w:color w:val="000000"/>
                <w:kern w:val="0"/>
                <w:sz w:val="20"/>
                <w:szCs w:val="20"/>
              </w:rPr>
              <w:t>mg/m</w:t>
            </w:r>
            <w:r>
              <w:rPr>
                <w:rFonts w:ascii="Times New Roman" w:hAnsi="Times New Roman" w:eastAsia="宋体" w:cs="Times New Roman"/>
                <w:b/>
                <w:bCs/>
                <w:color w:val="000000"/>
                <w:kern w:val="0"/>
                <w:sz w:val="20"/>
                <w:szCs w:val="20"/>
                <w:vertAlign w:val="superscript"/>
              </w:rPr>
              <w:t>3</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排放速率</w:t>
            </w:r>
            <w:r>
              <w:rPr>
                <w:rFonts w:ascii="Times New Roman" w:hAnsi="Times New Roman" w:eastAsia="宋体" w:cs="Times New Roman"/>
                <w:b/>
                <w:bCs/>
                <w:color w:val="000000"/>
                <w:kern w:val="0"/>
                <w:sz w:val="20"/>
                <w:szCs w:val="20"/>
              </w:rPr>
              <w:t>kg/h</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排放浓度</w:t>
            </w:r>
            <w:r>
              <w:rPr>
                <w:rFonts w:ascii="Times New Roman" w:hAnsi="Times New Roman" w:eastAsia="宋体" w:cs="Times New Roman"/>
                <w:b/>
                <w:bCs/>
                <w:color w:val="000000"/>
                <w:kern w:val="0"/>
                <w:sz w:val="20"/>
                <w:szCs w:val="20"/>
              </w:rPr>
              <w:t>mg/m</w:t>
            </w:r>
            <w:r>
              <w:rPr>
                <w:rFonts w:ascii="Times New Roman" w:hAnsi="Times New Roman" w:eastAsia="宋体" w:cs="Times New Roman"/>
                <w:b/>
                <w:bCs/>
                <w:color w:val="000000"/>
                <w:kern w:val="0"/>
                <w:sz w:val="20"/>
                <w:szCs w:val="20"/>
                <w:vertAlign w:val="superscript"/>
              </w:rPr>
              <w:t>3</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sz w:val="20"/>
                <w:szCs w:val="20"/>
              </w:rPr>
            </w:pPr>
            <w:r>
              <w:rPr>
                <w:rFonts w:ascii="宋体" w:hAnsi="宋体" w:eastAsia="宋体" w:cs="宋体"/>
                <w:b/>
                <w:bCs/>
                <w:color w:val="000000"/>
                <w:kern w:val="0"/>
                <w:sz w:val="20"/>
                <w:szCs w:val="20"/>
              </w:rPr>
              <w:t>排放速率</w:t>
            </w:r>
            <w:r>
              <w:rPr>
                <w:rFonts w:ascii="Times New Roman" w:hAnsi="Times New Roman" w:eastAsia="宋体" w:cs="Times New Roman"/>
                <w:b/>
                <w:bCs/>
                <w:color w:val="000000"/>
                <w:kern w:val="0"/>
                <w:sz w:val="20"/>
                <w:szCs w:val="20"/>
              </w:rPr>
              <w:t>kg/h</w:t>
            </w:r>
          </w:p>
        </w:tc>
        <w:tc>
          <w:tcPr>
            <w:tcW w:w="690" w:type="dxa"/>
            <w:vMerge w:val="continue"/>
            <w:tcBorders>
              <w:top w:val="single" w:color="000000" w:sz="8" w:space="0"/>
              <w:left w:val="single" w:color="000000" w:sz="4" w:space="0"/>
              <w:bottom w:val="single" w:color="000000" w:sz="4" w:space="0"/>
              <w:right w:val="single" w:color="000000" w:sz="4" w:space="0"/>
            </w:tcBorders>
            <w:vAlign w:val="center"/>
          </w:tcPr>
          <w:p>
            <w:pPr>
              <w:widowControl/>
              <w:jc w:val="left"/>
              <w:rPr>
                <w:rFonts w:ascii="宋体" w:hAnsi="宋体" w:eastAsia="宋体" w:cs="宋体"/>
                <w:b/>
                <w:bCs/>
                <w:color w:val="000000"/>
                <w:kern w:val="0"/>
              </w:rPr>
            </w:pPr>
          </w:p>
        </w:tc>
      </w:tr>
      <w:tr>
        <w:tblPrEx>
          <w:tblLayout w:type="fixed"/>
          <w:tblCellMar>
            <w:top w:w="0" w:type="dxa"/>
            <w:left w:w="108" w:type="dxa"/>
            <w:bottom w:w="0" w:type="dxa"/>
            <w:right w:w="108" w:type="dxa"/>
          </w:tblCellMar>
        </w:tblPrEx>
        <w:trPr>
          <w:trHeight w:val="270" w:hRule="atLeast"/>
        </w:trPr>
        <w:tc>
          <w:tcPr>
            <w:tcW w:w="15616"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有组织</w:t>
            </w:r>
          </w:p>
        </w:tc>
      </w:tr>
      <w:tr>
        <w:tblPrEx>
          <w:tblLayout w:type="fixed"/>
          <w:tblCellMar>
            <w:top w:w="0" w:type="dxa"/>
            <w:left w:w="108" w:type="dxa"/>
            <w:bottom w:w="0" w:type="dxa"/>
            <w:right w:w="108" w:type="dxa"/>
          </w:tblCellMar>
        </w:tblPrEx>
        <w:trPr>
          <w:trHeight w:val="285"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w:t>
            </w:r>
            <w:r>
              <w:rPr>
                <w:rFonts w:ascii="Times New Roman" w:hAnsi="Times New Roman" w:eastAsia="宋体" w:cs="Times New Roman"/>
                <w:color w:val="000000"/>
                <w:kern w:val="0"/>
              </w:rPr>
              <w:t xml:space="preserve"> </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1#线</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15.72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81.86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6.55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DA001</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80000.0 </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85.5 </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2.28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11.87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0.95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1.75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12.38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64.45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5.16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1.79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9.35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0.75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4.32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12.38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64.45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5.16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1.79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9.35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0.75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3.24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51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甲苯与二甲苯合计</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1.53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7.97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0.64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0.22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1.16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0.09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苯系物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1.53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7.97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0.64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0.22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1.16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0.09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35.0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2.16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85"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2#线+UV线</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14.82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51.47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6.18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DA002</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120000.0 </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85.5 </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2.15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7.46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0.90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1.75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7.99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27.76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3.33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1.16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4.03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0.48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4.32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7.99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27.76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3.33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1.16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4.03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0.48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3.24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51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甲苯与二甲苯合计</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1.04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3.62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0.43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0.15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0.52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0.06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苯系物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1.04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3.62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0.43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0.15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0.52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0.06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35.0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2.16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85"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3</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3#线</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10.18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70.71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4.24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DA007</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60000.0 </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85.5 </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1.48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10.25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0.62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1.75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5.09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35.36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2.12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0.74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5.13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0.31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4.32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5.09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35.36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2.12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0.74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5.13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0.31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3.24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85"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4</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4#线</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7.27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37.88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3.03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DA008</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80000.0 </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85.5 </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1.05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5.49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0.44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1.75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2.04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10.63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0.85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0.30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1.54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0.12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4.32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2.04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10.63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0.85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0.30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1.54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0.12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3.24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1620"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9 </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新增木工车间（开料废气（G1）、裁边废气（G3）、开料废气（G17）、钻孔废气（G19）、砂光废气（G4））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4.96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25.85 </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2.07 </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集气罩收集</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中央除尘器</w:t>
            </w:r>
            <w:r>
              <w:rPr>
                <w:rFonts w:ascii="Times New Roman" w:hAnsi="Times New Roman" w:eastAsia="宋体" w:cs="Times New Roman"/>
                <w:color w:val="000000"/>
                <w:kern w:val="0"/>
                <w:sz w:val="20"/>
                <w:szCs w:val="20"/>
              </w:rPr>
              <w:t>+15m DA009</w:t>
            </w:r>
            <w:r>
              <w:rPr>
                <w:rFonts w:ascii="宋体" w:hAnsi="宋体" w:eastAsia="宋体" w:cs="宋体"/>
                <w:color w:val="000000"/>
                <w:kern w:val="0"/>
                <w:sz w:val="20"/>
                <w:szCs w:val="20"/>
              </w:rPr>
              <w:t>排气筒</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80000.0 </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80.0 </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是</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0.50 </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2.59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0.21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100.0 </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c>
          <w:tcPr>
            <w:tcW w:w="52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10</w:t>
            </w:r>
          </w:p>
        </w:tc>
        <w:tc>
          <w:tcPr>
            <w:tcW w:w="170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食堂油烟（</w:t>
            </w:r>
            <w:r>
              <w:rPr>
                <w:rFonts w:ascii="宋体" w:hAnsi="宋体" w:eastAsia="宋体" w:cs="宋体"/>
                <w:color w:val="000000"/>
                <w:kern w:val="0"/>
                <w:sz w:val="22"/>
                <w:szCs w:val="22"/>
              </w:rPr>
              <w:t>G20）</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60</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189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99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706"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85</w:t>
            </w:r>
          </w:p>
        </w:tc>
        <w:tc>
          <w:tcPr>
            <w:tcW w:w="55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9</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10</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c>
          <w:tcPr>
            <w:tcW w:w="52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p>
        </w:tc>
        <w:tc>
          <w:tcPr>
            <w:tcW w:w="170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油烟</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13</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189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p>
        </w:tc>
        <w:tc>
          <w:tcPr>
            <w:tcW w:w="99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p>
        </w:tc>
        <w:tc>
          <w:tcPr>
            <w:tcW w:w="706"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95</w:t>
            </w:r>
          </w:p>
        </w:tc>
        <w:tc>
          <w:tcPr>
            <w:tcW w:w="55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heme="minorEastAsia" w:hAnsiTheme="minorEastAsia"/>
              </w:rPr>
              <w:t>0.65</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15616"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无组织排放</w:t>
            </w:r>
          </w:p>
        </w:tc>
      </w:tr>
      <w:tr>
        <w:tblPrEx>
          <w:tblLayout w:type="fixed"/>
          <w:tblCellMar>
            <w:top w:w="0" w:type="dxa"/>
            <w:left w:w="108" w:type="dxa"/>
            <w:bottom w:w="0" w:type="dxa"/>
            <w:right w:w="108" w:type="dxa"/>
          </w:tblCellMar>
        </w:tblPrEx>
        <w:trPr>
          <w:trHeight w:val="27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1#线（平均工况）</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1.75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0.73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DA001</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1.75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0.73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1.38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0.57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1.38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0.57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1.38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0.57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1.38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0.57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51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甲苯与二甲苯合计</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0.17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0.07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0.17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0.80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苯系物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0.17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0.07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0.17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2#线+UV线（平均工况）</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1.65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0.69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DA002</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1.65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0.69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0.89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0.37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0.89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0.37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0.89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0.37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0.89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0.37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51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甲苯与二甲苯合计</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0.12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0.05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0.12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0.05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0.80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苯系物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cs="Times New Roman"/>
                <w:color w:val="000000"/>
                <w:sz w:val="20"/>
                <w:szCs w:val="20"/>
              </w:rPr>
            </w:pPr>
            <w:r>
              <w:rPr>
                <w:rFonts w:ascii="Times New Roman" w:hAnsi="Times New Roman" w:cs="Times New Roman"/>
                <w:color w:val="000000"/>
                <w:sz w:val="20"/>
                <w:szCs w:val="20"/>
              </w:rPr>
              <w:t xml:space="preserve">0.12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0.05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0.12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0.05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3#线</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1.13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0.47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DA007</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1.13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0.47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0.57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0.24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0.57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0.57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0.24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0.57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4#线</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0.81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0.34 </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湿式过滤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干式过滤</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活性炭吸附浓缩</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解析（催化燃烧）</w:t>
            </w:r>
            <w:r>
              <w:rPr>
                <w:rFonts w:ascii="Times New Roman" w:hAnsi="Times New Roman" w:eastAsia="宋体" w:cs="Times New Roman"/>
                <w:color w:val="000000"/>
                <w:kern w:val="0"/>
                <w:sz w:val="20"/>
                <w:szCs w:val="20"/>
              </w:rPr>
              <w:t>+15m DA008</w:t>
            </w:r>
            <w:r>
              <w:rPr>
                <w:rFonts w:ascii="宋体" w:hAnsi="宋体" w:eastAsia="宋体" w:cs="宋体"/>
                <w:color w:val="000000"/>
                <w:kern w:val="0"/>
                <w:sz w:val="20"/>
                <w:szCs w:val="20"/>
              </w:rPr>
              <w:t>排气筒</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90.0 </w:t>
            </w:r>
          </w:p>
        </w:tc>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0.81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0.34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0.23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0.09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0.23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0.09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0.23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0.09 </w:t>
            </w:r>
          </w:p>
        </w:tc>
        <w:tc>
          <w:tcPr>
            <w:tcW w:w="18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70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7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 w:val="20"/>
                <w:szCs w:val="20"/>
              </w:rPr>
            </w:pPr>
          </w:p>
        </w:tc>
        <w:tc>
          <w:tcPr>
            <w:tcW w:w="55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0"/>
                <w:szCs w:val="20"/>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0.23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0.09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1620"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新增木工车间（开料废气（G1）、裁边废气（G3）、开料废气（G17）、钻孔废气（G19）、砂光废气（G4））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1.241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0.52 </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集气罩收集</w:t>
            </w:r>
            <w:r>
              <w:rPr>
                <w:rFonts w:ascii="Times New Roman" w:hAnsi="Times New Roman" w:eastAsia="宋体" w:cs="Times New Roman"/>
                <w:color w:val="000000"/>
                <w:kern w:val="0"/>
                <w:sz w:val="20"/>
                <w:szCs w:val="20"/>
              </w:rPr>
              <w:t>+</w:t>
            </w:r>
            <w:r>
              <w:rPr>
                <w:rFonts w:ascii="宋体" w:hAnsi="宋体" w:eastAsia="宋体" w:cs="宋体"/>
                <w:color w:val="000000"/>
                <w:kern w:val="0"/>
                <w:sz w:val="20"/>
                <w:szCs w:val="20"/>
              </w:rPr>
              <w:t>中央除尘器</w:t>
            </w:r>
            <w:r>
              <w:rPr>
                <w:rFonts w:ascii="Times New Roman" w:hAnsi="Times New Roman" w:eastAsia="宋体" w:cs="Times New Roman"/>
                <w:color w:val="000000"/>
                <w:kern w:val="0"/>
                <w:sz w:val="20"/>
                <w:szCs w:val="20"/>
              </w:rPr>
              <w:t>+15m DA005</w:t>
            </w:r>
            <w:r>
              <w:rPr>
                <w:rFonts w:ascii="宋体" w:hAnsi="宋体" w:eastAsia="宋体" w:cs="宋体"/>
                <w:color w:val="000000"/>
                <w:kern w:val="0"/>
                <w:sz w:val="20"/>
                <w:szCs w:val="20"/>
              </w:rPr>
              <w:t>排气筒</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80.000 </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1.24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0.52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砂纸打磨废气（G5）</w:t>
            </w: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少量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少量</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少量</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少量</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达标</w:t>
            </w:r>
          </w:p>
        </w:tc>
      </w:tr>
      <w:tr>
        <w:tblPrEx>
          <w:tblLayout w:type="fixed"/>
          <w:tblCellMar>
            <w:top w:w="0" w:type="dxa"/>
            <w:left w:w="108" w:type="dxa"/>
            <w:bottom w:w="0" w:type="dxa"/>
            <w:right w:w="108" w:type="dxa"/>
          </w:tblCellMar>
        </w:tblPrEx>
        <w:trPr>
          <w:trHeight w:val="270"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7</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灰磨粉尘（G6）</w:t>
            </w: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0.600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0.25 </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喷淋除尘器</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60.000 </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0.24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0.10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油磨粉尘（G10）</w:t>
            </w: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1.583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0.66 </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喷淋除尘器</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60.000 </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0.63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0.26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UV打磨废气（G8）</w:t>
            </w: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颗粒物</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0.396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0.16 </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喷淋除尘器</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60.000 </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0.16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1.00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1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拼板废气（G2）</w:t>
            </w: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0.150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0.06 </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0.15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0.06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达标</w:t>
            </w:r>
          </w:p>
        </w:tc>
      </w:tr>
      <w:tr>
        <w:tblPrEx>
          <w:tblLayout w:type="fixed"/>
          <w:tblCellMar>
            <w:top w:w="0" w:type="dxa"/>
            <w:left w:w="108" w:type="dxa"/>
            <w:bottom w:w="0" w:type="dxa"/>
            <w:right w:w="108" w:type="dxa"/>
          </w:tblCellMar>
        </w:tblPrEx>
        <w:trPr>
          <w:trHeight w:val="270" w:hRule="atLeast"/>
        </w:trPr>
        <w:tc>
          <w:tcPr>
            <w:tcW w:w="52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0.150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0.06 </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0.15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0.06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r>
        <w:tblPrEx>
          <w:tblLayout w:type="fixed"/>
          <w:tblCellMar>
            <w:top w:w="0" w:type="dxa"/>
            <w:left w:w="108" w:type="dxa"/>
            <w:bottom w:w="0" w:type="dxa"/>
            <w:right w:w="108" w:type="dxa"/>
          </w:tblCellMar>
        </w:tblPrEx>
        <w:trPr>
          <w:trHeight w:val="270" w:hRule="atLeast"/>
        </w:trPr>
        <w:tc>
          <w:tcPr>
            <w:tcW w:w="527" w:type="dxa"/>
            <w:vMerge w:val="restart"/>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1708" w:type="dxa"/>
            <w:vMerge w:val="restart"/>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 封边废气（G18）</w:t>
            </w:r>
          </w:p>
        </w:tc>
        <w:tc>
          <w:tcPr>
            <w:tcW w:w="1474" w:type="dxa"/>
            <w:tcBorders>
              <w:top w:val="single" w:color="000000" w:sz="4" w:space="0"/>
              <w:left w:val="single" w:color="000000" w:sz="4" w:space="0"/>
              <w:bottom w:val="nil"/>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VOCs</w:t>
            </w:r>
          </w:p>
        </w:tc>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0.090 </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0.04 </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0.09 </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6.00 </w:t>
            </w:r>
          </w:p>
        </w:tc>
        <w:tc>
          <w:tcPr>
            <w:tcW w:w="647" w:type="dxa"/>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达标</w:t>
            </w:r>
          </w:p>
        </w:tc>
      </w:tr>
      <w:tr>
        <w:tblPrEx>
          <w:tblLayout w:type="fixed"/>
          <w:tblCellMar>
            <w:top w:w="0" w:type="dxa"/>
            <w:left w:w="108" w:type="dxa"/>
            <w:bottom w:w="0" w:type="dxa"/>
            <w:right w:w="108" w:type="dxa"/>
          </w:tblCellMar>
        </w:tblPrEx>
        <w:trPr>
          <w:trHeight w:val="285" w:hRule="atLeast"/>
        </w:trPr>
        <w:tc>
          <w:tcPr>
            <w:tcW w:w="527" w:type="dxa"/>
            <w:vMerge w:val="continue"/>
            <w:tcBorders>
              <w:top w:val="single" w:color="000000" w:sz="4" w:space="0"/>
              <w:left w:val="single" w:color="000000" w:sz="4" w:space="0"/>
              <w:bottom w:val="single" w:color="000000" w:sz="8" w:space="0"/>
              <w:right w:val="single" w:color="000000" w:sz="4" w:space="0"/>
            </w:tcBorders>
            <w:vAlign w:val="center"/>
          </w:tcPr>
          <w:p>
            <w:pPr>
              <w:widowControl/>
              <w:jc w:val="left"/>
              <w:rPr>
                <w:rFonts w:ascii="宋体" w:hAnsi="宋体" w:eastAsia="宋体" w:cs="宋体"/>
                <w:color w:val="000000"/>
                <w:kern w:val="0"/>
                <w:sz w:val="22"/>
                <w:szCs w:val="22"/>
              </w:rPr>
            </w:pPr>
          </w:p>
        </w:tc>
        <w:tc>
          <w:tcPr>
            <w:tcW w:w="1708" w:type="dxa"/>
            <w:vMerge w:val="continue"/>
            <w:tcBorders>
              <w:top w:val="single" w:color="000000" w:sz="4" w:space="0"/>
              <w:left w:val="single" w:color="000000" w:sz="4" w:space="0"/>
              <w:bottom w:val="single" w:color="000000" w:sz="8" w:space="0"/>
              <w:right w:val="single" w:color="000000" w:sz="4" w:space="0"/>
            </w:tcBorders>
            <w:vAlign w:val="center"/>
          </w:tcPr>
          <w:p>
            <w:pPr>
              <w:widowControl/>
              <w:jc w:val="left"/>
              <w:rPr>
                <w:rFonts w:ascii="宋体" w:hAnsi="宋体" w:eastAsia="宋体" w:cs="宋体"/>
                <w:color w:val="000000"/>
                <w:kern w:val="0"/>
                <w:sz w:val="22"/>
                <w:szCs w:val="22"/>
              </w:rPr>
            </w:pPr>
          </w:p>
        </w:tc>
        <w:tc>
          <w:tcPr>
            <w:tcW w:w="1474"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324"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0.090 </w:t>
            </w:r>
          </w:p>
        </w:tc>
        <w:tc>
          <w:tcPr>
            <w:tcW w:w="84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0.04 </w:t>
            </w:r>
          </w:p>
        </w:tc>
        <w:tc>
          <w:tcPr>
            <w:tcW w:w="1893"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99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0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572"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553"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656"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0.09 </w:t>
            </w:r>
          </w:p>
        </w:tc>
        <w:tc>
          <w:tcPr>
            <w:tcW w:w="77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77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0.04 </w:t>
            </w:r>
          </w:p>
        </w:tc>
        <w:tc>
          <w:tcPr>
            <w:tcW w:w="778"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xml:space="preserve">4.00 </w:t>
            </w:r>
          </w:p>
        </w:tc>
        <w:tc>
          <w:tcPr>
            <w:tcW w:w="64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w:t>
            </w:r>
          </w:p>
        </w:tc>
        <w:tc>
          <w:tcPr>
            <w:tcW w:w="690"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达标</w:t>
            </w:r>
          </w:p>
        </w:tc>
      </w:tr>
    </w:tbl>
    <w:p>
      <w:pPr>
        <w:pStyle w:val="164"/>
      </w:pPr>
      <w:r>
        <w:rPr>
          <w:rFonts w:hint="eastAsia"/>
        </w:rPr>
        <w:t>表</w:t>
      </w:r>
      <w:r>
        <w:fldChar w:fldCharType="begin"/>
      </w:r>
      <w:r>
        <w:rPr>
          <w:rFonts w:hint="eastAsia"/>
        </w:rPr>
        <w:instrText xml:space="preserve">STYLEREF 2 \s</w:instrText>
      </w:r>
      <w:r>
        <w:fldChar w:fldCharType="separate"/>
      </w:r>
      <w:r>
        <w:t>4.2</w:t>
      </w:r>
      <w:r>
        <w:fldChar w:fldCharType="end"/>
      </w:r>
      <w:r>
        <w:noBreakHyphen/>
      </w:r>
      <w:r>
        <w:fldChar w:fldCharType="begin"/>
      </w:r>
      <w:r>
        <w:rPr>
          <w:rFonts w:hint="eastAsia"/>
        </w:rPr>
        <w:instrText xml:space="preserve">SEQ 表 \* ARABIC \s 2</w:instrText>
      </w:r>
      <w:r>
        <w:fldChar w:fldCharType="separate"/>
      </w:r>
      <w:r>
        <w:t>2</w:t>
      </w:r>
      <w:r>
        <w:fldChar w:fldCharType="end"/>
      </w:r>
      <w:r>
        <w:rPr>
          <w:rFonts w:hint="eastAsia"/>
        </w:rPr>
        <w:t>废气污染物排放量汇总一览表</w:t>
      </w:r>
    </w:p>
    <w:tbl>
      <w:tblPr>
        <w:tblStyle w:val="88"/>
        <w:tblW w:w="1561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55"/>
        <w:gridCol w:w="5809"/>
        <w:gridCol w:w="3248"/>
        <w:gridCol w:w="2114"/>
        <w:gridCol w:w="24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序号</w:t>
            </w:r>
          </w:p>
        </w:tc>
        <w:tc>
          <w:tcPr>
            <w:tcW w:w="5809" w:type="dxa"/>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污染物</w:t>
            </w:r>
          </w:p>
        </w:tc>
        <w:tc>
          <w:tcPr>
            <w:tcW w:w="3248" w:type="dxa"/>
            <w:shd w:val="clear" w:color="auto" w:fill="auto"/>
            <w:vAlign w:val="center"/>
          </w:tcPr>
          <w:p>
            <w:pPr>
              <w:widowControl/>
              <w:jc w:val="center"/>
              <w:rPr>
                <w:rFonts w:ascii="宋体" w:hAnsi="宋体" w:eastAsia="宋体" w:cs="宋体"/>
                <w:b/>
                <w:bCs/>
                <w:color w:val="000000"/>
                <w:kern w:val="0"/>
              </w:rPr>
            </w:pPr>
            <w:r>
              <w:rPr>
                <w:rFonts w:hint="eastAsia" w:ascii="宋体" w:hAnsi="宋体" w:eastAsia="宋体" w:cs="宋体"/>
                <w:b/>
                <w:bCs/>
                <w:color w:val="000000"/>
                <w:kern w:val="0"/>
              </w:rPr>
              <w:t>排放形式</w:t>
            </w:r>
          </w:p>
        </w:tc>
        <w:tc>
          <w:tcPr>
            <w:tcW w:w="4604" w:type="dxa"/>
            <w:gridSpan w:val="2"/>
            <w:shd w:val="clear" w:color="auto" w:fill="auto"/>
            <w:vAlign w:val="center"/>
          </w:tcPr>
          <w:p>
            <w:pPr>
              <w:widowControl/>
              <w:jc w:val="center"/>
              <w:rPr>
                <w:rFonts w:ascii="宋体" w:hAnsi="宋体" w:eastAsia="宋体" w:cs="宋体"/>
                <w:b/>
                <w:bCs/>
                <w:color w:val="000000"/>
                <w:kern w:val="0"/>
              </w:rPr>
            </w:pPr>
            <w:r>
              <w:rPr>
                <w:rFonts w:ascii="宋体" w:hAnsi="宋体" w:eastAsia="宋体" w:cs="宋体"/>
                <w:b/>
                <w:bCs/>
                <w:color w:val="000000"/>
                <w:kern w:val="0"/>
              </w:rPr>
              <w:t>排放量（</w:t>
            </w:r>
            <w:r>
              <w:rPr>
                <w:rFonts w:ascii="Times New Roman" w:hAnsi="Times New Roman" w:eastAsia="宋体" w:cs="Times New Roman"/>
                <w:b/>
                <w:bCs/>
                <w:color w:val="000000"/>
                <w:kern w:val="0"/>
              </w:rPr>
              <w:t>t/a</w:t>
            </w:r>
            <w:r>
              <w:rPr>
                <w:rFonts w:ascii="宋体" w:hAnsi="宋体" w:eastAsia="宋体" w:cs="宋体"/>
                <w:b/>
                <w:bCs/>
                <w:color w:val="000000"/>
                <w:kern w:val="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w:t>
            </w:r>
          </w:p>
        </w:tc>
        <w:tc>
          <w:tcPr>
            <w:tcW w:w="5809" w:type="dxa"/>
            <w:vMerge w:val="restar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有组织</w:t>
            </w:r>
          </w:p>
        </w:tc>
        <w:tc>
          <w:tcPr>
            <w:tcW w:w="2114" w:type="dxa"/>
            <w:shd w:val="clear" w:color="auto" w:fill="auto"/>
            <w:vAlign w:val="center"/>
          </w:tcPr>
          <w:p>
            <w:pPr>
              <w:jc w:val="center"/>
              <w:rPr>
                <w:rFonts w:ascii="Times New Roman" w:hAnsi="Times New Roman" w:eastAsia="宋体" w:cs="Times New Roman"/>
                <w:color w:val="FF0000"/>
              </w:rPr>
            </w:pPr>
            <w:r>
              <w:rPr>
                <w:rFonts w:ascii="Times New Roman" w:hAnsi="Times New Roman" w:cs="Times New Roman"/>
                <w:color w:val="FF0000"/>
              </w:rPr>
              <w:t xml:space="preserve">7.46 </w:t>
            </w:r>
          </w:p>
        </w:tc>
        <w:tc>
          <w:tcPr>
            <w:tcW w:w="2490" w:type="dxa"/>
            <w:vMerge w:val="restart"/>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15.06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w:t>
            </w:r>
          </w:p>
        </w:tc>
        <w:tc>
          <w:tcPr>
            <w:tcW w:w="5809" w:type="dxa"/>
            <w:vMerge w:val="continue"/>
            <w:vAlign w:val="center"/>
          </w:tcPr>
          <w:p>
            <w:pPr>
              <w:widowControl/>
              <w:jc w:val="left"/>
              <w:rPr>
                <w:rFonts w:ascii="宋体" w:hAnsi="宋体" w:eastAsia="宋体" w:cs="宋体"/>
                <w:color w:val="000000"/>
                <w:kern w:val="0"/>
              </w:rPr>
            </w:pP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无组织</w:t>
            </w:r>
          </w:p>
        </w:tc>
        <w:tc>
          <w:tcPr>
            <w:tcW w:w="2114" w:type="dxa"/>
            <w:shd w:val="clear" w:color="auto" w:fill="auto"/>
            <w:vAlign w:val="center"/>
          </w:tcPr>
          <w:p>
            <w:pPr>
              <w:jc w:val="center"/>
              <w:rPr>
                <w:rFonts w:ascii="Times New Roman" w:hAnsi="Times New Roman" w:eastAsia="宋体" w:cs="Times New Roman"/>
                <w:color w:val="FF0000"/>
              </w:rPr>
            </w:pPr>
            <w:r>
              <w:rPr>
                <w:rFonts w:ascii="Times New Roman" w:hAnsi="Times New Roman" w:cs="Times New Roman"/>
                <w:color w:val="FF0000"/>
              </w:rPr>
              <w:t xml:space="preserve">7.61 </w:t>
            </w:r>
          </w:p>
        </w:tc>
        <w:tc>
          <w:tcPr>
            <w:tcW w:w="2490" w:type="dxa"/>
            <w:vMerge w:val="continue"/>
            <w:vAlign w:val="center"/>
          </w:tcPr>
          <w:p>
            <w:pPr>
              <w:widowControl/>
              <w:jc w:val="left"/>
              <w:rPr>
                <w:rFonts w:ascii="Times New Roman" w:hAnsi="Times New Roman" w:eastAsia="宋体" w:cs="Times New Roman"/>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5809" w:type="dxa"/>
            <w:vMerge w:val="restart"/>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有组织</w:t>
            </w:r>
          </w:p>
        </w:tc>
        <w:tc>
          <w:tcPr>
            <w:tcW w:w="2114" w:type="dxa"/>
            <w:shd w:val="clear" w:color="auto" w:fill="auto"/>
            <w:vAlign w:val="center"/>
          </w:tcPr>
          <w:p>
            <w:pPr>
              <w:jc w:val="center"/>
              <w:rPr>
                <w:rFonts w:ascii="Times New Roman" w:hAnsi="Times New Roman" w:eastAsia="宋体" w:cs="Times New Roman"/>
                <w:color w:val="FF0000"/>
              </w:rPr>
            </w:pPr>
            <w:r>
              <w:rPr>
                <w:rFonts w:ascii="Times New Roman" w:hAnsi="Times New Roman" w:cs="Times New Roman"/>
                <w:color w:val="FF0000"/>
              </w:rPr>
              <w:t xml:space="preserve">3.99 </w:t>
            </w:r>
          </w:p>
        </w:tc>
        <w:tc>
          <w:tcPr>
            <w:tcW w:w="2490" w:type="dxa"/>
            <w:vMerge w:val="restart"/>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10.75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w:t>
            </w:r>
          </w:p>
        </w:tc>
        <w:tc>
          <w:tcPr>
            <w:tcW w:w="5809" w:type="dxa"/>
            <w:vMerge w:val="continue"/>
            <w:vAlign w:val="center"/>
          </w:tcPr>
          <w:p>
            <w:pPr>
              <w:widowControl/>
              <w:jc w:val="left"/>
              <w:rPr>
                <w:rFonts w:ascii="宋体" w:hAnsi="宋体" w:eastAsia="宋体" w:cs="宋体"/>
                <w:color w:val="000000"/>
                <w:kern w:val="0"/>
              </w:rPr>
            </w:pP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无组织</w:t>
            </w:r>
          </w:p>
        </w:tc>
        <w:tc>
          <w:tcPr>
            <w:tcW w:w="2114" w:type="dxa"/>
            <w:shd w:val="clear" w:color="auto" w:fill="auto"/>
            <w:vAlign w:val="center"/>
          </w:tcPr>
          <w:p>
            <w:pPr>
              <w:jc w:val="center"/>
              <w:rPr>
                <w:rFonts w:ascii="Times New Roman" w:hAnsi="Times New Roman" w:eastAsia="宋体" w:cs="Times New Roman"/>
                <w:color w:val="FF0000"/>
              </w:rPr>
            </w:pPr>
            <w:r>
              <w:rPr>
                <w:rFonts w:ascii="Times New Roman" w:hAnsi="Times New Roman" w:cs="Times New Roman"/>
                <w:color w:val="FF0000"/>
              </w:rPr>
              <w:t xml:space="preserve">3.30 </w:t>
            </w:r>
          </w:p>
        </w:tc>
        <w:tc>
          <w:tcPr>
            <w:tcW w:w="2490" w:type="dxa"/>
            <w:vMerge w:val="continue"/>
            <w:vAlign w:val="center"/>
          </w:tcPr>
          <w:p>
            <w:pPr>
              <w:widowControl/>
              <w:jc w:val="left"/>
              <w:rPr>
                <w:rFonts w:ascii="Times New Roman" w:hAnsi="Times New Roman" w:eastAsia="宋体" w:cs="Times New Roman"/>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w:t>
            </w:r>
          </w:p>
        </w:tc>
        <w:tc>
          <w:tcPr>
            <w:tcW w:w="5809" w:type="dxa"/>
            <w:vMerge w:val="restar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有组织</w:t>
            </w:r>
          </w:p>
        </w:tc>
        <w:tc>
          <w:tcPr>
            <w:tcW w:w="2114"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3.99 </w:t>
            </w:r>
          </w:p>
        </w:tc>
        <w:tc>
          <w:tcPr>
            <w:tcW w:w="2490" w:type="dxa"/>
            <w:vMerge w:val="restart"/>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10.75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w:t>
            </w:r>
          </w:p>
        </w:tc>
        <w:tc>
          <w:tcPr>
            <w:tcW w:w="5809" w:type="dxa"/>
            <w:vMerge w:val="continue"/>
            <w:vAlign w:val="center"/>
          </w:tcPr>
          <w:p>
            <w:pPr>
              <w:widowControl/>
              <w:jc w:val="left"/>
              <w:rPr>
                <w:rFonts w:ascii="宋体" w:hAnsi="宋体" w:eastAsia="宋体" w:cs="宋体"/>
                <w:color w:val="000000"/>
                <w:kern w:val="0"/>
              </w:rPr>
            </w:pP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无组织</w:t>
            </w:r>
          </w:p>
        </w:tc>
        <w:tc>
          <w:tcPr>
            <w:tcW w:w="2114"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3.30 </w:t>
            </w:r>
          </w:p>
        </w:tc>
        <w:tc>
          <w:tcPr>
            <w:tcW w:w="2490" w:type="dxa"/>
            <w:vMerge w:val="continue"/>
            <w:vAlign w:val="center"/>
          </w:tcPr>
          <w:p>
            <w:pPr>
              <w:widowControl/>
              <w:jc w:val="left"/>
              <w:rPr>
                <w:rFonts w:ascii="Times New Roman" w:hAnsi="Times New Roman" w:eastAsia="宋体" w:cs="Times New Roman"/>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w:t>
            </w:r>
          </w:p>
        </w:tc>
        <w:tc>
          <w:tcPr>
            <w:tcW w:w="5809" w:type="dxa"/>
            <w:vMerge w:val="restar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甲苯与二甲苯合计</w:t>
            </w: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有组织</w:t>
            </w:r>
          </w:p>
        </w:tc>
        <w:tc>
          <w:tcPr>
            <w:tcW w:w="2114"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0.37 </w:t>
            </w:r>
          </w:p>
        </w:tc>
        <w:tc>
          <w:tcPr>
            <w:tcW w:w="2490" w:type="dxa"/>
            <w:vMerge w:val="restart"/>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7.74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5809" w:type="dxa"/>
            <w:vMerge w:val="continue"/>
            <w:vAlign w:val="center"/>
          </w:tcPr>
          <w:p>
            <w:pPr>
              <w:widowControl/>
              <w:jc w:val="left"/>
              <w:rPr>
                <w:rFonts w:ascii="宋体" w:hAnsi="宋体" w:eastAsia="宋体" w:cs="宋体"/>
                <w:color w:val="000000"/>
                <w:kern w:val="0"/>
              </w:rPr>
            </w:pP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无组织</w:t>
            </w:r>
          </w:p>
        </w:tc>
        <w:tc>
          <w:tcPr>
            <w:tcW w:w="2114"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0.29 </w:t>
            </w:r>
          </w:p>
        </w:tc>
        <w:tc>
          <w:tcPr>
            <w:tcW w:w="2490" w:type="dxa"/>
            <w:vMerge w:val="continue"/>
            <w:vAlign w:val="center"/>
          </w:tcPr>
          <w:p>
            <w:pPr>
              <w:widowControl/>
              <w:jc w:val="left"/>
              <w:rPr>
                <w:rFonts w:ascii="Times New Roman" w:hAnsi="Times New Roman" w:eastAsia="宋体" w:cs="Times New Roman"/>
                <w:color w:val="000000"/>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9</w:t>
            </w:r>
          </w:p>
        </w:tc>
        <w:tc>
          <w:tcPr>
            <w:tcW w:w="5809" w:type="dxa"/>
            <w:vMerge w:val="restart"/>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二甲苯</w:t>
            </w: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有组织</w:t>
            </w:r>
          </w:p>
        </w:tc>
        <w:tc>
          <w:tcPr>
            <w:tcW w:w="2114"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0.37 </w:t>
            </w:r>
          </w:p>
        </w:tc>
        <w:tc>
          <w:tcPr>
            <w:tcW w:w="2490" w:type="dxa"/>
            <w:vMerge w:val="restart"/>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7.74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5" w:hRule="atLeast"/>
        </w:trPr>
        <w:tc>
          <w:tcPr>
            <w:tcW w:w="1955" w:type="dxa"/>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w:t>
            </w:r>
          </w:p>
        </w:tc>
        <w:tc>
          <w:tcPr>
            <w:tcW w:w="5809" w:type="dxa"/>
            <w:vMerge w:val="continue"/>
            <w:vAlign w:val="center"/>
          </w:tcPr>
          <w:p>
            <w:pPr>
              <w:widowControl/>
              <w:jc w:val="left"/>
              <w:rPr>
                <w:rFonts w:ascii="宋体" w:hAnsi="宋体" w:eastAsia="宋体" w:cs="宋体"/>
                <w:color w:val="000000"/>
                <w:kern w:val="0"/>
              </w:rPr>
            </w:pPr>
          </w:p>
        </w:tc>
        <w:tc>
          <w:tcPr>
            <w:tcW w:w="3248" w:type="dxa"/>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无组织</w:t>
            </w:r>
          </w:p>
        </w:tc>
        <w:tc>
          <w:tcPr>
            <w:tcW w:w="2114" w:type="dxa"/>
            <w:shd w:val="clear" w:color="auto" w:fill="auto"/>
            <w:vAlign w:val="center"/>
          </w:tcPr>
          <w:p>
            <w:pPr>
              <w:jc w:val="center"/>
              <w:rPr>
                <w:rFonts w:ascii="Times New Roman" w:hAnsi="Times New Roman" w:eastAsia="宋体" w:cs="Times New Roman"/>
                <w:color w:val="000000"/>
              </w:rPr>
            </w:pPr>
            <w:r>
              <w:rPr>
                <w:rFonts w:ascii="Times New Roman" w:hAnsi="Times New Roman" w:cs="Times New Roman"/>
                <w:color w:val="000000"/>
              </w:rPr>
              <w:t xml:space="preserve">0.29 </w:t>
            </w:r>
          </w:p>
        </w:tc>
        <w:tc>
          <w:tcPr>
            <w:tcW w:w="2490" w:type="dxa"/>
            <w:vMerge w:val="continue"/>
            <w:vAlign w:val="center"/>
          </w:tcPr>
          <w:p>
            <w:pPr>
              <w:widowControl/>
              <w:jc w:val="left"/>
              <w:rPr>
                <w:rFonts w:ascii="Times New Roman" w:hAnsi="Times New Roman" w:eastAsia="宋体" w:cs="Times New Roman"/>
                <w:color w:val="000000"/>
                <w:kern w:val="0"/>
              </w:rPr>
            </w:pPr>
          </w:p>
        </w:tc>
      </w:tr>
    </w:tbl>
    <w:p>
      <w:pPr>
        <w:pStyle w:val="165"/>
      </w:pPr>
    </w:p>
    <w:bookmarkEnd w:id="44"/>
    <w:p>
      <w:pPr>
        <w:tabs>
          <w:tab w:val="left" w:pos="661"/>
        </w:tabs>
        <w:rPr>
          <w:rFonts w:ascii="宋体" w:hAnsi="宋体" w:eastAsia="宋体"/>
        </w:rPr>
        <w:sectPr>
          <w:pgSz w:w="16840" w:h="11907" w:orient="landscape"/>
          <w:pgMar w:top="720" w:right="720" w:bottom="720" w:left="720" w:header="851" w:footer="851" w:gutter="0"/>
          <w:cols w:space="720" w:num="1"/>
          <w:docGrid w:linePitch="312" w:charSpace="0"/>
        </w:sectPr>
      </w:pPr>
    </w:p>
    <w:tbl>
      <w:tblPr>
        <w:tblStyle w:val="88"/>
        <w:tblW w:w="950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8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884" w:hRule="atLeast"/>
          <w:jc w:val="center"/>
        </w:trPr>
        <w:tc>
          <w:tcPr>
            <w:tcW w:w="672" w:type="dxa"/>
            <w:tcMar>
              <w:left w:w="28" w:type="dxa"/>
              <w:right w:w="28" w:type="dxa"/>
            </w:tcMar>
            <w:vAlign w:val="center"/>
          </w:tcPr>
          <w:p>
            <w:pPr>
              <w:adjustRightInd w:val="0"/>
              <w:snapToGrid w:val="0"/>
              <w:jc w:val="center"/>
              <w:rPr>
                <w:rFonts w:ascii="宋体" w:hAnsi="宋体" w:eastAsia="宋体" w:cs="宋体"/>
                <w:bCs/>
                <w:sz w:val="24"/>
              </w:rPr>
            </w:pPr>
            <w:r>
              <w:rPr>
                <w:rFonts w:hint="eastAsia" w:ascii="宋体" w:hAnsi="宋体" w:eastAsia="宋体" w:cs="宋体"/>
                <w:bCs/>
                <w:sz w:val="24"/>
              </w:rPr>
              <w:t>运营</w:t>
            </w:r>
          </w:p>
          <w:p>
            <w:pPr>
              <w:adjustRightInd w:val="0"/>
              <w:snapToGrid w:val="0"/>
              <w:jc w:val="center"/>
              <w:rPr>
                <w:rFonts w:ascii="宋体" w:hAnsi="宋体" w:eastAsia="宋体" w:cs="宋体"/>
                <w:bCs/>
                <w:sz w:val="24"/>
              </w:rPr>
            </w:pPr>
            <w:r>
              <w:rPr>
                <w:rFonts w:hint="eastAsia" w:ascii="宋体" w:hAnsi="宋体" w:eastAsia="宋体" w:cs="宋体"/>
                <w:bCs/>
                <w:sz w:val="24"/>
              </w:rPr>
              <w:t>期环</w:t>
            </w:r>
          </w:p>
          <w:p>
            <w:pPr>
              <w:adjustRightInd w:val="0"/>
              <w:snapToGrid w:val="0"/>
              <w:jc w:val="center"/>
              <w:rPr>
                <w:rFonts w:ascii="宋体" w:hAnsi="宋体" w:eastAsia="宋体" w:cs="宋体"/>
                <w:bCs/>
                <w:sz w:val="24"/>
              </w:rPr>
            </w:pPr>
            <w:r>
              <w:rPr>
                <w:rFonts w:hint="eastAsia" w:ascii="宋体" w:hAnsi="宋体" w:eastAsia="宋体" w:cs="宋体"/>
                <w:bCs/>
                <w:sz w:val="24"/>
              </w:rPr>
              <w:t>境影</w:t>
            </w:r>
          </w:p>
          <w:p>
            <w:pPr>
              <w:adjustRightInd w:val="0"/>
              <w:snapToGrid w:val="0"/>
              <w:jc w:val="center"/>
              <w:rPr>
                <w:rFonts w:ascii="宋体" w:hAnsi="宋体" w:eastAsia="宋体" w:cs="宋体"/>
                <w:bCs/>
                <w:sz w:val="24"/>
              </w:rPr>
            </w:pPr>
            <w:r>
              <w:rPr>
                <w:rFonts w:hint="eastAsia" w:ascii="宋体" w:hAnsi="宋体" w:eastAsia="宋体" w:cs="宋体"/>
                <w:bCs/>
                <w:sz w:val="24"/>
              </w:rPr>
              <w:t>响和</w:t>
            </w:r>
          </w:p>
          <w:p>
            <w:pPr>
              <w:adjustRightInd w:val="0"/>
              <w:snapToGrid w:val="0"/>
              <w:jc w:val="center"/>
              <w:rPr>
                <w:rFonts w:ascii="宋体" w:hAnsi="宋体" w:eastAsia="宋体" w:cs="宋体"/>
                <w:bCs/>
                <w:sz w:val="24"/>
              </w:rPr>
            </w:pPr>
            <w:r>
              <w:rPr>
                <w:rFonts w:hint="eastAsia" w:ascii="宋体" w:hAnsi="宋体" w:eastAsia="宋体" w:cs="宋体"/>
                <w:bCs/>
                <w:sz w:val="24"/>
              </w:rPr>
              <w:t>保护</w:t>
            </w:r>
          </w:p>
          <w:p>
            <w:pPr>
              <w:pStyle w:val="81"/>
              <w:widowControl w:val="0"/>
              <w:adjustRightInd w:val="0"/>
              <w:snapToGrid w:val="0"/>
              <w:spacing w:beforeAutospacing="0" w:after="0" w:afterAutospacing="0"/>
              <w:jc w:val="center"/>
              <w:rPr>
                <w:rFonts w:cs="宋体"/>
                <w:kern w:val="2"/>
                <w:sz w:val="21"/>
                <w:szCs w:val="21"/>
              </w:rPr>
            </w:pPr>
            <w:r>
              <w:rPr>
                <w:rFonts w:hint="eastAsia" w:cs="宋体"/>
                <w:bCs/>
              </w:rPr>
              <w:t>措施</w:t>
            </w:r>
          </w:p>
        </w:tc>
        <w:tc>
          <w:tcPr>
            <w:tcW w:w="8837" w:type="dxa"/>
          </w:tcPr>
          <w:p>
            <w:pPr>
              <w:pStyle w:val="6"/>
            </w:pPr>
            <w:r>
              <w:rPr>
                <w:rFonts w:hint="eastAsia"/>
              </w:rPr>
              <w:t>4.2.2</w:t>
            </w:r>
            <w:r>
              <w:t>排放口基本情况</w:t>
            </w:r>
          </w:p>
          <w:p>
            <w:pPr>
              <w:pStyle w:val="160"/>
              <w:ind w:firstLine="480"/>
            </w:pPr>
            <w:r>
              <w:rPr>
                <w:rFonts w:hint="eastAsia"/>
              </w:rPr>
              <w:t>对照《排污许可证申请与核发技术规范家具制造工业》（HJ1027-2019）中“表4简化管理排污单位废气产污环节、污染物种类、排放形式及污染防治设施一览表”，扩建项目</w:t>
            </w:r>
            <w:r>
              <w:t>废气排放口基本情况见</w:t>
            </w:r>
            <w:r>
              <w:fldChar w:fldCharType="begin"/>
            </w:r>
            <w:r>
              <w:instrText xml:space="preserve"> REF _Ref82520368 \h </w:instrText>
            </w:r>
            <w:r>
              <w:fldChar w:fldCharType="separate"/>
            </w:r>
            <w:r>
              <w:rPr>
                <w:rFonts w:hint="eastAsia"/>
              </w:rPr>
              <w:t>表</w:t>
            </w:r>
            <w:r>
              <w:t>4.2</w:t>
            </w:r>
            <w:r>
              <w:noBreakHyphen/>
            </w:r>
            <w:r>
              <w:rPr>
                <w:rFonts w:hint="eastAsia"/>
              </w:rPr>
              <w:t>3</w:t>
            </w:r>
            <w:r>
              <w:fldChar w:fldCharType="end"/>
            </w:r>
            <w:r>
              <w:t>。</w:t>
            </w:r>
          </w:p>
          <w:p>
            <w:pPr>
              <w:pStyle w:val="164"/>
            </w:pPr>
            <w:bookmarkStart w:id="45" w:name="_Ref82520368"/>
            <w:r>
              <w:rPr>
                <w:rFonts w:hint="eastAsia"/>
              </w:rPr>
              <w:t>表</w:t>
            </w:r>
            <w:r>
              <w:fldChar w:fldCharType="begin"/>
            </w:r>
            <w:r>
              <w:rPr>
                <w:rFonts w:hint="eastAsia"/>
              </w:rPr>
              <w:instrText xml:space="preserve">STYLEREF 2 \s</w:instrText>
            </w:r>
            <w:r>
              <w:fldChar w:fldCharType="separate"/>
            </w:r>
            <w:r>
              <w:t>4.2</w:t>
            </w:r>
            <w:r>
              <w:fldChar w:fldCharType="end"/>
            </w:r>
            <w:r>
              <w:noBreakHyphen/>
            </w:r>
            <w:bookmarkEnd w:id="45"/>
            <w:r>
              <w:rPr>
                <w:rFonts w:hint="eastAsia"/>
              </w:rPr>
              <w:t>3</w:t>
            </w:r>
            <w:r>
              <w:t>废气排放口基本情况一览表</w:t>
            </w:r>
          </w:p>
          <w:tbl>
            <w:tblPr>
              <w:tblStyle w:val="162"/>
              <w:tblW w:w="839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4"/>
              <w:gridCol w:w="814"/>
              <w:gridCol w:w="1308"/>
              <w:gridCol w:w="1086"/>
              <w:gridCol w:w="934"/>
              <w:gridCol w:w="992"/>
              <w:gridCol w:w="1016"/>
              <w:gridCol w:w="891"/>
              <w:gridCol w:w="8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1096" w:hRule="atLeast"/>
                <w:jc w:val="center"/>
              </w:trPr>
              <w:tc>
                <w:tcPr>
                  <w:tcW w:w="464" w:type="dxa"/>
                  <w:shd w:val="clear" w:color="auto" w:fill="auto"/>
                  <w:vAlign w:val="center"/>
                </w:tcPr>
                <w:p>
                  <w:pPr>
                    <w:pStyle w:val="164"/>
                    <w:rPr>
                      <w:b/>
                    </w:rPr>
                  </w:pPr>
                  <w:r>
                    <w:rPr>
                      <w:b w:val="0"/>
                    </w:rPr>
                    <w:t>序号</w:t>
                  </w:r>
                </w:p>
              </w:tc>
              <w:tc>
                <w:tcPr>
                  <w:tcW w:w="814" w:type="dxa"/>
                  <w:shd w:val="clear" w:color="auto" w:fill="auto"/>
                  <w:vAlign w:val="center"/>
                </w:tcPr>
                <w:p>
                  <w:pPr>
                    <w:pStyle w:val="164"/>
                    <w:rPr>
                      <w:b/>
                    </w:rPr>
                  </w:pPr>
                  <w:r>
                    <w:rPr>
                      <w:b w:val="0"/>
                    </w:rPr>
                    <w:t>排放口编号</w:t>
                  </w:r>
                </w:p>
              </w:tc>
              <w:tc>
                <w:tcPr>
                  <w:tcW w:w="1308" w:type="dxa"/>
                  <w:shd w:val="clear" w:color="auto" w:fill="auto"/>
                  <w:vAlign w:val="center"/>
                </w:tcPr>
                <w:p>
                  <w:pPr>
                    <w:pStyle w:val="164"/>
                    <w:rPr>
                      <w:b/>
                    </w:rPr>
                  </w:pPr>
                  <w:r>
                    <w:rPr>
                      <w:b w:val="0"/>
                    </w:rPr>
                    <w:t>排放口名称</w:t>
                  </w:r>
                </w:p>
              </w:tc>
              <w:tc>
                <w:tcPr>
                  <w:tcW w:w="1086" w:type="dxa"/>
                  <w:shd w:val="clear" w:color="auto" w:fill="auto"/>
                  <w:vAlign w:val="center"/>
                </w:tcPr>
                <w:p>
                  <w:pPr>
                    <w:pStyle w:val="164"/>
                    <w:rPr>
                      <w:b/>
                    </w:rPr>
                  </w:pPr>
                  <w:r>
                    <w:rPr>
                      <w:b w:val="0"/>
                    </w:rPr>
                    <w:t>排放口类型</w:t>
                  </w:r>
                </w:p>
              </w:tc>
              <w:tc>
                <w:tcPr>
                  <w:tcW w:w="934" w:type="dxa"/>
                  <w:shd w:val="clear" w:color="auto" w:fill="auto"/>
                  <w:vAlign w:val="center"/>
                </w:tcPr>
                <w:p>
                  <w:pPr>
                    <w:pStyle w:val="164"/>
                    <w:rPr>
                      <w:b/>
                    </w:rPr>
                  </w:pPr>
                  <w:r>
                    <w:rPr>
                      <w:b w:val="0"/>
                    </w:rPr>
                    <w:t>排气筒高度（m）</w:t>
                  </w:r>
                </w:p>
              </w:tc>
              <w:tc>
                <w:tcPr>
                  <w:tcW w:w="992" w:type="dxa"/>
                  <w:shd w:val="clear" w:color="auto" w:fill="auto"/>
                  <w:vAlign w:val="center"/>
                </w:tcPr>
                <w:p>
                  <w:pPr>
                    <w:pStyle w:val="164"/>
                    <w:rPr>
                      <w:b/>
                    </w:rPr>
                  </w:pPr>
                  <w:r>
                    <w:rPr>
                      <w:b w:val="0"/>
                    </w:rPr>
                    <w:t>排气筒内径（m）</w:t>
                  </w:r>
                </w:p>
              </w:tc>
              <w:tc>
                <w:tcPr>
                  <w:tcW w:w="1016" w:type="dxa"/>
                  <w:shd w:val="clear" w:color="auto" w:fill="auto"/>
                  <w:vAlign w:val="center"/>
                </w:tcPr>
                <w:p>
                  <w:pPr>
                    <w:pStyle w:val="164"/>
                    <w:rPr>
                      <w:b/>
                    </w:rPr>
                  </w:pPr>
                  <w:r>
                    <w:rPr>
                      <w:b w:val="0"/>
                    </w:rPr>
                    <w:t>风量</w:t>
                  </w:r>
                  <w:r>
                    <w:rPr>
                      <w:rFonts w:hint="eastAsia"/>
                      <w:b w:val="0"/>
                    </w:rPr>
                    <w:t>（m³/h）</w:t>
                  </w:r>
                </w:p>
              </w:tc>
              <w:tc>
                <w:tcPr>
                  <w:tcW w:w="891" w:type="dxa"/>
                  <w:shd w:val="clear" w:color="auto" w:fill="auto"/>
                  <w:vAlign w:val="center"/>
                </w:tcPr>
                <w:p>
                  <w:pPr>
                    <w:pStyle w:val="164"/>
                    <w:rPr>
                      <w:b/>
                    </w:rPr>
                  </w:pPr>
                  <w:r>
                    <w:rPr>
                      <w:b w:val="0"/>
                    </w:rPr>
                    <w:t>烟气流速</w:t>
                  </w:r>
                  <w:r>
                    <w:rPr>
                      <w:rFonts w:hint="eastAsia"/>
                      <w:b w:val="0"/>
                    </w:rPr>
                    <w:t>（m/s）</w:t>
                  </w:r>
                </w:p>
              </w:tc>
              <w:tc>
                <w:tcPr>
                  <w:tcW w:w="889" w:type="dxa"/>
                  <w:shd w:val="clear" w:color="auto" w:fill="auto"/>
                  <w:vAlign w:val="center"/>
                </w:tcPr>
                <w:p>
                  <w:pPr>
                    <w:pStyle w:val="164"/>
                    <w:rPr>
                      <w:b/>
                    </w:rPr>
                  </w:pPr>
                  <w:r>
                    <w:rPr>
                      <w:b w:val="0"/>
                    </w:rPr>
                    <w:t>排气温度（℃）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0" w:hRule="atLeast"/>
                <w:jc w:val="center"/>
              </w:trPr>
              <w:tc>
                <w:tcPr>
                  <w:tcW w:w="464" w:type="dxa"/>
                  <w:shd w:val="clear" w:color="auto" w:fill="auto"/>
                  <w:vAlign w:val="center"/>
                </w:tcPr>
                <w:p>
                  <w:pPr>
                    <w:pStyle w:val="164"/>
                  </w:pPr>
                  <w:r>
                    <w:t>1</w:t>
                  </w:r>
                </w:p>
              </w:tc>
              <w:tc>
                <w:tcPr>
                  <w:tcW w:w="814" w:type="dxa"/>
                  <w:shd w:val="clear" w:color="auto" w:fill="auto"/>
                  <w:vAlign w:val="center"/>
                </w:tcPr>
                <w:p>
                  <w:pPr>
                    <w:pStyle w:val="164"/>
                    <w:rPr>
                      <w:color w:val="auto"/>
                    </w:rPr>
                  </w:pPr>
                  <w:r>
                    <w:rPr>
                      <w:color w:val="auto"/>
                    </w:rPr>
                    <w:t>DA001</w:t>
                  </w:r>
                </w:p>
              </w:tc>
              <w:tc>
                <w:tcPr>
                  <w:tcW w:w="1308" w:type="dxa"/>
                  <w:shd w:val="clear" w:color="auto" w:fill="auto"/>
                  <w:vAlign w:val="center"/>
                </w:tcPr>
                <w:p>
                  <w:pPr>
                    <w:pStyle w:val="164"/>
                    <w:rPr>
                      <w:color w:val="auto"/>
                    </w:rPr>
                  </w:pPr>
                  <w:r>
                    <w:rPr>
                      <w:rFonts w:hint="eastAsia"/>
                      <w:color w:val="auto"/>
                    </w:rPr>
                    <w:t>1#底漆涂装废气排口</w:t>
                  </w:r>
                </w:p>
              </w:tc>
              <w:tc>
                <w:tcPr>
                  <w:tcW w:w="1086" w:type="dxa"/>
                  <w:shd w:val="clear" w:color="auto" w:fill="auto"/>
                  <w:vAlign w:val="center"/>
                </w:tcPr>
                <w:p>
                  <w:pPr>
                    <w:pStyle w:val="164"/>
                    <w:rPr>
                      <w:color w:val="auto"/>
                    </w:rPr>
                  </w:pPr>
                  <w:r>
                    <w:rPr>
                      <w:color w:val="auto"/>
                    </w:rPr>
                    <w:t>一般排放口</w:t>
                  </w:r>
                </w:p>
              </w:tc>
              <w:tc>
                <w:tcPr>
                  <w:tcW w:w="934" w:type="dxa"/>
                  <w:shd w:val="clear" w:color="auto" w:fill="auto"/>
                  <w:vAlign w:val="center"/>
                </w:tcPr>
                <w:p>
                  <w:pPr>
                    <w:pStyle w:val="164"/>
                    <w:rPr>
                      <w:color w:val="auto"/>
                    </w:rPr>
                  </w:pPr>
                  <w:r>
                    <w:rPr>
                      <w:rFonts w:hint="eastAsia"/>
                      <w:color w:val="auto"/>
                    </w:rPr>
                    <w:t>15</w:t>
                  </w:r>
                </w:p>
              </w:tc>
              <w:tc>
                <w:tcPr>
                  <w:tcW w:w="992" w:type="dxa"/>
                  <w:shd w:val="clear" w:color="auto" w:fill="auto"/>
                  <w:vAlign w:val="center"/>
                </w:tcPr>
                <w:p>
                  <w:pPr>
                    <w:pStyle w:val="164"/>
                    <w:rPr>
                      <w:color w:val="auto"/>
                    </w:rPr>
                  </w:pPr>
                  <w:r>
                    <w:rPr>
                      <w:color w:val="auto"/>
                    </w:rPr>
                    <w:t xml:space="preserve">1.4 </w:t>
                  </w:r>
                </w:p>
              </w:tc>
              <w:tc>
                <w:tcPr>
                  <w:tcW w:w="1016" w:type="dxa"/>
                  <w:shd w:val="clear" w:color="auto" w:fill="auto"/>
                  <w:vAlign w:val="center"/>
                </w:tcPr>
                <w:p>
                  <w:pPr>
                    <w:pStyle w:val="164"/>
                    <w:rPr>
                      <w:color w:val="auto"/>
                    </w:rPr>
                  </w:pPr>
                  <w:r>
                    <w:rPr>
                      <w:color w:val="auto"/>
                    </w:rPr>
                    <w:t>80000</w:t>
                  </w:r>
                </w:p>
              </w:tc>
              <w:tc>
                <w:tcPr>
                  <w:tcW w:w="891" w:type="dxa"/>
                  <w:shd w:val="clear" w:color="auto" w:fill="auto"/>
                  <w:vAlign w:val="center"/>
                </w:tcPr>
                <w:p>
                  <w:pPr>
                    <w:pStyle w:val="164"/>
                    <w:rPr>
                      <w:color w:val="auto"/>
                    </w:rPr>
                  </w:pPr>
                  <w:r>
                    <w:rPr>
                      <w:color w:val="auto"/>
                    </w:rPr>
                    <w:t>15</w:t>
                  </w:r>
                </w:p>
              </w:tc>
              <w:tc>
                <w:tcPr>
                  <w:tcW w:w="889" w:type="dxa"/>
                  <w:shd w:val="clear" w:color="auto" w:fill="auto"/>
                  <w:vAlign w:val="center"/>
                </w:tcPr>
                <w:p>
                  <w:pPr>
                    <w:pStyle w:val="164"/>
                    <w:rPr>
                      <w:color w:val="auto"/>
                    </w:rPr>
                  </w:pPr>
                  <w:r>
                    <w:rPr>
                      <w:rFonts w:hint="eastAsia"/>
                      <w:color w:val="auto"/>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0" w:hRule="atLeast"/>
                <w:jc w:val="center"/>
              </w:trPr>
              <w:tc>
                <w:tcPr>
                  <w:tcW w:w="464" w:type="dxa"/>
                  <w:shd w:val="clear" w:color="auto" w:fill="auto"/>
                  <w:vAlign w:val="center"/>
                </w:tcPr>
                <w:p>
                  <w:pPr>
                    <w:pStyle w:val="164"/>
                  </w:pPr>
                  <w:r>
                    <w:t>2</w:t>
                  </w:r>
                </w:p>
              </w:tc>
              <w:tc>
                <w:tcPr>
                  <w:tcW w:w="814" w:type="dxa"/>
                  <w:shd w:val="clear" w:color="auto" w:fill="auto"/>
                  <w:vAlign w:val="center"/>
                </w:tcPr>
                <w:p>
                  <w:pPr>
                    <w:pStyle w:val="164"/>
                    <w:rPr>
                      <w:color w:val="auto"/>
                    </w:rPr>
                  </w:pPr>
                  <w:r>
                    <w:rPr>
                      <w:color w:val="auto"/>
                    </w:rPr>
                    <w:t>DA002</w:t>
                  </w:r>
                </w:p>
              </w:tc>
              <w:tc>
                <w:tcPr>
                  <w:tcW w:w="1308" w:type="dxa"/>
                  <w:shd w:val="clear" w:color="auto" w:fill="auto"/>
                  <w:vAlign w:val="center"/>
                </w:tcPr>
                <w:p>
                  <w:pPr>
                    <w:pStyle w:val="164"/>
                    <w:rPr>
                      <w:color w:val="auto"/>
                    </w:rPr>
                  </w:pPr>
                  <w:r>
                    <w:rPr>
                      <w:rFonts w:hint="eastAsia"/>
                      <w:color w:val="auto"/>
                    </w:rPr>
                    <w:t>2#面漆涂装废气排口</w:t>
                  </w:r>
                </w:p>
              </w:tc>
              <w:tc>
                <w:tcPr>
                  <w:tcW w:w="1086" w:type="dxa"/>
                  <w:shd w:val="clear" w:color="auto" w:fill="auto"/>
                  <w:vAlign w:val="center"/>
                </w:tcPr>
                <w:p>
                  <w:pPr>
                    <w:pStyle w:val="164"/>
                    <w:rPr>
                      <w:color w:val="auto"/>
                    </w:rPr>
                  </w:pPr>
                  <w:r>
                    <w:rPr>
                      <w:color w:val="auto"/>
                    </w:rPr>
                    <w:t>一般排放口</w:t>
                  </w:r>
                </w:p>
              </w:tc>
              <w:tc>
                <w:tcPr>
                  <w:tcW w:w="934" w:type="dxa"/>
                  <w:shd w:val="clear" w:color="auto" w:fill="auto"/>
                  <w:vAlign w:val="center"/>
                </w:tcPr>
                <w:p>
                  <w:pPr>
                    <w:pStyle w:val="164"/>
                    <w:rPr>
                      <w:color w:val="auto"/>
                    </w:rPr>
                  </w:pPr>
                  <w:r>
                    <w:rPr>
                      <w:rFonts w:hint="eastAsia"/>
                      <w:color w:val="auto"/>
                    </w:rPr>
                    <w:t>15</w:t>
                  </w:r>
                </w:p>
              </w:tc>
              <w:tc>
                <w:tcPr>
                  <w:tcW w:w="992" w:type="dxa"/>
                  <w:shd w:val="clear" w:color="auto" w:fill="auto"/>
                  <w:vAlign w:val="center"/>
                </w:tcPr>
                <w:p>
                  <w:pPr>
                    <w:pStyle w:val="164"/>
                    <w:rPr>
                      <w:color w:val="auto"/>
                    </w:rPr>
                  </w:pPr>
                  <w:r>
                    <w:rPr>
                      <w:color w:val="auto"/>
                    </w:rPr>
                    <w:t xml:space="preserve">1.7 </w:t>
                  </w:r>
                </w:p>
              </w:tc>
              <w:tc>
                <w:tcPr>
                  <w:tcW w:w="1016" w:type="dxa"/>
                  <w:shd w:val="clear" w:color="auto" w:fill="auto"/>
                  <w:vAlign w:val="center"/>
                </w:tcPr>
                <w:p>
                  <w:pPr>
                    <w:pStyle w:val="164"/>
                    <w:rPr>
                      <w:color w:val="auto"/>
                    </w:rPr>
                  </w:pPr>
                  <w:r>
                    <w:rPr>
                      <w:color w:val="auto"/>
                    </w:rPr>
                    <w:t>120000</w:t>
                  </w:r>
                </w:p>
              </w:tc>
              <w:tc>
                <w:tcPr>
                  <w:tcW w:w="891" w:type="dxa"/>
                  <w:shd w:val="clear" w:color="auto" w:fill="auto"/>
                  <w:vAlign w:val="center"/>
                </w:tcPr>
                <w:p>
                  <w:pPr>
                    <w:pStyle w:val="164"/>
                    <w:rPr>
                      <w:color w:val="auto"/>
                    </w:rPr>
                  </w:pPr>
                  <w:r>
                    <w:rPr>
                      <w:color w:val="auto"/>
                    </w:rPr>
                    <w:t>15</w:t>
                  </w:r>
                </w:p>
              </w:tc>
              <w:tc>
                <w:tcPr>
                  <w:tcW w:w="889" w:type="dxa"/>
                  <w:shd w:val="clear" w:color="auto" w:fill="auto"/>
                  <w:vAlign w:val="center"/>
                </w:tcPr>
                <w:p>
                  <w:pPr>
                    <w:pStyle w:val="164"/>
                    <w:rPr>
                      <w:color w:val="auto"/>
                    </w:rPr>
                  </w:pPr>
                  <w:r>
                    <w:rPr>
                      <w:rFonts w:hint="eastAsia"/>
                      <w:color w:val="auto"/>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0" w:hRule="atLeast"/>
                <w:jc w:val="center"/>
              </w:trPr>
              <w:tc>
                <w:tcPr>
                  <w:tcW w:w="464" w:type="dxa"/>
                  <w:shd w:val="clear" w:color="auto" w:fill="auto"/>
                  <w:vAlign w:val="center"/>
                </w:tcPr>
                <w:p>
                  <w:pPr>
                    <w:pStyle w:val="164"/>
                  </w:pPr>
                  <w:r>
                    <w:rPr>
                      <w:rFonts w:hint="eastAsia"/>
                    </w:rPr>
                    <w:t>3</w:t>
                  </w:r>
                </w:p>
              </w:tc>
              <w:tc>
                <w:tcPr>
                  <w:tcW w:w="814" w:type="dxa"/>
                  <w:shd w:val="clear" w:color="auto" w:fill="auto"/>
                  <w:vAlign w:val="center"/>
                </w:tcPr>
                <w:p>
                  <w:pPr>
                    <w:pStyle w:val="164"/>
                    <w:rPr>
                      <w:color w:val="auto"/>
                    </w:rPr>
                  </w:pPr>
                  <w:r>
                    <w:rPr>
                      <w:rFonts w:hint="eastAsia"/>
                      <w:color w:val="auto"/>
                    </w:rPr>
                    <w:t>D</w:t>
                  </w:r>
                  <w:r>
                    <w:rPr>
                      <w:color w:val="auto"/>
                    </w:rPr>
                    <w:t>A00</w:t>
                  </w:r>
                  <w:r>
                    <w:rPr>
                      <w:rFonts w:hint="eastAsia"/>
                      <w:color w:val="auto"/>
                    </w:rPr>
                    <w:t>7</w:t>
                  </w:r>
                </w:p>
              </w:tc>
              <w:tc>
                <w:tcPr>
                  <w:tcW w:w="1308" w:type="dxa"/>
                  <w:shd w:val="clear" w:color="auto" w:fill="auto"/>
                  <w:vAlign w:val="center"/>
                </w:tcPr>
                <w:p>
                  <w:pPr>
                    <w:pStyle w:val="164"/>
                    <w:rPr>
                      <w:color w:val="auto"/>
                    </w:rPr>
                  </w:pPr>
                  <w:r>
                    <w:rPr>
                      <w:rFonts w:hint="eastAsia"/>
                      <w:color w:val="auto"/>
                    </w:rPr>
                    <w:t>3#底漆涂装废气排口</w:t>
                  </w:r>
                </w:p>
              </w:tc>
              <w:tc>
                <w:tcPr>
                  <w:tcW w:w="1086" w:type="dxa"/>
                  <w:shd w:val="clear" w:color="auto" w:fill="auto"/>
                  <w:vAlign w:val="center"/>
                </w:tcPr>
                <w:p>
                  <w:pPr>
                    <w:pStyle w:val="164"/>
                    <w:rPr>
                      <w:color w:val="auto"/>
                    </w:rPr>
                  </w:pPr>
                  <w:r>
                    <w:rPr>
                      <w:rFonts w:hint="eastAsia"/>
                      <w:color w:val="auto"/>
                    </w:rPr>
                    <w:t>一般排放口</w:t>
                  </w:r>
                </w:p>
              </w:tc>
              <w:tc>
                <w:tcPr>
                  <w:tcW w:w="934" w:type="dxa"/>
                  <w:shd w:val="clear" w:color="auto" w:fill="auto"/>
                  <w:vAlign w:val="center"/>
                </w:tcPr>
                <w:p>
                  <w:pPr>
                    <w:pStyle w:val="164"/>
                    <w:rPr>
                      <w:color w:val="auto"/>
                    </w:rPr>
                  </w:pPr>
                  <w:r>
                    <w:rPr>
                      <w:rFonts w:hint="eastAsia"/>
                      <w:color w:val="auto"/>
                    </w:rPr>
                    <w:t>15</w:t>
                  </w:r>
                </w:p>
              </w:tc>
              <w:tc>
                <w:tcPr>
                  <w:tcW w:w="992" w:type="dxa"/>
                  <w:shd w:val="clear" w:color="auto" w:fill="auto"/>
                  <w:vAlign w:val="center"/>
                </w:tcPr>
                <w:p>
                  <w:pPr>
                    <w:pStyle w:val="164"/>
                    <w:rPr>
                      <w:color w:val="auto"/>
                    </w:rPr>
                  </w:pPr>
                  <w:r>
                    <w:rPr>
                      <w:color w:val="auto"/>
                    </w:rPr>
                    <w:t xml:space="preserve">1.2 </w:t>
                  </w:r>
                </w:p>
              </w:tc>
              <w:tc>
                <w:tcPr>
                  <w:tcW w:w="1016" w:type="dxa"/>
                  <w:shd w:val="clear" w:color="auto" w:fill="auto"/>
                  <w:vAlign w:val="center"/>
                </w:tcPr>
                <w:p>
                  <w:pPr>
                    <w:pStyle w:val="164"/>
                    <w:rPr>
                      <w:color w:val="auto"/>
                    </w:rPr>
                  </w:pPr>
                  <w:r>
                    <w:rPr>
                      <w:color w:val="auto"/>
                    </w:rPr>
                    <w:t>60000</w:t>
                  </w:r>
                </w:p>
              </w:tc>
              <w:tc>
                <w:tcPr>
                  <w:tcW w:w="891" w:type="dxa"/>
                  <w:shd w:val="clear" w:color="auto" w:fill="auto"/>
                  <w:vAlign w:val="center"/>
                </w:tcPr>
                <w:p>
                  <w:pPr>
                    <w:pStyle w:val="164"/>
                    <w:rPr>
                      <w:color w:val="auto"/>
                    </w:rPr>
                  </w:pPr>
                  <w:r>
                    <w:rPr>
                      <w:color w:val="auto"/>
                    </w:rPr>
                    <w:t>15</w:t>
                  </w:r>
                </w:p>
              </w:tc>
              <w:tc>
                <w:tcPr>
                  <w:tcW w:w="889" w:type="dxa"/>
                  <w:shd w:val="clear" w:color="auto" w:fill="auto"/>
                  <w:vAlign w:val="center"/>
                </w:tcPr>
                <w:p>
                  <w:pPr>
                    <w:pStyle w:val="164"/>
                    <w:rPr>
                      <w:color w:val="auto"/>
                    </w:rPr>
                  </w:pPr>
                  <w:r>
                    <w:rPr>
                      <w:rFonts w:hint="eastAsia"/>
                      <w:color w:val="auto"/>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0" w:hRule="atLeast"/>
                <w:jc w:val="center"/>
              </w:trPr>
              <w:tc>
                <w:tcPr>
                  <w:tcW w:w="464" w:type="dxa"/>
                  <w:shd w:val="clear" w:color="auto" w:fill="auto"/>
                  <w:vAlign w:val="center"/>
                </w:tcPr>
                <w:p>
                  <w:pPr>
                    <w:pStyle w:val="164"/>
                  </w:pPr>
                  <w:r>
                    <w:rPr>
                      <w:rFonts w:hint="eastAsia"/>
                    </w:rPr>
                    <w:t>4</w:t>
                  </w:r>
                </w:p>
              </w:tc>
              <w:tc>
                <w:tcPr>
                  <w:tcW w:w="814" w:type="dxa"/>
                  <w:shd w:val="clear" w:color="auto" w:fill="auto"/>
                  <w:vAlign w:val="center"/>
                </w:tcPr>
                <w:p>
                  <w:pPr>
                    <w:pStyle w:val="164"/>
                    <w:rPr>
                      <w:color w:val="auto"/>
                    </w:rPr>
                  </w:pPr>
                  <w:r>
                    <w:rPr>
                      <w:rFonts w:hint="eastAsia"/>
                      <w:color w:val="auto"/>
                    </w:rPr>
                    <w:t>D</w:t>
                  </w:r>
                  <w:r>
                    <w:rPr>
                      <w:color w:val="auto"/>
                    </w:rPr>
                    <w:t>A00</w:t>
                  </w:r>
                  <w:r>
                    <w:rPr>
                      <w:rFonts w:hint="eastAsia"/>
                      <w:color w:val="auto"/>
                    </w:rPr>
                    <w:t>8</w:t>
                  </w:r>
                </w:p>
              </w:tc>
              <w:tc>
                <w:tcPr>
                  <w:tcW w:w="1308" w:type="dxa"/>
                  <w:shd w:val="clear" w:color="auto" w:fill="auto"/>
                  <w:vAlign w:val="center"/>
                </w:tcPr>
                <w:p>
                  <w:pPr>
                    <w:pStyle w:val="164"/>
                    <w:rPr>
                      <w:color w:val="auto"/>
                    </w:rPr>
                  </w:pPr>
                  <w:r>
                    <w:rPr>
                      <w:rFonts w:hint="eastAsia"/>
                      <w:color w:val="auto"/>
                    </w:rPr>
                    <w:t>4#面漆涂装废气排口</w:t>
                  </w:r>
                </w:p>
              </w:tc>
              <w:tc>
                <w:tcPr>
                  <w:tcW w:w="1086" w:type="dxa"/>
                  <w:shd w:val="clear" w:color="auto" w:fill="auto"/>
                  <w:vAlign w:val="center"/>
                </w:tcPr>
                <w:p>
                  <w:pPr>
                    <w:pStyle w:val="164"/>
                    <w:rPr>
                      <w:color w:val="auto"/>
                    </w:rPr>
                  </w:pPr>
                  <w:r>
                    <w:rPr>
                      <w:rFonts w:hint="eastAsia"/>
                      <w:color w:val="auto"/>
                    </w:rPr>
                    <w:t>一般排放口</w:t>
                  </w:r>
                </w:p>
              </w:tc>
              <w:tc>
                <w:tcPr>
                  <w:tcW w:w="934" w:type="dxa"/>
                  <w:shd w:val="clear" w:color="auto" w:fill="auto"/>
                  <w:vAlign w:val="center"/>
                </w:tcPr>
                <w:p>
                  <w:pPr>
                    <w:pStyle w:val="164"/>
                    <w:rPr>
                      <w:color w:val="auto"/>
                    </w:rPr>
                  </w:pPr>
                  <w:r>
                    <w:rPr>
                      <w:rFonts w:hint="eastAsia"/>
                      <w:color w:val="auto"/>
                    </w:rPr>
                    <w:t>15</w:t>
                  </w:r>
                </w:p>
              </w:tc>
              <w:tc>
                <w:tcPr>
                  <w:tcW w:w="992" w:type="dxa"/>
                  <w:shd w:val="clear" w:color="auto" w:fill="auto"/>
                  <w:vAlign w:val="center"/>
                </w:tcPr>
                <w:p>
                  <w:pPr>
                    <w:pStyle w:val="164"/>
                    <w:rPr>
                      <w:color w:val="auto"/>
                    </w:rPr>
                  </w:pPr>
                  <w:r>
                    <w:rPr>
                      <w:color w:val="auto"/>
                    </w:rPr>
                    <w:t xml:space="preserve">1.4 </w:t>
                  </w:r>
                </w:p>
              </w:tc>
              <w:tc>
                <w:tcPr>
                  <w:tcW w:w="1016" w:type="dxa"/>
                  <w:shd w:val="clear" w:color="auto" w:fill="auto"/>
                  <w:vAlign w:val="center"/>
                </w:tcPr>
                <w:p>
                  <w:pPr>
                    <w:pStyle w:val="164"/>
                    <w:rPr>
                      <w:color w:val="auto"/>
                    </w:rPr>
                  </w:pPr>
                  <w:r>
                    <w:rPr>
                      <w:color w:val="auto"/>
                    </w:rPr>
                    <w:t>80000</w:t>
                  </w:r>
                </w:p>
              </w:tc>
              <w:tc>
                <w:tcPr>
                  <w:tcW w:w="891" w:type="dxa"/>
                  <w:shd w:val="clear" w:color="auto" w:fill="auto"/>
                  <w:vAlign w:val="center"/>
                </w:tcPr>
                <w:p>
                  <w:pPr>
                    <w:pStyle w:val="164"/>
                    <w:rPr>
                      <w:color w:val="auto"/>
                    </w:rPr>
                  </w:pPr>
                  <w:r>
                    <w:rPr>
                      <w:color w:val="auto"/>
                    </w:rPr>
                    <w:t>15</w:t>
                  </w:r>
                </w:p>
              </w:tc>
              <w:tc>
                <w:tcPr>
                  <w:tcW w:w="889" w:type="dxa"/>
                  <w:shd w:val="clear" w:color="auto" w:fill="auto"/>
                  <w:vAlign w:val="center"/>
                </w:tcPr>
                <w:p>
                  <w:pPr>
                    <w:pStyle w:val="164"/>
                    <w:rPr>
                      <w:color w:val="auto"/>
                    </w:rPr>
                  </w:pPr>
                  <w:r>
                    <w:rPr>
                      <w:rFonts w:hint="eastAsia"/>
                      <w:color w:val="auto"/>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68" w:hRule="atLeast"/>
                <w:jc w:val="center"/>
              </w:trPr>
              <w:tc>
                <w:tcPr>
                  <w:tcW w:w="464" w:type="dxa"/>
                  <w:shd w:val="clear" w:color="auto" w:fill="auto"/>
                  <w:vAlign w:val="center"/>
                </w:tcPr>
                <w:p>
                  <w:pPr>
                    <w:pStyle w:val="164"/>
                  </w:pPr>
                  <w:r>
                    <w:rPr>
                      <w:rFonts w:hint="eastAsia"/>
                    </w:rPr>
                    <w:t>5</w:t>
                  </w:r>
                </w:p>
              </w:tc>
              <w:tc>
                <w:tcPr>
                  <w:tcW w:w="814" w:type="dxa"/>
                  <w:shd w:val="clear" w:color="auto" w:fill="auto"/>
                  <w:vAlign w:val="center"/>
                </w:tcPr>
                <w:p>
                  <w:pPr>
                    <w:pStyle w:val="164"/>
                  </w:pPr>
                  <w:r>
                    <w:rPr>
                      <w:rFonts w:hint="eastAsia"/>
                    </w:rPr>
                    <w:t>D</w:t>
                  </w:r>
                  <w:r>
                    <w:t>A00</w:t>
                  </w:r>
                  <w:r>
                    <w:rPr>
                      <w:rFonts w:hint="eastAsia"/>
                    </w:rPr>
                    <w:t>9</w:t>
                  </w:r>
                </w:p>
              </w:tc>
              <w:tc>
                <w:tcPr>
                  <w:tcW w:w="1308" w:type="dxa"/>
                  <w:shd w:val="clear" w:color="auto" w:fill="auto"/>
                  <w:vAlign w:val="center"/>
                </w:tcPr>
                <w:p>
                  <w:pPr>
                    <w:pStyle w:val="164"/>
                  </w:pPr>
                  <w:r>
                    <w:rPr>
                      <w:rFonts w:hint="eastAsia"/>
                    </w:rPr>
                    <w:t>木工废气排口</w:t>
                  </w:r>
                </w:p>
              </w:tc>
              <w:tc>
                <w:tcPr>
                  <w:tcW w:w="1086" w:type="dxa"/>
                  <w:shd w:val="clear" w:color="auto" w:fill="auto"/>
                  <w:vAlign w:val="center"/>
                </w:tcPr>
                <w:p>
                  <w:pPr>
                    <w:pStyle w:val="164"/>
                  </w:pPr>
                  <w:r>
                    <w:rPr>
                      <w:rFonts w:hint="eastAsia"/>
                    </w:rPr>
                    <w:t>一般排放口</w:t>
                  </w:r>
                </w:p>
              </w:tc>
              <w:tc>
                <w:tcPr>
                  <w:tcW w:w="934" w:type="dxa"/>
                  <w:shd w:val="clear" w:color="auto" w:fill="auto"/>
                  <w:vAlign w:val="center"/>
                </w:tcPr>
                <w:p>
                  <w:pPr>
                    <w:pStyle w:val="164"/>
                  </w:pPr>
                  <w:r>
                    <w:rPr>
                      <w:rFonts w:hint="eastAsia"/>
                    </w:rPr>
                    <w:t>15</w:t>
                  </w:r>
                </w:p>
              </w:tc>
              <w:tc>
                <w:tcPr>
                  <w:tcW w:w="992" w:type="dxa"/>
                  <w:shd w:val="clear" w:color="auto" w:fill="auto"/>
                  <w:vAlign w:val="center"/>
                </w:tcPr>
                <w:p>
                  <w:pPr>
                    <w:pStyle w:val="164"/>
                    <w:rPr>
                      <w:color w:val="000000"/>
                    </w:rPr>
                  </w:pPr>
                  <w:r>
                    <w:rPr>
                      <w:color w:val="000000"/>
                    </w:rPr>
                    <w:t xml:space="preserve">1.4 </w:t>
                  </w:r>
                </w:p>
              </w:tc>
              <w:tc>
                <w:tcPr>
                  <w:tcW w:w="1016" w:type="dxa"/>
                  <w:shd w:val="clear" w:color="auto" w:fill="auto"/>
                  <w:vAlign w:val="center"/>
                </w:tcPr>
                <w:p>
                  <w:pPr>
                    <w:pStyle w:val="164"/>
                    <w:rPr>
                      <w:color w:val="000000"/>
                    </w:rPr>
                  </w:pPr>
                  <w:r>
                    <w:rPr>
                      <w:color w:val="000000"/>
                    </w:rPr>
                    <w:t>80000</w:t>
                  </w:r>
                </w:p>
              </w:tc>
              <w:tc>
                <w:tcPr>
                  <w:tcW w:w="891" w:type="dxa"/>
                  <w:shd w:val="clear" w:color="auto" w:fill="auto"/>
                  <w:vAlign w:val="center"/>
                </w:tcPr>
                <w:p>
                  <w:pPr>
                    <w:pStyle w:val="164"/>
                    <w:rPr>
                      <w:color w:val="000000"/>
                    </w:rPr>
                  </w:pPr>
                  <w:r>
                    <w:rPr>
                      <w:color w:val="000000"/>
                    </w:rPr>
                    <w:t>15</w:t>
                  </w:r>
                </w:p>
              </w:tc>
              <w:tc>
                <w:tcPr>
                  <w:tcW w:w="889" w:type="dxa"/>
                  <w:shd w:val="clear" w:color="auto" w:fill="auto"/>
                  <w:vAlign w:val="center"/>
                </w:tcPr>
                <w:p>
                  <w:pPr>
                    <w:pStyle w:val="164"/>
                    <w:rPr>
                      <w:color w:val="000000"/>
                    </w:rPr>
                  </w:pPr>
                  <w:r>
                    <w:rPr>
                      <w:color w:val="000000"/>
                    </w:rPr>
                    <w:t>25</w:t>
                  </w:r>
                </w:p>
              </w:tc>
            </w:tr>
          </w:tbl>
          <w:p>
            <w:pPr>
              <w:pStyle w:val="165"/>
            </w:pPr>
          </w:p>
          <w:p>
            <w:pPr>
              <w:pStyle w:val="6"/>
              <w:keepNext w:val="0"/>
              <w:keepLines w:val="0"/>
              <w:rPr>
                <w:rFonts w:ascii="宋体" w:hAnsi="宋体"/>
              </w:rPr>
            </w:pPr>
            <w:r>
              <w:rPr>
                <w:rFonts w:hint="eastAsia" w:ascii="宋体" w:hAnsi="宋体"/>
              </w:rPr>
              <w:t>4.2.4  监测要求</w:t>
            </w:r>
          </w:p>
          <w:p>
            <w:pPr>
              <w:pStyle w:val="160"/>
              <w:ind w:firstLine="480"/>
              <w:rPr>
                <w:rFonts w:asciiTheme="minorEastAsia" w:hAnsiTheme="minorEastAsia" w:eastAsiaTheme="minorEastAsia"/>
              </w:rPr>
            </w:pPr>
            <w:r>
              <w:rPr>
                <w:rFonts w:hint="eastAsia"/>
              </w:rPr>
              <w:t>排气筒应按照《</w:t>
            </w:r>
            <w:r>
              <w:t>固定污</w:t>
            </w:r>
            <w:r>
              <w:rPr>
                <w:rFonts w:asciiTheme="minorEastAsia" w:hAnsiTheme="minorEastAsia" w:eastAsiaTheme="minorEastAsia"/>
              </w:rPr>
              <w:t>染源排气中颗粒物测定与气态污染物采样方法</w:t>
            </w:r>
            <w:r>
              <w:rPr>
                <w:rFonts w:hint="eastAsia" w:asciiTheme="minorEastAsia" w:hAnsiTheme="minorEastAsia" w:eastAsiaTheme="minorEastAsia"/>
              </w:rPr>
              <w:t>》（</w:t>
            </w:r>
            <w:r>
              <w:rPr>
                <w:rFonts w:asciiTheme="minorEastAsia" w:hAnsiTheme="minorEastAsia" w:eastAsiaTheme="minorEastAsia"/>
              </w:rPr>
              <w:t>GB/T 16157-1996</w:t>
            </w:r>
            <w:r>
              <w:rPr>
                <w:rFonts w:hint="eastAsia" w:asciiTheme="minorEastAsia" w:hAnsiTheme="minorEastAsia" w:eastAsiaTheme="minorEastAsia"/>
              </w:rPr>
              <w:t>）及其修改单、《固定源废气监测技术规范》（</w:t>
            </w:r>
            <w:r>
              <w:rPr>
                <w:rFonts w:asciiTheme="minorEastAsia" w:hAnsiTheme="minorEastAsia" w:eastAsiaTheme="minorEastAsia"/>
              </w:rPr>
              <w:t>HJ/T 397-2007）</w:t>
            </w:r>
            <w:r>
              <w:rPr>
                <w:rFonts w:hint="eastAsia" w:asciiTheme="minorEastAsia" w:hAnsiTheme="minorEastAsia" w:eastAsiaTheme="minorEastAsia"/>
              </w:rPr>
              <w:t>的规定设置永久采样监测孔、采样平台及其相关设施。根据《排污许可证申请与核发技术规范家具制造工业》（HJ1027-2019），项目废气监测要求见</w:t>
            </w:r>
            <w:r>
              <w:fldChar w:fldCharType="begin"/>
            </w:r>
            <w:r>
              <w:instrText xml:space="preserve">REF _Ref82520422 \h \* MERGEFORMAT </w:instrText>
            </w:r>
            <w:r>
              <w:fldChar w:fldCharType="separate"/>
            </w:r>
            <w:r>
              <w:rPr>
                <w:rFonts w:hint="eastAsia" w:asciiTheme="minorEastAsia" w:hAnsiTheme="minorEastAsia" w:eastAsiaTheme="minorEastAsia"/>
              </w:rPr>
              <w:t>表</w:t>
            </w:r>
            <w:r>
              <w:rPr>
                <w:rFonts w:asciiTheme="minorEastAsia" w:hAnsiTheme="minorEastAsia" w:eastAsiaTheme="minorEastAsia"/>
              </w:rPr>
              <w:t>4.2</w:t>
            </w:r>
            <w:r>
              <w:rPr>
                <w:rFonts w:asciiTheme="minorEastAsia" w:hAnsiTheme="minorEastAsia" w:eastAsiaTheme="minorEastAsia"/>
              </w:rPr>
              <w:noBreakHyphen/>
            </w:r>
            <w:r>
              <w:rPr>
                <w:rFonts w:asciiTheme="minorEastAsia" w:hAnsiTheme="minorEastAsia" w:eastAsiaTheme="minorEastAsia"/>
              </w:rPr>
              <w:t>8</w:t>
            </w:r>
            <w:r>
              <w:fldChar w:fldCharType="end"/>
            </w:r>
            <w:r>
              <w:rPr>
                <w:rFonts w:hint="eastAsia" w:asciiTheme="minorEastAsia" w:hAnsiTheme="minorEastAsia" w:eastAsiaTheme="minorEastAsia"/>
              </w:rPr>
              <w:t>。</w:t>
            </w:r>
          </w:p>
          <w:p>
            <w:pPr>
              <w:pStyle w:val="164"/>
            </w:pPr>
            <w:bookmarkStart w:id="46" w:name="_Ref82520422"/>
            <w:r>
              <w:rPr>
                <w:rFonts w:hint="eastAsia"/>
              </w:rPr>
              <w:t>表</w:t>
            </w:r>
            <w:r>
              <w:fldChar w:fldCharType="begin"/>
            </w:r>
            <w:r>
              <w:rPr>
                <w:rFonts w:hint="eastAsia"/>
              </w:rPr>
              <w:instrText xml:space="preserve">STYLEREF 2 \s</w:instrText>
            </w:r>
            <w:r>
              <w:fldChar w:fldCharType="separate"/>
            </w:r>
            <w:r>
              <w:t>4.2</w:t>
            </w:r>
            <w:r>
              <w:fldChar w:fldCharType="end"/>
            </w:r>
            <w:r>
              <w:noBreakHyphen/>
            </w:r>
            <w:bookmarkEnd w:id="46"/>
            <w:r>
              <w:rPr>
                <w:rFonts w:hint="eastAsia"/>
              </w:rPr>
              <w:t>5    扩建项目废气污染源监测点位、监测因子及监测频率一览表</w:t>
            </w:r>
          </w:p>
          <w:tbl>
            <w:tblPr>
              <w:tblStyle w:val="162"/>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2"/>
              <w:gridCol w:w="1745"/>
              <w:gridCol w:w="3495"/>
              <w:gridCol w:w="930"/>
              <w:gridCol w:w="17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612" w:type="dxa"/>
                  <w:shd w:val="clear" w:color="auto" w:fill="auto"/>
                  <w:noWrap/>
                  <w:vAlign w:val="center"/>
                </w:tcPr>
                <w:p>
                  <w:pPr>
                    <w:pStyle w:val="164"/>
                    <w:rPr>
                      <w:b w:val="0"/>
                    </w:rPr>
                  </w:pPr>
                  <w:r>
                    <w:rPr>
                      <w:rFonts w:hint="eastAsia"/>
                      <w:b/>
                    </w:rPr>
                    <w:t>序号</w:t>
                  </w:r>
                </w:p>
              </w:tc>
              <w:tc>
                <w:tcPr>
                  <w:tcW w:w="1745" w:type="dxa"/>
                  <w:shd w:val="clear" w:color="auto" w:fill="auto"/>
                  <w:vAlign w:val="center"/>
                </w:tcPr>
                <w:p>
                  <w:pPr>
                    <w:pStyle w:val="164"/>
                    <w:rPr>
                      <w:b w:val="0"/>
                    </w:rPr>
                  </w:pPr>
                  <w:r>
                    <w:rPr>
                      <w:b/>
                    </w:rPr>
                    <w:t>监测点位</w:t>
                  </w:r>
                </w:p>
              </w:tc>
              <w:tc>
                <w:tcPr>
                  <w:tcW w:w="3495" w:type="dxa"/>
                  <w:shd w:val="clear" w:color="auto" w:fill="auto"/>
                  <w:noWrap/>
                  <w:vAlign w:val="center"/>
                </w:tcPr>
                <w:p>
                  <w:pPr>
                    <w:pStyle w:val="164"/>
                    <w:rPr>
                      <w:b w:val="0"/>
                    </w:rPr>
                  </w:pPr>
                  <w:r>
                    <w:rPr>
                      <w:b/>
                    </w:rPr>
                    <w:t>监测因子</w:t>
                  </w:r>
                </w:p>
              </w:tc>
              <w:tc>
                <w:tcPr>
                  <w:tcW w:w="930" w:type="dxa"/>
                  <w:shd w:val="clear" w:color="auto" w:fill="auto"/>
                  <w:noWrap/>
                  <w:vAlign w:val="center"/>
                </w:tcPr>
                <w:p>
                  <w:pPr>
                    <w:pStyle w:val="164"/>
                    <w:rPr>
                      <w:b w:val="0"/>
                    </w:rPr>
                  </w:pPr>
                  <w:r>
                    <w:rPr>
                      <w:b/>
                    </w:rPr>
                    <w:t>监测频率</w:t>
                  </w:r>
                </w:p>
              </w:tc>
              <w:tc>
                <w:tcPr>
                  <w:tcW w:w="1723" w:type="dxa"/>
                  <w:shd w:val="clear" w:color="auto" w:fill="auto"/>
                  <w:noWrap/>
                  <w:vAlign w:val="center"/>
                </w:tcPr>
                <w:p>
                  <w:pPr>
                    <w:pStyle w:val="164"/>
                    <w:rPr>
                      <w:b w:val="0"/>
                    </w:rPr>
                  </w:pPr>
                  <w:r>
                    <w:rPr>
                      <w:b/>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45" w:hRule="atLeast"/>
                <w:jc w:val="center"/>
              </w:trPr>
              <w:tc>
                <w:tcPr>
                  <w:tcW w:w="612" w:type="dxa"/>
                  <w:shd w:val="clear" w:color="auto" w:fill="auto"/>
                  <w:noWrap/>
                  <w:vAlign w:val="center"/>
                </w:tcPr>
                <w:p>
                  <w:pPr>
                    <w:pStyle w:val="164"/>
                  </w:pPr>
                  <w:r>
                    <w:rPr>
                      <w:rFonts w:hint="eastAsia"/>
                    </w:rPr>
                    <w:t>1</w:t>
                  </w:r>
                </w:p>
              </w:tc>
              <w:tc>
                <w:tcPr>
                  <w:tcW w:w="1745" w:type="dxa"/>
                  <w:shd w:val="clear" w:color="auto" w:fill="auto"/>
                  <w:vAlign w:val="center"/>
                </w:tcPr>
                <w:p>
                  <w:pPr>
                    <w:pStyle w:val="164"/>
                  </w:pPr>
                  <w:r>
                    <w:t>DA001排气筒出口</w:t>
                  </w:r>
                  <w:r>
                    <w:rPr>
                      <w:rFonts w:hint="eastAsia"/>
                    </w:rPr>
                    <w:t>1</w:t>
                  </w:r>
                  <w:r>
                    <w:t>个</w:t>
                  </w:r>
                </w:p>
              </w:tc>
              <w:tc>
                <w:tcPr>
                  <w:tcW w:w="3495" w:type="dxa"/>
                  <w:shd w:val="clear" w:color="auto" w:fill="auto"/>
                  <w:noWrap/>
                  <w:vAlign w:val="center"/>
                </w:tcPr>
                <w:p>
                  <w:pPr>
                    <w:pStyle w:val="164"/>
                  </w:pPr>
                  <w:r>
                    <w:rPr>
                      <w:rFonts w:hint="eastAsia"/>
                    </w:rPr>
                    <w:t>颗粒物、非甲烷总烃、</w:t>
                  </w:r>
                  <w:r>
                    <w:t>VOCs、甲苯+二甲苯合计、苯系物</w:t>
                  </w:r>
                </w:p>
              </w:tc>
              <w:tc>
                <w:tcPr>
                  <w:tcW w:w="930" w:type="dxa"/>
                  <w:shd w:val="clear" w:color="auto" w:fill="auto"/>
                  <w:noWrap/>
                  <w:vAlign w:val="center"/>
                </w:tcPr>
                <w:p>
                  <w:pPr>
                    <w:pStyle w:val="164"/>
                  </w:pPr>
                  <w:r>
                    <w:t>1次/年</w:t>
                  </w:r>
                </w:p>
              </w:tc>
              <w:tc>
                <w:tcPr>
                  <w:tcW w:w="1723" w:type="dxa"/>
                  <w:vMerge w:val="restart"/>
                  <w:shd w:val="clear" w:color="auto" w:fill="auto"/>
                  <w:noWrap/>
                  <w:vAlign w:val="center"/>
                </w:tcPr>
                <w:p>
                  <w:pPr>
                    <w:pStyle w:val="164"/>
                  </w:pPr>
                  <w:r>
                    <w:t>《家具制造业大气污染物排放标准》（DB50/757-2017）表2、表3</w:t>
                  </w:r>
                  <w:r>
                    <w:rPr>
                      <w:rFonts w:hint="eastAsia"/>
                    </w:rPr>
                    <w:t>其他区域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612" w:type="dxa"/>
                  <w:shd w:val="clear" w:color="auto" w:fill="auto"/>
                  <w:noWrap/>
                  <w:vAlign w:val="center"/>
                </w:tcPr>
                <w:p>
                  <w:pPr>
                    <w:pStyle w:val="164"/>
                  </w:pPr>
                  <w:r>
                    <w:rPr>
                      <w:rFonts w:hint="eastAsia"/>
                    </w:rPr>
                    <w:t>2</w:t>
                  </w:r>
                </w:p>
              </w:tc>
              <w:tc>
                <w:tcPr>
                  <w:tcW w:w="1745" w:type="dxa"/>
                  <w:shd w:val="clear" w:color="auto" w:fill="auto"/>
                  <w:vAlign w:val="center"/>
                </w:tcPr>
                <w:p>
                  <w:pPr>
                    <w:pStyle w:val="164"/>
                  </w:pPr>
                  <w:r>
                    <w:t>DA002排气筒出口</w:t>
                  </w:r>
                  <w:r>
                    <w:rPr>
                      <w:rFonts w:hint="eastAsia"/>
                    </w:rPr>
                    <w:t>1</w:t>
                  </w:r>
                  <w:r>
                    <w:t>个</w:t>
                  </w:r>
                </w:p>
              </w:tc>
              <w:tc>
                <w:tcPr>
                  <w:tcW w:w="3495" w:type="dxa"/>
                  <w:shd w:val="clear" w:color="auto" w:fill="auto"/>
                  <w:noWrap/>
                  <w:vAlign w:val="center"/>
                </w:tcPr>
                <w:p>
                  <w:pPr>
                    <w:pStyle w:val="164"/>
                  </w:pPr>
                  <w:r>
                    <w:rPr>
                      <w:rFonts w:hint="eastAsia"/>
                    </w:rPr>
                    <w:t>颗粒物、非甲烷总烃、</w:t>
                  </w:r>
                  <w:r>
                    <w:t>VOCs、甲苯+二甲苯合计、苯系物</w:t>
                  </w:r>
                </w:p>
              </w:tc>
              <w:tc>
                <w:tcPr>
                  <w:tcW w:w="930" w:type="dxa"/>
                  <w:shd w:val="clear" w:color="auto" w:fill="auto"/>
                  <w:noWrap/>
                  <w:vAlign w:val="center"/>
                </w:tcPr>
                <w:p>
                  <w:pPr>
                    <w:pStyle w:val="164"/>
                  </w:pPr>
                  <w:r>
                    <w:t>1次/年</w:t>
                  </w:r>
                </w:p>
              </w:tc>
              <w:tc>
                <w:tcPr>
                  <w:tcW w:w="1723" w:type="dxa"/>
                  <w:vMerge w:val="continue"/>
                  <w:shd w:val="clear" w:color="auto" w:fill="auto"/>
                  <w:noWrap/>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612" w:type="dxa"/>
                  <w:shd w:val="clear" w:color="auto" w:fill="auto"/>
                  <w:noWrap/>
                  <w:vAlign w:val="center"/>
                </w:tcPr>
                <w:p>
                  <w:pPr>
                    <w:pStyle w:val="164"/>
                  </w:pPr>
                  <w:r>
                    <w:rPr>
                      <w:rFonts w:hint="eastAsia"/>
                    </w:rPr>
                    <w:t>3</w:t>
                  </w:r>
                </w:p>
              </w:tc>
              <w:tc>
                <w:tcPr>
                  <w:tcW w:w="1745" w:type="dxa"/>
                  <w:shd w:val="clear" w:color="auto" w:fill="auto"/>
                  <w:vAlign w:val="center"/>
                </w:tcPr>
                <w:p>
                  <w:pPr>
                    <w:pStyle w:val="164"/>
                  </w:pPr>
                  <w:r>
                    <w:t>DA00</w:t>
                  </w:r>
                  <w:r>
                    <w:rPr>
                      <w:rFonts w:hint="eastAsia"/>
                    </w:rPr>
                    <w:t>7</w:t>
                  </w:r>
                  <w:r>
                    <w:t>排气筒出口</w:t>
                  </w:r>
                  <w:r>
                    <w:rPr>
                      <w:rFonts w:hint="eastAsia"/>
                    </w:rPr>
                    <w:t>1</w:t>
                  </w:r>
                  <w:r>
                    <w:t>个</w:t>
                  </w:r>
                </w:p>
              </w:tc>
              <w:tc>
                <w:tcPr>
                  <w:tcW w:w="3495" w:type="dxa"/>
                  <w:shd w:val="clear" w:color="auto" w:fill="auto"/>
                  <w:noWrap/>
                  <w:vAlign w:val="center"/>
                </w:tcPr>
                <w:p>
                  <w:pPr>
                    <w:pStyle w:val="164"/>
                  </w:pPr>
                  <w:r>
                    <w:rPr>
                      <w:rFonts w:hint="eastAsia"/>
                    </w:rPr>
                    <w:t>颗粒物、非甲烷总烃、</w:t>
                  </w:r>
                  <w:r>
                    <w:t xml:space="preserve">VOCs </w:t>
                  </w:r>
                </w:p>
              </w:tc>
              <w:tc>
                <w:tcPr>
                  <w:tcW w:w="930" w:type="dxa"/>
                  <w:shd w:val="clear" w:color="auto" w:fill="auto"/>
                  <w:noWrap/>
                  <w:vAlign w:val="center"/>
                </w:tcPr>
                <w:p>
                  <w:pPr>
                    <w:pStyle w:val="164"/>
                  </w:pPr>
                  <w:r>
                    <w:t>1次/年</w:t>
                  </w:r>
                </w:p>
              </w:tc>
              <w:tc>
                <w:tcPr>
                  <w:tcW w:w="1723" w:type="dxa"/>
                  <w:vMerge w:val="continue"/>
                  <w:shd w:val="clear" w:color="auto" w:fill="auto"/>
                  <w:noWrap/>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612" w:type="dxa"/>
                  <w:shd w:val="clear" w:color="auto" w:fill="auto"/>
                  <w:noWrap/>
                  <w:vAlign w:val="center"/>
                </w:tcPr>
                <w:p>
                  <w:pPr>
                    <w:pStyle w:val="164"/>
                  </w:pPr>
                  <w:r>
                    <w:rPr>
                      <w:rFonts w:hint="eastAsia"/>
                    </w:rPr>
                    <w:t>4</w:t>
                  </w:r>
                </w:p>
              </w:tc>
              <w:tc>
                <w:tcPr>
                  <w:tcW w:w="1745" w:type="dxa"/>
                  <w:shd w:val="clear" w:color="auto" w:fill="auto"/>
                  <w:vAlign w:val="center"/>
                </w:tcPr>
                <w:p>
                  <w:pPr>
                    <w:pStyle w:val="164"/>
                  </w:pPr>
                  <w:r>
                    <w:t>DA00</w:t>
                  </w:r>
                  <w:r>
                    <w:rPr>
                      <w:rFonts w:hint="eastAsia"/>
                    </w:rPr>
                    <w:t>8</w:t>
                  </w:r>
                  <w:r>
                    <w:t>排气筒出口</w:t>
                  </w:r>
                  <w:r>
                    <w:rPr>
                      <w:rFonts w:hint="eastAsia"/>
                    </w:rPr>
                    <w:t>1</w:t>
                  </w:r>
                  <w:r>
                    <w:t>个</w:t>
                  </w:r>
                </w:p>
              </w:tc>
              <w:tc>
                <w:tcPr>
                  <w:tcW w:w="3495" w:type="dxa"/>
                  <w:shd w:val="clear" w:color="auto" w:fill="auto"/>
                  <w:noWrap/>
                  <w:vAlign w:val="center"/>
                </w:tcPr>
                <w:p>
                  <w:pPr>
                    <w:pStyle w:val="164"/>
                  </w:pPr>
                  <w:r>
                    <w:rPr>
                      <w:rFonts w:hint="eastAsia"/>
                    </w:rPr>
                    <w:t>颗粒物、非甲烷总烃、</w:t>
                  </w:r>
                  <w:r>
                    <w:t xml:space="preserve">VOCs </w:t>
                  </w:r>
                </w:p>
              </w:tc>
              <w:tc>
                <w:tcPr>
                  <w:tcW w:w="930" w:type="dxa"/>
                  <w:shd w:val="clear" w:color="auto" w:fill="auto"/>
                  <w:noWrap/>
                  <w:vAlign w:val="center"/>
                </w:tcPr>
                <w:p>
                  <w:pPr>
                    <w:pStyle w:val="164"/>
                  </w:pPr>
                  <w:r>
                    <w:t>1次/年</w:t>
                  </w:r>
                </w:p>
              </w:tc>
              <w:tc>
                <w:tcPr>
                  <w:tcW w:w="1723" w:type="dxa"/>
                  <w:vMerge w:val="continue"/>
                  <w:shd w:val="clear" w:color="auto" w:fill="auto"/>
                  <w:noWrap/>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612" w:type="dxa"/>
                  <w:shd w:val="clear" w:color="auto" w:fill="auto"/>
                  <w:noWrap/>
                  <w:vAlign w:val="center"/>
                </w:tcPr>
                <w:p>
                  <w:pPr>
                    <w:pStyle w:val="164"/>
                  </w:pPr>
                  <w:r>
                    <w:rPr>
                      <w:rFonts w:hint="eastAsia"/>
                    </w:rPr>
                    <w:t>5</w:t>
                  </w:r>
                </w:p>
              </w:tc>
              <w:tc>
                <w:tcPr>
                  <w:tcW w:w="1745" w:type="dxa"/>
                  <w:shd w:val="clear" w:color="auto" w:fill="auto"/>
                  <w:vAlign w:val="center"/>
                </w:tcPr>
                <w:p>
                  <w:pPr>
                    <w:pStyle w:val="164"/>
                  </w:pPr>
                  <w:r>
                    <w:t>DA00</w:t>
                  </w:r>
                  <w:r>
                    <w:rPr>
                      <w:rFonts w:hint="eastAsia"/>
                    </w:rPr>
                    <w:t>9</w:t>
                  </w:r>
                  <w:r>
                    <w:t>排气筒出口</w:t>
                  </w:r>
                  <w:r>
                    <w:rPr>
                      <w:rFonts w:hint="eastAsia"/>
                    </w:rPr>
                    <w:t>1</w:t>
                  </w:r>
                  <w:r>
                    <w:t>个</w:t>
                  </w:r>
                </w:p>
              </w:tc>
              <w:tc>
                <w:tcPr>
                  <w:tcW w:w="3495" w:type="dxa"/>
                  <w:shd w:val="clear" w:color="auto" w:fill="auto"/>
                  <w:noWrap/>
                  <w:vAlign w:val="center"/>
                </w:tcPr>
                <w:p>
                  <w:pPr>
                    <w:pStyle w:val="164"/>
                  </w:pPr>
                  <w:r>
                    <w:rPr>
                      <w:rFonts w:hint="eastAsia"/>
                    </w:rPr>
                    <w:t>颗粒物</w:t>
                  </w:r>
                </w:p>
              </w:tc>
              <w:tc>
                <w:tcPr>
                  <w:tcW w:w="930" w:type="dxa"/>
                  <w:shd w:val="clear" w:color="auto" w:fill="auto"/>
                  <w:noWrap/>
                  <w:vAlign w:val="center"/>
                </w:tcPr>
                <w:p>
                  <w:pPr>
                    <w:pStyle w:val="164"/>
                  </w:pPr>
                  <w:r>
                    <w:t>1次/年</w:t>
                  </w:r>
                </w:p>
              </w:tc>
              <w:tc>
                <w:tcPr>
                  <w:tcW w:w="1723" w:type="dxa"/>
                  <w:vMerge w:val="continue"/>
                  <w:shd w:val="clear" w:color="auto" w:fill="auto"/>
                  <w:noWrap/>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41" w:hRule="atLeast"/>
                <w:jc w:val="center"/>
              </w:trPr>
              <w:tc>
                <w:tcPr>
                  <w:tcW w:w="612" w:type="dxa"/>
                  <w:shd w:val="clear" w:color="auto" w:fill="auto"/>
                  <w:noWrap/>
                  <w:vAlign w:val="center"/>
                </w:tcPr>
                <w:p>
                  <w:pPr>
                    <w:pStyle w:val="164"/>
                  </w:pPr>
                  <w:r>
                    <w:rPr>
                      <w:rFonts w:hint="eastAsia"/>
                    </w:rPr>
                    <w:t>6</w:t>
                  </w:r>
                </w:p>
              </w:tc>
              <w:tc>
                <w:tcPr>
                  <w:tcW w:w="1745" w:type="dxa"/>
                  <w:shd w:val="clear" w:color="auto" w:fill="auto"/>
                  <w:vAlign w:val="center"/>
                </w:tcPr>
                <w:p>
                  <w:pPr>
                    <w:pStyle w:val="164"/>
                  </w:pPr>
                  <w:r>
                    <w:rPr>
                      <w:rFonts w:hint="eastAsia"/>
                    </w:rPr>
                    <w:t>厂界（下风向一个点）</w:t>
                  </w:r>
                </w:p>
              </w:tc>
              <w:tc>
                <w:tcPr>
                  <w:tcW w:w="3495" w:type="dxa"/>
                  <w:shd w:val="clear" w:color="auto" w:fill="auto"/>
                  <w:noWrap/>
                  <w:vAlign w:val="center"/>
                </w:tcPr>
                <w:p>
                  <w:pPr>
                    <w:pStyle w:val="164"/>
                  </w:pPr>
                  <w:r>
                    <w:rPr>
                      <w:rFonts w:hint="eastAsia"/>
                    </w:rPr>
                    <w:t>颗粒物、非甲烷总烃、</w:t>
                  </w:r>
                  <w:r>
                    <w:t>VOCs</w:t>
                  </w:r>
                  <w:r>
                    <w:rPr>
                      <w:rFonts w:hint="eastAsia"/>
                    </w:rPr>
                    <w:t>、</w:t>
                  </w:r>
                  <w:r>
                    <w:rPr>
                      <w:rStyle w:val="248"/>
                      <w:rFonts w:hint="default"/>
                    </w:rPr>
                    <w:t>甲苯与二甲苯合计、</w:t>
                  </w:r>
                  <w:r>
                    <w:rPr>
                      <w:rFonts w:hint="eastAsia"/>
                    </w:rPr>
                    <w:t>苯系物</w:t>
                  </w:r>
                </w:p>
              </w:tc>
              <w:tc>
                <w:tcPr>
                  <w:tcW w:w="930" w:type="dxa"/>
                  <w:shd w:val="clear" w:color="auto" w:fill="auto"/>
                  <w:noWrap/>
                  <w:vAlign w:val="center"/>
                </w:tcPr>
                <w:p>
                  <w:pPr>
                    <w:pStyle w:val="164"/>
                  </w:pPr>
                  <w:r>
                    <w:rPr>
                      <w:rFonts w:hint="eastAsia"/>
                    </w:rPr>
                    <w:t>1 次/年</w:t>
                  </w:r>
                </w:p>
              </w:tc>
              <w:tc>
                <w:tcPr>
                  <w:tcW w:w="1723" w:type="dxa"/>
                  <w:vMerge w:val="continue"/>
                  <w:shd w:val="clear" w:color="auto" w:fill="auto"/>
                  <w:noWrap/>
                  <w:vAlign w:val="center"/>
                </w:tcPr>
                <w:p>
                  <w:pPr>
                    <w:pStyle w:val="164"/>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41" w:hRule="atLeast"/>
                <w:jc w:val="center"/>
              </w:trPr>
              <w:tc>
                <w:tcPr>
                  <w:tcW w:w="612" w:type="dxa"/>
                  <w:shd w:val="clear" w:color="auto" w:fill="auto"/>
                  <w:noWrap/>
                  <w:vAlign w:val="center"/>
                </w:tcPr>
                <w:p>
                  <w:pPr>
                    <w:pStyle w:val="164"/>
                  </w:pPr>
                  <w:r>
                    <w:rPr>
                      <w:rFonts w:hint="eastAsia"/>
                    </w:rPr>
                    <w:t>7</w:t>
                  </w:r>
                </w:p>
              </w:tc>
              <w:tc>
                <w:tcPr>
                  <w:tcW w:w="1745" w:type="dxa"/>
                  <w:shd w:val="clear" w:color="auto" w:fill="auto"/>
                  <w:vAlign w:val="center"/>
                </w:tcPr>
                <w:p>
                  <w:pPr>
                    <w:pStyle w:val="164"/>
                  </w:pPr>
                  <w:r>
                    <w:t>DA0</w:t>
                  </w:r>
                  <w:r>
                    <w:rPr>
                      <w:rFonts w:hint="eastAsia"/>
                    </w:rPr>
                    <w:t>10</w:t>
                  </w:r>
                  <w:r>
                    <w:t>排气筒出口</w:t>
                  </w:r>
                  <w:r>
                    <w:rPr>
                      <w:rFonts w:hint="eastAsia"/>
                    </w:rPr>
                    <w:t>1</w:t>
                  </w:r>
                  <w:r>
                    <w:t>个</w:t>
                  </w:r>
                </w:p>
              </w:tc>
              <w:tc>
                <w:tcPr>
                  <w:tcW w:w="3495" w:type="dxa"/>
                  <w:shd w:val="clear" w:color="auto" w:fill="auto"/>
                  <w:noWrap/>
                  <w:vAlign w:val="center"/>
                </w:tcPr>
                <w:p>
                  <w:pPr>
                    <w:pStyle w:val="164"/>
                  </w:pPr>
                  <w:r>
                    <w:rPr>
                      <w:rFonts w:hint="eastAsia"/>
                    </w:rPr>
                    <w:t>油烟、非甲烷他</w:t>
                  </w:r>
                </w:p>
              </w:tc>
              <w:tc>
                <w:tcPr>
                  <w:tcW w:w="930" w:type="dxa"/>
                  <w:shd w:val="clear" w:color="auto" w:fill="auto"/>
                  <w:noWrap/>
                  <w:vAlign w:val="center"/>
                </w:tcPr>
                <w:p>
                  <w:pPr>
                    <w:pStyle w:val="164"/>
                  </w:pPr>
                  <w:r>
                    <w:rPr>
                      <w:rFonts w:hint="eastAsia" w:ascii="宋体" w:hAnsi="宋体"/>
                      <w:kern w:val="2"/>
                      <w:lang w:val="en-US"/>
                    </w:rPr>
                    <w:t>1</w:t>
                  </w:r>
                  <w:r>
                    <w:rPr>
                      <w:rFonts w:ascii="宋体" w:hAnsi="宋体"/>
                      <w:kern w:val="2"/>
                      <w:lang w:val="en-US"/>
                    </w:rPr>
                    <w:t>次/年</w:t>
                  </w:r>
                </w:p>
              </w:tc>
              <w:tc>
                <w:tcPr>
                  <w:tcW w:w="1723" w:type="dxa"/>
                  <w:shd w:val="clear" w:color="auto" w:fill="auto"/>
                  <w:noWrap/>
                  <w:vAlign w:val="center"/>
                </w:tcPr>
                <w:p>
                  <w:pPr>
                    <w:pStyle w:val="164"/>
                  </w:pPr>
                  <w:r>
                    <w:rPr>
                      <w:rFonts w:ascii="宋体" w:hAnsi="宋体"/>
                    </w:rPr>
                    <w:t>《餐饮业大气污染物排放标准》（DB 50/859-2018）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7" w:hRule="atLeast"/>
                <w:jc w:val="center"/>
              </w:trPr>
              <w:tc>
                <w:tcPr>
                  <w:tcW w:w="612" w:type="dxa"/>
                  <w:shd w:val="clear" w:color="auto" w:fill="auto"/>
                  <w:noWrap/>
                  <w:vAlign w:val="center"/>
                </w:tcPr>
                <w:p>
                  <w:pPr>
                    <w:pStyle w:val="164"/>
                  </w:pPr>
                  <w:r>
                    <w:rPr>
                      <w:rFonts w:hint="eastAsia"/>
                    </w:rPr>
                    <w:t>8</w:t>
                  </w:r>
                </w:p>
              </w:tc>
              <w:tc>
                <w:tcPr>
                  <w:tcW w:w="1745" w:type="dxa"/>
                  <w:shd w:val="clear" w:color="auto" w:fill="auto"/>
                  <w:vAlign w:val="center"/>
                </w:tcPr>
                <w:p>
                  <w:pPr>
                    <w:pStyle w:val="164"/>
                  </w:pPr>
                  <w:r>
                    <w:rPr>
                      <w:rFonts w:hint="eastAsia"/>
                    </w:rPr>
                    <w:t>生产车间旁</w:t>
                  </w:r>
                </w:p>
              </w:tc>
              <w:tc>
                <w:tcPr>
                  <w:tcW w:w="3495" w:type="dxa"/>
                  <w:shd w:val="clear" w:color="auto" w:fill="auto"/>
                  <w:noWrap/>
                  <w:vAlign w:val="center"/>
                </w:tcPr>
                <w:p>
                  <w:pPr>
                    <w:pStyle w:val="164"/>
                  </w:pPr>
                  <w:r>
                    <w:rPr>
                      <w:rFonts w:hint="eastAsia"/>
                    </w:rPr>
                    <w:t>非甲烷总烃</w:t>
                  </w:r>
                </w:p>
              </w:tc>
              <w:tc>
                <w:tcPr>
                  <w:tcW w:w="930" w:type="dxa"/>
                  <w:shd w:val="clear" w:color="auto" w:fill="auto"/>
                  <w:noWrap/>
                  <w:vAlign w:val="center"/>
                </w:tcPr>
                <w:p>
                  <w:pPr>
                    <w:pStyle w:val="164"/>
                  </w:pPr>
                  <w:r>
                    <w:rPr>
                      <w:rFonts w:hint="eastAsia"/>
                    </w:rPr>
                    <w:t>1 次/年</w:t>
                  </w:r>
                </w:p>
              </w:tc>
              <w:tc>
                <w:tcPr>
                  <w:tcW w:w="1723" w:type="dxa"/>
                  <w:shd w:val="clear" w:color="auto" w:fill="auto"/>
                  <w:noWrap/>
                  <w:vAlign w:val="center"/>
                </w:tcPr>
                <w:p>
                  <w:pPr>
                    <w:pStyle w:val="164"/>
                  </w:pPr>
                  <w:r>
                    <w:rPr>
                      <w:rFonts w:hint="eastAsia"/>
                    </w:rPr>
                    <w:t>《挥发性有机物无组织排放控制标准》（</w:t>
                  </w:r>
                  <w:r>
                    <w:t>GB 37822-2019）</w:t>
                  </w:r>
                  <w:r>
                    <w:rPr>
                      <w:rFonts w:hint="eastAsia"/>
                    </w:rPr>
                    <w:t>表A.1</w:t>
                  </w:r>
                </w:p>
              </w:tc>
            </w:tr>
          </w:tbl>
          <w:p>
            <w:pPr>
              <w:pStyle w:val="6"/>
              <w:keepNext w:val="0"/>
              <w:keepLines w:val="0"/>
              <w:rPr>
                <w:rFonts w:ascii="宋体" w:hAnsi="宋体"/>
              </w:rPr>
            </w:pPr>
            <w:r>
              <w:rPr>
                <w:rFonts w:hint="eastAsia" w:ascii="宋体" w:hAnsi="宋体"/>
              </w:rPr>
              <w:t>4.2.5  达标情况分析</w:t>
            </w:r>
          </w:p>
          <w:p>
            <w:pPr>
              <w:pStyle w:val="160"/>
              <w:ind w:firstLine="480"/>
            </w:pPr>
            <w:r>
              <w:rPr>
                <w:rFonts w:hint="eastAsia"/>
              </w:rPr>
              <w:t>扩建项目各排气筒排放达标情况见</w:t>
            </w:r>
            <w:r>
              <w:fldChar w:fldCharType="begin"/>
            </w:r>
            <w:r>
              <w:rPr>
                <w:rFonts w:hint="eastAsia"/>
              </w:rPr>
              <w:instrText xml:space="preserve">REF _Ref82520447 \h</w:instrText>
            </w:r>
            <w:r>
              <w:fldChar w:fldCharType="separate"/>
            </w:r>
            <w:r>
              <w:rPr>
                <w:rFonts w:hint="eastAsia"/>
              </w:rPr>
              <w:t>表</w:t>
            </w:r>
            <w:r>
              <w:t>4.2</w:t>
            </w:r>
            <w:r>
              <w:noBreakHyphen/>
            </w:r>
            <w:r>
              <w:rPr>
                <w:rFonts w:hint="eastAsia"/>
              </w:rPr>
              <w:t>6</w:t>
            </w:r>
            <w:r>
              <w:fldChar w:fldCharType="end"/>
            </w:r>
            <w:r>
              <w:rPr>
                <w:rFonts w:hint="eastAsia"/>
              </w:rPr>
              <w:t>。</w:t>
            </w:r>
          </w:p>
          <w:p>
            <w:pPr>
              <w:pStyle w:val="164"/>
            </w:pPr>
            <w:bookmarkStart w:id="47" w:name="_Ref82520447"/>
            <w:r>
              <w:rPr>
                <w:rFonts w:hint="eastAsia"/>
              </w:rPr>
              <w:t>表</w:t>
            </w:r>
            <w:r>
              <w:fldChar w:fldCharType="begin"/>
            </w:r>
            <w:r>
              <w:rPr>
                <w:rFonts w:hint="eastAsia"/>
              </w:rPr>
              <w:instrText xml:space="preserve">STYLEREF 2 \s</w:instrText>
            </w:r>
            <w:r>
              <w:fldChar w:fldCharType="separate"/>
            </w:r>
            <w:r>
              <w:t>4.2</w:t>
            </w:r>
            <w:r>
              <w:fldChar w:fldCharType="end"/>
            </w:r>
            <w:r>
              <w:noBreakHyphen/>
            </w:r>
            <w:bookmarkEnd w:id="47"/>
            <w:r>
              <w:rPr>
                <w:rFonts w:hint="eastAsia"/>
              </w:rPr>
              <w:t>6   排气筒达标情况统计表</w:t>
            </w:r>
          </w:p>
          <w:tbl>
            <w:tblPr>
              <w:tblStyle w:val="88"/>
              <w:tblW w:w="850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49"/>
              <w:gridCol w:w="567"/>
              <w:gridCol w:w="1494"/>
              <w:gridCol w:w="630"/>
              <w:gridCol w:w="976"/>
              <w:gridCol w:w="1148"/>
              <w:gridCol w:w="976"/>
              <w:gridCol w:w="1148"/>
              <w:gridCol w:w="1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restart"/>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序号</w:t>
                  </w:r>
                </w:p>
              </w:tc>
              <w:tc>
                <w:tcPr>
                  <w:tcW w:w="567" w:type="dxa"/>
                  <w:vMerge w:val="restart"/>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名称</w:t>
                  </w:r>
                </w:p>
              </w:tc>
              <w:tc>
                <w:tcPr>
                  <w:tcW w:w="1494" w:type="dxa"/>
                  <w:vMerge w:val="restart"/>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污染物</w:t>
                  </w:r>
                </w:p>
              </w:tc>
              <w:tc>
                <w:tcPr>
                  <w:tcW w:w="630" w:type="dxa"/>
                  <w:vMerge w:val="restart"/>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高度（m）</w:t>
                  </w:r>
                </w:p>
              </w:tc>
              <w:tc>
                <w:tcPr>
                  <w:tcW w:w="2124" w:type="dxa"/>
                  <w:gridSpan w:val="2"/>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有组织排放</w:t>
                  </w:r>
                </w:p>
              </w:tc>
              <w:tc>
                <w:tcPr>
                  <w:tcW w:w="2124" w:type="dxa"/>
                  <w:gridSpan w:val="2"/>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标准限值</w:t>
                  </w:r>
                </w:p>
              </w:tc>
              <w:tc>
                <w:tcPr>
                  <w:tcW w:w="1117" w:type="dxa"/>
                  <w:vMerge w:val="restart"/>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是否达标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0" w:hRule="atLeast"/>
              </w:trPr>
              <w:tc>
                <w:tcPr>
                  <w:tcW w:w="449" w:type="dxa"/>
                  <w:vMerge w:val="continue"/>
                  <w:vAlign w:val="center"/>
                </w:tcPr>
                <w:p>
                  <w:pPr>
                    <w:pStyle w:val="164"/>
                    <w:rPr>
                      <w:rFonts w:asciiTheme="minorEastAsia" w:hAnsiTheme="minorEastAsia" w:eastAsiaTheme="minorEastAsia"/>
                    </w:rPr>
                  </w:pPr>
                </w:p>
              </w:tc>
              <w:tc>
                <w:tcPr>
                  <w:tcW w:w="567" w:type="dxa"/>
                  <w:vMerge w:val="continue"/>
                  <w:vAlign w:val="center"/>
                </w:tcPr>
                <w:p>
                  <w:pPr>
                    <w:pStyle w:val="164"/>
                    <w:rPr>
                      <w:rFonts w:asciiTheme="minorEastAsia" w:hAnsiTheme="minorEastAsia" w:eastAsiaTheme="minorEastAsia"/>
                    </w:rPr>
                  </w:pPr>
                </w:p>
              </w:tc>
              <w:tc>
                <w:tcPr>
                  <w:tcW w:w="1494" w:type="dxa"/>
                  <w:vMerge w:val="continue"/>
                  <w:vAlign w:val="center"/>
                </w:tcPr>
                <w:p>
                  <w:pPr>
                    <w:pStyle w:val="164"/>
                    <w:rPr>
                      <w:rFonts w:asciiTheme="minorEastAsia" w:hAnsiTheme="minorEastAsia" w:eastAsiaTheme="minorEastAsia"/>
                    </w:rPr>
                  </w:pP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排放速率（</w:t>
                  </w:r>
                  <w:r>
                    <w:rPr>
                      <w:rFonts w:asciiTheme="minorEastAsia" w:hAnsiTheme="minorEastAsia" w:eastAsiaTheme="minorEastAsia"/>
                    </w:rPr>
                    <w:t>kg/h</w:t>
                  </w:r>
                  <w:r>
                    <w:rPr>
                      <w:rFonts w:hint="eastAsia" w:asciiTheme="minorEastAsia" w:hAnsiTheme="minorEastAsia" w:eastAsiaTheme="minorEastAsia"/>
                    </w:rPr>
                    <w:t>）</w:t>
                  </w:r>
                </w:p>
              </w:tc>
              <w:tc>
                <w:tcPr>
                  <w:tcW w:w="1148"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排放浓度（</w:t>
                  </w:r>
                  <w:r>
                    <w:rPr>
                      <w:rFonts w:asciiTheme="minorEastAsia" w:hAnsiTheme="minorEastAsia" w:eastAsiaTheme="minorEastAsia"/>
                    </w:rPr>
                    <w:t>mg/m</w:t>
                  </w:r>
                  <w:r>
                    <w:rPr>
                      <w:rFonts w:asciiTheme="minorEastAsia" w:hAnsiTheme="minorEastAsia" w:eastAsiaTheme="minorEastAsia"/>
                      <w:vertAlign w:val="superscript"/>
                    </w:rPr>
                    <w:t>3</w:t>
                  </w:r>
                  <w:r>
                    <w:rPr>
                      <w:rFonts w:hint="eastAsia" w:asciiTheme="minorEastAsia" w:hAnsiTheme="minorEastAsia" w:eastAsiaTheme="minorEastAsia"/>
                    </w:rPr>
                    <w:t>）</w:t>
                  </w:r>
                </w:p>
              </w:tc>
              <w:tc>
                <w:tcPr>
                  <w:tcW w:w="976"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排放速率（</w:t>
                  </w:r>
                  <w:r>
                    <w:rPr>
                      <w:rFonts w:asciiTheme="minorEastAsia" w:hAnsiTheme="minorEastAsia" w:eastAsiaTheme="minorEastAsia"/>
                    </w:rPr>
                    <w:t>kg/h</w:t>
                  </w:r>
                  <w:r>
                    <w:rPr>
                      <w:rFonts w:hint="eastAsia" w:asciiTheme="minorEastAsia" w:hAnsiTheme="minorEastAsia" w:eastAsiaTheme="minorEastAsia"/>
                    </w:rPr>
                    <w:t>）</w:t>
                  </w:r>
                </w:p>
              </w:tc>
              <w:tc>
                <w:tcPr>
                  <w:tcW w:w="1148"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排放浓度（</w:t>
                  </w:r>
                  <w:r>
                    <w:rPr>
                      <w:rFonts w:asciiTheme="minorEastAsia" w:hAnsiTheme="minorEastAsia" w:eastAsiaTheme="minorEastAsia"/>
                    </w:rPr>
                    <w:t>mg/m</w:t>
                  </w:r>
                  <w:r>
                    <w:rPr>
                      <w:rFonts w:asciiTheme="minorEastAsia" w:hAnsiTheme="minorEastAsia" w:eastAsiaTheme="minorEastAsia"/>
                      <w:vertAlign w:val="superscript"/>
                    </w:rPr>
                    <w:t>3</w:t>
                  </w:r>
                  <w:r>
                    <w:rPr>
                      <w:rFonts w:hint="eastAsia" w:asciiTheme="minorEastAsia" w:hAnsiTheme="minorEastAsia" w:eastAsiaTheme="minorEastAsia"/>
                    </w:rPr>
                    <w:t>）</w:t>
                  </w:r>
                </w:p>
              </w:tc>
              <w:tc>
                <w:tcPr>
                  <w:tcW w:w="1117" w:type="dxa"/>
                  <w:vMerge w:val="continue"/>
                  <w:vAlign w:val="center"/>
                </w:tcPr>
                <w:p>
                  <w:pPr>
                    <w:pStyle w:val="164"/>
                    <w:rPr>
                      <w:rFonts w:asciiTheme="minorEastAsia" w:hAnsiTheme="minorEastAsia"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restart"/>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1</w:t>
                  </w:r>
                </w:p>
              </w:tc>
              <w:tc>
                <w:tcPr>
                  <w:tcW w:w="567" w:type="dxa"/>
                  <w:vMerge w:val="restart"/>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DA001</w:t>
                  </w: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颗粒物</w:t>
                  </w:r>
                </w:p>
              </w:tc>
              <w:tc>
                <w:tcPr>
                  <w:tcW w:w="630" w:type="dxa"/>
                  <w:vMerge w:val="restart"/>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0.95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11.87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1.75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总VOCs</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0.75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9.35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4.32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50.0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非甲烷总烃</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0.75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9.35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3.24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甲苯与二甲苯合计</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0.09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1.16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1.71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苯系物</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0.09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1.16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2.16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35.0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restart"/>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2</w:t>
                  </w:r>
                </w:p>
              </w:tc>
              <w:tc>
                <w:tcPr>
                  <w:tcW w:w="567" w:type="dxa"/>
                  <w:vMerge w:val="restart"/>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DA002</w:t>
                  </w: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颗粒物</w:t>
                  </w:r>
                </w:p>
              </w:tc>
              <w:tc>
                <w:tcPr>
                  <w:tcW w:w="630" w:type="dxa"/>
                  <w:vMerge w:val="restart"/>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0.90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7.46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1.75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100.00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总VOCs</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0.48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4.03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4.32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50.00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非甲烷总烃</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0.48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4.03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3.24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甲苯与二甲苯合计</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0.06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0.52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1.71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苯系物</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0.06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0.52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2.16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35.00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restart"/>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3</w:t>
                  </w:r>
                </w:p>
              </w:tc>
              <w:tc>
                <w:tcPr>
                  <w:tcW w:w="567" w:type="dxa"/>
                  <w:vMerge w:val="restart"/>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DA00</w:t>
                  </w:r>
                  <w:r>
                    <w:rPr>
                      <w:rFonts w:hint="eastAsia" w:asciiTheme="minorEastAsia" w:hAnsiTheme="minorEastAsia" w:eastAsiaTheme="minorEastAsia"/>
                    </w:rPr>
                    <w:t>7</w:t>
                  </w: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颗粒物</w:t>
                  </w:r>
                </w:p>
              </w:tc>
              <w:tc>
                <w:tcPr>
                  <w:tcW w:w="630" w:type="dxa"/>
                  <w:vMerge w:val="restart"/>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976"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0.62 </w:t>
                  </w:r>
                </w:p>
              </w:tc>
              <w:tc>
                <w:tcPr>
                  <w:tcW w:w="1148"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10.25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1.75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100.00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总VOCs</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0.31 </w:t>
                  </w:r>
                </w:p>
              </w:tc>
              <w:tc>
                <w:tcPr>
                  <w:tcW w:w="1148"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5.13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4.32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50.00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非甲烷总烃</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0.31 </w:t>
                  </w:r>
                </w:p>
              </w:tc>
              <w:tc>
                <w:tcPr>
                  <w:tcW w:w="1148"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5.13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3.24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restart"/>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4</w:t>
                  </w:r>
                </w:p>
              </w:tc>
              <w:tc>
                <w:tcPr>
                  <w:tcW w:w="567" w:type="dxa"/>
                  <w:vMerge w:val="restart"/>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DA00</w:t>
                  </w:r>
                  <w:r>
                    <w:rPr>
                      <w:rFonts w:hint="eastAsia" w:asciiTheme="minorEastAsia" w:hAnsiTheme="minorEastAsia" w:eastAsiaTheme="minorEastAsia"/>
                    </w:rPr>
                    <w:t>8</w:t>
                  </w: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颗粒物</w:t>
                  </w:r>
                </w:p>
              </w:tc>
              <w:tc>
                <w:tcPr>
                  <w:tcW w:w="630" w:type="dxa"/>
                  <w:vMerge w:val="restart"/>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976"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0.44 </w:t>
                  </w:r>
                </w:p>
              </w:tc>
              <w:tc>
                <w:tcPr>
                  <w:tcW w:w="1148"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5.49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1.75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100.00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总VOCs</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0.12 </w:t>
                  </w:r>
                </w:p>
              </w:tc>
              <w:tc>
                <w:tcPr>
                  <w:tcW w:w="1148"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1.54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4.32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50.00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vAlign w:val="center"/>
                </w:tcPr>
                <w:p>
                  <w:pPr>
                    <w:pStyle w:val="164"/>
                    <w:rPr>
                      <w:rFonts w:asciiTheme="minorEastAsia" w:hAnsiTheme="minorEastAsia" w:eastAsiaTheme="minorEastAsia"/>
                      <w:sz w:val="14"/>
                      <w:szCs w:val="14"/>
                    </w:rPr>
                  </w:pPr>
                </w:p>
              </w:tc>
              <w:tc>
                <w:tcPr>
                  <w:tcW w:w="567" w:type="dxa"/>
                  <w:vMerge w:val="continue"/>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非甲烷总烃</w:t>
                  </w:r>
                </w:p>
              </w:tc>
              <w:tc>
                <w:tcPr>
                  <w:tcW w:w="630" w:type="dxa"/>
                  <w:vMerge w:val="continue"/>
                  <w:vAlign w:val="center"/>
                </w:tcPr>
                <w:p>
                  <w:pPr>
                    <w:pStyle w:val="164"/>
                    <w:rPr>
                      <w:rFonts w:asciiTheme="minorEastAsia" w:hAnsiTheme="minorEastAsia" w:eastAsiaTheme="minorEastAsia"/>
                    </w:rPr>
                  </w:pPr>
                </w:p>
              </w:tc>
              <w:tc>
                <w:tcPr>
                  <w:tcW w:w="976"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0.12 </w:t>
                  </w:r>
                </w:p>
              </w:tc>
              <w:tc>
                <w:tcPr>
                  <w:tcW w:w="1148" w:type="dxa"/>
                  <w:shd w:val="clear" w:color="auto" w:fill="auto"/>
                  <w:noWrap/>
                  <w:vAlign w:val="center"/>
                </w:tcPr>
                <w:p>
                  <w:pPr>
                    <w:jc w:val="center"/>
                    <w:rPr>
                      <w:rFonts w:cs="Times New Roman" w:asciiTheme="minorEastAsia" w:hAnsiTheme="minorEastAsia"/>
                      <w:color w:val="000000"/>
                    </w:rPr>
                  </w:pPr>
                  <w:r>
                    <w:rPr>
                      <w:rFonts w:cs="Times New Roman" w:asciiTheme="minorEastAsia" w:hAnsiTheme="minorEastAsia"/>
                      <w:color w:val="000000"/>
                    </w:rPr>
                    <w:t xml:space="preserve">1.54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3.24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40.00 </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5</w:t>
                  </w:r>
                </w:p>
              </w:tc>
              <w:tc>
                <w:tcPr>
                  <w:tcW w:w="567" w:type="dxa"/>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DA00</w:t>
                  </w:r>
                  <w:r>
                    <w:rPr>
                      <w:rFonts w:hint="eastAsia" w:asciiTheme="minorEastAsia" w:hAnsiTheme="minorEastAsia" w:eastAsiaTheme="minorEastAsia"/>
                    </w:rPr>
                    <w:t>9</w:t>
                  </w: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颗粒物</w:t>
                  </w:r>
                </w:p>
              </w:tc>
              <w:tc>
                <w:tcPr>
                  <w:tcW w:w="630"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0.21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2.59 </w:t>
                  </w:r>
                </w:p>
              </w:tc>
              <w:tc>
                <w:tcPr>
                  <w:tcW w:w="976"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1.75 </w:t>
                  </w:r>
                </w:p>
              </w:tc>
              <w:tc>
                <w:tcPr>
                  <w:tcW w:w="1148"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 xml:space="preserve">100.00 </w:t>
                  </w:r>
                </w:p>
              </w:tc>
              <w:tc>
                <w:tcPr>
                  <w:tcW w:w="1117" w:type="dxa"/>
                  <w:shd w:val="clear" w:color="auto" w:fill="auto"/>
                  <w:noWrap/>
                  <w:vAlign w:val="center"/>
                </w:tcPr>
                <w:p>
                  <w:pPr>
                    <w:jc w:val="center"/>
                    <w:rPr>
                      <w:rFonts w:cs="Times New Roman" w:asciiTheme="minorEastAsia" w:hAnsiTheme="minorEastAsia"/>
                      <w:color w:val="000000"/>
                    </w:rPr>
                  </w:pPr>
                  <w:r>
                    <w:rPr>
                      <w:rFonts w:hint="eastAsia" w:cs="Times New Roman" w:asciiTheme="minorEastAsia" w:hAnsiTheme="minorEastAsia"/>
                      <w:color w:val="000000"/>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restart"/>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6</w:t>
                  </w:r>
                </w:p>
              </w:tc>
              <w:tc>
                <w:tcPr>
                  <w:tcW w:w="567" w:type="dxa"/>
                  <w:vMerge w:val="restart"/>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DA0</w:t>
                  </w:r>
                  <w:r>
                    <w:rPr>
                      <w:rFonts w:hint="eastAsia" w:asciiTheme="minorEastAsia" w:hAnsiTheme="minorEastAsia" w:eastAsiaTheme="minorEastAsia"/>
                    </w:rPr>
                    <w:t>10</w:t>
                  </w: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油烟</w:t>
                  </w:r>
                </w:p>
              </w:tc>
              <w:tc>
                <w:tcPr>
                  <w:tcW w:w="630" w:type="dxa"/>
                  <w:vMerge w:val="restart"/>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976"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148"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0.65</w:t>
                  </w:r>
                </w:p>
              </w:tc>
              <w:tc>
                <w:tcPr>
                  <w:tcW w:w="976"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148"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1.0</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449" w:type="dxa"/>
                  <w:vMerge w:val="continue"/>
                  <w:shd w:val="clear" w:color="auto" w:fill="auto"/>
                  <w:noWrap/>
                  <w:vAlign w:val="center"/>
                </w:tcPr>
                <w:p>
                  <w:pPr>
                    <w:pStyle w:val="164"/>
                    <w:rPr>
                      <w:rFonts w:asciiTheme="minorEastAsia" w:hAnsiTheme="minorEastAsia" w:eastAsiaTheme="minorEastAsia"/>
                    </w:rPr>
                  </w:pPr>
                </w:p>
              </w:tc>
              <w:tc>
                <w:tcPr>
                  <w:tcW w:w="567" w:type="dxa"/>
                  <w:vMerge w:val="continue"/>
                  <w:shd w:val="clear" w:color="auto" w:fill="auto"/>
                  <w:vAlign w:val="center"/>
                </w:tcPr>
                <w:p>
                  <w:pPr>
                    <w:pStyle w:val="164"/>
                    <w:rPr>
                      <w:rFonts w:asciiTheme="minorEastAsia" w:hAnsiTheme="minorEastAsia" w:eastAsiaTheme="minorEastAsia"/>
                    </w:rPr>
                  </w:pPr>
                </w:p>
              </w:tc>
              <w:tc>
                <w:tcPr>
                  <w:tcW w:w="1494" w:type="dxa"/>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非甲烷总烃</w:t>
                  </w:r>
                </w:p>
              </w:tc>
              <w:tc>
                <w:tcPr>
                  <w:tcW w:w="630" w:type="dxa"/>
                  <w:vMerge w:val="continue"/>
                  <w:shd w:val="clear" w:color="auto" w:fill="auto"/>
                  <w:noWrap/>
                  <w:vAlign w:val="center"/>
                </w:tcPr>
                <w:p>
                  <w:pPr>
                    <w:pStyle w:val="164"/>
                    <w:rPr>
                      <w:rFonts w:asciiTheme="minorEastAsia" w:hAnsiTheme="minorEastAsia" w:eastAsiaTheme="minorEastAsia"/>
                    </w:rPr>
                  </w:pPr>
                </w:p>
              </w:tc>
              <w:tc>
                <w:tcPr>
                  <w:tcW w:w="976"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148"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9</w:t>
                  </w:r>
                </w:p>
              </w:tc>
              <w:tc>
                <w:tcPr>
                  <w:tcW w:w="976"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w:t>
                  </w:r>
                </w:p>
              </w:tc>
              <w:tc>
                <w:tcPr>
                  <w:tcW w:w="1148"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10.0</w:t>
                  </w:r>
                </w:p>
              </w:tc>
              <w:tc>
                <w:tcPr>
                  <w:tcW w:w="1117" w:type="dxa"/>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达标</w:t>
                  </w:r>
                </w:p>
              </w:tc>
            </w:tr>
          </w:tbl>
          <w:p>
            <w:pPr>
              <w:pStyle w:val="164"/>
              <w:jc w:val="left"/>
              <w:rPr>
                <w:rFonts w:asciiTheme="minorEastAsia" w:hAnsiTheme="minorEastAsia" w:eastAsiaTheme="minorEastAsia"/>
              </w:rPr>
            </w:pPr>
            <w:r>
              <w:rPr>
                <w:rFonts w:hint="eastAsia" w:asciiTheme="minorEastAsia" w:hAnsiTheme="minorEastAsia" w:eastAsiaTheme="minorEastAsia"/>
              </w:rPr>
              <w:t>*排放速率从严50%执行。</w:t>
            </w:r>
          </w:p>
          <w:p>
            <w:pPr>
              <w:pStyle w:val="160"/>
              <w:ind w:firstLine="480"/>
              <w:rPr>
                <w:rFonts w:asciiTheme="minorEastAsia" w:hAnsiTheme="minorEastAsia" w:eastAsiaTheme="minorEastAsia"/>
              </w:rPr>
            </w:pPr>
            <w:r>
              <w:rPr>
                <w:rFonts w:hint="eastAsia" w:asciiTheme="minorEastAsia" w:hAnsiTheme="minorEastAsia" w:eastAsiaTheme="minorEastAsia"/>
              </w:rPr>
              <w:t>等效排气筒</w:t>
            </w:r>
            <w:r>
              <w:rPr>
                <w:rFonts w:cs="Times New Roman" w:asciiTheme="minorEastAsia" w:hAnsiTheme="minorEastAsia" w:eastAsiaTheme="minorEastAsia"/>
              </w:rPr>
              <w:t>：根据重庆市《大气污染物</w:t>
            </w:r>
            <w:r>
              <w:rPr>
                <w:rFonts w:hint="eastAsia" w:cs="Times New Roman" w:asciiTheme="minorEastAsia" w:hAnsiTheme="minorEastAsia" w:eastAsiaTheme="minorEastAsia"/>
              </w:rPr>
              <w:t>综合</w:t>
            </w:r>
            <w:r>
              <w:rPr>
                <w:rFonts w:cs="Times New Roman" w:asciiTheme="minorEastAsia" w:hAnsiTheme="minorEastAsia" w:eastAsiaTheme="minorEastAsia"/>
              </w:rPr>
              <w:t>排放标准》（DB 50</w:t>
            </w:r>
            <w:r>
              <w:rPr>
                <w:rFonts w:hint="eastAsia" w:cs="Times New Roman" w:asciiTheme="minorEastAsia" w:hAnsiTheme="minorEastAsia" w:eastAsiaTheme="minorEastAsia"/>
              </w:rPr>
              <w:t>/</w:t>
            </w:r>
            <w:r>
              <w:rPr>
                <w:rFonts w:cs="Times New Roman" w:asciiTheme="minorEastAsia" w:hAnsiTheme="minorEastAsia" w:eastAsiaTheme="minorEastAsia"/>
              </w:rPr>
              <w:t>418-2016）</w:t>
            </w:r>
            <w:r>
              <w:rPr>
                <w:rFonts w:hint="eastAsia" w:cs="Times New Roman" w:asciiTheme="minorEastAsia" w:hAnsiTheme="minorEastAsia" w:eastAsiaTheme="minorEastAsia"/>
              </w:rPr>
              <w:t>中“</w:t>
            </w:r>
            <w:r>
              <w:rPr>
                <w:rFonts w:hint="eastAsia" w:asciiTheme="minorEastAsia" w:hAnsiTheme="minorEastAsia" w:eastAsiaTheme="minorEastAsia"/>
              </w:rPr>
              <w:t>有三根以上的近距离排气筒，且排放同一种污染物，应以前两根的等效排气筒，依次与第三、第四根排气筒取等效值。三根以上排气筒计算等效高度时，应选取不同等效顺序计算的等效高度值中的最小值作为等效排气筒高度”。扩建项目D</w:t>
            </w:r>
            <w:r>
              <w:rPr>
                <w:rFonts w:asciiTheme="minorEastAsia" w:hAnsiTheme="minorEastAsia" w:eastAsiaTheme="minorEastAsia"/>
              </w:rPr>
              <w:t>A001</w:t>
            </w:r>
            <w:r>
              <w:rPr>
                <w:rFonts w:hint="eastAsia" w:asciiTheme="minorEastAsia" w:hAnsiTheme="minorEastAsia" w:eastAsiaTheme="minorEastAsia"/>
              </w:rPr>
              <w:t>、D</w:t>
            </w:r>
            <w:r>
              <w:rPr>
                <w:rFonts w:asciiTheme="minorEastAsia" w:hAnsiTheme="minorEastAsia" w:eastAsiaTheme="minorEastAsia"/>
              </w:rPr>
              <w:t>A002</w:t>
            </w:r>
            <w:r>
              <w:rPr>
                <w:rFonts w:hint="eastAsia" w:asciiTheme="minorEastAsia" w:hAnsiTheme="minorEastAsia" w:eastAsiaTheme="minorEastAsia"/>
              </w:rPr>
              <w:t>、D</w:t>
            </w:r>
            <w:r>
              <w:rPr>
                <w:rFonts w:asciiTheme="minorEastAsia" w:hAnsiTheme="minorEastAsia" w:eastAsiaTheme="minorEastAsia"/>
              </w:rPr>
              <w:t>A00</w:t>
            </w:r>
            <w:r>
              <w:rPr>
                <w:rFonts w:hint="eastAsia" w:asciiTheme="minorEastAsia" w:hAnsiTheme="minorEastAsia" w:eastAsiaTheme="minorEastAsia"/>
              </w:rPr>
              <w:t>7、D</w:t>
            </w:r>
            <w:r>
              <w:rPr>
                <w:rFonts w:asciiTheme="minorEastAsia" w:hAnsiTheme="minorEastAsia" w:eastAsiaTheme="minorEastAsia"/>
              </w:rPr>
              <w:t>A00</w:t>
            </w:r>
            <w:r>
              <w:rPr>
                <w:rFonts w:hint="eastAsia" w:asciiTheme="minorEastAsia" w:hAnsiTheme="minorEastAsia" w:eastAsiaTheme="minorEastAsia"/>
              </w:rPr>
              <w:t>8高度均为15m，D</w:t>
            </w:r>
            <w:r>
              <w:rPr>
                <w:rFonts w:asciiTheme="minorEastAsia" w:hAnsiTheme="minorEastAsia" w:eastAsiaTheme="minorEastAsia"/>
              </w:rPr>
              <w:t>A001、</w:t>
            </w:r>
            <w:r>
              <w:rPr>
                <w:rFonts w:hint="eastAsia" w:asciiTheme="minorEastAsia" w:hAnsiTheme="minorEastAsia" w:eastAsiaTheme="minorEastAsia"/>
              </w:rPr>
              <w:t>DA007排气筒距离小于30m；D</w:t>
            </w:r>
            <w:r>
              <w:rPr>
                <w:rFonts w:asciiTheme="minorEastAsia" w:hAnsiTheme="minorEastAsia" w:eastAsiaTheme="minorEastAsia"/>
              </w:rPr>
              <w:t>A00</w:t>
            </w:r>
            <w:r>
              <w:rPr>
                <w:rFonts w:hint="eastAsia" w:asciiTheme="minorEastAsia" w:hAnsiTheme="minorEastAsia" w:eastAsiaTheme="minorEastAsia"/>
              </w:rPr>
              <w:t>2</w:t>
            </w:r>
            <w:r>
              <w:rPr>
                <w:rFonts w:asciiTheme="minorEastAsia" w:hAnsiTheme="minorEastAsia" w:eastAsiaTheme="minorEastAsia"/>
              </w:rPr>
              <w:t>、</w:t>
            </w:r>
            <w:r>
              <w:rPr>
                <w:rFonts w:hint="eastAsia" w:asciiTheme="minorEastAsia" w:hAnsiTheme="minorEastAsia" w:eastAsiaTheme="minorEastAsia"/>
              </w:rPr>
              <w:t>DA008排气筒距离小于30m，应计算等效排气筒高度，等效排气筒计算方法参考</w:t>
            </w:r>
            <w:r>
              <w:rPr>
                <w:rFonts w:cs="Times New Roman" w:asciiTheme="minorEastAsia" w:hAnsiTheme="minorEastAsia" w:eastAsiaTheme="minorEastAsia"/>
              </w:rPr>
              <w:t>《大气污染物</w:t>
            </w:r>
            <w:r>
              <w:rPr>
                <w:rFonts w:hint="eastAsia" w:cs="Times New Roman" w:asciiTheme="minorEastAsia" w:hAnsiTheme="minorEastAsia" w:eastAsiaTheme="minorEastAsia"/>
              </w:rPr>
              <w:t>综合</w:t>
            </w:r>
            <w:r>
              <w:rPr>
                <w:rFonts w:cs="Times New Roman" w:asciiTheme="minorEastAsia" w:hAnsiTheme="minorEastAsia" w:eastAsiaTheme="minorEastAsia"/>
              </w:rPr>
              <w:t>排放标准》</w:t>
            </w:r>
            <w:r>
              <w:rPr>
                <w:rFonts w:hint="eastAsia" w:asciiTheme="minorEastAsia" w:hAnsiTheme="minorEastAsia" w:eastAsiaTheme="minorEastAsia"/>
              </w:rPr>
              <w:t>（</w:t>
            </w:r>
            <w:r>
              <w:rPr>
                <w:rFonts w:asciiTheme="minorEastAsia" w:hAnsiTheme="minorEastAsia" w:eastAsiaTheme="minorEastAsia"/>
              </w:rPr>
              <w:t>GB16297-1996</w:t>
            </w:r>
            <w:r>
              <w:rPr>
                <w:rFonts w:hint="eastAsia" w:asciiTheme="minorEastAsia" w:hAnsiTheme="minorEastAsia" w:eastAsiaTheme="minorEastAsia"/>
              </w:rPr>
              <w:t>）</w:t>
            </w:r>
            <w:r>
              <w:rPr>
                <w:rFonts w:asciiTheme="minorEastAsia" w:hAnsiTheme="minorEastAsia" w:eastAsiaTheme="minorEastAsia"/>
              </w:rPr>
              <w:t>附录A</w:t>
            </w:r>
            <w:r>
              <w:rPr>
                <w:rFonts w:hint="eastAsia" w:asciiTheme="minorEastAsia" w:hAnsiTheme="minorEastAsia" w:eastAsiaTheme="minorEastAsia"/>
              </w:rPr>
              <w:t>。</w:t>
            </w:r>
          </w:p>
          <w:p>
            <w:pPr>
              <w:pStyle w:val="160"/>
              <w:ind w:firstLine="480"/>
            </w:pPr>
            <w:r>
              <w:rPr>
                <w:rFonts w:hint="eastAsia"/>
              </w:rPr>
              <w:t>等效排气筒污染物排放速计算方式如下：</w:t>
            </w:r>
          </w:p>
          <w:p>
            <w:pPr>
              <w:pStyle w:val="160"/>
              <w:ind w:firstLine="480"/>
              <w:jc w:val="center"/>
            </w:pPr>
            <w:r>
              <w:t>Q=Q</w:t>
            </w:r>
            <w:r>
              <w:rPr>
                <w:vertAlign w:val="subscript"/>
              </w:rPr>
              <w:t>1</w:t>
            </w:r>
            <w:r>
              <w:t>+Q</w:t>
            </w:r>
            <w:r>
              <w:rPr>
                <w:vertAlign w:val="subscript"/>
              </w:rPr>
              <w:t>2</w:t>
            </w:r>
            <w:r>
              <w:t>.........................................（A1）</w:t>
            </w:r>
          </w:p>
          <w:p>
            <w:pPr>
              <w:pStyle w:val="160"/>
              <w:ind w:firstLine="480"/>
            </w:pPr>
            <w:r>
              <w:rPr>
                <w:rFonts w:hint="eastAsia"/>
              </w:rPr>
              <w:t>式中：</w:t>
            </w:r>
            <w:r>
              <w:t>Q</w:t>
            </w:r>
            <w:r>
              <w:rPr>
                <w:rFonts w:hint="eastAsia"/>
              </w:rPr>
              <w:t>—</w:t>
            </w:r>
            <w:r>
              <w:t>等效排气筒某污染物排放速率；</w:t>
            </w:r>
          </w:p>
          <w:p>
            <w:pPr>
              <w:pStyle w:val="160"/>
              <w:ind w:firstLine="480"/>
            </w:pPr>
            <w:r>
              <w:t xml:space="preserve"> Q</w:t>
            </w:r>
            <w:r>
              <w:rPr>
                <w:vertAlign w:val="subscript"/>
              </w:rPr>
              <w:t>1</w:t>
            </w:r>
            <w:r>
              <w:t>、Q</w:t>
            </w:r>
            <w:r>
              <w:rPr>
                <w:vertAlign w:val="subscript"/>
              </w:rPr>
              <w:t>2</w:t>
            </w:r>
            <w:r>
              <w:rPr>
                <w:rFonts w:hint="eastAsia"/>
              </w:rPr>
              <w:t>—</w:t>
            </w:r>
            <w:r>
              <w:t>排气筒1和排气筒2的某污染物排放速率。</w:t>
            </w:r>
          </w:p>
          <w:p>
            <w:pPr>
              <w:pStyle w:val="160"/>
              <w:ind w:firstLine="480"/>
            </w:pPr>
            <w:r>
              <w:rPr>
                <w:rFonts w:hint="eastAsia"/>
              </w:rPr>
              <w:t>等效排气筒高度计算方式如下：</w:t>
            </w:r>
          </w:p>
          <w:p>
            <w:pPr>
              <w:pStyle w:val="160"/>
              <w:ind w:firstLine="480"/>
              <w:jc w:val="center"/>
            </w:pPr>
            <w:r>
              <w:rPr>
                <w:rFonts w:hint="eastAsia"/>
              </w:rPr>
              <w:t>h</w:t>
            </w:r>
            <w:r>
              <w:rPr>
                <w:vertAlign w:val="subscript"/>
              </w:rPr>
              <w:t>1</w:t>
            </w:r>
            <w:r>
              <w:rPr>
                <w:rFonts w:hint="eastAsia"/>
                <w:vertAlign w:val="subscript"/>
              </w:rPr>
              <w:t>,</w:t>
            </w:r>
            <w:r>
              <w:rPr>
                <w:vertAlign w:val="subscript"/>
              </w:rPr>
              <w:t>2</w:t>
            </w:r>
            <w:r>
              <w:rPr>
                <w:rFonts w:hint="eastAsia"/>
              </w:rPr>
              <w:t>=</w:t>
            </w:r>
            <m:oMath>
              <m:rad>
                <m:radPr>
                  <m:ctrlPr>
                    <w:rPr>
                      <w:rFonts w:ascii="Cambria Math" w:hAnsi="Cambria Math"/>
                      <w:i/>
                    </w:rPr>
                  </m:ctrlPr>
                </m:radPr>
                <m:deg>
                  <m:r>
                    <w:rPr>
                      <w:rFonts w:ascii="Cambria Math" w:hAnsi="Cambria Math"/>
                    </w:rPr>
                    <m:t>2</m:t>
                  </m:r>
                  <m:ctrlPr>
                    <w:rPr>
                      <w:rFonts w:ascii="Cambria Math" w:hAnsi="Cambria Math"/>
                      <w:i/>
                    </w:rPr>
                  </m:ctrlPr>
                </m:deg>
                <m:e>
                  <m:f>
                    <m:fPr>
                      <m:ctrlPr>
                        <w:rPr>
                          <w:rFonts w:ascii="Cambria Math" w:hAnsi="Cambria Math"/>
                          <w:i/>
                        </w:rPr>
                      </m:ctrlPr>
                    </m:fPr>
                    <m:num>
                      <m:r>
                        <w:rPr>
                          <w:rFonts w:hint="eastAsia" w:ascii="Cambria Math" w:hAnsi="Cambria Math"/>
                        </w:rPr>
                        <m:t>（</m:t>
                      </m:r>
                      <m:sSup>
                        <m:sSupPr>
                          <m:ctrlPr>
                            <w:rPr>
                              <w:rFonts w:ascii="Cambria Math" w:hAnsi="Cambria Math"/>
                              <w:i/>
                            </w:rPr>
                          </m:ctrlPr>
                        </m:sSupPr>
                        <m:e>
                          <m:r>
                            <w:rPr>
                              <w:rFonts w:hint="eastAsia" w:ascii="Cambria Math" w:hAnsi="Cambria Math" w:eastAsia="MS Gothic" w:cs="MS Gothic"/>
                            </w:rPr>
                            <m:t>ℎ</m:t>
                          </m:r>
                          <m:r>
                            <w:rPr>
                              <w:rFonts w:ascii="Cambria Math" w:hAnsi="Cambria Math"/>
                            </w:rPr>
                            <m:t>1</m:t>
                          </m:r>
                          <m:ctrlPr>
                            <w:rPr>
                              <w:rFonts w:ascii="Cambria Math" w:hAnsi="Cambria Math"/>
                              <w:i/>
                            </w:rPr>
                          </m:ctrlPr>
                        </m:e>
                        <m:sup>
                          <m:r>
                            <w:rPr>
                              <w:rFonts w:ascii="Cambria Math" w:hAnsi="Cambria Math"/>
                            </w:rPr>
                            <m:t>2</m:t>
                          </m:r>
                          <m:ctrlPr>
                            <w:rPr>
                              <w:rFonts w:ascii="Cambria Math" w:hAnsi="Cambria Math"/>
                              <w:i/>
                            </w:rPr>
                          </m:ctrlPr>
                        </m:sup>
                      </m:sSup>
                      <m:r>
                        <w:rPr>
                          <w:rFonts w:hint="eastAsia" w:ascii="Cambria Math" w:hAnsi="Cambria Math"/>
                        </w:rPr>
                        <m:t>+</m:t>
                      </m:r>
                      <m:sSup>
                        <m:sSupPr>
                          <m:ctrlPr>
                            <w:rPr>
                              <w:rFonts w:ascii="Cambria Math" w:hAnsi="Cambria Math"/>
                              <w:i/>
                            </w:rPr>
                          </m:ctrlPr>
                        </m:sSupPr>
                        <m:e>
                          <m:r>
                            <w:rPr>
                              <w:rFonts w:hint="eastAsia" w:ascii="Cambria Math" w:hAnsi="Cambria Math" w:eastAsia="MS Gothic" w:cs="MS Gothic"/>
                            </w:rPr>
                            <m:t>ℎ</m:t>
                          </m:r>
                          <m:r>
                            <w:rPr>
                              <w:rFonts w:ascii="Cambria Math" w:hAnsi="Cambria Math"/>
                            </w:rPr>
                            <m:t>2</m:t>
                          </m:r>
                          <m:ctrlPr>
                            <w:rPr>
                              <w:rFonts w:ascii="Cambria Math" w:hAnsi="Cambria Math"/>
                              <w:i/>
                            </w:rPr>
                          </m:ctrlPr>
                        </m:e>
                        <m:sup>
                          <m:r>
                            <w:rPr>
                              <w:rFonts w:ascii="Cambria Math" w:hAnsi="Cambria Math"/>
                            </w:rPr>
                            <m:t>2</m:t>
                          </m:r>
                          <m:ctrlPr>
                            <w:rPr>
                              <w:rFonts w:ascii="Cambria Math" w:hAnsi="Cambria Math"/>
                              <w:i/>
                            </w:rPr>
                          </m:ctrlPr>
                        </m:sup>
                      </m:sSup>
                      <m:r>
                        <w:rPr>
                          <w:rFonts w:hint="eastAsia" w:ascii="Cambria Math" w:hAnsi="Cambria Math"/>
                        </w:rPr>
                        <m:t>）</m:t>
                      </m:r>
                      <m:ctrlPr>
                        <w:rPr>
                          <w:rFonts w:ascii="Cambria Math" w:hAnsi="Cambria Math"/>
                          <w:i/>
                        </w:rPr>
                      </m:ctrlPr>
                    </m:num>
                    <m:den>
                      <m:r>
                        <w:rPr>
                          <w:rFonts w:ascii="Cambria Math" w:hAnsi="Cambria Math"/>
                        </w:rPr>
                        <m:t>2</m:t>
                      </m:r>
                      <m:ctrlPr>
                        <w:rPr>
                          <w:rFonts w:ascii="Cambria Math" w:hAnsi="Cambria Math"/>
                          <w:i/>
                        </w:rPr>
                      </m:ctrlPr>
                    </m:den>
                  </m:f>
                  <m:ctrlPr>
                    <w:rPr>
                      <w:rFonts w:ascii="Cambria Math" w:hAnsi="Cambria Math"/>
                      <w:i/>
                    </w:rPr>
                  </m:ctrlPr>
                </m:e>
              </m:rad>
            </m:oMath>
            <w:r>
              <w:t>.........................................（A2）</w:t>
            </w:r>
          </w:p>
          <w:p>
            <w:pPr>
              <w:pStyle w:val="160"/>
              <w:ind w:firstLine="480"/>
            </w:pPr>
            <w:r>
              <w:rPr>
                <w:rFonts w:hint="eastAsia"/>
              </w:rPr>
              <w:t>式中：</w:t>
            </w:r>
            <w:r>
              <w:t>h</w:t>
            </w:r>
            <w:r>
              <w:rPr>
                <w:rFonts w:hint="eastAsia"/>
              </w:rPr>
              <w:t>—</w:t>
            </w:r>
            <w:r>
              <w:t>等效排气筒高度</w:t>
            </w:r>
            <w:r>
              <w:rPr>
                <w:rFonts w:hint="eastAsia"/>
              </w:rPr>
              <w:t>；</w:t>
            </w:r>
          </w:p>
          <w:p>
            <w:pPr>
              <w:pStyle w:val="160"/>
              <w:ind w:firstLine="480"/>
            </w:pPr>
            <w:r>
              <w:t xml:space="preserve">   h</w:t>
            </w:r>
            <w:r>
              <w:rPr>
                <w:vertAlign w:val="subscript"/>
              </w:rPr>
              <w:t>1</w:t>
            </w:r>
            <w:r>
              <w:t>、h</w:t>
            </w:r>
            <w:r>
              <w:rPr>
                <w:vertAlign w:val="subscript"/>
              </w:rPr>
              <w:t>2</w:t>
            </w:r>
            <w:r>
              <w:rPr>
                <w:rFonts w:hint="eastAsia"/>
              </w:rPr>
              <w:t>—</w:t>
            </w:r>
            <w:r>
              <w:t>排气筒1和排气筒2的高度。</w:t>
            </w:r>
          </w:p>
          <w:p>
            <w:pPr>
              <w:pStyle w:val="160"/>
              <w:ind w:firstLine="480"/>
            </w:pPr>
            <w:r>
              <w:rPr>
                <w:rFonts w:hint="eastAsia"/>
              </w:rPr>
              <w:t>等效排气筒的位置计算方式如下：</w:t>
            </w:r>
          </w:p>
          <w:p>
            <w:pPr>
              <w:pStyle w:val="160"/>
              <w:ind w:firstLine="480"/>
            </w:pPr>
            <w:r>
              <w:rPr>
                <w:rFonts w:hint="eastAsia"/>
              </w:rPr>
              <w:t>等效排气筒的位置，应于排气筒</w:t>
            </w:r>
            <w:r>
              <w:t>1和排气筒2的连线上，若以排气筒1为原点，则等效排气筒距原点的距离按如下方式计算：</w:t>
            </w:r>
          </w:p>
          <w:p>
            <w:pPr>
              <w:pStyle w:val="160"/>
              <w:ind w:firstLine="480"/>
              <w:jc w:val="center"/>
            </w:pPr>
            <w:r>
              <w:t>x=a</w:t>
            </w:r>
            <w:r>
              <w:rPr>
                <w:rFonts w:hint="eastAsia"/>
              </w:rPr>
              <w:t>（</w:t>
            </w:r>
            <w:r>
              <w:t>Q-Q</w:t>
            </w:r>
            <w:r>
              <w:rPr>
                <w:vertAlign w:val="subscript"/>
              </w:rPr>
              <w:t>1</w:t>
            </w:r>
            <w:r>
              <w:rPr>
                <w:rFonts w:hint="eastAsia"/>
              </w:rPr>
              <w:t>）</w:t>
            </w:r>
            <w:r>
              <w:t>/Q=aQ</w:t>
            </w:r>
            <w:r>
              <w:rPr>
                <w:vertAlign w:val="subscript"/>
              </w:rPr>
              <w:t>2</w:t>
            </w:r>
            <w:r>
              <w:t>/Q.........................................（A3）</w:t>
            </w:r>
          </w:p>
          <w:p>
            <w:pPr>
              <w:pStyle w:val="160"/>
              <w:ind w:firstLine="480"/>
            </w:pPr>
            <w:r>
              <w:rPr>
                <w:rFonts w:hint="eastAsia"/>
              </w:rPr>
              <w:t>式中：</w:t>
            </w:r>
            <w:r>
              <w:t>x</w:t>
            </w:r>
            <w:r>
              <w:rPr>
                <w:rFonts w:hint="eastAsia"/>
              </w:rPr>
              <w:t>—</w:t>
            </w:r>
            <w:r>
              <w:t>等效排气筒距排气筒1的距离;</w:t>
            </w:r>
          </w:p>
          <w:p>
            <w:pPr>
              <w:pStyle w:val="160"/>
              <w:ind w:firstLine="480"/>
            </w:pPr>
            <w:r>
              <w:t xml:space="preserve">    a</w:t>
            </w:r>
            <w:r>
              <w:rPr>
                <w:rFonts w:hint="eastAsia"/>
              </w:rPr>
              <w:t>—</w:t>
            </w:r>
            <w:r>
              <w:t>排气筒1至排气筒2的距离；</w:t>
            </w:r>
          </w:p>
          <w:p>
            <w:pPr>
              <w:pStyle w:val="160"/>
              <w:ind w:firstLine="480"/>
            </w:pPr>
            <w:r>
              <w:t>Q、Q</w:t>
            </w:r>
            <w:r>
              <w:rPr>
                <w:vertAlign w:val="subscript"/>
              </w:rPr>
              <w:t>1</w:t>
            </w:r>
            <w:r>
              <w:t>、Q</w:t>
            </w:r>
            <w:r>
              <w:rPr>
                <w:vertAlign w:val="subscript"/>
              </w:rPr>
              <w:t>2</w:t>
            </w:r>
            <w:r>
              <w:rPr>
                <w:rFonts w:hint="eastAsia"/>
              </w:rPr>
              <w:t>—</w:t>
            </w:r>
            <w:r>
              <w:t>同A1。</w:t>
            </w:r>
          </w:p>
          <w:p>
            <w:pPr>
              <w:pStyle w:val="160"/>
              <w:ind w:firstLine="480"/>
            </w:pPr>
            <w:r>
              <w:rPr>
                <w:rFonts w:hint="eastAsia"/>
              </w:rPr>
              <w:t>综上所述，扩建项目D</w:t>
            </w:r>
            <w:r>
              <w:t>A</w:t>
            </w:r>
            <w:r>
              <w:rPr>
                <w:vertAlign w:val="subscript"/>
              </w:rPr>
              <w:t>1</w:t>
            </w:r>
            <w:r>
              <w:rPr>
                <w:rFonts w:hint="eastAsia"/>
                <w:vertAlign w:val="subscript"/>
              </w:rPr>
              <w:t>,</w:t>
            </w:r>
            <w:r>
              <w:rPr>
                <w:vertAlign w:val="subscript"/>
              </w:rPr>
              <w:t>2</w:t>
            </w:r>
            <w:r>
              <w:rPr>
                <w:rFonts w:hint="eastAsia"/>
                <w:vertAlign w:val="subscript"/>
              </w:rPr>
              <w:t>,7,8</w:t>
            </w:r>
            <w:r>
              <w:rPr>
                <w:rFonts w:hint="eastAsia"/>
              </w:rPr>
              <w:t>等效排气筒高度为15m，等效排气筒排放率计算见下表，各类污染物排放速率满足重庆市</w:t>
            </w:r>
            <w:r>
              <w:t>《家具制造业大气污染物排放标准》（DB 50/757-2017）表2</w:t>
            </w:r>
            <w:r>
              <w:rPr>
                <w:rFonts w:hint="eastAsia"/>
              </w:rPr>
              <w:t>其他区域的排放速率标准。</w:t>
            </w:r>
          </w:p>
          <w:p>
            <w:pPr>
              <w:pStyle w:val="164"/>
            </w:pPr>
            <w:r>
              <w:rPr>
                <w:rFonts w:hint="eastAsia"/>
              </w:rPr>
              <w:t>表4.2-7    等效排气筒计算</w:t>
            </w:r>
          </w:p>
          <w:tbl>
            <w:tblPr>
              <w:tblStyle w:val="88"/>
              <w:tblW w:w="8505" w:type="dxa"/>
              <w:tblInd w:w="0" w:type="dxa"/>
              <w:tblLayout w:type="fixed"/>
              <w:tblCellMar>
                <w:top w:w="0" w:type="dxa"/>
                <w:left w:w="108" w:type="dxa"/>
                <w:bottom w:w="0" w:type="dxa"/>
                <w:right w:w="108" w:type="dxa"/>
              </w:tblCellMar>
            </w:tblPr>
            <w:tblGrid>
              <w:gridCol w:w="733"/>
              <w:gridCol w:w="850"/>
              <w:gridCol w:w="1985"/>
              <w:gridCol w:w="992"/>
              <w:gridCol w:w="1559"/>
              <w:gridCol w:w="1134"/>
              <w:gridCol w:w="1252"/>
            </w:tblGrid>
            <w:tr>
              <w:tblPrEx>
                <w:tblLayout w:type="fixed"/>
                <w:tblCellMar>
                  <w:top w:w="0" w:type="dxa"/>
                  <w:left w:w="108" w:type="dxa"/>
                  <w:bottom w:w="0" w:type="dxa"/>
                  <w:right w:w="108" w:type="dxa"/>
                </w:tblCellMar>
              </w:tblPrEx>
              <w:trPr>
                <w:trHeight w:val="270" w:hRule="atLeast"/>
              </w:trPr>
              <w:tc>
                <w:tcPr>
                  <w:tcW w:w="733" w:type="dxa"/>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序号</w:t>
                  </w:r>
                </w:p>
              </w:tc>
              <w:tc>
                <w:tcPr>
                  <w:tcW w:w="850" w:type="dxa"/>
                  <w:vMerge w:val="restart"/>
                  <w:tcBorders>
                    <w:top w:val="single" w:color="auto" w:sz="8" w:space="0"/>
                    <w:left w:val="nil"/>
                    <w:bottom w:val="single" w:color="auto" w:sz="8" w:space="0"/>
                    <w:right w:val="single" w:color="auto" w:sz="8" w:space="0"/>
                  </w:tcBorders>
                  <w:shd w:val="clear" w:color="auto" w:fill="auto"/>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名称</w:t>
                  </w:r>
                </w:p>
              </w:tc>
              <w:tc>
                <w:tcPr>
                  <w:tcW w:w="1985" w:type="dxa"/>
                  <w:vMerge w:val="restar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污染物</w:t>
                  </w:r>
                </w:p>
              </w:tc>
              <w:tc>
                <w:tcPr>
                  <w:tcW w:w="992" w:type="dxa"/>
                  <w:vMerge w:val="restar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高度（</w:t>
                  </w:r>
                  <w:r>
                    <w:rPr>
                      <w:rFonts w:cs="Times New Roman" w:asciiTheme="minorEastAsia" w:hAnsiTheme="minorEastAsia"/>
                      <w:color w:val="000000"/>
                      <w:kern w:val="0"/>
                    </w:rPr>
                    <w:t>m</w:t>
                  </w:r>
                  <w:r>
                    <w:rPr>
                      <w:rFonts w:hint="eastAsia" w:cs="宋体" w:asciiTheme="minorEastAsia" w:hAnsiTheme="minorEastAsia"/>
                      <w:color w:val="000000"/>
                      <w:kern w:val="0"/>
                    </w:rPr>
                    <w:t>）</w:t>
                  </w:r>
                </w:p>
              </w:tc>
              <w:tc>
                <w:tcPr>
                  <w:tcW w:w="1559" w:type="dxa"/>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有组织排放</w:t>
                  </w:r>
                </w:p>
              </w:tc>
              <w:tc>
                <w:tcPr>
                  <w:tcW w:w="1134" w:type="dxa"/>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标准限值</w:t>
                  </w:r>
                </w:p>
              </w:tc>
              <w:tc>
                <w:tcPr>
                  <w:tcW w:w="1252" w:type="dxa"/>
                  <w:vMerge w:val="restar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是否达标</w:t>
                  </w:r>
                </w:p>
              </w:tc>
            </w:tr>
            <w:tr>
              <w:tblPrEx>
                <w:tblLayout w:type="fixed"/>
                <w:tblCellMar>
                  <w:top w:w="0" w:type="dxa"/>
                  <w:left w:w="108" w:type="dxa"/>
                  <w:bottom w:w="0" w:type="dxa"/>
                  <w:right w:w="108" w:type="dxa"/>
                </w:tblCellMar>
              </w:tblPrEx>
              <w:trPr>
                <w:trHeight w:val="285" w:hRule="atLeast"/>
              </w:trPr>
              <w:tc>
                <w:tcPr>
                  <w:tcW w:w="7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cs="宋体" w:asciiTheme="minorEastAsia" w:hAnsiTheme="minorEastAsia"/>
                      <w:color w:val="000000"/>
                      <w:kern w:val="0"/>
                    </w:rPr>
                  </w:pPr>
                </w:p>
              </w:tc>
              <w:tc>
                <w:tcPr>
                  <w:tcW w:w="850" w:type="dxa"/>
                  <w:vMerge w:val="continue"/>
                  <w:tcBorders>
                    <w:top w:val="single" w:color="auto" w:sz="8" w:space="0"/>
                    <w:left w:val="nil"/>
                    <w:bottom w:val="single" w:color="auto" w:sz="8" w:space="0"/>
                    <w:right w:val="single" w:color="auto" w:sz="8" w:space="0"/>
                  </w:tcBorders>
                  <w:vAlign w:val="center"/>
                </w:tcPr>
                <w:p>
                  <w:pPr>
                    <w:widowControl/>
                    <w:jc w:val="left"/>
                    <w:rPr>
                      <w:rFonts w:cs="宋体" w:asciiTheme="minorEastAsia" w:hAnsiTheme="minorEastAsia"/>
                      <w:color w:val="000000"/>
                      <w:kern w:val="0"/>
                    </w:rPr>
                  </w:pPr>
                </w:p>
              </w:tc>
              <w:tc>
                <w:tcPr>
                  <w:tcW w:w="1985" w:type="dxa"/>
                  <w:vMerge w:val="continue"/>
                  <w:tcBorders>
                    <w:top w:val="single" w:color="auto" w:sz="8" w:space="0"/>
                    <w:left w:val="nil"/>
                    <w:bottom w:val="single" w:color="auto" w:sz="8" w:space="0"/>
                    <w:right w:val="single" w:color="auto" w:sz="8" w:space="0"/>
                  </w:tcBorders>
                  <w:vAlign w:val="center"/>
                </w:tcPr>
                <w:p>
                  <w:pPr>
                    <w:widowControl/>
                    <w:jc w:val="left"/>
                    <w:rPr>
                      <w:rFonts w:cs="宋体" w:asciiTheme="minorEastAsia" w:hAnsiTheme="minorEastAsia"/>
                      <w:color w:val="000000"/>
                      <w:kern w:val="0"/>
                    </w:rPr>
                  </w:pPr>
                </w:p>
              </w:tc>
              <w:tc>
                <w:tcPr>
                  <w:tcW w:w="992" w:type="dxa"/>
                  <w:vMerge w:val="continue"/>
                  <w:tcBorders>
                    <w:top w:val="single" w:color="auto" w:sz="8" w:space="0"/>
                    <w:left w:val="nil"/>
                    <w:bottom w:val="single" w:color="auto" w:sz="8" w:space="0"/>
                    <w:right w:val="single" w:color="auto" w:sz="8" w:space="0"/>
                  </w:tcBorders>
                  <w:vAlign w:val="center"/>
                </w:tcPr>
                <w:p>
                  <w:pPr>
                    <w:widowControl/>
                    <w:jc w:val="left"/>
                    <w:rPr>
                      <w:rFonts w:cs="宋体"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排放速率（</w:t>
                  </w:r>
                  <w:r>
                    <w:rPr>
                      <w:rFonts w:cs="Times New Roman" w:asciiTheme="minorEastAsia" w:hAnsiTheme="minorEastAsia"/>
                      <w:color w:val="000000"/>
                      <w:kern w:val="0"/>
                    </w:rPr>
                    <w:t>kg/h</w:t>
                  </w:r>
                  <w:r>
                    <w:rPr>
                      <w:rFonts w:hint="eastAsia" w:cs="宋体" w:asciiTheme="minorEastAsia" w:hAnsiTheme="minorEastAsia"/>
                      <w:color w:val="000000"/>
                      <w:kern w:val="0"/>
                    </w:rPr>
                    <w:t>）</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排放速率（</w:t>
                  </w:r>
                  <w:r>
                    <w:rPr>
                      <w:rFonts w:cs="Times New Roman" w:asciiTheme="minorEastAsia" w:hAnsiTheme="minorEastAsia"/>
                      <w:color w:val="000000"/>
                      <w:kern w:val="0"/>
                    </w:rPr>
                    <w:t>kg/h</w:t>
                  </w:r>
                  <w:r>
                    <w:rPr>
                      <w:rFonts w:hint="eastAsia" w:cs="宋体" w:asciiTheme="minorEastAsia" w:hAnsiTheme="minorEastAsia"/>
                      <w:color w:val="000000"/>
                      <w:kern w:val="0"/>
                    </w:rPr>
                    <w:t>）</w:t>
                  </w:r>
                </w:p>
              </w:tc>
              <w:tc>
                <w:tcPr>
                  <w:tcW w:w="1252" w:type="dxa"/>
                  <w:vMerge w:val="continue"/>
                  <w:tcBorders>
                    <w:top w:val="single" w:color="auto" w:sz="8" w:space="0"/>
                    <w:left w:val="nil"/>
                    <w:bottom w:val="single" w:color="auto" w:sz="8" w:space="0"/>
                    <w:right w:val="single" w:color="auto" w:sz="8" w:space="0"/>
                  </w:tcBorders>
                  <w:vAlign w:val="center"/>
                </w:tcPr>
                <w:p>
                  <w:pPr>
                    <w:widowControl/>
                    <w:jc w:val="left"/>
                    <w:rPr>
                      <w:rFonts w:cs="宋体" w:asciiTheme="minorEastAsia" w:hAnsiTheme="minorEastAsia"/>
                      <w:color w:val="000000"/>
                      <w:kern w:val="0"/>
                    </w:rPr>
                  </w:pPr>
                </w:p>
              </w:tc>
            </w:tr>
            <w:tr>
              <w:tblPrEx>
                <w:tblLayout w:type="fixed"/>
                <w:tblCellMar>
                  <w:top w:w="0" w:type="dxa"/>
                  <w:left w:w="108" w:type="dxa"/>
                  <w:bottom w:w="0" w:type="dxa"/>
                  <w:right w:w="108" w:type="dxa"/>
                </w:tblCellMar>
              </w:tblPrEx>
              <w:trPr>
                <w:trHeight w:val="285" w:hRule="atLeast"/>
              </w:trPr>
              <w:tc>
                <w:tcPr>
                  <w:tcW w:w="733"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1</w:t>
                  </w:r>
                </w:p>
              </w:tc>
              <w:tc>
                <w:tcPr>
                  <w:tcW w:w="85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DA</w:t>
                  </w:r>
                  <w:r>
                    <w:rPr>
                      <w:rFonts w:cs="Times New Roman" w:asciiTheme="minorEastAsia" w:hAnsiTheme="minorEastAsia"/>
                      <w:color w:val="000000"/>
                      <w:kern w:val="0"/>
                      <w:vertAlign w:val="subscript"/>
                    </w:rPr>
                    <w:t>17</w:t>
                  </w:r>
                </w:p>
              </w:tc>
              <w:tc>
                <w:tcPr>
                  <w:tcW w:w="1985" w:type="dxa"/>
                  <w:tcBorders>
                    <w:top w:val="nil"/>
                    <w:left w:val="nil"/>
                    <w:bottom w:val="single" w:color="auto" w:sz="8" w:space="0"/>
                    <w:right w:val="single" w:color="auto" w:sz="8" w:space="0"/>
                  </w:tcBorders>
                  <w:shd w:val="clear" w:color="auto" w:fill="auto"/>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颗粒物</w:t>
                  </w:r>
                </w:p>
              </w:tc>
              <w:tc>
                <w:tcPr>
                  <w:tcW w:w="992" w:type="dxa"/>
                  <w:vMerge w:val="restart"/>
                  <w:tcBorders>
                    <w:top w:val="nil"/>
                    <w:left w:val="nil"/>
                    <w:right w:val="single" w:color="auto" w:sz="8" w:space="0"/>
                  </w:tcBorders>
                  <w:shd w:val="clear" w:color="auto" w:fill="auto"/>
                  <w:vAlign w:val="center"/>
                </w:tcPr>
                <w:p>
                  <w:pPr>
                    <w:jc w:val="center"/>
                    <w:rPr>
                      <w:rFonts w:cs="Times New Roman" w:asciiTheme="minorEastAsia" w:hAnsiTheme="minorEastAsia"/>
                      <w:color w:val="000000"/>
                      <w:kern w:val="0"/>
                    </w:rPr>
                  </w:pPr>
                  <w:r>
                    <w:rPr>
                      <w:rFonts w:cs="Times New Roman" w:asciiTheme="minorEastAsia" w:hAnsiTheme="minorEastAsia"/>
                      <w:color w:val="000000"/>
                      <w:kern w:val="0"/>
                    </w:rPr>
                    <w:t>15</w:t>
                  </w: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1.56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1.75 </w:t>
                  </w:r>
                </w:p>
              </w:tc>
              <w:tc>
                <w:tcPr>
                  <w:tcW w:w="1252" w:type="dxa"/>
                  <w:tcBorders>
                    <w:top w:val="nil"/>
                    <w:left w:val="nil"/>
                    <w:bottom w:val="single" w:color="auto" w:sz="8" w:space="0"/>
                    <w:right w:val="single" w:color="auto" w:sz="8" w:space="0"/>
                  </w:tcBorders>
                  <w:shd w:val="clear" w:color="auto" w:fill="auto"/>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85" w:hRule="atLeast"/>
              </w:trPr>
              <w:tc>
                <w:tcPr>
                  <w:tcW w:w="733"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总</w:t>
                  </w:r>
                  <w:r>
                    <w:rPr>
                      <w:rFonts w:cs="Times New Roman" w:asciiTheme="minorEastAsia" w:hAnsiTheme="minorEastAsia"/>
                      <w:color w:val="000000"/>
                      <w:kern w:val="0"/>
                    </w:rPr>
                    <w:t>VOCs</w:t>
                  </w:r>
                </w:p>
              </w:tc>
              <w:tc>
                <w:tcPr>
                  <w:tcW w:w="992" w:type="dxa"/>
                  <w:vMerge w:val="continue"/>
                  <w:tcBorders>
                    <w:left w:val="nil"/>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1.06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4.32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85" w:hRule="atLeast"/>
              </w:trPr>
              <w:tc>
                <w:tcPr>
                  <w:tcW w:w="733"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非甲烷总烃</w:t>
                  </w:r>
                </w:p>
              </w:tc>
              <w:tc>
                <w:tcPr>
                  <w:tcW w:w="992" w:type="dxa"/>
                  <w:vMerge w:val="continue"/>
                  <w:tcBorders>
                    <w:left w:val="nil"/>
                    <w:right w:val="single" w:color="auto" w:sz="8" w:space="0"/>
                  </w:tcBorders>
                  <w:vAlign w:val="center"/>
                </w:tcPr>
                <w:p>
                  <w:pPr>
                    <w:widowControl/>
                    <w:jc w:val="left"/>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1.06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3.24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85" w:hRule="atLeast"/>
              </w:trPr>
              <w:tc>
                <w:tcPr>
                  <w:tcW w:w="733"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甲苯与二甲苯合计</w:t>
                  </w:r>
                </w:p>
              </w:tc>
              <w:tc>
                <w:tcPr>
                  <w:tcW w:w="992" w:type="dxa"/>
                  <w:vMerge w:val="continue"/>
                  <w:tcBorders>
                    <w:left w:val="nil"/>
                    <w:right w:val="single" w:color="auto" w:sz="8" w:space="0"/>
                  </w:tcBorders>
                  <w:vAlign w:val="center"/>
                </w:tcPr>
                <w:p>
                  <w:pPr>
                    <w:widowControl/>
                    <w:jc w:val="left"/>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0.09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1.71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85" w:hRule="atLeast"/>
              </w:trPr>
              <w:tc>
                <w:tcPr>
                  <w:tcW w:w="733"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single" w:color="auto" w:sz="8" w:space="0"/>
                    <w:bottom w:val="single" w:color="000000"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苯系物</w:t>
                  </w:r>
                </w:p>
              </w:tc>
              <w:tc>
                <w:tcPr>
                  <w:tcW w:w="992" w:type="dxa"/>
                  <w:vMerge w:val="continue"/>
                  <w:tcBorders>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0.09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2.16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85" w:hRule="atLeast"/>
              </w:trPr>
              <w:tc>
                <w:tcPr>
                  <w:tcW w:w="733" w:type="dxa"/>
                  <w:vMerge w:val="restart"/>
                  <w:tcBorders>
                    <w:top w:val="nil"/>
                    <w:left w:val="single" w:color="auto" w:sz="8" w:space="0"/>
                    <w:bottom w:val="single" w:color="auto" w:sz="8" w:space="0"/>
                    <w:right w:val="single" w:color="auto" w:sz="8" w:space="0"/>
                  </w:tcBorders>
                  <w:shd w:val="clear" w:color="auto" w:fill="auto"/>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3</w:t>
                  </w:r>
                </w:p>
              </w:tc>
              <w:tc>
                <w:tcPr>
                  <w:tcW w:w="850" w:type="dxa"/>
                  <w:vMerge w:val="restart"/>
                  <w:tcBorders>
                    <w:top w:val="nil"/>
                    <w:left w:val="nil"/>
                    <w:bottom w:val="single" w:color="auto" w:sz="8" w:space="0"/>
                    <w:right w:val="single" w:color="auto" w:sz="8" w:space="0"/>
                  </w:tcBorders>
                  <w:shd w:val="clear" w:color="auto" w:fill="auto"/>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DA</w:t>
                  </w:r>
                  <w:r>
                    <w:rPr>
                      <w:rFonts w:cs="Times New Roman" w:asciiTheme="minorEastAsia" w:hAnsiTheme="minorEastAsia"/>
                      <w:color w:val="000000"/>
                      <w:kern w:val="0"/>
                      <w:vertAlign w:val="subscript"/>
                    </w:rPr>
                    <w:t>28</w:t>
                  </w: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颗粒物</w:t>
                  </w:r>
                </w:p>
              </w:tc>
              <w:tc>
                <w:tcPr>
                  <w:tcW w:w="992" w:type="dxa"/>
                  <w:vMerge w:val="restart"/>
                  <w:tcBorders>
                    <w:top w:val="nil"/>
                    <w:left w:val="nil"/>
                    <w:bottom w:val="single" w:color="auto" w:sz="8" w:space="0"/>
                    <w:right w:val="single" w:color="auto" w:sz="8" w:space="0"/>
                  </w:tcBorders>
                  <w:shd w:val="clear" w:color="auto" w:fill="auto"/>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15</w:t>
                  </w: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1.34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1.75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70" w:hRule="atLeast"/>
              </w:trPr>
              <w:tc>
                <w:tcPr>
                  <w:tcW w:w="733" w:type="dxa"/>
                  <w:vMerge w:val="continue"/>
                  <w:tcBorders>
                    <w:top w:val="nil"/>
                    <w:left w:val="single" w:color="auto" w:sz="8" w:space="0"/>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总</w:t>
                  </w:r>
                  <w:r>
                    <w:rPr>
                      <w:rFonts w:cs="Times New Roman" w:asciiTheme="minorEastAsia" w:hAnsiTheme="minorEastAsia"/>
                      <w:color w:val="000000"/>
                      <w:kern w:val="0"/>
                    </w:rPr>
                    <w:t>VOCs</w:t>
                  </w:r>
                </w:p>
              </w:tc>
              <w:tc>
                <w:tcPr>
                  <w:tcW w:w="992"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0.61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4.32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70" w:hRule="atLeast"/>
              </w:trPr>
              <w:tc>
                <w:tcPr>
                  <w:tcW w:w="733" w:type="dxa"/>
                  <w:vMerge w:val="continue"/>
                  <w:tcBorders>
                    <w:top w:val="nil"/>
                    <w:left w:val="single" w:color="auto" w:sz="8" w:space="0"/>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非甲烷总烃</w:t>
                  </w:r>
                </w:p>
              </w:tc>
              <w:tc>
                <w:tcPr>
                  <w:tcW w:w="992"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0.61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3.24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70" w:hRule="atLeast"/>
              </w:trPr>
              <w:tc>
                <w:tcPr>
                  <w:tcW w:w="733" w:type="dxa"/>
                  <w:vMerge w:val="continue"/>
                  <w:tcBorders>
                    <w:top w:val="nil"/>
                    <w:left w:val="single" w:color="auto" w:sz="8" w:space="0"/>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甲苯与二甲苯合计</w:t>
                  </w:r>
                </w:p>
              </w:tc>
              <w:tc>
                <w:tcPr>
                  <w:tcW w:w="992"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0.06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1.71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r>
              <w:tblPrEx>
                <w:tblLayout w:type="fixed"/>
                <w:tblCellMar>
                  <w:top w:w="0" w:type="dxa"/>
                  <w:left w:w="108" w:type="dxa"/>
                  <w:bottom w:w="0" w:type="dxa"/>
                  <w:right w:w="108" w:type="dxa"/>
                </w:tblCellMar>
              </w:tblPrEx>
              <w:trPr>
                <w:trHeight w:val="270" w:hRule="atLeast"/>
              </w:trPr>
              <w:tc>
                <w:tcPr>
                  <w:tcW w:w="733" w:type="dxa"/>
                  <w:vMerge w:val="continue"/>
                  <w:tcBorders>
                    <w:top w:val="nil"/>
                    <w:left w:val="single" w:color="auto" w:sz="8" w:space="0"/>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850"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985"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苯系物</w:t>
                  </w:r>
                </w:p>
              </w:tc>
              <w:tc>
                <w:tcPr>
                  <w:tcW w:w="992" w:type="dxa"/>
                  <w:vMerge w:val="continue"/>
                  <w:tcBorders>
                    <w:top w:val="nil"/>
                    <w:left w:val="nil"/>
                    <w:bottom w:val="single" w:color="auto" w:sz="8" w:space="0"/>
                    <w:right w:val="single" w:color="auto" w:sz="8" w:space="0"/>
                  </w:tcBorders>
                  <w:vAlign w:val="center"/>
                </w:tcPr>
                <w:p>
                  <w:pPr>
                    <w:widowControl/>
                    <w:jc w:val="left"/>
                    <w:rPr>
                      <w:rFonts w:cs="Times New Roman" w:asciiTheme="minorEastAsia" w:hAnsiTheme="minorEastAsia"/>
                      <w:color w:val="000000"/>
                      <w:kern w:val="0"/>
                    </w:rPr>
                  </w:pPr>
                </w:p>
              </w:tc>
              <w:tc>
                <w:tcPr>
                  <w:tcW w:w="1559"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0.06 </w:t>
                  </w:r>
                </w:p>
              </w:tc>
              <w:tc>
                <w:tcPr>
                  <w:tcW w:w="1134" w:type="dxa"/>
                  <w:tcBorders>
                    <w:top w:val="nil"/>
                    <w:left w:val="nil"/>
                    <w:bottom w:val="single" w:color="auto" w:sz="8" w:space="0"/>
                    <w:right w:val="single" w:color="auto" w:sz="8" w:space="0"/>
                  </w:tcBorders>
                  <w:shd w:val="clear" w:color="auto" w:fill="auto"/>
                  <w:noWrap/>
                  <w:vAlign w:val="center"/>
                </w:tcPr>
                <w:p>
                  <w:pPr>
                    <w:widowControl/>
                    <w:jc w:val="center"/>
                    <w:rPr>
                      <w:rFonts w:cs="Times New Roman" w:asciiTheme="minorEastAsia" w:hAnsiTheme="minorEastAsia"/>
                      <w:color w:val="000000"/>
                      <w:kern w:val="0"/>
                    </w:rPr>
                  </w:pPr>
                  <w:r>
                    <w:rPr>
                      <w:rFonts w:cs="Times New Roman" w:asciiTheme="minorEastAsia" w:hAnsiTheme="minorEastAsia"/>
                      <w:color w:val="000000"/>
                      <w:kern w:val="0"/>
                    </w:rPr>
                    <w:t xml:space="preserve">2.16 </w:t>
                  </w:r>
                </w:p>
              </w:tc>
              <w:tc>
                <w:tcPr>
                  <w:tcW w:w="1252" w:type="dxa"/>
                  <w:tcBorders>
                    <w:top w:val="nil"/>
                    <w:left w:val="nil"/>
                    <w:bottom w:val="single" w:color="auto" w:sz="8" w:space="0"/>
                    <w:right w:val="single" w:color="auto" w:sz="8" w:space="0"/>
                  </w:tcBorders>
                  <w:shd w:val="clear" w:color="auto" w:fill="auto"/>
                  <w:noWrap/>
                  <w:vAlign w:val="center"/>
                </w:tcPr>
                <w:p>
                  <w:pPr>
                    <w:widowControl/>
                    <w:jc w:val="center"/>
                    <w:rPr>
                      <w:rFonts w:cs="宋体" w:asciiTheme="minorEastAsia" w:hAnsiTheme="minorEastAsia"/>
                      <w:color w:val="000000"/>
                      <w:kern w:val="0"/>
                    </w:rPr>
                  </w:pPr>
                  <w:r>
                    <w:rPr>
                      <w:rFonts w:hint="eastAsia" w:cs="宋体" w:asciiTheme="minorEastAsia" w:hAnsiTheme="minorEastAsia"/>
                      <w:color w:val="000000"/>
                      <w:kern w:val="0"/>
                    </w:rPr>
                    <w:t>达标</w:t>
                  </w:r>
                </w:p>
              </w:tc>
            </w:tr>
          </w:tbl>
          <w:p>
            <w:pPr>
              <w:pStyle w:val="160"/>
              <w:ind w:firstLine="480"/>
            </w:pPr>
          </w:p>
          <w:p>
            <w:pPr>
              <w:pStyle w:val="6"/>
              <w:keepNext w:val="0"/>
              <w:keepLines w:val="0"/>
              <w:rPr>
                <w:rFonts w:ascii="宋体" w:hAnsi="宋体"/>
              </w:rPr>
            </w:pPr>
            <w:r>
              <w:rPr>
                <w:rFonts w:hint="eastAsia" w:ascii="宋体" w:hAnsi="宋体"/>
              </w:rPr>
              <w:t>4.2.6 非正常工况</w:t>
            </w:r>
          </w:p>
          <w:p>
            <w:pPr>
              <w:pStyle w:val="160"/>
              <w:ind w:firstLine="480"/>
            </w:pPr>
            <w:r>
              <w:rPr>
                <w:rFonts w:hint="eastAsia"/>
              </w:rPr>
              <w:t>非正常工况排放是生产过程中开停车（工、炉）、设备检修、工艺设备运转异常等非正常工况下的污染物排放，以及污染物排放控制措施达不到应有效率等情况下的排放。本次评价非正常工况按各废气治理设施去除效率下降至0考虑。在非正常工况下，污染物有组织排放情况见</w:t>
            </w:r>
            <w:r>
              <w:fldChar w:fldCharType="begin"/>
            </w:r>
            <w:r>
              <w:rPr>
                <w:rFonts w:hint="eastAsia"/>
              </w:rPr>
              <w:instrText xml:space="preserve">REF _Ref82520472 \h</w:instrText>
            </w:r>
            <w:r>
              <w:fldChar w:fldCharType="separate"/>
            </w:r>
            <w:r>
              <w:rPr>
                <w:rFonts w:hint="eastAsia"/>
              </w:rPr>
              <w:t>表</w:t>
            </w:r>
            <w:r>
              <w:t>4.2</w:t>
            </w:r>
            <w:r>
              <w:noBreakHyphen/>
            </w:r>
            <w:r>
              <w:rPr>
                <w:rFonts w:hint="eastAsia"/>
              </w:rPr>
              <w:t>8</w:t>
            </w:r>
            <w:r>
              <w:fldChar w:fldCharType="end"/>
            </w:r>
            <w:r>
              <w:rPr>
                <w:rFonts w:hint="eastAsia"/>
              </w:rPr>
              <w:t>。</w:t>
            </w:r>
          </w:p>
          <w:p>
            <w:pPr>
              <w:pStyle w:val="164"/>
            </w:pPr>
            <w:bookmarkStart w:id="48" w:name="_Ref82520472"/>
            <w:r>
              <w:rPr>
                <w:rFonts w:hint="eastAsia"/>
              </w:rPr>
              <w:t>表</w:t>
            </w:r>
            <w:r>
              <w:fldChar w:fldCharType="begin"/>
            </w:r>
            <w:r>
              <w:rPr>
                <w:rFonts w:hint="eastAsia"/>
              </w:rPr>
              <w:instrText xml:space="preserve">STYLEREF 2 \s</w:instrText>
            </w:r>
            <w:r>
              <w:fldChar w:fldCharType="separate"/>
            </w:r>
            <w:r>
              <w:t>4.2</w:t>
            </w:r>
            <w:r>
              <w:fldChar w:fldCharType="end"/>
            </w:r>
            <w:r>
              <w:noBreakHyphen/>
            </w:r>
            <w:bookmarkEnd w:id="48"/>
            <w:r>
              <w:rPr>
                <w:rFonts w:hint="eastAsia"/>
              </w:rPr>
              <w:t>8  非正常工况废气排放情况</w:t>
            </w:r>
          </w:p>
          <w:tbl>
            <w:tblPr>
              <w:tblStyle w:val="88"/>
              <w:tblW w:w="8505" w:type="dxa"/>
              <w:jc w:val="center"/>
              <w:tblInd w:w="0" w:type="dxa"/>
              <w:tblLayout w:type="fixed"/>
              <w:tblCellMar>
                <w:top w:w="0" w:type="dxa"/>
                <w:left w:w="108" w:type="dxa"/>
                <w:bottom w:w="0" w:type="dxa"/>
                <w:right w:w="108" w:type="dxa"/>
              </w:tblCellMar>
            </w:tblPr>
            <w:tblGrid>
              <w:gridCol w:w="587"/>
              <w:gridCol w:w="1160"/>
              <w:gridCol w:w="1185"/>
              <w:gridCol w:w="981"/>
              <w:gridCol w:w="1655"/>
              <w:gridCol w:w="1081"/>
              <w:gridCol w:w="680"/>
              <w:gridCol w:w="588"/>
              <w:gridCol w:w="588"/>
            </w:tblGrid>
            <w:tr>
              <w:tblPrEx>
                <w:tblLayout w:type="fixed"/>
                <w:tblCellMar>
                  <w:top w:w="0" w:type="dxa"/>
                  <w:left w:w="108" w:type="dxa"/>
                  <w:bottom w:w="0" w:type="dxa"/>
                  <w:right w:w="108" w:type="dxa"/>
                </w:tblCellMar>
              </w:tblPrEx>
              <w:trPr>
                <w:trHeight w:val="585" w:hRule="atLeast"/>
                <w:jc w:val="center"/>
              </w:trPr>
              <w:tc>
                <w:tcPr>
                  <w:tcW w:w="587" w:type="dxa"/>
                  <w:tcBorders>
                    <w:top w:val="single" w:color="auto" w:sz="8" w:space="0"/>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序号</w:t>
                  </w:r>
                </w:p>
              </w:tc>
              <w:tc>
                <w:tcPr>
                  <w:tcW w:w="1160" w:type="dxa"/>
                  <w:tcBorders>
                    <w:top w:val="single" w:color="auto" w:sz="8" w:space="0"/>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污染源</w:t>
                  </w:r>
                </w:p>
              </w:tc>
              <w:tc>
                <w:tcPr>
                  <w:tcW w:w="1185" w:type="dxa"/>
                  <w:tcBorders>
                    <w:top w:val="single" w:color="auto" w:sz="8" w:space="0"/>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污染物</w:t>
                  </w:r>
                </w:p>
              </w:tc>
              <w:tc>
                <w:tcPr>
                  <w:tcW w:w="981" w:type="dxa"/>
                  <w:tcBorders>
                    <w:top w:val="single" w:color="auto" w:sz="8" w:space="0"/>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废气量（m</w:t>
                  </w:r>
                  <w:r>
                    <w:rPr>
                      <w:rFonts w:hint="eastAsia" w:asciiTheme="minorEastAsia" w:hAnsiTheme="minorEastAsia" w:eastAsiaTheme="minorEastAsia"/>
                      <w:vertAlign w:val="superscript"/>
                    </w:rPr>
                    <w:t>3</w:t>
                  </w:r>
                  <w:r>
                    <w:rPr>
                      <w:rFonts w:hint="eastAsia" w:asciiTheme="minorEastAsia" w:hAnsiTheme="minorEastAsia" w:eastAsiaTheme="minorEastAsia"/>
                    </w:rPr>
                    <w:t>/h）</w:t>
                  </w:r>
                </w:p>
              </w:tc>
              <w:tc>
                <w:tcPr>
                  <w:tcW w:w="1655" w:type="dxa"/>
                  <w:tcBorders>
                    <w:top w:val="single" w:color="auto" w:sz="8" w:space="0"/>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排放速率（</w:t>
                  </w:r>
                  <w:r>
                    <w:rPr>
                      <w:rFonts w:asciiTheme="minorEastAsia" w:hAnsiTheme="minorEastAsia" w:eastAsiaTheme="minorEastAsia"/>
                    </w:rPr>
                    <w:t>kg/h</w:t>
                  </w:r>
                  <w:r>
                    <w:rPr>
                      <w:rFonts w:hint="eastAsia" w:asciiTheme="minorEastAsia" w:hAnsiTheme="minorEastAsia" w:eastAsiaTheme="minorEastAsia"/>
                    </w:rPr>
                    <w:t>）</w:t>
                  </w:r>
                </w:p>
              </w:tc>
              <w:tc>
                <w:tcPr>
                  <w:tcW w:w="1081" w:type="dxa"/>
                  <w:tcBorders>
                    <w:top w:val="single" w:color="auto" w:sz="8" w:space="0"/>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排放浓度（</w:t>
                  </w:r>
                  <w:r>
                    <w:rPr>
                      <w:rFonts w:asciiTheme="minorEastAsia" w:hAnsiTheme="minorEastAsia" w:eastAsiaTheme="minorEastAsia"/>
                    </w:rPr>
                    <w:t>mg/m</w:t>
                  </w:r>
                  <w:r>
                    <w:rPr>
                      <w:rFonts w:asciiTheme="minorEastAsia" w:hAnsiTheme="minorEastAsia" w:eastAsiaTheme="minorEastAsia"/>
                      <w:vertAlign w:val="superscript"/>
                    </w:rPr>
                    <w:t>3</w:t>
                  </w:r>
                  <w:r>
                    <w:rPr>
                      <w:rFonts w:hint="eastAsia" w:asciiTheme="minorEastAsia" w:hAnsiTheme="minorEastAsia" w:eastAsiaTheme="minorEastAsia"/>
                    </w:rPr>
                    <w:t>）</w:t>
                  </w:r>
                </w:p>
              </w:tc>
              <w:tc>
                <w:tcPr>
                  <w:tcW w:w="680" w:type="dxa"/>
                  <w:tcBorders>
                    <w:top w:val="single" w:color="auto" w:sz="8" w:space="0"/>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单次持续时间（</w:t>
                  </w:r>
                  <w:r>
                    <w:rPr>
                      <w:rFonts w:asciiTheme="minorEastAsia" w:hAnsiTheme="minorEastAsia" w:eastAsiaTheme="minorEastAsia"/>
                    </w:rPr>
                    <w:t>h</w:t>
                  </w:r>
                  <w:r>
                    <w:rPr>
                      <w:rFonts w:hint="eastAsia" w:asciiTheme="minorEastAsia" w:hAnsiTheme="minorEastAsia" w:eastAsiaTheme="minorEastAsia"/>
                    </w:rPr>
                    <w:t>）</w:t>
                  </w:r>
                </w:p>
              </w:tc>
              <w:tc>
                <w:tcPr>
                  <w:tcW w:w="588" w:type="dxa"/>
                  <w:tcBorders>
                    <w:top w:val="single" w:color="auto" w:sz="8" w:space="0"/>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年发生频次（次/a）</w:t>
                  </w:r>
                </w:p>
              </w:tc>
              <w:tc>
                <w:tcPr>
                  <w:tcW w:w="588" w:type="dxa"/>
                  <w:tcBorders>
                    <w:top w:val="single" w:color="auto" w:sz="8" w:space="0"/>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应对措施</w:t>
                  </w:r>
                </w:p>
              </w:tc>
            </w:tr>
            <w:tr>
              <w:tblPrEx>
                <w:tblLayout w:type="fixed"/>
                <w:tblCellMar>
                  <w:top w:w="0" w:type="dxa"/>
                  <w:left w:w="108" w:type="dxa"/>
                  <w:bottom w:w="0" w:type="dxa"/>
                  <w:right w:w="108" w:type="dxa"/>
                </w:tblCellMar>
              </w:tblPrEx>
              <w:trPr>
                <w:trHeight w:val="270" w:hRule="atLeast"/>
                <w:jc w:val="center"/>
              </w:trPr>
              <w:tc>
                <w:tcPr>
                  <w:tcW w:w="587"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1</w:t>
                  </w:r>
                </w:p>
              </w:tc>
              <w:tc>
                <w:tcPr>
                  <w:tcW w:w="1160" w:type="dxa"/>
                  <w:vMerge w:val="restart"/>
                  <w:tcBorders>
                    <w:top w:val="nil"/>
                    <w:left w:val="single" w:color="auto" w:sz="4" w:space="0"/>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1#线</w:t>
                  </w:r>
                  <w:r>
                    <w:rPr>
                      <w:rFonts w:asciiTheme="minorEastAsia" w:hAnsiTheme="minorEastAsia" w:eastAsiaTheme="minorEastAsia"/>
                    </w:rPr>
                    <w:t>DA001</w:t>
                  </w: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981"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6.55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81.86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restart"/>
                  <w:tcBorders>
                    <w:top w:val="nil"/>
                    <w:left w:val="single" w:color="auto" w:sz="4" w:space="0"/>
                    <w:bottom w:val="single" w:color="000000" w:sz="8"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停止事故生产线生产，立即检修</w:t>
                  </w: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总</w:t>
                  </w:r>
                  <w:r>
                    <w:rPr>
                      <w:rFonts w:asciiTheme="minorEastAsia" w:hAnsiTheme="minorEastAsia" w:eastAsiaTheme="minorEastAsia"/>
                    </w:rPr>
                    <w:t>VOCs</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5.16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64.45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非甲烷总烃</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5.16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64.45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甲苯与二甲苯合计</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0.64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7.97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苯系物</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0.64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7.97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2</w:t>
                  </w:r>
                </w:p>
              </w:tc>
              <w:tc>
                <w:tcPr>
                  <w:tcW w:w="1160" w:type="dxa"/>
                  <w:vMerge w:val="restart"/>
                  <w:tcBorders>
                    <w:top w:val="nil"/>
                    <w:left w:val="single" w:color="auto" w:sz="4" w:space="0"/>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2#线</w:t>
                  </w:r>
                  <w:r>
                    <w:rPr>
                      <w:rFonts w:asciiTheme="minorEastAsia" w:hAnsiTheme="minorEastAsia" w:eastAsiaTheme="minorEastAsia"/>
                    </w:rPr>
                    <w:t>DA002</w:t>
                  </w: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981"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6.18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51.47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总</w:t>
                  </w:r>
                  <w:r>
                    <w:rPr>
                      <w:rFonts w:asciiTheme="minorEastAsia" w:hAnsiTheme="minorEastAsia" w:eastAsiaTheme="minorEastAsia"/>
                    </w:rPr>
                    <w:t>VOCs</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3.33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27.76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非甲烷总烃</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3.33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27.76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甲苯与二甲苯合计</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0.43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3.62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苯系物</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0.43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3.62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3</w:t>
                  </w:r>
                </w:p>
              </w:tc>
              <w:tc>
                <w:tcPr>
                  <w:tcW w:w="1160" w:type="dxa"/>
                  <w:vMerge w:val="restart"/>
                  <w:tcBorders>
                    <w:top w:val="nil"/>
                    <w:left w:val="single" w:color="auto" w:sz="4" w:space="0"/>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3#线</w:t>
                  </w:r>
                  <w:r>
                    <w:rPr>
                      <w:rFonts w:asciiTheme="minorEastAsia" w:hAnsiTheme="minorEastAsia" w:eastAsiaTheme="minorEastAsia"/>
                    </w:rPr>
                    <w:t>DA00</w:t>
                  </w:r>
                  <w:r>
                    <w:rPr>
                      <w:rFonts w:hint="eastAsia" w:asciiTheme="minorEastAsia" w:hAnsiTheme="minorEastAsia" w:eastAsiaTheme="minorEastAsia"/>
                    </w:rPr>
                    <w:t>7</w:t>
                  </w: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981"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4.24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70.71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总</w:t>
                  </w:r>
                  <w:r>
                    <w:rPr>
                      <w:rFonts w:asciiTheme="minorEastAsia" w:hAnsiTheme="minorEastAsia" w:eastAsiaTheme="minorEastAsia"/>
                    </w:rPr>
                    <w:t>VOCs</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2.12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35.36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非甲烷总烃</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2.12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35.36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4</w:t>
                  </w:r>
                </w:p>
              </w:tc>
              <w:tc>
                <w:tcPr>
                  <w:tcW w:w="1160" w:type="dxa"/>
                  <w:vMerge w:val="restart"/>
                  <w:tcBorders>
                    <w:top w:val="nil"/>
                    <w:left w:val="single" w:color="auto" w:sz="4" w:space="0"/>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4#线</w:t>
                  </w:r>
                  <w:r>
                    <w:rPr>
                      <w:rFonts w:asciiTheme="minorEastAsia" w:hAnsiTheme="minorEastAsia" w:eastAsiaTheme="minorEastAsia"/>
                    </w:rPr>
                    <w:t>DA00</w:t>
                  </w:r>
                  <w:r>
                    <w:rPr>
                      <w:rFonts w:hint="eastAsia" w:asciiTheme="minorEastAsia" w:hAnsiTheme="minorEastAsia" w:eastAsiaTheme="minorEastAsia"/>
                    </w:rPr>
                    <w:t>8</w:t>
                  </w: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981"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总</w:t>
                  </w:r>
                  <w:r>
                    <w:rPr>
                      <w:rFonts w:asciiTheme="minorEastAsia" w:hAnsiTheme="minorEastAsia" w:eastAsiaTheme="minorEastAsia"/>
                    </w:rPr>
                    <w:t>VOCs</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0.00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70" w:hRule="atLeast"/>
                <w:jc w:val="center"/>
              </w:trPr>
              <w:tc>
                <w:tcPr>
                  <w:tcW w:w="587"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sz w:val="14"/>
                      <w:szCs w:val="14"/>
                    </w:rPr>
                  </w:pPr>
                </w:p>
              </w:tc>
              <w:tc>
                <w:tcPr>
                  <w:tcW w:w="1160"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185" w:type="dxa"/>
                  <w:tcBorders>
                    <w:top w:val="nil"/>
                    <w:left w:val="nil"/>
                    <w:bottom w:val="single" w:color="auto" w:sz="4"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非甲烷总烃</w:t>
                  </w:r>
                </w:p>
              </w:tc>
              <w:tc>
                <w:tcPr>
                  <w:tcW w:w="981" w:type="dxa"/>
                  <w:vMerge w:val="continue"/>
                  <w:tcBorders>
                    <w:top w:val="nil"/>
                    <w:left w:val="single" w:color="auto" w:sz="4" w:space="0"/>
                    <w:bottom w:val="single" w:color="auto" w:sz="4" w:space="0"/>
                    <w:right w:val="single" w:color="auto" w:sz="4" w:space="0"/>
                  </w:tcBorders>
                  <w:vAlign w:val="center"/>
                </w:tcPr>
                <w:p>
                  <w:pPr>
                    <w:pStyle w:val="164"/>
                    <w:rPr>
                      <w:rFonts w:asciiTheme="minorEastAsia" w:hAnsiTheme="minorEastAsia" w:eastAsiaTheme="minorEastAsia"/>
                    </w:rPr>
                  </w:pPr>
                </w:p>
              </w:tc>
              <w:tc>
                <w:tcPr>
                  <w:tcW w:w="1655" w:type="dxa"/>
                  <w:tcBorders>
                    <w:top w:val="nil"/>
                    <w:left w:val="nil"/>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3.03 </w:t>
                  </w:r>
                </w:p>
              </w:tc>
              <w:tc>
                <w:tcPr>
                  <w:tcW w:w="1081"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37.88 </w:t>
                  </w:r>
                </w:p>
              </w:tc>
              <w:tc>
                <w:tcPr>
                  <w:tcW w:w="680"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4"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r>
              <w:tblPrEx>
                <w:tblLayout w:type="fixed"/>
                <w:tblCellMar>
                  <w:top w:w="0" w:type="dxa"/>
                  <w:left w:w="108" w:type="dxa"/>
                  <w:bottom w:w="0" w:type="dxa"/>
                  <w:right w:w="108" w:type="dxa"/>
                </w:tblCellMar>
              </w:tblPrEx>
              <w:trPr>
                <w:trHeight w:val="285" w:hRule="atLeast"/>
                <w:jc w:val="center"/>
              </w:trPr>
              <w:tc>
                <w:tcPr>
                  <w:tcW w:w="587" w:type="dxa"/>
                  <w:tcBorders>
                    <w:top w:val="nil"/>
                    <w:left w:val="single" w:color="auto" w:sz="4" w:space="0"/>
                    <w:bottom w:val="single" w:color="auto" w:sz="8" w:space="0"/>
                    <w:right w:val="single" w:color="auto" w:sz="4" w:space="0"/>
                  </w:tcBorders>
                  <w:shd w:val="clear" w:color="auto" w:fill="auto"/>
                  <w:noWrap/>
                  <w:vAlign w:val="center"/>
                </w:tcPr>
                <w:p>
                  <w:pPr>
                    <w:pStyle w:val="164"/>
                    <w:rPr>
                      <w:rFonts w:asciiTheme="minorEastAsia" w:hAnsiTheme="minorEastAsia" w:eastAsiaTheme="minorEastAsia"/>
                      <w:sz w:val="14"/>
                      <w:szCs w:val="14"/>
                    </w:rPr>
                  </w:pPr>
                  <w:r>
                    <w:rPr>
                      <w:rFonts w:asciiTheme="minorEastAsia" w:hAnsiTheme="minorEastAsia" w:eastAsiaTheme="minorEastAsia"/>
                    </w:rPr>
                    <w:t>5</w:t>
                  </w:r>
                </w:p>
              </w:tc>
              <w:tc>
                <w:tcPr>
                  <w:tcW w:w="1160" w:type="dxa"/>
                  <w:tcBorders>
                    <w:top w:val="nil"/>
                    <w:left w:val="nil"/>
                    <w:bottom w:val="single" w:color="auto" w:sz="8" w:space="0"/>
                    <w:right w:val="single" w:color="auto" w:sz="4" w:space="0"/>
                  </w:tcBorders>
                  <w:shd w:val="clear" w:color="auto" w:fill="auto"/>
                  <w:vAlign w:val="center"/>
                </w:tcPr>
                <w:p>
                  <w:pPr>
                    <w:pStyle w:val="164"/>
                    <w:rPr>
                      <w:rFonts w:asciiTheme="minorEastAsia" w:hAnsiTheme="minorEastAsia" w:eastAsiaTheme="minorEastAsia"/>
                    </w:rPr>
                  </w:pPr>
                  <w:r>
                    <w:rPr>
                      <w:rFonts w:asciiTheme="minorEastAsia" w:hAnsiTheme="minorEastAsia" w:eastAsiaTheme="minorEastAsia"/>
                    </w:rPr>
                    <w:t>DA00</w:t>
                  </w:r>
                  <w:r>
                    <w:rPr>
                      <w:rFonts w:hint="eastAsia" w:asciiTheme="minorEastAsia" w:hAnsiTheme="minorEastAsia" w:eastAsiaTheme="minorEastAsia"/>
                    </w:rPr>
                    <w:t>9</w:t>
                  </w:r>
                </w:p>
              </w:tc>
              <w:tc>
                <w:tcPr>
                  <w:tcW w:w="1185" w:type="dxa"/>
                  <w:tcBorders>
                    <w:top w:val="nil"/>
                    <w:left w:val="nil"/>
                    <w:bottom w:val="single" w:color="auto" w:sz="8" w:space="0"/>
                    <w:right w:val="single" w:color="auto" w:sz="4" w:space="0"/>
                  </w:tcBorders>
                  <w:shd w:val="clear" w:color="auto" w:fill="auto"/>
                  <w:noWrap/>
                  <w:vAlign w:val="center"/>
                </w:tcPr>
                <w:p>
                  <w:pPr>
                    <w:pStyle w:val="164"/>
                    <w:rPr>
                      <w:rFonts w:asciiTheme="minorEastAsia" w:hAnsiTheme="minorEastAsia" w:eastAsiaTheme="minorEastAsia"/>
                    </w:rPr>
                  </w:pPr>
                  <w:r>
                    <w:rPr>
                      <w:rFonts w:hint="eastAsia" w:asciiTheme="minorEastAsia" w:hAnsiTheme="minorEastAsia" w:eastAsiaTheme="minorEastAsia"/>
                    </w:rPr>
                    <w:t>颗粒物</w:t>
                  </w:r>
                </w:p>
              </w:tc>
              <w:tc>
                <w:tcPr>
                  <w:tcW w:w="981" w:type="dxa"/>
                  <w:tcBorders>
                    <w:top w:val="nil"/>
                    <w:left w:val="nil"/>
                    <w:bottom w:val="single" w:color="auto" w:sz="8" w:space="0"/>
                    <w:right w:val="single" w:color="auto" w:sz="4" w:space="0"/>
                  </w:tcBorders>
                  <w:shd w:val="clear" w:color="auto" w:fill="auto"/>
                  <w:noWrap/>
                  <w:vAlign w:val="center"/>
                </w:tcPr>
                <w:p>
                  <w:pPr>
                    <w:pStyle w:val="164"/>
                    <w:rPr>
                      <w:rFonts w:asciiTheme="minorEastAsia" w:hAnsiTheme="minorEastAsia" w:eastAsiaTheme="minorEastAsia"/>
                    </w:rPr>
                  </w:pPr>
                  <w:r>
                    <w:rPr>
                      <w:rFonts w:asciiTheme="minorEastAsia" w:hAnsiTheme="minorEastAsia" w:eastAsiaTheme="minorEastAsia"/>
                    </w:rPr>
                    <w:t>15</w:t>
                  </w:r>
                </w:p>
              </w:tc>
              <w:tc>
                <w:tcPr>
                  <w:tcW w:w="1655" w:type="dxa"/>
                  <w:tcBorders>
                    <w:top w:val="nil"/>
                    <w:left w:val="nil"/>
                    <w:bottom w:val="single" w:color="auto" w:sz="8" w:space="0"/>
                    <w:right w:val="single" w:color="auto" w:sz="4" w:space="0"/>
                  </w:tcBorders>
                  <w:shd w:val="clear" w:color="auto" w:fill="auto"/>
                  <w:noWrap/>
                  <w:vAlign w:val="center"/>
                </w:tcPr>
                <w:p>
                  <w:pPr>
                    <w:jc w:val="center"/>
                    <w:rPr>
                      <w:rFonts w:ascii="宋体" w:hAnsi="宋体" w:eastAsia="宋体" w:cs="宋体"/>
                      <w:color w:val="000000"/>
                      <w:sz w:val="22"/>
                      <w:szCs w:val="22"/>
                    </w:rPr>
                  </w:pPr>
                  <w:r>
                    <w:rPr>
                      <w:rFonts w:hint="eastAsia"/>
                      <w:color w:val="000000"/>
                      <w:sz w:val="22"/>
                      <w:szCs w:val="22"/>
                    </w:rPr>
                    <w:t xml:space="preserve">0.85 </w:t>
                  </w:r>
                </w:p>
              </w:tc>
              <w:tc>
                <w:tcPr>
                  <w:tcW w:w="1081" w:type="dxa"/>
                  <w:tcBorders>
                    <w:top w:val="nil"/>
                    <w:left w:val="nil"/>
                    <w:bottom w:val="single" w:color="auto" w:sz="8" w:space="0"/>
                    <w:right w:val="single" w:color="auto" w:sz="4" w:space="0"/>
                  </w:tcBorders>
                  <w:shd w:val="clear" w:color="auto" w:fill="auto"/>
                  <w:vAlign w:val="center"/>
                </w:tcPr>
                <w:p>
                  <w:pPr>
                    <w:jc w:val="center"/>
                    <w:rPr>
                      <w:rFonts w:ascii="宋体" w:hAnsi="宋体" w:eastAsia="宋体" w:cs="宋体"/>
                      <w:color w:val="000000"/>
                      <w:sz w:val="22"/>
                      <w:szCs w:val="22"/>
                    </w:rPr>
                  </w:pPr>
                  <w:r>
                    <w:rPr>
                      <w:rFonts w:hint="eastAsia"/>
                      <w:color w:val="000000"/>
                      <w:sz w:val="22"/>
                      <w:szCs w:val="22"/>
                    </w:rPr>
                    <w:t xml:space="preserve">10.63 </w:t>
                  </w:r>
                </w:p>
              </w:tc>
              <w:tc>
                <w:tcPr>
                  <w:tcW w:w="680" w:type="dxa"/>
                  <w:tcBorders>
                    <w:top w:val="nil"/>
                    <w:left w:val="nil"/>
                    <w:bottom w:val="single" w:color="auto" w:sz="8"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tcBorders>
                    <w:top w:val="nil"/>
                    <w:left w:val="nil"/>
                    <w:bottom w:val="single" w:color="auto" w:sz="8" w:space="0"/>
                    <w:right w:val="single" w:color="auto" w:sz="4" w:space="0"/>
                  </w:tcBorders>
                  <w:shd w:val="clear" w:color="auto" w:fill="auto"/>
                  <w:vAlign w:val="center"/>
                </w:tcPr>
                <w:p>
                  <w:pPr>
                    <w:pStyle w:val="164"/>
                    <w:rPr>
                      <w:rFonts w:asciiTheme="minorEastAsia" w:hAnsiTheme="minorEastAsia" w:eastAsiaTheme="minorEastAsia"/>
                    </w:rPr>
                  </w:pPr>
                  <w:r>
                    <w:rPr>
                      <w:rFonts w:hint="eastAsia" w:asciiTheme="minorEastAsia" w:hAnsiTheme="minorEastAsia" w:eastAsiaTheme="minorEastAsia"/>
                    </w:rPr>
                    <w:t>1</w:t>
                  </w:r>
                </w:p>
              </w:tc>
              <w:tc>
                <w:tcPr>
                  <w:tcW w:w="588" w:type="dxa"/>
                  <w:vMerge w:val="continue"/>
                  <w:tcBorders>
                    <w:top w:val="nil"/>
                    <w:left w:val="single" w:color="auto" w:sz="4" w:space="0"/>
                    <w:bottom w:val="single" w:color="000000" w:sz="8" w:space="0"/>
                    <w:right w:val="single" w:color="auto" w:sz="4" w:space="0"/>
                  </w:tcBorders>
                  <w:vAlign w:val="center"/>
                </w:tcPr>
                <w:p>
                  <w:pPr>
                    <w:pStyle w:val="164"/>
                    <w:rPr>
                      <w:rFonts w:asciiTheme="minorEastAsia" w:hAnsiTheme="minorEastAsia" w:eastAsiaTheme="minorEastAsia"/>
                    </w:rPr>
                  </w:pPr>
                </w:p>
              </w:tc>
            </w:tr>
          </w:tbl>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由上表可以看出，非正常工况排放时，DA001、DA002、DA007、DA008及DA009排气筒各污染因子排放浓度、排放速率均增大，企业应加强环保设施管理、维护，确保环保设施正常运行，防止非正常工况废气的排放。</w:t>
            </w:r>
          </w:p>
          <w:p>
            <w:pPr>
              <w:pStyle w:val="6"/>
            </w:pPr>
            <w:r>
              <w:rPr>
                <w:rFonts w:hint="eastAsia" w:ascii="宋体" w:hAnsi="宋体"/>
              </w:rPr>
              <w:t xml:space="preserve">4.2.7  </w:t>
            </w:r>
            <w:r>
              <w:rPr>
                <w:rFonts w:hint="eastAsia"/>
              </w:rPr>
              <w:t>废气污染防治措施</w:t>
            </w:r>
          </w:p>
          <w:p>
            <w:pPr>
              <w:pStyle w:val="4075"/>
              <w:numPr>
                <w:ilvl w:val="0"/>
                <w:numId w:val="11"/>
              </w:numPr>
            </w:pPr>
            <w:r>
              <w:rPr>
                <w:rFonts w:hint="eastAsia"/>
              </w:rPr>
              <w:t>有组织废气污染防治措施</w:t>
            </w:r>
          </w:p>
          <w:p>
            <w:pPr>
              <w:pStyle w:val="4076"/>
              <w:numPr>
                <w:ilvl w:val="0"/>
                <w:numId w:val="12"/>
              </w:numPr>
            </w:pPr>
            <w:r>
              <w:t>木工粉尘</w:t>
            </w:r>
          </w:p>
          <w:p>
            <w:pPr>
              <w:pStyle w:val="160"/>
              <w:ind w:firstLine="480"/>
            </w:pPr>
            <w:r>
              <w:rPr>
                <w:rFonts w:hint="eastAsia"/>
              </w:rPr>
              <w:t>扩建项目</w:t>
            </w:r>
            <w:r>
              <w:rPr>
                <w:rFonts w:hint="eastAsia"/>
                <w:bCs/>
              </w:rPr>
              <w:t>木工粉尘经集气罩收集至1套</w:t>
            </w:r>
            <w:r>
              <w:rPr>
                <w:bCs/>
              </w:rPr>
              <w:t>中央除尘</w:t>
            </w:r>
            <w:r>
              <w:rPr>
                <w:rFonts w:hint="eastAsia"/>
                <w:bCs/>
              </w:rPr>
              <w:t>系统</w:t>
            </w:r>
            <w:r>
              <w:rPr>
                <w:bCs/>
              </w:rPr>
              <w:t>处理后</w:t>
            </w:r>
            <w:r>
              <w:rPr>
                <w:rFonts w:hint="eastAsia"/>
                <w:bCs/>
              </w:rPr>
              <w:t>，再</w:t>
            </w:r>
            <w:r>
              <w:rPr>
                <w:bCs/>
              </w:rPr>
              <w:t>经DA00</w:t>
            </w:r>
            <w:r>
              <w:rPr>
                <w:rFonts w:hint="eastAsia"/>
                <w:bCs/>
              </w:rPr>
              <w:t>9</w:t>
            </w:r>
            <w:r>
              <w:rPr>
                <w:bCs/>
              </w:rPr>
              <w:t>排气筒（</w:t>
            </w:r>
            <w:r>
              <w:rPr>
                <w:rFonts w:hint="eastAsia"/>
                <w:bCs/>
              </w:rPr>
              <w:t>15</w:t>
            </w:r>
            <w:r>
              <w:rPr>
                <w:bCs/>
              </w:rPr>
              <w:t>m）排放</w:t>
            </w:r>
            <w:r>
              <w:t>。</w:t>
            </w:r>
          </w:p>
          <w:p>
            <w:pPr>
              <w:pStyle w:val="4076"/>
              <w:numPr>
                <w:ilvl w:val="0"/>
                <w:numId w:val="12"/>
              </w:numPr>
            </w:pPr>
            <w:r>
              <w:rPr>
                <w:rFonts w:hint="eastAsia"/>
              </w:rPr>
              <w:t>涂装废气</w:t>
            </w:r>
          </w:p>
          <w:p>
            <w:pPr>
              <w:pStyle w:val="160"/>
              <w:ind w:firstLine="480"/>
              <w:rPr>
                <w:bCs/>
              </w:rPr>
            </w:pPr>
            <w:r>
              <w:rPr>
                <w:rFonts w:hint="eastAsia"/>
              </w:rPr>
              <w:t>扩建项目</w:t>
            </w:r>
            <w:r>
              <w:rPr>
                <w:rFonts w:hint="eastAsia"/>
                <w:bCs/>
              </w:rPr>
              <w:t>涂装废气采用“湿式过滤</w:t>
            </w:r>
            <w:r>
              <w:rPr>
                <w:bCs/>
              </w:rPr>
              <w:t>+干式过滤+活性炭吸附浓缩+解析（催化燃烧）</w:t>
            </w:r>
            <w:r>
              <w:rPr>
                <w:rFonts w:hint="eastAsia"/>
                <w:bCs/>
              </w:rPr>
              <w:t>”</w:t>
            </w:r>
            <w:r>
              <w:rPr>
                <w:bCs/>
              </w:rPr>
              <w:t>的处理工艺</w:t>
            </w:r>
            <w:r>
              <w:rPr>
                <w:rFonts w:hint="eastAsia"/>
                <w:bCs/>
              </w:rPr>
              <w:t>进行处理，共设置4套处理装置，再经</w:t>
            </w:r>
            <w:r>
              <w:rPr>
                <w:bCs/>
              </w:rPr>
              <w:t>DA00</w:t>
            </w:r>
            <w:r>
              <w:rPr>
                <w:rFonts w:hint="eastAsia"/>
                <w:bCs/>
              </w:rPr>
              <w:t>1、DA002、DA007、DA008、</w:t>
            </w:r>
            <w:r>
              <w:rPr>
                <w:bCs/>
              </w:rPr>
              <w:t>排气筒（</w:t>
            </w:r>
            <w:r>
              <w:rPr>
                <w:rFonts w:hint="eastAsia"/>
                <w:bCs/>
              </w:rPr>
              <w:t>1</w:t>
            </w:r>
            <w:r>
              <w:rPr>
                <w:bCs/>
              </w:rPr>
              <w:t>5m）排放</w:t>
            </w:r>
            <w:r>
              <w:rPr>
                <w:rFonts w:hint="eastAsia"/>
                <w:bCs/>
              </w:rPr>
              <w:t>。</w:t>
            </w:r>
          </w:p>
          <w:p>
            <w:pPr>
              <w:pStyle w:val="164"/>
            </w:pPr>
            <w:r>
              <w:rPr>
                <w:rFonts w:hint="eastAsia"/>
              </w:rPr>
              <w:t>表4.2-9  涂装废气处理设施</w:t>
            </w:r>
          </w:p>
          <w:tbl>
            <w:tblPr>
              <w:tblStyle w:val="89"/>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0" w:type="dxa"/>
                  <w:vAlign w:val="center"/>
                </w:tcPr>
                <w:p>
                  <w:pPr>
                    <w:pStyle w:val="163"/>
                  </w:pPr>
                  <w:r>
                    <w:rPr>
                      <w:rFonts w:hint="eastAsia"/>
                    </w:rPr>
                    <w:t>污染源</w:t>
                  </w:r>
                </w:p>
              </w:tc>
              <w:tc>
                <w:tcPr>
                  <w:tcW w:w="1701" w:type="dxa"/>
                  <w:vAlign w:val="center"/>
                </w:tcPr>
                <w:p>
                  <w:pPr>
                    <w:pStyle w:val="163"/>
                  </w:pPr>
                  <w:r>
                    <w:rPr>
                      <w:rFonts w:hint="eastAsia"/>
                    </w:rPr>
                    <w:t>处理能力</w:t>
                  </w:r>
                </w:p>
              </w:tc>
              <w:tc>
                <w:tcPr>
                  <w:tcW w:w="1701" w:type="dxa"/>
                  <w:vAlign w:val="center"/>
                </w:tcPr>
                <w:p>
                  <w:pPr>
                    <w:pStyle w:val="163"/>
                  </w:pPr>
                  <w:r>
                    <w:rPr>
                      <w:rFonts w:hint="eastAsia"/>
                    </w:rPr>
                    <w:t>处理工艺</w:t>
                  </w:r>
                </w:p>
              </w:tc>
              <w:tc>
                <w:tcPr>
                  <w:tcW w:w="1701" w:type="dxa"/>
                  <w:vAlign w:val="center"/>
                </w:tcPr>
                <w:p>
                  <w:pPr>
                    <w:pStyle w:val="163"/>
                  </w:pPr>
                  <w:r>
                    <w:rPr>
                      <w:rFonts w:hint="eastAsia"/>
                    </w:rPr>
                    <w:t>排气筒编号</w:t>
                  </w:r>
                </w:p>
              </w:tc>
              <w:tc>
                <w:tcPr>
                  <w:tcW w:w="1702" w:type="dxa"/>
                  <w:vAlign w:val="center"/>
                </w:tcPr>
                <w:p>
                  <w:pPr>
                    <w:pStyle w:val="163"/>
                  </w:pPr>
                  <w:r>
                    <w:rPr>
                      <w:rFonts w:hint="eastAsia"/>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0" w:type="dxa"/>
                  <w:vAlign w:val="center"/>
                </w:tcPr>
                <w:p>
                  <w:pPr>
                    <w:pStyle w:val="163"/>
                  </w:pPr>
                  <w:r>
                    <w:rPr>
                      <w:rFonts w:hint="eastAsia"/>
                    </w:rPr>
                    <w:t>1#线底漆</w:t>
                  </w:r>
                </w:p>
              </w:tc>
              <w:tc>
                <w:tcPr>
                  <w:tcW w:w="1701" w:type="dxa"/>
                  <w:vAlign w:val="center"/>
                </w:tcPr>
                <w:p>
                  <w:pPr>
                    <w:pStyle w:val="163"/>
                  </w:pPr>
                  <w:r>
                    <w:rPr>
                      <w:rFonts w:hint="eastAsia"/>
                    </w:rPr>
                    <w:t>80000</w:t>
                  </w:r>
                </w:p>
              </w:tc>
              <w:tc>
                <w:tcPr>
                  <w:tcW w:w="1701" w:type="dxa"/>
                  <w:vMerge w:val="restart"/>
                  <w:vAlign w:val="center"/>
                </w:tcPr>
                <w:p>
                  <w:pPr>
                    <w:pStyle w:val="163"/>
                  </w:pPr>
                  <w:r>
                    <w:rPr>
                      <w:rFonts w:hint="eastAsia"/>
                    </w:rPr>
                    <w:t>湿式过滤</w:t>
                  </w:r>
                  <w:r>
                    <w:t>+干式过滤+活性炭吸附浓缩+解析（催化燃烧）</w:t>
                  </w:r>
                </w:p>
              </w:tc>
              <w:tc>
                <w:tcPr>
                  <w:tcW w:w="1701" w:type="dxa"/>
                  <w:vAlign w:val="center"/>
                </w:tcPr>
                <w:p>
                  <w:pPr>
                    <w:pStyle w:val="163"/>
                  </w:pPr>
                  <w:r>
                    <w:rPr>
                      <w:rFonts w:hint="eastAsia"/>
                    </w:rPr>
                    <w:t>DA001</w:t>
                  </w:r>
                </w:p>
              </w:tc>
              <w:tc>
                <w:tcPr>
                  <w:tcW w:w="1702" w:type="dxa"/>
                  <w:vAlign w:val="center"/>
                </w:tcPr>
                <w:p>
                  <w:pPr>
                    <w:pStyle w:val="163"/>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0" w:type="dxa"/>
                  <w:vAlign w:val="center"/>
                </w:tcPr>
                <w:p>
                  <w:pPr>
                    <w:pStyle w:val="163"/>
                  </w:pPr>
                  <w:r>
                    <w:rPr>
                      <w:rFonts w:hint="eastAsia"/>
                    </w:rPr>
                    <w:t>2#线面漆</w:t>
                  </w:r>
                </w:p>
              </w:tc>
              <w:tc>
                <w:tcPr>
                  <w:tcW w:w="1701" w:type="dxa"/>
                  <w:vMerge w:val="restart"/>
                  <w:vAlign w:val="center"/>
                </w:tcPr>
                <w:p>
                  <w:pPr>
                    <w:pStyle w:val="163"/>
                  </w:pPr>
                  <w:r>
                    <w:rPr>
                      <w:rFonts w:hint="eastAsia"/>
                    </w:rPr>
                    <w:t>120000</w:t>
                  </w:r>
                </w:p>
              </w:tc>
              <w:tc>
                <w:tcPr>
                  <w:tcW w:w="1701" w:type="dxa"/>
                  <w:vMerge w:val="continue"/>
                  <w:vAlign w:val="center"/>
                </w:tcPr>
                <w:p>
                  <w:pPr>
                    <w:pStyle w:val="163"/>
                  </w:pPr>
                </w:p>
              </w:tc>
              <w:tc>
                <w:tcPr>
                  <w:tcW w:w="1701" w:type="dxa"/>
                  <w:vMerge w:val="restart"/>
                  <w:vAlign w:val="center"/>
                </w:tcPr>
                <w:p>
                  <w:pPr>
                    <w:pStyle w:val="163"/>
                  </w:pPr>
                  <w:r>
                    <w:rPr>
                      <w:rFonts w:hint="eastAsia"/>
                    </w:rPr>
                    <w:t>DA002</w:t>
                  </w:r>
                </w:p>
              </w:tc>
              <w:tc>
                <w:tcPr>
                  <w:tcW w:w="1702" w:type="dxa"/>
                  <w:vMerge w:val="restart"/>
                  <w:vAlign w:val="center"/>
                </w:tcPr>
                <w:p>
                  <w:pPr>
                    <w:pStyle w:val="163"/>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0" w:type="dxa"/>
                  <w:vAlign w:val="center"/>
                </w:tcPr>
                <w:p>
                  <w:pPr>
                    <w:pStyle w:val="163"/>
                  </w:pPr>
                  <w:r>
                    <w:rPr>
                      <w:rFonts w:hint="eastAsia"/>
                    </w:rPr>
                    <w:t>UV线</w:t>
                  </w:r>
                </w:p>
              </w:tc>
              <w:tc>
                <w:tcPr>
                  <w:tcW w:w="1701" w:type="dxa"/>
                  <w:vMerge w:val="continue"/>
                  <w:vAlign w:val="center"/>
                </w:tcPr>
                <w:p>
                  <w:pPr>
                    <w:pStyle w:val="163"/>
                  </w:pPr>
                </w:p>
              </w:tc>
              <w:tc>
                <w:tcPr>
                  <w:tcW w:w="1701" w:type="dxa"/>
                  <w:vMerge w:val="continue"/>
                  <w:vAlign w:val="center"/>
                </w:tcPr>
                <w:p>
                  <w:pPr>
                    <w:pStyle w:val="163"/>
                  </w:pPr>
                </w:p>
              </w:tc>
              <w:tc>
                <w:tcPr>
                  <w:tcW w:w="1701" w:type="dxa"/>
                  <w:vMerge w:val="continue"/>
                  <w:vAlign w:val="center"/>
                </w:tcPr>
                <w:p>
                  <w:pPr>
                    <w:pStyle w:val="163"/>
                  </w:pPr>
                </w:p>
              </w:tc>
              <w:tc>
                <w:tcPr>
                  <w:tcW w:w="1702" w:type="dxa"/>
                  <w:vMerge w:val="continue"/>
                  <w:vAlign w:val="center"/>
                </w:tcPr>
                <w:p>
                  <w:pPr>
                    <w:pStyle w:val="1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0" w:type="dxa"/>
                  <w:vAlign w:val="center"/>
                </w:tcPr>
                <w:p>
                  <w:pPr>
                    <w:pStyle w:val="163"/>
                  </w:pPr>
                  <w:r>
                    <w:rPr>
                      <w:rFonts w:hint="eastAsia"/>
                    </w:rPr>
                    <w:t>3#线底漆</w:t>
                  </w:r>
                </w:p>
              </w:tc>
              <w:tc>
                <w:tcPr>
                  <w:tcW w:w="1701" w:type="dxa"/>
                  <w:vAlign w:val="center"/>
                </w:tcPr>
                <w:p>
                  <w:pPr>
                    <w:pStyle w:val="163"/>
                  </w:pPr>
                  <w:r>
                    <w:rPr>
                      <w:rFonts w:hint="eastAsia"/>
                    </w:rPr>
                    <w:t>60000</w:t>
                  </w:r>
                </w:p>
              </w:tc>
              <w:tc>
                <w:tcPr>
                  <w:tcW w:w="1701" w:type="dxa"/>
                  <w:vMerge w:val="restart"/>
                  <w:vAlign w:val="center"/>
                </w:tcPr>
                <w:p>
                  <w:pPr>
                    <w:pStyle w:val="163"/>
                  </w:pPr>
                  <w:r>
                    <w:rPr>
                      <w:rFonts w:hint="eastAsia"/>
                    </w:rPr>
                    <w:t>湿式过滤+干式过滤+活性炭吸附浓缩+解析（催化燃烧）</w:t>
                  </w:r>
                </w:p>
              </w:tc>
              <w:tc>
                <w:tcPr>
                  <w:tcW w:w="1701" w:type="dxa"/>
                  <w:vAlign w:val="center"/>
                </w:tcPr>
                <w:p>
                  <w:pPr>
                    <w:pStyle w:val="163"/>
                  </w:pPr>
                  <w:r>
                    <w:rPr>
                      <w:rFonts w:hint="eastAsia"/>
                    </w:rPr>
                    <w:t>DA007</w:t>
                  </w:r>
                </w:p>
              </w:tc>
              <w:tc>
                <w:tcPr>
                  <w:tcW w:w="1702" w:type="dxa"/>
                  <w:vAlign w:val="center"/>
                </w:tcPr>
                <w:p>
                  <w:pPr>
                    <w:pStyle w:val="163"/>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0" w:type="dxa"/>
                  <w:vAlign w:val="center"/>
                </w:tcPr>
                <w:p>
                  <w:pPr>
                    <w:pStyle w:val="163"/>
                  </w:pPr>
                  <w:r>
                    <w:rPr>
                      <w:rFonts w:hint="eastAsia"/>
                    </w:rPr>
                    <w:t>4#线面漆</w:t>
                  </w:r>
                </w:p>
              </w:tc>
              <w:tc>
                <w:tcPr>
                  <w:tcW w:w="1701" w:type="dxa"/>
                  <w:vAlign w:val="center"/>
                </w:tcPr>
                <w:p>
                  <w:pPr>
                    <w:pStyle w:val="163"/>
                  </w:pPr>
                  <w:r>
                    <w:rPr>
                      <w:rFonts w:hint="eastAsia"/>
                    </w:rPr>
                    <w:t>80000</w:t>
                  </w:r>
                </w:p>
              </w:tc>
              <w:tc>
                <w:tcPr>
                  <w:tcW w:w="1701" w:type="dxa"/>
                  <w:vMerge w:val="continue"/>
                  <w:vAlign w:val="center"/>
                </w:tcPr>
                <w:p>
                  <w:pPr>
                    <w:pStyle w:val="163"/>
                  </w:pPr>
                </w:p>
              </w:tc>
              <w:tc>
                <w:tcPr>
                  <w:tcW w:w="1701" w:type="dxa"/>
                  <w:vAlign w:val="center"/>
                </w:tcPr>
                <w:p>
                  <w:pPr>
                    <w:pStyle w:val="163"/>
                  </w:pPr>
                  <w:r>
                    <w:rPr>
                      <w:rFonts w:hint="eastAsia"/>
                    </w:rPr>
                    <w:t>DA008</w:t>
                  </w:r>
                </w:p>
              </w:tc>
              <w:tc>
                <w:tcPr>
                  <w:tcW w:w="1702" w:type="dxa"/>
                  <w:vAlign w:val="center"/>
                </w:tcPr>
                <w:p>
                  <w:pPr>
                    <w:pStyle w:val="163"/>
                  </w:pPr>
                  <w:r>
                    <w:rPr>
                      <w:rFonts w:hint="eastAsia"/>
                    </w:rPr>
                    <w:t>15</w:t>
                  </w:r>
                </w:p>
              </w:tc>
            </w:tr>
          </w:tbl>
          <w:p>
            <w:pPr>
              <w:jc w:val="center"/>
              <w:rPr>
                <w:rFonts w:ascii="宋体" w:hAnsi="宋体" w:cs="宋体"/>
              </w:rPr>
            </w:pPr>
            <w:r>
              <w:rPr>
                <w:rFonts w:ascii="宋体" w:hAnsi="宋体"/>
              </w:rPr>
              <w:object>
                <v:shape id="_x0000_i1032" o:spt="75" type="#_x0000_t75" style="height:103.5pt;width:424.65pt;" o:ole="t" filled="f" o:preferrelative="t" stroked="f" coordsize="21600,21600">
                  <v:path/>
                  <v:fill on="f" focussize="0,0"/>
                  <v:stroke on="f" joinstyle="miter"/>
                  <v:imagedata r:id="rId32" o:title=""/>
                  <o:lock v:ext="edit" aspectratio="t"/>
                  <w10:wrap type="none"/>
                  <w10:anchorlock/>
                </v:shape>
                <o:OLEObject Type="Embed" ProgID="AutoCAD.Drawing.19" ShapeID="_x0000_i1032" DrawAspect="Content" ObjectID="_1468075732" r:id="rId31">
                  <o:LockedField>false</o:LockedField>
                </o:OLEObject>
              </w:object>
            </w:r>
            <w:r>
              <w:rPr>
                <w:rFonts w:hint="eastAsia" w:ascii="宋体" w:hAnsi="宋体" w:cs="宋体"/>
              </w:rPr>
              <w:t>图4.2-1  涂装废气及UV涂装废气处理工艺流程图</w:t>
            </w:r>
          </w:p>
          <w:p>
            <w:pPr>
              <w:jc w:val="center"/>
              <w:rPr>
                <w:rFonts w:ascii="宋体" w:hAnsi="宋体"/>
              </w:rPr>
            </w:pPr>
          </w:p>
          <w:p>
            <w:pPr>
              <w:pStyle w:val="4076"/>
              <w:numPr>
                <w:ilvl w:val="0"/>
                <w:numId w:val="12"/>
              </w:numPr>
            </w:pPr>
            <w:r>
              <w:rPr>
                <w:rFonts w:hint="eastAsia"/>
              </w:rPr>
              <w:t>打磨、油磨废气</w:t>
            </w:r>
          </w:p>
          <w:p>
            <w:pPr>
              <w:pStyle w:val="160"/>
              <w:ind w:firstLine="480"/>
            </w:pPr>
            <w:r>
              <w:rPr>
                <w:rFonts w:hint="eastAsia"/>
              </w:rPr>
              <w:t>打磨、油磨工位设置于环保打磨房内，打磨房自带废气处理设施，处理工艺为侧吸收集后通过水喷淋后无组织排放。</w:t>
            </w:r>
          </w:p>
          <w:p>
            <w:pPr>
              <w:pStyle w:val="4076"/>
              <w:numPr>
                <w:ilvl w:val="0"/>
                <w:numId w:val="12"/>
              </w:numPr>
            </w:pPr>
            <w:r>
              <w:rPr>
                <w:rFonts w:hint="eastAsia"/>
              </w:rPr>
              <w:t>无组织废气污染防治措施</w:t>
            </w:r>
          </w:p>
          <w:p>
            <w:pPr>
              <w:pStyle w:val="160"/>
              <w:ind w:firstLine="480"/>
            </w:pPr>
            <w:r>
              <w:rPr>
                <w:rFonts w:hint="eastAsia"/>
              </w:rPr>
              <w:t>扩建项目封边废气、拼板废气在车间无组织</w:t>
            </w:r>
            <w:r>
              <w:t>排放</w:t>
            </w:r>
            <w:r>
              <w:rPr>
                <w:rFonts w:hint="eastAsia"/>
              </w:rPr>
              <w:t>。</w:t>
            </w:r>
          </w:p>
          <w:p>
            <w:pPr>
              <w:pStyle w:val="4077"/>
              <w:numPr>
                <w:ilvl w:val="0"/>
                <w:numId w:val="13"/>
              </w:numPr>
              <w:ind w:firstLineChars="0"/>
            </w:pPr>
            <w:r>
              <w:t>生产过程中，先启动环保措施设施再开启加工设备，停线先停止生产设备再关闭环保设</w:t>
            </w:r>
            <w:r>
              <w:rPr>
                <w:rFonts w:hint="eastAsia"/>
              </w:rPr>
              <w:t>施设备；</w:t>
            </w:r>
          </w:p>
          <w:p>
            <w:pPr>
              <w:pStyle w:val="4077"/>
              <w:ind w:firstLine="480"/>
            </w:pPr>
            <w:r>
              <w:t>经常检查设备工况，保证有组织废气收集效率，以尽量将无组织排放的废气量减小到最</w:t>
            </w:r>
            <w:r>
              <w:rPr>
                <w:rFonts w:hint="eastAsia"/>
              </w:rPr>
              <w:t>低限度；</w:t>
            </w:r>
          </w:p>
          <w:p>
            <w:pPr>
              <w:pStyle w:val="4077"/>
              <w:ind w:firstLine="480"/>
            </w:pPr>
            <w:r>
              <w:t>加强生产厂房通排风，保障生产厂房气流通畅，为员工配备必要的防护用品</w:t>
            </w:r>
            <w:r>
              <w:rPr>
                <w:rFonts w:hint="eastAsia"/>
              </w:rPr>
              <w:t>；</w:t>
            </w:r>
          </w:p>
          <w:p>
            <w:pPr>
              <w:pStyle w:val="4077"/>
              <w:ind w:firstLine="480"/>
            </w:pPr>
            <w:r>
              <w:t>加强对废气收集装置的清理维护，提高废气收集效率。</w:t>
            </w:r>
          </w:p>
          <w:p>
            <w:pPr>
              <w:pStyle w:val="6"/>
              <w:rPr>
                <w:color w:val="000000" w:themeColor="text1"/>
                <w14:textFill>
                  <w14:solidFill>
                    <w14:schemeClr w14:val="tx1"/>
                  </w14:solidFill>
                </w14:textFill>
              </w:rPr>
            </w:pPr>
            <w:r>
              <w:rPr>
                <w:rFonts w:hint="eastAsia" w:ascii="宋体" w:hAnsi="宋体"/>
              </w:rPr>
              <w:t xml:space="preserve">4.2.8 </w:t>
            </w:r>
            <w:r>
              <w:rPr>
                <w:rFonts w:hint="eastAsia"/>
                <w:color w:val="000000" w:themeColor="text1"/>
                <w14:textFill>
                  <w14:solidFill>
                    <w14:schemeClr w14:val="tx1"/>
                  </w14:solidFill>
                </w14:textFill>
              </w:rPr>
              <w:t>废气处理措施可行性分析</w:t>
            </w:r>
          </w:p>
          <w:p>
            <w:pPr>
              <w:pStyle w:val="4075"/>
              <w:numPr>
                <w:ilvl w:val="0"/>
                <w:numId w:val="14"/>
              </w:numPr>
            </w:pPr>
            <w:r>
              <w:rPr>
                <w:rFonts w:hint="eastAsia"/>
              </w:rPr>
              <w:t>木工粉尘治理措施</w:t>
            </w:r>
          </w:p>
          <w:p>
            <w:pPr>
              <w:pStyle w:val="160"/>
              <w:ind w:firstLine="480"/>
            </w:pPr>
            <w:r>
              <w:rPr>
                <w:rFonts w:hint="eastAsia"/>
              </w:rPr>
              <w:t>扩建项目木工粉尘采用中央除尘器治理措施，参考《排污许可证申请与核发技术规范家具制造工业》（</w:t>
            </w:r>
            <w:r>
              <w:t>HJ 1027-2019</w:t>
            </w:r>
            <w:r>
              <w:rPr>
                <w:rFonts w:hint="eastAsia"/>
              </w:rPr>
              <w:t>）</w:t>
            </w:r>
            <w:r>
              <w:t>，扩建项目所采用的中央除尘系统属于可行技术</w:t>
            </w:r>
            <w:r>
              <w:rPr>
                <w:rFonts w:hint="eastAsia"/>
              </w:rPr>
              <w:t>。根据《排放源统计调查产排污核算方法和系数手册》（</w:t>
            </w:r>
            <w:r>
              <w:t>211木质家具制造行业系数手册），</w:t>
            </w:r>
            <w:r>
              <w:rPr>
                <w:rFonts w:hint="eastAsia"/>
              </w:rPr>
              <w:t>“下料-机加工”</w:t>
            </w:r>
            <w:r>
              <w:t>（</w:t>
            </w:r>
            <w:r>
              <w:rPr>
                <w:rFonts w:hint="eastAsia"/>
              </w:rPr>
              <w:t>袋式除尘</w:t>
            </w:r>
            <w:r>
              <w:t>）对颗粒物处理效率取90%。</w:t>
            </w:r>
          </w:p>
          <w:p>
            <w:pPr>
              <w:pStyle w:val="28"/>
              <w:ind w:firstLine="480"/>
              <w:rPr>
                <w:rFonts w:asciiTheme="minorEastAsia" w:hAnsiTheme="minorEastAsia" w:eastAsiaTheme="minorEastAsia"/>
              </w:rPr>
            </w:pPr>
            <w:r>
              <w:rPr>
                <w:rFonts w:hint="eastAsia"/>
              </w:rPr>
              <w:t>布袋除尘器也称为过滤式除尘器，是一</w:t>
            </w:r>
            <w:r>
              <w:t>种干式高效除尘器，它是利用纤维编制物制作的袋</w:t>
            </w:r>
            <w:r>
              <w:rPr>
                <w:rFonts w:hint="eastAsia"/>
              </w:rPr>
              <w:t>式过滤元件来捕集含尘气体中固体颗粒物的除尘装置。其作用原理是尘粒在绕过滤布纤维时因惯性力作用与纤维碰撞而被拦截。滤布材料是布袋除尘器的关键，性能良好的滤布，除特定的致密度和透气性外，还应有良好的耐腐蚀性、耐热性及较高的机械强度。</w:t>
            </w:r>
            <w:r>
              <w:t>目前国内布袋除尘器在矿山、水泥、冶金钢铁、粮食、机</w:t>
            </w:r>
            <w:r>
              <w:rPr>
                <w:rFonts w:hint="eastAsia"/>
              </w:rPr>
              <w:t>械、制药及家具等行业已经得到广泛的应用，都取得了很好的除尘效果。另外布袋除尘器除尘效率高，附属设备少，投资省，且性能稳定可靠，运行管理简便，</w:t>
            </w:r>
            <w:r>
              <w:rPr>
                <w:rFonts w:hint="eastAsia" w:asciiTheme="minorEastAsia" w:hAnsiTheme="minorEastAsia" w:eastAsiaTheme="minorEastAsia"/>
              </w:rPr>
              <w:t>特别适宜捕集细微而干燥的粉尘，所收的干尘便于处理和回收利用。</w:t>
            </w:r>
          </w:p>
          <w:p>
            <w:pPr>
              <w:pStyle w:val="28"/>
              <w:ind w:firstLine="480"/>
              <w:rPr>
                <w:rFonts w:asciiTheme="minorEastAsia" w:hAnsiTheme="minorEastAsia" w:eastAsiaTheme="minorEastAsia"/>
              </w:rPr>
            </w:pPr>
            <w:r>
              <w:rPr>
                <w:rFonts w:hint="eastAsia" w:asciiTheme="minorEastAsia" w:hAnsiTheme="minorEastAsia" w:eastAsiaTheme="minorEastAsia"/>
              </w:rPr>
              <w:t>同时布袋除尘器也属于《排污许可证申请与核发技术规范家具制造工业》（</w:t>
            </w:r>
            <w:r>
              <w:rPr>
                <w:rFonts w:asciiTheme="minorEastAsia" w:hAnsiTheme="minorEastAsia" w:eastAsiaTheme="minorEastAsia"/>
              </w:rPr>
              <w:t>HJ 1027-2019</w:t>
            </w:r>
            <w:r>
              <w:rPr>
                <w:rFonts w:hint="eastAsia" w:asciiTheme="minorEastAsia" w:hAnsiTheme="minorEastAsia" w:eastAsiaTheme="minorEastAsia"/>
              </w:rPr>
              <w:t>）表6中推荐工艺。</w:t>
            </w:r>
          </w:p>
          <w:p>
            <w:pPr>
              <w:pStyle w:val="160"/>
              <w:ind w:firstLine="480"/>
              <w:rPr>
                <w:rFonts w:asciiTheme="minorEastAsia" w:hAnsiTheme="minorEastAsia" w:eastAsiaTheme="minorEastAsia"/>
              </w:rPr>
            </w:pPr>
            <w:r>
              <w:rPr>
                <w:rFonts w:hint="eastAsia" w:asciiTheme="minorEastAsia" w:hAnsiTheme="minorEastAsia" w:eastAsiaTheme="minorEastAsia"/>
              </w:rPr>
              <w:t>扩建项目木工粉尘经中央除尘器处理后由</w:t>
            </w:r>
            <w:r>
              <w:rPr>
                <w:rFonts w:asciiTheme="minorEastAsia" w:hAnsiTheme="minorEastAsia" w:eastAsiaTheme="minorEastAsia"/>
                <w:bCs/>
              </w:rPr>
              <w:t>DA00</w:t>
            </w:r>
            <w:r>
              <w:rPr>
                <w:rFonts w:hint="eastAsia" w:asciiTheme="minorEastAsia" w:hAnsiTheme="minorEastAsia" w:eastAsiaTheme="minorEastAsia"/>
                <w:bCs/>
              </w:rPr>
              <w:t>9</w:t>
            </w:r>
            <w:r>
              <w:rPr>
                <w:rFonts w:asciiTheme="minorEastAsia" w:hAnsiTheme="minorEastAsia" w:eastAsiaTheme="minorEastAsia"/>
              </w:rPr>
              <w:t>排气筒排放，</w:t>
            </w:r>
            <w:r>
              <w:rPr>
                <w:rFonts w:asciiTheme="minorEastAsia" w:hAnsiTheme="minorEastAsia" w:eastAsiaTheme="minorEastAsia"/>
                <w:bCs/>
              </w:rPr>
              <w:t>DA00</w:t>
            </w:r>
            <w:r>
              <w:rPr>
                <w:rFonts w:hint="eastAsia" w:asciiTheme="minorEastAsia" w:hAnsiTheme="minorEastAsia" w:eastAsiaTheme="minorEastAsia"/>
                <w:bCs/>
              </w:rPr>
              <w:t>9</w:t>
            </w:r>
            <w:r>
              <w:rPr>
                <w:rFonts w:asciiTheme="minorEastAsia" w:hAnsiTheme="minorEastAsia" w:eastAsiaTheme="minorEastAsia"/>
              </w:rPr>
              <w:t>排气筒粉尘排放速率、排放浓</w:t>
            </w:r>
            <w:r>
              <w:rPr>
                <w:rFonts w:hint="eastAsia" w:asciiTheme="minorEastAsia" w:hAnsiTheme="minorEastAsia" w:eastAsiaTheme="minorEastAsia"/>
              </w:rPr>
              <w:t>度均满足《家具制造业大气污染物排放标准》（</w:t>
            </w:r>
            <w:r>
              <w:rPr>
                <w:rFonts w:asciiTheme="minorEastAsia" w:hAnsiTheme="minorEastAsia" w:eastAsiaTheme="minorEastAsia"/>
              </w:rPr>
              <w:t>DB 50/757-2017）</w:t>
            </w:r>
            <w:r>
              <w:rPr>
                <w:rFonts w:hint="eastAsia" w:asciiTheme="minorEastAsia" w:hAnsiTheme="minorEastAsia" w:eastAsiaTheme="minorEastAsia"/>
              </w:rPr>
              <w:t>中表</w:t>
            </w:r>
            <w:r>
              <w:rPr>
                <w:rFonts w:asciiTheme="minorEastAsia" w:hAnsiTheme="minorEastAsia" w:eastAsiaTheme="minorEastAsia"/>
              </w:rPr>
              <w:t>2其他区域相关排放标准</w:t>
            </w:r>
            <w:r>
              <w:rPr>
                <w:rFonts w:hint="eastAsia" w:asciiTheme="minorEastAsia" w:hAnsiTheme="minorEastAsia" w:eastAsiaTheme="minorEastAsia"/>
              </w:rPr>
              <w:t>限值要求。</w:t>
            </w:r>
          </w:p>
          <w:p>
            <w:pPr>
              <w:pStyle w:val="4075"/>
              <w:numPr>
                <w:ilvl w:val="0"/>
                <w:numId w:val="14"/>
              </w:numPr>
              <w:rPr>
                <w:rFonts w:asciiTheme="minorEastAsia" w:hAnsiTheme="minorEastAsia" w:eastAsiaTheme="minorEastAsia"/>
              </w:rPr>
            </w:pPr>
            <w:r>
              <w:rPr>
                <w:rFonts w:hint="eastAsia" w:asciiTheme="minorEastAsia" w:hAnsiTheme="minorEastAsia" w:eastAsiaTheme="minorEastAsia"/>
              </w:rPr>
              <w:t>涂装废气</w:t>
            </w:r>
          </w:p>
          <w:p>
            <w:pPr>
              <w:pStyle w:val="4075"/>
              <w:rPr>
                <w:rFonts w:cs="Times New Roman" w:asciiTheme="minorEastAsia" w:hAnsiTheme="minorEastAsia" w:eastAsiaTheme="minorEastAsia"/>
              </w:rPr>
            </w:pPr>
            <w:r>
              <w:rPr>
                <w:rFonts w:hint="eastAsia" w:cs="Times New Roman" w:asciiTheme="minorEastAsia" w:hAnsiTheme="minorEastAsia" w:eastAsiaTheme="minorEastAsia"/>
              </w:rPr>
              <w:t>扩建项目涂装废气处理工艺为：“湿式过滤</w:t>
            </w:r>
            <w:r>
              <w:rPr>
                <w:rFonts w:cs="Times New Roman" w:asciiTheme="minorEastAsia" w:hAnsiTheme="minorEastAsia" w:eastAsiaTheme="minorEastAsia"/>
              </w:rPr>
              <w:t>+干式过滤+活性炭吸附浓缩+解析（催化燃烧）”，属于</w:t>
            </w:r>
            <w:r>
              <w:rPr>
                <w:rFonts w:hint="eastAsia" w:asciiTheme="minorEastAsia" w:hAnsiTheme="minorEastAsia" w:eastAsiaTheme="minorEastAsia"/>
              </w:rPr>
              <w:t>《排污许可证申请与核发技术规范家具制造工业》（</w:t>
            </w:r>
            <w:r>
              <w:rPr>
                <w:rFonts w:asciiTheme="minorEastAsia" w:hAnsiTheme="minorEastAsia" w:eastAsiaTheme="minorEastAsia"/>
              </w:rPr>
              <w:t>HJ 1027-2019</w:t>
            </w:r>
            <w:r>
              <w:rPr>
                <w:rFonts w:hint="eastAsia" w:asciiTheme="minorEastAsia" w:hAnsiTheme="minorEastAsia" w:eastAsiaTheme="minorEastAsia"/>
              </w:rPr>
              <w:t>）表6</w:t>
            </w:r>
            <w:r>
              <w:rPr>
                <w:rFonts w:cs="Times New Roman" w:asciiTheme="minorEastAsia" w:hAnsiTheme="minorEastAsia" w:eastAsiaTheme="minorEastAsia"/>
              </w:rPr>
              <w:t>推荐工艺的组合处理工艺，属于推荐治理工艺。</w:t>
            </w:r>
          </w:p>
          <w:p>
            <w:pPr>
              <w:pStyle w:val="4075"/>
              <w:numPr>
                <w:ilvl w:val="0"/>
                <w:numId w:val="14"/>
              </w:numPr>
              <w:rPr>
                <w:rFonts w:asciiTheme="minorEastAsia" w:hAnsiTheme="minorEastAsia" w:eastAsiaTheme="minorEastAsia"/>
              </w:rPr>
            </w:pPr>
            <w:r>
              <w:rPr>
                <w:rFonts w:asciiTheme="minorEastAsia" w:hAnsiTheme="minorEastAsia" w:eastAsiaTheme="minorEastAsia"/>
              </w:rPr>
              <w:t>无组织废气处理措施可行性分析</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根据《挥发性有机物无组织控制标准》（GB 37822-2019）、《关于印发重点行业挥发性有机物综合治理方案的通知》（环大气[2019]53号）以及“十三五”挥发性有机物防治工作方案中要求，在正常生产情况下，近距离厂界周围浓度主要是无组织排放影响，为控制无组织废气污染物的排放量，必须以清洁生产的指导思想，对物料的储存、转移和输送、工艺等生产全过程提出控制要求。</w:t>
            </w:r>
          </w:p>
          <w:p>
            <w:pPr>
              <w:pStyle w:val="4076"/>
              <w:numPr>
                <w:ilvl w:val="0"/>
                <w:numId w:val="15"/>
              </w:numPr>
              <w:rPr>
                <w:rFonts w:asciiTheme="minorEastAsia" w:hAnsiTheme="minorEastAsia" w:eastAsiaTheme="minorEastAsia" w:cstheme="minorEastAsia"/>
              </w:rPr>
            </w:pPr>
            <w:r>
              <w:rPr>
                <w:rFonts w:hint="eastAsia" w:asciiTheme="minorEastAsia" w:hAnsiTheme="minorEastAsia" w:eastAsiaTheme="minorEastAsia" w:cstheme="minorEastAsia"/>
              </w:rPr>
              <w:t>VOCs物料储存无组织排放控制要求</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扩建项目使用的白乳胶、底漆、面漆、稀释剂、固化剂采用密闭桶装，容器存放在原料仓库内，本次评价要求企业盛装VOCs物料的容器在非取用状态时应加盖、封口、保持密闭。原料库单独设置，利用完整的围护结构将污染物质、作业场所等与周围空间阻隔形成封闭区域，除人员、车辆、设备、物料进出时，应随时保持关闭状态。满足《挥发性有机物无组织控制标准》（GB37822-2019）VOCs物料储存无组织排放控制要求。</w:t>
            </w:r>
          </w:p>
          <w:p>
            <w:pPr>
              <w:pStyle w:val="4076"/>
              <w:numPr>
                <w:ilvl w:val="0"/>
                <w:numId w:val="15"/>
              </w:numPr>
              <w:rPr>
                <w:rFonts w:asciiTheme="minorEastAsia" w:hAnsiTheme="minorEastAsia" w:eastAsiaTheme="minorEastAsia" w:cstheme="minorEastAsia"/>
              </w:rPr>
            </w:pPr>
            <w:r>
              <w:rPr>
                <w:rFonts w:hint="eastAsia" w:asciiTheme="minorEastAsia" w:hAnsiTheme="minorEastAsia" w:eastAsiaTheme="minorEastAsia" w:cstheme="minorEastAsia"/>
              </w:rPr>
              <w:t>VOCs物料转移和输送无组织排放控制要求</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扩建项目白乳胶为成品胶水，厂区无需调配，转移过程采用密闭桶装，因此在物料转移和输送过程无有机废气产生；扩建项目调漆过程在密闭的喷漆房内进行，调漆废气采用密闭抽风装置收集。满足《挥发性有机物无组织控制标准》（GB37822-2019）VOCs物料转移和输送无组织排放控制要求。</w:t>
            </w:r>
          </w:p>
          <w:p>
            <w:pPr>
              <w:pStyle w:val="4076"/>
              <w:numPr>
                <w:ilvl w:val="0"/>
                <w:numId w:val="15"/>
              </w:numPr>
              <w:rPr>
                <w:rFonts w:asciiTheme="minorEastAsia" w:hAnsiTheme="minorEastAsia" w:eastAsiaTheme="minorEastAsia" w:cstheme="minorEastAsia"/>
              </w:rPr>
            </w:pPr>
            <w:r>
              <w:rPr>
                <w:rFonts w:hint="eastAsia" w:asciiTheme="minorEastAsia" w:hAnsiTheme="minorEastAsia" w:eastAsiaTheme="minorEastAsia" w:cstheme="minorEastAsia"/>
              </w:rPr>
              <w:t>含VOCs产品的使用过程</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扩建项目使用的VOCs物料为白乳胶、热熔胶、油漆、UV油漆。</w:t>
            </w:r>
          </w:p>
          <w:p>
            <w:pPr>
              <w:pStyle w:val="4077"/>
              <w:numPr>
                <w:ilvl w:val="0"/>
                <w:numId w:val="16"/>
              </w:numPr>
              <w:ind w:firstLineChars="0"/>
              <w:rPr>
                <w:rFonts w:asciiTheme="minorEastAsia" w:hAnsiTheme="minorEastAsia" w:eastAsiaTheme="minorEastAsia" w:cstheme="minorEastAsia"/>
              </w:rPr>
            </w:pPr>
            <w:r>
              <w:rPr>
                <w:rFonts w:hint="eastAsia" w:asciiTheme="minorEastAsia" w:hAnsiTheme="minorEastAsia" w:eastAsiaTheme="minorEastAsia" w:cstheme="minorEastAsia"/>
              </w:rPr>
              <w:t>白乳胶中挥发性有机物按最不利情况计算含量小于5%，密度约0.9g/mL，折算得扩建项目白乳胶有机废气含量45g/L，小于50g/L，VOCs含量满足《胶粘剂挥发性有机化合物限量》（GB 33372-2020）中含量限值要求；根据《排污许可证申请与核发技术规范家具制造工业》（HJ 1027—2019）中“6.2.2.2 b）VOCs质量占比大于等于10%的含VOCs原辅材料使用过程无法密闭的，应采取局部气体收集措施，废气应排放至VOCs废气收集处理系统”，根据白乳胶MSDS（附件7），白乳胶按最不利情况挥发VOCs质量约占5%，小于10%，扩建项目拼板废气采取无组织排放可行；</w:t>
            </w:r>
          </w:p>
          <w:p>
            <w:pPr>
              <w:pStyle w:val="4077"/>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热熔胶挥发性有机物按最不利情况计算含量小于2%，VOCs含量20g/kg，小于50g/kg，VOCs含量满足《胶粘剂挥发性有机化合物限量》（GB 33372-2020）中含量限值要求；根据《排污许可证申请与核发技术规范家具制造工业》（HJ 1027—2019）中“6.2.2.2 b）VOCs质量占比大于等于10%的含VOCs原辅材料使用过程无法密闭的，应采取局部气体收集措施，废气应排放至VOCs废气收集处理系统”，根据热熔胶MSDS（附件6），扩建项目热熔胶按最不利情况计算挥发份为2%，VOCs质量远小于10%，扩建项目封边废气采取无组织排放可行。</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综上所述，扩建项目封边废气、拼板、热压废气产生量较小，采取无组织排放；喷漆废气采用密闭抽风装置收集，废气收集效率达90%，收集后的涂装废气经“湿式过滤+干式过滤+活性炭吸附浓缩+解析（催化燃烧）“装置处理后由15m高排气筒（DA001、DA002、DA007、DA008）排放。</w:t>
            </w:r>
          </w:p>
          <w:p>
            <w:pPr>
              <w:pStyle w:val="6"/>
              <w:keepNext w:val="0"/>
              <w:keepLines w:val="0"/>
              <w:rPr>
                <w:rFonts w:ascii="宋体" w:hAnsi="宋体"/>
              </w:rPr>
            </w:pPr>
            <w:r>
              <w:rPr>
                <w:rFonts w:hint="eastAsia" w:ascii="宋体" w:hAnsi="宋体"/>
              </w:rPr>
              <w:t>4.2.9环境影响分析</w:t>
            </w:r>
          </w:p>
          <w:p>
            <w:pPr>
              <w:pStyle w:val="160"/>
              <w:ind w:firstLine="480"/>
            </w:pPr>
            <w:r>
              <w:rPr>
                <w:rFonts w:hint="eastAsia"/>
              </w:rPr>
              <w:t>扩建项目所在区域为环境空气不达标区，超标因子为</w:t>
            </w:r>
            <w:r>
              <w:t>PM</w:t>
            </w:r>
            <w:r>
              <w:rPr>
                <w:vertAlign w:val="subscript"/>
              </w:rPr>
              <w:t>2.5</w:t>
            </w:r>
            <w:r>
              <w:rPr>
                <w:rFonts w:hint="eastAsia"/>
              </w:rPr>
              <w:t>，目前铜梁区已制定区域环境空气质量限期达标规划（</w:t>
            </w:r>
            <w:r>
              <w:t>2017-2025年），执行相应的整治措施后，可改善区域环境质量达标情况</w:t>
            </w:r>
            <w:r>
              <w:rPr>
                <w:rFonts w:hint="eastAsia"/>
              </w:rPr>
              <w:t>；</w:t>
            </w:r>
            <w:r>
              <w:t>同时原项目涂装废气处理设施进行改造后将降低全厂颗粒物排放总量</w:t>
            </w:r>
            <w:r>
              <w:rPr>
                <w:rFonts w:hint="eastAsia"/>
              </w:rPr>
              <w:t>，</w:t>
            </w:r>
            <w:r>
              <w:t>减轻对区域环境质量的影响。</w:t>
            </w:r>
            <w:r>
              <w:rPr>
                <w:rFonts w:hint="eastAsia"/>
              </w:rPr>
              <w:t>扩建项目木工粉尘经中央除尘系统处理后有组织达标</w:t>
            </w:r>
            <w:r>
              <w:t>排放</w:t>
            </w:r>
            <w:r>
              <w:rPr>
                <w:rFonts w:hint="eastAsia"/>
              </w:rPr>
              <w:t>；</w:t>
            </w:r>
            <w:r>
              <w:t>涂装废气经</w:t>
            </w:r>
            <w:r>
              <w:rPr>
                <w:rFonts w:hint="eastAsia"/>
              </w:rPr>
              <w:t>“</w:t>
            </w:r>
            <w:r>
              <w:t>湿式过滤+干式过滤+活性炭吸附浓缩+解析（催化燃烧）</w:t>
            </w:r>
            <w:r>
              <w:rPr>
                <w:rFonts w:hint="eastAsia"/>
              </w:rPr>
              <w:t>“装置</w:t>
            </w:r>
            <w:r>
              <w:t>处理后</w:t>
            </w:r>
            <w:r>
              <w:rPr>
                <w:rFonts w:hint="eastAsia"/>
              </w:rPr>
              <w:t>有组织达标</w:t>
            </w:r>
            <w:r>
              <w:t>排放</w:t>
            </w:r>
            <w:r>
              <w:rPr>
                <w:rFonts w:hint="eastAsia"/>
              </w:rPr>
              <w:t>；油磨废气经收集</w:t>
            </w:r>
            <w:r>
              <w:t>通过</w:t>
            </w:r>
            <w:r>
              <w:rPr>
                <w:rFonts w:hint="eastAsia"/>
              </w:rPr>
              <w:t>袋式除尘器</w:t>
            </w:r>
            <w:r>
              <w:t>处理后</w:t>
            </w:r>
            <w:r>
              <w:rPr>
                <w:rFonts w:hint="eastAsia"/>
              </w:rPr>
              <w:t>有组织达标</w:t>
            </w:r>
            <w:r>
              <w:t>排放</w:t>
            </w:r>
            <w:r>
              <w:rPr>
                <w:rFonts w:hint="eastAsia"/>
              </w:rPr>
              <w:t>；灰磨废气经收集</w:t>
            </w:r>
            <w:r>
              <w:t>通过</w:t>
            </w:r>
            <w:r>
              <w:rPr>
                <w:rFonts w:hint="eastAsia"/>
              </w:rPr>
              <w:t>袋式除尘器</w:t>
            </w:r>
            <w:r>
              <w:t>处理后</w:t>
            </w:r>
            <w:r>
              <w:rPr>
                <w:rFonts w:hint="eastAsia"/>
              </w:rPr>
              <w:t>有组织达标</w:t>
            </w:r>
            <w:r>
              <w:t>排放</w:t>
            </w:r>
            <w:r>
              <w:rPr>
                <w:rFonts w:hint="eastAsia"/>
              </w:rPr>
              <w:t>；封边、拼板废气无组织达标</w:t>
            </w:r>
            <w:r>
              <w:t>排放</w:t>
            </w:r>
            <w:r>
              <w:rPr>
                <w:rFonts w:hint="eastAsia"/>
              </w:rPr>
              <w:t>。因此，扩建项目对周边的环境影响较小。</w:t>
            </w:r>
          </w:p>
          <w:p>
            <w:pPr>
              <w:pStyle w:val="5"/>
              <w:keepNext w:val="0"/>
              <w:keepLines w:val="0"/>
              <w:rPr>
                <w:rFonts w:ascii="宋体" w:hAnsi="宋体"/>
              </w:rPr>
            </w:pPr>
            <w:r>
              <w:rPr>
                <w:rFonts w:hint="eastAsia" w:ascii="宋体" w:hAnsi="宋体"/>
              </w:rPr>
              <w:t>4.3</w:t>
            </w:r>
            <w:r>
              <w:rPr>
                <w:rFonts w:ascii="宋体" w:hAnsi="宋体"/>
              </w:rPr>
              <w:t>废水</w:t>
            </w:r>
          </w:p>
          <w:p>
            <w:pPr>
              <w:pStyle w:val="6"/>
              <w:keepNext w:val="0"/>
              <w:keepLines w:val="0"/>
              <w:snapToGrid w:val="0"/>
              <w:rPr>
                <w:rFonts w:ascii="宋体" w:hAnsi="宋体" w:cs="Times New Roman"/>
              </w:rPr>
            </w:pPr>
            <w:r>
              <w:rPr>
                <w:rFonts w:hint="eastAsia" w:ascii="宋体" w:hAnsi="宋体"/>
              </w:rPr>
              <w:t>4.3.1</w:t>
            </w:r>
            <w:r>
              <w:rPr>
                <w:rFonts w:ascii="宋体" w:hAnsi="宋体" w:cs="Times New Roman"/>
              </w:rPr>
              <w:t>废水产排情况</w:t>
            </w:r>
          </w:p>
          <w:p>
            <w:pPr>
              <w:pStyle w:val="160"/>
              <w:ind w:firstLine="480"/>
              <w:rPr>
                <w:rFonts w:asciiTheme="minorEastAsia" w:hAnsiTheme="minorEastAsia" w:eastAsiaTheme="minorEastAsia" w:cstheme="minorEastAsia"/>
                <w:bCs/>
              </w:rPr>
            </w:pPr>
            <w:r>
              <w:rPr>
                <w:rFonts w:hint="eastAsia" w:asciiTheme="minorEastAsia" w:hAnsiTheme="minorEastAsia" w:eastAsiaTheme="minorEastAsia" w:cstheme="minorEastAsia"/>
                <w:bCs/>
              </w:rPr>
              <w:t>扩建项目废水主要为生活污水和综合废水，包括灰磨喷淋除尘废水（</w:t>
            </w:r>
            <w:r>
              <w:rPr>
                <w:rFonts w:asciiTheme="minorEastAsia" w:hAnsiTheme="minorEastAsia" w:eastAsiaTheme="minorEastAsia" w:cstheme="minorEastAsia"/>
                <w:bCs/>
              </w:rPr>
              <w:t>W1）、油磨喷淋除尘废水（W2）、喷枪清洗废水（W3）、水帘柜用水（W4）、地面清洁废水（W5）、生活污水（W6）</w:t>
            </w:r>
            <w:r>
              <w:rPr>
                <w:rFonts w:hint="eastAsia" w:asciiTheme="minorEastAsia" w:hAnsiTheme="minorEastAsia" w:eastAsiaTheme="minorEastAsia" w:cstheme="minorEastAsia"/>
                <w:bCs/>
              </w:rPr>
              <w:t>。</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bCs/>
              </w:rPr>
              <w:t>生活污水与生产废水经物化处理的生产废水相混合后经生化处理达《污水综合排放标准》（GB8978-1996）三级排放标准，经园区污水管网排入东城污水处理厂进一步处理达《城镇污水处理厂污染物排放标准》（GB18918-2002）一级B标后排入淮远河。</w:t>
            </w:r>
          </w:p>
          <w:p>
            <w:pPr>
              <w:pStyle w:val="4075"/>
              <w:numPr>
                <w:ilvl w:val="0"/>
                <w:numId w:val="17"/>
              </w:numPr>
              <w:rPr>
                <w:rFonts w:asciiTheme="minorEastAsia" w:hAnsiTheme="minorEastAsia" w:eastAsiaTheme="minorEastAsia" w:cstheme="minorEastAsia"/>
              </w:rPr>
            </w:pPr>
            <w:r>
              <w:rPr>
                <w:rFonts w:hint="eastAsia" w:asciiTheme="minorEastAsia" w:hAnsiTheme="minorEastAsia" w:eastAsiaTheme="minorEastAsia" w:cstheme="minorEastAsia"/>
              </w:rPr>
              <w:t>生活废水</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生活废水主要来源于员工日常办公和生活废水。扩建项目新增职工定员为80人，参考《建筑给水排水设计标准》（GB 50015-2019）中“办公用水30~50L/人·d”，扩建项目办公生活用水按50L/人·d计，生活用水量约为4.0m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/d，排水系数按0.9计算，生活污水排放量为3.6m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/d。</w:t>
            </w:r>
          </w:p>
          <w:p>
            <w:pPr>
              <w:pStyle w:val="4075"/>
              <w:numPr>
                <w:ilvl w:val="0"/>
                <w:numId w:val="17"/>
              </w:numPr>
              <w:rPr>
                <w:rFonts w:asciiTheme="minorEastAsia" w:hAnsiTheme="minorEastAsia" w:eastAsiaTheme="minorEastAsia" w:cstheme="minorEastAsia"/>
              </w:rPr>
            </w:pPr>
            <w:r>
              <w:rPr>
                <w:rFonts w:hint="eastAsia" w:asciiTheme="minorEastAsia" w:hAnsiTheme="minorEastAsia" w:eastAsiaTheme="minorEastAsia" w:cstheme="minorEastAsia"/>
              </w:rPr>
              <w:t>生产废水</w:t>
            </w:r>
          </w:p>
          <w:p>
            <w:pPr>
              <w:pStyle w:val="4076"/>
              <w:numPr>
                <w:ilvl w:val="0"/>
                <w:numId w:val="18"/>
              </w:numPr>
              <w:rPr>
                <w:rFonts w:asciiTheme="minorEastAsia" w:hAnsiTheme="minorEastAsia" w:eastAsiaTheme="minorEastAsia" w:cstheme="minorEastAsia"/>
              </w:rPr>
            </w:pPr>
            <w:r>
              <w:rPr>
                <w:rFonts w:hint="eastAsia" w:asciiTheme="minorEastAsia" w:hAnsiTheme="minorEastAsia" w:eastAsiaTheme="minorEastAsia" w:cstheme="minorEastAsia"/>
              </w:rPr>
              <w:t>循环废水</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扩建项目白坯、油磨过程中使用水帘柜对白坯油磨废气进行处理会产生白坯油磨喷淋用水，喷淋塔气液比按2L/m³，储水量按10min循环量计、废气量18000m³/h，排水量按10%储量/d计算。每次排放量1.14m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/d。</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扩建项目涂装过程中使用水帘柜对漆雾进行预处理会产生喷淋用水，喷淋塔气液比按2L/m³，储水量按10min循环量计、废气量340000m³/h，排水量按10%储量/d计算。每次排放量10.20m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/d。</w:t>
            </w:r>
          </w:p>
          <w:p>
            <w:pPr>
              <w:pStyle w:val="4076"/>
              <w:numPr>
                <w:ilvl w:val="0"/>
                <w:numId w:val="18"/>
              </w:numPr>
              <w:rPr>
                <w:rFonts w:asciiTheme="minorEastAsia" w:hAnsiTheme="minorEastAsia" w:eastAsiaTheme="minorEastAsia" w:cstheme="minorEastAsia"/>
              </w:rPr>
            </w:pPr>
            <w:r>
              <w:rPr>
                <w:rFonts w:hint="eastAsia" w:asciiTheme="minorEastAsia" w:hAnsiTheme="minorEastAsia" w:eastAsiaTheme="minorEastAsia" w:cstheme="minorEastAsia"/>
              </w:rPr>
              <w:t>喷枪清洗废水</w:t>
            </w:r>
          </w:p>
          <w:p>
            <w:pPr>
              <w:pStyle w:val="160"/>
              <w:ind w:firstLine="480"/>
              <w:rPr>
                <w:rFonts w:asciiTheme="minorEastAsia" w:hAnsiTheme="minorEastAsia" w:eastAsiaTheme="minorEastAsia" w:cstheme="minorEastAsia"/>
                <w:color w:val="FF0000"/>
              </w:rPr>
            </w:pPr>
            <w:r>
              <w:rPr>
                <w:rFonts w:hint="eastAsia" w:asciiTheme="minorEastAsia" w:hAnsiTheme="minorEastAsia" w:eastAsiaTheme="minorEastAsia" w:cstheme="minorEastAsia"/>
                <w:color w:val="000000" w:themeColor="text1"/>
                <w14:textFill>
                  <w14:solidFill>
                    <w14:schemeClr w14:val="tx1"/>
                  </w14:solidFill>
                </w14:textFill>
              </w:rPr>
              <w:t>扩建项目水性漆喷枪每天使用结束后会进行清洗。喷枪用水作为清洗剂，每次新鲜水的用水量约为1000L/d，喷枪</w:t>
            </w:r>
            <w:r>
              <w:rPr>
                <w:rFonts w:hint="eastAsia" w:asciiTheme="minorEastAsia" w:hAnsiTheme="minorEastAsia" w:eastAsiaTheme="minorEastAsia" w:cstheme="minorEastAsia"/>
              </w:rPr>
              <w:t>清洗废水排放量为0.9</w:t>
            </w:r>
            <w:r>
              <w:rPr>
                <w:rFonts w:hint="eastAsia" w:asciiTheme="minorEastAsia" w:hAnsiTheme="minorEastAsia" w:eastAsiaTheme="minorEastAsia" w:cstheme="minorEastAsia"/>
                <w:color w:val="000000" w:themeColor="text1"/>
                <w14:textFill>
                  <w14:solidFill>
                    <w14:schemeClr w14:val="tx1"/>
                  </w14:solidFill>
                </w14:textFill>
              </w:rPr>
              <w:t>m</w:t>
            </w:r>
            <w:r>
              <w:rPr>
                <w:rFonts w:hint="eastAsia" w:asciiTheme="minorEastAsia" w:hAnsiTheme="minorEastAsia" w:eastAsiaTheme="minorEastAsia" w:cstheme="minorEastAsia"/>
                <w:color w:val="000000" w:themeColor="text1"/>
                <w:vertAlign w:val="superscript"/>
                <w14:textFill>
                  <w14:solidFill>
                    <w14:schemeClr w14:val="tx1"/>
                  </w14:solidFill>
                </w14:textFill>
              </w:rPr>
              <w:t>3</w:t>
            </w:r>
            <w:r>
              <w:rPr>
                <w:rFonts w:hint="eastAsia" w:asciiTheme="minorEastAsia" w:hAnsiTheme="minorEastAsia" w:eastAsiaTheme="minorEastAsia" w:cstheme="minorEastAsia"/>
                <w:color w:val="000000" w:themeColor="text1"/>
                <w14:textFill>
                  <w14:solidFill>
                    <w14:schemeClr w14:val="tx1"/>
                  </w14:solidFill>
                </w14:textFill>
              </w:rPr>
              <w:t>/d。</w:t>
            </w:r>
          </w:p>
          <w:p>
            <w:pPr>
              <w:pStyle w:val="4076"/>
              <w:numPr>
                <w:ilvl w:val="0"/>
                <w:numId w:val="18"/>
              </w:numPr>
              <w:rPr>
                <w:rFonts w:asciiTheme="minorEastAsia" w:hAnsiTheme="minorEastAsia" w:eastAsiaTheme="minorEastAsia" w:cstheme="minorEastAsia"/>
              </w:rPr>
            </w:pPr>
            <w:r>
              <w:rPr>
                <w:rFonts w:hint="eastAsia" w:asciiTheme="minorEastAsia" w:hAnsiTheme="minorEastAsia" w:eastAsiaTheme="minorEastAsia" w:cstheme="minorEastAsia"/>
              </w:rPr>
              <w:t>地面清洁废水</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扩建项目营运期地面清洁仅用湿拖布拖地，不涉及地面冲洗，用水指标按照0.5L/m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·次计算，扩建项目拖地面积约12614.44 m</w:t>
            </w:r>
            <w:r>
              <w:rPr>
                <w:rFonts w:hint="eastAsia" w:asciiTheme="minorEastAsia" w:hAnsiTheme="minorEastAsia" w:eastAsiaTheme="minorEastAsia" w:cstheme="minorEastAsia"/>
                <w:vertAlign w:val="superscript"/>
              </w:rPr>
              <w:t>2</w:t>
            </w:r>
            <w:r>
              <w:rPr>
                <w:rFonts w:hint="eastAsia" w:asciiTheme="minorEastAsia" w:hAnsiTheme="minorEastAsia" w:eastAsiaTheme="minorEastAsia" w:cstheme="minorEastAsia"/>
              </w:rPr>
              <w:t>，平均10天清洁一次，地面清洁用水量为6.31m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/次，排污系数按0.9计算，则地面清洁废水产生量为5.68m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/次。</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废水类别、污染物、产排情况及治理设施信息见</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REF _Ref82520512 \h</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表4.3-1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p>
          <w:p>
            <w:pPr>
              <w:pStyle w:val="160"/>
              <w:ind w:firstLine="480"/>
              <w:rPr>
                <w:color w:val="FF0000"/>
              </w:rPr>
            </w:pPr>
          </w:p>
        </w:tc>
      </w:tr>
    </w:tbl>
    <w:p>
      <w:pPr>
        <w:sectPr>
          <w:pgSz w:w="11907" w:h="16840"/>
          <w:pgMar w:top="1701" w:right="1304" w:bottom="2126" w:left="1304" w:header="851" w:footer="851" w:gutter="0"/>
          <w:cols w:space="720" w:num="1"/>
          <w:docGrid w:linePitch="312" w:charSpace="0"/>
        </w:sectPr>
      </w:pPr>
    </w:p>
    <w:p>
      <w:pPr>
        <w:rPr>
          <w:rFonts w:ascii="宋体" w:hAnsi="宋体" w:eastAsia="宋体"/>
          <w:color w:val="FF0000"/>
        </w:rPr>
        <w:sectPr>
          <w:type w:val="continuous"/>
          <w:pgSz w:w="11907" w:h="16840"/>
          <w:pgMar w:top="1701" w:right="1304" w:bottom="2126" w:left="1304" w:header="851" w:footer="851" w:gutter="0"/>
          <w:cols w:space="720" w:num="1"/>
          <w:docGrid w:linePitch="312" w:charSpace="0"/>
        </w:sectPr>
      </w:pPr>
    </w:p>
    <w:p>
      <w:pPr>
        <w:pStyle w:val="164"/>
      </w:pPr>
      <w:bookmarkStart w:id="49" w:name="_Ref82520512"/>
      <w:r>
        <w:rPr>
          <w:rFonts w:hint="eastAsia"/>
        </w:rPr>
        <w:t>表</w:t>
      </w:r>
      <w:bookmarkEnd w:id="49"/>
      <w:r>
        <w:rPr>
          <w:rFonts w:hint="eastAsia"/>
        </w:rPr>
        <w:t>4.3-1废水类别、污染物、产排情况及治理设施信息一览表</w:t>
      </w:r>
    </w:p>
    <w:tbl>
      <w:tblPr>
        <w:tblStyle w:val="88"/>
        <w:tblW w:w="13229" w:type="dxa"/>
        <w:tblInd w:w="0" w:type="dxa"/>
        <w:tblLayout w:type="fixed"/>
        <w:tblCellMar>
          <w:top w:w="0" w:type="dxa"/>
          <w:left w:w="108" w:type="dxa"/>
          <w:bottom w:w="0" w:type="dxa"/>
          <w:right w:w="108" w:type="dxa"/>
        </w:tblCellMar>
      </w:tblPr>
      <w:tblGrid>
        <w:gridCol w:w="534"/>
        <w:gridCol w:w="425"/>
        <w:gridCol w:w="992"/>
        <w:gridCol w:w="851"/>
        <w:gridCol w:w="850"/>
        <w:gridCol w:w="851"/>
        <w:gridCol w:w="850"/>
        <w:gridCol w:w="709"/>
        <w:gridCol w:w="425"/>
        <w:gridCol w:w="992"/>
        <w:gridCol w:w="567"/>
        <w:gridCol w:w="709"/>
        <w:gridCol w:w="992"/>
        <w:gridCol w:w="851"/>
        <w:gridCol w:w="640"/>
        <w:gridCol w:w="1047"/>
        <w:gridCol w:w="944"/>
      </w:tblGrid>
      <w:tr>
        <w:tblPrEx>
          <w:tblLayout w:type="fixed"/>
          <w:tblCellMar>
            <w:top w:w="0" w:type="dxa"/>
            <w:left w:w="108" w:type="dxa"/>
            <w:bottom w:w="0" w:type="dxa"/>
            <w:right w:w="108" w:type="dxa"/>
          </w:tblCellMar>
        </w:tblPrEx>
        <w:tc>
          <w:tcPr>
            <w:tcW w:w="5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序号</w:t>
            </w:r>
          </w:p>
        </w:tc>
        <w:tc>
          <w:tcPr>
            <w:tcW w:w="4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废水类别</w:t>
            </w:r>
          </w:p>
        </w:tc>
        <w:tc>
          <w:tcPr>
            <w:tcW w:w="992"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产污环节</w:t>
            </w:r>
          </w:p>
        </w:tc>
        <w:tc>
          <w:tcPr>
            <w:tcW w:w="85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污染物种类</w:t>
            </w:r>
          </w:p>
        </w:tc>
        <w:tc>
          <w:tcPr>
            <w:tcW w:w="2551" w:type="dxa"/>
            <w:gridSpan w:val="3"/>
            <w:tcBorders>
              <w:top w:val="single" w:color="000000" w:sz="8" w:space="0"/>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产生情况</w:t>
            </w:r>
          </w:p>
        </w:tc>
        <w:tc>
          <w:tcPr>
            <w:tcW w:w="2693" w:type="dxa"/>
            <w:gridSpan w:val="4"/>
            <w:tcBorders>
              <w:top w:val="single" w:color="000000" w:sz="8" w:space="0"/>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厂区污水处理设施</w:t>
            </w:r>
          </w:p>
        </w:tc>
        <w:tc>
          <w:tcPr>
            <w:tcW w:w="2552" w:type="dxa"/>
            <w:gridSpan w:val="3"/>
            <w:tcBorders>
              <w:top w:val="single" w:color="000000" w:sz="8" w:space="0"/>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厂区排放情况</w:t>
            </w:r>
          </w:p>
        </w:tc>
        <w:tc>
          <w:tcPr>
            <w:tcW w:w="2631" w:type="dxa"/>
            <w:gridSpan w:val="3"/>
            <w:tcBorders>
              <w:top w:val="single" w:color="000000" w:sz="8" w:space="0"/>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排入环境情况</w:t>
            </w:r>
          </w:p>
        </w:tc>
      </w:tr>
      <w:tr>
        <w:tblPrEx>
          <w:tblLayout w:type="fixed"/>
          <w:tblCellMar>
            <w:top w:w="0" w:type="dxa"/>
            <w:left w:w="108" w:type="dxa"/>
            <w:bottom w:w="0" w:type="dxa"/>
            <w:right w:w="108" w:type="dxa"/>
          </w:tblCellMar>
        </w:tblPrEx>
        <w:trPr>
          <w:trHeight w:val="272" w:hRule="atLeast"/>
        </w:trPr>
        <w:tc>
          <w:tcPr>
            <w:tcW w:w="534" w:type="dxa"/>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val="0"/>
              <w:snapToGrid w:val="0"/>
              <w:jc w:val="left"/>
              <w:rPr>
                <w:rFonts w:ascii="宋体" w:hAnsi="宋体" w:eastAsia="宋体" w:cs="宋体"/>
                <w:bCs/>
                <w:color w:val="000000"/>
                <w:kern w:val="0"/>
              </w:rPr>
            </w:pPr>
          </w:p>
        </w:tc>
        <w:tc>
          <w:tcPr>
            <w:tcW w:w="425" w:type="dxa"/>
            <w:vMerge w:val="continue"/>
            <w:tcBorders>
              <w:top w:val="single" w:color="000000" w:sz="8" w:space="0"/>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Cs/>
                <w:color w:val="000000"/>
                <w:kern w:val="0"/>
              </w:rPr>
            </w:pPr>
          </w:p>
        </w:tc>
        <w:tc>
          <w:tcPr>
            <w:tcW w:w="992" w:type="dxa"/>
            <w:vMerge w:val="continue"/>
            <w:tcBorders>
              <w:top w:val="single" w:color="000000" w:sz="8" w:space="0"/>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Cs/>
                <w:color w:val="000000"/>
                <w:kern w:val="0"/>
              </w:rPr>
            </w:pPr>
          </w:p>
        </w:tc>
        <w:tc>
          <w:tcPr>
            <w:tcW w:w="851" w:type="dxa"/>
            <w:vMerge w:val="continue"/>
            <w:tcBorders>
              <w:top w:val="single" w:color="000000" w:sz="8" w:space="0"/>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Cs/>
                <w:color w:val="000000"/>
                <w:kern w:val="0"/>
              </w:rPr>
            </w:pPr>
          </w:p>
        </w:tc>
        <w:tc>
          <w:tcPr>
            <w:tcW w:w="85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废水产生量（</w:t>
            </w:r>
            <w:r>
              <w:rPr>
                <w:rFonts w:ascii="Times New Roman" w:hAnsi="Times New Roman" w:eastAsia="宋体" w:cs="Times New Roman"/>
                <w:bCs/>
                <w:color w:val="000000"/>
                <w:kern w:val="0"/>
              </w:rPr>
              <w:t>m</w:t>
            </w:r>
            <w:r>
              <w:rPr>
                <w:rFonts w:ascii="Times New Roman" w:hAnsi="Times New Roman" w:eastAsia="宋体" w:cs="Times New Roman"/>
                <w:bCs/>
                <w:color w:val="000000"/>
                <w:kern w:val="0"/>
                <w:vertAlign w:val="superscript"/>
              </w:rPr>
              <w:t>3</w:t>
            </w:r>
            <w:r>
              <w:rPr>
                <w:rFonts w:ascii="Times New Roman" w:hAnsi="Times New Roman" w:eastAsia="宋体" w:cs="Times New Roman"/>
                <w:bCs/>
                <w:color w:val="000000"/>
                <w:kern w:val="0"/>
              </w:rPr>
              <w:t>/a</w:t>
            </w:r>
            <w:r>
              <w:rPr>
                <w:rFonts w:ascii="宋体" w:hAnsi="宋体" w:eastAsia="宋体" w:cs="宋体"/>
                <w:bCs/>
                <w:color w:val="000000"/>
                <w:kern w:val="0"/>
              </w:rPr>
              <w:t>）</w:t>
            </w:r>
          </w:p>
        </w:tc>
        <w:tc>
          <w:tcPr>
            <w:tcW w:w="851"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污染物产生浓度（</w:t>
            </w:r>
            <w:r>
              <w:rPr>
                <w:rFonts w:ascii="Times New Roman" w:hAnsi="Times New Roman" w:eastAsia="宋体" w:cs="Times New Roman"/>
                <w:bCs/>
                <w:color w:val="000000"/>
                <w:kern w:val="0"/>
              </w:rPr>
              <w:t>mg/L</w:t>
            </w:r>
            <w:r>
              <w:rPr>
                <w:rFonts w:ascii="宋体" w:hAnsi="宋体" w:eastAsia="宋体" w:cs="宋体"/>
                <w:bCs/>
                <w:color w:val="000000"/>
                <w:kern w:val="0"/>
              </w:rPr>
              <w:t>）</w:t>
            </w:r>
          </w:p>
        </w:tc>
        <w:tc>
          <w:tcPr>
            <w:tcW w:w="85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污染物产生量（</w:t>
            </w:r>
            <w:r>
              <w:rPr>
                <w:rFonts w:ascii="Times New Roman" w:hAnsi="Times New Roman" w:eastAsia="宋体" w:cs="Times New Roman"/>
                <w:bCs/>
                <w:color w:val="000000"/>
                <w:kern w:val="0"/>
              </w:rPr>
              <w:t>t/a</w:t>
            </w:r>
            <w:r>
              <w:rPr>
                <w:rFonts w:ascii="宋体" w:hAnsi="宋体" w:eastAsia="宋体" w:cs="宋体"/>
                <w:bCs/>
                <w:color w:val="000000"/>
                <w:kern w:val="0"/>
              </w:rPr>
              <w:t>）</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处理能力（</w:t>
            </w:r>
            <w:r>
              <w:rPr>
                <w:rFonts w:ascii="Times New Roman" w:hAnsi="Times New Roman" w:eastAsia="宋体" w:cs="Times New Roman"/>
                <w:bCs/>
                <w:color w:val="000000"/>
                <w:kern w:val="0"/>
              </w:rPr>
              <w:t>m</w:t>
            </w:r>
            <w:r>
              <w:rPr>
                <w:rFonts w:ascii="Times New Roman" w:hAnsi="Times New Roman" w:eastAsia="宋体" w:cs="Times New Roman"/>
                <w:bCs/>
                <w:color w:val="000000"/>
                <w:kern w:val="0"/>
                <w:vertAlign w:val="superscript"/>
              </w:rPr>
              <w:t>3</w:t>
            </w:r>
            <w:r>
              <w:rPr>
                <w:rFonts w:ascii="Times New Roman" w:hAnsi="Times New Roman" w:eastAsia="宋体" w:cs="Times New Roman"/>
                <w:bCs/>
                <w:color w:val="000000"/>
                <w:kern w:val="0"/>
              </w:rPr>
              <w:t>/d</w:t>
            </w:r>
            <w:r>
              <w:rPr>
                <w:rFonts w:ascii="宋体" w:hAnsi="宋体" w:eastAsia="宋体" w:cs="宋体"/>
                <w:bCs/>
                <w:color w:val="000000"/>
                <w:kern w:val="0"/>
              </w:rPr>
              <w:t>）</w:t>
            </w:r>
          </w:p>
        </w:tc>
        <w:tc>
          <w:tcPr>
            <w:tcW w:w="425"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治理工艺</w:t>
            </w:r>
          </w:p>
        </w:tc>
        <w:tc>
          <w:tcPr>
            <w:tcW w:w="992"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治理效率（</w:t>
            </w:r>
            <w:r>
              <w:rPr>
                <w:rFonts w:ascii="Times New Roman" w:hAnsi="Times New Roman" w:eastAsia="宋体" w:cs="Times New Roman"/>
                <w:bCs/>
                <w:color w:val="000000"/>
                <w:kern w:val="0"/>
              </w:rPr>
              <w:t>%</w:t>
            </w:r>
            <w:r>
              <w:rPr>
                <w:rFonts w:ascii="宋体" w:hAnsi="宋体" w:eastAsia="宋体" w:cs="宋体"/>
                <w:bCs/>
                <w:color w:val="000000"/>
                <w:kern w:val="0"/>
              </w:rPr>
              <w:t>）</w:t>
            </w:r>
          </w:p>
        </w:tc>
        <w:tc>
          <w:tcPr>
            <w:tcW w:w="567"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是否为可行技术</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废水排放量（</w:t>
            </w:r>
            <w:r>
              <w:rPr>
                <w:rFonts w:ascii="Times New Roman" w:hAnsi="Times New Roman" w:eastAsia="宋体" w:cs="Times New Roman"/>
                <w:bCs/>
                <w:color w:val="000000"/>
                <w:kern w:val="0"/>
              </w:rPr>
              <w:t>m</w:t>
            </w:r>
            <w:r>
              <w:rPr>
                <w:rFonts w:ascii="Times New Roman" w:hAnsi="Times New Roman" w:eastAsia="宋体" w:cs="Times New Roman"/>
                <w:bCs/>
                <w:color w:val="000000"/>
                <w:kern w:val="0"/>
                <w:vertAlign w:val="superscript"/>
              </w:rPr>
              <w:t>3</w:t>
            </w:r>
            <w:r>
              <w:rPr>
                <w:rFonts w:ascii="Times New Roman" w:hAnsi="Times New Roman" w:eastAsia="宋体" w:cs="Times New Roman"/>
                <w:bCs/>
                <w:color w:val="000000"/>
                <w:kern w:val="0"/>
              </w:rPr>
              <w:t>/a</w:t>
            </w:r>
            <w:r>
              <w:rPr>
                <w:rFonts w:ascii="宋体" w:hAnsi="宋体" w:eastAsia="宋体" w:cs="宋体"/>
                <w:bCs/>
                <w:color w:val="000000"/>
                <w:kern w:val="0"/>
              </w:rPr>
              <w:t>）</w:t>
            </w:r>
          </w:p>
        </w:tc>
        <w:tc>
          <w:tcPr>
            <w:tcW w:w="992"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污染物排放浓度（</w:t>
            </w:r>
            <w:r>
              <w:rPr>
                <w:rFonts w:ascii="Times New Roman" w:hAnsi="Times New Roman" w:eastAsia="宋体" w:cs="Times New Roman"/>
                <w:bCs/>
                <w:color w:val="000000"/>
                <w:kern w:val="0"/>
              </w:rPr>
              <w:t>mg/L</w:t>
            </w:r>
            <w:r>
              <w:rPr>
                <w:rFonts w:ascii="宋体" w:hAnsi="宋体" w:eastAsia="宋体" w:cs="宋体"/>
                <w:bCs/>
                <w:color w:val="000000"/>
                <w:kern w:val="0"/>
              </w:rPr>
              <w:t>）</w:t>
            </w:r>
          </w:p>
        </w:tc>
        <w:tc>
          <w:tcPr>
            <w:tcW w:w="851"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污染物排放量（</w:t>
            </w:r>
            <w:r>
              <w:rPr>
                <w:rFonts w:ascii="Times New Roman" w:hAnsi="Times New Roman" w:eastAsia="宋体" w:cs="Times New Roman"/>
                <w:bCs/>
                <w:color w:val="000000"/>
                <w:kern w:val="0"/>
              </w:rPr>
              <w:t>t/a</w:t>
            </w:r>
            <w:r>
              <w:rPr>
                <w:rFonts w:ascii="宋体" w:hAnsi="宋体" w:eastAsia="宋体" w:cs="宋体"/>
                <w:bCs/>
                <w:color w:val="000000"/>
                <w:kern w:val="0"/>
              </w:rPr>
              <w:t>）</w:t>
            </w:r>
          </w:p>
        </w:tc>
        <w:tc>
          <w:tcPr>
            <w:tcW w:w="64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废水排放量（</w:t>
            </w:r>
            <w:r>
              <w:rPr>
                <w:rFonts w:ascii="Times New Roman" w:hAnsi="Times New Roman" w:eastAsia="宋体" w:cs="Times New Roman"/>
                <w:bCs/>
                <w:color w:val="000000"/>
                <w:kern w:val="0"/>
              </w:rPr>
              <w:t>m</w:t>
            </w:r>
            <w:r>
              <w:rPr>
                <w:rFonts w:ascii="Times New Roman" w:hAnsi="Times New Roman" w:eastAsia="宋体" w:cs="Times New Roman"/>
                <w:bCs/>
                <w:color w:val="000000"/>
                <w:kern w:val="0"/>
                <w:vertAlign w:val="superscript"/>
              </w:rPr>
              <w:t>3</w:t>
            </w:r>
            <w:r>
              <w:rPr>
                <w:rFonts w:ascii="Times New Roman" w:hAnsi="Times New Roman" w:eastAsia="宋体" w:cs="Times New Roman"/>
                <w:bCs/>
                <w:color w:val="000000"/>
                <w:kern w:val="0"/>
              </w:rPr>
              <w:t>/a</w:t>
            </w:r>
            <w:r>
              <w:rPr>
                <w:rFonts w:ascii="宋体" w:hAnsi="宋体" w:eastAsia="宋体" w:cs="宋体"/>
                <w:bCs/>
                <w:color w:val="000000"/>
                <w:kern w:val="0"/>
              </w:rPr>
              <w:t>）</w:t>
            </w:r>
          </w:p>
        </w:tc>
        <w:tc>
          <w:tcPr>
            <w:tcW w:w="1047"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污染物排放浓度（</w:t>
            </w:r>
            <w:r>
              <w:rPr>
                <w:rFonts w:ascii="Times New Roman" w:hAnsi="Times New Roman" w:eastAsia="宋体" w:cs="Times New Roman"/>
                <w:bCs/>
                <w:color w:val="000000"/>
                <w:kern w:val="0"/>
              </w:rPr>
              <w:t>mg/L</w:t>
            </w:r>
            <w:r>
              <w:rPr>
                <w:rFonts w:ascii="宋体" w:hAnsi="宋体" w:eastAsia="宋体" w:cs="宋体"/>
                <w:bCs/>
                <w:color w:val="000000"/>
                <w:kern w:val="0"/>
              </w:rPr>
              <w:t>）</w:t>
            </w:r>
          </w:p>
        </w:tc>
        <w:tc>
          <w:tcPr>
            <w:tcW w:w="944"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bCs/>
                <w:color w:val="000000"/>
                <w:kern w:val="0"/>
              </w:rPr>
            </w:pPr>
            <w:r>
              <w:rPr>
                <w:rFonts w:hint="eastAsia" w:ascii="宋体" w:hAnsi="宋体" w:eastAsia="宋体" w:cs="宋体"/>
                <w:bCs/>
                <w:color w:val="000000"/>
                <w:kern w:val="0"/>
              </w:rPr>
              <w:t>污染物排放量（</w:t>
            </w:r>
            <w:r>
              <w:rPr>
                <w:rFonts w:ascii="Times New Roman" w:hAnsi="Times New Roman" w:eastAsia="宋体" w:cs="Times New Roman"/>
                <w:bCs/>
                <w:color w:val="000000"/>
                <w:kern w:val="0"/>
              </w:rPr>
              <w:t>t/a</w:t>
            </w:r>
            <w:r>
              <w:rPr>
                <w:rFonts w:ascii="宋体" w:hAnsi="宋体" w:eastAsia="宋体" w:cs="宋体"/>
                <w:bCs/>
                <w:color w:val="000000"/>
                <w:kern w:val="0"/>
              </w:rPr>
              <w:t>）</w:t>
            </w:r>
          </w:p>
        </w:tc>
      </w:tr>
      <w:tr>
        <w:tblPrEx>
          <w:tblLayout w:type="fixed"/>
          <w:tblCellMar>
            <w:top w:w="0" w:type="dxa"/>
            <w:left w:w="108" w:type="dxa"/>
            <w:bottom w:w="0" w:type="dxa"/>
            <w:right w:w="108" w:type="dxa"/>
          </w:tblCellMar>
        </w:tblPrEx>
        <w:trPr>
          <w:trHeight w:val="272" w:hRule="atLeast"/>
        </w:trPr>
        <w:tc>
          <w:tcPr>
            <w:tcW w:w="534" w:type="dxa"/>
            <w:vMerge w:val="continue"/>
            <w:tcBorders>
              <w:top w:val="single" w:color="000000" w:sz="8" w:space="0"/>
              <w:left w:val="single" w:color="000000" w:sz="8" w:space="0"/>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425" w:type="dxa"/>
            <w:vMerge w:val="continue"/>
            <w:tcBorders>
              <w:top w:val="single" w:color="000000" w:sz="8" w:space="0"/>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992" w:type="dxa"/>
            <w:vMerge w:val="continue"/>
            <w:tcBorders>
              <w:top w:val="single" w:color="000000" w:sz="8" w:space="0"/>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851" w:type="dxa"/>
            <w:vMerge w:val="continue"/>
            <w:tcBorders>
              <w:top w:val="single" w:color="000000" w:sz="8" w:space="0"/>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851"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851"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104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c>
          <w:tcPr>
            <w:tcW w:w="944"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b/>
                <w:bCs/>
                <w:color w:val="000000"/>
                <w:kern w:val="0"/>
              </w:rPr>
            </w:pP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w:t>
            </w:r>
          </w:p>
        </w:tc>
        <w:tc>
          <w:tcPr>
            <w:tcW w:w="425"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生活污水</w:t>
            </w:r>
          </w:p>
        </w:tc>
        <w:tc>
          <w:tcPr>
            <w:tcW w:w="992"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职工生活</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COD</w:t>
            </w:r>
          </w:p>
        </w:tc>
        <w:tc>
          <w:tcPr>
            <w:tcW w:w="85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3.6</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0.65 </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425"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BOD</w:t>
            </w:r>
            <w:r>
              <w:rPr>
                <w:rFonts w:ascii="Times New Roman" w:hAnsi="Times New Roman" w:eastAsia="宋体" w:cs="Times New Roman"/>
                <w:color w:val="000000"/>
                <w:kern w:val="0"/>
                <w:vertAlign w:val="subscript"/>
              </w:rPr>
              <w:t>5</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0.54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3</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SS</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0.54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4</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动植物油</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0.22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5</w:t>
            </w:r>
          </w:p>
        </w:tc>
        <w:tc>
          <w:tcPr>
            <w:tcW w:w="425"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生产废水</w:t>
            </w:r>
          </w:p>
        </w:tc>
        <w:tc>
          <w:tcPr>
            <w:tcW w:w="992"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水帘柜及打磨喷淋用水用水</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COD</w:t>
            </w:r>
          </w:p>
        </w:tc>
        <w:tc>
          <w:tcPr>
            <w:tcW w:w="85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11.34</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6.80 </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425"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6</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SS</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3.40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7</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石油类</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0.68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8</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喷枪清洗用水</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COD</w:t>
            </w:r>
          </w:p>
        </w:tc>
        <w:tc>
          <w:tcPr>
            <w:tcW w:w="85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0.9</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0.54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9</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SS</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0.27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石油类</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0.05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11</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地面清洁</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COD</w:t>
            </w:r>
          </w:p>
        </w:tc>
        <w:tc>
          <w:tcPr>
            <w:tcW w:w="85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0.57 </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12</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BOD</w:t>
            </w:r>
            <w:r>
              <w:rPr>
                <w:rFonts w:ascii="Times New Roman" w:hAnsi="Times New Roman" w:eastAsia="宋体" w:cs="Times New Roman"/>
                <w:color w:val="000000"/>
                <w:kern w:val="0"/>
                <w:vertAlign w:val="subscript"/>
              </w:rPr>
              <w:t>5</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0.09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13</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SS</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600</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14</w:t>
            </w: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石油类</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35</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0.01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15</w:t>
            </w:r>
          </w:p>
        </w:tc>
        <w:tc>
          <w:tcPr>
            <w:tcW w:w="1417" w:type="dxa"/>
            <w:gridSpan w:val="2"/>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综合废水</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COD</w:t>
            </w:r>
          </w:p>
        </w:tc>
        <w:tc>
          <w:tcPr>
            <w:tcW w:w="85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16.41 </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1644.39 </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8.09 </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50</w:t>
            </w:r>
          </w:p>
        </w:tc>
        <w:tc>
          <w:tcPr>
            <w:tcW w:w="425"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物化</w:t>
            </w:r>
            <w:r>
              <w:rPr>
                <w:rFonts w:ascii="Times New Roman" w:hAnsi="Times New Roman" w:eastAsia="宋体" w:cs="Times New Roman"/>
                <w:color w:val="000000"/>
                <w:kern w:val="0"/>
              </w:rPr>
              <w:t>+</w:t>
            </w:r>
            <w:r>
              <w:rPr>
                <w:rFonts w:ascii="宋体" w:hAnsi="宋体" w:eastAsia="宋体" w:cs="宋体"/>
                <w:color w:val="000000"/>
                <w:kern w:val="0"/>
              </w:rPr>
              <w:t>生化</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69.59%</w:t>
            </w:r>
          </w:p>
        </w:tc>
        <w:tc>
          <w:tcPr>
            <w:tcW w:w="567"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是</w:t>
            </w:r>
          </w:p>
        </w:tc>
        <w:tc>
          <w:tcPr>
            <w:tcW w:w="709"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16.41 </w:t>
            </w: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500</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2.46 </w:t>
            </w:r>
          </w:p>
        </w:tc>
        <w:tc>
          <w:tcPr>
            <w:tcW w:w="640" w:type="dxa"/>
            <w:vMerge w:val="restart"/>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50</w:t>
            </w: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60</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0.30 </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16</w:t>
            </w:r>
          </w:p>
        </w:tc>
        <w:tc>
          <w:tcPr>
            <w:tcW w:w="1417" w:type="dxa"/>
            <w:gridSpan w:val="2"/>
            <w:vMerge w:val="continue"/>
            <w:tcBorders>
              <w:top w:val="nil"/>
              <w:left w:val="single" w:color="000000" w:sz="8" w:space="0"/>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BOD</w:t>
            </w:r>
            <w:r>
              <w:rPr>
                <w:rFonts w:ascii="Times New Roman" w:hAnsi="Times New Roman" w:eastAsia="宋体" w:cs="Times New Roman"/>
                <w:color w:val="000000"/>
                <w:kern w:val="0"/>
                <w:vertAlign w:val="subscript"/>
              </w:rPr>
              <w:t>5</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127.00 </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0.63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21.26%</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100</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0.49 </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17</w:t>
            </w:r>
          </w:p>
        </w:tc>
        <w:tc>
          <w:tcPr>
            <w:tcW w:w="1417" w:type="dxa"/>
            <w:gridSpan w:val="2"/>
            <w:vMerge w:val="continue"/>
            <w:tcBorders>
              <w:top w:val="nil"/>
              <w:left w:val="single" w:color="000000" w:sz="8" w:space="0"/>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SS</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876.46 </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4.31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54.36%</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400</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1.97 </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19</w:t>
            </w:r>
          </w:p>
        </w:tc>
        <w:tc>
          <w:tcPr>
            <w:tcW w:w="1417" w:type="dxa"/>
            <w:gridSpan w:val="2"/>
            <w:vMerge w:val="continue"/>
            <w:tcBorders>
              <w:top w:val="nil"/>
              <w:left w:val="single" w:color="000000" w:sz="8" w:space="0"/>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动植物油</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43.88 </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0.22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8.85%</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40</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0.01 </w:t>
            </w:r>
          </w:p>
        </w:tc>
      </w:tr>
      <w:tr>
        <w:tblPrEx>
          <w:tblLayout w:type="fixed"/>
          <w:tblCellMar>
            <w:top w:w="0" w:type="dxa"/>
            <w:left w:w="108" w:type="dxa"/>
            <w:bottom w:w="0" w:type="dxa"/>
            <w:right w:w="108" w:type="dxa"/>
          </w:tblCellMar>
        </w:tblPrEx>
        <w:tc>
          <w:tcPr>
            <w:tcW w:w="534" w:type="dxa"/>
            <w:tcBorders>
              <w:top w:val="nil"/>
              <w:left w:val="single" w:color="000000" w:sz="8" w:space="0"/>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w:t>
            </w:r>
          </w:p>
        </w:tc>
        <w:tc>
          <w:tcPr>
            <w:tcW w:w="1417" w:type="dxa"/>
            <w:gridSpan w:val="2"/>
            <w:vMerge w:val="continue"/>
            <w:tcBorders>
              <w:top w:val="nil"/>
              <w:left w:val="single" w:color="000000" w:sz="8" w:space="0"/>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宋体" w:hAnsi="宋体" w:eastAsia="宋体" w:cs="宋体"/>
                <w:color w:val="000000"/>
                <w:kern w:val="0"/>
              </w:rPr>
            </w:pPr>
            <w:r>
              <w:rPr>
                <w:rFonts w:hint="eastAsia" w:ascii="宋体" w:hAnsi="宋体" w:eastAsia="宋体" w:cs="宋体"/>
                <w:color w:val="000000"/>
                <w:kern w:val="0"/>
              </w:rPr>
              <w:t>石油类</w:t>
            </w:r>
          </w:p>
        </w:tc>
        <w:tc>
          <w:tcPr>
            <w:tcW w:w="85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150.41 </w:t>
            </w:r>
          </w:p>
        </w:tc>
        <w:tc>
          <w:tcPr>
            <w:tcW w:w="850"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0.74 </w:t>
            </w: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425"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86.70%</w:t>
            </w:r>
          </w:p>
        </w:tc>
        <w:tc>
          <w:tcPr>
            <w:tcW w:w="567"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宋体" w:hAnsi="宋体" w:eastAsia="宋体" w:cs="宋体"/>
                <w:color w:val="000000"/>
                <w:kern w:val="0"/>
              </w:rPr>
            </w:pPr>
          </w:p>
        </w:tc>
        <w:tc>
          <w:tcPr>
            <w:tcW w:w="709"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992"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w:t>
            </w:r>
          </w:p>
        </w:tc>
        <w:tc>
          <w:tcPr>
            <w:tcW w:w="851"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640" w:type="dxa"/>
            <w:vMerge w:val="continue"/>
            <w:tcBorders>
              <w:top w:val="nil"/>
              <w:left w:val="nil"/>
              <w:bottom w:val="single" w:color="000000" w:sz="8" w:space="0"/>
              <w:right w:val="single" w:color="000000" w:sz="8" w:space="0"/>
            </w:tcBorders>
            <w:vAlign w:val="center"/>
          </w:tcPr>
          <w:p>
            <w:pPr>
              <w:widowControl/>
              <w:adjustRightInd w:val="0"/>
              <w:snapToGrid w:val="0"/>
              <w:jc w:val="left"/>
              <w:rPr>
                <w:rFonts w:ascii="Times New Roman" w:hAnsi="Times New Roman" w:eastAsia="宋体" w:cs="Times New Roman"/>
                <w:color w:val="000000"/>
                <w:kern w:val="0"/>
              </w:rPr>
            </w:pPr>
          </w:p>
        </w:tc>
        <w:tc>
          <w:tcPr>
            <w:tcW w:w="1047"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944" w:type="dxa"/>
            <w:tcBorders>
              <w:top w:val="nil"/>
              <w:left w:val="nil"/>
              <w:bottom w:val="single" w:color="000000" w:sz="8" w:space="0"/>
              <w:right w:val="single" w:color="000000" w:sz="8" w:space="0"/>
            </w:tcBorders>
            <w:shd w:val="clear" w:color="auto" w:fill="auto"/>
            <w:vAlign w:val="center"/>
          </w:tcPr>
          <w:p>
            <w:pPr>
              <w:widowControl/>
              <w:adjustRightInd w:val="0"/>
              <w:snapToGrid w:val="0"/>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0.01 </w:t>
            </w:r>
          </w:p>
        </w:tc>
      </w:tr>
    </w:tbl>
    <w:p>
      <w:pPr>
        <w:widowControl/>
        <w:adjustRightInd w:val="0"/>
        <w:snapToGrid w:val="0"/>
        <w:jc w:val="left"/>
        <w:rPr>
          <w:rFonts w:ascii="Times New Roman" w:hAnsi="Times New Roman" w:eastAsia="宋体" w:cs="Times New Roman"/>
          <w:color w:val="FF0000"/>
          <w:kern w:val="0"/>
        </w:rPr>
      </w:pPr>
      <w:r>
        <w:rPr>
          <w:rFonts w:hint="eastAsia" w:ascii="Times New Roman" w:hAnsi="Times New Roman" w:eastAsia="宋体" w:cs="Times New Roman"/>
          <w:color w:val="FF0000"/>
          <w:kern w:val="0"/>
        </w:rPr>
        <w:t>*废水产生浓度类比同类型涂装扩建项目得出。</w:t>
      </w:r>
    </w:p>
    <w:p>
      <w:pPr>
        <w:pStyle w:val="6"/>
      </w:pPr>
      <w:r>
        <w:rPr>
          <w:rFonts w:hint="eastAsia"/>
        </w:rPr>
        <w:t>4.3.2排放口基本情况</w:t>
      </w:r>
    </w:p>
    <w:p>
      <w:pPr>
        <w:pStyle w:val="160"/>
        <w:ind w:firstLine="480"/>
      </w:pPr>
      <w:r>
        <w:rPr>
          <w:rFonts w:hint="eastAsia"/>
        </w:rPr>
        <w:t>扩建项目</w:t>
      </w:r>
      <w:r>
        <w:t>废水</w:t>
      </w:r>
      <w:r>
        <w:rPr>
          <w:rFonts w:hint="eastAsia"/>
        </w:rPr>
        <w:t>排放口基本情况及间接排放口情况见</w:t>
      </w:r>
      <w:r>
        <w:fldChar w:fldCharType="begin"/>
      </w:r>
      <w:r>
        <w:rPr>
          <w:rFonts w:hint="eastAsia"/>
        </w:rPr>
        <w:instrText xml:space="preserve">REF _Ref86168767 \h</w:instrText>
      </w:r>
      <w:r>
        <w:fldChar w:fldCharType="separate"/>
      </w:r>
      <w:r>
        <w:rPr>
          <w:rFonts w:hint="eastAsia"/>
        </w:rPr>
        <w:t>表4.3-2</w:t>
      </w:r>
      <w:r>
        <w:fldChar w:fldCharType="end"/>
      </w:r>
      <w:r>
        <w:rPr>
          <w:rFonts w:hint="eastAsia"/>
        </w:rPr>
        <w:t>、</w:t>
      </w:r>
      <w:r>
        <w:fldChar w:fldCharType="begin"/>
      </w:r>
      <w:r>
        <w:instrText xml:space="preserve"> REF _Ref86168843 \h </w:instrText>
      </w:r>
      <w:r>
        <w:fldChar w:fldCharType="separate"/>
      </w:r>
      <w:r>
        <w:rPr>
          <w:rFonts w:hint="eastAsia"/>
        </w:rPr>
        <w:t>表4.3-3</w:t>
      </w:r>
      <w:r>
        <w:fldChar w:fldCharType="end"/>
      </w:r>
      <w:r>
        <w:rPr>
          <w:rFonts w:hint="eastAsia"/>
        </w:rPr>
        <w:t>。</w:t>
      </w:r>
    </w:p>
    <w:p>
      <w:pPr>
        <w:pStyle w:val="164"/>
      </w:pPr>
      <w:bookmarkStart w:id="50" w:name="_Ref86168767"/>
      <w:r>
        <w:rPr>
          <w:rFonts w:hint="eastAsia"/>
        </w:rPr>
        <w:t>表</w:t>
      </w:r>
      <w:bookmarkEnd w:id="50"/>
      <w:r>
        <w:rPr>
          <w:rFonts w:hint="eastAsia"/>
        </w:rPr>
        <w:t>4.3-2    废水排放口基本情况一览表</w:t>
      </w:r>
    </w:p>
    <w:tbl>
      <w:tblPr>
        <w:tblStyle w:val="162"/>
        <w:tblW w:w="13229" w:type="dxa"/>
        <w:jc w:val="center"/>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5"/>
        <w:gridCol w:w="852"/>
        <w:gridCol w:w="1558"/>
        <w:gridCol w:w="831"/>
        <w:gridCol w:w="934"/>
        <w:gridCol w:w="1259"/>
        <w:gridCol w:w="1106"/>
        <w:gridCol w:w="1445"/>
        <w:gridCol w:w="881"/>
        <w:gridCol w:w="1058"/>
        <w:gridCol w:w="2630"/>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75" w:type="dxa"/>
            <w:vMerge w:val="restart"/>
            <w:shd w:val="clear" w:color="auto" w:fill="auto"/>
            <w:vAlign w:val="center"/>
          </w:tcPr>
          <w:p>
            <w:pPr>
              <w:pStyle w:val="164"/>
              <w:rPr>
                <w:b w:val="0"/>
                <w:bCs/>
              </w:rPr>
            </w:pPr>
            <w:r>
              <w:rPr>
                <w:rFonts w:hint="eastAsia"/>
                <w:b/>
                <w:bCs/>
              </w:rPr>
              <w:t>序号</w:t>
            </w:r>
          </w:p>
        </w:tc>
        <w:tc>
          <w:tcPr>
            <w:tcW w:w="852" w:type="dxa"/>
            <w:vMerge w:val="restart"/>
            <w:shd w:val="clear" w:color="auto" w:fill="auto"/>
            <w:vAlign w:val="center"/>
          </w:tcPr>
          <w:p>
            <w:pPr>
              <w:pStyle w:val="164"/>
              <w:rPr>
                <w:b w:val="0"/>
                <w:bCs/>
              </w:rPr>
            </w:pPr>
            <w:r>
              <w:rPr>
                <w:b/>
                <w:bCs/>
              </w:rPr>
              <w:t>废水类别</w:t>
            </w:r>
          </w:p>
        </w:tc>
        <w:tc>
          <w:tcPr>
            <w:tcW w:w="1558" w:type="dxa"/>
            <w:vMerge w:val="restart"/>
            <w:shd w:val="clear" w:color="auto" w:fill="auto"/>
            <w:vAlign w:val="center"/>
          </w:tcPr>
          <w:p>
            <w:pPr>
              <w:pStyle w:val="164"/>
              <w:rPr>
                <w:b w:val="0"/>
                <w:bCs/>
              </w:rPr>
            </w:pPr>
            <w:r>
              <w:rPr>
                <w:b/>
                <w:bCs/>
              </w:rPr>
              <w:t>污染物</w:t>
            </w:r>
          </w:p>
          <w:p>
            <w:pPr>
              <w:pStyle w:val="164"/>
              <w:rPr>
                <w:b w:val="0"/>
                <w:bCs/>
              </w:rPr>
            </w:pPr>
            <w:r>
              <w:rPr>
                <w:b/>
                <w:bCs/>
              </w:rPr>
              <w:t>种类</w:t>
            </w:r>
          </w:p>
        </w:tc>
        <w:tc>
          <w:tcPr>
            <w:tcW w:w="831" w:type="dxa"/>
            <w:vMerge w:val="restart"/>
            <w:shd w:val="clear" w:color="auto" w:fill="auto"/>
            <w:vAlign w:val="center"/>
          </w:tcPr>
          <w:p>
            <w:pPr>
              <w:pStyle w:val="164"/>
              <w:rPr>
                <w:b w:val="0"/>
                <w:bCs/>
              </w:rPr>
            </w:pPr>
            <w:r>
              <w:rPr>
                <w:b/>
                <w:bCs/>
              </w:rPr>
              <w:t>排放去向</w:t>
            </w:r>
          </w:p>
        </w:tc>
        <w:tc>
          <w:tcPr>
            <w:tcW w:w="934" w:type="dxa"/>
            <w:vMerge w:val="restart"/>
            <w:shd w:val="clear" w:color="auto" w:fill="auto"/>
            <w:vAlign w:val="center"/>
          </w:tcPr>
          <w:p>
            <w:pPr>
              <w:pStyle w:val="164"/>
              <w:rPr>
                <w:b w:val="0"/>
                <w:bCs/>
              </w:rPr>
            </w:pPr>
            <w:r>
              <w:rPr>
                <w:b/>
                <w:bCs/>
              </w:rPr>
              <w:t>排放规律</w:t>
            </w:r>
          </w:p>
        </w:tc>
        <w:tc>
          <w:tcPr>
            <w:tcW w:w="3810" w:type="dxa"/>
            <w:gridSpan w:val="3"/>
            <w:shd w:val="clear" w:color="auto" w:fill="auto"/>
            <w:vAlign w:val="center"/>
          </w:tcPr>
          <w:p>
            <w:pPr>
              <w:pStyle w:val="164"/>
              <w:rPr>
                <w:b w:val="0"/>
                <w:bCs/>
              </w:rPr>
            </w:pPr>
            <w:r>
              <w:rPr>
                <w:b/>
                <w:bCs/>
              </w:rPr>
              <w:t>污染治理设施</w:t>
            </w:r>
          </w:p>
        </w:tc>
        <w:tc>
          <w:tcPr>
            <w:tcW w:w="881" w:type="dxa"/>
            <w:vMerge w:val="restart"/>
            <w:shd w:val="clear" w:color="auto" w:fill="auto"/>
            <w:vAlign w:val="center"/>
          </w:tcPr>
          <w:p>
            <w:pPr>
              <w:pStyle w:val="164"/>
              <w:rPr>
                <w:b w:val="0"/>
                <w:bCs/>
              </w:rPr>
            </w:pPr>
            <w:r>
              <w:rPr>
                <w:b/>
                <w:bCs/>
              </w:rPr>
              <w:t>排放口编号</w:t>
            </w:r>
          </w:p>
        </w:tc>
        <w:tc>
          <w:tcPr>
            <w:tcW w:w="1058" w:type="dxa"/>
            <w:vMerge w:val="restart"/>
            <w:shd w:val="clear" w:color="auto" w:fill="auto"/>
            <w:vAlign w:val="center"/>
          </w:tcPr>
          <w:p>
            <w:pPr>
              <w:pStyle w:val="164"/>
              <w:rPr>
                <w:b w:val="0"/>
                <w:bCs/>
              </w:rPr>
            </w:pPr>
            <w:r>
              <w:rPr>
                <w:b/>
                <w:bCs/>
              </w:rPr>
              <w:t>排放口设置是否符合要求</w:t>
            </w:r>
          </w:p>
        </w:tc>
        <w:tc>
          <w:tcPr>
            <w:tcW w:w="2630" w:type="dxa"/>
            <w:vMerge w:val="restart"/>
            <w:shd w:val="clear" w:color="auto" w:fill="auto"/>
            <w:vAlign w:val="center"/>
          </w:tcPr>
          <w:p>
            <w:pPr>
              <w:pStyle w:val="164"/>
              <w:rPr>
                <w:b w:val="0"/>
                <w:bCs/>
              </w:rPr>
            </w:pPr>
            <w:r>
              <w:rPr>
                <w:b/>
                <w:bCs/>
              </w:rPr>
              <w:t>排放口</w:t>
            </w:r>
          </w:p>
          <w:p>
            <w:pPr>
              <w:pStyle w:val="164"/>
              <w:rPr>
                <w:b w:val="0"/>
                <w:bCs/>
              </w:rPr>
            </w:pPr>
            <w:r>
              <w:rPr>
                <w:b/>
                <w:bCs/>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65" w:hRule="atLeast"/>
          <w:jc w:val="center"/>
        </w:trPr>
        <w:tc>
          <w:tcPr>
            <w:tcW w:w="675" w:type="dxa"/>
            <w:vMerge w:val="continue"/>
            <w:shd w:val="clear" w:color="auto" w:fill="auto"/>
            <w:vAlign w:val="center"/>
          </w:tcPr>
          <w:p>
            <w:pPr>
              <w:pStyle w:val="164"/>
              <w:rPr>
                <w:b/>
                <w:bCs/>
              </w:rPr>
            </w:pPr>
          </w:p>
        </w:tc>
        <w:tc>
          <w:tcPr>
            <w:tcW w:w="852" w:type="dxa"/>
            <w:vMerge w:val="continue"/>
            <w:shd w:val="clear" w:color="auto" w:fill="auto"/>
            <w:vAlign w:val="center"/>
          </w:tcPr>
          <w:p>
            <w:pPr>
              <w:pStyle w:val="164"/>
              <w:rPr>
                <w:b/>
                <w:bCs/>
              </w:rPr>
            </w:pPr>
          </w:p>
        </w:tc>
        <w:tc>
          <w:tcPr>
            <w:tcW w:w="1558" w:type="dxa"/>
            <w:vMerge w:val="continue"/>
            <w:shd w:val="clear" w:color="auto" w:fill="auto"/>
            <w:vAlign w:val="center"/>
          </w:tcPr>
          <w:p>
            <w:pPr>
              <w:pStyle w:val="164"/>
              <w:rPr>
                <w:b/>
                <w:bCs/>
              </w:rPr>
            </w:pPr>
          </w:p>
        </w:tc>
        <w:tc>
          <w:tcPr>
            <w:tcW w:w="831" w:type="dxa"/>
            <w:vMerge w:val="continue"/>
            <w:shd w:val="clear" w:color="auto" w:fill="auto"/>
            <w:vAlign w:val="center"/>
          </w:tcPr>
          <w:p>
            <w:pPr>
              <w:pStyle w:val="164"/>
              <w:rPr>
                <w:b/>
                <w:bCs/>
              </w:rPr>
            </w:pPr>
          </w:p>
        </w:tc>
        <w:tc>
          <w:tcPr>
            <w:tcW w:w="934" w:type="dxa"/>
            <w:vMerge w:val="continue"/>
            <w:shd w:val="clear" w:color="auto" w:fill="auto"/>
            <w:vAlign w:val="center"/>
          </w:tcPr>
          <w:p>
            <w:pPr>
              <w:pStyle w:val="164"/>
              <w:rPr>
                <w:b/>
                <w:bCs/>
              </w:rPr>
            </w:pPr>
          </w:p>
        </w:tc>
        <w:tc>
          <w:tcPr>
            <w:tcW w:w="1259" w:type="dxa"/>
            <w:shd w:val="clear" w:color="auto" w:fill="auto"/>
            <w:vAlign w:val="center"/>
          </w:tcPr>
          <w:p>
            <w:pPr>
              <w:pStyle w:val="164"/>
              <w:rPr>
                <w:b/>
                <w:bCs/>
              </w:rPr>
            </w:pPr>
            <w:r>
              <w:rPr>
                <w:b/>
                <w:bCs/>
              </w:rPr>
              <w:t>污染治理设施</w:t>
            </w:r>
          </w:p>
          <w:p>
            <w:pPr>
              <w:pStyle w:val="164"/>
              <w:rPr>
                <w:b/>
                <w:bCs/>
              </w:rPr>
            </w:pPr>
            <w:r>
              <w:rPr>
                <w:b/>
                <w:bCs/>
              </w:rPr>
              <w:t>编号</w:t>
            </w:r>
          </w:p>
        </w:tc>
        <w:tc>
          <w:tcPr>
            <w:tcW w:w="1106" w:type="dxa"/>
            <w:shd w:val="clear" w:color="auto" w:fill="auto"/>
            <w:vAlign w:val="center"/>
          </w:tcPr>
          <w:p>
            <w:pPr>
              <w:pStyle w:val="164"/>
              <w:rPr>
                <w:b/>
                <w:bCs/>
              </w:rPr>
            </w:pPr>
            <w:r>
              <w:rPr>
                <w:b/>
                <w:bCs/>
              </w:rPr>
              <w:t>污染治理设施名称</w:t>
            </w:r>
          </w:p>
        </w:tc>
        <w:tc>
          <w:tcPr>
            <w:tcW w:w="1445" w:type="dxa"/>
            <w:shd w:val="clear" w:color="auto" w:fill="auto"/>
            <w:vAlign w:val="center"/>
          </w:tcPr>
          <w:p>
            <w:pPr>
              <w:pStyle w:val="164"/>
              <w:rPr>
                <w:b/>
                <w:bCs/>
              </w:rPr>
            </w:pPr>
            <w:r>
              <w:rPr>
                <w:b/>
                <w:bCs/>
              </w:rPr>
              <w:t>污染治理设施工艺</w:t>
            </w:r>
          </w:p>
        </w:tc>
        <w:tc>
          <w:tcPr>
            <w:tcW w:w="881" w:type="dxa"/>
            <w:vMerge w:val="continue"/>
            <w:shd w:val="clear" w:color="auto" w:fill="auto"/>
            <w:vAlign w:val="center"/>
          </w:tcPr>
          <w:p>
            <w:pPr>
              <w:pStyle w:val="164"/>
              <w:rPr>
                <w:color w:val="FF0000"/>
              </w:rPr>
            </w:pPr>
          </w:p>
        </w:tc>
        <w:tc>
          <w:tcPr>
            <w:tcW w:w="1058" w:type="dxa"/>
            <w:vMerge w:val="continue"/>
            <w:shd w:val="clear" w:color="auto" w:fill="auto"/>
            <w:vAlign w:val="center"/>
          </w:tcPr>
          <w:p>
            <w:pPr>
              <w:pStyle w:val="164"/>
              <w:rPr>
                <w:color w:val="FF0000"/>
              </w:rPr>
            </w:pPr>
          </w:p>
        </w:tc>
        <w:tc>
          <w:tcPr>
            <w:tcW w:w="2630" w:type="dxa"/>
            <w:vMerge w:val="continue"/>
            <w:shd w:val="clear" w:color="auto" w:fill="auto"/>
            <w:vAlign w:val="center"/>
          </w:tcPr>
          <w:p>
            <w:pPr>
              <w:pStyle w:val="164"/>
              <w:rPr>
                <w:color w:val="FF0000"/>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50" w:hRule="atLeast"/>
          <w:jc w:val="center"/>
        </w:trPr>
        <w:tc>
          <w:tcPr>
            <w:tcW w:w="675" w:type="dxa"/>
            <w:shd w:val="clear" w:color="auto" w:fill="auto"/>
            <w:vAlign w:val="center"/>
          </w:tcPr>
          <w:p>
            <w:pPr>
              <w:pStyle w:val="164"/>
            </w:pPr>
            <w:r>
              <w:rPr>
                <w:rFonts w:hint="eastAsia"/>
              </w:rPr>
              <w:t>1</w:t>
            </w:r>
          </w:p>
        </w:tc>
        <w:tc>
          <w:tcPr>
            <w:tcW w:w="852" w:type="dxa"/>
            <w:shd w:val="clear" w:color="auto" w:fill="auto"/>
            <w:vAlign w:val="center"/>
          </w:tcPr>
          <w:p>
            <w:pPr>
              <w:pStyle w:val="164"/>
            </w:pPr>
            <w:r>
              <w:rPr>
                <w:rFonts w:hint="eastAsia"/>
              </w:rPr>
              <w:t>生活</w:t>
            </w:r>
          </w:p>
          <w:p>
            <w:pPr>
              <w:pStyle w:val="164"/>
            </w:pPr>
            <w:r>
              <w:rPr>
                <w:rFonts w:hint="eastAsia"/>
              </w:rPr>
              <w:t>污水</w:t>
            </w:r>
          </w:p>
        </w:tc>
        <w:tc>
          <w:tcPr>
            <w:tcW w:w="1558" w:type="dxa"/>
            <w:shd w:val="clear" w:color="auto" w:fill="auto"/>
            <w:vAlign w:val="center"/>
          </w:tcPr>
          <w:p>
            <w:pPr>
              <w:pStyle w:val="164"/>
              <w:rPr>
                <w:color w:val="FF0000"/>
              </w:rPr>
            </w:pPr>
            <w:r>
              <w:rPr>
                <w:rFonts w:hint="eastAsia"/>
                <w:lang w:val="en-US"/>
              </w:rPr>
              <w:t>C</w:t>
            </w:r>
            <w:r>
              <w:rPr>
                <w:lang w:val="en-US"/>
              </w:rPr>
              <w:t>OD</w:t>
            </w:r>
            <w:r>
              <w:rPr>
                <w:rFonts w:hint="eastAsia"/>
              </w:rPr>
              <w:t>、</w:t>
            </w:r>
            <w:r>
              <w:rPr>
                <w:rFonts w:hint="eastAsia"/>
                <w:lang w:val="en-US"/>
              </w:rPr>
              <w:t>B</w:t>
            </w:r>
            <w:r>
              <w:rPr>
                <w:lang w:val="en-US"/>
              </w:rPr>
              <w:t>OD</w:t>
            </w:r>
            <w:r>
              <w:rPr>
                <w:vertAlign w:val="subscript"/>
                <w:lang w:val="en-US"/>
              </w:rPr>
              <w:t>5</w:t>
            </w:r>
            <w:r>
              <w:rPr>
                <w:rFonts w:hint="eastAsia"/>
              </w:rPr>
              <w:t>、</w:t>
            </w:r>
            <w:r>
              <w:rPr>
                <w:rFonts w:hint="eastAsia"/>
                <w:lang w:val="en-US"/>
              </w:rPr>
              <w:t>S</w:t>
            </w:r>
            <w:r>
              <w:rPr>
                <w:lang w:val="en-US"/>
              </w:rPr>
              <w:t>S</w:t>
            </w:r>
            <w:r>
              <w:rPr>
                <w:rFonts w:hint="eastAsia"/>
              </w:rPr>
              <w:t>、</w:t>
            </w:r>
            <w:r>
              <w:t>石油类</w:t>
            </w:r>
            <w:r>
              <w:rPr>
                <w:rFonts w:hint="eastAsia"/>
              </w:rPr>
              <w:t>、</w:t>
            </w:r>
            <w:r>
              <w:t>动植物油</w:t>
            </w:r>
          </w:p>
        </w:tc>
        <w:tc>
          <w:tcPr>
            <w:tcW w:w="831" w:type="dxa"/>
            <w:shd w:val="clear" w:color="auto" w:fill="auto"/>
            <w:vAlign w:val="center"/>
          </w:tcPr>
          <w:p>
            <w:pPr>
              <w:pStyle w:val="164"/>
            </w:pPr>
            <w:r>
              <w:rPr>
                <w:rFonts w:hint="eastAsia"/>
              </w:rPr>
              <w:t>东城污水处理厂</w:t>
            </w:r>
          </w:p>
        </w:tc>
        <w:tc>
          <w:tcPr>
            <w:tcW w:w="934" w:type="dxa"/>
            <w:shd w:val="clear" w:color="auto" w:fill="auto"/>
            <w:vAlign w:val="center"/>
          </w:tcPr>
          <w:p>
            <w:pPr>
              <w:pStyle w:val="164"/>
            </w:pPr>
            <w:r>
              <w:t>间断排放、不稳定且</w:t>
            </w:r>
            <w:r>
              <w:rPr>
                <w:rFonts w:hint="eastAsia"/>
              </w:rPr>
              <w:t>无规律</w:t>
            </w:r>
          </w:p>
        </w:tc>
        <w:tc>
          <w:tcPr>
            <w:tcW w:w="1259" w:type="dxa"/>
            <w:shd w:val="clear" w:color="auto" w:fill="auto"/>
            <w:vAlign w:val="center"/>
          </w:tcPr>
          <w:p>
            <w:pPr>
              <w:pStyle w:val="164"/>
            </w:pPr>
            <w:r>
              <w:t>TW001</w:t>
            </w:r>
          </w:p>
        </w:tc>
        <w:tc>
          <w:tcPr>
            <w:tcW w:w="1106" w:type="dxa"/>
            <w:shd w:val="clear" w:color="auto" w:fill="auto"/>
            <w:vAlign w:val="center"/>
          </w:tcPr>
          <w:p>
            <w:pPr>
              <w:pStyle w:val="164"/>
              <w:rPr>
                <w:color w:val="FF0000"/>
              </w:rPr>
            </w:pPr>
            <w:r>
              <w:rPr>
                <w:rFonts w:hint="eastAsia"/>
              </w:rPr>
              <w:t>综合废水处理站</w:t>
            </w:r>
          </w:p>
        </w:tc>
        <w:tc>
          <w:tcPr>
            <w:tcW w:w="1445" w:type="dxa"/>
            <w:shd w:val="clear" w:color="auto" w:fill="auto"/>
            <w:vAlign w:val="center"/>
          </w:tcPr>
          <w:p>
            <w:pPr>
              <w:pStyle w:val="164"/>
              <w:rPr>
                <w:color w:val="FF0000"/>
              </w:rPr>
            </w:pPr>
            <w:r>
              <w:rPr>
                <w:rFonts w:hint="eastAsia"/>
              </w:rPr>
              <w:t>物化+生化</w:t>
            </w:r>
          </w:p>
        </w:tc>
        <w:tc>
          <w:tcPr>
            <w:tcW w:w="881" w:type="dxa"/>
            <w:shd w:val="clear" w:color="auto" w:fill="auto"/>
            <w:vAlign w:val="center"/>
          </w:tcPr>
          <w:p>
            <w:pPr>
              <w:pStyle w:val="164"/>
            </w:pPr>
            <w:r>
              <w:t>DW001</w:t>
            </w:r>
          </w:p>
        </w:tc>
        <w:tc>
          <w:tcPr>
            <w:tcW w:w="1058" w:type="dxa"/>
            <w:shd w:val="clear" w:color="auto" w:fill="auto"/>
            <w:vAlign w:val="center"/>
          </w:tcPr>
          <w:p>
            <w:pPr>
              <w:pStyle w:val="164"/>
              <w:rPr>
                <w:snapToGrid w:val="0"/>
                <w:kern w:val="20"/>
              </w:rPr>
            </w:pPr>
            <w:r>
              <w:rPr/>
              <w:sym w:font="Wingdings 2" w:char="F052"/>
            </w:r>
            <w:r>
              <w:t>是</w:t>
            </w:r>
          </w:p>
          <w:p>
            <w:pPr>
              <w:pStyle w:val="164"/>
              <w:rPr>
                <w:sz w:val="24"/>
              </w:rPr>
            </w:pPr>
            <w:r>
              <w:rPr>
                <w:sz w:val="24"/>
              </w:rPr>
              <w:t>□</w:t>
            </w:r>
            <w:r>
              <w:t>否</w:t>
            </w:r>
          </w:p>
        </w:tc>
        <w:tc>
          <w:tcPr>
            <w:tcW w:w="2630" w:type="dxa"/>
            <w:shd w:val="clear" w:color="auto" w:fill="auto"/>
            <w:vAlign w:val="center"/>
          </w:tcPr>
          <w:p>
            <w:pPr>
              <w:pStyle w:val="164"/>
              <w:rPr>
                <w:snapToGrid w:val="0"/>
                <w:kern w:val="20"/>
              </w:rPr>
            </w:pPr>
            <w:r>
              <w:rPr/>
              <w:sym w:font="Wingdings 2" w:char="F052"/>
            </w:r>
            <w:r>
              <w:t>企业总排</w:t>
            </w:r>
          </w:p>
          <w:p>
            <w:pPr>
              <w:pStyle w:val="164"/>
            </w:pPr>
            <w:r>
              <w:rPr>
                <w:sz w:val="24"/>
              </w:rPr>
              <w:t>□</w:t>
            </w:r>
            <w:r>
              <w:t>雨水排放</w:t>
            </w:r>
          </w:p>
          <w:p>
            <w:pPr>
              <w:pStyle w:val="164"/>
            </w:pPr>
            <w:r>
              <w:rPr>
                <w:sz w:val="24"/>
              </w:rPr>
              <w:t>□</w:t>
            </w:r>
            <w:r>
              <w:t>清净下水排放</w:t>
            </w:r>
          </w:p>
          <w:p>
            <w:pPr>
              <w:pStyle w:val="164"/>
            </w:pPr>
            <w:r>
              <w:rPr>
                <w:sz w:val="24"/>
              </w:rPr>
              <w:t>□</w:t>
            </w:r>
            <w:r>
              <w:t>温排水排放</w:t>
            </w:r>
          </w:p>
          <w:p>
            <w:pPr>
              <w:pStyle w:val="164"/>
              <w:rPr>
                <w:color w:val="FF0000"/>
              </w:rPr>
            </w:pPr>
            <w:r>
              <w:rPr>
                <w:sz w:val="24"/>
              </w:rPr>
              <w:t>□</w:t>
            </w:r>
            <w:r>
              <w:t>车间或车间处理设施排放口</w:t>
            </w:r>
          </w:p>
        </w:tc>
      </w:tr>
    </w:tbl>
    <w:p>
      <w:pPr>
        <w:pStyle w:val="164"/>
      </w:pPr>
      <w:bookmarkStart w:id="51" w:name="_Ref86168843"/>
      <w:r>
        <w:rPr>
          <w:rFonts w:hint="eastAsia"/>
        </w:rPr>
        <w:t>表</w:t>
      </w:r>
      <w:bookmarkEnd w:id="51"/>
      <w:r>
        <w:rPr>
          <w:rFonts w:hint="eastAsia"/>
        </w:rPr>
        <w:t>4.3-3  废水间接排放口基本情况表</w:t>
      </w:r>
    </w:p>
    <w:tbl>
      <w:tblPr>
        <w:tblStyle w:val="162"/>
        <w:tblW w:w="13228" w:type="dxa"/>
        <w:jc w:val="center"/>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294"/>
        <w:gridCol w:w="748"/>
        <w:gridCol w:w="979"/>
        <w:gridCol w:w="1008"/>
        <w:gridCol w:w="1008"/>
        <w:gridCol w:w="867"/>
        <w:gridCol w:w="1522"/>
        <w:gridCol w:w="611"/>
        <w:gridCol w:w="1196"/>
        <w:gridCol w:w="1130"/>
        <w:gridCol w:w="3865"/>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94" w:type="dxa"/>
            <w:vMerge w:val="restart"/>
            <w:shd w:val="clear" w:color="auto" w:fill="auto"/>
            <w:vAlign w:val="center"/>
          </w:tcPr>
          <w:p>
            <w:pPr>
              <w:pStyle w:val="164"/>
              <w:rPr>
                <w:b/>
              </w:rPr>
            </w:pPr>
            <w:r>
              <w:rPr>
                <w:rFonts w:hint="eastAsia"/>
                <w:b w:val="0"/>
              </w:rPr>
              <w:t>序号</w:t>
            </w:r>
          </w:p>
        </w:tc>
        <w:tc>
          <w:tcPr>
            <w:tcW w:w="748" w:type="dxa"/>
            <w:vMerge w:val="restart"/>
            <w:shd w:val="clear" w:color="auto" w:fill="auto"/>
            <w:noWrap/>
            <w:vAlign w:val="center"/>
          </w:tcPr>
          <w:p>
            <w:pPr>
              <w:pStyle w:val="164"/>
              <w:rPr>
                <w:b/>
              </w:rPr>
            </w:pPr>
            <w:r>
              <w:rPr>
                <w:b w:val="0"/>
              </w:rPr>
              <w:t>排放口编号</w:t>
            </w:r>
          </w:p>
        </w:tc>
        <w:tc>
          <w:tcPr>
            <w:tcW w:w="1987" w:type="dxa"/>
            <w:gridSpan w:val="2"/>
            <w:shd w:val="clear" w:color="auto" w:fill="auto"/>
            <w:vAlign w:val="center"/>
          </w:tcPr>
          <w:p>
            <w:pPr>
              <w:pStyle w:val="164"/>
              <w:rPr>
                <w:b/>
              </w:rPr>
            </w:pPr>
            <w:r>
              <w:rPr>
                <w:b w:val="0"/>
                <w:szCs w:val="21"/>
                <w:lang w:val="en-US"/>
              </w:rPr>
              <w:t>排放口地理坐标</w:t>
            </w:r>
          </w:p>
        </w:tc>
        <w:tc>
          <w:tcPr>
            <w:tcW w:w="1008" w:type="dxa"/>
            <w:vMerge w:val="restart"/>
            <w:shd w:val="clear" w:color="auto" w:fill="auto"/>
            <w:noWrap/>
            <w:vAlign w:val="center"/>
          </w:tcPr>
          <w:p>
            <w:pPr>
              <w:pStyle w:val="164"/>
              <w:rPr>
                <w:b/>
              </w:rPr>
            </w:pPr>
            <w:r>
              <w:rPr>
                <w:b w:val="0"/>
              </w:rPr>
              <w:t>废水排放量</w:t>
            </w:r>
            <w:r>
              <w:rPr>
                <w:rFonts w:hint="eastAsia"/>
                <w:b w:val="0"/>
              </w:rPr>
              <w:t>（万t</w:t>
            </w:r>
            <w:r>
              <w:rPr>
                <w:b w:val="0"/>
              </w:rPr>
              <w:t>/</w:t>
            </w:r>
            <w:r>
              <w:rPr>
                <w:rFonts w:hint="eastAsia"/>
                <w:b w:val="0"/>
              </w:rPr>
              <w:t>a）</w:t>
            </w:r>
          </w:p>
        </w:tc>
        <w:tc>
          <w:tcPr>
            <w:tcW w:w="867" w:type="dxa"/>
            <w:vMerge w:val="restart"/>
            <w:shd w:val="clear" w:color="auto" w:fill="auto"/>
            <w:noWrap/>
            <w:vAlign w:val="center"/>
          </w:tcPr>
          <w:p>
            <w:pPr>
              <w:pStyle w:val="164"/>
              <w:rPr>
                <w:b/>
              </w:rPr>
            </w:pPr>
            <w:r>
              <w:rPr>
                <w:b w:val="0"/>
              </w:rPr>
              <w:t>排放去向</w:t>
            </w:r>
          </w:p>
        </w:tc>
        <w:tc>
          <w:tcPr>
            <w:tcW w:w="1522" w:type="dxa"/>
            <w:vMerge w:val="restart"/>
            <w:shd w:val="clear" w:color="auto" w:fill="auto"/>
            <w:noWrap/>
            <w:vAlign w:val="center"/>
          </w:tcPr>
          <w:p>
            <w:pPr>
              <w:pStyle w:val="164"/>
              <w:rPr>
                <w:b/>
              </w:rPr>
            </w:pPr>
            <w:r>
              <w:rPr>
                <w:b w:val="0"/>
              </w:rPr>
              <w:t>排放规律</w:t>
            </w:r>
          </w:p>
        </w:tc>
        <w:tc>
          <w:tcPr>
            <w:tcW w:w="611" w:type="dxa"/>
            <w:vMerge w:val="restart"/>
            <w:shd w:val="clear" w:color="auto" w:fill="auto"/>
            <w:vAlign w:val="center"/>
          </w:tcPr>
          <w:p>
            <w:pPr>
              <w:pStyle w:val="164"/>
              <w:rPr>
                <w:b/>
              </w:rPr>
            </w:pPr>
            <w:r>
              <w:rPr>
                <w:rFonts w:hint="eastAsia"/>
                <w:b w:val="0"/>
              </w:rPr>
              <w:t>间歇排放时段</w:t>
            </w:r>
          </w:p>
        </w:tc>
        <w:tc>
          <w:tcPr>
            <w:tcW w:w="6191" w:type="dxa"/>
            <w:gridSpan w:val="3"/>
            <w:shd w:val="clear" w:color="auto" w:fill="auto"/>
            <w:noWrap/>
            <w:vAlign w:val="center"/>
          </w:tcPr>
          <w:p>
            <w:pPr>
              <w:pStyle w:val="164"/>
              <w:rPr>
                <w:b/>
              </w:rPr>
            </w:pPr>
            <w:r>
              <w:rPr>
                <w:b w:val="0"/>
              </w:rPr>
              <w:t>受纳污水处理厂信息</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94" w:type="dxa"/>
            <w:vMerge w:val="continue"/>
            <w:shd w:val="clear" w:color="auto" w:fill="auto"/>
            <w:vAlign w:val="center"/>
          </w:tcPr>
          <w:p>
            <w:pPr>
              <w:pStyle w:val="164"/>
            </w:pPr>
          </w:p>
        </w:tc>
        <w:tc>
          <w:tcPr>
            <w:tcW w:w="748" w:type="dxa"/>
            <w:vMerge w:val="continue"/>
            <w:shd w:val="clear" w:color="auto" w:fill="auto"/>
            <w:vAlign w:val="center"/>
          </w:tcPr>
          <w:p>
            <w:pPr>
              <w:pStyle w:val="164"/>
            </w:pPr>
          </w:p>
        </w:tc>
        <w:tc>
          <w:tcPr>
            <w:tcW w:w="979" w:type="dxa"/>
            <w:shd w:val="clear" w:color="auto" w:fill="auto"/>
            <w:vAlign w:val="center"/>
          </w:tcPr>
          <w:p>
            <w:pPr>
              <w:pStyle w:val="164"/>
            </w:pPr>
            <w:r>
              <w:t>经度</w:t>
            </w:r>
          </w:p>
        </w:tc>
        <w:tc>
          <w:tcPr>
            <w:tcW w:w="1008" w:type="dxa"/>
            <w:shd w:val="clear" w:color="auto" w:fill="auto"/>
            <w:vAlign w:val="center"/>
          </w:tcPr>
          <w:p>
            <w:pPr>
              <w:pStyle w:val="164"/>
            </w:pPr>
            <w:r>
              <w:t>纬度</w:t>
            </w:r>
          </w:p>
        </w:tc>
        <w:tc>
          <w:tcPr>
            <w:tcW w:w="1008" w:type="dxa"/>
            <w:vMerge w:val="continue"/>
            <w:shd w:val="clear" w:color="auto" w:fill="auto"/>
            <w:vAlign w:val="center"/>
          </w:tcPr>
          <w:p>
            <w:pPr>
              <w:pStyle w:val="164"/>
              <w:rPr>
                <w:bCs/>
              </w:rPr>
            </w:pPr>
          </w:p>
        </w:tc>
        <w:tc>
          <w:tcPr>
            <w:tcW w:w="867" w:type="dxa"/>
            <w:vMerge w:val="continue"/>
            <w:shd w:val="clear" w:color="auto" w:fill="auto"/>
            <w:vAlign w:val="center"/>
          </w:tcPr>
          <w:p>
            <w:pPr>
              <w:pStyle w:val="164"/>
              <w:rPr>
                <w:bCs/>
              </w:rPr>
            </w:pPr>
          </w:p>
        </w:tc>
        <w:tc>
          <w:tcPr>
            <w:tcW w:w="1522" w:type="dxa"/>
            <w:vMerge w:val="continue"/>
            <w:shd w:val="clear" w:color="auto" w:fill="auto"/>
            <w:vAlign w:val="center"/>
          </w:tcPr>
          <w:p>
            <w:pPr>
              <w:pStyle w:val="164"/>
              <w:rPr>
                <w:bCs/>
              </w:rPr>
            </w:pPr>
          </w:p>
        </w:tc>
        <w:tc>
          <w:tcPr>
            <w:tcW w:w="611" w:type="dxa"/>
            <w:vMerge w:val="continue"/>
            <w:shd w:val="clear" w:color="auto" w:fill="auto"/>
            <w:vAlign w:val="center"/>
          </w:tcPr>
          <w:p>
            <w:pPr>
              <w:pStyle w:val="164"/>
              <w:rPr>
                <w:bCs/>
              </w:rPr>
            </w:pPr>
          </w:p>
        </w:tc>
        <w:tc>
          <w:tcPr>
            <w:tcW w:w="1196" w:type="dxa"/>
            <w:shd w:val="clear" w:color="auto" w:fill="auto"/>
            <w:noWrap/>
            <w:vAlign w:val="center"/>
          </w:tcPr>
          <w:p>
            <w:pPr>
              <w:pStyle w:val="164"/>
              <w:rPr>
                <w:bCs/>
              </w:rPr>
            </w:pPr>
            <w:r>
              <w:rPr>
                <w:bCs/>
              </w:rPr>
              <w:t>名称</w:t>
            </w:r>
          </w:p>
        </w:tc>
        <w:tc>
          <w:tcPr>
            <w:tcW w:w="1130" w:type="dxa"/>
            <w:shd w:val="clear" w:color="auto" w:fill="auto"/>
            <w:noWrap/>
            <w:vAlign w:val="center"/>
          </w:tcPr>
          <w:p>
            <w:pPr>
              <w:pStyle w:val="164"/>
              <w:rPr>
                <w:bCs/>
              </w:rPr>
            </w:pPr>
            <w:r>
              <w:rPr>
                <w:bCs/>
              </w:rPr>
              <w:t>污染物种类</w:t>
            </w:r>
          </w:p>
        </w:tc>
        <w:tc>
          <w:tcPr>
            <w:tcW w:w="3865" w:type="dxa"/>
            <w:shd w:val="clear" w:color="auto" w:fill="auto"/>
            <w:noWrap/>
            <w:vAlign w:val="center"/>
          </w:tcPr>
          <w:p>
            <w:pPr>
              <w:pStyle w:val="164"/>
              <w:rPr>
                <w:bCs/>
              </w:rPr>
            </w:pPr>
            <w:r>
              <w:rPr>
                <w:bCs/>
              </w:rPr>
              <w:t>《城镇污水处理厂污染物排放标准》一级B标（mg/L）</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94" w:type="dxa"/>
            <w:vMerge w:val="restart"/>
            <w:shd w:val="clear" w:color="auto" w:fill="auto"/>
            <w:vAlign w:val="center"/>
          </w:tcPr>
          <w:p>
            <w:pPr>
              <w:pStyle w:val="164"/>
            </w:pPr>
            <w:r>
              <w:t>1</w:t>
            </w:r>
          </w:p>
        </w:tc>
        <w:tc>
          <w:tcPr>
            <w:tcW w:w="748" w:type="dxa"/>
            <w:vMerge w:val="restart"/>
            <w:shd w:val="clear" w:color="auto" w:fill="auto"/>
            <w:noWrap/>
            <w:vAlign w:val="center"/>
          </w:tcPr>
          <w:p>
            <w:pPr>
              <w:pStyle w:val="164"/>
            </w:pPr>
            <w:r>
              <w:t>DW001</w:t>
            </w:r>
          </w:p>
        </w:tc>
        <w:tc>
          <w:tcPr>
            <w:tcW w:w="979" w:type="dxa"/>
            <w:vMerge w:val="restart"/>
            <w:shd w:val="clear" w:color="auto" w:fill="auto"/>
            <w:vAlign w:val="center"/>
          </w:tcPr>
          <w:p>
            <w:pPr>
              <w:pStyle w:val="164"/>
            </w:pPr>
            <w:r>
              <w:rPr>
                <w:rFonts w:hint="eastAsia"/>
              </w:rPr>
              <w:t>106.09</w:t>
            </w:r>
          </w:p>
        </w:tc>
        <w:tc>
          <w:tcPr>
            <w:tcW w:w="1008" w:type="dxa"/>
            <w:vMerge w:val="restart"/>
            <w:shd w:val="clear" w:color="auto" w:fill="auto"/>
            <w:vAlign w:val="center"/>
          </w:tcPr>
          <w:p>
            <w:pPr>
              <w:pStyle w:val="164"/>
            </w:pPr>
            <w:r>
              <w:rPr>
                <w:rFonts w:hint="eastAsia"/>
              </w:rPr>
              <w:t>29.86</w:t>
            </w:r>
          </w:p>
        </w:tc>
        <w:tc>
          <w:tcPr>
            <w:tcW w:w="1008" w:type="dxa"/>
            <w:vMerge w:val="restart"/>
            <w:shd w:val="clear" w:color="auto" w:fill="auto"/>
            <w:noWrap/>
            <w:vAlign w:val="center"/>
          </w:tcPr>
          <w:p>
            <w:pPr>
              <w:pStyle w:val="164"/>
            </w:pPr>
            <w:r>
              <w:t>0.</w:t>
            </w:r>
            <w:r>
              <w:rPr>
                <w:rFonts w:hint="eastAsia"/>
              </w:rPr>
              <w:t>55</w:t>
            </w:r>
          </w:p>
        </w:tc>
        <w:tc>
          <w:tcPr>
            <w:tcW w:w="867" w:type="dxa"/>
            <w:vMerge w:val="restart"/>
            <w:shd w:val="clear" w:color="auto" w:fill="auto"/>
            <w:noWrap/>
            <w:vAlign w:val="center"/>
          </w:tcPr>
          <w:p>
            <w:pPr>
              <w:pStyle w:val="164"/>
              <w:rPr>
                <w:color w:val="FF0000"/>
              </w:rPr>
            </w:pPr>
            <w:r>
              <w:t>市政污水管网</w:t>
            </w:r>
          </w:p>
        </w:tc>
        <w:tc>
          <w:tcPr>
            <w:tcW w:w="1522" w:type="dxa"/>
            <w:vMerge w:val="restart"/>
            <w:shd w:val="clear" w:color="auto" w:fill="auto"/>
            <w:noWrap/>
            <w:vAlign w:val="center"/>
          </w:tcPr>
          <w:p>
            <w:pPr>
              <w:pStyle w:val="164"/>
              <w:rPr>
                <w:color w:val="FF0000"/>
              </w:rPr>
            </w:pPr>
            <w:r>
              <w:t>间断排放，流量不稳</w:t>
            </w:r>
            <w:r>
              <w:rPr>
                <w:rFonts w:hint="eastAsia"/>
              </w:rPr>
              <w:t>定</w:t>
            </w:r>
            <w:r>
              <w:t>且无规律</w:t>
            </w:r>
          </w:p>
        </w:tc>
        <w:tc>
          <w:tcPr>
            <w:tcW w:w="611" w:type="dxa"/>
            <w:vMerge w:val="restart"/>
            <w:shd w:val="clear" w:color="auto" w:fill="auto"/>
            <w:vAlign w:val="center"/>
          </w:tcPr>
          <w:p>
            <w:pPr>
              <w:pStyle w:val="164"/>
              <w:rPr>
                <w:color w:val="FF0000"/>
              </w:rPr>
            </w:pPr>
            <w:r>
              <w:rPr>
                <w:rFonts w:hint="eastAsia"/>
                <w:color w:val="auto"/>
              </w:rPr>
              <w:t>8：</w:t>
            </w:r>
            <w:r>
              <w:rPr>
                <w:color w:val="auto"/>
              </w:rPr>
              <w:t>00</w:t>
            </w:r>
            <w:r>
              <w:rPr>
                <w:rFonts w:hint="eastAsia"/>
                <w:color w:val="auto"/>
              </w:rPr>
              <w:t>~</w:t>
            </w:r>
            <w:r>
              <w:rPr>
                <w:color w:val="auto"/>
              </w:rPr>
              <w:t>18</w:t>
            </w:r>
            <w:r>
              <w:rPr>
                <w:rFonts w:hint="eastAsia"/>
                <w:color w:val="auto"/>
              </w:rPr>
              <w:t>：</w:t>
            </w:r>
            <w:r>
              <w:rPr>
                <w:color w:val="auto"/>
              </w:rPr>
              <w:t>00</w:t>
            </w:r>
          </w:p>
        </w:tc>
        <w:tc>
          <w:tcPr>
            <w:tcW w:w="1196" w:type="dxa"/>
            <w:vMerge w:val="restart"/>
            <w:shd w:val="clear" w:color="auto" w:fill="auto"/>
            <w:noWrap/>
            <w:vAlign w:val="center"/>
          </w:tcPr>
          <w:p>
            <w:pPr>
              <w:pStyle w:val="164"/>
              <w:rPr>
                <w:color w:val="FF0000"/>
              </w:rPr>
            </w:pPr>
            <w:r>
              <w:rPr>
                <w:rFonts w:hint="eastAsia"/>
              </w:rPr>
              <w:t>东城污水处理厂</w:t>
            </w:r>
          </w:p>
        </w:tc>
        <w:tc>
          <w:tcPr>
            <w:tcW w:w="1130" w:type="dxa"/>
            <w:shd w:val="clear" w:color="auto" w:fill="auto"/>
            <w:noWrap/>
            <w:vAlign w:val="center"/>
          </w:tcPr>
          <w:p>
            <w:pPr>
              <w:pStyle w:val="164"/>
            </w:pPr>
            <w:r>
              <w:t>COD</w:t>
            </w:r>
          </w:p>
        </w:tc>
        <w:tc>
          <w:tcPr>
            <w:tcW w:w="3865" w:type="dxa"/>
            <w:shd w:val="clear" w:color="auto" w:fill="auto"/>
            <w:noWrap/>
            <w:vAlign w:val="center"/>
          </w:tcPr>
          <w:p>
            <w:pPr>
              <w:pStyle w:val="164"/>
              <w:rPr>
                <w:color w:val="auto"/>
                <w:szCs w:val="21"/>
              </w:rPr>
            </w:pPr>
            <w:r>
              <w:rPr>
                <w:rFonts w:hint="eastAsia"/>
                <w:color w:val="auto"/>
                <w:szCs w:val="21"/>
              </w:rPr>
              <w:t>60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94" w:type="dxa"/>
            <w:vMerge w:val="continue"/>
            <w:shd w:val="clear" w:color="auto" w:fill="auto"/>
            <w:vAlign w:val="center"/>
          </w:tcPr>
          <w:p>
            <w:pPr>
              <w:pStyle w:val="164"/>
            </w:pPr>
          </w:p>
        </w:tc>
        <w:tc>
          <w:tcPr>
            <w:tcW w:w="748" w:type="dxa"/>
            <w:vMerge w:val="continue"/>
            <w:shd w:val="clear" w:color="auto" w:fill="auto"/>
            <w:noWrap/>
            <w:vAlign w:val="center"/>
          </w:tcPr>
          <w:p>
            <w:pPr>
              <w:pStyle w:val="164"/>
            </w:pPr>
          </w:p>
        </w:tc>
        <w:tc>
          <w:tcPr>
            <w:tcW w:w="979" w:type="dxa"/>
            <w:vMerge w:val="continue"/>
            <w:shd w:val="clear" w:color="auto" w:fill="auto"/>
            <w:vAlign w:val="center"/>
          </w:tcPr>
          <w:p>
            <w:pPr>
              <w:pStyle w:val="164"/>
            </w:pPr>
          </w:p>
        </w:tc>
        <w:tc>
          <w:tcPr>
            <w:tcW w:w="1008" w:type="dxa"/>
            <w:vMerge w:val="continue"/>
            <w:shd w:val="clear" w:color="auto" w:fill="auto"/>
            <w:vAlign w:val="center"/>
          </w:tcPr>
          <w:p>
            <w:pPr>
              <w:pStyle w:val="164"/>
            </w:pPr>
          </w:p>
        </w:tc>
        <w:tc>
          <w:tcPr>
            <w:tcW w:w="1008" w:type="dxa"/>
            <w:vMerge w:val="continue"/>
            <w:shd w:val="clear" w:color="auto" w:fill="auto"/>
            <w:noWrap/>
            <w:vAlign w:val="center"/>
          </w:tcPr>
          <w:p>
            <w:pPr>
              <w:pStyle w:val="164"/>
            </w:pPr>
          </w:p>
        </w:tc>
        <w:tc>
          <w:tcPr>
            <w:tcW w:w="867" w:type="dxa"/>
            <w:vMerge w:val="continue"/>
            <w:shd w:val="clear" w:color="auto" w:fill="auto"/>
            <w:noWrap/>
            <w:vAlign w:val="center"/>
          </w:tcPr>
          <w:p>
            <w:pPr>
              <w:pStyle w:val="164"/>
            </w:pPr>
          </w:p>
        </w:tc>
        <w:tc>
          <w:tcPr>
            <w:tcW w:w="1522" w:type="dxa"/>
            <w:vMerge w:val="continue"/>
            <w:shd w:val="clear" w:color="auto" w:fill="auto"/>
            <w:noWrap/>
            <w:vAlign w:val="center"/>
          </w:tcPr>
          <w:p>
            <w:pPr>
              <w:pStyle w:val="164"/>
            </w:pPr>
          </w:p>
        </w:tc>
        <w:tc>
          <w:tcPr>
            <w:tcW w:w="611" w:type="dxa"/>
            <w:vMerge w:val="continue"/>
            <w:shd w:val="clear" w:color="auto" w:fill="auto"/>
            <w:vAlign w:val="center"/>
          </w:tcPr>
          <w:p>
            <w:pPr>
              <w:pStyle w:val="164"/>
            </w:pPr>
          </w:p>
        </w:tc>
        <w:tc>
          <w:tcPr>
            <w:tcW w:w="1196" w:type="dxa"/>
            <w:vMerge w:val="continue"/>
            <w:shd w:val="clear" w:color="auto" w:fill="auto"/>
            <w:noWrap/>
            <w:vAlign w:val="center"/>
          </w:tcPr>
          <w:p>
            <w:pPr>
              <w:pStyle w:val="164"/>
            </w:pPr>
          </w:p>
        </w:tc>
        <w:tc>
          <w:tcPr>
            <w:tcW w:w="1130" w:type="dxa"/>
            <w:shd w:val="clear" w:color="auto" w:fill="auto"/>
            <w:noWrap/>
            <w:vAlign w:val="center"/>
          </w:tcPr>
          <w:p>
            <w:pPr>
              <w:pStyle w:val="164"/>
            </w:pPr>
            <w:r>
              <w:t>BOD</w:t>
            </w:r>
            <w:r>
              <w:rPr>
                <w:vertAlign w:val="subscript"/>
              </w:rPr>
              <w:t>5</w:t>
            </w:r>
          </w:p>
        </w:tc>
        <w:tc>
          <w:tcPr>
            <w:tcW w:w="3865" w:type="dxa"/>
            <w:shd w:val="clear" w:color="auto" w:fill="auto"/>
            <w:noWrap/>
            <w:vAlign w:val="center"/>
          </w:tcPr>
          <w:p>
            <w:pPr>
              <w:pStyle w:val="164"/>
              <w:rPr>
                <w:color w:val="auto"/>
                <w:szCs w:val="21"/>
              </w:rPr>
            </w:pPr>
            <w:r>
              <w:rPr>
                <w:rFonts w:hint="eastAsia"/>
                <w:color w:val="auto"/>
                <w:szCs w:val="21"/>
              </w:rPr>
              <w:t>20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94" w:type="dxa"/>
            <w:vMerge w:val="continue"/>
            <w:shd w:val="clear" w:color="auto" w:fill="auto"/>
            <w:vAlign w:val="center"/>
          </w:tcPr>
          <w:p>
            <w:pPr>
              <w:pStyle w:val="164"/>
              <w:rPr>
                <w:color w:val="FF0000"/>
              </w:rPr>
            </w:pPr>
          </w:p>
        </w:tc>
        <w:tc>
          <w:tcPr>
            <w:tcW w:w="748" w:type="dxa"/>
            <w:vMerge w:val="continue"/>
            <w:shd w:val="clear" w:color="auto" w:fill="auto"/>
            <w:vAlign w:val="center"/>
          </w:tcPr>
          <w:p>
            <w:pPr>
              <w:pStyle w:val="164"/>
              <w:rPr>
                <w:color w:val="FF0000"/>
              </w:rPr>
            </w:pPr>
          </w:p>
        </w:tc>
        <w:tc>
          <w:tcPr>
            <w:tcW w:w="979" w:type="dxa"/>
            <w:vMerge w:val="continue"/>
            <w:shd w:val="clear" w:color="auto" w:fill="auto"/>
            <w:vAlign w:val="center"/>
          </w:tcPr>
          <w:p>
            <w:pPr>
              <w:pStyle w:val="164"/>
              <w:rPr>
                <w:color w:val="FF0000"/>
              </w:rPr>
            </w:pPr>
          </w:p>
        </w:tc>
        <w:tc>
          <w:tcPr>
            <w:tcW w:w="1008" w:type="dxa"/>
            <w:vMerge w:val="continue"/>
            <w:shd w:val="clear" w:color="auto" w:fill="auto"/>
            <w:vAlign w:val="center"/>
          </w:tcPr>
          <w:p>
            <w:pPr>
              <w:pStyle w:val="164"/>
              <w:rPr>
                <w:color w:val="FF0000"/>
              </w:rPr>
            </w:pPr>
          </w:p>
        </w:tc>
        <w:tc>
          <w:tcPr>
            <w:tcW w:w="1008" w:type="dxa"/>
            <w:vMerge w:val="continue"/>
            <w:shd w:val="clear" w:color="auto" w:fill="auto"/>
            <w:vAlign w:val="center"/>
          </w:tcPr>
          <w:p>
            <w:pPr>
              <w:pStyle w:val="164"/>
              <w:rPr>
                <w:color w:val="FF0000"/>
              </w:rPr>
            </w:pPr>
          </w:p>
        </w:tc>
        <w:tc>
          <w:tcPr>
            <w:tcW w:w="867" w:type="dxa"/>
            <w:vMerge w:val="continue"/>
            <w:shd w:val="clear" w:color="auto" w:fill="auto"/>
            <w:vAlign w:val="center"/>
          </w:tcPr>
          <w:p>
            <w:pPr>
              <w:pStyle w:val="164"/>
              <w:rPr>
                <w:color w:val="FF0000"/>
              </w:rPr>
            </w:pPr>
          </w:p>
        </w:tc>
        <w:tc>
          <w:tcPr>
            <w:tcW w:w="1522" w:type="dxa"/>
            <w:vMerge w:val="continue"/>
            <w:shd w:val="clear" w:color="auto" w:fill="auto"/>
            <w:vAlign w:val="center"/>
          </w:tcPr>
          <w:p>
            <w:pPr>
              <w:pStyle w:val="164"/>
              <w:rPr>
                <w:color w:val="FF0000"/>
              </w:rPr>
            </w:pPr>
          </w:p>
        </w:tc>
        <w:tc>
          <w:tcPr>
            <w:tcW w:w="611" w:type="dxa"/>
            <w:vMerge w:val="continue"/>
            <w:shd w:val="clear" w:color="auto" w:fill="auto"/>
            <w:vAlign w:val="center"/>
          </w:tcPr>
          <w:p>
            <w:pPr>
              <w:pStyle w:val="164"/>
              <w:rPr>
                <w:color w:val="FF0000"/>
              </w:rPr>
            </w:pPr>
          </w:p>
        </w:tc>
        <w:tc>
          <w:tcPr>
            <w:tcW w:w="1196" w:type="dxa"/>
            <w:vMerge w:val="continue"/>
            <w:shd w:val="clear" w:color="auto" w:fill="auto"/>
            <w:vAlign w:val="center"/>
          </w:tcPr>
          <w:p>
            <w:pPr>
              <w:pStyle w:val="164"/>
              <w:rPr>
                <w:color w:val="FF0000"/>
              </w:rPr>
            </w:pPr>
          </w:p>
        </w:tc>
        <w:tc>
          <w:tcPr>
            <w:tcW w:w="1130" w:type="dxa"/>
            <w:shd w:val="clear" w:color="auto" w:fill="auto"/>
            <w:noWrap/>
            <w:vAlign w:val="center"/>
          </w:tcPr>
          <w:p>
            <w:pPr>
              <w:pStyle w:val="164"/>
            </w:pPr>
            <w:r>
              <w:t>SS</w:t>
            </w:r>
          </w:p>
        </w:tc>
        <w:tc>
          <w:tcPr>
            <w:tcW w:w="3865" w:type="dxa"/>
            <w:shd w:val="clear" w:color="auto" w:fill="auto"/>
            <w:noWrap/>
            <w:vAlign w:val="center"/>
          </w:tcPr>
          <w:p>
            <w:pPr>
              <w:pStyle w:val="164"/>
              <w:rPr>
                <w:color w:val="auto"/>
                <w:szCs w:val="21"/>
              </w:rPr>
            </w:pPr>
            <w:r>
              <w:rPr>
                <w:rFonts w:hint="eastAsia"/>
                <w:color w:val="auto"/>
                <w:szCs w:val="21"/>
              </w:rPr>
              <w:t>20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94" w:type="dxa"/>
            <w:vMerge w:val="continue"/>
            <w:shd w:val="clear" w:color="auto" w:fill="auto"/>
            <w:vAlign w:val="center"/>
          </w:tcPr>
          <w:p>
            <w:pPr>
              <w:pStyle w:val="164"/>
              <w:rPr>
                <w:color w:val="FF0000"/>
              </w:rPr>
            </w:pPr>
          </w:p>
        </w:tc>
        <w:tc>
          <w:tcPr>
            <w:tcW w:w="748" w:type="dxa"/>
            <w:vMerge w:val="continue"/>
            <w:shd w:val="clear" w:color="auto" w:fill="auto"/>
            <w:vAlign w:val="center"/>
          </w:tcPr>
          <w:p>
            <w:pPr>
              <w:pStyle w:val="164"/>
              <w:rPr>
                <w:color w:val="FF0000"/>
              </w:rPr>
            </w:pPr>
          </w:p>
        </w:tc>
        <w:tc>
          <w:tcPr>
            <w:tcW w:w="979" w:type="dxa"/>
            <w:vMerge w:val="continue"/>
            <w:shd w:val="clear" w:color="auto" w:fill="auto"/>
            <w:vAlign w:val="center"/>
          </w:tcPr>
          <w:p>
            <w:pPr>
              <w:pStyle w:val="164"/>
              <w:rPr>
                <w:color w:val="FF0000"/>
              </w:rPr>
            </w:pPr>
          </w:p>
        </w:tc>
        <w:tc>
          <w:tcPr>
            <w:tcW w:w="1008" w:type="dxa"/>
            <w:vMerge w:val="continue"/>
            <w:shd w:val="clear" w:color="auto" w:fill="auto"/>
            <w:vAlign w:val="center"/>
          </w:tcPr>
          <w:p>
            <w:pPr>
              <w:pStyle w:val="164"/>
              <w:rPr>
                <w:color w:val="FF0000"/>
              </w:rPr>
            </w:pPr>
          </w:p>
        </w:tc>
        <w:tc>
          <w:tcPr>
            <w:tcW w:w="1008" w:type="dxa"/>
            <w:vMerge w:val="continue"/>
            <w:shd w:val="clear" w:color="auto" w:fill="auto"/>
            <w:vAlign w:val="center"/>
          </w:tcPr>
          <w:p>
            <w:pPr>
              <w:pStyle w:val="164"/>
              <w:rPr>
                <w:color w:val="FF0000"/>
              </w:rPr>
            </w:pPr>
          </w:p>
        </w:tc>
        <w:tc>
          <w:tcPr>
            <w:tcW w:w="867" w:type="dxa"/>
            <w:vMerge w:val="continue"/>
            <w:shd w:val="clear" w:color="auto" w:fill="auto"/>
            <w:vAlign w:val="center"/>
          </w:tcPr>
          <w:p>
            <w:pPr>
              <w:pStyle w:val="164"/>
              <w:rPr>
                <w:color w:val="FF0000"/>
              </w:rPr>
            </w:pPr>
          </w:p>
        </w:tc>
        <w:tc>
          <w:tcPr>
            <w:tcW w:w="1522" w:type="dxa"/>
            <w:vMerge w:val="continue"/>
            <w:shd w:val="clear" w:color="auto" w:fill="auto"/>
            <w:vAlign w:val="center"/>
          </w:tcPr>
          <w:p>
            <w:pPr>
              <w:pStyle w:val="164"/>
              <w:rPr>
                <w:color w:val="FF0000"/>
              </w:rPr>
            </w:pPr>
          </w:p>
        </w:tc>
        <w:tc>
          <w:tcPr>
            <w:tcW w:w="611" w:type="dxa"/>
            <w:vMerge w:val="continue"/>
            <w:shd w:val="clear" w:color="auto" w:fill="auto"/>
            <w:vAlign w:val="center"/>
          </w:tcPr>
          <w:p>
            <w:pPr>
              <w:pStyle w:val="164"/>
              <w:rPr>
                <w:color w:val="FF0000"/>
              </w:rPr>
            </w:pPr>
          </w:p>
        </w:tc>
        <w:tc>
          <w:tcPr>
            <w:tcW w:w="1196" w:type="dxa"/>
            <w:vMerge w:val="continue"/>
            <w:shd w:val="clear" w:color="auto" w:fill="auto"/>
            <w:vAlign w:val="center"/>
          </w:tcPr>
          <w:p>
            <w:pPr>
              <w:pStyle w:val="164"/>
              <w:rPr>
                <w:color w:val="FF0000"/>
              </w:rPr>
            </w:pPr>
          </w:p>
        </w:tc>
        <w:tc>
          <w:tcPr>
            <w:tcW w:w="1130" w:type="dxa"/>
            <w:shd w:val="clear" w:color="auto" w:fill="auto"/>
            <w:noWrap/>
            <w:vAlign w:val="center"/>
          </w:tcPr>
          <w:p>
            <w:pPr>
              <w:pStyle w:val="164"/>
            </w:pPr>
            <w:r>
              <w:t>动植物油</w:t>
            </w:r>
          </w:p>
        </w:tc>
        <w:tc>
          <w:tcPr>
            <w:tcW w:w="3865" w:type="dxa"/>
            <w:shd w:val="clear" w:color="auto" w:fill="auto"/>
            <w:noWrap/>
            <w:vAlign w:val="center"/>
          </w:tcPr>
          <w:p>
            <w:pPr>
              <w:pStyle w:val="164"/>
              <w:rPr>
                <w:color w:val="auto"/>
                <w:szCs w:val="21"/>
              </w:rPr>
            </w:pPr>
            <w:r>
              <w:rPr>
                <w:rFonts w:hint="eastAsia"/>
                <w:color w:val="auto"/>
                <w:szCs w:val="21"/>
              </w:rPr>
              <w:t>3</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294" w:type="dxa"/>
            <w:vMerge w:val="continue"/>
            <w:shd w:val="clear" w:color="auto" w:fill="auto"/>
            <w:vAlign w:val="center"/>
          </w:tcPr>
          <w:p>
            <w:pPr>
              <w:pStyle w:val="164"/>
            </w:pPr>
          </w:p>
        </w:tc>
        <w:tc>
          <w:tcPr>
            <w:tcW w:w="748" w:type="dxa"/>
            <w:vMerge w:val="continue"/>
            <w:shd w:val="clear" w:color="auto" w:fill="auto"/>
            <w:vAlign w:val="center"/>
          </w:tcPr>
          <w:p>
            <w:pPr>
              <w:pStyle w:val="164"/>
            </w:pPr>
          </w:p>
        </w:tc>
        <w:tc>
          <w:tcPr>
            <w:tcW w:w="979" w:type="dxa"/>
            <w:vMerge w:val="continue"/>
            <w:shd w:val="clear" w:color="auto" w:fill="auto"/>
            <w:vAlign w:val="center"/>
          </w:tcPr>
          <w:p>
            <w:pPr>
              <w:pStyle w:val="164"/>
            </w:pPr>
          </w:p>
        </w:tc>
        <w:tc>
          <w:tcPr>
            <w:tcW w:w="1008" w:type="dxa"/>
            <w:vMerge w:val="continue"/>
            <w:shd w:val="clear" w:color="auto" w:fill="auto"/>
            <w:vAlign w:val="center"/>
          </w:tcPr>
          <w:p>
            <w:pPr>
              <w:pStyle w:val="164"/>
            </w:pPr>
          </w:p>
        </w:tc>
        <w:tc>
          <w:tcPr>
            <w:tcW w:w="1008" w:type="dxa"/>
            <w:vMerge w:val="continue"/>
            <w:shd w:val="clear" w:color="auto" w:fill="auto"/>
            <w:vAlign w:val="center"/>
          </w:tcPr>
          <w:p>
            <w:pPr>
              <w:pStyle w:val="164"/>
            </w:pPr>
          </w:p>
        </w:tc>
        <w:tc>
          <w:tcPr>
            <w:tcW w:w="867" w:type="dxa"/>
            <w:vMerge w:val="continue"/>
            <w:shd w:val="clear" w:color="auto" w:fill="auto"/>
            <w:vAlign w:val="center"/>
          </w:tcPr>
          <w:p>
            <w:pPr>
              <w:pStyle w:val="164"/>
            </w:pPr>
          </w:p>
        </w:tc>
        <w:tc>
          <w:tcPr>
            <w:tcW w:w="1522" w:type="dxa"/>
            <w:vMerge w:val="continue"/>
            <w:shd w:val="clear" w:color="auto" w:fill="auto"/>
            <w:vAlign w:val="center"/>
          </w:tcPr>
          <w:p>
            <w:pPr>
              <w:pStyle w:val="164"/>
            </w:pPr>
          </w:p>
        </w:tc>
        <w:tc>
          <w:tcPr>
            <w:tcW w:w="611" w:type="dxa"/>
            <w:vMerge w:val="continue"/>
            <w:shd w:val="clear" w:color="auto" w:fill="auto"/>
            <w:vAlign w:val="center"/>
          </w:tcPr>
          <w:p>
            <w:pPr>
              <w:pStyle w:val="164"/>
              <w:rPr>
                <w:color w:val="auto"/>
              </w:rPr>
            </w:pPr>
          </w:p>
        </w:tc>
        <w:tc>
          <w:tcPr>
            <w:tcW w:w="1196" w:type="dxa"/>
            <w:vMerge w:val="continue"/>
            <w:shd w:val="clear" w:color="auto" w:fill="auto"/>
            <w:vAlign w:val="center"/>
          </w:tcPr>
          <w:p>
            <w:pPr>
              <w:pStyle w:val="164"/>
            </w:pPr>
          </w:p>
        </w:tc>
        <w:tc>
          <w:tcPr>
            <w:tcW w:w="1130" w:type="dxa"/>
            <w:shd w:val="clear" w:color="auto" w:fill="auto"/>
            <w:noWrap/>
            <w:vAlign w:val="center"/>
          </w:tcPr>
          <w:p>
            <w:pPr>
              <w:pStyle w:val="164"/>
            </w:pPr>
            <w:r>
              <w:t>石油类</w:t>
            </w:r>
          </w:p>
        </w:tc>
        <w:tc>
          <w:tcPr>
            <w:tcW w:w="3865" w:type="dxa"/>
            <w:shd w:val="clear" w:color="auto" w:fill="auto"/>
            <w:vAlign w:val="center"/>
          </w:tcPr>
          <w:p>
            <w:pPr>
              <w:pStyle w:val="164"/>
              <w:rPr>
                <w:color w:val="auto"/>
                <w:szCs w:val="21"/>
              </w:rPr>
            </w:pPr>
            <w:r>
              <w:rPr>
                <w:rFonts w:hint="eastAsia"/>
                <w:color w:val="auto"/>
                <w:szCs w:val="21"/>
              </w:rPr>
              <w:t>3</w:t>
            </w:r>
          </w:p>
        </w:tc>
      </w:tr>
    </w:tbl>
    <w:p>
      <w:pPr>
        <w:pStyle w:val="4076"/>
      </w:pPr>
      <w:r>
        <w:t>废水污染物排放执行标准表。</w:t>
      </w:r>
    </w:p>
    <w:p>
      <w:pPr>
        <w:pStyle w:val="164"/>
      </w:pPr>
      <w:r>
        <w:br w:type="page"/>
      </w:r>
    </w:p>
    <w:p>
      <w:pPr>
        <w:pStyle w:val="164"/>
      </w:pPr>
      <w:r>
        <w:rPr>
          <w:rFonts w:hint="eastAsia"/>
        </w:rPr>
        <w:t>表4.3-4  废水污染物排放执行标准表</w:t>
      </w:r>
    </w:p>
    <w:tbl>
      <w:tblPr>
        <w:tblStyle w:val="162"/>
        <w:tblW w:w="13127" w:type="dxa"/>
        <w:jc w:val="center"/>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268"/>
        <w:gridCol w:w="596"/>
        <w:gridCol w:w="1179"/>
        <w:gridCol w:w="3111"/>
        <w:gridCol w:w="1683"/>
        <w:gridCol w:w="4610"/>
        <w:gridCol w:w="1680"/>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restart"/>
            <w:shd w:val="clear" w:color="auto" w:fill="auto"/>
            <w:vAlign w:val="center"/>
          </w:tcPr>
          <w:p>
            <w:pPr>
              <w:pStyle w:val="164"/>
              <w:rPr>
                <w:b/>
              </w:rPr>
            </w:pPr>
            <w:r>
              <w:rPr>
                <w:rFonts w:hint="eastAsia"/>
                <w:b w:val="0"/>
              </w:rPr>
              <w:t>序号</w:t>
            </w:r>
          </w:p>
        </w:tc>
        <w:tc>
          <w:tcPr>
            <w:tcW w:w="596" w:type="dxa"/>
            <w:vMerge w:val="restart"/>
            <w:shd w:val="clear" w:color="auto" w:fill="auto"/>
            <w:noWrap/>
            <w:vAlign w:val="center"/>
          </w:tcPr>
          <w:p>
            <w:pPr>
              <w:pStyle w:val="164"/>
              <w:rPr>
                <w:b/>
              </w:rPr>
            </w:pPr>
            <w:r>
              <w:rPr>
                <w:b w:val="0"/>
              </w:rPr>
              <w:t>排放口</w:t>
            </w:r>
          </w:p>
          <w:p>
            <w:pPr>
              <w:pStyle w:val="164"/>
              <w:rPr>
                <w:b/>
              </w:rPr>
            </w:pPr>
            <w:r>
              <w:rPr>
                <w:b w:val="0"/>
              </w:rPr>
              <w:t>编号</w:t>
            </w:r>
          </w:p>
        </w:tc>
        <w:tc>
          <w:tcPr>
            <w:tcW w:w="1179" w:type="dxa"/>
            <w:vMerge w:val="restart"/>
            <w:shd w:val="clear" w:color="auto" w:fill="auto"/>
            <w:noWrap/>
            <w:vAlign w:val="center"/>
          </w:tcPr>
          <w:p>
            <w:pPr>
              <w:pStyle w:val="164"/>
              <w:rPr>
                <w:b/>
              </w:rPr>
            </w:pPr>
            <w:r>
              <w:rPr>
                <w:b w:val="0"/>
              </w:rPr>
              <w:t>污染物种类</w:t>
            </w:r>
          </w:p>
        </w:tc>
        <w:tc>
          <w:tcPr>
            <w:tcW w:w="11084" w:type="dxa"/>
            <w:gridSpan w:val="4"/>
            <w:shd w:val="clear" w:color="auto" w:fill="auto"/>
            <w:noWrap/>
            <w:vAlign w:val="center"/>
          </w:tcPr>
          <w:p>
            <w:pPr>
              <w:pStyle w:val="164"/>
              <w:rPr>
                <w:b/>
              </w:rPr>
            </w:pPr>
            <w:r>
              <w:rPr>
                <w:b w:val="0"/>
              </w:rPr>
              <w:t>排放标准</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continue"/>
            <w:shd w:val="clear" w:color="auto" w:fill="auto"/>
            <w:vAlign w:val="center"/>
          </w:tcPr>
          <w:p>
            <w:pPr>
              <w:pStyle w:val="164"/>
            </w:pPr>
          </w:p>
        </w:tc>
        <w:tc>
          <w:tcPr>
            <w:tcW w:w="596" w:type="dxa"/>
            <w:vMerge w:val="continue"/>
            <w:shd w:val="clear" w:color="auto" w:fill="auto"/>
            <w:vAlign w:val="center"/>
          </w:tcPr>
          <w:p>
            <w:pPr>
              <w:pStyle w:val="164"/>
            </w:pPr>
          </w:p>
        </w:tc>
        <w:tc>
          <w:tcPr>
            <w:tcW w:w="1179" w:type="dxa"/>
            <w:vMerge w:val="continue"/>
            <w:shd w:val="clear" w:color="auto" w:fill="auto"/>
            <w:vAlign w:val="center"/>
          </w:tcPr>
          <w:p>
            <w:pPr>
              <w:pStyle w:val="164"/>
            </w:pPr>
          </w:p>
        </w:tc>
        <w:tc>
          <w:tcPr>
            <w:tcW w:w="4794" w:type="dxa"/>
            <w:gridSpan w:val="2"/>
            <w:shd w:val="clear" w:color="auto" w:fill="auto"/>
            <w:noWrap/>
            <w:vAlign w:val="center"/>
          </w:tcPr>
          <w:p>
            <w:pPr>
              <w:pStyle w:val="164"/>
              <w:rPr>
                <w:bCs/>
              </w:rPr>
            </w:pPr>
            <w:r>
              <w:rPr>
                <w:bCs/>
              </w:rPr>
              <w:t>排入市政管网</w:t>
            </w:r>
          </w:p>
        </w:tc>
        <w:tc>
          <w:tcPr>
            <w:tcW w:w="6290" w:type="dxa"/>
            <w:gridSpan w:val="2"/>
            <w:shd w:val="clear" w:color="auto" w:fill="auto"/>
            <w:noWrap/>
            <w:vAlign w:val="center"/>
          </w:tcPr>
          <w:p>
            <w:pPr>
              <w:pStyle w:val="164"/>
              <w:rPr>
                <w:bCs/>
              </w:rPr>
            </w:pPr>
            <w:r>
              <w:rPr>
                <w:bCs/>
              </w:rPr>
              <w:t>排入外环境</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continue"/>
            <w:shd w:val="clear" w:color="auto" w:fill="auto"/>
            <w:vAlign w:val="center"/>
          </w:tcPr>
          <w:p>
            <w:pPr>
              <w:pStyle w:val="164"/>
            </w:pPr>
          </w:p>
        </w:tc>
        <w:tc>
          <w:tcPr>
            <w:tcW w:w="596" w:type="dxa"/>
            <w:vMerge w:val="continue"/>
            <w:shd w:val="clear" w:color="auto" w:fill="auto"/>
            <w:vAlign w:val="center"/>
          </w:tcPr>
          <w:p>
            <w:pPr>
              <w:pStyle w:val="164"/>
            </w:pPr>
          </w:p>
        </w:tc>
        <w:tc>
          <w:tcPr>
            <w:tcW w:w="1179" w:type="dxa"/>
            <w:vMerge w:val="continue"/>
            <w:shd w:val="clear" w:color="auto" w:fill="auto"/>
            <w:vAlign w:val="center"/>
          </w:tcPr>
          <w:p>
            <w:pPr>
              <w:pStyle w:val="164"/>
            </w:pPr>
          </w:p>
        </w:tc>
        <w:tc>
          <w:tcPr>
            <w:tcW w:w="3111" w:type="dxa"/>
            <w:shd w:val="clear" w:color="auto" w:fill="auto"/>
            <w:noWrap/>
            <w:vAlign w:val="center"/>
          </w:tcPr>
          <w:p>
            <w:pPr>
              <w:pStyle w:val="164"/>
              <w:rPr>
                <w:bCs/>
              </w:rPr>
            </w:pPr>
            <w:r>
              <w:rPr>
                <w:bCs/>
              </w:rPr>
              <w:t>名称</w:t>
            </w:r>
          </w:p>
        </w:tc>
        <w:tc>
          <w:tcPr>
            <w:tcW w:w="1683" w:type="dxa"/>
            <w:shd w:val="clear" w:color="auto" w:fill="auto"/>
            <w:noWrap/>
            <w:vAlign w:val="center"/>
          </w:tcPr>
          <w:p>
            <w:pPr>
              <w:pStyle w:val="164"/>
              <w:rPr>
                <w:bCs/>
              </w:rPr>
            </w:pPr>
            <w:r>
              <w:rPr>
                <w:bCs/>
              </w:rPr>
              <w:t>标准浓度限值（mg/L</w:t>
            </w:r>
            <w:r>
              <w:rPr>
                <w:rFonts w:hint="eastAsia"/>
                <w:bCs/>
              </w:rPr>
              <w:t>）</w:t>
            </w:r>
          </w:p>
        </w:tc>
        <w:tc>
          <w:tcPr>
            <w:tcW w:w="4610" w:type="dxa"/>
            <w:shd w:val="clear" w:color="auto" w:fill="auto"/>
            <w:noWrap/>
            <w:vAlign w:val="center"/>
          </w:tcPr>
          <w:p>
            <w:pPr>
              <w:pStyle w:val="164"/>
              <w:rPr>
                <w:bCs/>
              </w:rPr>
            </w:pPr>
            <w:r>
              <w:rPr>
                <w:bCs/>
              </w:rPr>
              <w:t>名称</w:t>
            </w:r>
          </w:p>
        </w:tc>
        <w:tc>
          <w:tcPr>
            <w:tcW w:w="1680" w:type="dxa"/>
            <w:shd w:val="clear" w:color="auto" w:fill="auto"/>
            <w:noWrap/>
            <w:vAlign w:val="center"/>
          </w:tcPr>
          <w:p>
            <w:pPr>
              <w:pStyle w:val="164"/>
              <w:rPr>
                <w:bCs/>
              </w:rPr>
            </w:pPr>
            <w:r>
              <w:rPr>
                <w:bCs/>
              </w:rPr>
              <w:t>标准浓度限值</w:t>
            </w:r>
            <w:r>
              <w:rPr>
                <w:rFonts w:hint="eastAsia"/>
                <w:bCs/>
              </w:rPr>
              <w:t>（</w:t>
            </w:r>
            <w:r>
              <w:rPr>
                <w:bCs/>
              </w:rPr>
              <w:t>mg/L</w:t>
            </w:r>
            <w:r>
              <w:rPr>
                <w:rFonts w:hint="eastAsia"/>
                <w:bCs/>
              </w:rPr>
              <w:t>）</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restart"/>
            <w:shd w:val="clear" w:color="auto" w:fill="auto"/>
            <w:vAlign w:val="center"/>
          </w:tcPr>
          <w:p>
            <w:pPr>
              <w:pStyle w:val="164"/>
            </w:pPr>
            <w:r>
              <w:t>1</w:t>
            </w:r>
          </w:p>
        </w:tc>
        <w:tc>
          <w:tcPr>
            <w:tcW w:w="596" w:type="dxa"/>
            <w:vMerge w:val="restart"/>
            <w:shd w:val="clear" w:color="auto" w:fill="auto"/>
            <w:noWrap/>
            <w:vAlign w:val="center"/>
          </w:tcPr>
          <w:p>
            <w:pPr>
              <w:pStyle w:val="164"/>
              <w:rPr>
                <w:color w:val="auto"/>
              </w:rPr>
            </w:pPr>
            <w:r>
              <w:rPr>
                <w:color w:val="auto"/>
              </w:rPr>
              <w:t>DW001</w:t>
            </w:r>
          </w:p>
        </w:tc>
        <w:tc>
          <w:tcPr>
            <w:tcW w:w="1179" w:type="dxa"/>
            <w:shd w:val="clear" w:color="auto" w:fill="auto"/>
            <w:noWrap/>
            <w:vAlign w:val="center"/>
          </w:tcPr>
          <w:p>
            <w:pPr>
              <w:pStyle w:val="164"/>
            </w:pPr>
            <w:r>
              <w:t>COD</w:t>
            </w:r>
          </w:p>
        </w:tc>
        <w:tc>
          <w:tcPr>
            <w:tcW w:w="3111" w:type="dxa"/>
            <w:vMerge w:val="restart"/>
            <w:shd w:val="clear" w:color="auto" w:fill="auto"/>
            <w:noWrap/>
            <w:vAlign w:val="center"/>
          </w:tcPr>
          <w:p>
            <w:pPr>
              <w:pStyle w:val="164"/>
              <w:rPr>
                <w:color w:val="FF0000"/>
              </w:rPr>
            </w:pPr>
            <w:r>
              <w:rPr>
                <w:rFonts w:hint="eastAsia"/>
              </w:rPr>
              <w:t>《污水综合排放标准》（GB8978-1996）三级标准</w:t>
            </w:r>
          </w:p>
        </w:tc>
        <w:tc>
          <w:tcPr>
            <w:tcW w:w="1683" w:type="dxa"/>
            <w:shd w:val="clear" w:color="auto" w:fill="auto"/>
            <w:noWrap/>
            <w:vAlign w:val="center"/>
          </w:tcPr>
          <w:p>
            <w:pPr>
              <w:pStyle w:val="164"/>
            </w:pPr>
            <w:r>
              <w:rPr>
                <w:rFonts w:hint="eastAsia"/>
              </w:rPr>
              <w:t>500</w:t>
            </w:r>
          </w:p>
        </w:tc>
        <w:tc>
          <w:tcPr>
            <w:tcW w:w="4610" w:type="dxa"/>
            <w:vMerge w:val="restart"/>
            <w:shd w:val="clear" w:color="auto" w:fill="auto"/>
            <w:noWrap/>
            <w:vAlign w:val="center"/>
          </w:tcPr>
          <w:p>
            <w:pPr>
              <w:pStyle w:val="164"/>
            </w:pPr>
            <w:r>
              <w:t>《城镇污水处理厂污染物排放标准》</w:t>
            </w:r>
            <w:r>
              <w:rPr>
                <w:rFonts w:hint="eastAsia"/>
              </w:rPr>
              <w:t>（</w:t>
            </w:r>
            <w:r>
              <w:t>GB 18918-2002</w:t>
            </w:r>
            <w:r>
              <w:rPr>
                <w:rFonts w:hint="eastAsia"/>
              </w:rPr>
              <w:t>）</w:t>
            </w:r>
            <w:r>
              <w:t>一级B标准</w:t>
            </w:r>
          </w:p>
        </w:tc>
        <w:tc>
          <w:tcPr>
            <w:tcW w:w="1680" w:type="dxa"/>
            <w:shd w:val="clear" w:color="auto" w:fill="auto"/>
            <w:noWrap/>
            <w:vAlign w:val="center"/>
          </w:tcPr>
          <w:p>
            <w:pPr>
              <w:pStyle w:val="164"/>
              <w:rPr>
                <w:color w:val="auto"/>
                <w:szCs w:val="21"/>
              </w:rPr>
            </w:pPr>
            <w:r>
              <w:rPr>
                <w:rFonts w:hint="eastAsia"/>
                <w:color w:val="auto"/>
                <w:szCs w:val="21"/>
              </w:rPr>
              <w:t>60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continue"/>
            <w:shd w:val="clear" w:color="auto" w:fill="auto"/>
            <w:vAlign w:val="center"/>
          </w:tcPr>
          <w:p>
            <w:pPr>
              <w:pStyle w:val="164"/>
            </w:pPr>
          </w:p>
        </w:tc>
        <w:tc>
          <w:tcPr>
            <w:tcW w:w="596" w:type="dxa"/>
            <w:vMerge w:val="continue"/>
            <w:shd w:val="clear" w:color="auto" w:fill="auto"/>
            <w:noWrap/>
            <w:vAlign w:val="center"/>
          </w:tcPr>
          <w:p>
            <w:pPr>
              <w:pStyle w:val="164"/>
              <w:rPr>
                <w:color w:val="auto"/>
              </w:rPr>
            </w:pPr>
          </w:p>
        </w:tc>
        <w:tc>
          <w:tcPr>
            <w:tcW w:w="1179" w:type="dxa"/>
            <w:shd w:val="clear" w:color="auto" w:fill="auto"/>
            <w:noWrap/>
            <w:vAlign w:val="center"/>
          </w:tcPr>
          <w:p>
            <w:pPr>
              <w:pStyle w:val="164"/>
            </w:pPr>
            <w:r>
              <w:t>BOD</w:t>
            </w:r>
            <w:r>
              <w:rPr>
                <w:vertAlign w:val="subscript"/>
              </w:rPr>
              <w:t>5</w:t>
            </w:r>
          </w:p>
        </w:tc>
        <w:tc>
          <w:tcPr>
            <w:tcW w:w="3111" w:type="dxa"/>
            <w:vMerge w:val="continue"/>
            <w:shd w:val="clear" w:color="auto" w:fill="auto"/>
            <w:noWrap/>
            <w:vAlign w:val="center"/>
          </w:tcPr>
          <w:p>
            <w:pPr>
              <w:pStyle w:val="164"/>
            </w:pPr>
          </w:p>
        </w:tc>
        <w:tc>
          <w:tcPr>
            <w:tcW w:w="1683" w:type="dxa"/>
            <w:shd w:val="clear" w:color="auto" w:fill="auto"/>
            <w:noWrap/>
            <w:vAlign w:val="center"/>
          </w:tcPr>
          <w:p>
            <w:pPr>
              <w:pStyle w:val="164"/>
            </w:pPr>
            <w:r>
              <w:rPr>
                <w:rFonts w:hint="eastAsia"/>
              </w:rPr>
              <w:t>300</w:t>
            </w:r>
          </w:p>
        </w:tc>
        <w:tc>
          <w:tcPr>
            <w:tcW w:w="4610" w:type="dxa"/>
            <w:vMerge w:val="continue"/>
            <w:shd w:val="clear" w:color="auto" w:fill="auto"/>
            <w:noWrap/>
            <w:vAlign w:val="center"/>
          </w:tcPr>
          <w:p>
            <w:pPr>
              <w:pStyle w:val="164"/>
            </w:pPr>
          </w:p>
        </w:tc>
        <w:tc>
          <w:tcPr>
            <w:tcW w:w="1680" w:type="dxa"/>
            <w:shd w:val="clear" w:color="auto" w:fill="auto"/>
            <w:noWrap/>
            <w:vAlign w:val="center"/>
          </w:tcPr>
          <w:p>
            <w:pPr>
              <w:pStyle w:val="164"/>
              <w:rPr>
                <w:color w:val="auto"/>
                <w:szCs w:val="21"/>
              </w:rPr>
            </w:pPr>
            <w:r>
              <w:rPr>
                <w:rFonts w:hint="eastAsia"/>
                <w:color w:val="auto"/>
                <w:szCs w:val="21"/>
              </w:rPr>
              <w:t>20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continue"/>
            <w:shd w:val="clear" w:color="auto" w:fill="auto"/>
            <w:vAlign w:val="center"/>
          </w:tcPr>
          <w:p>
            <w:pPr>
              <w:pStyle w:val="164"/>
            </w:pPr>
          </w:p>
        </w:tc>
        <w:tc>
          <w:tcPr>
            <w:tcW w:w="596" w:type="dxa"/>
            <w:vMerge w:val="continue"/>
            <w:shd w:val="clear" w:color="auto" w:fill="auto"/>
            <w:vAlign w:val="center"/>
          </w:tcPr>
          <w:p>
            <w:pPr>
              <w:pStyle w:val="164"/>
              <w:rPr>
                <w:color w:val="auto"/>
              </w:rPr>
            </w:pPr>
          </w:p>
        </w:tc>
        <w:tc>
          <w:tcPr>
            <w:tcW w:w="1179" w:type="dxa"/>
            <w:shd w:val="clear" w:color="auto" w:fill="auto"/>
            <w:noWrap/>
            <w:vAlign w:val="center"/>
          </w:tcPr>
          <w:p>
            <w:pPr>
              <w:pStyle w:val="164"/>
            </w:pPr>
            <w:r>
              <w:t>SS</w:t>
            </w:r>
          </w:p>
        </w:tc>
        <w:tc>
          <w:tcPr>
            <w:tcW w:w="3111" w:type="dxa"/>
            <w:vMerge w:val="continue"/>
            <w:shd w:val="clear" w:color="auto" w:fill="auto"/>
            <w:vAlign w:val="center"/>
          </w:tcPr>
          <w:p>
            <w:pPr>
              <w:pStyle w:val="164"/>
              <w:rPr>
                <w:color w:val="FF0000"/>
              </w:rPr>
            </w:pPr>
          </w:p>
        </w:tc>
        <w:tc>
          <w:tcPr>
            <w:tcW w:w="1683" w:type="dxa"/>
            <w:shd w:val="clear" w:color="auto" w:fill="auto"/>
            <w:noWrap/>
            <w:vAlign w:val="center"/>
          </w:tcPr>
          <w:p>
            <w:pPr>
              <w:pStyle w:val="164"/>
            </w:pPr>
            <w:r>
              <w:rPr>
                <w:rFonts w:hint="eastAsia"/>
              </w:rPr>
              <w:t>400</w:t>
            </w:r>
          </w:p>
        </w:tc>
        <w:tc>
          <w:tcPr>
            <w:tcW w:w="4610" w:type="dxa"/>
            <w:vMerge w:val="continue"/>
            <w:shd w:val="clear" w:color="auto" w:fill="auto"/>
            <w:vAlign w:val="center"/>
          </w:tcPr>
          <w:p>
            <w:pPr>
              <w:pStyle w:val="164"/>
              <w:rPr>
                <w:color w:val="FF0000"/>
              </w:rPr>
            </w:pPr>
          </w:p>
        </w:tc>
        <w:tc>
          <w:tcPr>
            <w:tcW w:w="1680" w:type="dxa"/>
            <w:shd w:val="clear" w:color="auto" w:fill="auto"/>
            <w:noWrap/>
            <w:vAlign w:val="center"/>
          </w:tcPr>
          <w:p>
            <w:pPr>
              <w:pStyle w:val="164"/>
              <w:rPr>
                <w:color w:val="auto"/>
                <w:szCs w:val="21"/>
              </w:rPr>
            </w:pPr>
            <w:r>
              <w:rPr>
                <w:rFonts w:hint="eastAsia"/>
                <w:color w:val="auto"/>
                <w:szCs w:val="21"/>
              </w:rPr>
              <w:t>20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continue"/>
            <w:shd w:val="clear" w:color="auto" w:fill="auto"/>
            <w:vAlign w:val="center"/>
          </w:tcPr>
          <w:p>
            <w:pPr>
              <w:pStyle w:val="164"/>
            </w:pPr>
          </w:p>
        </w:tc>
        <w:tc>
          <w:tcPr>
            <w:tcW w:w="596" w:type="dxa"/>
            <w:vMerge w:val="continue"/>
            <w:shd w:val="clear" w:color="auto" w:fill="auto"/>
            <w:vAlign w:val="center"/>
          </w:tcPr>
          <w:p>
            <w:pPr>
              <w:pStyle w:val="164"/>
              <w:rPr>
                <w:color w:val="auto"/>
              </w:rPr>
            </w:pPr>
          </w:p>
        </w:tc>
        <w:tc>
          <w:tcPr>
            <w:tcW w:w="1179" w:type="dxa"/>
            <w:shd w:val="clear" w:color="auto" w:fill="auto"/>
            <w:noWrap/>
            <w:vAlign w:val="center"/>
          </w:tcPr>
          <w:p>
            <w:pPr>
              <w:pStyle w:val="164"/>
            </w:pPr>
            <w:r>
              <w:t>动植物油</w:t>
            </w:r>
          </w:p>
        </w:tc>
        <w:tc>
          <w:tcPr>
            <w:tcW w:w="3111" w:type="dxa"/>
            <w:vMerge w:val="continue"/>
            <w:shd w:val="clear" w:color="auto" w:fill="auto"/>
            <w:vAlign w:val="center"/>
          </w:tcPr>
          <w:p>
            <w:pPr>
              <w:pStyle w:val="164"/>
              <w:rPr>
                <w:color w:val="FF0000"/>
              </w:rPr>
            </w:pPr>
          </w:p>
        </w:tc>
        <w:tc>
          <w:tcPr>
            <w:tcW w:w="1683" w:type="dxa"/>
            <w:shd w:val="clear" w:color="auto" w:fill="auto"/>
            <w:noWrap/>
            <w:vAlign w:val="center"/>
          </w:tcPr>
          <w:p>
            <w:pPr>
              <w:pStyle w:val="164"/>
            </w:pPr>
            <w:r>
              <w:rPr>
                <w:rFonts w:hint="eastAsia"/>
              </w:rPr>
              <w:t>100</w:t>
            </w:r>
          </w:p>
        </w:tc>
        <w:tc>
          <w:tcPr>
            <w:tcW w:w="4610" w:type="dxa"/>
            <w:vMerge w:val="continue"/>
            <w:shd w:val="clear" w:color="auto" w:fill="auto"/>
            <w:vAlign w:val="center"/>
          </w:tcPr>
          <w:p>
            <w:pPr>
              <w:pStyle w:val="164"/>
              <w:rPr>
                <w:color w:val="FF0000"/>
              </w:rPr>
            </w:pPr>
          </w:p>
        </w:tc>
        <w:tc>
          <w:tcPr>
            <w:tcW w:w="1680" w:type="dxa"/>
            <w:shd w:val="clear" w:color="auto" w:fill="auto"/>
            <w:noWrap/>
            <w:vAlign w:val="center"/>
          </w:tcPr>
          <w:p>
            <w:pPr>
              <w:pStyle w:val="164"/>
              <w:rPr>
                <w:color w:val="auto"/>
                <w:szCs w:val="21"/>
              </w:rPr>
            </w:pPr>
            <w:r>
              <w:rPr>
                <w:rFonts w:hint="eastAsia"/>
                <w:color w:val="auto"/>
                <w:szCs w:val="21"/>
              </w:rPr>
              <w:t>3</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68" w:type="dxa"/>
            <w:vMerge w:val="continue"/>
            <w:shd w:val="clear" w:color="auto" w:fill="auto"/>
            <w:vAlign w:val="center"/>
          </w:tcPr>
          <w:p>
            <w:pPr>
              <w:pStyle w:val="164"/>
            </w:pPr>
          </w:p>
        </w:tc>
        <w:tc>
          <w:tcPr>
            <w:tcW w:w="596" w:type="dxa"/>
            <w:vMerge w:val="continue"/>
            <w:shd w:val="clear" w:color="auto" w:fill="auto"/>
            <w:vAlign w:val="center"/>
          </w:tcPr>
          <w:p>
            <w:pPr>
              <w:pStyle w:val="164"/>
              <w:rPr>
                <w:color w:val="auto"/>
              </w:rPr>
            </w:pPr>
          </w:p>
        </w:tc>
        <w:tc>
          <w:tcPr>
            <w:tcW w:w="1179" w:type="dxa"/>
            <w:shd w:val="clear" w:color="auto" w:fill="auto"/>
            <w:noWrap/>
            <w:vAlign w:val="center"/>
          </w:tcPr>
          <w:p>
            <w:pPr>
              <w:pStyle w:val="164"/>
            </w:pPr>
            <w:r>
              <w:t>石油类</w:t>
            </w:r>
          </w:p>
        </w:tc>
        <w:tc>
          <w:tcPr>
            <w:tcW w:w="3111" w:type="dxa"/>
            <w:vMerge w:val="continue"/>
            <w:shd w:val="clear" w:color="auto" w:fill="auto"/>
            <w:vAlign w:val="center"/>
          </w:tcPr>
          <w:p>
            <w:pPr>
              <w:pStyle w:val="164"/>
              <w:rPr>
                <w:color w:val="FF0000"/>
              </w:rPr>
            </w:pPr>
          </w:p>
        </w:tc>
        <w:tc>
          <w:tcPr>
            <w:tcW w:w="1683" w:type="dxa"/>
            <w:shd w:val="clear" w:color="auto" w:fill="auto"/>
            <w:noWrap/>
            <w:vAlign w:val="center"/>
          </w:tcPr>
          <w:p>
            <w:pPr>
              <w:pStyle w:val="164"/>
            </w:pPr>
            <w:r>
              <w:rPr>
                <w:rFonts w:hint="eastAsia"/>
              </w:rPr>
              <w:t>20</w:t>
            </w:r>
          </w:p>
        </w:tc>
        <w:tc>
          <w:tcPr>
            <w:tcW w:w="4610" w:type="dxa"/>
            <w:vMerge w:val="continue"/>
            <w:shd w:val="clear" w:color="auto" w:fill="auto"/>
            <w:vAlign w:val="center"/>
          </w:tcPr>
          <w:p>
            <w:pPr>
              <w:pStyle w:val="164"/>
              <w:rPr>
                <w:color w:val="FF0000"/>
              </w:rPr>
            </w:pPr>
          </w:p>
        </w:tc>
        <w:tc>
          <w:tcPr>
            <w:tcW w:w="1680" w:type="dxa"/>
            <w:shd w:val="clear" w:color="auto" w:fill="auto"/>
            <w:noWrap/>
            <w:vAlign w:val="center"/>
          </w:tcPr>
          <w:p>
            <w:pPr>
              <w:pStyle w:val="164"/>
              <w:rPr>
                <w:color w:val="auto"/>
                <w:szCs w:val="21"/>
              </w:rPr>
            </w:pPr>
            <w:r>
              <w:rPr>
                <w:rFonts w:hint="eastAsia"/>
                <w:color w:val="auto"/>
                <w:szCs w:val="21"/>
              </w:rPr>
              <w:t>3</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3127" w:type="dxa"/>
            <w:gridSpan w:val="7"/>
            <w:shd w:val="clear" w:color="auto" w:fill="auto"/>
            <w:vAlign w:val="center"/>
          </w:tcPr>
          <w:p>
            <w:pPr>
              <w:pStyle w:val="164"/>
              <w:rPr>
                <w:color w:val="FF0000"/>
              </w:rPr>
            </w:pPr>
            <w:r>
              <w:rPr>
                <w:rFonts w:hint="eastAsia"/>
              </w:rPr>
              <w:t>注： *执行《污水排入城镇下水道水质标准》（</w:t>
            </w:r>
            <w:r>
              <w:t>GB/T 31962-2015</w:t>
            </w:r>
            <w:r>
              <w:rPr>
                <w:rFonts w:hint="eastAsia"/>
              </w:rPr>
              <w:t>）</w:t>
            </w:r>
          </w:p>
        </w:tc>
      </w:tr>
    </w:tbl>
    <w:p>
      <w:pPr>
        <w:pStyle w:val="4076"/>
      </w:pPr>
      <w:r>
        <w:rPr>
          <w:rFonts w:hint="eastAsia"/>
        </w:rPr>
        <w:t>废水污染物排放信息表</w:t>
      </w:r>
    </w:p>
    <w:p>
      <w:pPr>
        <w:pStyle w:val="164"/>
      </w:pPr>
      <w:r>
        <w:rPr>
          <w:rFonts w:hint="eastAsia"/>
        </w:rPr>
        <w:t>表</w:t>
      </w:r>
      <w:bookmarkStart w:id="52" w:name="_Hlk76130691"/>
      <w:r>
        <w:rPr>
          <w:rFonts w:hint="eastAsia"/>
        </w:rPr>
        <w:t>4.3-5  废水污染物排放信息</w:t>
      </w:r>
      <w:bookmarkEnd w:id="52"/>
      <w:r>
        <w:rPr>
          <w:rFonts w:hint="eastAsia"/>
        </w:rPr>
        <w:t>表</w:t>
      </w:r>
    </w:p>
    <w:tbl>
      <w:tblPr>
        <w:tblStyle w:val="88"/>
        <w:tblW w:w="1322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2"/>
        <w:gridCol w:w="1453"/>
        <w:gridCol w:w="1453"/>
        <w:gridCol w:w="1775"/>
        <w:gridCol w:w="1794"/>
        <w:gridCol w:w="1754"/>
        <w:gridCol w:w="1794"/>
        <w:gridCol w:w="175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52" w:type="dxa"/>
            <w:shd w:val="clear" w:color="auto" w:fill="auto"/>
            <w:vAlign w:val="center"/>
          </w:tcPr>
          <w:p>
            <w:pPr>
              <w:pStyle w:val="164"/>
            </w:pPr>
            <w:r>
              <w:rPr>
                <w:rFonts w:hint="eastAsia"/>
              </w:rPr>
              <w:t>序号</w:t>
            </w:r>
          </w:p>
        </w:tc>
        <w:tc>
          <w:tcPr>
            <w:tcW w:w="1453" w:type="dxa"/>
            <w:shd w:val="clear" w:color="auto" w:fill="auto"/>
            <w:vAlign w:val="center"/>
          </w:tcPr>
          <w:p>
            <w:pPr>
              <w:pStyle w:val="164"/>
            </w:pPr>
            <w:r>
              <w:rPr>
                <w:rFonts w:hint="eastAsia"/>
              </w:rPr>
              <w:t>排放口编号</w:t>
            </w:r>
          </w:p>
        </w:tc>
        <w:tc>
          <w:tcPr>
            <w:tcW w:w="1453" w:type="dxa"/>
            <w:shd w:val="clear" w:color="auto" w:fill="auto"/>
            <w:vAlign w:val="center"/>
          </w:tcPr>
          <w:p>
            <w:pPr>
              <w:pStyle w:val="164"/>
            </w:pPr>
            <w:r>
              <w:rPr>
                <w:rFonts w:hint="eastAsia"/>
              </w:rPr>
              <w:t>污染物种类</w:t>
            </w:r>
          </w:p>
        </w:tc>
        <w:tc>
          <w:tcPr>
            <w:tcW w:w="1775" w:type="dxa"/>
            <w:shd w:val="clear" w:color="auto" w:fill="auto"/>
            <w:vAlign w:val="center"/>
          </w:tcPr>
          <w:p>
            <w:pPr>
              <w:pStyle w:val="164"/>
            </w:pPr>
            <w:r>
              <w:rPr>
                <w:rFonts w:hint="eastAsia"/>
              </w:rPr>
              <w:t>排放浓度</w:t>
            </w:r>
            <w:r>
              <w:t>/（mg/L）</w:t>
            </w:r>
          </w:p>
        </w:tc>
        <w:tc>
          <w:tcPr>
            <w:tcW w:w="1794" w:type="dxa"/>
            <w:shd w:val="clear" w:color="auto" w:fill="auto"/>
            <w:vAlign w:val="center"/>
          </w:tcPr>
          <w:p>
            <w:pPr>
              <w:pStyle w:val="164"/>
            </w:pPr>
            <w:r>
              <w:rPr>
                <w:rFonts w:hint="eastAsia"/>
              </w:rPr>
              <w:t>新增日排放量</w:t>
            </w:r>
            <w:r>
              <w:t>/（t/d）</w:t>
            </w:r>
          </w:p>
        </w:tc>
        <w:tc>
          <w:tcPr>
            <w:tcW w:w="1754" w:type="dxa"/>
            <w:shd w:val="clear" w:color="auto" w:fill="auto"/>
            <w:vAlign w:val="center"/>
          </w:tcPr>
          <w:p>
            <w:pPr>
              <w:pStyle w:val="164"/>
            </w:pPr>
            <w:r>
              <w:rPr>
                <w:rFonts w:hint="eastAsia"/>
              </w:rPr>
              <w:t>全厂日排放量</w:t>
            </w:r>
            <w:r>
              <w:t>/（t/d）</w:t>
            </w:r>
          </w:p>
        </w:tc>
        <w:tc>
          <w:tcPr>
            <w:tcW w:w="1794" w:type="dxa"/>
            <w:shd w:val="clear" w:color="auto" w:fill="auto"/>
            <w:vAlign w:val="center"/>
          </w:tcPr>
          <w:p>
            <w:pPr>
              <w:pStyle w:val="164"/>
            </w:pPr>
            <w:r>
              <w:rPr>
                <w:rFonts w:hint="eastAsia"/>
              </w:rPr>
              <w:t>新增年排放量</w:t>
            </w:r>
            <w:r>
              <w:t>/（t/a）</w:t>
            </w:r>
          </w:p>
        </w:tc>
        <w:tc>
          <w:tcPr>
            <w:tcW w:w="1754" w:type="dxa"/>
            <w:shd w:val="clear" w:color="auto" w:fill="auto"/>
            <w:vAlign w:val="center"/>
          </w:tcPr>
          <w:p>
            <w:pPr>
              <w:pStyle w:val="164"/>
            </w:pPr>
            <w:r>
              <w:rPr>
                <w:rFonts w:hint="eastAsia"/>
              </w:rPr>
              <w:t>全厂年排放量</w:t>
            </w:r>
            <w:r>
              <w:t>/（t/a）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52" w:type="dxa"/>
            <w:vMerge w:val="restart"/>
            <w:shd w:val="clear" w:color="auto" w:fill="auto"/>
            <w:vAlign w:val="center"/>
          </w:tcPr>
          <w:p>
            <w:pPr>
              <w:pStyle w:val="164"/>
            </w:pPr>
            <w:r>
              <w:rPr>
                <w:rFonts w:hint="eastAsia"/>
              </w:rPr>
              <w:t>1</w:t>
            </w:r>
          </w:p>
        </w:tc>
        <w:tc>
          <w:tcPr>
            <w:tcW w:w="1453" w:type="dxa"/>
            <w:vMerge w:val="restart"/>
            <w:shd w:val="clear" w:color="auto" w:fill="auto"/>
            <w:vAlign w:val="center"/>
          </w:tcPr>
          <w:p>
            <w:pPr>
              <w:pStyle w:val="164"/>
            </w:pPr>
            <w:r>
              <w:rPr>
                <w:rFonts w:hint="eastAsia"/>
              </w:rPr>
              <w:t>DW001</w:t>
            </w:r>
          </w:p>
        </w:tc>
        <w:tc>
          <w:tcPr>
            <w:tcW w:w="1453" w:type="dxa"/>
            <w:shd w:val="clear" w:color="auto" w:fill="auto"/>
            <w:vAlign w:val="center"/>
          </w:tcPr>
          <w:p>
            <w:pPr>
              <w:pStyle w:val="164"/>
            </w:pPr>
            <w:r>
              <w:t>COD</w:t>
            </w:r>
          </w:p>
        </w:tc>
        <w:tc>
          <w:tcPr>
            <w:tcW w:w="1775" w:type="dxa"/>
            <w:shd w:val="clear" w:color="auto" w:fill="auto"/>
            <w:vAlign w:val="center"/>
          </w:tcPr>
          <w:p>
            <w:pPr>
              <w:pStyle w:val="164"/>
            </w:pPr>
            <w:r>
              <w:rPr>
                <w:rFonts w:hint="eastAsia"/>
              </w:rPr>
              <w:t>500</w:t>
            </w:r>
          </w:p>
        </w:tc>
        <w:tc>
          <w:tcPr>
            <w:tcW w:w="1794" w:type="dxa"/>
            <w:shd w:val="clear" w:color="auto" w:fill="auto"/>
            <w:vAlign w:val="center"/>
          </w:tcPr>
          <w:p>
            <w:pPr>
              <w:pStyle w:val="164"/>
            </w:pPr>
            <w:r>
              <w:rPr>
                <w:rFonts w:hint="eastAsia"/>
              </w:rPr>
              <w:t xml:space="preserve">0.008 </w:t>
            </w:r>
          </w:p>
        </w:tc>
        <w:tc>
          <w:tcPr>
            <w:tcW w:w="1754" w:type="dxa"/>
            <w:shd w:val="clear" w:color="auto" w:fill="auto"/>
            <w:vAlign w:val="center"/>
          </w:tcPr>
          <w:p>
            <w:pPr>
              <w:pStyle w:val="164"/>
            </w:pPr>
            <w:r>
              <w:rPr>
                <w:rFonts w:hint="eastAsia"/>
              </w:rPr>
              <w:t xml:space="preserve">0.012 </w:t>
            </w:r>
          </w:p>
        </w:tc>
        <w:tc>
          <w:tcPr>
            <w:tcW w:w="1794" w:type="dxa"/>
            <w:shd w:val="clear" w:color="auto" w:fill="auto"/>
            <w:vAlign w:val="center"/>
          </w:tcPr>
          <w:p>
            <w:pPr>
              <w:pStyle w:val="164"/>
            </w:pPr>
            <w:r>
              <w:rPr>
                <w:rFonts w:hint="eastAsia"/>
              </w:rPr>
              <w:t xml:space="preserve">2.461 </w:t>
            </w:r>
          </w:p>
        </w:tc>
        <w:tc>
          <w:tcPr>
            <w:tcW w:w="1754" w:type="dxa"/>
            <w:shd w:val="clear" w:color="auto" w:fill="auto"/>
            <w:vAlign w:val="center"/>
          </w:tcPr>
          <w:p>
            <w:pPr>
              <w:pStyle w:val="164"/>
            </w:pPr>
            <w:r>
              <w:rPr>
                <w:rFonts w:hint="eastAsia"/>
              </w:rPr>
              <w:t xml:space="preserve">3.486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52" w:type="dxa"/>
            <w:vMerge w:val="continue"/>
            <w:vAlign w:val="center"/>
          </w:tcPr>
          <w:p>
            <w:pPr>
              <w:pStyle w:val="164"/>
            </w:pPr>
          </w:p>
        </w:tc>
        <w:tc>
          <w:tcPr>
            <w:tcW w:w="1453" w:type="dxa"/>
            <w:vMerge w:val="continue"/>
            <w:vAlign w:val="center"/>
          </w:tcPr>
          <w:p>
            <w:pPr>
              <w:pStyle w:val="164"/>
            </w:pPr>
          </w:p>
        </w:tc>
        <w:tc>
          <w:tcPr>
            <w:tcW w:w="1453" w:type="dxa"/>
            <w:shd w:val="clear" w:color="auto" w:fill="auto"/>
            <w:vAlign w:val="center"/>
          </w:tcPr>
          <w:p>
            <w:pPr>
              <w:pStyle w:val="164"/>
            </w:pPr>
            <w:r>
              <w:t>BOD</w:t>
            </w:r>
            <w:r>
              <w:rPr>
                <w:vertAlign w:val="subscript"/>
              </w:rPr>
              <w:t>5</w:t>
            </w:r>
          </w:p>
        </w:tc>
        <w:tc>
          <w:tcPr>
            <w:tcW w:w="1775" w:type="dxa"/>
            <w:shd w:val="clear" w:color="auto" w:fill="auto"/>
            <w:vAlign w:val="center"/>
          </w:tcPr>
          <w:p>
            <w:pPr>
              <w:pStyle w:val="164"/>
            </w:pPr>
            <w:r>
              <w:rPr>
                <w:rFonts w:hint="eastAsia"/>
              </w:rPr>
              <w:t>100</w:t>
            </w:r>
          </w:p>
        </w:tc>
        <w:tc>
          <w:tcPr>
            <w:tcW w:w="1794" w:type="dxa"/>
            <w:shd w:val="clear" w:color="auto" w:fill="auto"/>
            <w:vAlign w:val="center"/>
          </w:tcPr>
          <w:p>
            <w:pPr>
              <w:pStyle w:val="164"/>
            </w:pPr>
            <w:r>
              <w:rPr>
                <w:rFonts w:hint="eastAsia"/>
              </w:rPr>
              <w:t xml:space="preserve">0.002 </w:t>
            </w:r>
          </w:p>
        </w:tc>
        <w:tc>
          <w:tcPr>
            <w:tcW w:w="1754" w:type="dxa"/>
            <w:shd w:val="clear" w:color="auto" w:fill="auto"/>
            <w:vAlign w:val="center"/>
          </w:tcPr>
          <w:p>
            <w:pPr>
              <w:pStyle w:val="164"/>
            </w:pPr>
            <w:r>
              <w:rPr>
                <w:rFonts w:hint="eastAsia"/>
              </w:rPr>
              <w:t xml:space="preserve">0.002 </w:t>
            </w:r>
          </w:p>
        </w:tc>
        <w:tc>
          <w:tcPr>
            <w:tcW w:w="1794" w:type="dxa"/>
            <w:shd w:val="clear" w:color="auto" w:fill="auto"/>
            <w:vAlign w:val="center"/>
          </w:tcPr>
          <w:p>
            <w:pPr>
              <w:pStyle w:val="164"/>
            </w:pPr>
            <w:r>
              <w:rPr>
                <w:rFonts w:hint="eastAsia"/>
              </w:rPr>
              <w:t xml:space="preserve">0.492 </w:t>
            </w:r>
          </w:p>
        </w:tc>
        <w:tc>
          <w:tcPr>
            <w:tcW w:w="1754" w:type="dxa"/>
            <w:shd w:val="clear" w:color="auto" w:fill="auto"/>
            <w:vAlign w:val="center"/>
          </w:tcPr>
          <w:p>
            <w:pPr>
              <w:pStyle w:val="164"/>
            </w:pPr>
            <w:r>
              <w:rPr>
                <w:rFonts w:hint="eastAsia"/>
              </w:rPr>
              <w:t xml:space="preserve">0.697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52" w:type="dxa"/>
            <w:vMerge w:val="continue"/>
            <w:vAlign w:val="center"/>
          </w:tcPr>
          <w:p>
            <w:pPr>
              <w:pStyle w:val="164"/>
            </w:pPr>
          </w:p>
        </w:tc>
        <w:tc>
          <w:tcPr>
            <w:tcW w:w="1453" w:type="dxa"/>
            <w:vMerge w:val="continue"/>
            <w:vAlign w:val="center"/>
          </w:tcPr>
          <w:p>
            <w:pPr>
              <w:pStyle w:val="164"/>
            </w:pPr>
          </w:p>
        </w:tc>
        <w:tc>
          <w:tcPr>
            <w:tcW w:w="1453" w:type="dxa"/>
            <w:shd w:val="clear" w:color="auto" w:fill="auto"/>
            <w:vAlign w:val="center"/>
          </w:tcPr>
          <w:p>
            <w:pPr>
              <w:pStyle w:val="164"/>
            </w:pPr>
            <w:r>
              <w:t>SS</w:t>
            </w:r>
          </w:p>
        </w:tc>
        <w:tc>
          <w:tcPr>
            <w:tcW w:w="1775" w:type="dxa"/>
            <w:shd w:val="clear" w:color="auto" w:fill="auto"/>
            <w:vAlign w:val="center"/>
          </w:tcPr>
          <w:p>
            <w:pPr>
              <w:pStyle w:val="164"/>
            </w:pPr>
            <w:r>
              <w:rPr>
                <w:rFonts w:hint="eastAsia"/>
              </w:rPr>
              <w:t>400</w:t>
            </w:r>
          </w:p>
        </w:tc>
        <w:tc>
          <w:tcPr>
            <w:tcW w:w="1794" w:type="dxa"/>
            <w:shd w:val="clear" w:color="auto" w:fill="auto"/>
            <w:vAlign w:val="center"/>
          </w:tcPr>
          <w:p>
            <w:pPr>
              <w:pStyle w:val="164"/>
            </w:pPr>
            <w:r>
              <w:rPr>
                <w:rFonts w:hint="eastAsia"/>
              </w:rPr>
              <w:t xml:space="preserve">0.007 </w:t>
            </w:r>
          </w:p>
        </w:tc>
        <w:tc>
          <w:tcPr>
            <w:tcW w:w="1754" w:type="dxa"/>
            <w:shd w:val="clear" w:color="auto" w:fill="auto"/>
            <w:vAlign w:val="center"/>
          </w:tcPr>
          <w:p>
            <w:pPr>
              <w:pStyle w:val="164"/>
            </w:pPr>
            <w:r>
              <w:rPr>
                <w:rFonts w:hint="eastAsia"/>
              </w:rPr>
              <w:t xml:space="preserve">0.009 </w:t>
            </w:r>
          </w:p>
        </w:tc>
        <w:tc>
          <w:tcPr>
            <w:tcW w:w="1794" w:type="dxa"/>
            <w:shd w:val="clear" w:color="auto" w:fill="auto"/>
            <w:vAlign w:val="center"/>
          </w:tcPr>
          <w:p>
            <w:pPr>
              <w:pStyle w:val="164"/>
            </w:pPr>
            <w:r>
              <w:rPr>
                <w:rFonts w:hint="eastAsia"/>
              </w:rPr>
              <w:t xml:space="preserve">1.969 </w:t>
            </w:r>
          </w:p>
        </w:tc>
        <w:tc>
          <w:tcPr>
            <w:tcW w:w="1754" w:type="dxa"/>
            <w:shd w:val="clear" w:color="auto" w:fill="auto"/>
            <w:vAlign w:val="center"/>
          </w:tcPr>
          <w:p>
            <w:pPr>
              <w:pStyle w:val="164"/>
            </w:pPr>
            <w:r>
              <w:rPr>
                <w:rFonts w:hint="eastAsia"/>
              </w:rPr>
              <w:t xml:space="preserve">2.789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52" w:type="dxa"/>
            <w:vMerge w:val="continue"/>
            <w:vAlign w:val="center"/>
          </w:tcPr>
          <w:p>
            <w:pPr>
              <w:pStyle w:val="164"/>
            </w:pPr>
          </w:p>
        </w:tc>
        <w:tc>
          <w:tcPr>
            <w:tcW w:w="1453" w:type="dxa"/>
            <w:vMerge w:val="continue"/>
            <w:vAlign w:val="center"/>
          </w:tcPr>
          <w:p>
            <w:pPr>
              <w:pStyle w:val="164"/>
            </w:pPr>
          </w:p>
        </w:tc>
        <w:tc>
          <w:tcPr>
            <w:tcW w:w="1453" w:type="dxa"/>
            <w:shd w:val="clear" w:color="auto" w:fill="auto"/>
            <w:vAlign w:val="center"/>
          </w:tcPr>
          <w:p>
            <w:pPr>
              <w:pStyle w:val="164"/>
            </w:pPr>
            <w:r>
              <w:rPr>
                <w:rFonts w:hint="eastAsia"/>
              </w:rPr>
              <w:t>动植物油</w:t>
            </w:r>
          </w:p>
        </w:tc>
        <w:tc>
          <w:tcPr>
            <w:tcW w:w="1775" w:type="dxa"/>
            <w:shd w:val="clear" w:color="auto" w:fill="auto"/>
            <w:vAlign w:val="center"/>
          </w:tcPr>
          <w:p>
            <w:pPr>
              <w:pStyle w:val="164"/>
            </w:pPr>
            <w:r>
              <w:rPr>
                <w:rFonts w:hint="eastAsia"/>
              </w:rPr>
              <w:t>40</w:t>
            </w:r>
          </w:p>
        </w:tc>
        <w:tc>
          <w:tcPr>
            <w:tcW w:w="1794" w:type="dxa"/>
            <w:shd w:val="clear" w:color="auto" w:fill="auto"/>
            <w:vAlign w:val="center"/>
          </w:tcPr>
          <w:p>
            <w:pPr>
              <w:pStyle w:val="164"/>
            </w:pPr>
            <w:r>
              <w:rPr>
                <w:rFonts w:hint="eastAsia"/>
              </w:rPr>
              <w:t xml:space="preserve">0.001 </w:t>
            </w:r>
          </w:p>
        </w:tc>
        <w:tc>
          <w:tcPr>
            <w:tcW w:w="1754" w:type="dxa"/>
            <w:shd w:val="clear" w:color="auto" w:fill="auto"/>
            <w:vAlign w:val="center"/>
          </w:tcPr>
          <w:p>
            <w:pPr>
              <w:pStyle w:val="164"/>
            </w:pPr>
            <w:r>
              <w:rPr>
                <w:rFonts w:hint="eastAsia"/>
              </w:rPr>
              <w:t xml:space="preserve">0.001 </w:t>
            </w:r>
          </w:p>
        </w:tc>
        <w:tc>
          <w:tcPr>
            <w:tcW w:w="1794" w:type="dxa"/>
            <w:shd w:val="clear" w:color="auto" w:fill="auto"/>
            <w:vAlign w:val="center"/>
          </w:tcPr>
          <w:p>
            <w:pPr>
              <w:pStyle w:val="164"/>
            </w:pPr>
            <w:r>
              <w:rPr>
                <w:rFonts w:hint="eastAsia"/>
              </w:rPr>
              <w:t xml:space="preserve">0.197 </w:t>
            </w:r>
          </w:p>
        </w:tc>
        <w:tc>
          <w:tcPr>
            <w:tcW w:w="1754" w:type="dxa"/>
            <w:shd w:val="clear" w:color="auto" w:fill="auto"/>
            <w:vAlign w:val="center"/>
          </w:tcPr>
          <w:p>
            <w:pPr>
              <w:pStyle w:val="164"/>
            </w:pPr>
            <w:r>
              <w:rPr>
                <w:rFonts w:hint="eastAsia"/>
              </w:rPr>
              <w:t xml:space="preserve">0.279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52" w:type="dxa"/>
            <w:vMerge w:val="continue"/>
            <w:vAlign w:val="center"/>
          </w:tcPr>
          <w:p>
            <w:pPr>
              <w:pStyle w:val="164"/>
            </w:pPr>
          </w:p>
        </w:tc>
        <w:tc>
          <w:tcPr>
            <w:tcW w:w="1453" w:type="dxa"/>
            <w:vMerge w:val="continue"/>
            <w:vAlign w:val="center"/>
          </w:tcPr>
          <w:p>
            <w:pPr>
              <w:pStyle w:val="164"/>
            </w:pPr>
          </w:p>
        </w:tc>
        <w:tc>
          <w:tcPr>
            <w:tcW w:w="1453" w:type="dxa"/>
            <w:shd w:val="clear" w:color="auto" w:fill="auto"/>
            <w:vAlign w:val="center"/>
          </w:tcPr>
          <w:p>
            <w:pPr>
              <w:pStyle w:val="164"/>
            </w:pPr>
            <w:r>
              <w:rPr>
                <w:rFonts w:hint="eastAsia"/>
              </w:rPr>
              <w:t>石油类</w:t>
            </w:r>
          </w:p>
        </w:tc>
        <w:tc>
          <w:tcPr>
            <w:tcW w:w="1775" w:type="dxa"/>
            <w:shd w:val="clear" w:color="auto" w:fill="auto"/>
            <w:vAlign w:val="center"/>
          </w:tcPr>
          <w:p>
            <w:pPr>
              <w:pStyle w:val="164"/>
            </w:pPr>
            <w:r>
              <w:rPr>
                <w:rFonts w:hint="eastAsia"/>
              </w:rPr>
              <w:t>20</w:t>
            </w:r>
          </w:p>
        </w:tc>
        <w:tc>
          <w:tcPr>
            <w:tcW w:w="1794" w:type="dxa"/>
            <w:shd w:val="clear" w:color="auto" w:fill="auto"/>
            <w:vAlign w:val="center"/>
          </w:tcPr>
          <w:p>
            <w:pPr>
              <w:pStyle w:val="164"/>
            </w:pPr>
            <w:r>
              <w:rPr>
                <w:rFonts w:hint="eastAsia"/>
              </w:rPr>
              <w:t xml:space="preserve">0.000 </w:t>
            </w:r>
          </w:p>
        </w:tc>
        <w:tc>
          <w:tcPr>
            <w:tcW w:w="1754" w:type="dxa"/>
            <w:shd w:val="clear" w:color="auto" w:fill="auto"/>
            <w:vAlign w:val="center"/>
          </w:tcPr>
          <w:p>
            <w:pPr>
              <w:pStyle w:val="164"/>
            </w:pPr>
            <w:r>
              <w:rPr>
                <w:rFonts w:hint="eastAsia"/>
              </w:rPr>
              <w:t xml:space="preserve">0.000 </w:t>
            </w:r>
          </w:p>
        </w:tc>
        <w:tc>
          <w:tcPr>
            <w:tcW w:w="1794" w:type="dxa"/>
            <w:shd w:val="clear" w:color="auto" w:fill="auto"/>
            <w:vAlign w:val="center"/>
          </w:tcPr>
          <w:p>
            <w:pPr>
              <w:pStyle w:val="164"/>
            </w:pPr>
            <w:r>
              <w:rPr>
                <w:rFonts w:hint="eastAsia"/>
              </w:rPr>
              <w:t xml:space="preserve">0.098 </w:t>
            </w:r>
          </w:p>
        </w:tc>
        <w:tc>
          <w:tcPr>
            <w:tcW w:w="1754" w:type="dxa"/>
            <w:shd w:val="clear" w:color="auto" w:fill="auto"/>
            <w:vAlign w:val="center"/>
          </w:tcPr>
          <w:p>
            <w:pPr>
              <w:pStyle w:val="164"/>
            </w:pPr>
            <w:r>
              <w:rPr>
                <w:rFonts w:hint="eastAsia"/>
              </w:rPr>
              <w:t xml:space="preserve">0.139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gridSpan w:val="2"/>
            <w:vMerge w:val="restart"/>
            <w:shd w:val="clear" w:color="auto" w:fill="auto"/>
            <w:vAlign w:val="center"/>
          </w:tcPr>
          <w:p>
            <w:pPr>
              <w:pStyle w:val="164"/>
            </w:pPr>
            <w:r>
              <w:rPr>
                <w:rFonts w:hint="eastAsia"/>
              </w:rPr>
              <w:t>全厂排放口合计</w:t>
            </w:r>
          </w:p>
        </w:tc>
        <w:tc>
          <w:tcPr>
            <w:tcW w:w="8570" w:type="dxa"/>
            <w:gridSpan w:val="5"/>
            <w:shd w:val="clear" w:color="auto" w:fill="auto"/>
            <w:vAlign w:val="center"/>
          </w:tcPr>
          <w:p>
            <w:pPr>
              <w:pStyle w:val="164"/>
            </w:pPr>
            <w:r>
              <w:t>COD</w:t>
            </w:r>
          </w:p>
        </w:tc>
        <w:tc>
          <w:tcPr>
            <w:tcW w:w="1754" w:type="dxa"/>
            <w:shd w:val="clear" w:color="auto" w:fill="auto"/>
            <w:vAlign w:val="center"/>
          </w:tcPr>
          <w:p>
            <w:pPr>
              <w:pStyle w:val="164"/>
            </w:pPr>
            <w:r>
              <w:rPr>
                <w:rFonts w:hint="eastAsia"/>
              </w:rPr>
              <w:t xml:space="preserve">3.486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gridSpan w:val="2"/>
            <w:vMerge w:val="continue"/>
            <w:vAlign w:val="center"/>
          </w:tcPr>
          <w:p>
            <w:pPr>
              <w:pStyle w:val="164"/>
            </w:pPr>
          </w:p>
        </w:tc>
        <w:tc>
          <w:tcPr>
            <w:tcW w:w="8570" w:type="dxa"/>
            <w:gridSpan w:val="5"/>
            <w:shd w:val="clear" w:color="auto" w:fill="auto"/>
            <w:vAlign w:val="center"/>
          </w:tcPr>
          <w:p>
            <w:pPr>
              <w:pStyle w:val="164"/>
            </w:pPr>
            <w:r>
              <w:t>BOD</w:t>
            </w:r>
            <w:r>
              <w:rPr>
                <w:vertAlign w:val="subscript"/>
              </w:rPr>
              <w:t>5</w:t>
            </w:r>
          </w:p>
        </w:tc>
        <w:tc>
          <w:tcPr>
            <w:tcW w:w="1754" w:type="dxa"/>
            <w:shd w:val="clear" w:color="auto" w:fill="auto"/>
            <w:vAlign w:val="center"/>
          </w:tcPr>
          <w:p>
            <w:pPr>
              <w:pStyle w:val="164"/>
            </w:pPr>
            <w:r>
              <w:rPr>
                <w:rFonts w:hint="eastAsia"/>
              </w:rPr>
              <w:t xml:space="preserve">0.697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gridSpan w:val="2"/>
            <w:vMerge w:val="continue"/>
            <w:vAlign w:val="center"/>
          </w:tcPr>
          <w:p>
            <w:pPr>
              <w:pStyle w:val="164"/>
            </w:pPr>
          </w:p>
        </w:tc>
        <w:tc>
          <w:tcPr>
            <w:tcW w:w="8570" w:type="dxa"/>
            <w:gridSpan w:val="5"/>
            <w:shd w:val="clear" w:color="auto" w:fill="auto"/>
            <w:vAlign w:val="center"/>
          </w:tcPr>
          <w:p>
            <w:pPr>
              <w:pStyle w:val="164"/>
            </w:pPr>
            <w:r>
              <w:t>SS</w:t>
            </w:r>
          </w:p>
        </w:tc>
        <w:tc>
          <w:tcPr>
            <w:tcW w:w="1754" w:type="dxa"/>
            <w:shd w:val="clear" w:color="auto" w:fill="auto"/>
            <w:vAlign w:val="center"/>
          </w:tcPr>
          <w:p>
            <w:pPr>
              <w:pStyle w:val="164"/>
            </w:pPr>
            <w:r>
              <w:rPr>
                <w:rFonts w:hint="eastAsia"/>
              </w:rPr>
              <w:t xml:space="preserve">2.789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gridSpan w:val="2"/>
            <w:vMerge w:val="continue"/>
            <w:vAlign w:val="center"/>
          </w:tcPr>
          <w:p>
            <w:pPr>
              <w:pStyle w:val="164"/>
            </w:pPr>
          </w:p>
        </w:tc>
        <w:tc>
          <w:tcPr>
            <w:tcW w:w="8570" w:type="dxa"/>
            <w:gridSpan w:val="5"/>
            <w:shd w:val="clear" w:color="auto" w:fill="auto"/>
            <w:vAlign w:val="center"/>
          </w:tcPr>
          <w:p>
            <w:pPr>
              <w:pStyle w:val="164"/>
            </w:pPr>
            <w:r>
              <w:rPr>
                <w:rFonts w:hint="eastAsia"/>
              </w:rPr>
              <w:t>动植物油</w:t>
            </w:r>
          </w:p>
        </w:tc>
        <w:tc>
          <w:tcPr>
            <w:tcW w:w="1754" w:type="dxa"/>
            <w:shd w:val="clear" w:color="auto" w:fill="auto"/>
            <w:vAlign w:val="center"/>
          </w:tcPr>
          <w:p>
            <w:pPr>
              <w:pStyle w:val="164"/>
            </w:pPr>
            <w:r>
              <w:rPr>
                <w:rFonts w:hint="eastAsia"/>
              </w:rPr>
              <w:t xml:space="preserve">0.279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905" w:type="dxa"/>
            <w:gridSpan w:val="2"/>
            <w:vMerge w:val="continue"/>
            <w:vAlign w:val="center"/>
          </w:tcPr>
          <w:p>
            <w:pPr>
              <w:pStyle w:val="164"/>
            </w:pPr>
          </w:p>
        </w:tc>
        <w:tc>
          <w:tcPr>
            <w:tcW w:w="8570" w:type="dxa"/>
            <w:gridSpan w:val="5"/>
            <w:shd w:val="clear" w:color="auto" w:fill="auto"/>
            <w:vAlign w:val="center"/>
          </w:tcPr>
          <w:p>
            <w:pPr>
              <w:pStyle w:val="164"/>
            </w:pPr>
            <w:r>
              <w:rPr>
                <w:rFonts w:hint="eastAsia"/>
              </w:rPr>
              <w:t>石油类</w:t>
            </w:r>
          </w:p>
        </w:tc>
        <w:tc>
          <w:tcPr>
            <w:tcW w:w="1754" w:type="dxa"/>
            <w:shd w:val="clear" w:color="auto" w:fill="auto"/>
            <w:vAlign w:val="center"/>
          </w:tcPr>
          <w:p>
            <w:pPr>
              <w:pStyle w:val="164"/>
            </w:pPr>
            <w:r>
              <w:rPr>
                <w:rFonts w:hint="eastAsia"/>
              </w:rPr>
              <w:t xml:space="preserve">0.139 </w:t>
            </w:r>
          </w:p>
        </w:tc>
      </w:tr>
    </w:tbl>
    <w:p>
      <w:pPr>
        <w:pStyle w:val="165"/>
      </w:pPr>
    </w:p>
    <w:p/>
    <w:p>
      <w:pPr>
        <w:pStyle w:val="165"/>
      </w:pPr>
    </w:p>
    <w:p>
      <w:pPr>
        <w:tabs>
          <w:tab w:val="center" w:pos="6506"/>
        </w:tabs>
        <w:rPr>
          <w:rFonts w:ascii="宋体" w:hAnsi="宋体" w:eastAsia="宋体"/>
        </w:rPr>
        <w:sectPr>
          <w:pgSz w:w="16840" w:h="11907" w:orient="landscape"/>
          <w:pgMar w:top="1304" w:right="1701" w:bottom="1304" w:left="2126" w:header="851" w:footer="851" w:gutter="0"/>
          <w:cols w:space="720" w:num="1"/>
          <w:docGrid w:linePitch="312" w:charSpace="0"/>
        </w:sectPr>
      </w:pPr>
    </w:p>
    <w:p>
      <w:pPr>
        <w:rPr>
          <w:rFonts w:ascii="宋体" w:hAnsi="宋体" w:eastAsia="宋体"/>
          <w:color w:val="FF0000"/>
        </w:rPr>
        <w:sectPr>
          <w:pgSz w:w="11907" w:h="16840"/>
          <w:pgMar w:top="1701" w:right="1304" w:bottom="2126" w:left="1304" w:header="851" w:footer="851" w:gutter="0"/>
          <w:cols w:space="720" w:num="1"/>
          <w:docGrid w:linePitch="312" w:charSpace="0"/>
        </w:sectPr>
      </w:pPr>
    </w:p>
    <w:tbl>
      <w:tblPr>
        <w:tblStyle w:val="88"/>
        <w:tblW w:w="943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65" w:hRule="atLeast"/>
          <w:jc w:val="center"/>
        </w:trPr>
        <w:tc>
          <w:tcPr>
            <w:tcW w:w="761" w:type="dxa"/>
            <w:tcMar>
              <w:left w:w="28" w:type="dxa"/>
              <w:right w:w="28" w:type="dxa"/>
            </w:tcMar>
            <w:vAlign w:val="center"/>
          </w:tcPr>
          <w:p>
            <w:pPr>
              <w:adjustRightInd w:val="0"/>
              <w:snapToGrid w:val="0"/>
              <w:jc w:val="center"/>
              <w:rPr>
                <w:rFonts w:ascii="宋体" w:hAnsi="宋体" w:eastAsia="宋体" w:cs="宋体"/>
                <w:bCs/>
                <w:sz w:val="24"/>
              </w:rPr>
            </w:pPr>
            <w:r>
              <w:rPr>
                <w:rFonts w:hint="eastAsia" w:ascii="宋体" w:hAnsi="宋体" w:eastAsia="宋体" w:cs="宋体"/>
                <w:bCs/>
                <w:sz w:val="24"/>
              </w:rPr>
              <w:t>运营</w:t>
            </w:r>
          </w:p>
          <w:p>
            <w:pPr>
              <w:adjustRightInd w:val="0"/>
              <w:snapToGrid w:val="0"/>
              <w:jc w:val="center"/>
              <w:rPr>
                <w:rFonts w:ascii="宋体" w:hAnsi="宋体" w:eastAsia="宋体" w:cs="宋体"/>
                <w:bCs/>
                <w:sz w:val="24"/>
              </w:rPr>
            </w:pPr>
            <w:r>
              <w:rPr>
                <w:rFonts w:hint="eastAsia" w:ascii="宋体" w:hAnsi="宋体" w:eastAsia="宋体" w:cs="宋体"/>
                <w:bCs/>
                <w:sz w:val="24"/>
              </w:rPr>
              <w:t>期环</w:t>
            </w:r>
          </w:p>
          <w:p>
            <w:pPr>
              <w:adjustRightInd w:val="0"/>
              <w:snapToGrid w:val="0"/>
              <w:jc w:val="center"/>
              <w:rPr>
                <w:rFonts w:ascii="宋体" w:hAnsi="宋体" w:eastAsia="宋体" w:cs="宋体"/>
                <w:bCs/>
                <w:sz w:val="24"/>
              </w:rPr>
            </w:pPr>
            <w:r>
              <w:rPr>
                <w:rFonts w:hint="eastAsia" w:ascii="宋体" w:hAnsi="宋体" w:eastAsia="宋体" w:cs="宋体"/>
                <w:bCs/>
                <w:sz w:val="24"/>
              </w:rPr>
              <w:t>境影</w:t>
            </w:r>
          </w:p>
          <w:p>
            <w:pPr>
              <w:adjustRightInd w:val="0"/>
              <w:snapToGrid w:val="0"/>
              <w:jc w:val="center"/>
              <w:rPr>
                <w:rFonts w:ascii="宋体" w:hAnsi="宋体" w:eastAsia="宋体" w:cs="宋体"/>
                <w:bCs/>
                <w:sz w:val="24"/>
              </w:rPr>
            </w:pPr>
            <w:r>
              <w:rPr>
                <w:rFonts w:hint="eastAsia" w:ascii="宋体" w:hAnsi="宋体" w:eastAsia="宋体" w:cs="宋体"/>
                <w:bCs/>
                <w:sz w:val="24"/>
              </w:rPr>
              <w:t>响和</w:t>
            </w:r>
          </w:p>
          <w:p>
            <w:pPr>
              <w:adjustRightInd w:val="0"/>
              <w:snapToGrid w:val="0"/>
              <w:jc w:val="center"/>
              <w:rPr>
                <w:rFonts w:ascii="宋体" w:hAnsi="宋体" w:eastAsia="宋体" w:cs="宋体"/>
                <w:bCs/>
                <w:sz w:val="24"/>
              </w:rPr>
            </w:pPr>
            <w:r>
              <w:rPr>
                <w:rFonts w:hint="eastAsia" w:ascii="宋体" w:hAnsi="宋体" w:eastAsia="宋体" w:cs="宋体"/>
                <w:bCs/>
                <w:sz w:val="24"/>
              </w:rPr>
              <w:t>保护</w:t>
            </w:r>
          </w:p>
          <w:p>
            <w:pPr>
              <w:adjustRightInd w:val="0"/>
              <w:snapToGrid w:val="0"/>
              <w:jc w:val="center"/>
              <w:rPr>
                <w:rFonts w:ascii="宋体" w:hAnsi="宋体" w:eastAsia="宋体" w:cs="宋体"/>
                <w:bCs/>
                <w:color w:val="FF0000"/>
                <w:sz w:val="24"/>
              </w:rPr>
            </w:pPr>
            <w:r>
              <w:rPr>
                <w:rFonts w:hint="eastAsia" w:ascii="宋体" w:hAnsi="宋体" w:eastAsia="宋体" w:cs="宋体"/>
                <w:bCs/>
              </w:rPr>
              <w:t>措施</w:t>
            </w:r>
          </w:p>
        </w:tc>
        <w:tc>
          <w:tcPr>
            <w:tcW w:w="8674" w:type="dxa"/>
          </w:tcPr>
          <w:p>
            <w:pPr>
              <w:pStyle w:val="6"/>
              <w:keepNext w:val="0"/>
              <w:keepLines w:val="0"/>
              <w:snapToGrid w:val="0"/>
              <w:rPr>
                <w:rFonts w:ascii="宋体" w:hAnsi="宋体"/>
              </w:rPr>
            </w:pPr>
            <w:r>
              <w:rPr>
                <w:rFonts w:hint="eastAsia"/>
              </w:rPr>
              <w:t>4.3.3</w:t>
            </w:r>
            <w:r>
              <w:rPr>
                <w:rFonts w:hint="eastAsia" w:ascii="宋体" w:hAnsi="宋体"/>
              </w:rPr>
              <w:t>废水监测计划</w:t>
            </w:r>
          </w:p>
          <w:p>
            <w:pPr>
              <w:pStyle w:val="160"/>
              <w:ind w:firstLine="480"/>
            </w:pPr>
            <w:r>
              <w:rPr>
                <w:rFonts w:hint="eastAsia"/>
              </w:rPr>
              <w:t>根据《排污许可期证申请与核发技术规范家具制造工业》（HJ1027-2019）表10，综合废水处理设施间接排放口运营期需要自行监测。扩建项目废水环境监测要求见</w:t>
            </w:r>
            <w:r>
              <w:fldChar w:fldCharType="begin"/>
            </w:r>
            <w:r>
              <w:rPr>
                <w:rFonts w:hint="eastAsia"/>
              </w:rPr>
              <w:instrText xml:space="preserve">REF _Ref82520622 \h</w:instrText>
            </w:r>
            <w:r>
              <w:fldChar w:fldCharType="separate"/>
            </w:r>
            <w:r>
              <w:rPr>
                <w:rFonts w:hint="eastAsia"/>
              </w:rPr>
              <w:t>表4.3-6</w:t>
            </w:r>
            <w:r>
              <w:fldChar w:fldCharType="end"/>
            </w:r>
            <w:r>
              <w:rPr>
                <w:rFonts w:hint="eastAsia"/>
              </w:rPr>
              <w:t>。</w:t>
            </w:r>
          </w:p>
          <w:p>
            <w:pPr>
              <w:pStyle w:val="164"/>
            </w:pPr>
            <w:bookmarkStart w:id="53" w:name="_Ref82520622"/>
            <w:r>
              <w:rPr>
                <w:rFonts w:hint="eastAsia"/>
              </w:rPr>
              <w:t>表</w:t>
            </w:r>
            <w:bookmarkEnd w:id="53"/>
            <w:r>
              <w:rPr>
                <w:rFonts w:hint="eastAsia"/>
              </w:rPr>
              <w:t>4.3-6  扩建项目环境监测计划一览表</w:t>
            </w:r>
          </w:p>
          <w:tbl>
            <w:tblPr>
              <w:tblStyle w:val="162"/>
              <w:tblW w:w="8505" w:type="dxa"/>
              <w:jc w:val="center"/>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3"/>
              <w:gridCol w:w="1548"/>
              <w:gridCol w:w="1559"/>
              <w:gridCol w:w="992"/>
              <w:gridCol w:w="1985"/>
              <w:gridCol w:w="192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93" w:type="dxa"/>
                  <w:shd w:val="clear" w:color="auto" w:fill="auto"/>
                  <w:vAlign w:val="center"/>
                </w:tcPr>
                <w:p>
                  <w:pPr>
                    <w:pStyle w:val="164"/>
                    <w:rPr>
                      <w:b/>
                      <w:color w:val="auto"/>
                    </w:rPr>
                  </w:pPr>
                  <w:bookmarkStart w:id="54" w:name="_Hlk90669252"/>
                  <w:r>
                    <w:rPr>
                      <w:b w:val="0"/>
                      <w:color w:val="auto"/>
                    </w:rPr>
                    <w:t>序号</w:t>
                  </w:r>
                </w:p>
              </w:tc>
              <w:tc>
                <w:tcPr>
                  <w:tcW w:w="1548" w:type="dxa"/>
                  <w:shd w:val="clear" w:color="auto" w:fill="auto"/>
                  <w:noWrap/>
                  <w:vAlign w:val="center"/>
                </w:tcPr>
                <w:p>
                  <w:pPr>
                    <w:pStyle w:val="164"/>
                    <w:rPr>
                      <w:b/>
                      <w:color w:val="auto"/>
                    </w:rPr>
                  </w:pPr>
                  <w:r>
                    <w:rPr>
                      <w:b w:val="0"/>
                      <w:color w:val="auto"/>
                    </w:rPr>
                    <w:t>污染源</w:t>
                  </w:r>
                </w:p>
              </w:tc>
              <w:tc>
                <w:tcPr>
                  <w:tcW w:w="1559" w:type="dxa"/>
                  <w:shd w:val="clear" w:color="auto" w:fill="auto"/>
                  <w:noWrap/>
                  <w:vAlign w:val="center"/>
                </w:tcPr>
                <w:p>
                  <w:pPr>
                    <w:pStyle w:val="164"/>
                    <w:rPr>
                      <w:b/>
                      <w:color w:val="auto"/>
                    </w:rPr>
                  </w:pPr>
                  <w:r>
                    <w:rPr>
                      <w:b w:val="0"/>
                      <w:color w:val="auto"/>
                    </w:rPr>
                    <w:t>监测位置</w:t>
                  </w:r>
                </w:p>
              </w:tc>
              <w:tc>
                <w:tcPr>
                  <w:tcW w:w="992" w:type="dxa"/>
                  <w:shd w:val="clear" w:color="auto" w:fill="auto"/>
                  <w:noWrap/>
                  <w:vAlign w:val="center"/>
                </w:tcPr>
                <w:p>
                  <w:pPr>
                    <w:pStyle w:val="164"/>
                    <w:rPr>
                      <w:b/>
                      <w:color w:val="auto"/>
                    </w:rPr>
                  </w:pPr>
                  <w:r>
                    <w:rPr>
                      <w:rFonts w:hint="eastAsia"/>
                      <w:b w:val="0"/>
                      <w:color w:val="auto"/>
                    </w:rPr>
                    <w:t>监</w:t>
                  </w:r>
                  <w:r>
                    <w:rPr>
                      <w:b w:val="0"/>
                      <w:color w:val="auto"/>
                    </w:rPr>
                    <w:t>测点</w:t>
                  </w:r>
                  <w:r>
                    <w:rPr>
                      <w:rFonts w:hint="eastAsia"/>
                      <w:b w:val="0"/>
                      <w:color w:val="auto"/>
                    </w:rPr>
                    <w:t>位</w:t>
                  </w:r>
                  <w:r>
                    <w:rPr>
                      <w:b w:val="0"/>
                      <w:color w:val="auto"/>
                    </w:rPr>
                    <w:t>数</w:t>
                  </w:r>
                  <w:r>
                    <w:rPr>
                      <w:rFonts w:hint="eastAsia"/>
                      <w:b w:val="0"/>
                      <w:color w:val="auto"/>
                    </w:rPr>
                    <w:t>量</w:t>
                  </w:r>
                </w:p>
              </w:tc>
              <w:tc>
                <w:tcPr>
                  <w:tcW w:w="1985" w:type="dxa"/>
                  <w:shd w:val="clear" w:color="auto" w:fill="auto"/>
                  <w:noWrap/>
                  <w:vAlign w:val="center"/>
                </w:tcPr>
                <w:p>
                  <w:pPr>
                    <w:pStyle w:val="164"/>
                    <w:rPr>
                      <w:b/>
                      <w:color w:val="auto"/>
                    </w:rPr>
                  </w:pPr>
                  <w:r>
                    <w:rPr>
                      <w:b w:val="0"/>
                      <w:color w:val="auto"/>
                    </w:rPr>
                    <w:t>监测项目</w:t>
                  </w:r>
                </w:p>
              </w:tc>
              <w:tc>
                <w:tcPr>
                  <w:tcW w:w="1928" w:type="dxa"/>
                  <w:shd w:val="clear" w:color="auto" w:fill="auto"/>
                  <w:noWrap/>
                  <w:vAlign w:val="center"/>
                </w:tcPr>
                <w:p>
                  <w:pPr>
                    <w:pStyle w:val="164"/>
                    <w:rPr>
                      <w:b/>
                      <w:color w:val="auto"/>
                    </w:rPr>
                  </w:pPr>
                  <w:r>
                    <w:rPr>
                      <w:b w:val="0"/>
                      <w:color w:val="auto"/>
                    </w:rPr>
                    <w:t>监测频次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493" w:type="dxa"/>
                  <w:shd w:val="clear" w:color="auto" w:fill="auto"/>
                  <w:vAlign w:val="center"/>
                </w:tcPr>
                <w:p>
                  <w:pPr>
                    <w:pStyle w:val="164"/>
                    <w:rPr>
                      <w:color w:val="auto"/>
                    </w:rPr>
                  </w:pPr>
                  <w:r>
                    <w:rPr>
                      <w:color w:val="auto"/>
                    </w:rPr>
                    <w:t>1</w:t>
                  </w:r>
                </w:p>
              </w:tc>
              <w:tc>
                <w:tcPr>
                  <w:tcW w:w="1548" w:type="dxa"/>
                  <w:shd w:val="clear" w:color="auto" w:fill="auto"/>
                  <w:noWrap/>
                  <w:vAlign w:val="center"/>
                </w:tcPr>
                <w:p>
                  <w:pPr>
                    <w:pStyle w:val="164"/>
                    <w:rPr>
                      <w:color w:val="auto"/>
                    </w:rPr>
                  </w:pPr>
                  <w:r>
                    <w:rPr>
                      <w:color w:val="auto"/>
                    </w:rPr>
                    <w:t>生活污水及生产废水</w:t>
                  </w:r>
                </w:p>
              </w:tc>
              <w:tc>
                <w:tcPr>
                  <w:tcW w:w="1559" w:type="dxa"/>
                  <w:shd w:val="clear" w:color="auto" w:fill="auto"/>
                  <w:noWrap/>
                  <w:vAlign w:val="center"/>
                </w:tcPr>
                <w:p>
                  <w:pPr>
                    <w:pStyle w:val="164"/>
                    <w:rPr>
                      <w:color w:val="auto"/>
                    </w:rPr>
                  </w:pPr>
                  <w:r>
                    <w:rPr>
                      <w:rFonts w:hint="eastAsia"/>
                      <w:color w:val="auto"/>
                    </w:rPr>
                    <w:t>DW001</w:t>
                  </w:r>
                </w:p>
              </w:tc>
              <w:tc>
                <w:tcPr>
                  <w:tcW w:w="992" w:type="dxa"/>
                  <w:shd w:val="clear" w:color="auto" w:fill="auto"/>
                  <w:noWrap/>
                  <w:vAlign w:val="center"/>
                </w:tcPr>
                <w:p>
                  <w:pPr>
                    <w:pStyle w:val="164"/>
                    <w:rPr>
                      <w:color w:val="auto"/>
                    </w:rPr>
                  </w:pPr>
                  <w:r>
                    <w:rPr>
                      <w:color w:val="auto"/>
                    </w:rPr>
                    <w:t>1</w:t>
                  </w:r>
                </w:p>
              </w:tc>
              <w:tc>
                <w:tcPr>
                  <w:tcW w:w="1985" w:type="dxa"/>
                  <w:shd w:val="clear" w:color="auto" w:fill="auto"/>
                  <w:noWrap/>
                  <w:vAlign w:val="center"/>
                </w:tcPr>
                <w:p>
                  <w:pPr>
                    <w:pStyle w:val="164"/>
                    <w:rPr>
                      <w:color w:val="auto"/>
                    </w:rPr>
                  </w:pPr>
                  <w:r>
                    <w:rPr>
                      <w:color w:val="auto"/>
                    </w:rPr>
                    <w:t>PH</w:t>
                  </w:r>
                  <w:r>
                    <w:rPr>
                      <w:rFonts w:hint="eastAsia"/>
                      <w:color w:val="auto"/>
                    </w:rPr>
                    <w:t>、B</w:t>
                  </w:r>
                  <w:r>
                    <w:rPr>
                      <w:color w:val="auto"/>
                    </w:rPr>
                    <w:t>OD</w:t>
                  </w:r>
                  <w:r>
                    <w:rPr>
                      <w:color w:val="auto"/>
                      <w:vertAlign w:val="subscript"/>
                    </w:rPr>
                    <w:t>5</w:t>
                  </w:r>
                  <w:r>
                    <w:rPr>
                      <w:rFonts w:hint="eastAsia"/>
                      <w:color w:val="auto"/>
                    </w:rPr>
                    <w:t>、S</w:t>
                  </w:r>
                  <w:r>
                    <w:rPr>
                      <w:color w:val="auto"/>
                    </w:rPr>
                    <w:t>S</w:t>
                  </w:r>
                  <w:r>
                    <w:rPr>
                      <w:rFonts w:hint="eastAsia"/>
                      <w:color w:val="auto"/>
                    </w:rPr>
                    <w:t>、</w:t>
                  </w:r>
                  <w:r>
                    <w:rPr>
                      <w:color w:val="auto"/>
                    </w:rPr>
                    <w:t>COD</w:t>
                  </w:r>
                  <w:r>
                    <w:rPr>
                      <w:rFonts w:hint="eastAsia"/>
                      <w:color w:val="auto"/>
                    </w:rPr>
                    <w:t>、</w:t>
                  </w:r>
                  <w:r>
                    <w:rPr>
                      <w:color w:val="auto"/>
                    </w:rPr>
                    <w:t>动植物油</w:t>
                  </w:r>
                  <w:r>
                    <w:rPr>
                      <w:rFonts w:hint="eastAsia"/>
                      <w:color w:val="auto"/>
                    </w:rPr>
                    <w:t>、</w:t>
                  </w:r>
                  <w:r>
                    <w:rPr>
                      <w:color w:val="auto"/>
                    </w:rPr>
                    <w:t>石油类</w:t>
                  </w:r>
                </w:p>
              </w:tc>
              <w:tc>
                <w:tcPr>
                  <w:tcW w:w="1928" w:type="dxa"/>
                  <w:shd w:val="clear" w:color="auto" w:fill="auto"/>
                  <w:noWrap/>
                  <w:vAlign w:val="center"/>
                </w:tcPr>
                <w:p>
                  <w:pPr>
                    <w:pStyle w:val="164"/>
                    <w:rPr>
                      <w:color w:val="auto"/>
                    </w:rPr>
                  </w:pPr>
                  <w:r>
                    <w:rPr>
                      <w:rFonts w:hint="eastAsia"/>
                      <w:color w:val="auto"/>
                    </w:rPr>
                    <w:t>验收时监测一次，以后每年监测一次</w:t>
                  </w:r>
                </w:p>
              </w:tc>
            </w:tr>
            <w:bookmarkEnd w:id="54"/>
          </w:tbl>
          <w:p>
            <w:pPr>
              <w:pStyle w:val="6"/>
              <w:keepNext w:val="0"/>
              <w:keepLines w:val="0"/>
              <w:snapToGrid w:val="0"/>
              <w:rPr>
                <w:rFonts w:ascii="宋体" w:hAnsi="宋体"/>
              </w:rPr>
            </w:pPr>
            <w:r>
              <w:rPr>
                <w:rFonts w:hint="eastAsia"/>
              </w:rPr>
              <w:t>4.3.4</w:t>
            </w:r>
            <w:r>
              <w:rPr>
                <w:rFonts w:hint="eastAsia" w:ascii="宋体" w:hAnsi="宋体"/>
              </w:rPr>
              <w:t>达标情况分析</w:t>
            </w:r>
          </w:p>
          <w:p>
            <w:pPr>
              <w:pStyle w:val="160"/>
              <w:ind w:firstLine="480"/>
            </w:pPr>
            <w:r>
              <w:rPr>
                <w:rFonts w:hint="eastAsia"/>
              </w:rPr>
              <w:t>扩建项目废水排放达标情况见</w:t>
            </w:r>
            <w:r>
              <w:fldChar w:fldCharType="begin"/>
            </w:r>
            <w:r>
              <w:rPr>
                <w:rFonts w:hint="eastAsia"/>
              </w:rPr>
              <w:instrText xml:space="preserve">REF _Ref82520665 \h</w:instrText>
            </w:r>
            <w:r>
              <w:fldChar w:fldCharType="separate"/>
            </w:r>
            <w:r>
              <w:rPr>
                <w:rFonts w:hint="eastAsia"/>
              </w:rPr>
              <w:t>表4.3-7</w:t>
            </w:r>
            <w:r>
              <w:fldChar w:fldCharType="end"/>
            </w:r>
            <w:r>
              <w:rPr>
                <w:rFonts w:hint="eastAsia"/>
              </w:rPr>
              <w:t>。</w:t>
            </w:r>
          </w:p>
          <w:p>
            <w:pPr>
              <w:pStyle w:val="164"/>
            </w:pPr>
            <w:bookmarkStart w:id="55" w:name="_Ref82520665"/>
            <w:r>
              <w:rPr>
                <w:rFonts w:hint="eastAsia"/>
              </w:rPr>
              <w:t>表</w:t>
            </w:r>
            <w:bookmarkEnd w:id="55"/>
            <w:r>
              <w:rPr>
                <w:rFonts w:hint="eastAsia"/>
              </w:rPr>
              <w:t>4.3-7废水排放达标情况一览表</w:t>
            </w:r>
          </w:p>
          <w:tbl>
            <w:tblPr>
              <w:tblStyle w:val="88"/>
              <w:tblW w:w="8505" w:type="dxa"/>
              <w:jc w:val="center"/>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6"/>
              <w:gridCol w:w="1076"/>
              <w:gridCol w:w="1076"/>
              <w:gridCol w:w="1314"/>
              <w:gridCol w:w="1329"/>
              <w:gridCol w:w="1305"/>
              <w:gridCol w:w="132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76" w:type="dxa"/>
                  <w:vMerge w:val="restart"/>
                  <w:shd w:val="clear" w:color="auto" w:fill="auto"/>
                  <w:vAlign w:val="center"/>
                </w:tcPr>
                <w:p>
                  <w:pPr>
                    <w:pStyle w:val="164"/>
                  </w:pPr>
                  <w:r>
                    <w:rPr>
                      <w:rFonts w:hint="eastAsia"/>
                    </w:rPr>
                    <w:t>序号</w:t>
                  </w:r>
                </w:p>
              </w:tc>
              <w:tc>
                <w:tcPr>
                  <w:tcW w:w="1076" w:type="dxa"/>
                  <w:vMerge w:val="restart"/>
                  <w:shd w:val="clear" w:color="auto" w:fill="auto"/>
                  <w:vAlign w:val="center"/>
                </w:tcPr>
                <w:p>
                  <w:pPr>
                    <w:pStyle w:val="164"/>
                  </w:pPr>
                  <w:r>
                    <w:rPr>
                      <w:rFonts w:hint="eastAsia"/>
                    </w:rPr>
                    <w:t>排放口名称</w:t>
                  </w:r>
                </w:p>
              </w:tc>
              <w:tc>
                <w:tcPr>
                  <w:tcW w:w="1076" w:type="dxa"/>
                  <w:vMerge w:val="restart"/>
                  <w:shd w:val="clear" w:color="auto" w:fill="auto"/>
                  <w:vAlign w:val="center"/>
                </w:tcPr>
                <w:p>
                  <w:pPr>
                    <w:pStyle w:val="164"/>
                  </w:pPr>
                  <w:r>
                    <w:rPr>
                      <w:rFonts w:hint="eastAsia"/>
                    </w:rPr>
                    <w:t>污染物名称</w:t>
                  </w:r>
                </w:p>
              </w:tc>
              <w:tc>
                <w:tcPr>
                  <w:tcW w:w="1314" w:type="dxa"/>
                  <w:vMerge w:val="restart"/>
                  <w:shd w:val="clear" w:color="auto" w:fill="auto"/>
                  <w:vAlign w:val="center"/>
                </w:tcPr>
                <w:p>
                  <w:pPr>
                    <w:pStyle w:val="164"/>
                  </w:pPr>
                  <w:r>
                    <w:rPr>
                      <w:rFonts w:hint="eastAsia"/>
                    </w:rPr>
                    <w:t>排放浓度</w:t>
                  </w:r>
                  <w:r>
                    <w:t>mg/L</w:t>
                  </w:r>
                </w:p>
              </w:tc>
              <w:tc>
                <w:tcPr>
                  <w:tcW w:w="1329" w:type="dxa"/>
                  <w:vMerge w:val="restart"/>
                  <w:shd w:val="clear" w:color="auto" w:fill="auto"/>
                  <w:vAlign w:val="center"/>
                </w:tcPr>
                <w:p>
                  <w:pPr>
                    <w:pStyle w:val="164"/>
                  </w:pPr>
                  <w:r>
                    <w:rPr>
                      <w:rFonts w:hint="eastAsia"/>
                    </w:rPr>
                    <w:t>治理工艺</w:t>
                  </w:r>
                </w:p>
              </w:tc>
              <w:tc>
                <w:tcPr>
                  <w:tcW w:w="1305" w:type="dxa"/>
                  <w:shd w:val="clear" w:color="auto" w:fill="auto"/>
                  <w:vAlign w:val="center"/>
                </w:tcPr>
                <w:p>
                  <w:pPr>
                    <w:pStyle w:val="164"/>
                  </w:pPr>
                  <w:r>
                    <w:rPr>
                      <w:rFonts w:hint="eastAsia"/>
                    </w:rPr>
                    <w:t>排放标准</w:t>
                  </w:r>
                </w:p>
              </w:tc>
              <w:tc>
                <w:tcPr>
                  <w:tcW w:w="1329" w:type="dxa"/>
                  <w:shd w:val="clear" w:color="auto" w:fill="auto"/>
                  <w:vAlign w:val="center"/>
                </w:tcPr>
                <w:p>
                  <w:pPr>
                    <w:pStyle w:val="164"/>
                  </w:pPr>
                  <w:r>
                    <w:rPr>
                      <w:rFonts w:hint="eastAsia"/>
                    </w:rPr>
                    <w:t>达标</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76" w:type="dxa"/>
                  <w:vMerge w:val="continue"/>
                  <w:vAlign w:val="center"/>
                </w:tcPr>
                <w:p>
                  <w:pPr>
                    <w:pStyle w:val="164"/>
                  </w:pPr>
                </w:p>
              </w:tc>
              <w:tc>
                <w:tcPr>
                  <w:tcW w:w="1076" w:type="dxa"/>
                  <w:vMerge w:val="continue"/>
                  <w:vAlign w:val="center"/>
                </w:tcPr>
                <w:p>
                  <w:pPr>
                    <w:pStyle w:val="164"/>
                  </w:pPr>
                </w:p>
              </w:tc>
              <w:tc>
                <w:tcPr>
                  <w:tcW w:w="1076" w:type="dxa"/>
                  <w:vMerge w:val="continue"/>
                  <w:vAlign w:val="center"/>
                </w:tcPr>
                <w:p>
                  <w:pPr>
                    <w:pStyle w:val="164"/>
                  </w:pPr>
                </w:p>
              </w:tc>
              <w:tc>
                <w:tcPr>
                  <w:tcW w:w="1314" w:type="dxa"/>
                  <w:vMerge w:val="continue"/>
                  <w:vAlign w:val="center"/>
                </w:tcPr>
                <w:p>
                  <w:pPr>
                    <w:pStyle w:val="164"/>
                  </w:pPr>
                </w:p>
              </w:tc>
              <w:tc>
                <w:tcPr>
                  <w:tcW w:w="1329" w:type="dxa"/>
                  <w:vMerge w:val="continue"/>
                  <w:vAlign w:val="center"/>
                </w:tcPr>
                <w:p>
                  <w:pPr>
                    <w:pStyle w:val="164"/>
                  </w:pPr>
                </w:p>
              </w:tc>
              <w:tc>
                <w:tcPr>
                  <w:tcW w:w="1305" w:type="dxa"/>
                  <w:shd w:val="clear" w:color="auto" w:fill="auto"/>
                  <w:vAlign w:val="center"/>
                </w:tcPr>
                <w:p>
                  <w:pPr>
                    <w:pStyle w:val="164"/>
                  </w:pPr>
                  <w:r>
                    <w:rPr>
                      <w:rFonts w:hint="eastAsia"/>
                    </w:rPr>
                    <w:t>排放浓度</w:t>
                  </w:r>
                  <w:r>
                    <w:t>mg/L</w:t>
                  </w:r>
                </w:p>
              </w:tc>
              <w:tc>
                <w:tcPr>
                  <w:tcW w:w="1329" w:type="dxa"/>
                  <w:shd w:val="clear" w:color="auto" w:fill="auto"/>
                  <w:vAlign w:val="center"/>
                </w:tcPr>
                <w:p>
                  <w:pPr>
                    <w:pStyle w:val="164"/>
                  </w:pPr>
                  <w:r>
                    <w:rPr>
                      <w:rFonts w:hint="eastAsia"/>
                    </w:rPr>
                    <w:t>分析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76" w:type="dxa"/>
                  <w:vMerge w:val="restart"/>
                  <w:shd w:val="clear" w:color="auto" w:fill="auto"/>
                  <w:vAlign w:val="center"/>
                </w:tcPr>
                <w:p>
                  <w:pPr>
                    <w:pStyle w:val="164"/>
                    <w:rPr>
                      <w:color w:val="000000"/>
                    </w:rPr>
                  </w:pPr>
                  <w:r>
                    <w:rPr>
                      <w:color w:val="000000"/>
                    </w:rPr>
                    <w:t>1</w:t>
                  </w:r>
                </w:p>
              </w:tc>
              <w:tc>
                <w:tcPr>
                  <w:tcW w:w="1076" w:type="dxa"/>
                  <w:vMerge w:val="restart"/>
                  <w:shd w:val="clear" w:color="auto" w:fill="auto"/>
                  <w:vAlign w:val="center"/>
                </w:tcPr>
                <w:p>
                  <w:pPr>
                    <w:pStyle w:val="164"/>
                    <w:rPr>
                      <w:rFonts w:ascii="宋体" w:hAnsi="宋体" w:cs="宋体"/>
                      <w:color w:val="000000"/>
                    </w:rPr>
                  </w:pPr>
                  <w:r>
                    <w:rPr>
                      <w:rFonts w:hint="eastAsia" w:ascii="宋体" w:hAnsi="宋体" w:cs="宋体"/>
                      <w:color w:val="000000"/>
                    </w:rPr>
                    <w:t>综合废水处理站排放口</w:t>
                  </w:r>
                </w:p>
              </w:tc>
              <w:tc>
                <w:tcPr>
                  <w:tcW w:w="1076" w:type="dxa"/>
                  <w:shd w:val="clear" w:color="auto" w:fill="auto"/>
                  <w:vAlign w:val="center"/>
                </w:tcPr>
                <w:p>
                  <w:pPr>
                    <w:pStyle w:val="164"/>
                    <w:rPr>
                      <w:color w:val="000000"/>
                    </w:rPr>
                  </w:pPr>
                  <w:r>
                    <w:rPr>
                      <w:color w:val="000000"/>
                    </w:rPr>
                    <w:t>COD</w:t>
                  </w:r>
                </w:p>
              </w:tc>
              <w:tc>
                <w:tcPr>
                  <w:tcW w:w="1314" w:type="dxa"/>
                  <w:shd w:val="clear" w:color="auto" w:fill="auto"/>
                  <w:vAlign w:val="center"/>
                </w:tcPr>
                <w:p>
                  <w:pPr>
                    <w:pStyle w:val="164"/>
                    <w:rPr>
                      <w:color w:val="000000"/>
                    </w:rPr>
                  </w:pPr>
                  <w:r>
                    <w:rPr>
                      <w:color w:val="000000"/>
                    </w:rPr>
                    <w:t>500</w:t>
                  </w:r>
                </w:p>
              </w:tc>
              <w:tc>
                <w:tcPr>
                  <w:tcW w:w="1329" w:type="dxa"/>
                  <w:vMerge w:val="restart"/>
                  <w:shd w:val="clear" w:color="auto" w:fill="auto"/>
                  <w:vAlign w:val="center"/>
                </w:tcPr>
                <w:p>
                  <w:pPr>
                    <w:pStyle w:val="164"/>
                    <w:rPr>
                      <w:rFonts w:ascii="宋体" w:hAnsi="宋体" w:cs="宋体"/>
                      <w:color w:val="000000"/>
                    </w:rPr>
                  </w:pPr>
                  <w:r>
                    <w:rPr>
                      <w:rFonts w:hint="eastAsia" w:ascii="宋体" w:hAnsi="宋体" w:cs="宋体"/>
                      <w:color w:val="000000"/>
                    </w:rPr>
                    <w:t>物化</w:t>
                  </w:r>
                  <w:r>
                    <w:rPr>
                      <w:color w:val="000000"/>
                    </w:rPr>
                    <w:t>+</w:t>
                  </w:r>
                  <w:r>
                    <w:rPr>
                      <w:rFonts w:ascii="宋体" w:hAnsi="宋体" w:cs="宋体"/>
                      <w:color w:val="000000"/>
                    </w:rPr>
                    <w:t>生化</w:t>
                  </w:r>
                </w:p>
              </w:tc>
              <w:tc>
                <w:tcPr>
                  <w:tcW w:w="1305" w:type="dxa"/>
                  <w:shd w:val="clear" w:color="auto" w:fill="auto"/>
                  <w:noWrap/>
                  <w:vAlign w:val="center"/>
                </w:tcPr>
                <w:p>
                  <w:pPr>
                    <w:pStyle w:val="164"/>
                    <w:rPr>
                      <w:bCs/>
                      <w:color w:val="000000"/>
                    </w:rPr>
                  </w:pPr>
                  <w:r>
                    <w:rPr>
                      <w:bCs/>
                      <w:color w:val="000000"/>
                    </w:rPr>
                    <w:t>500</w:t>
                  </w:r>
                </w:p>
              </w:tc>
              <w:tc>
                <w:tcPr>
                  <w:tcW w:w="1329" w:type="dxa"/>
                  <w:shd w:val="clear" w:color="auto" w:fill="auto"/>
                  <w:vAlign w:val="center"/>
                </w:tcPr>
                <w:p>
                  <w:pPr>
                    <w:pStyle w:val="164"/>
                    <w:rPr>
                      <w:rFonts w:ascii="宋体" w:hAnsi="宋体" w:cs="宋体"/>
                      <w:color w:val="000000"/>
                    </w:rPr>
                  </w:pPr>
                  <w:r>
                    <w:rPr>
                      <w:rFonts w:hint="eastAsia" w:ascii="宋体" w:hAnsi="宋体" w:cs="宋体"/>
                      <w:color w:val="000000"/>
                    </w:rPr>
                    <w:t>达标</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76" w:type="dxa"/>
                  <w:vMerge w:val="continue"/>
                  <w:vAlign w:val="center"/>
                </w:tcPr>
                <w:p>
                  <w:pPr>
                    <w:pStyle w:val="164"/>
                    <w:rPr>
                      <w:color w:val="000000"/>
                    </w:rPr>
                  </w:pPr>
                </w:p>
              </w:tc>
              <w:tc>
                <w:tcPr>
                  <w:tcW w:w="1076" w:type="dxa"/>
                  <w:vMerge w:val="continue"/>
                  <w:vAlign w:val="center"/>
                </w:tcPr>
                <w:p>
                  <w:pPr>
                    <w:pStyle w:val="164"/>
                    <w:rPr>
                      <w:rFonts w:ascii="宋体" w:hAnsi="宋体" w:cs="宋体"/>
                      <w:color w:val="000000"/>
                    </w:rPr>
                  </w:pPr>
                </w:p>
              </w:tc>
              <w:tc>
                <w:tcPr>
                  <w:tcW w:w="1076" w:type="dxa"/>
                  <w:shd w:val="clear" w:color="auto" w:fill="auto"/>
                  <w:vAlign w:val="center"/>
                </w:tcPr>
                <w:p>
                  <w:pPr>
                    <w:pStyle w:val="164"/>
                    <w:rPr>
                      <w:color w:val="000000"/>
                    </w:rPr>
                  </w:pPr>
                  <w:r>
                    <w:rPr>
                      <w:color w:val="000000"/>
                    </w:rPr>
                    <w:t>BOD</w:t>
                  </w:r>
                  <w:r>
                    <w:rPr>
                      <w:color w:val="000000"/>
                      <w:vertAlign w:val="subscript"/>
                    </w:rPr>
                    <w:t>5</w:t>
                  </w:r>
                </w:p>
              </w:tc>
              <w:tc>
                <w:tcPr>
                  <w:tcW w:w="1314" w:type="dxa"/>
                  <w:shd w:val="clear" w:color="auto" w:fill="auto"/>
                  <w:vAlign w:val="center"/>
                </w:tcPr>
                <w:p>
                  <w:pPr>
                    <w:pStyle w:val="164"/>
                    <w:rPr>
                      <w:color w:val="000000"/>
                    </w:rPr>
                  </w:pPr>
                  <w:r>
                    <w:rPr>
                      <w:color w:val="000000"/>
                    </w:rPr>
                    <w:t>100</w:t>
                  </w:r>
                </w:p>
              </w:tc>
              <w:tc>
                <w:tcPr>
                  <w:tcW w:w="1329" w:type="dxa"/>
                  <w:vMerge w:val="continue"/>
                  <w:vAlign w:val="center"/>
                </w:tcPr>
                <w:p>
                  <w:pPr>
                    <w:pStyle w:val="164"/>
                    <w:rPr>
                      <w:rFonts w:ascii="宋体" w:hAnsi="宋体" w:cs="宋体"/>
                      <w:color w:val="000000"/>
                    </w:rPr>
                  </w:pPr>
                </w:p>
              </w:tc>
              <w:tc>
                <w:tcPr>
                  <w:tcW w:w="1305" w:type="dxa"/>
                  <w:shd w:val="clear" w:color="auto" w:fill="auto"/>
                  <w:noWrap/>
                  <w:vAlign w:val="center"/>
                </w:tcPr>
                <w:p>
                  <w:pPr>
                    <w:pStyle w:val="164"/>
                    <w:rPr>
                      <w:color w:val="000000"/>
                    </w:rPr>
                  </w:pPr>
                  <w:r>
                    <w:rPr>
                      <w:color w:val="000000"/>
                    </w:rPr>
                    <w:t>300</w:t>
                  </w:r>
                </w:p>
              </w:tc>
              <w:tc>
                <w:tcPr>
                  <w:tcW w:w="1329" w:type="dxa"/>
                  <w:shd w:val="clear" w:color="auto" w:fill="auto"/>
                  <w:vAlign w:val="center"/>
                </w:tcPr>
                <w:p>
                  <w:pPr>
                    <w:pStyle w:val="164"/>
                    <w:rPr>
                      <w:rFonts w:ascii="宋体" w:hAnsi="宋体" w:cs="宋体"/>
                      <w:color w:val="000000"/>
                    </w:rPr>
                  </w:pPr>
                  <w:r>
                    <w:rPr>
                      <w:rFonts w:hint="eastAsia" w:ascii="宋体" w:hAnsi="宋体" w:cs="宋体"/>
                      <w:color w:val="000000"/>
                    </w:rPr>
                    <w:t>达标</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76" w:type="dxa"/>
                  <w:vMerge w:val="continue"/>
                  <w:vAlign w:val="center"/>
                </w:tcPr>
                <w:p>
                  <w:pPr>
                    <w:pStyle w:val="164"/>
                    <w:rPr>
                      <w:color w:val="000000"/>
                    </w:rPr>
                  </w:pPr>
                </w:p>
              </w:tc>
              <w:tc>
                <w:tcPr>
                  <w:tcW w:w="1076" w:type="dxa"/>
                  <w:vMerge w:val="continue"/>
                  <w:vAlign w:val="center"/>
                </w:tcPr>
                <w:p>
                  <w:pPr>
                    <w:pStyle w:val="164"/>
                    <w:rPr>
                      <w:rFonts w:ascii="宋体" w:hAnsi="宋体" w:cs="宋体"/>
                      <w:color w:val="000000"/>
                    </w:rPr>
                  </w:pPr>
                </w:p>
              </w:tc>
              <w:tc>
                <w:tcPr>
                  <w:tcW w:w="1076" w:type="dxa"/>
                  <w:shd w:val="clear" w:color="auto" w:fill="auto"/>
                  <w:vAlign w:val="center"/>
                </w:tcPr>
                <w:p>
                  <w:pPr>
                    <w:pStyle w:val="164"/>
                    <w:rPr>
                      <w:color w:val="000000"/>
                    </w:rPr>
                  </w:pPr>
                  <w:r>
                    <w:rPr>
                      <w:color w:val="000000"/>
                    </w:rPr>
                    <w:t>SS</w:t>
                  </w:r>
                </w:p>
              </w:tc>
              <w:tc>
                <w:tcPr>
                  <w:tcW w:w="1314" w:type="dxa"/>
                  <w:shd w:val="clear" w:color="auto" w:fill="auto"/>
                  <w:vAlign w:val="center"/>
                </w:tcPr>
                <w:p>
                  <w:pPr>
                    <w:pStyle w:val="164"/>
                    <w:rPr>
                      <w:color w:val="000000"/>
                    </w:rPr>
                  </w:pPr>
                  <w:r>
                    <w:rPr>
                      <w:color w:val="000000"/>
                    </w:rPr>
                    <w:t>400</w:t>
                  </w:r>
                </w:p>
              </w:tc>
              <w:tc>
                <w:tcPr>
                  <w:tcW w:w="1329" w:type="dxa"/>
                  <w:vMerge w:val="continue"/>
                  <w:vAlign w:val="center"/>
                </w:tcPr>
                <w:p>
                  <w:pPr>
                    <w:pStyle w:val="164"/>
                    <w:rPr>
                      <w:rFonts w:ascii="宋体" w:hAnsi="宋体" w:cs="宋体"/>
                      <w:color w:val="000000"/>
                    </w:rPr>
                  </w:pPr>
                </w:p>
              </w:tc>
              <w:tc>
                <w:tcPr>
                  <w:tcW w:w="1305" w:type="dxa"/>
                  <w:shd w:val="clear" w:color="auto" w:fill="auto"/>
                  <w:noWrap/>
                  <w:vAlign w:val="center"/>
                </w:tcPr>
                <w:p>
                  <w:pPr>
                    <w:pStyle w:val="164"/>
                    <w:rPr>
                      <w:color w:val="000000"/>
                    </w:rPr>
                  </w:pPr>
                  <w:r>
                    <w:rPr>
                      <w:color w:val="000000"/>
                    </w:rPr>
                    <w:t>400</w:t>
                  </w:r>
                </w:p>
              </w:tc>
              <w:tc>
                <w:tcPr>
                  <w:tcW w:w="1329" w:type="dxa"/>
                  <w:shd w:val="clear" w:color="auto" w:fill="auto"/>
                  <w:vAlign w:val="center"/>
                </w:tcPr>
                <w:p>
                  <w:pPr>
                    <w:pStyle w:val="164"/>
                    <w:rPr>
                      <w:rFonts w:ascii="宋体" w:hAnsi="宋体" w:cs="宋体"/>
                      <w:color w:val="000000"/>
                    </w:rPr>
                  </w:pPr>
                  <w:r>
                    <w:rPr>
                      <w:rFonts w:hint="eastAsia" w:ascii="宋体" w:hAnsi="宋体" w:cs="宋体"/>
                      <w:color w:val="000000"/>
                    </w:rPr>
                    <w:t>达标</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76" w:type="dxa"/>
                  <w:vMerge w:val="continue"/>
                  <w:vAlign w:val="center"/>
                </w:tcPr>
                <w:p>
                  <w:pPr>
                    <w:pStyle w:val="164"/>
                    <w:rPr>
                      <w:color w:val="000000"/>
                    </w:rPr>
                  </w:pPr>
                </w:p>
              </w:tc>
              <w:tc>
                <w:tcPr>
                  <w:tcW w:w="1076" w:type="dxa"/>
                  <w:vMerge w:val="continue"/>
                  <w:vAlign w:val="center"/>
                </w:tcPr>
                <w:p>
                  <w:pPr>
                    <w:pStyle w:val="164"/>
                    <w:rPr>
                      <w:rFonts w:ascii="宋体" w:hAnsi="宋体" w:cs="宋体"/>
                      <w:color w:val="000000"/>
                    </w:rPr>
                  </w:pPr>
                </w:p>
              </w:tc>
              <w:tc>
                <w:tcPr>
                  <w:tcW w:w="1076" w:type="dxa"/>
                  <w:shd w:val="clear" w:color="auto" w:fill="auto"/>
                  <w:vAlign w:val="center"/>
                </w:tcPr>
                <w:p>
                  <w:pPr>
                    <w:pStyle w:val="164"/>
                    <w:rPr>
                      <w:rFonts w:ascii="宋体" w:hAnsi="宋体" w:cs="宋体"/>
                      <w:color w:val="000000"/>
                    </w:rPr>
                  </w:pPr>
                  <w:r>
                    <w:rPr>
                      <w:rFonts w:hint="eastAsia" w:ascii="宋体" w:hAnsi="宋体" w:cs="宋体"/>
                      <w:color w:val="000000"/>
                    </w:rPr>
                    <w:t>动植物油</w:t>
                  </w:r>
                </w:p>
              </w:tc>
              <w:tc>
                <w:tcPr>
                  <w:tcW w:w="1314" w:type="dxa"/>
                  <w:shd w:val="clear" w:color="auto" w:fill="auto"/>
                  <w:vAlign w:val="center"/>
                </w:tcPr>
                <w:p>
                  <w:pPr>
                    <w:pStyle w:val="164"/>
                    <w:rPr>
                      <w:color w:val="000000"/>
                    </w:rPr>
                  </w:pPr>
                  <w:r>
                    <w:rPr>
                      <w:color w:val="000000"/>
                    </w:rPr>
                    <w:t>40</w:t>
                  </w:r>
                </w:p>
              </w:tc>
              <w:tc>
                <w:tcPr>
                  <w:tcW w:w="1329" w:type="dxa"/>
                  <w:vMerge w:val="continue"/>
                  <w:vAlign w:val="center"/>
                </w:tcPr>
                <w:p>
                  <w:pPr>
                    <w:pStyle w:val="164"/>
                    <w:rPr>
                      <w:rFonts w:ascii="宋体" w:hAnsi="宋体" w:cs="宋体"/>
                      <w:color w:val="000000"/>
                    </w:rPr>
                  </w:pPr>
                </w:p>
              </w:tc>
              <w:tc>
                <w:tcPr>
                  <w:tcW w:w="1305" w:type="dxa"/>
                  <w:shd w:val="clear" w:color="auto" w:fill="auto"/>
                  <w:noWrap/>
                  <w:vAlign w:val="center"/>
                </w:tcPr>
                <w:p>
                  <w:pPr>
                    <w:pStyle w:val="164"/>
                    <w:rPr>
                      <w:color w:val="000000"/>
                    </w:rPr>
                  </w:pPr>
                  <w:r>
                    <w:rPr>
                      <w:color w:val="000000"/>
                    </w:rPr>
                    <w:t>100</w:t>
                  </w:r>
                </w:p>
              </w:tc>
              <w:tc>
                <w:tcPr>
                  <w:tcW w:w="1329" w:type="dxa"/>
                  <w:shd w:val="clear" w:color="auto" w:fill="auto"/>
                  <w:vAlign w:val="center"/>
                </w:tcPr>
                <w:p>
                  <w:pPr>
                    <w:pStyle w:val="164"/>
                    <w:rPr>
                      <w:rFonts w:ascii="宋体" w:hAnsi="宋体" w:cs="宋体"/>
                      <w:color w:val="000000"/>
                    </w:rPr>
                  </w:pPr>
                  <w:r>
                    <w:rPr>
                      <w:rFonts w:hint="eastAsia" w:ascii="宋体" w:hAnsi="宋体" w:cs="宋体"/>
                      <w:color w:val="000000"/>
                    </w:rPr>
                    <w:t>达标</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76" w:type="dxa"/>
                  <w:vMerge w:val="continue"/>
                  <w:vAlign w:val="center"/>
                </w:tcPr>
                <w:p>
                  <w:pPr>
                    <w:pStyle w:val="164"/>
                    <w:rPr>
                      <w:color w:val="000000"/>
                    </w:rPr>
                  </w:pPr>
                </w:p>
              </w:tc>
              <w:tc>
                <w:tcPr>
                  <w:tcW w:w="1076" w:type="dxa"/>
                  <w:vMerge w:val="continue"/>
                  <w:vAlign w:val="center"/>
                </w:tcPr>
                <w:p>
                  <w:pPr>
                    <w:pStyle w:val="164"/>
                    <w:rPr>
                      <w:rFonts w:ascii="宋体" w:hAnsi="宋体" w:cs="宋体"/>
                      <w:color w:val="000000"/>
                    </w:rPr>
                  </w:pPr>
                </w:p>
              </w:tc>
              <w:tc>
                <w:tcPr>
                  <w:tcW w:w="1076" w:type="dxa"/>
                  <w:shd w:val="clear" w:color="auto" w:fill="auto"/>
                  <w:vAlign w:val="center"/>
                </w:tcPr>
                <w:p>
                  <w:pPr>
                    <w:pStyle w:val="164"/>
                    <w:rPr>
                      <w:rFonts w:ascii="宋体" w:hAnsi="宋体" w:cs="宋体"/>
                      <w:color w:val="000000"/>
                    </w:rPr>
                  </w:pPr>
                  <w:r>
                    <w:rPr>
                      <w:rFonts w:hint="eastAsia" w:ascii="宋体" w:hAnsi="宋体" w:cs="宋体"/>
                      <w:color w:val="000000"/>
                    </w:rPr>
                    <w:t>石油类</w:t>
                  </w:r>
                </w:p>
              </w:tc>
              <w:tc>
                <w:tcPr>
                  <w:tcW w:w="1314" w:type="dxa"/>
                  <w:shd w:val="clear" w:color="auto" w:fill="auto"/>
                  <w:vAlign w:val="center"/>
                </w:tcPr>
                <w:p>
                  <w:pPr>
                    <w:pStyle w:val="164"/>
                    <w:rPr>
                      <w:color w:val="000000"/>
                    </w:rPr>
                  </w:pPr>
                  <w:r>
                    <w:rPr>
                      <w:color w:val="000000"/>
                    </w:rPr>
                    <w:t>20</w:t>
                  </w:r>
                </w:p>
              </w:tc>
              <w:tc>
                <w:tcPr>
                  <w:tcW w:w="1329" w:type="dxa"/>
                  <w:vMerge w:val="continue"/>
                  <w:vAlign w:val="center"/>
                </w:tcPr>
                <w:p>
                  <w:pPr>
                    <w:pStyle w:val="164"/>
                    <w:rPr>
                      <w:rFonts w:ascii="宋体" w:hAnsi="宋体" w:cs="宋体"/>
                      <w:color w:val="000000"/>
                    </w:rPr>
                  </w:pPr>
                </w:p>
              </w:tc>
              <w:tc>
                <w:tcPr>
                  <w:tcW w:w="1305" w:type="dxa"/>
                  <w:shd w:val="clear" w:color="auto" w:fill="auto"/>
                  <w:noWrap/>
                  <w:vAlign w:val="center"/>
                </w:tcPr>
                <w:p>
                  <w:pPr>
                    <w:pStyle w:val="164"/>
                    <w:rPr>
                      <w:color w:val="000000"/>
                    </w:rPr>
                  </w:pPr>
                  <w:r>
                    <w:rPr>
                      <w:color w:val="000000"/>
                    </w:rPr>
                    <w:t>20</w:t>
                  </w:r>
                </w:p>
              </w:tc>
              <w:tc>
                <w:tcPr>
                  <w:tcW w:w="1329" w:type="dxa"/>
                  <w:shd w:val="clear" w:color="auto" w:fill="auto"/>
                  <w:vAlign w:val="center"/>
                </w:tcPr>
                <w:p>
                  <w:pPr>
                    <w:pStyle w:val="164"/>
                    <w:rPr>
                      <w:rFonts w:ascii="宋体" w:hAnsi="宋体" w:cs="宋体"/>
                      <w:color w:val="000000"/>
                    </w:rPr>
                  </w:pPr>
                  <w:r>
                    <w:rPr>
                      <w:rFonts w:hint="eastAsia" w:ascii="宋体" w:hAnsi="宋体" w:cs="宋体"/>
                      <w:color w:val="000000"/>
                    </w:rPr>
                    <w:t>达标</w:t>
                  </w:r>
                </w:p>
              </w:tc>
            </w:tr>
          </w:tbl>
          <w:p>
            <w:pPr>
              <w:pStyle w:val="165"/>
            </w:pPr>
          </w:p>
          <w:p>
            <w:pPr>
              <w:pStyle w:val="6"/>
            </w:pPr>
            <w:r>
              <w:rPr>
                <w:rFonts w:hint="eastAsia"/>
              </w:rPr>
              <w:t>4.3.5废水污染防治措施</w:t>
            </w:r>
          </w:p>
          <w:p>
            <w:pPr>
              <w:spacing w:line="360" w:lineRule="auto"/>
              <w:ind w:firstLine="480" w:firstLineChars="200"/>
              <w:rPr>
                <w:rFonts w:ascii="宋体" w:hAnsi="宋体" w:cs="宋体"/>
                <w:sz w:val="24"/>
              </w:rPr>
            </w:pPr>
            <w:r>
              <w:rPr>
                <w:rFonts w:hint="eastAsia" w:ascii="宋体" w:hAnsi="宋体" w:cs="宋体"/>
                <w:sz w:val="24"/>
              </w:rPr>
              <w:t>（1）厂内设施可行性分析</w:t>
            </w:r>
          </w:p>
          <w:p>
            <w:pPr>
              <w:spacing w:line="360" w:lineRule="auto"/>
              <w:ind w:firstLine="480" w:firstLineChars="200"/>
              <w:rPr>
                <w:rFonts w:ascii="宋体" w:hAnsi="宋体" w:cs="宋体"/>
                <w:sz w:val="24"/>
              </w:rPr>
            </w:pPr>
            <w:r>
              <w:rPr>
                <w:rFonts w:hint="eastAsia" w:ascii="宋体" w:hAnsi="宋体" w:cs="宋体"/>
                <w:sz w:val="24"/>
              </w:rPr>
              <w:t>扩建项目于厂房内自行设置食堂隔油池，并于各洗手槽单独设置隔油沉砂装置，用于对营运期产生的食堂含油废水、工人洗手水和地面清洁水进行预处理，扩建项目针对食堂含油废水、工人洗手水和地面清洁水产生环节均设置有预处理设施，因此设施有效可行。</w:t>
            </w:r>
          </w:p>
          <w:p>
            <w:pPr>
              <w:spacing w:line="360" w:lineRule="auto"/>
              <w:ind w:firstLine="480" w:firstLineChars="200"/>
              <w:rPr>
                <w:rFonts w:ascii="宋体" w:hAnsi="宋体" w:cs="宋体"/>
                <w:sz w:val="24"/>
              </w:rPr>
            </w:pPr>
            <w:r>
              <w:rPr>
                <w:rFonts w:hint="eastAsia" w:ascii="宋体" w:hAnsi="宋体" w:cs="宋体"/>
                <w:sz w:val="24"/>
              </w:rPr>
              <w:t>（2）污水处理设施依托可行性分析</w:t>
            </w:r>
          </w:p>
          <w:p>
            <w:pPr>
              <w:spacing w:line="360" w:lineRule="auto"/>
              <w:ind w:firstLine="480" w:firstLineChars="200"/>
              <w:rPr>
                <w:rFonts w:ascii="宋体" w:hAnsi="宋体" w:cs="宋体"/>
                <w:sz w:val="24"/>
              </w:rPr>
            </w:pPr>
            <w:r>
              <w:rPr>
                <w:rFonts w:hint="eastAsia" w:ascii="宋体" w:hAnsi="宋体" w:cs="宋体"/>
                <w:sz w:val="24"/>
              </w:rPr>
              <w:t>扩建项目建成后，全厂综合废水产生量为22.64m</w:t>
            </w:r>
            <w:r>
              <w:rPr>
                <w:rFonts w:hint="eastAsia" w:ascii="宋体" w:hAnsi="宋体" w:cs="宋体"/>
                <w:sz w:val="24"/>
                <w:vertAlign w:val="superscript"/>
              </w:rPr>
              <w:t>3</w:t>
            </w:r>
            <w:r>
              <w:rPr>
                <w:rFonts w:hint="eastAsia" w:ascii="宋体" w:hAnsi="宋体" w:cs="宋体"/>
                <w:sz w:val="24"/>
              </w:rPr>
              <w:t>/d，排入现有废水处理站进行处理。该污水处理设施设计处理能力为50m</w:t>
            </w:r>
            <w:r>
              <w:rPr>
                <w:rFonts w:hint="eastAsia" w:ascii="宋体" w:hAnsi="宋体" w:cs="宋体"/>
                <w:sz w:val="24"/>
                <w:vertAlign w:val="superscript"/>
              </w:rPr>
              <w:t>3</w:t>
            </w:r>
            <w:r>
              <w:rPr>
                <w:rFonts w:hint="eastAsia" w:ascii="宋体" w:hAnsi="宋体" w:cs="宋体"/>
                <w:sz w:val="24"/>
              </w:rPr>
              <w:t>/d，根据现场调查，目前实际处理废水量为5m</w:t>
            </w:r>
            <w:r>
              <w:rPr>
                <w:rFonts w:hint="eastAsia" w:ascii="宋体" w:hAnsi="宋体" w:cs="宋体"/>
                <w:sz w:val="24"/>
                <w:vertAlign w:val="superscript"/>
              </w:rPr>
              <w:t>3</w:t>
            </w:r>
            <w:r>
              <w:rPr>
                <w:rFonts w:hint="eastAsia" w:ascii="宋体" w:hAnsi="宋体" w:cs="宋体"/>
                <w:sz w:val="24"/>
              </w:rPr>
              <w:t>/d，尚有富余处理能力45m</w:t>
            </w:r>
            <w:r>
              <w:rPr>
                <w:rFonts w:hint="eastAsia" w:ascii="宋体" w:hAnsi="宋体" w:cs="宋体"/>
                <w:sz w:val="24"/>
                <w:vertAlign w:val="superscript"/>
              </w:rPr>
              <w:t>3</w:t>
            </w:r>
            <w:r>
              <w:rPr>
                <w:rFonts w:hint="eastAsia" w:ascii="宋体" w:hAnsi="宋体" w:cs="宋体"/>
                <w:sz w:val="24"/>
              </w:rPr>
              <w:t>/d，且根据近期验收监测报告可知，该污水处理设施能达标处理收集的污废水，扩建项目污废水水质简单，不会对该污水处理设施的正常运行造成影响，由此可知，现有废水处理站能确保扩建项目综合废水达标处理。</w:t>
            </w:r>
          </w:p>
          <w:p>
            <w:pPr>
              <w:spacing w:line="360" w:lineRule="auto"/>
              <w:jc w:val="center"/>
            </w:pPr>
            <w:r>
              <w:object>
                <v:shape id="_x0000_i1033" o:spt="75" type="#_x0000_t75" style="height:57pt;width:426.85pt;" o:ole="t" filled="f" o:preferrelative="t" stroked="f" coordsize="21600,21600">
                  <v:path/>
                  <v:fill on="f" focussize="0,0"/>
                  <v:stroke on="f" joinstyle="miter"/>
                  <v:imagedata r:id="rId34" o:title=""/>
                  <o:lock v:ext="edit" aspectratio="t"/>
                  <w10:wrap type="none"/>
                  <w10:anchorlock/>
                </v:shape>
                <o:OLEObject Type="Embed" ProgID="AutoCAD.Drawing.19" ShapeID="_x0000_i1033" DrawAspect="Content" ObjectID="_1468075733" r:id="rId33">
                  <o:LockedField>false</o:LockedField>
                </o:OLEObject>
              </w:object>
            </w:r>
            <w:r>
              <w:t>图</w:t>
            </w:r>
            <w:r>
              <w:rPr>
                <w:rFonts w:hint="eastAsia"/>
              </w:rPr>
              <w:t>4.3-1  废水处理站处理工艺流程图</w:t>
            </w:r>
          </w:p>
          <w:p>
            <w:pPr>
              <w:spacing w:line="360" w:lineRule="auto"/>
              <w:ind w:firstLine="480" w:firstLineChars="200"/>
              <w:rPr>
                <w:rFonts w:ascii="宋体" w:hAnsi="宋体" w:cs="宋体"/>
                <w:sz w:val="24"/>
              </w:rPr>
            </w:pPr>
            <w:r>
              <w:rPr>
                <w:rFonts w:ascii="宋体" w:hAnsi="宋体" w:cs="宋体"/>
                <w:sz w:val="24"/>
              </w:rPr>
              <w:t>（</w:t>
            </w:r>
            <w:r>
              <w:rPr>
                <w:rFonts w:hint="eastAsia" w:ascii="宋体" w:hAnsi="宋体" w:cs="宋体"/>
                <w:sz w:val="24"/>
              </w:rPr>
              <w:t>3</w:t>
            </w:r>
            <w:r>
              <w:rPr>
                <w:rFonts w:ascii="宋体" w:hAnsi="宋体" w:cs="宋体"/>
                <w:sz w:val="24"/>
              </w:rPr>
              <w:t>）</w:t>
            </w:r>
            <w:r>
              <w:rPr>
                <w:rFonts w:hint="eastAsia" w:ascii="宋体" w:hAnsi="宋体" w:cs="宋体"/>
                <w:sz w:val="24"/>
              </w:rPr>
              <w:t>废气处理措施可行性分析</w:t>
            </w:r>
          </w:p>
          <w:p>
            <w:pPr>
              <w:spacing w:line="360" w:lineRule="auto"/>
              <w:ind w:firstLine="480" w:firstLineChars="200"/>
              <w:rPr>
                <w:rFonts w:ascii="宋体" w:hAnsi="宋体" w:cs="宋体"/>
                <w:sz w:val="24"/>
              </w:rPr>
            </w:pPr>
            <w:r>
              <w:rPr>
                <w:rFonts w:hint="eastAsia" w:ascii="宋体" w:hAnsi="宋体" w:cs="宋体"/>
                <w:sz w:val="24"/>
              </w:rPr>
              <w:t>扩建项目废水处理工艺为：“物化+生化</w:t>
            </w:r>
            <w:r>
              <w:rPr>
                <w:rFonts w:ascii="宋体" w:hAnsi="宋体" w:cs="宋体"/>
                <w:sz w:val="24"/>
              </w:rPr>
              <w:t>”，属于</w:t>
            </w:r>
            <w:r>
              <w:rPr>
                <w:rFonts w:hint="eastAsia" w:ascii="宋体" w:hAnsi="宋体" w:cs="宋体"/>
                <w:sz w:val="24"/>
              </w:rPr>
              <w:t>《排污许可证申请与核发技术规范家具制造工业》（</w:t>
            </w:r>
            <w:r>
              <w:rPr>
                <w:rFonts w:ascii="宋体" w:hAnsi="宋体" w:cs="宋体"/>
                <w:sz w:val="24"/>
              </w:rPr>
              <w:t>HJ 1027-2019</w:t>
            </w:r>
            <w:r>
              <w:rPr>
                <w:rFonts w:hint="eastAsia" w:ascii="宋体" w:hAnsi="宋体" w:cs="宋体"/>
                <w:sz w:val="24"/>
              </w:rPr>
              <w:t>）</w:t>
            </w:r>
            <w:r>
              <w:rPr>
                <w:rFonts w:ascii="宋体" w:hAnsi="宋体" w:cs="宋体"/>
                <w:sz w:val="24"/>
              </w:rPr>
              <w:t>工艺的组合处理工艺，属于推荐治理工艺。</w:t>
            </w:r>
          </w:p>
          <w:p>
            <w:pPr>
              <w:spacing w:line="360" w:lineRule="auto"/>
              <w:ind w:firstLine="480" w:firstLineChars="200"/>
              <w:rPr>
                <w:rFonts w:ascii="宋体" w:hAnsi="宋体" w:cs="宋体"/>
                <w:sz w:val="24"/>
              </w:rPr>
            </w:pPr>
            <w:r>
              <w:rPr>
                <w:rFonts w:hint="eastAsia" w:ascii="宋体" w:hAnsi="宋体" w:cs="宋体"/>
                <w:sz w:val="24"/>
              </w:rPr>
              <w:t>（4）依托东城污水处理厂可行性分析</w:t>
            </w:r>
          </w:p>
          <w:p>
            <w:pPr>
              <w:spacing w:line="360" w:lineRule="auto"/>
              <w:ind w:firstLine="480" w:firstLineChars="200"/>
              <w:rPr>
                <w:rFonts w:ascii="宋体" w:hAnsi="宋体" w:cs="宋体"/>
                <w:sz w:val="24"/>
              </w:rPr>
            </w:pPr>
            <w:r>
              <w:rPr>
                <w:rFonts w:hint="eastAsia" w:ascii="宋体" w:hAnsi="宋体" w:cs="宋体"/>
                <w:sz w:val="24"/>
              </w:rPr>
              <w:t>根据重庆铜梁高新区铜梁片区及全蒲片区规划环境影响跟踪评价报告书调查，铜梁高新技术产业开发区废水经预处理达到《污水综合排放标准》中三级标准后进入市政污水管网，其中铜梁工业园白土坝片区生产废水进入铜梁污水处理厂处理，铜梁工业园的全德、姜家岩、食品工业小区以及全蒲片区北部废水进入东城污水处理厂处理，污水经处理达到《城镇污水处理厂污染物排放标准》（GB18918-2002）中一级B标准后，排入淮远河。</w:t>
            </w:r>
          </w:p>
          <w:p>
            <w:pPr>
              <w:spacing w:line="360" w:lineRule="auto"/>
              <w:ind w:firstLine="480" w:firstLineChars="200"/>
              <w:rPr>
                <w:rFonts w:ascii="宋体" w:hAnsi="宋体" w:cs="宋体"/>
                <w:sz w:val="24"/>
              </w:rPr>
            </w:pPr>
            <w:r>
              <w:rPr>
                <w:rFonts w:hint="eastAsia" w:ascii="宋体" w:hAnsi="宋体" w:cs="宋体"/>
                <w:sz w:val="24"/>
                <w:lang w:val="zh-CN"/>
              </w:rPr>
              <w:t>该污水处理厂位于东城街道办事处全兴社区（全德大桥桥头），污水处理厂总占地面积11273m</w:t>
            </w:r>
            <w:r>
              <w:rPr>
                <w:rFonts w:hint="eastAsia" w:ascii="宋体" w:hAnsi="宋体" w:cs="宋体"/>
                <w:sz w:val="24"/>
                <w:vertAlign w:val="superscript"/>
                <w:lang w:val="zh-CN"/>
              </w:rPr>
              <w:t>2</w:t>
            </w:r>
            <w:r>
              <w:rPr>
                <w:rFonts w:hint="eastAsia" w:ascii="宋体" w:hAnsi="宋体" w:cs="宋体"/>
                <w:sz w:val="24"/>
                <w:lang w:val="zh-CN"/>
              </w:rPr>
              <w:t>，一期工程设计处理能力为日处理污水10000 吨，厂区工程总投资2596.80万元，于2011年11月竣工。2013年底正式投入使用，目前日处理约8000吨，取得排污许可证（渝（铜）环排﹝2016﹞100号）。东城污水处理厂处理铜梁本轮总体规划确定的城市范围产生的污水，还包括经处理达到排入污水管网规定标准的工业废水，处理后的污水达到国家《城镇污水处理厂污染物排放标准》（GB18918-2002）一级B类标准</w:t>
            </w:r>
            <w:r>
              <w:rPr>
                <w:rFonts w:hint="eastAsia" w:ascii="宋体" w:hAnsi="宋体" w:cs="宋体"/>
                <w:sz w:val="24"/>
              </w:rPr>
              <w:t>。</w:t>
            </w:r>
            <w:r>
              <w:rPr>
                <w:rFonts w:hint="eastAsia"/>
                <w:sz w:val="24"/>
              </w:rPr>
              <w:t>东城污水处理厂尾水污染物排放近期执行</w:t>
            </w:r>
            <w:r>
              <w:rPr>
                <w:rFonts w:hint="eastAsia" w:ascii="宋体" w:hAnsi="宋体" w:cs="宋体"/>
                <w:sz w:val="24"/>
                <w:lang w:val="zh-CN"/>
              </w:rPr>
              <w:t>《城镇污水处理厂污染物排放标准》（GB18918-2002）一级B类标准。</w:t>
            </w:r>
          </w:p>
          <w:p>
            <w:pPr>
              <w:spacing w:line="360" w:lineRule="auto"/>
              <w:ind w:firstLine="480" w:firstLineChars="200"/>
              <w:rPr>
                <w:rFonts w:ascii="宋体" w:hAnsi="宋体" w:cs="宋体"/>
                <w:sz w:val="24"/>
              </w:rPr>
            </w:pPr>
            <w:r>
              <w:rPr>
                <w:rFonts w:hint="eastAsia" w:ascii="宋体" w:hAnsi="宋体" w:cs="宋体"/>
                <w:sz w:val="24"/>
              </w:rPr>
              <w:t>扩建项目污废水属于东城污水处理厂的服务范围，企业至污水处理厂的污水</w:t>
            </w:r>
            <w:r>
              <w:rPr>
                <w:rFonts w:ascii="宋体" w:hAnsi="宋体" w:cs="宋体"/>
                <w:sz w:val="24"/>
              </w:rPr>
              <w:t xml:space="preserve">管网已建成，目前东城污水处理厂已建成投入运行，处理能力为 </w:t>
            </w:r>
            <w:r>
              <w:rPr>
                <w:rFonts w:hint="eastAsia" w:ascii="宋体" w:hAnsi="宋体" w:cs="宋体"/>
                <w:sz w:val="24"/>
              </w:rPr>
              <w:t>1</w:t>
            </w:r>
            <w:r>
              <w:rPr>
                <w:rFonts w:ascii="宋体" w:hAnsi="宋体" w:cs="宋体"/>
                <w:sz w:val="24"/>
              </w:rPr>
              <w:t>万m</w:t>
            </w:r>
            <w:r>
              <w:rPr>
                <w:rFonts w:ascii="宋体" w:hAnsi="宋体" w:cs="宋体"/>
                <w:sz w:val="24"/>
                <w:vertAlign w:val="superscript"/>
              </w:rPr>
              <w:t>3</w:t>
            </w:r>
            <w:r>
              <w:rPr>
                <w:rFonts w:ascii="宋体" w:hAnsi="宋体" w:cs="宋体"/>
                <w:sz w:val="24"/>
              </w:rPr>
              <w:t>/d，目前接纳污水量约 8000m</w:t>
            </w:r>
            <w:r>
              <w:rPr>
                <w:rFonts w:ascii="宋体" w:hAnsi="宋体" w:cs="宋体"/>
                <w:sz w:val="24"/>
                <w:vertAlign w:val="superscript"/>
              </w:rPr>
              <w:t>3</w:t>
            </w:r>
            <w:r>
              <w:rPr>
                <w:rFonts w:ascii="宋体" w:hAnsi="宋体" w:cs="宋体"/>
                <w:sz w:val="24"/>
              </w:rPr>
              <w:t>/d，采用 HASN（高效氧化+短程硝化）工艺</w:t>
            </w:r>
            <w:r>
              <w:rPr>
                <w:rFonts w:hint="eastAsia" w:ascii="宋体" w:hAnsi="宋体" w:cs="宋体"/>
                <w:sz w:val="24"/>
              </w:rPr>
              <w:t>，</w:t>
            </w:r>
            <w:r>
              <w:rPr>
                <w:rFonts w:ascii="宋体" w:hAnsi="宋体" w:cs="宋体"/>
                <w:sz w:val="24"/>
              </w:rPr>
              <w:t>出水水质可以达到《城镇污水处理厂污染物排放标准》（GB18918-2002）一级B标准。扩建项目污水水量少（仅为</w:t>
            </w:r>
            <w:r>
              <w:rPr>
                <w:rFonts w:hint="eastAsia" w:ascii="宋体" w:hAnsi="宋体" w:cs="宋体"/>
                <w:sz w:val="24"/>
              </w:rPr>
              <w:t>16.41</w:t>
            </w:r>
            <w:r>
              <w:rPr>
                <w:rFonts w:ascii="宋体" w:hAnsi="宋体" w:cs="宋体"/>
                <w:sz w:val="24"/>
              </w:rPr>
              <w:t>m</w:t>
            </w:r>
            <w:r>
              <w:rPr>
                <w:rFonts w:ascii="宋体" w:hAnsi="宋体" w:cs="宋体"/>
                <w:sz w:val="24"/>
                <w:vertAlign w:val="superscript"/>
              </w:rPr>
              <w:t>3</w:t>
            </w:r>
            <w:r>
              <w:rPr>
                <w:rFonts w:ascii="宋体" w:hAnsi="宋体" w:cs="宋体"/>
                <w:sz w:val="24"/>
              </w:rPr>
              <w:t xml:space="preserve"> /d，仅占东城污水处理厂日处理能力的 0.</w:t>
            </w:r>
            <w:r>
              <w:rPr>
                <w:rFonts w:hint="eastAsia" w:ascii="宋体" w:hAnsi="宋体" w:cs="宋体"/>
                <w:sz w:val="24"/>
              </w:rPr>
              <w:t>16</w:t>
            </w:r>
            <w:r>
              <w:rPr>
                <w:rFonts w:ascii="宋体" w:hAnsi="宋体" w:cs="宋体"/>
                <w:sz w:val="24"/>
              </w:rPr>
              <w:t>%），污水成分简单，满足东城污水处理厂的纳管水质要求，因此，东城污水处理厂能够接纳并处理扩建项目产生的污废水。</w:t>
            </w:r>
          </w:p>
          <w:p>
            <w:pPr>
              <w:spacing w:line="360" w:lineRule="auto"/>
              <w:ind w:firstLine="480" w:firstLineChars="200"/>
              <w:rPr>
                <w:rFonts w:ascii="宋体" w:hAnsi="宋体" w:cs="宋体"/>
                <w:sz w:val="24"/>
              </w:rPr>
            </w:pPr>
            <w:r>
              <w:rPr>
                <w:rFonts w:hint="eastAsia" w:ascii="宋体" w:hAnsi="宋体" w:cs="宋体"/>
                <w:sz w:val="24"/>
              </w:rPr>
              <w:t>综上所述，扩建项目依托厂区内现有污水处理设施处理能力和工艺能满足扩建项目综合废水的处置要求，扩建项目综合废水处理措施可行。</w:t>
            </w:r>
          </w:p>
          <w:p>
            <w:pPr>
              <w:spacing w:line="360" w:lineRule="auto"/>
              <w:ind w:firstLine="420" w:firstLineChars="200"/>
              <w:rPr>
                <w:color w:val="FF0000"/>
              </w:rPr>
            </w:pPr>
          </w:p>
          <w:p>
            <w:pPr>
              <w:pStyle w:val="5"/>
              <w:keepNext w:val="0"/>
              <w:keepLines w:val="0"/>
              <w:snapToGrid w:val="0"/>
              <w:rPr>
                <w:rFonts w:ascii="宋体" w:hAnsi="宋体" w:cs="Times New Roman"/>
              </w:rPr>
            </w:pPr>
            <w:r>
              <w:rPr>
                <w:rFonts w:hint="eastAsia" w:ascii="宋体" w:hAnsi="宋体" w:cs="Times New Roman"/>
              </w:rPr>
              <w:t>4.4噪声</w:t>
            </w:r>
          </w:p>
          <w:p>
            <w:pPr>
              <w:pStyle w:val="6"/>
            </w:pPr>
            <w:r>
              <w:rPr>
                <w:rFonts w:hint="eastAsia"/>
              </w:rPr>
              <w:t>4.4.1噪声产生情况</w:t>
            </w:r>
          </w:p>
          <w:p>
            <w:pPr>
              <w:pStyle w:val="160"/>
              <w:ind w:firstLine="480"/>
            </w:pPr>
            <w:r>
              <w:rPr>
                <w:rFonts w:hint="eastAsia"/>
              </w:rPr>
              <w:t>扩建项目噪声主要为各类生产设备运行时产生的噪声。</w:t>
            </w:r>
          </w:p>
          <w:p>
            <w:pPr>
              <w:pStyle w:val="4075"/>
              <w:numPr>
                <w:ilvl w:val="0"/>
                <w:numId w:val="19"/>
              </w:numPr>
            </w:pPr>
            <w:r>
              <w:rPr>
                <w:rFonts w:hint="eastAsia"/>
              </w:rPr>
              <w:t>噪声源强</w:t>
            </w:r>
          </w:p>
          <w:p>
            <w:pPr>
              <w:pStyle w:val="160"/>
              <w:ind w:firstLine="480"/>
            </w:pPr>
            <w:r>
              <w:rPr>
                <w:rFonts w:hint="eastAsia"/>
              </w:rPr>
              <w:t>根据《家具制造工业污染防治可行技术指南》（</w:t>
            </w:r>
            <w:r>
              <w:t>HJ 1180—2021）</w:t>
            </w:r>
            <w:r>
              <w:rPr>
                <w:rFonts w:hint="eastAsia"/>
              </w:rPr>
              <w:t>中8</w:t>
            </w:r>
            <w:r>
              <w:t>.4</w:t>
            </w:r>
            <w:r>
              <w:rPr>
                <w:rFonts w:hint="eastAsia"/>
              </w:rPr>
              <w:t>“表</w:t>
            </w:r>
            <w:r>
              <w:t>4噪声污染防治可行技术</w:t>
            </w:r>
            <w:r>
              <w:rPr>
                <w:rFonts w:hint="eastAsia"/>
              </w:rPr>
              <w:t>”，设备噪声值在6</w:t>
            </w:r>
            <w:r>
              <w:t>5</w:t>
            </w:r>
            <w:r>
              <w:rPr>
                <w:rFonts w:hint="eastAsia"/>
              </w:rPr>
              <w:t>dB（A） ~90dB（A）之间，采取基础减振、消声、厂房隔声等措施减小噪声对外环境的影响。噪声污染源强见</w:t>
            </w:r>
            <w:r>
              <w:fldChar w:fldCharType="begin"/>
            </w:r>
            <w:r>
              <w:rPr>
                <w:rFonts w:hint="eastAsia"/>
              </w:rPr>
              <w:instrText xml:space="preserve">REF _Ref82520692 \h</w:instrText>
            </w:r>
            <w:r>
              <w:fldChar w:fldCharType="separate"/>
            </w:r>
            <w:r>
              <w:rPr>
                <w:rFonts w:hint="eastAsia"/>
              </w:rPr>
              <w:t>表4.4-1</w:t>
            </w:r>
            <w:r>
              <w:fldChar w:fldCharType="end"/>
            </w:r>
            <w:r>
              <w:rPr>
                <w:rFonts w:hint="eastAsia"/>
              </w:rPr>
              <w:t>。</w:t>
            </w:r>
          </w:p>
          <w:p>
            <w:pPr>
              <w:pStyle w:val="164"/>
              <w:rPr>
                <w:bCs/>
                <w:color w:val="auto"/>
              </w:rPr>
            </w:pPr>
            <w:bookmarkStart w:id="56" w:name="_Ref82520692"/>
            <w:r>
              <w:rPr>
                <w:rFonts w:hint="eastAsia"/>
                <w:bCs/>
                <w:color w:val="auto"/>
              </w:rPr>
              <w:t>表</w:t>
            </w:r>
            <w:bookmarkEnd w:id="56"/>
            <w:r>
              <w:rPr>
                <w:rFonts w:hint="eastAsia"/>
                <w:bCs/>
                <w:color w:val="auto"/>
              </w:rPr>
              <w:t>4.4-1    扩建项目噪声污染源强一览表单位：</w:t>
            </w:r>
            <w:r>
              <w:rPr>
                <w:bCs/>
                <w:color w:val="auto"/>
              </w:rPr>
              <w:t>dB</w:t>
            </w:r>
            <w:r>
              <w:rPr>
                <w:rFonts w:hint="eastAsia"/>
                <w:bCs/>
                <w:color w:val="auto"/>
              </w:rPr>
              <w:t>（</w:t>
            </w:r>
            <w:r>
              <w:rPr>
                <w:bCs/>
                <w:color w:val="auto"/>
              </w:rPr>
              <w:t>A</w:t>
            </w:r>
            <w:r>
              <w:rPr>
                <w:rFonts w:hint="eastAsia"/>
                <w:bCs/>
                <w:color w:val="auto"/>
              </w:rPr>
              <w:t>）</w:t>
            </w:r>
          </w:p>
          <w:tbl>
            <w:tblPr>
              <w:tblStyle w:val="162"/>
              <w:tblW w:w="8222" w:type="dxa"/>
              <w:jc w:val="center"/>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1"/>
              <w:gridCol w:w="2594"/>
              <w:gridCol w:w="1409"/>
              <w:gridCol w:w="1670"/>
              <w:gridCol w:w="164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64"/>
                    <w:rPr>
                      <w:b/>
                      <w:color w:val="auto"/>
                    </w:rPr>
                  </w:pPr>
                  <w:r>
                    <w:rPr>
                      <w:b w:val="0"/>
                      <w:color w:val="auto"/>
                    </w:rPr>
                    <w:t>序号</w:t>
                  </w:r>
                </w:p>
              </w:tc>
              <w:tc>
                <w:tcPr>
                  <w:tcW w:w="2594" w:type="dxa"/>
                  <w:shd w:val="clear" w:color="auto" w:fill="auto"/>
                  <w:vAlign w:val="center"/>
                </w:tcPr>
                <w:p>
                  <w:pPr>
                    <w:pStyle w:val="164"/>
                    <w:rPr>
                      <w:b/>
                      <w:color w:val="auto"/>
                    </w:rPr>
                  </w:pPr>
                  <w:r>
                    <w:rPr>
                      <w:b w:val="0"/>
                      <w:color w:val="auto"/>
                    </w:rPr>
                    <w:t>设备名称</w:t>
                  </w:r>
                </w:p>
              </w:tc>
              <w:tc>
                <w:tcPr>
                  <w:tcW w:w="1409" w:type="dxa"/>
                  <w:shd w:val="clear" w:color="auto" w:fill="auto"/>
                  <w:vAlign w:val="center"/>
                </w:tcPr>
                <w:p>
                  <w:pPr>
                    <w:pStyle w:val="164"/>
                    <w:rPr>
                      <w:b/>
                      <w:color w:val="auto"/>
                    </w:rPr>
                  </w:pPr>
                  <w:r>
                    <w:rPr>
                      <w:b w:val="0"/>
                      <w:color w:val="auto"/>
                    </w:rPr>
                    <w:t>数量（套/台）</w:t>
                  </w:r>
                </w:p>
              </w:tc>
              <w:tc>
                <w:tcPr>
                  <w:tcW w:w="1670" w:type="dxa"/>
                  <w:shd w:val="clear" w:color="auto" w:fill="auto"/>
                  <w:vAlign w:val="center"/>
                </w:tcPr>
                <w:p>
                  <w:pPr>
                    <w:pStyle w:val="164"/>
                    <w:rPr>
                      <w:b/>
                      <w:bCs/>
                      <w:color w:val="auto"/>
                    </w:rPr>
                  </w:pPr>
                  <w:r>
                    <w:rPr>
                      <w:b w:val="0"/>
                      <w:bCs/>
                      <w:color w:val="auto"/>
                    </w:rPr>
                    <w:t>噪声源强</w:t>
                  </w:r>
                  <w:r>
                    <w:rPr>
                      <w:b w:val="0"/>
                      <w:bCs/>
                      <w:color w:val="auto"/>
                      <w:lang w:val="en-US"/>
                    </w:rPr>
                    <w:t>dB</w:t>
                  </w:r>
                </w:p>
              </w:tc>
              <w:tc>
                <w:tcPr>
                  <w:tcW w:w="1648" w:type="dxa"/>
                  <w:shd w:val="clear" w:color="auto" w:fill="auto"/>
                  <w:vAlign w:val="center"/>
                </w:tcPr>
                <w:p>
                  <w:pPr>
                    <w:pStyle w:val="164"/>
                    <w:rPr>
                      <w:b/>
                      <w:color w:val="auto"/>
                    </w:rPr>
                  </w:pPr>
                  <w:r>
                    <w:rPr>
                      <w:rFonts w:hint="eastAsia"/>
                      <w:b w:val="0"/>
                      <w:color w:val="auto"/>
                    </w:rPr>
                    <w:t>排放方式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bCs/>
                      <w:color w:val="auto"/>
                    </w:rPr>
                  </w:pPr>
                  <w:r>
                    <w:rPr>
                      <w:rFonts w:hint="eastAsia"/>
                    </w:rPr>
                    <w:t>砂光机</w:t>
                  </w:r>
                </w:p>
              </w:tc>
              <w:tc>
                <w:tcPr>
                  <w:tcW w:w="1409" w:type="dxa"/>
                  <w:shd w:val="clear" w:color="auto" w:fill="auto"/>
                  <w:vAlign w:val="center"/>
                </w:tcPr>
                <w:p>
                  <w:pPr>
                    <w:pStyle w:val="164"/>
                    <w:rPr>
                      <w:bCs/>
                      <w:color w:val="auto"/>
                      <w:lang w:val="en-US"/>
                    </w:rPr>
                  </w:pPr>
                  <w:r>
                    <w:rPr>
                      <w:rFonts w:hint="eastAsia"/>
                      <w:bCs/>
                      <w:color w:val="auto"/>
                      <w:lang w:val="en-US"/>
                    </w:rPr>
                    <w:t>3</w:t>
                  </w:r>
                </w:p>
              </w:tc>
              <w:tc>
                <w:tcPr>
                  <w:tcW w:w="1670" w:type="dxa"/>
                  <w:shd w:val="clear" w:color="auto" w:fill="auto"/>
                  <w:vAlign w:val="center"/>
                </w:tcPr>
                <w:p>
                  <w:pPr>
                    <w:pStyle w:val="164"/>
                    <w:rPr>
                      <w:bCs/>
                      <w:color w:val="auto"/>
                    </w:rPr>
                  </w:pPr>
                  <w:r>
                    <w:rPr>
                      <w:color w:val="auto"/>
                    </w:rPr>
                    <w:t>85</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bCs/>
                      <w:color w:val="auto"/>
                    </w:rPr>
                  </w:pPr>
                  <w:r>
                    <w:rPr>
                      <w:bCs/>
                      <w:color w:val="auto"/>
                    </w:rPr>
                    <w:t>推台锯</w:t>
                  </w:r>
                </w:p>
              </w:tc>
              <w:tc>
                <w:tcPr>
                  <w:tcW w:w="1409" w:type="dxa"/>
                  <w:shd w:val="clear" w:color="auto" w:fill="auto"/>
                  <w:vAlign w:val="center"/>
                </w:tcPr>
                <w:p>
                  <w:pPr>
                    <w:pStyle w:val="164"/>
                    <w:rPr>
                      <w:bCs/>
                      <w:color w:val="auto"/>
                      <w:lang w:val="en-US"/>
                    </w:rPr>
                  </w:pPr>
                  <w:r>
                    <w:rPr>
                      <w:rFonts w:hint="eastAsia"/>
                      <w:bCs/>
                      <w:color w:val="auto"/>
                      <w:lang w:val="en-US"/>
                    </w:rPr>
                    <w:t>6</w:t>
                  </w:r>
                </w:p>
              </w:tc>
              <w:tc>
                <w:tcPr>
                  <w:tcW w:w="1670" w:type="dxa"/>
                  <w:shd w:val="clear" w:color="auto" w:fill="auto"/>
                  <w:vAlign w:val="center"/>
                </w:tcPr>
                <w:p>
                  <w:pPr>
                    <w:pStyle w:val="164"/>
                    <w:rPr>
                      <w:bCs/>
                      <w:color w:val="auto"/>
                    </w:rPr>
                  </w:pPr>
                  <w:r>
                    <w:rPr>
                      <w:color w:val="auto"/>
                    </w:rPr>
                    <w:t>85</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bCs/>
                      <w:color w:val="auto"/>
                    </w:rPr>
                  </w:pPr>
                  <w:r>
                    <w:rPr>
                      <w:rFonts w:hint="eastAsia"/>
                    </w:rPr>
                    <w:t>数控开料机</w:t>
                  </w:r>
                </w:p>
              </w:tc>
              <w:tc>
                <w:tcPr>
                  <w:tcW w:w="1409" w:type="dxa"/>
                  <w:shd w:val="clear" w:color="auto" w:fill="auto"/>
                  <w:vAlign w:val="center"/>
                </w:tcPr>
                <w:p>
                  <w:pPr>
                    <w:pStyle w:val="164"/>
                    <w:rPr>
                      <w:bCs/>
                      <w:color w:val="auto"/>
                    </w:rPr>
                  </w:pPr>
                  <w:r>
                    <w:rPr>
                      <w:rFonts w:hint="eastAsia"/>
                      <w:bCs/>
                      <w:color w:val="auto"/>
                    </w:rPr>
                    <w:t>1</w:t>
                  </w:r>
                </w:p>
              </w:tc>
              <w:tc>
                <w:tcPr>
                  <w:tcW w:w="1670" w:type="dxa"/>
                  <w:shd w:val="clear" w:color="auto" w:fill="auto"/>
                  <w:vAlign w:val="center"/>
                </w:tcPr>
                <w:p>
                  <w:pPr>
                    <w:pStyle w:val="164"/>
                    <w:rPr>
                      <w:bCs/>
                      <w:color w:val="auto"/>
                    </w:rPr>
                  </w:pPr>
                  <w:r>
                    <w:rPr>
                      <w:color w:val="auto"/>
                    </w:rPr>
                    <w:t>85</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bCs/>
                      <w:color w:val="auto"/>
                    </w:rPr>
                  </w:pPr>
                  <w:r>
                    <w:rPr>
                      <w:rFonts w:hint="eastAsia"/>
                    </w:rPr>
                    <w:t>螺杆空压机</w:t>
                  </w:r>
                </w:p>
              </w:tc>
              <w:tc>
                <w:tcPr>
                  <w:tcW w:w="1409" w:type="dxa"/>
                  <w:shd w:val="clear" w:color="auto" w:fill="auto"/>
                  <w:vAlign w:val="center"/>
                </w:tcPr>
                <w:p>
                  <w:pPr>
                    <w:pStyle w:val="164"/>
                    <w:rPr>
                      <w:bCs/>
                      <w:color w:val="auto"/>
                    </w:rPr>
                  </w:pPr>
                  <w:r>
                    <w:rPr>
                      <w:bCs/>
                      <w:color w:val="auto"/>
                    </w:rPr>
                    <w:t>1</w:t>
                  </w:r>
                </w:p>
              </w:tc>
              <w:tc>
                <w:tcPr>
                  <w:tcW w:w="1670" w:type="dxa"/>
                  <w:shd w:val="clear" w:color="auto" w:fill="auto"/>
                  <w:vAlign w:val="center"/>
                </w:tcPr>
                <w:p>
                  <w:pPr>
                    <w:pStyle w:val="164"/>
                    <w:rPr>
                      <w:bCs/>
                      <w:color w:val="auto"/>
                    </w:rPr>
                  </w:pPr>
                  <w:r>
                    <w:rPr>
                      <w:color w:val="auto"/>
                    </w:rPr>
                    <w:t>85</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DA001废气处理设施风机</w:t>
                  </w:r>
                </w:p>
              </w:tc>
              <w:tc>
                <w:tcPr>
                  <w:tcW w:w="1409" w:type="dxa"/>
                  <w:shd w:val="clear" w:color="auto" w:fill="auto"/>
                  <w:vAlign w:val="center"/>
                </w:tcPr>
                <w:p>
                  <w:pPr>
                    <w:pStyle w:val="164"/>
                    <w:rPr>
                      <w:bCs/>
                      <w:color w:val="auto"/>
                    </w:rPr>
                  </w:pPr>
                  <w:r>
                    <w:rPr>
                      <w:bCs/>
                      <w:color w:val="auto"/>
                    </w:rPr>
                    <w:t>1</w:t>
                  </w:r>
                </w:p>
              </w:tc>
              <w:tc>
                <w:tcPr>
                  <w:tcW w:w="1670" w:type="dxa"/>
                  <w:shd w:val="clear" w:color="auto" w:fill="auto"/>
                  <w:vAlign w:val="center"/>
                </w:tcPr>
                <w:p>
                  <w:pPr>
                    <w:pStyle w:val="164"/>
                    <w:rPr>
                      <w:bCs/>
                      <w:color w:val="auto"/>
                    </w:rPr>
                  </w:pPr>
                  <w:r>
                    <w:rPr>
                      <w:color w:val="auto"/>
                    </w:rPr>
                    <w:t>90</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DA002废气处理设施风机</w:t>
                  </w:r>
                </w:p>
              </w:tc>
              <w:tc>
                <w:tcPr>
                  <w:tcW w:w="1409" w:type="dxa"/>
                  <w:shd w:val="clear" w:color="auto" w:fill="auto"/>
                  <w:vAlign w:val="center"/>
                </w:tcPr>
                <w:p>
                  <w:pPr>
                    <w:pStyle w:val="164"/>
                    <w:rPr>
                      <w:bCs/>
                      <w:color w:val="auto"/>
                    </w:rPr>
                  </w:pPr>
                  <w:r>
                    <w:rPr>
                      <w:bCs/>
                      <w:color w:val="auto"/>
                    </w:rPr>
                    <w:t>1</w:t>
                  </w:r>
                </w:p>
              </w:tc>
              <w:tc>
                <w:tcPr>
                  <w:tcW w:w="1670" w:type="dxa"/>
                  <w:shd w:val="clear" w:color="auto" w:fill="auto"/>
                  <w:vAlign w:val="center"/>
                </w:tcPr>
                <w:p>
                  <w:pPr>
                    <w:pStyle w:val="164"/>
                    <w:rPr>
                      <w:bCs/>
                      <w:color w:val="auto"/>
                    </w:rPr>
                  </w:pPr>
                  <w:r>
                    <w:rPr>
                      <w:color w:val="auto"/>
                    </w:rPr>
                    <w:t>90</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DA007废气处理设施风机</w:t>
                  </w:r>
                </w:p>
              </w:tc>
              <w:tc>
                <w:tcPr>
                  <w:tcW w:w="1409" w:type="dxa"/>
                  <w:shd w:val="clear" w:color="auto" w:fill="auto"/>
                  <w:vAlign w:val="center"/>
                </w:tcPr>
                <w:p>
                  <w:pPr>
                    <w:pStyle w:val="164"/>
                    <w:rPr>
                      <w:bCs/>
                      <w:color w:val="auto"/>
                    </w:rPr>
                  </w:pPr>
                  <w:r>
                    <w:rPr>
                      <w:bCs/>
                      <w:color w:val="auto"/>
                    </w:rPr>
                    <w:t>1</w:t>
                  </w:r>
                </w:p>
              </w:tc>
              <w:tc>
                <w:tcPr>
                  <w:tcW w:w="1670" w:type="dxa"/>
                  <w:shd w:val="clear" w:color="auto" w:fill="auto"/>
                  <w:vAlign w:val="center"/>
                </w:tcPr>
                <w:p>
                  <w:pPr>
                    <w:pStyle w:val="164"/>
                    <w:rPr>
                      <w:bCs/>
                      <w:color w:val="auto"/>
                    </w:rPr>
                  </w:pPr>
                  <w:r>
                    <w:rPr>
                      <w:color w:val="auto"/>
                    </w:rPr>
                    <w:t>90</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DA008废气处理设施风机</w:t>
                  </w:r>
                </w:p>
              </w:tc>
              <w:tc>
                <w:tcPr>
                  <w:tcW w:w="1409" w:type="dxa"/>
                  <w:shd w:val="clear" w:color="auto" w:fill="auto"/>
                  <w:vAlign w:val="center"/>
                </w:tcPr>
                <w:p>
                  <w:pPr>
                    <w:pStyle w:val="164"/>
                    <w:rPr>
                      <w:bCs/>
                      <w:color w:val="auto"/>
                    </w:rPr>
                  </w:pPr>
                  <w:r>
                    <w:rPr>
                      <w:bCs/>
                      <w:color w:val="auto"/>
                    </w:rPr>
                    <w:t>1</w:t>
                  </w:r>
                </w:p>
              </w:tc>
              <w:tc>
                <w:tcPr>
                  <w:tcW w:w="1670" w:type="dxa"/>
                  <w:shd w:val="clear" w:color="auto" w:fill="auto"/>
                  <w:vAlign w:val="center"/>
                </w:tcPr>
                <w:p>
                  <w:pPr>
                    <w:pStyle w:val="164"/>
                    <w:rPr>
                      <w:bCs/>
                      <w:color w:val="auto"/>
                    </w:rPr>
                  </w:pPr>
                  <w:r>
                    <w:rPr>
                      <w:color w:val="auto"/>
                    </w:rPr>
                    <w:t>90</w:t>
                  </w:r>
                </w:p>
              </w:tc>
              <w:tc>
                <w:tcPr>
                  <w:tcW w:w="1648" w:type="dxa"/>
                  <w:shd w:val="clear" w:color="auto" w:fill="auto"/>
                  <w:vAlign w:val="center"/>
                </w:tcPr>
                <w:p>
                  <w:pPr>
                    <w:pStyle w:val="164"/>
                    <w:rPr>
                      <w:bCs/>
                      <w:color w:val="auto"/>
                    </w:rPr>
                  </w:pPr>
                  <w:r>
                    <w:rPr>
                      <w:rFonts w:hint="eastAsia"/>
                      <w:bCs/>
                      <w:color w:val="auto"/>
                    </w:rPr>
                    <w:t>间断</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 w:hRule="atLeast"/>
                <w:jc w:val="center"/>
              </w:trPr>
              <w:tc>
                <w:tcPr>
                  <w:tcW w:w="901" w:type="dxa"/>
                  <w:shd w:val="clear" w:color="auto" w:fill="auto"/>
                  <w:vAlign w:val="center"/>
                </w:tcPr>
                <w:p>
                  <w:pPr>
                    <w:pStyle w:val="152"/>
                    <w:numPr>
                      <w:ilvl w:val="0"/>
                      <w:numId w:val="20"/>
                    </w:numPr>
                    <w:ind w:firstLineChars="0"/>
                    <w:rPr>
                      <w:rFonts w:ascii="Times New Roman" w:hAnsi="Times New Roman" w:eastAsia="宋体"/>
                    </w:rPr>
                  </w:pPr>
                </w:p>
              </w:tc>
              <w:tc>
                <w:tcPr>
                  <w:tcW w:w="2594" w:type="dxa"/>
                  <w:shd w:val="clear" w:color="auto" w:fill="auto"/>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DA009废气处理设施风机</w:t>
                  </w:r>
                </w:p>
              </w:tc>
              <w:tc>
                <w:tcPr>
                  <w:tcW w:w="1409" w:type="dxa"/>
                  <w:shd w:val="clear" w:color="auto" w:fill="auto"/>
                  <w:vAlign w:val="center"/>
                </w:tcPr>
                <w:p>
                  <w:pPr>
                    <w:pStyle w:val="164"/>
                    <w:rPr>
                      <w:bCs/>
                      <w:color w:val="auto"/>
                    </w:rPr>
                  </w:pPr>
                  <w:r>
                    <w:rPr>
                      <w:bCs/>
                      <w:color w:val="auto"/>
                    </w:rPr>
                    <w:t>1</w:t>
                  </w:r>
                </w:p>
              </w:tc>
              <w:tc>
                <w:tcPr>
                  <w:tcW w:w="1670" w:type="dxa"/>
                  <w:shd w:val="clear" w:color="auto" w:fill="auto"/>
                  <w:vAlign w:val="center"/>
                </w:tcPr>
                <w:p>
                  <w:pPr>
                    <w:pStyle w:val="164"/>
                    <w:rPr>
                      <w:bCs/>
                      <w:color w:val="auto"/>
                    </w:rPr>
                  </w:pPr>
                  <w:r>
                    <w:rPr>
                      <w:color w:val="auto"/>
                    </w:rPr>
                    <w:t>90</w:t>
                  </w:r>
                </w:p>
              </w:tc>
              <w:tc>
                <w:tcPr>
                  <w:tcW w:w="1648" w:type="dxa"/>
                  <w:shd w:val="clear" w:color="auto" w:fill="auto"/>
                  <w:vAlign w:val="center"/>
                </w:tcPr>
                <w:p>
                  <w:pPr>
                    <w:pStyle w:val="164"/>
                    <w:rPr>
                      <w:bCs/>
                      <w:color w:val="auto"/>
                    </w:rPr>
                  </w:pPr>
                  <w:r>
                    <w:rPr>
                      <w:rFonts w:hint="eastAsia"/>
                      <w:bCs/>
                      <w:color w:val="auto"/>
                    </w:rPr>
                    <w:t>间断</w:t>
                  </w:r>
                </w:p>
              </w:tc>
            </w:tr>
          </w:tbl>
          <w:p>
            <w:pPr>
              <w:pStyle w:val="164"/>
              <w:rPr>
                <w:bCs/>
                <w:color w:val="auto"/>
              </w:rPr>
            </w:pPr>
          </w:p>
          <w:p>
            <w:pPr>
              <w:pStyle w:val="164"/>
              <w:rPr>
                <w:bCs/>
                <w:color w:val="auto"/>
              </w:rPr>
            </w:pPr>
          </w:p>
          <w:p>
            <w:pPr>
              <w:pStyle w:val="164"/>
              <w:rPr>
                <w:bCs/>
                <w:color w:val="auto"/>
              </w:rPr>
            </w:pPr>
          </w:p>
          <w:p>
            <w:pPr>
              <w:pStyle w:val="160"/>
              <w:ind w:firstLine="480"/>
            </w:pPr>
          </w:p>
        </w:tc>
      </w:tr>
    </w:tbl>
    <w:p>
      <w:pPr>
        <w:sectPr>
          <w:type w:val="continuous"/>
          <w:pgSz w:w="11907" w:h="16840"/>
          <w:pgMar w:top="1701" w:right="1304" w:bottom="2126" w:left="1304" w:header="851" w:footer="851" w:gutter="0"/>
          <w:cols w:space="720" w:num="1"/>
          <w:docGrid w:linePitch="312" w:charSpace="0"/>
        </w:sectPr>
      </w:pPr>
    </w:p>
    <w:p>
      <w:pPr>
        <w:jc w:val="center"/>
      </w:pPr>
      <w:r>
        <w:t>表</w:t>
      </w:r>
      <w:r>
        <w:rPr>
          <w:rFonts w:hint="eastAsia"/>
        </w:rPr>
        <w:t>4.4-2  室内</w:t>
      </w:r>
      <w:r>
        <w:t>噪声源强调查清单</w:t>
      </w:r>
      <w:r>
        <w:rPr>
          <w:rFonts w:hint="eastAsia"/>
        </w:rPr>
        <w:t xml:space="preserve">  （以DA009为0,0点）</w:t>
      </w:r>
    </w:p>
    <w:tbl>
      <w:tblPr>
        <w:tblStyle w:val="88"/>
        <w:tblW w:w="13229" w:type="dxa"/>
        <w:jc w:val="center"/>
        <w:tblInd w:w="0" w:type="dxa"/>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6"/>
        <w:gridCol w:w="992"/>
        <w:gridCol w:w="1134"/>
        <w:gridCol w:w="567"/>
        <w:gridCol w:w="426"/>
        <w:gridCol w:w="425"/>
        <w:gridCol w:w="567"/>
        <w:gridCol w:w="567"/>
        <w:gridCol w:w="567"/>
        <w:gridCol w:w="709"/>
        <w:gridCol w:w="1275"/>
        <w:gridCol w:w="709"/>
        <w:gridCol w:w="992"/>
        <w:gridCol w:w="993"/>
        <w:gridCol w:w="788"/>
      </w:tblGrid>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1242" w:type="dxa"/>
            <w:vMerge w:val="restart"/>
            <w:vAlign w:val="center"/>
          </w:tcPr>
          <w:p>
            <w:pPr>
              <w:rPr>
                <w:rFonts w:asciiTheme="minorEastAsia" w:hAnsiTheme="minorEastAsia" w:cstheme="minorEastAsia"/>
              </w:rPr>
            </w:pPr>
            <w:r>
              <w:rPr>
                <w:rFonts w:hint="eastAsia" w:asciiTheme="minorEastAsia" w:hAnsiTheme="minorEastAsia" w:cstheme="minorEastAsia"/>
              </w:rPr>
              <w:t>建筑物名称</w:t>
            </w:r>
          </w:p>
        </w:tc>
        <w:tc>
          <w:tcPr>
            <w:tcW w:w="1276" w:type="dxa"/>
            <w:vMerge w:val="restart"/>
            <w:noWrap/>
            <w:vAlign w:val="center"/>
          </w:tcPr>
          <w:p>
            <w:pPr>
              <w:rPr>
                <w:rFonts w:asciiTheme="minorEastAsia" w:hAnsiTheme="minorEastAsia" w:cstheme="minorEastAsia"/>
              </w:rPr>
            </w:pPr>
            <w:r>
              <w:rPr>
                <w:rFonts w:hint="eastAsia" w:asciiTheme="minorEastAsia" w:hAnsiTheme="minorEastAsia" w:cstheme="minorEastAsia"/>
              </w:rPr>
              <w:t xml:space="preserve">声源名称 </w:t>
            </w:r>
          </w:p>
        </w:tc>
        <w:tc>
          <w:tcPr>
            <w:tcW w:w="992" w:type="dxa"/>
            <w:vMerge w:val="restart"/>
            <w:noWrap/>
            <w:vAlign w:val="center"/>
          </w:tcPr>
          <w:p>
            <w:pPr>
              <w:rPr>
                <w:rFonts w:asciiTheme="minorEastAsia" w:hAnsiTheme="minorEastAsia" w:cstheme="minorEastAsia"/>
              </w:rPr>
            </w:pPr>
            <w:r>
              <w:rPr>
                <w:rFonts w:hint="eastAsia" w:asciiTheme="minorEastAsia" w:hAnsiTheme="minorEastAsia" w:cstheme="minorEastAsia"/>
              </w:rPr>
              <w:t>声功率级/dB(A)</w:t>
            </w:r>
          </w:p>
        </w:tc>
        <w:tc>
          <w:tcPr>
            <w:tcW w:w="1134" w:type="dxa"/>
            <w:vMerge w:val="restart"/>
            <w:noWrap/>
            <w:vAlign w:val="center"/>
          </w:tcPr>
          <w:p>
            <w:pPr>
              <w:rPr>
                <w:rFonts w:asciiTheme="minorEastAsia" w:hAnsiTheme="minorEastAsia" w:cstheme="minorEastAsia"/>
              </w:rPr>
            </w:pPr>
            <w:r>
              <w:rPr>
                <w:rFonts w:hint="eastAsia" w:asciiTheme="minorEastAsia" w:hAnsiTheme="minorEastAsia" w:cstheme="minorEastAsia"/>
              </w:rPr>
              <w:t xml:space="preserve">声源控制措施 </w:t>
            </w:r>
          </w:p>
        </w:tc>
        <w:tc>
          <w:tcPr>
            <w:tcW w:w="1418" w:type="dxa"/>
            <w:gridSpan w:val="3"/>
            <w:noWrap/>
            <w:vAlign w:val="center"/>
          </w:tcPr>
          <w:p>
            <w:pPr>
              <w:rPr>
                <w:rFonts w:asciiTheme="minorEastAsia" w:hAnsiTheme="minorEastAsia" w:cstheme="minorEastAsia"/>
              </w:rPr>
            </w:pPr>
            <w:r>
              <w:rPr>
                <w:rFonts w:hint="eastAsia" w:asciiTheme="minorEastAsia" w:hAnsiTheme="minorEastAsia" w:cstheme="minorEastAsia"/>
              </w:rPr>
              <w:t xml:space="preserve">空间相对位置/m </w:t>
            </w:r>
          </w:p>
        </w:tc>
        <w:tc>
          <w:tcPr>
            <w:tcW w:w="2410" w:type="dxa"/>
            <w:gridSpan w:val="4"/>
            <w:vAlign w:val="center"/>
          </w:tcPr>
          <w:p>
            <w:pPr>
              <w:rPr>
                <w:rFonts w:asciiTheme="minorEastAsia" w:hAnsiTheme="minorEastAsia" w:cstheme="minorEastAsia"/>
              </w:rPr>
            </w:pPr>
            <w:r>
              <w:rPr>
                <w:rFonts w:hint="eastAsia" w:asciiTheme="minorEastAsia" w:hAnsiTheme="minorEastAsia" w:cstheme="minorEastAsia"/>
              </w:rPr>
              <w:t>距室内边界距离/m</w:t>
            </w:r>
          </w:p>
        </w:tc>
        <w:tc>
          <w:tcPr>
            <w:tcW w:w="1275" w:type="dxa"/>
            <w:vMerge w:val="restart"/>
            <w:noWrap/>
            <w:vAlign w:val="center"/>
          </w:tcPr>
          <w:p>
            <w:pPr>
              <w:rPr>
                <w:rFonts w:asciiTheme="minorEastAsia" w:hAnsiTheme="minorEastAsia" w:cstheme="minorEastAsia"/>
              </w:rPr>
            </w:pPr>
            <w:r>
              <w:rPr>
                <w:rFonts w:hint="eastAsia" w:asciiTheme="minorEastAsia" w:hAnsiTheme="minorEastAsia" w:cstheme="minorEastAsia"/>
              </w:rPr>
              <w:t>运行时段</w:t>
            </w:r>
          </w:p>
        </w:tc>
        <w:tc>
          <w:tcPr>
            <w:tcW w:w="3482" w:type="dxa"/>
            <w:gridSpan w:val="4"/>
            <w:vAlign w:val="center"/>
          </w:tcPr>
          <w:p>
            <w:pPr>
              <w:rPr>
                <w:rFonts w:asciiTheme="minorEastAsia" w:hAnsiTheme="minorEastAsia" w:cstheme="minorEastAsia"/>
              </w:rPr>
            </w:pPr>
            <w:r>
              <w:rPr>
                <w:rFonts w:hint="eastAsia" w:asciiTheme="minorEastAsia" w:hAnsiTheme="minorEastAsia" w:cstheme="minorEastAsia"/>
              </w:rPr>
              <w:t>距厂界距离/m</w:t>
            </w: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1242" w:type="dxa"/>
            <w:vMerge w:val="continue"/>
            <w:vAlign w:val="center"/>
          </w:tcPr>
          <w:p>
            <w:pPr>
              <w:rPr>
                <w:rFonts w:asciiTheme="minorEastAsia" w:hAnsiTheme="minorEastAsia" w:cstheme="minorEastAsia"/>
              </w:rPr>
            </w:pPr>
          </w:p>
        </w:tc>
        <w:tc>
          <w:tcPr>
            <w:tcW w:w="1276" w:type="dxa"/>
            <w:vMerge w:val="continue"/>
            <w:vAlign w:val="center"/>
          </w:tcPr>
          <w:p>
            <w:pPr>
              <w:rPr>
                <w:rFonts w:asciiTheme="minorEastAsia" w:hAnsiTheme="minorEastAsia" w:cstheme="minorEastAsia"/>
              </w:rPr>
            </w:pPr>
          </w:p>
        </w:tc>
        <w:tc>
          <w:tcPr>
            <w:tcW w:w="992" w:type="dxa"/>
            <w:vMerge w:val="continue"/>
            <w:vAlign w:val="center"/>
          </w:tcPr>
          <w:p>
            <w:pPr>
              <w:rPr>
                <w:rFonts w:asciiTheme="minorEastAsia" w:hAnsiTheme="minorEastAsia" w:cstheme="minorEastAsia"/>
              </w:rPr>
            </w:pPr>
          </w:p>
        </w:tc>
        <w:tc>
          <w:tcPr>
            <w:tcW w:w="1134" w:type="dxa"/>
            <w:vMerge w:val="continue"/>
            <w:vAlign w:val="center"/>
          </w:tcPr>
          <w:p>
            <w:pPr>
              <w:rPr>
                <w:rFonts w:asciiTheme="minorEastAsia" w:hAnsiTheme="minorEastAsia" w:cstheme="minorEastAsia"/>
              </w:rPr>
            </w:pP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X</w:t>
            </w:r>
          </w:p>
        </w:tc>
        <w:tc>
          <w:tcPr>
            <w:tcW w:w="426" w:type="dxa"/>
            <w:noWrap/>
            <w:vAlign w:val="center"/>
          </w:tcPr>
          <w:p>
            <w:pPr>
              <w:rPr>
                <w:rFonts w:asciiTheme="minorEastAsia" w:hAnsiTheme="minorEastAsia" w:cstheme="minorEastAsia"/>
              </w:rPr>
            </w:pPr>
            <w:r>
              <w:rPr>
                <w:rFonts w:hint="eastAsia" w:asciiTheme="minorEastAsia" w:hAnsiTheme="minorEastAsia" w:cstheme="minorEastAsia"/>
              </w:rPr>
              <w:t>Y</w:t>
            </w:r>
          </w:p>
        </w:tc>
        <w:tc>
          <w:tcPr>
            <w:tcW w:w="425" w:type="dxa"/>
            <w:noWrap/>
            <w:vAlign w:val="center"/>
          </w:tcPr>
          <w:p>
            <w:pPr>
              <w:rPr>
                <w:rFonts w:asciiTheme="minorEastAsia" w:hAnsiTheme="minorEastAsia" w:cstheme="minorEastAsia"/>
              </w:rPr>
            </w:pPr>
            <w:r>
              <w:rPr>
                <w:rFonts w:hint="eastAsia" w:asciiTheme="minorEastAsia" w:hAnsiTheme="minorEastAsia" w:cstheme="minorEastAsia"/>
              </w:rPr>
              <w:t>Z</w:t>
            </w:r>
          </w:p>
        </w:tc>
        <w:tc>
          <w:tcPr>
            <w:tcW w:w="567" w:type="dxa"/>
            <w:vAlign w:val="center"/>
          </w:tcPr>
          <w:p>
            <w:pPr>
              <w:rPr>
                <w:rFonts w:asciiTheme="minorEastAsia" w:hAnsiTheme="minorEastAsia" w:cstheme="minorEastAsia"/>
              </w:rPr>
            </w:pPr>
            <w:r>
              <w:rPr>
                <w:rFonts w:hint="eastAsia" w:asciiTheme="minorEastAsia" w:hAnsiTheme="minorEastAsia" w:cstheme="minorEastAsia"/>
              </w:rPr>
              <w:t>北</w:t>
            </w:r>
          </w:p>
        </w:tc>
        <w:tc>
          <w:tcPr>
            <w:tcW w:w="567" w:type="dxa"/>
            <w:vAlign w:val="center"/>
          </w:tcPr>
          <w:p>
            <w:pPr>
              <w:rPr>
                <w:rFonts w:asciiTheme="minorEastAsia" w:hAnsiTheme="minorEastAsia" w:cstheme="minorEastAsia"/>
              </w:rPr>
            </w:pPr>
            <w:r>
              <w:rPr>
                <w:rFonts w:hint="eastAsia" w:asciiTheme="minorEastAsia" w:hAnsiTheme="minorEastAsia" w:cstheme="minorEastAsia"/>
              </w:rPr>
              <w:t>西</w:t>
            </w:r>
          </w:p>
        </w:tc>
        <w:tc>
          <w:tcPr>
            <w:tcW w:w="567" w:type="dxa"/>
            <w:vAlign w:val="center"/>
          </w:tcPr>
          <w:p>
            <w:pPr>
              <w:rPr>
                <w:rFonts w:asciiTheme="minorEastAsia" w:hAnsiTheme="minorEastAsia" w:cstheme="minorEastAsia"/>
              </w:rPr>
            </w:pPr>
            <w:r>
              <w:rPr>
                <w:rFonts w:hint="eastAsia" w:asciiTheme="minorEastAsia" w:hAnsiTheme="minorEastAsia" w:cstheme="minorEastAsia"/>
              </w:rPr>
              <w:t>南</w:t>
            </w:r>
          </w:p>
        </w:tc>
        <w:tc>
          <w:tcPr>
            <w:tcW w:w="709" w:type="dxa"/>
            <w:vAlign w:val="center"/>
          </w:tcPr>
          <w:p>
            <w:pPr>
              <w:rPr>
                <w:rFonts w:asciiTheme="minorEastAsia" w:hAnsiTheme="minorEastAsia" w:cstheme="minorEastAsia"/>
              </w:rPr>
            </w:pPr>
            <w:r>
              <w:rPr>
                <w:rFonts w:hint="eastAsia" w:asciiTheme="minorEastAsia" w:hAnsiTheme="minorEastAsia" w:cstheme="minorEastAsia"/>
              </w:rPr>
              <w:t>东</w:t>
            </w:r>
          </w:p>
        </w:tc>
        <w:tc>
          <w:tcPr>
            <w:tcW w:w="1275" w:type="dxa"/>
            <w:vMerge w:val="continue"/>
            <w:vAlign w:val="center"/>
          </w:tcPr>
          <w:p>
            <w:pPr>
              <w:rPr>
                <w:rFonts w:asciiTheme="minorEastAsia" w:hAnsiTheme="minorEastAsia" w:cstheme="minorEastAsia"/>
              </w:rPr>
            </w:pPr>
          </w:p>
        </w:tc>
        <w:tc>
          <w:tcPr>
            <w:tcW w:w="709" w:type="dxa"/>
            <w:vAlign w:val="center"/>
          </w:tcPr>
          <w:p>
            <w:pPr>
              <w:rPr>
                <w:rFonts w:asciiTheme="minorEastAsia" w:hAnsiTheme="minorEastAsia" w:cstheme="minorEastAsia"/>
              </w:rPr>
            </w:pPr>
            <w:r>
              <w:rPr>
                <w:rFonts w:hint="eastAsia" w:asciiTheme="minorEastAsia" w:hAnsiTheme="minorEastAsia" w:cstheme="minorEastAsia"/>
              </w:rPr>
              <w:t>北</w:t>
            </w:r>
          </w:p>
        </w:tc>
        <w:tc>
          <w:tcPr>
            <w:tcW w:w="992" w:type="dxa"/>
            <w:vAlign w:val="center"/>
          </w:tcPr>
          <w:p>
            <w:pPr>
              <w:rPr>
                <w:rFonts w:asciiTheme="minorEastAsia" w:hAnsiTheme="minorEastAsia" w:cstheme="minorEastAsia"/>
              </w:rPr>
            </w:pPr>
            <w:r>
              <w:rPr>
                <w:rFonts w:hint="eastAsia" w:asciiTheme="minorEastAsia" w:hAnsiTheme="minorEastAsia" w:cstheme="minorEastAsia"/>
              </w:rPr>
              <w:t>西</w:t>
            </w:r>
          </w:p>
        </w:tc>
        <w:tc>
          <w:tcPr>
            <w:tcW w:w="993" w:type="dxa"/>
            <w:vAlign w:val="center"/>
          </w:tcPr>
          <w:p>
            <w:pPr>
              <w:rPr>
                <w:rFonts w:asciiTheme="minorEastAsia" w:hAnsiTheme="minorEastAsia" w:cstheme="minorEastAsia"/>
              </w:rPr>
            </w:pPr>
            <w:r>
              <w:rPr>
                <w:rFonts w:hint="eastAsia" w:asciiTheme="minorEastAsia" w:hAnsiTheme="minorEastAsia" w:cstheme="minorEastAsia"/>
              </w:rPr>
              <w:t>南</w:t>
            </w:r>
          </w:p>
        </w:tc>
        <w:tc>
          <w:tcPr>
            <w:tcW w:w="788" w:type="dxa"/>
            <w:vAlign w:val="center"/>
          </w:tcPr>
          <w:p>
            <w:pPr>
              <w:rPr>
                <w:rFonts w:asciiTheme="minorEastAsia" w:hAnsiTheme="minorEastAsia" w:cstheme="minorEastAsia"/>
              </w:rPr>
            </w:pPr>
            <w:r>
              <w:rPr>
                <w:rFonts w:hint="eastAsia" w:asciiTheme="minorEastAsia" w:hAnsiTheme="minorEastAsia" w:cstheme="minorEastAsia"/>
              </w:rPr>
              <w:t>东</w:t>
            </w: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1242" w:type="dxa"/>
            <w:vMerge w:val="restart"/>
            <w:noWrap/>
            <w:vAlign w:val="center"/>
          </w:tcPr>
          <w:p>
            <w:pPr>
              <w:rPr>
                <w:rFonts w:asciiTheme="minorEastAsia" w:hAnsiTheme="minorEastAsia" w:cstheme="minorEastAsia"/>
              </w:rPr>
            </w:pPr>
            <w:r>
              <w:rPr>
                <w:rFonts w:hint="eastAsia" w:asciiTheme="minorEastAsia" w:hAnsiTheme="minorEastAsia" w:cstheme="minorEastAsia"/>
              </w:rPr>
              <w:t>7#及8#厂房（2厂房连接）</w:t>
            </w:r>
          </w:p>
        </w:tc>
        <w:tc>
          <w:tcPr>
            <w:tcW w:w="1276" w:type="dxa"/>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砂光机</w:t>
            </w:r>
          </w:p>
        </w:tc>
        <w:tc>
          <w:tcPr>
            <w:tcW w:w="992" w:type="dxa"/>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70</w:t>
            </w:r>
          </w:p>
        </w:tc>
        <w:tc>
          <w:tcPr>
            <w:tcW w:w="1134" w:type="dxa"/>
            <w:vMerge w:val="restart"/>
            <w:noWrap/>
            <w:vAlign w:val="center"/>
          </w:tcPr>
          <w:p>
            <w:pPr>
              <w:rPr>
                <w:rFonts w:asciiTheme="minorEastAsia" w:hAnsiTheme="minorEastAsia" w:cstheme="minorEastAsia"/>
              </w:rPr>
            </w:pPr>
            <w:r>
              <w:rPr>
                <w:rFonts w:hint="eastAsia" w:asciiTheme="minorEastAsia" w:hAnsiTheme="minorEastAsia" w:cstheme="minorEastAsia"/>
              </w:rPr>
              <w:t>基础减振、厂房隔声</w:t>
            </w:r>
          </w:p>
        </w:tc>
        <w:tc>
          <w:tcPr>
            <w:tcW w:w="567" w:type="dxa"/>
            <w:noWrap/>
          </w:tcPr>
          <w:p>
            <w:pPr>
              <w:rPr>
                <w:rFonts w:asciiTheme="minorEastAsia" w:hAnsiTheme="minorEastAsia" w:cstheme="minorEastAsia"/>
              </w:rPr>
            </w:pPr>
            <w:r>
              <w:rPr>
                <w:rFonts w:hint="eastAsia" w:asciiTheme="minorEastAsia" w:hAnsiTheme="minorEastAsia" w:cstheme="minorEastAsia"/>
              </w:rPr>
              <w:t>-13</w:t>
            </w:r>
          </w:p>
        </w:tc>
        <w:tc>
          <w:tcPr>
            <w:tcW w:w="426" w:type="dxa"/>
            <w:noWrap/>
            <w:vAlign w:val="center"/>
          </w:tcPr>
          <w:p>
            <w:pPr>
              <w:rPr>
                <w:rFonts w:asciiTheme="minorEastAsia" w:hAnsiTheme="minorEastAsia" w:cstheme="minorEastAsia"/>
              </w:rPr>
            </w:pPr>
            <w:r>
              <w:rPr>
                <w:rFonts w:hint="eastAsia" w:asciiTheme="minorEastAsia" w:hAnsiTheme="minorEastAsia" w:cstheme="minorEastAsia"/>
              </w:rPr>
              <w:t>38</w:t>
            </w:r>
          </w:p>
        </w:tc>
        <w:tc>
          <w:tcPr>
            <w:tcW w:w="425" w:type="dxa"/>
            <w:noWrap/>
            <w:vAlign w:val="center"/>
          </w:tcPr>
          <w:p>
            <w:pPr>
              <w:rPr>
                <w:rFonts w:asciiTheme="minorEastAsia" w:hAnsiTheme="minorEastAsia" w:cstheme="minorEastAsia"/>
              </w:rPr>
            </w:pPr>
            <w:r>
              <w:rPr>
                <w:rFonts w:hint="eastAsia" w:asciiTheme="minorEastAsia" w:hAnsiTheme="minorEastAsia" w:cstheme="minorEastAsia"/>
              </w:rPr>
              <w:t>0</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5</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16</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48</w:t>
            </w: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16</w:t>
            </w:r>
          </w:p>
        </w:tc>
        <w:tc>
          <w:tcPr>
            <w:tcW w:w="1275" w:type="dxa"/>
            <w:vMerge w:val="restart"/>
            <w:noWrap/>
            <w:vAlign w:val="center"/>
          </w:tcPr>
          <w:p>
            <w:pPr>
              <w:rPr>
                <w:rFonts w:asciiTheme="minorEastAsia" w:hAnsiTheme="minorEastAsia" w:cstheme="minorEastAsia"/>
              </w:rPr>
            </w:pPr>
            <w:r>
              <w:rPr>
                <w:rFonts w:hint="eastAsia" w:asciiTheme="minorEastAsia" w:hAnsiTheme="minorEastAsia" w:cstheme="minorEastAsia"/>
              </w:rPr>
              <w:t>8:00-12:00、14:00-18:00</w:t>
            </w: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10</w:t>
            </w:r>
          </w:p>
        </w:tc>
        <w:tc>
          <w:tcPr>
            <w:tcW w:w="992" w:type="dxa"/>
            <w:noWrap/>
            <w:vAlign w:val="center"/>
          </w:tcPr>
          <w:p>
            <w:pPr>
              <w:rPr>
                <w:rFonts w:asciiTheme="minorEastAsia" w:hAnsiTheme="minorEastAsia" w:cstheme="minorEastAsia"/>
              </w:rPr>
            </w:pPr>
            <w:r>
              <w:rPr>
                <w:rFonts w:hint="eastAsia" w:asciiTheme="minorEastAsia" w:hAnsiTheme="minorEastAsia" w:cstheme="minorEastAsia"/>
              </w:rPr>
              <w:t>86</w:t>
            </w:r>
          </w:p>
        </w:tc>
        <w:tc>
          <w:tcPr>
            <w:tcW w:w="993" w:type="dxa"/>
            <w:noWrap/>
            <w:vAlign w:val="center"/>
          </w:tcPr>
          <w:p>
            <w:pPr>
              <w:rPr>
                <w:rFonts w:asciiTheme="minorEastAsia" w:hAnsiTheme="minorEastAsia" w:cstheme="minorEastAsia"/>
              </w:rPr>
            </w:pPr>
            <w:r>
              <w:rPr>
                <w:rFonts w:hint="eastAsia" w:asciiTheme="minorEastAsia" w:hAnsiTheme="minorEastAsia" w:cstheme="minorEastAsia"/>
              </w:rPr>
              <w:t>163</w:t>
            </w:r>
          </w:p>
        </w:tc>
        <w:tc>
          <w:tcPr>
            <w:tcW w:w="788" w:type="dxa"/>
            <w:noWrap/>
            <w:vAlign w:val="center"/>
          </w:tcPr>
          <w:p>
            <w:pPr>
              <w:rPr>
                <w:rFonts w:asciiTheme="minorEastAsia" w:hAnsiTheme="minorEastAsia" w:cstheme="minorEastAsia"/>
              </w:rPr>
            </w:pPr>
            <w:r>
              <w:rPr>
                <w:rFonts w:hint="eastAsia" w:asciiTheme="minorEastAsia" w:hAnsiTheme="minorEastAsia" w:cstheme="minorEastAsia"/>
              </w:rPr>
              <w:t>21</w:t>
            </w: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1242" w:type="dxa"/>
            <w:vMerge w:val="continue"/>
            <w:vAlign w:val="center"/>
          </w:tcPr>
          <w:p>
            <w:pPr>
              <w:rPr>
                <w:rFonts w:asciiTheme="minorEastAsia" w:hAnsiTheme="minorEastAsia" w:cstheme="minorEastAsia"/>
              </w:rPr>
            </w:pPr>
          </w:p>
        </w:tc>
        <w:tc>
          <w:tcPr>
            <w:tcW w:w="1276" w:type="dxa"/>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rPr>
              <w:t>推台锯</w:t>
            </w:r>
          </w:p>
        </w:tc>
        <w:tc>
          <w:tcPr>
            <w:tcW w:w="992" w:type="dxa"/>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70</w:t>
            </w:r>
          </w:p>
        </w:tc>
        <w:tc>
          <w:tcPr>
            <w:tcW w:w="1134" w:type="dxa"/>
            <w:vMerge w:val="continue"/>
            <w:vAlign w:val="center"/>
          </w:tcPr>
          <w:p>
            <w:pPr>
              <w:rPr>
                <w:rFonts w:asciiTheme="minorEastAsia" w:hAnsiTheme="minorEastAsia" w:cstheme="minorEastAsia"/>
              </w:rPr>
            </w:pPr>
          </w:p>
        </w:tc>
        <w:tc>
          <w:tcPr>
            <w:tcW w:w="567" w:type="dxa"/>
            <w:noWrap/>
          </w:tcPr>
          <w:p>
            <w:pPr>
              <w:rPr>
                <w:rFonts w:asciiTheme="minorEastAsia" w:hAnsiTheme="minorEastAsia" w:cstheme="minorEastAsia"/>
              </w:rPr>
            </w:pPr>
            <w:r>
              <w:rPr>
                <w:rFonts w:hint="eastAsia" w:asciiTheme="minorEastAsia" w:hAnsiTheme="minorEastAsia" w:cstheme="minorEastAsia"/>
              </w:rPr>
              <w:t>-12</w:t>
            </w:r>
          </w:p>
        </w:tc>
        <w:tc>
          <w:tcPr>
            <w:tcW w:w="426" w:type="dxa"/>
            <w:noWrap/>
            <w:vAlign w:val="center"/>
          </w:tcPr>
          <w:p>
            <w:pPr>
              <w:rPr>
                <w:rFonts w:asciiTheme="minorEastAsia" w:hAnsiTheme="minorEastAsia" w:cstheme="minorEastAsia"/>
              </w:rPr>
            </w:pPr>
            <w:r>
              <w:rPr>
                <w:rFonts w:hint="eastAsia" w:asciiTheme="minorEastAsia" w:hAnsiTheme="minorEastAsia" w:cstheme="minorEastAsia"/>
              </w:rPr>
              <w:t>9</w:t>
            </w:r>
          </w:p>
        </w:tc>
        <w:tc>
          <w:tcPr>
            <w:tcW w:w="425" w:type="dxa"/>
            <w:noWrap/>
            <w:vAlign w:val="center"/>
          </w:tcPr>
          <w:p>
            <w:pPr>
              <w:rPr>
                <w:rFonts w:asciiTheme="minorEastAsia" w:hAnsiTheme="minorEastAsia" w:cstheme="minorEastAsia"/>
              </w:rPr>
            </w:pPr>
            <w:r>
              <w:rPr>
                <w:rFonts w:hint="eastAsia" w:asciiTheme="minorEastAsia" w:hAnsiTheme="minorEastAsia" w:cstheme="minorEastAsia"/>
              </w:rPr>
              <w:t>0</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48</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16</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5</w:t>
            </w: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16</w:t>
            </w:r>
          </w:p>
        </w:tc>
        <w:tc>
          <w:tcPr>
            <w:tcW w:w="1275" w:type="dxa"/>
            <w:vMerge w:val="continue"/>
            <w:vAlign w:val="center"/>
          </w:tcPr>
          <w:p>
            <w:pPr>
              <w:rPr>
                <w:rFonts w:asciiTheme="minorEastAsia" w:hAnsiTheme="minorEastAsia" w:cstheme="minorEastAsia"/>
              </w:rPr>
            </w:pP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53</w:t>
            </w:r>
          </w:p>
        </w:tc>
        <w:tc>
          <w:tcPr>
            <w:tcW w:w="992" w:type="dxa"/>
            <w:noWrap/>
            <w:vAlign w:val="center"/>
          </w:tcPr>
          <w:p>
            <w:pPr>
              <w:rPr>
                <w:rFonts w:asciiTheme="minorEastAsia" w:hAnsiTheme="minorEastAsia" w:cstheme="minorEastAsia"/>
              </w:rPr>
            </w:pPr>
            <w:r>
              <w:rPr>
                <w:rFonts w:hint="eastAsia" w:asciiTheme="minorEastAsia" w:hAnsiTheme="minorEastAsia" w:cstheme="minorEastAsia"/>
              </w:rPr>
              <w:t>86</w:t>
            </w:r>
          </w:p>
        </w:tc>
        <w:tc>
          <w:tcPr>
            <w:tcW w:w="993" w:type="dxa"/>
            <w:noWrap/>
            <w:vAlign w:val="center"/>
          </w:tcPr>
          <w:p>
            <w:pPr>
              <w:rPr>
                <w:rFonts w:asciiTheme="minorEastAsia" w:hAnsiTheme="minorEastAsia" w:cstheme="minorEastAsia"/>
              </w:rPr>
            </w:pPr>
            <w:r>
              <w:rPr>
                <w:rFonts w:hint="eastAsia" w:asciiTheme="minorEastAsia" w:hAnsiTheme="minorEastAsia" w:cstheme="minorEastAsia"/>
              </w:rPr>
              <w:t>120</w:t>
            </w:r>
          </w:p>
        </w:tc>
        <w:tc>
          <w:tcPr>
            <w:tcW w:w="788" w:type="dxa"/>
            <w:noWrap/>
            <w:vAlign w:val="center"/>
          </w:tcPr>
          <w:p>
            <w:pPr>
              <w:rPr>
                <w:rFonts w:asciiTheme="minorEastAsia" w:hAnsiTheme="minorEastAsia" w:cstheme="minorEastAsia"/>
              </w:rPr>
            </w:pPr>
            <w:r>
              <w:rPr>
                <w:rFonts w:hint="eastAsia" w:asciiTheme="minorEastAsia" w:hAnsiTheme="minorEastAsia" w:cstheme="minorEastAsia"/>
              </w:rPr>
              <w:t>21</w:t>
            </w: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1242" w:type="dxa"/>
            <w:vMerge w:val="continue"/>
            <w:vAlign w:val="center"/>
          </w:tcPr>
          <w:p>
            <w:pPr>
              <w:rPr>
                <w:rFonts w:asciiTheme="minorEastAsia" w:hAnsiTheme="minorEastAsia" w:cstheme="minorEastAsia"/>
              </w:rPr>
            </w:pPr>
          </w:p>
        </w:tc>
        <w:tc>
          <w:tcPr>
            <w:tcW w:w="1276" w:type="dxa"/>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数控开料机</w:t>
            </w:r>
          </w:p>
        </w:tc>
        <w:tc>
          <w:tcPr>
            <w:tcW w:w="992" w:type="dxa"/>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70</w:t>
            </w:r>
          </w:p>
        </w:tc>
        <w:tc>
          <w:tcPr>
            <w:tcW w:w="1134" w:type="dxa"/>
            <w:vMerge w:val="continue"/>
            <w:vAlign w:val="center"/>
          </w:tcPr>
          <w:p>
            <w:pPr>
              <w:rPr>
                <w:rFonts w:asciiTheme="minorEastAsia" w:hAnsiTheme="minorEastAsia" w:cstheme="minorEastAsia"/>
              </w:rPr>
            </w:pPr>
          </w:p>
        </w:tc>
        <w:tc>
          <w:tcPr>
            <w:tcW w:w="567" w:type="dxa"/>
            <w:noWrap/>
          </w:tcPr>
          <w:p>
            <w:pPr>
              <w:rPr>
                <w:rFonts w:asciiTheme="minorEastAsia" w:hAnsiTheme="minorEastAsia" w:cstheme="minorEastAsia"/>
              </w:rPr>
            </w:pPr>
            <w:r>
              <w:rPr>
                <w:rFonts w:hint="eastAsia" w:asciiTheme="minorEastAsia" w:hAnsiTheme="minorEastAsia" w:cstheme="minorEastAsia"/>
              </w:rPr>
              <w:t>-25</w:t>
            </w:r>
          </w:p>
        </w:tc>
        <w:tc>
          <w:tcPr>
            <w:tcW w:w="426" w:type="dxa"/>
            <w:noWrap/>
            <w:vAlign w:val="center"/>
          </w:tcPr>
          <w:p>
            <w:pPr>
              <w:rPr>
                <w:rFonts w:asciiTheme="minorEastAsia" w:hAnsiTheme="minorEastAsia" w:cstheme="minorEastAsia"/>
              </w:rPr>
            </w:pPr>
            <w:r>
              <w:rPr>
                <w:rFonts w:hint="eastAsia" w:asciiTheme="minorEastAsia" w:hAnsiTheme="minorEastAsia" w:cstheme="minorEastAsia"/>
              </w:rPr>
              <w:t>7</w:t>
            </w:r>
          </w:p>
        </w:tc>
        <w:tc>
          <w:tcPr>
            <w:tcW w:w="425" w:type="dxa"/>
            <w:noWrap/>
            <w:vAlign w:val="center"/>
          </w:tcPr>
          <w:p>
            <w:pPr>
              <w:rPr>
                <w:rFonts w:asciiTheme="minorEastAsia" w:hAnsiTheme="minorEastAsia" w:cstheme="minorEastAsia"/>
              </w:rPr>
            </w:pPr>
            <w:r>
              <w:rPr>
                <w:rFonts w:hint="eastAsia" w:asciiTheme="minorEastAsia" w:hAnsiTheme="minorEastAsia" w:cstheme="minorEastAsia"/>
              </w:rPr>
              <w:t>0</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48</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5</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5</w:t>
            </w: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27</w:t>
            </w:r>
          </w:p>
        </w:tc>
        <w:tc>
          <w:tcPr>
            <w:tcW w:w="1275" w:type="dxa"/>
            <w:vMerge w:val="continue"/>
            <w:vAlign w:val="center"/>
          </w:tcPr>
          <w:p>
            <w:pPr>
              <w:rPr>
                <w:rFonts w:asciiTheme="minorEastAsia" w:hAnsiTheme="minorEastAsia" w:cstheme="minorEastAsia"/>
              </w:rPr>
            </w:pP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53</w:t>
            </w:r>
          </w:p>
        </w:tc>
        <w:tc>
          <w:tcPr>
            <w:tcW w:w="992" w:type="dxa"/>
            <w:noWrap/>
            <w:vAlign w:val="center"/>
          </w:tcPr>
          <w:p>
            <w:pPr>
              <w:rPr>
                <w:rFonts w:asciiTheme="minorEastAsia" w:hAnsiTheme="minorEastAsia" w:cstheme="minorEastAsia"/>
              </w:rPr>
            </w:pPr>
            <w:r>
              <w:rPr>
                <w:rFonts w:hint="eastAsia" w:asciiTheme="minorEastAsia" w:hAnsiTheme="minorEastAsia" w:cstheme="minorEastAsia"/>
              </w:rPr>
              <w:t>75</w:t>
            </w:r>
          </w:p>
        </w:tc>
        <w:tc>
          <w:tcPr>
            <w:tcW w:w="993" w:type="dxa"/>
            <w:noWrap/>
            <w:vAlign w:val="center"/>
          </w:tcPr>
          <w:p>
            <w:pPr>
              <w:rPr>
                <w:rFonts w:asciiTheme="minorEastAsia" w:hAnsiTheme="minorEastAsia" w:cstheme="minorEastAsia"/>
              </w:rPr>
            </w:pPr>
            <w:r>
              <w:rPr>
                <w:rFonts w:hint="eastAsia" w:asciiTheme="minorEastAsia" w:hAnsiTheme="minorEastAsia" w:cstheme="minorEastAsia"/>
              </w:rPr>
              <w:t>120</w:t>
            </w:r>
          </w:p>
        </w:tc>
        <w:tc>
          <w:tcPr>
            <w:tcW w:w="788" w:type="dxa"/>
            <w:noWrap/>
            <w:vAlign w:val="center"/>
          </w:tcPr>
          <w:p>
            <w:pPr>
              <w:rPr>
                <w:rFonts w:asciiTheme="minorEastAsia" w:hAnsiTheme="minorEastAsia" w:cstheme="minorEastAsia"/>
              </w:rPr>
            </w:pPr>
            <w:r>
              <w:rPr>
                <w:rFonts w:hint="eastAsia" w:asciiTheme="minorEastAsia" w:hAnsiTheme="minorEastAsia" w:cstheme="minorEastAsia"/>
              </w:rPr>
              <w:t>32</w:t>
            </w: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1242" w:type="dxa"/>
            <w:vMerge w:val="continue"/>
            <w:vAlign w:val="center"/>
          </w:tcPr>
          <w:p>
            <w:pPr>
              <w:rPr>
                <w:rFonts w:asciiTheme="minorEastAsia" w:hAnsiTheme="minorEastAsia" w:cstheme="minorEastAsia"/>
              </w:rPr>
            </w:pPr>
          </w:p>
        </w:tc>
        <w:tc>
          <w:tcPr>
            <w:tcW w:w="1276" w:type="dxa"/>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螺杆空压机</w:t>
            </w:r>
          </w:p>
        </w:tc>
        <w:tc>
          <w:tcPr>
            <w:tcW w:w="992" w:type="dxa"/>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70</w:t>
            </w:r>
          </w:p>
        </w:tc>
        <w:tc>
          <w:tcPr>
            <w:tcW w:w="1134" w:type="dxa"/>
            <w:vMerge w:val="continue"/>
            <w:vAlign w:val="center"/>
          </w:tcPr>
          <w:p>
            <w:pPr>
              <w:rPr>
                <w:rFonts w:asciiTheme="minorEastAsia" w:hAnsiTheme="minorEastAsia" w:cstheme="minorEastAsia"/>
              </w:rPr>
            </w:pPr>
          </w:p>
        </w:tc>
        <w:tc>
          <w:tcPr>
            <w:tcW w:w="567" w:type="dxa"/>
            <w:noWrap/>
          </w:tcPr>
          <w:p>
            <w:pPr>
              <w:rPr>
                <w:rFonts w:asciiTheme="minorEastAsia" w:hAnsiTheme="minorEastAsia" w:cstheme="minorEastAsia"/>
              </w:rPr>
            </w:pPr>
            <w:r>
              <w:rPr>
                <w:rFonts w:hint="eastAsia" w:asciiTheme="minorEastAsia" w:hAnsiTheme="minorEastAsia" w:cstheme="minorEastAsia"/>
              </w:rPr>
              <w:t>-36</w:t>
            </w:r>
          </w:p>
        </w:tc>
        <w:tc>
          <w:tcPr>
            <w:tcW w:w="426" w:type="dxa"/>
            <w:noWrap/>
            <w:vAlign w:val="center"/>
          </w:tcPr>
          <w:p>
            <w:pPr>
              <w:rPr>
                <w:rFonts w:asciiTheme="minorEastAsia" w:hAnsiTheme="minorEastAsia" w:cstheme="minorEastAsia"/>
              </w:rPr>
            </w:pPr>
            <w:r>
              <w:rPr>
                <w:rFonts w:hint="eastAsia" w:asciiTheme="minorEastAsia" w:hAnsiTheme="minorEastAsia" w:cstheme="minorEastAsia"/>
              </w:rPr>
              <w:t>-3</w:t>
            </w:r>
          </w:p>
        </w:tc>
        <w:tc>
          <w:tcPr>
            <w:tcW w:w="425" w:type="dxa"/>
            <w:noWrap/>
            <w:vAlign w:val="center"/>
          </w:tcPr>
          <w:p>
            <w:pPr>
              <w:rPr>
                <w:rFonts w:asciiTheme="minorEastAsia" w:hAnsiTheme="minorEastAsia" w:cstheme="minorEastAsia"/>
              </w:rPr>
            </w:pPr>
            <w:r>
              <w:rPr>
                <w:rFonts w:hint="eastAsia" w:asciiTheme="minorEastAsia" w:hAnsiTheme="minorEastAsia" w:cstheme="minorEastAsia"/>
              </w:rPr>
              <w:t>4</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22</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59</w:t>
            </w:r>
          </w:p>
        </w:tc>
        <w:tc>
          <w:tcPr>
            <w:tcW w:w="567" w:type="dxa"/>
            <w:noWrap/>
            <w:vAlign w:val="center"/>
          </w:tcPr>
          <w:p>
            <w:pPr>
              <w:rPr>
                <w:rFonts w:asciiTheme="minorEastAsia" w:hAnsiTheme="minorEastAsia" w:cstheme="minorEastAsia"/>
              </w:rPr>
            </w:pPr>
            <w:r>
              <w:rPr>
                <w:rFonts w:hint="eastAsia" w:asciiTheme="minorEastAsia" w:hAnsiTheme="minorEastAsia" w:cstheme="minorEastAsia"/>
              </w:rPr>
              <w:t>5</w:t>
            </w: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5</w:t>
            </w:r>
          </w:p>
        </w:tc>
        <w:tc>
          <w:tcPr>
            <w:tcW w:w="1275" w:type="dxa"/>
            <w:vMerge w:val="continue"/>
            <w:vAlign w:val="center"/>
          </w:tcPr>
          <w:p>
            <w:pPr>
              <w:rPr>
                <w:rFonts w:asciiTheme="minorEastAsia" w:hAnsiTheme="minorEastAsia" w:cstheme="minorEastAsia"/>
              </w:rPr>
            </w:pPr>
          </w:p>
        </w:tc>
        <w:tc>
          <w:tcPr>
            <w:tcW w:w="709" w:type="dxa"/>
            <w:noWrap/>
            <w:vAlign w:val="center"/>
          </w:tcPr>
          <w:p>
            <w:pPr>
              <w:rPr>
                <w:rFonts w:asciiTheme="minorEastAsia" w:hAnsiTheme="minorEastAsia" w:cstheme="minorEastAsia"/>
              </w:rPr>
            </w:pPr>
            <w:r>
              <w:rPr>
                <w:rFonts w:hint="eastAsia" w:asciiTheme="minorEastAsia" w:hAnsiTheme="minorEastAsia" w:cstheme="minorEastAsia"/>
              </w:rPr>
              <w:t>27</w:t>
            </w:r>
          </w:p>
        </w:tc>
        <w:tc>
          <w:tcPr>
            <w:tcW w:w="992" w:type="dxa"/>
            <w:noWrap/>
            <w:vAlign w:val="center"/>
          </w:tcPr>
          <w:p>
            <w:pPr>
              <w:rPr>
                <w:rFonts w:asciiTheme="minorEastAsia" w:hAnsiTheme="minorEastAsia" w:cstheme="minorEastAsia"/>
              </w:rPr>
            </w:pPr>
            <w:r>
              <w:rPr>
                <w:rFonts w:hint="eastAsia" w:asciiTheme="minorEastAsia" w:hAnsiTheme="minorEastAsia" w:cstheme="minorEastAsia"/>
              </w:rPr>
              <w:t>69</w:t>
            </w:r>
          </w:p>
        </w:tc>
        <w:tc>
          <w:tcPr>
            <w:tcW w:w="993" w:type="dxa"/>
            <w:noWrap/>
            <w:vAlign w:val="center"/>
          </w:tcPr>
          <w:p>
            <w:pPr>
              <w:rPr>
                <w:rFonts w:asciiTheme="minorEastAsia" w:hAnsiTheme="minorEastAsia" w:cstheme="minorEastAsia"/>
              </w:rPr>
            </w:pPr>
            <w:r>
              <w:rPr>
                <w:rFonts w:hint="eastAsia" w:asciiTheme="minorEastAsia" w:hAnsiTheme="minorEastAsia" w:cstheme="minorEastAsia"/>
              </w:rPr>
              <w:t>120</w:t>
            </w:r>
          </w:p>
        </w:tc>
        <w:tc>
          <w:tcPr>
            <w:tcW w:w="788" w:type="dxa"/>
            <w:noWrap/>
            <w:vAlign w:val="center"/>
          </w:tcPr>
          <w:p>
            <w:pPr>
              <w:rPr>
                <w:rFonts w:asciiTheme="minorEastAsia" w:hAnsiTheme="minorEastAsia" w:cstheme="minorEastAsia"/>
              </w:rPr>
            </w:pPr>
            <w:r>
              <w:rPr>
                <w:rFonts w:hint="eastAsia" w:asciiTheme="minorEastAsia" w:hAnsiTheme="minorEastAsia" w:cstheme="minorEastAsia"/>
              </w:rPr>
              <w:t>45</w:t>
            </w:r>
          </w:p>
        </w:tc>
      </w:tr>
    </w:tbl>
    <w:p>
      <w:pPr>
        <w:jc w:val="center"/>
      </w:pPr>
      <w:r>
        <w:t>表</w:t>
      </w:r>
      <w:r>
        <w:rPr>
          <w:rFonts w:hint="eastAsia"/>
        </w:rPr>
        <w:t xml:space="preserve">4.4-3  </w:t>
      </w:r>
      <w:r>
        <w:t>室外声源情况一览表</w:t>
      </w:r>
      <w:r>
        <w:rPr>
          <w:rFonts w:hint="eastAsia"/>
        </w:rPr>
        <w:t xml:space="preserve">  （以DA009为0,0点）</w:t>
      </w:r>
    </w:p>
    <w:tbl>
      <w:tblPr>
        <w:tblStyle w:val="88"/>
        <w:tblW w:w="13229" w:type="dxa"/>
        <w:tblInd w:w="0" w:type="dxa"/>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3"/>
        <w:gridCol w:w="2540"/>
        <w:gridCol w:w="733"/>
        <w:gridCol w:w="664"/>
        <w:gridCol w:w="574"/>
        <w:gridCol w:w="529"/>
        <w:gridCol w:w="529"/>
        <w:gridCol w:w="529"/>
        <w:gridCol w:w="426"/>
        <w:gridCol w:w="1512"/>
        <w:gridCol w:w="1294"/>
        <w:gridCol w:w="2426"/>
      </w:tblGrid>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473" w:type="dxa"/>
            <w:vMerge w:val="restart"/>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建筑物名称</w:t>
            </w:r>
          </w:p>
        </w:tc>
        <w:tc>
          <w:tcPr>
            <w:tcW w:w="2540" w:type="dxa"/>
            <w:vMerge w:val="restart"/>
            <w:tcBorders>
              <w:top w:val="single" w:color="000000" w:sz="8"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声源名称</w:t>
            </w:r>
          </w:p>
        </w:tc>
        <w:tc>
          <w:tcPr>
            <w:tcW w:w="1971" w:type="dxa"/>
            <w:gridSpan w:val="3"/>
            <w:tcBorders>
              <w:top w:val="single" w:color="000000" w:sz="8"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空间相对位置/m</w:t>
            </w:r>
          </w:p>
        </w:tc>
        <w:tc>
          <w:tcPr>
            <w:tcW w:w="2013" w:type="dxa"/>
            <w:gridSpan w:val="4"/>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距厂界距离/m</w:t>
            </w:r>
          </w:p>
        </w:tc>
        <w:tc>
          <w:tcPr>
            <w:tcW w:w="1512" w:type="dxa"/>
            <w:vMerge w:val="restart"/>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声功率级/dB(A)</w:t>
            </w:r>
          </w:p>
        </w:tc>
        <w:tc>
          <w:tcPr>
            <w:tcW w:w="1294" w:type="dxa"/>
            <w:vMerge w:val="restart"/>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声源控制措施</w:t>
            </w:r>
          </w:p>
        </w:tc>
        <w:tc>
          <w:tcPr>
            <w:tcW w:w="2426" w:type="dxa"/>
            <w:vMerge w:val="restart"/>
            <w:tcBorders>
              <w:top w:val="single" w:color="000000" w:sz="8"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运行时段</w:t>
            </w: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473" w:type="dxa"/>
            <w:vMerge w:val="continue"/>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p>
        </w:tc>
        <w:tc>
          <w:tcPr>
            <w:tcW w:w="2540" w:type="dxa"/>
            <w:vMerge w:val="continue"/>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p>
        </w:tc>
        <w:tc>
          <w:tcPr>
            <w:tcW w:w="733"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X</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Y</w:t>
            </w:r>
          </w:p>
        </w:tc>
        <w:tc>
          <w:tcPr>
            <w:tcW w:w="57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Z</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东</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南</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西</w:t>
            </w:r>
          </w:p>
        </w:tc>
        <w:tc>
          <w:tcPr>
            <w:tcW w:w="426"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北</w:t>
            </w:r>
          </w:p>
        </w:tc>
        <w:tc>
          <w:tcPr>
            <w:tcW w:w="1512" w:type="dxa"/>
            <w:vMerge w:val="continue"/>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p>
        </w:tc>
        <w:tc>
          <w:tcPr>
            <w:tcW w:w="1294" w:type="dxa"/>
            <w:vMerge w:val="continue"/>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p>
        </w:tc>
        <w:tc>
          <w:tcPr>
            <w:tcW w:w="2426" w:type="dxa"/>
            <w:vMerge w:val="continue"/>
            <w:tcBorders>
              <w:top w:val="single" w:color="000000" w:sz="8"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8" w:hRule="atLeast"/>
        </w:trPr>
        <w:tc>
          <w:tcPr>
            <w:tcW w:w="1473" w:type="dxa"/>
            <w:vMerge w:val="restart"/>
            <w:tcBorders>
              <w:top w:val="nil"/>
              <w:left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生产厂房</w:t>
            </w:r>
          </w:p>
        </w:tc>
        <w:tc>
          <w:tcPr>
            <w:tcW w:w="2540"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DA001废气处理设施风机</w:t>
            </w:r>
          </w:p>
        </w:tc>
        <w:tc>
          <w:tcPr>
            <w:tcW w:w="733"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30</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-11</w:t>
            </w:r>
          </w:p>
        </w:tc>
        <w:tc>
          <w:tcPr>
            <w:tcW w:w="57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135</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100</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140</w:t>
            </w:r>
          </w:p>
        </w:tc>
        <w:tc>
          <w:tcPr>
            <w:tcW w:w="426"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15</w:t>
            </w:r>
          </w:p>
        </w:tc>
        <w:tc>
          <w:tcPr>
            <w:tcW w:w="1512"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w:t>
            </w:r>
          </w:p>
        </w:tc>
        <w:tc>
          <w:tcPr>
            <w:tcW w:w="1294" w:type="dxa"/>
            <w:vMerge w:val="restart"/>
            <w:tcBorders>
              <w:top w:val="nil"/>
              <w:left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asciiTheme="minorEastAsia" w:hAnsiTheme="minorEastAsia" w:eastAsiaTheme="minorEastAsia" w:cstheme="minorEastAsia"/>
                <w:bCs/>
                <w:color w:val="auto"/>
                <w:lang w:val="en-US"/>
              </w:rPr>
              <w:t>基础减振</w:t>
            </w:r>
          </w:p>
        </w:tc>
        <w:tc>
          <w:tcPr>
            <w:tcW w:w="2426" w:type="dxa"/>
            <w:vMerge w:val="restart"/>
            <w:tcBorders>
              <w:top w:val="nil"/>
              <w:left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cstheme="minorEastAsia"/>
                <w:color w:val="auto"/>
              </w:rPr>
              <w:t>8:00-12:00、14:00-18:00</w:t>
            </w: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8" w:hRule="atLeast"/>
        </w:trPr>
        <w:tc>
          <w:tcPr>
            <w:tcW w:w="1473"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540"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DA002废气处理设施风机</w:t>
            </w:r>
          </w:p>
        </w:tc>
        <w:tc>
          <w:tcPr>
            <w:tcW w:w="733"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-78</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-10</w:t>
            </w:r>
          </w:p>
        </w:tc>
        <w:tc>
          <w:tcPr>
            <w:tcW w:w="57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85</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115</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25</w:t>
            </w:r>
          </w:p>
        </w:tc>
        <w:tc>
          <w:tcPr>
            <w:tcW w:w="426"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57</w:t>
            </w:r>
          </w:p>
        </w:tc>
        <w:tc>
          <w:tcPr>
            <w:tcW w:w="1512"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w:t>
            </w:r>
          </w:p>
        </w:tc>
        <w:tc>
          <w:tcPr>
            <w:tcW w:w="1294"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426"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473"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540"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DA007废气处理设施风机</w:t>
            </w:r>
          </w:p>
        </w:tc>
        <w:tc>
          <w:tcPr>
            <w:tcW w:w="733"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-9</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w:t>
            </w:r>
          </w:p>
        </w:tc>
        <w:tc>
          <w:tcPr>
            <w:tcW w:w="57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20</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125</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100</w:t>
            </w:r>
          </w:p>
        </w:tc>
        <w:tc>
          <w:tcPr>
            <w:tcW w:w="426"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53</w:t>
            </w:r>
          </w:p>
        </w:tc>
        <w:tc>
          <w:tcPr>
            <w:tcW w:w="1512"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w:t>
            </w:r>
          </w:p>
        </w:tc>
        <w:tc>
          <w:tcPr>
            <w:tcW w:w="1294"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426"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473"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540"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DA008废气处理设施风机</w:t>
            </w:r>
          </w:p>
        </w:tc>
        <w:tc>
          <w:tcPr>
            <w:tcW w:w="733"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-87</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-4</w:t>
            </w:r>
          </w:p>
        </w:tc>
        <w:tc>
          <w:tcPr>
            <w:tcW w:w="57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90</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120</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20</w:t>
            </w:r>
          </w:p>
        </w:tc>
        <w:tc>
          <w:tcPr>
            <w:tcW w:w="426"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50</w:t>
            </w:r>
          </w:p>
        </w:tc>
        <w:tc>
          <w:tcPr>
            <w:tcW w:w="1512"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w:t>
            </w:r>
          </w:p>
        </w:tc>
        <w:tc>
          <w:tcPr>
            <w:tcW w:w="1294"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426" w:type="dxa"/>
            <w:vMerge w:val="continue"/>
            <w:tcBorders>
              <w:left w:val="single" w:color="000000" w:sz="4" w:space="0"/>
              <w:right w:val="single" w:color="000000" w:sz="4" w:space="0"/>
            </w:tcBorders>
            <w:vAlign w:val="center"/>
          </w:tcPr>
          <w:p>
            <w:pPr>
              <w:widowControl/>
              <w:jc w:val="left"/>
              <w:rPr>
                <w:rFonts w:ascii="Times New Roman" w:hAnsi="Times New Roman" w:eastAsia="宋体" w:cs="Times New Roman"/>
              </w:rPr>
            </w:pPr>
          </w:p>
        </w:tc>
      </w:tr>
      <w:tr>
        <w:tblPrEx>
          <w:tblBorders>
            <w:top w:val="single" w:color="000000" w:sz="8"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1473" w:type="dxa"/>
            <w:vMerge w:val="continue"/>
            <w:tcBorders>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540"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bCs/>
                <w:color w:val="auto"/>
                <w:lang w:val="en-US"/>
              </w:rPr>
              <w:t>DA009废气处理设施风机</w:t>
            </w:r>
          </w:p>
        </w:tc>
        <w:tc>
          <w:tcPr>
            <w:tcW w:w="733"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0</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0</w:t>
            </w:r>
          </w:p>
        </w:tc>
        <w:tc>
          <w:tcPr>
            <w:tcW w:w="574" w:type="dxa"/>
            <w:tcBorders>
              <w:top w:val="single" w:color="000000" w:sz="4" w:space="0"/>
              <w:left w:val="single" w:color="000000" w:sz="4" w:space="0"/>
              <w:bottom w:val="single" w:color="000000" w:sz="4" w:space="0"/>
              <w:right w:val="single" w:color="000000" w:sz="4" w:space="0"/>
            </w:tcBorders>
            <w:noWrap/>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10</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120</w:t>
            </w:r>
          </w:p>
        </w:tc>
        <w:tc>
          <w:tcPr>
            <w:tcW w:w="529"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100</w:t>
            </w:r>
          </w:p>
        </w:tc>
        <w:tc>
          <w:tcPr>
            <w:tcW w:w="426"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bCs/>
                <w:color w:val="auto"/>
                <w:lang w:val="en-US"/>
              </w:rPr>
            </w:pPr>
            <w:r>
              <w:rPr>
                <w:rFonts w:hint="eastAsia" w:asciiTheme="minorEastAsia" w:hAnsiTheme="minorEastAsia" w:eastAsiaTheme="minorEastAsia" w:cstheme="minorEastAsia"/>
                <w:bCs/>
                <w:color w:val="auto"/>
                <w:lang w:val="en-US"/>
              </w:rPr>
              <w:t>50</w:t>
            </w:r>
          </w:p>
        </w:tc>
        <w:tc>
          <w:tcPr>
            <w:tcW w:w="1512" w:type="dxa"/>
            <w:tcBorders>
              <w:top w:val="single" w:color="000000" w:sz="4" w:space="0"/>
              <w:left w:val="single" w:color="000000" w:sz="4" w:space="0"/>
              <w:bottom w:val="single" w:color="000000" w:sz="4" w:space="0"/>
              <w:right w:val="single" w:color="000000" w:sz="4" w:space="0"/>
            </w:tcBorders>
            <w:vAlign w:val="center"/>
          </w:tcPr>
          <w:p>
            <w:pPr>
              <w:pStyle w:val="164"/>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75</w:t>
            </w:r>
          </w:p>
        </w:tc>
        <w:tc>
          <w:tcPr>
            <w:tcW w:w="1294" w:type="dxa"/>
            <w:vMerge w:val="continue"/>
            <w:tcBorders>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rPr>
            </w:pPr>
          </w:p>
        </w:tc>
        <w:tc>
          <w:tcPr>
            <w:tcW w:w="2426" w:type="dxa"/>
            <w:vMerge w:val="continue"/>
            <w:tcBorders>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rPr>
            </w:pPr>
          </w:p>
        </w:tc>
      </w:tr>
    </w:tbl>
    <w:p>
      <w:pPr>
        <w:sectPr>
          <w:pgSz w:w="16840" w:h="11907" w:orient="landscape"/>
          <w:pgMar w:top="1304" w:right="1701" w:bottom="1304" w:left="2126" w:header="851" w:footer="851" w:gutter="0"/>
          <w:cols w:space="720" w:num="1"/>
          <w:docGrid w:linePitch="312" w:charSpace="0"/>
        </w:sectPr>
      </w:pPr>
    </w:p>
    <w:p/>
    <w:tbl>
      <w:tblPr>
        <w:tblStyle w:val="88"/>
        <w:tblW w:w="943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44" w:hRule="atLeast"/>
          <w:jc w:val="center"/>
        </w:trPr>
        <w:tc>
          <w:tcPr>
            <w:tcW w:w="761" w:type="dxa"/>
            <w:tcMar>
              <w:left w:w="28" w:type="dxa"/>
              <w:right w:w="28" w:type="dxa"/>
            </w:tcMar>
            <w:vAlign w:val="center"/>
          </w:tcPr>
          <w:p>
            <w:pPr>
              <w:adjustRightInd w:val="0"/>
              <w:snapToGrid w:val="0"/>
              <w:jc w:val="center"/>
              <w:rPr>
                <w:rFonts w:ascii="宋体" w:hAnsi="宋体" w:eastAsia="宋体" w:cs="宋体"/>
                <w:bCs/>
              </w:rPr>
            </w:pPr>
          </w:p>
        </w:tc>
        <w:tc>
          <w:tcPr>
            <w:tcW w:w="8674" w:type="dxa"/>
          </w:tcPr>
          <w:p>
            <w:pPr>
              <w:pStyle w:val="4075"/>
              <w:numPr>
                <w:ilvl w:val="0"/>
                <w:numId w:val="19"/>
              </w:numPr>
            </w:pPr>
            <w:r>
              <w:rPr>
                <w:rFonts w:hint="eastAsia"/>
              </w:rPr>
              <w:t>噪声影响预测和分析</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（1）等效室外声源计算</w:t>
            </w:r>
          </w:p>
          <w:p>
            <w:pPr>
              <w:adjustRightInd w:val="0"/>
              <w:snapToGri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sz w:val="24"/>
                <w:szCs w:val="24"/>
              </w:rPr>
              <w:t>按下式计算出所有室内声源在围护结构处产生的i</w:t>
            </w:r>
            <w:r>
              <w:rPr>
                <w:rFonts w:hint="eastAsia" w:ascii="Times New Roman" w:hAnsi="Times New Roman" w:cs="Times New Roman"/>
                <w:sz w:val="24"/>
                <w:szCs w:val="24"/>
              </w:rPr>
              <w:t>个</w:t>
            </w:r>
            <w:r>
              <w:rPr>
                <w:rFonts w:ascii="Times New Roman" w:hAnsi="Times New Roman" w:cs="Times New Roman"/>
                <w:sz w:val="24"/>
                <w:szCs w:val="24"/>
              </w:rPr>
              <w:t>倍频带叠加声压级：</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kern w:val="0"/>
                <w:sz w:val="24"/>
                <w:szCs w:val="24"/>
              </w:rPr>
              <w:t xml:space="preserve">                     </w:t>
            </w:r>
            <w:r>
              <w:rPr>
                <w:rFonts w:ascii="Times New Roman" w:hAnsi="Times New Roman" w:cs="Times New Roman"/>
                <w:sz w:val="24"/>
                <w:szCs w:val="24"/>
              </w:rPr>
              <w:drawing>
                <wp:inline distT="0" distB="0" distL="114300" distR="114300">
                  <wp:extent cx="1314450" cy="421005"/>
                  <wp:effectExtent l="0" t="0" r="0" b="17145"/>
                  <wp:docPr id="2" name="图片 24" descr="说明: 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说明: 图片包含 徽标&#10;&#10;描述已自动生成"/>
                          <pic:cNvPicPr>
                            <a:picLocks noChangeAspect="1"/>
                          </pic:cNvPicPr>
                        </pic:nvPicPr>
                        <pic:blipFill>
                          <a:blip r:embed="rId35"/>
                          <a:stretch>
                            <a:fillRect/>
                          </a:stretch>
                        </pic:blipFill>
                        <pic:spPr>
                          <a:xfrm>
                            <a:off x="0" y="0"/>
                            <a:ext cx="1314450" cy="421005"/>
                          </a:xfrm>
                          <a:prstGeom prst="rect">
                            <a:avLst/>
                          </a:prstGeom>
                          <a:noFill/>
                          <a:ln>
                            <a:noFill/>
                          </a:ln>
                        </pic:spPr>
                      </pic:pic>
                    </a:graphicData>
                  </a:graphic>
                </wp:inline>
              </w:drawing>
            </w:r>
            <w:r>
              <w:rPr>
                <w:rFonts w:ascii="Times New Roman" w:hAnsi="Times New Roman" w:cs="Times New Roman"/>
                <w:kern w:val="0"/>
                <w:sz w:val="24"/>
                <w:szCs w:val="24"/>
              </w:rPr>
              <w:t>       </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式中：L</w:t>
            </w:r>
            <w:r>
              <w:rPr>
                <w:rFonts w:cs="Times New Roman" w:asciiTheme="minorEastAsia" w:hAnsiTheme="minorEastAsia"/>
                <w:sz w:val="24"/>
                <w:szCs w:val="24"/>
                <w:vertAlign w:val="subscript"/>
              </w:rPr>
              <w:t>pli</w:t>
            </w:r>
            <w:r>
              <w:rPr>
                <w:rFonts w:cs="Times New Roman" w:asciiTheme="minorEastAsia" w:hAnsiTheme="minorEastAsia"/>
                <w:sz w:val="24"/>
                <w:szCs w:val="24"/>
              </w:rPr>
              <w:t>（T）——靠近围护结构处室内N个声源i倍频带的叠加声压级，dB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L</w:t>
            </w:r>
            <w:r>
              <w:rPr>
                <w:rFonts w:cs="Times New Roman" w:asciiTheme="minorEastAsia" w:hAnsiTheme="minorEastAsia"/>
                <w:sz w:val="24"/>
                <w:szCs w:val="24"/>
                <w:vertAlign w:val="subscript"/>
              </w:rPr>
              <w:t>plij</w:t>
            </w:r>
            <w:r>
              <w:rPr>
                <w:rFonts w:cs="Times New Roman" w:asciiTheme="minorEastAsia" w:hAnsiTheme="minorEastAsia"/>
                <w:sz w:val="24"/>
                <w:szCs w:val="24"/>
              </w:rPr>
              <w:t xml:space="preserve">——室内j声源i倍频带的声压级，dB </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N——室内声源总数。</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声源所在室内声场为近似扩散声场，则室外的倍频带声压级可按下式近似求出：</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 L</w:t>
            </w:r>
            <w:r>
              <w:rPr>
                <w:rFonts w:cs="Times New Roman" w:asciiTheme="minorEastAsia" w:hAnsiTheme="minorEastAsia"/>
                <w:sz w:val="24"/>
                <w:szCs w:val="24"/>
                <w:vertAlign w:val="subscript"/>
              </w:rPr>
              <w:t>p2i</w:t>
            </w:r>
            <w:r>
              <w:rPr>
                <w:rFonts w:cs="Times New Roman" w:asciiTheme="minorEastAsia" w:hAnsiTheme="minorEastAsia"/>
                <w:sz w:val="24"/>
                <w:szCs w:val="24"/>
              </w:rPr>
              <w:t>（T）=L</w:t>
            </w:r>
            <w:r>
              <w:rPr>
                <w:rFonts w:cs="Times New Roman" w:asciiTheme="minorEastAsia" w:hAnsiTheme="minorEastAsia"/>
                <w:sz w:val="24"/>
                <w:szCs w:val="24"/>
                <w:vertAlign w:val="subscript"/>
              </w:rPr>
              <w:t>p1i</w:t>
            </w:r>
            <w:r>
              <w:rPr>
                <w:rFonts w:cs="Times New Roman" w:asciiTheme="minorEastAsia" w:hAnsiTheme="minorEastAsia"/>
                <w:sz w:val="24"/>
                <w:szCs w:val="24"/>
              </w:rPr>
              <w:t>（T）-（TL</w:t>
            </w:r>
            <w:r>
              <w:rPr>
                <w:rFonts w:cs="Times New Roman" w:asciiTheme="minorEastAsia" w:hAnsiTheme="minorEastAsia"/>
                <w:sz w:val="24"/>
                <w:szCs w:val="24"/>
                <w:vertAlign w:val="subscript"/>
              </w:rPr>
              <w:t>i</w:t>
            </w:r>
            <w:r>
              <w:rPr>
                <w:rFonts w:cs="Times New Roman" w:asciiTheme="minorEastAsia" w:hAnsiTheme="minorEastAsia"/>
                <w:sz w:val="24"/>
                <w:szCs w:val="24"/>
              </w:rPr>
              <w:t>+6）</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式中：L</w:t>
            </w:r>
            <w:r>
              <w:rPr>
                <w:rFonts w:cs="Times New Roman" w:asciiTheme="minorEastAsia" w:hAnsiTheme="minorEastAsia"/>
                <w:sz w:val="24"/>
                <w:szCs w:val="24"/>
                <w:vertAlign w:val="subscript"/>
              </w:rPr>
              <w:t>p2i</w:t>
            </w:r>
            <w:r>
              <w:rPr>
                <w:rFonts w:cs="Times New Roman" w:asciiTheme="minorEastAsia" w:hAnsiTheme="minorEastAsia"/>
                <w:sz w:val="24"/>
                <w:szCs w:val="24"/>
              </w:rPr>
              <w:t>（T）——靠近围护结构处室内N个声源倍频带的叠加声压级，dB；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L</w:t>
            </w:r>
            <w:r>
              <w:rPr>
                <w:rFonts w:cs="Times New Roman" w:asciiTheme="minorEastAsia" w:hAnsiTheme="minorEastAsia"/>
                <w:sz w:val="24"/>
                <w:szCs w:val="24"/>
                <w:vertAlign w:val="subscript"/>
              </w:rPr>
              <w:t>p2</w:t>
            </w:r>
            <w:r>
              <w:rPr>
                <w:rFonts w:cs="Times New Roman" w:asciiTheme="minorEastAsia" w:hAnsiTheme="minorEastAsia"/>
                <w:sz w:val="24"/>
                <w:szCs w:val="24"/>
              </w:rPr>
              <w:t>——靠近围护结构处室外N个声源倍频带的叠加声压级，dB；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TL</w:t>
            </w:r>
            <w:r>
              <w:rPr>
                <w:rFonts w:cs="Times New Roman" w:asciiTheme="minorEastAsia" w:hAnsiTheme="minorEastAsia"/>
                <w:sz w:val="24"/>
                <w:szCs w:val="24"/>
                <w:vertAlign w:val="subscript"/>
              </w:rPr>
              <w:t>i</w:t>
            </w:r>
            <w:r>
              <w:rPr>
                <w:rFonts w:cs="Times New Roman" w:asciiTheme="minorEastAsia" w:hAnsiTheme="minorEastAsia"/>
                <w:sz w:val="24"/>
                <w:szCs w:val="24"/>
              </w:rPr>
              <w:t>——围护结构i倍频带隔声量，dB。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（2）噪声衰减计算</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无指向性点声源几何发散衰减的基本公式是：</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L</w:t>
            </w:r>
            <w:r>
              <w:rPr>
                <w:rFonts w:cs="Times New Roman" w:asciiTheme="minorEastAsia" w:hAnsiTheme="minorEastAsia"/>
                <w:sz w:val="24"/>
                <w:szCs w:val="24"/>
                <w:vertAlign w:val="subscript"/>
              </w:rPr>
              <w:t>p</w:t>
            </w:r>
            <w:r>
              <w:rPr>
                <w:rFonts w:cs="Times New Roman" w:asciiTheme="minorEastAsia" w:hAnsiTheme="minorEastAsia"/>
                <w:sz w:val="24"/>
                <w:szCs w:val="24"/>
              </w:rPr>
              <w:t>（r）=L</w:t>
            </w:r>
            <w:r>
              <w:rPr>
                <w:rFonts w:cs="Times New Roman" w:asciiTheme="minorEastAsia" w:hAnsiTheme="minorEastAsia"/>
                <w:sz w:val="24"/>
                <w:szCs w:val="24"/>
                <w:vertAlign w:val="subscript"/>
              </w:rPr>
              <w:t>p</w:t>
            </w:r>
            <w:r>
              <w:rPr>
                <w:rFonts w:cs="Times New Roman" w:asciiTheme="minorEastAsia" w:hAnsiTheme="minorEastAsia"/>
                <w:sz w:val="24"/>
                <w:szCs w:val="24"/>
              </w:rPr>
              <w:t>（r</w:t>
            </w:r>
            <w:r>
              <w:rPr>
                <w:rFonts w:cs="Times New Roman" w:asciiTheme="minorEastAsia" w:hAnsiTheme="minorEastAsia"/>
                <w:sz w:val="24"/>
                <w:szCs w:val="24"/>
                <w:vertAlign w:val="subscript"/>
              </w:rPr>
              <w:t>0</w:t>
            </w:r>
            <w:r>
              <w:rPr>
                <w:rFonts w:cs="Times New Roman" w:asciiTheme="minorEastAsia" w:hAnsiTheme="minorEastAsia"/>
                <w:sz w:val="24"/>
                <w:szCs w:val="24"/>
              </w:rPr>
              <w:t>）-20lg（r/r</w:t>
            </w:r>
            <w:r>
              <w:rPr>
                <w:rFonts w:cs="Times New Roman" w:asciiTheme="minorEastAsia" w:hAnsiTheme="minorEastAsia"/>
                <w:sz w:val="24"/>
                <w:szCs w:val="24"/>
                <w:vertAlign w:val="subscript"/>
              </w:rPr>
              <w:t>0</w:t>
            </w:r>
            <w:r>
              <w:rPr>
                <w:rFonts w:cs="Times New Roman" w:asciiTheme="minorEastAsia" w:hAnsiTheme="minorEastAsia"/>
                <w:sz w:val="24"/>
                <w:szCs w:val="24"/>
              </w:rPr>
              <w:t>）</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式中：L</w:t>
            </w:r>
            <w:r>
              <w:rPr>
                <w:rFonts w:cs="Times New Roman" w:asciiTheme="minorEastAsia" w:hAnsiTheme="minorEastAsia"/>
                <w:sz w:val="24"/>
                <w:szCs w:val="24"/>
                <w:vertAlign w:val="subscript"/>
              </w:rPr>
              <w:t>p</w:t>
            </w:r>
            <w:r>
              <w:rPr>
                <w:rFonts w:cs="Times New Roman" w:asciiTheme="minorEastAsia" w:hAnsiTheme="minorEastAsia"/>
                <w:sz w:val="24"/>
                <w:szCs w:val="24"/>
              </w:rPr>
              <w:t>（r）—预测点处声压级，dB；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L</w:t>
            </w:r>
            <w:r>
              <w:rPr>
                <w:rFonts w:cs="Times New Roman" w:asciiTheme="minorEastAsia" w:hAnsiTheme="minorEastAsia"/>
                <w:sz w:val="24"/>
                <w:szCs w:val="24"/>
                <w:vertAlign w:val="subscript"/>
              </w:rPr>
              <w:t>p</w:t>
            </w:r>
            <w:r>
              <w:rPr>
                <w:rFonts w:cs="Times New Roman" w:asciiTheme="minorEastAsia" w:hAnsiTheme="minorEastAsia"/>
                <w:sz w:val="24"/>
                <w:szCs w:val="24"/>
              </w:rPr>
              <w:t>（r</w:t>
            </w:r>
            <w:r>
              <w:rPr>
                <w:rFonts w:cs="Times New Roman" w:asciiTheme="minorEastAsia" w:hAnsiTheme="minorEastAsia"/>
                <w:sz w:val="24"/>
                <w:szCs w:val="24"/>
                <w:vertAlign w:val="subscript"/>
              </w:rPr>
              <w:t>0</w:t>
            </w:r>
            <w:r>
              <w:rPr>
                <w:rFonts w:cs="Times New Roman" w:asciiTheme="minorEastAsia" w:hAnsiTheme="minorEastAsia"/>
                <w:sz w:val="24"/>
                <w:szCs w:val="24"/>
              </w:rPr>
              <w:t>）—参考位置r</w:t>
            </w:r>
            <w:r>
              <w:rPr>
                <w:rFonts w:cs="Times New Roman" w:asciiTheme="minorEastAsia" w:hAnsiTheme="minorEastAsia"/>
                <w:sz w:val="24"/>
                <w:szCs w:val="24"/>
                <w:vertAlign w:val="subscript"/>
              </w:rPr>
              <w:t>0</w:t>
            </w:r>
            <w:r>
              <w:rPr>
                <w:rFonts w:cs="Times New Roman" w:asciiTheme="minorEastAsia" w:hAnsiTheme="minorEastAsia"/>
                <w:sz w:val="24"/>
                <w:szCs w:val="24"/>
              </w:rPr>
              <w:t>处的声压级，dB；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r—预测点距声源的距离，m；</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r</w:t>
            </w:r>
            <w:r>
              <w:rPr>
                <w:rFonts w:cs="Times New Roman" w:asciiTheme="minorEastAsia" w:hAnsiTheme="minorEastAsia"/>
                <w:sz w:val="24"/>
                <w:szCs w:val="24"/>
                <w:vertAlign w:val="subscript"/>
              </w:rPr>
              <w:t>0</w:t>
            </w:r>
            <w:r>
              <w:rPr>
                <w:rFonts w:cs="Times New Roman" w:asciiTheme="minorEastAsia" w:hAnsiTheme="minorEastAsia"/>
                <w:sz w:val="24"/>
                <w:szCs w:val="24"/>
              </w:rPr>
              <w:t>—参考位置距声源的距离，m；</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（3）噪声贡献值计算</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第i个室外声源在预测点产生的A声级为L</w:t>
            </w:r>
            <w:r>
              <w:rPr>
                <w:rFonts w:cs="Times New Roman" w:asciiTheme="minorEastAsia" w:hAnsiTheme="minorEastAsia"/>
                <w:sz w:val="24"/>
                <w:szCs w:val="24"/>
                <w:vertAlign w:val="subscript"/>
              </w:rPr>
              <w:t>Ai</w:t>
            </w:r>
            <w:r>
              <w:rPr>
                <w:rFonts w:cs="Times New Roman" w:asciiTheme="minorEastAsia" w:hAnsiTheme="minorEastAsia"/>
                <w:sz w:val="24"/>
                <w:szCs w:val="24"/>
              </w:rPr>
              <w:t>，在T时间内该声源工作时间为t</w:t>
            </w:r>
            <w:r>
              <w:rPr>
                <w:rFonts w:cs="Times New Roman" w:asciiTheme="minorEastAsia" w:hAnsiTheme="minorEastAsia"/>
                <w:sz w:val="24"/>
                <w:szCs w:val="24"/>
                <w:vertAlign w:val="subscript"/>
              </w:rPr>
              <w:t>i</w:t>
            </w:r>
            <w:r>
              <w:rPr>
                <w:rFonts w:cs="Times New Roman" w:asciiTheme="minorEastAsia" w:hAnsiTheme="minorEastAsia"/>
                <w:sz w:val="24"/>
                <w:szCs w:val="24"/>
              </w:rPr>
              <w:t>；第j个等效室外声源在预测点产生的A声级为L</w:t>
            </w:r>
            <w:r>
              <w:rPr>
                <w:rFonts w:cs="Times New Roman" w:asciiTheme="minorEastAsia" w:hAnsiTheme="minorEastAsia"/>
                <w:sz w:val="24"/>
                <w:szCs w:val="24"/>
                <w:vertAlign w:val="subscript"/>
              </w:rPr>
              <w:t>Aj</w:t>
            </w:r>
            <w:r>
              <w:rPr>
                <w:rFonts w:cs="Times New Roman" w:asciiTheme="minorEastAsia" w:hAnsiTheme="minorEastAsia"/>
                <w:sz w:val="24"/>
                <w:szCs w:val="24"/>
              </w:rPr>
              <w:t>，在T时间内该声源工作时间为t</w:t>
            </w:r>
            <w:r>
              <w:rPr>
                <w:rFonts w:cs="Times New Roman" w:asciiTheme="minorEastAsia" w:hAnsiTheme="minorEastAsia"/>
                <w:sz w:val="24"/>
                <w:szCs w:val="24"/>
                <w:vertAlign w:val="subscript"/>
              </w:rPr>
              <w:t>j</w:t>
            </w:r>
            <w:r>
              <w:rPr>
                <w:rFonts w:cs="Times New Roman" w:asciiTheme="minorEastAsia" w:hAnsiTheme="minorEastAsia"/>
                <w:sz w:val="24"/>
                <w:szCs w:val="24"/>
              </w:rPr>
              <w:t>，则扩建工程声源对预测点产生的贡献值（L</w:t>
            </w:r>
            <w:r>
              <w:rPr>
                <w:rFonts w:cs="Times New Roman" w:asciiTheme="minorEastAsia" w:hAnsiTheme="minorEastAsia"/>
                <w:sz w:val="24"/>
                <w:szCs w:val="24"/>
                <w:vertAlign w:val="subscript"/>
              </w:rPr>
              <w:t>eqg</w:t>
            </w:r>
            <w:r>
              <w:rPr>
                <w:rFonts w:cs="Times New Roman" w:asciiTheme="minorEastAsia" w:hAnsiTheme="minorEastAsia"/>
                <w:sz w:val="24"/>
                <w:szCs w:val="24"/>
              </w:rPr>
              <w:t>）为：</w:t>
            </w:r>
          </w:p>
          <w:p>
            <w:pPr>
              <w:adjustRightInd w:val="0"/>
              <w:snapToGrid w:val="0"/>
              <w:spacing w:line="360" w:lineRule="auto"/>
              <w:ind w:firstLine="480" w:firstLineChars="200"/>
              <w:rPr>
                <w:rFonts w:ascii="Times New Roman" w:hAnsi="Times New Roman" w:cs="Times New Roman"/>
                <w:kern w:val="0"/>
                <w:sz w:val="24"/>
                <w:szCs w:val="24"/>
              </w:rPr>
            </w:pPr>
            <m:oMathPara>
              <m:oMath>
                <m:sSub>
                  <m:sSubPr>
                    <m:ctrlPr>
                      <w:rPr>
                        <w:rFonts w:ascii="Cambria Math" w:hAnsi="Cambria Math" w:cs="Times New Roman"/>
                        <w:kern w:val="0"/>
                        <w:sz w:val="24"/>
                        <w:szCs w:val="24"/>
                      </w:rPr>
                    </m:ctrlPr>
                  </m:sSubPr>
                  <m:e>
                    <m:r>
                      <w:rPr>
                        <w:rFonts w:ascii="Cambria Math" w:hAnsi="Cambria Math" w:cs="Times New Roman"/>
                        <w:kern w:val="0"/>
                        <w:sz w:val="24"/>
                        <w:szCs w:val="24"/>
                      </w:rPr>
                      <m:t>L</m:t>
                    </m:r>
                    <m:ctrlPr>
                      <w:rPr>
                        <w:rFonts w:ascii="Cambria Math" w:hAnsi="Cambria Math" w:cs="Times New Roman"/>
                        <w:sz w:val="24"/>
                        <w:szCs w:val="24"/>
                      </w:rPr>
                    </m:ctrlPr>
                  </m:e>
                  <m:sub>
                    <m:r>
                      <w:rPr>
                        <w:rFonts w:ascii="Cambria Math" w:hAnsi="Cambria Math" w:cs="Times New Roman"/>
                        <w:kern w:val="0"/>
                        <w:sz w:val="24"/>
                        <w:szCs w:val="24"/>
                      </w:rPr>
                      <m:t>eqg</m:t>
                    </m:r>
                    <m:ctrlPr>
                      <w:rPr>
                        <w:rFonts w:ascii="Cambria Math" w:hAnsi="Cambria Math" w:cs="Times New Roman"/>
                        <w:sz w:val="24"/>
                        <w:szCs w:val="24"/>
                      </w:rPr>
                    </m:ctrlPr>
                  </m:sub>
                </m:sSub>
                <m:r>
                  <m:rPr>
                    <m:sty m:val="p"/>
                  </m:rPr>
                  <w:rPr>
                    <w:rFonts w:ascii="Cambria Math" w:hAnsi="Cambria Math" w:cs="Times New Roman"/>
                    <w:kern w:val="0"/>
                    <w:sz w:val="24"/>
                    <w:szCs w:val="24"/>
                  </w:rPr>
                  <m:t>=10lg⁡[</m:t>
                </m:r>
                <m:f>
                  <m:fPr>
                    <m:ctrlPr>
                      <w:rPr>
                        <w:rFonts w:ascii="Cambria Math" w:hAnsi="Cambria Math" w:cs="Times New Roman"/>
                        <w:kern w:val="0"/>
                        <w:sz w:val="24"/>
                        <w:szCs w:val="24"/>
                      </w:rPr>
                    </m:ctrlPr>
                  </m:fPr>
                  <m:num>
                    <m:r>
                      <w:rPr>
                        <w:rFonts w:ascii="Cambria Math" w:hAnsi="Cambria Math" w:cs="Times New Roman"/>
                        <w:kern w:val="0"/>
                        <w:sz w:val="24"/>
                        <w:szCs w:val="24"/>
                      </w:rPr>
                      <m:t>1</m:t>
                    </m:r>
                    <m:ctrlPr>
                      <w:rPr>
                        <w:rFonts w:ascii="Cambria Math" w:hAnsi="Cambria Math" w:cs="Times New Roman"/>
                        <w:sz w:val="24"/>
                        <w:szCs w:val="24"/>
                      </w:rPr>
                    </m:ctrlPr>
                  </m:num>
                  <m:den>
                    <m:r>
                      <w:rPr>
                        <w:rFonts w:ascii="Cambria Math" w:hAnsi="Cambria Math" w:cs="Times New Roman"/>
                        <w:kern w:val="0"/>
                        <w:sz w:val="24"/>
                        <w:szCs w:val="24"/>
                      </w:rPr>
                      <m:t>T</m:t>
                    </m:r>
                    <m:ctrlPr>
                      <w:rPr>
                        <w:rFonts w:ascii="Cambria Math" w:hAnsi="Cambria Math" w:cs="Times New Roman"/>
                        <w:sz w:val="24"/>
                        <w:szCs w:val="24"/>
                      </w:rPr>
                    </m:ctrlPr>
                  </m:den>
                </m:f>
                <m:r>
                  <w:rPr>
                    <w:rFonts w:ascii="Cambria Math" w:hAnsi="Cambria Math" w:cs="Times New Roman"/>
                    <w:kern w:val="0"/>
                    <w:sz w:val="24"/>
                    <w:szCs w:val="24"/>
                  </w:rPr>
                  <m:t>（</m:t>
                </m:r>
                <m:nary>
                  <m:naryPr>
                    <m:chr m:val="∑"/>
                    <m:limLoc m:val="undOvr"/>
                    <m:ctrlPr>
                      <w:rPr>
                        <w:rFonts w:ascii="Cambria Math" w:hAnsi="Cambria Math" w:cs="Times New Roman"/>
                        <w:i/>
                        <w:kern w:val="0"/>
                        <w:sz w:val="24"/>
                        <w:szCs w:val="24"/>
                      </w:rPr>
                    </m:ctrlPr>
                  </m:naryPr>
                  <m:sub>
                    <m:r>
                      <w:rPr>
                        <w:rFonts w:ascii="Cambria Math" w:hAnsi="Cambria Math" w:cs="Times New Roman"/>
                        <w:kern w:val="0"/>
                        <w:sz w:val="24"/>
                        <w:szCs w:val="24"/>
                      </w:rPr>
                      <m:t>i=1</m:t>
                    </m:r>
                    <m:ctrlPr>
                      <w:rPr>
                        <w:rFonts w:ascii="Cambria Math" w:hAnsi="Cambria Math" w:cs="Times New Roman"/>
                        <w:sz w:val="24"/>
                        <w:szCs w:val="24"/>
                      </w:rPr>
                    </m:ctrlPr>
                  </m:sub>
                  <m:sup>
                    <m:r>
                      <w:rPr>
                        <w:rFonts w:ascii="Cambria Math" w:hAnsi="Cambria Math" w:cs="Times New Roman"/>
                        <w:kern w:val="0"/>
                        <w:sz w:val="24"/>
                        <w:szCs w:val="24"/>
                      </w:rPr>
                      <m:t>N</m:t>
                    </m:r>
                    <m:ctrlPr>
                      <w:rPr>
                        <w:rFonts w:ascii="Cambria Math" w:hAnsi="Cambria Math" w:cs="Times New Roman"/>
                        <w:sz w:val="24"/>
                        <w:szCs w:val="24"/>
                      </w:rPr>
                    </m:ctrlPr>
                  </m:sup>
                  <m:e>
                    <m:sSub>
                      <m:sSubPr>
                        <m:ctrlPr>
                          <w:rPr>
                            <w:rFonts w:ascii="Cambria Math" w:hAnsi="Cambria Math" w:cs="Times New Roman"/>
                            <w:i/>
                            <w:kern w:val="0"/>
                            <w:sz w:val="24"/>
                            <w:szCs w:val="24"/>
                          </w:rPr>
                        </m:ctrlPr>
                      </m:sSubPr>
                      <m:e>
                        <m:r>
                          <w:rPr>
                            <w:rFonts w:ascii="Cambria Math" w:hAnsi="Cambria Math" w:cs="Times New Roman"/>
                            <w:kern w:val="0"/>
                            <w:sz w:val="24"/>
                            <w:szCs w:val="24"/>
                          </w:rPr>
                          <m:t>t</m:t>
                        </m:r>
                        <m:ctrlPr>
                          <w:rPr>
                            <w:rFonts w:ascii="Cambria Math" w:hAnsi="Cambria Math" w:cs="Times New Roman"/>
                            <w:sz w:val="24"/>
                            <w:szCs w:val="24"/>
                          </w:rPr>
                        </m:ctrlPr>
                      </m:e>
                      <m:sub>
                        <m:r>
                          <w:rPr>
                            <w:rFonts w:ascii="Cambria Math" w:hAnsi="Cambria Math" w:cs="Times New Roman"/>
                            <w:kern w:val="0"/>
                            <w:sz w:val="24"/>
                            <w:szCs w:val="24"/>
                          </w:rPr>
                          <m:t>i</m:t>
                        </m:r>
                        <m:ctrlPr>
                          <w:rPr>
                            <w:rFonts w:ascii="Cambria Math" w:hAnsi="Cambria Math" w:cs="Times New Roman"/>
                            <w:sz w:val="24"/>
                            <w:szCs w:val="24"/>
                          </w:rPr>
                        </m:ctrlPr>
                      </m:sub>
                    </m:sSub>
                    <m:ctrlPr>
                      <w:rPr>
                        <w:rFonts w:ascii="Cambria Math" w:hAnsi="Cambria Math" w:cs="Times New Roman"/>
                        <w:i/>
                        <w:kern w:val="0"/>
                        <w:sz w:val="24"/>
                        <w:szCs w:val="24"/>
                      </w:rPr>
                    </m:ctrlPr>
                  </m:e>
                </m:nary>
                <m:sSup>
                  <m:sSupPr>
                    <m:ctrlPr>
                      <w:rPr>
                        <w:rFonts w:ascii="Cambria Math" w:hAnsi="Cambria Math" w:cs="Times New Roman"/>
                        <w:i/>
                        <w:kern w:val="0"/>
                        <w:sz w:val="24"/>
                        <w:szCs w:val="24"/>
                      </w:rPr>
                    </m:ctrlPr>
                  </m:sSupPr>
                  <m:e>
                    <m:r>
                      <w:rPr>
                        <w:rFonts w:ascii="Cambria Math" w:hAnsi="Cambria Math" w:cs="Times New Roman"/>
                        <w:kern w:val="0"/>
                        <w:sz w:val="24"/>
                        <w:szCs w:val="24"/>
                      </w:rPr>
                      <m:t>10</m:t>
                    </m:r>
                    <m:ctrlPr>
                      <w:rPr>
                        <w:rFonts w:ascii="Cambria Math" w:hAnsi="Cambria Math" w:cs="Times New Roman"/>
                        <w:i/>
                        <w:kern w:val="0"/>
                        <w:sz w:val="24"/>
                        <w:szCs w:val="24"/>
                      </w:rPr>
                    </m:ctrlPr>
                  </m:e>
                  <m:sup>
                    <m:r>
                      <w:rPr>
                        <w:rFonts w:ascii="Cambria Math" w:hAnsi="Cambria Math" w:cs="Times New Roman"/>
                        <w:kern w:val="0"/>
                        <w:sz w:val="24"/>
                        <w:szCs w:val="24"/>
                      </w:rPr>
                      <m:t>0.1</m:t>
                    </m:r>
                    <m:sSub>
                      <m:sSubPr>
                        <m:ctrlPr>
                          <w:rPr>
                            <w:rFonts w:ascii="Cambria Math" w:hAnsi="Cambria Math" w:cs="Times New Roman"/>
                            <w:i/>
                            <w:kern w:val="0"/>
                            <w:sz w:val="24"/>
                            <w:szCs w:val="24"/>
                          </w:rPr>
                        </m:ctrlPr>
                      </m:sSubPr>
                      <m:e>
                        <m:r>
                          <w:rPr>
                            <w:rFonts w:ascii="Cambria Math" w:hAnsi="Cambria Math" w:cs="Times New Roman"/>
                            <w:kern w:val="0"/>
                            <w:sz w:val="24"/>
                            <w:szCs w:val="24"/>
                          </w:rPr>
                          <m:t>L</m:t>
                        </m:r>
                        <m:ctrlPr>
                          <w:rPr>
                            <w:rFonts w:ascii="Cambria Math" w:hAnsi="Cambria Math" w:cs="Times New Roman"/>
                            <w:sz w:val="24"/>
                            <w:szCs w:val="24"/>
                          </w:rPr>
                        </m:ctrlPr>
                      </m:e>
                      <m:sub>
                        <m:r>
                          <w:rPr>
                            <w:rFonts w:ascii="Cambria Math" w:hAnsi="Cambria Math" w:cs="Times New Roman"/>
                            <w:kern w:val="0"/>
                            <w:sz w:val="24"/>
                            <w:szCs w:val="24"/>
                          </w:rPr>
                          <m:t>Ai</m:t>
                        </m:r>
                        <m:ctrlPr>
                          <w:rPr>
                            <w:rFonts w:ascii="Cambria Math" w:hAnsi="Cambria Math" w:cs="Times New Roman"/>
                            <w:sz w:val="24"/>
                            <w:szCs w:val="24"/>
                          </w:rPr>
                        </m:ctrlPr>
                      </m:sub>
                    </m:sSub>
                    <m:ctrlPr>
                      <w:rPr>
                        <w:rFonts w:ascii="Cambria Math" w:hAnsi="Cambria Math" w:cs="Times New Roman"/>
                        <w:i/>
                        <w:kern w:val="0"/>
                        <w:sz w:val="24"/>
                        <w:szCs w:val="24"/>
                      </w:rPr>
                    </m:ctrlPr>
                  </m:sup>
                </m:sSup>
                <m:r>
                  <w:rPr>
                    <w:rFonts w:ascii="Cambria Math" w:hAnsi="Cambria Math" w:cs="Times New Roman"/>
                    <w:kern w:val="0"/>
                    <w:sz w:val="24"/>
                    <w:szCs w:val="24"/>
                  </w:rPr>
                  <m:t>+</m:t>
                </m:r>
                <m:nary>
                  <m:naryPr>
                    <m:chr m:val="∑"/>
                    <m:limLoc m:val="undOvr"/>
                    <m:ctrlPr>
                      <w:rPr>
                        <w:rFonts w:ascii="Cambria Math" w:hAnsi="Cambria Math" w:cs="Times New Roman"/>
                        <w:i/>
                        <w:kern w:val="0"/>
                        <w:sz w:val="24"/>
                        <w:szCs w:val="24"/>
                      </w:rPr>
                    </m:ctrlPr>
                  </m:naryPr>
                  <m:sub>
                    <m:r>
                      <w:rPr>
                        <w:rFonts w:ascii="Cambria Math" w:hAnsi="Cambria Math" w:cs="Times New Roman"/>
                        <w:kern w:val="0"/>
                        <w:sz w:val="24"/>
                        <w:szCs w:val="24"/>
                      </w:rPr>
                      <m:t>j=1</m:t>
                    </m:r>
                    <m:ctrlPr>
                      <w:rPr>
                        <w:rFonts w:ascii="Cambria Math" w:hAnsi="Cambria Math" w:cs="Times New Roman"/>
                        <w:i/>
                        <w:kern w:val="0"/>
                        <w:sz w:val="24"/>
                        <w:szCs w:val="24"/>
                      </w:rPr>
                    </m:ctrlPr>
                  </m:sub>
                  <m:sup>
                    <m:r>
                      <w:rPr>
                        <w:rFonts w:ascii="Cambria Math" w:hAnsi="Cambria Math" w:cs="Times New Roman"/>
                        <w:kern w:val="0"/>
                        <w:sz w:val="24"/>
                        <w:szCs w:val="24"/>
                      </w:rPr>
                      <m:t>M</m:t>
                    </m:r>
                    <m:ctrlPr>
                      <w:rPr>
                        <w:rFonts w:ascii="Cambria Math" w:hAnsi="Cambria Math" w:cs="Times New Roman"/>
                        <w:i/>
                        <w:kern w:val="0"/>
                        <w:sz w:val="24"/>
                        <w:szCs w:val="24"/>
                      </w:rPr>
                    </m:ctrlPr>
                  </m:sup>
                  <m:e>
                    <m:sSub>
                      <m:sSubPr>
                        <m:ctrlPr>
                          <w:rPr>
                            <w:rFonts w:ascii="Cambria Math" w:hAnsi="Cambria Math" w:cs="Times New Roman"/>
                            <w:i/>
                            <w:kern w:val="0"/>
                            <w:sz w:val="24"/>
                            <w:szCs w:val="24"/>
                          </w:rPr>
                        </m:ctrlPr>
                      </m:sSubPr>
                      <m:e>
                        <m:r>
                          <w:rPr>
                            <w:rFonts w:ascii="Cambria Math" w:hAnsi="Cambria Math" w:cs="Times New Roman"/>
                            <w:kern w:val="0"/>
                            <w:sz w:val="24"/>
                            <w:szCs w:val="24"/>
                          </w:rPr>
                          <m:t>t</m:t>
                        </m:r>
                        <m:ctrlPr>
                          <w:rPr>
                            <w:rFonts w:ascii="Cambria Math" w:hAnsi="Cambria Math" w:cs="Times New Roman"/>
                            <w:sz w:val="24"/>
                            <w:szCs w:val="24"/>
                          </w:rPr>
                        </m:ctrlPr>
                      </m:e>
                      <m:sub>
                        <m:r>
                          <w:rPr>
                            <w:rFonts w:ascii="Cambria Math" w:hAnsi="Cambria Math" w:cs="Times New Roman"/>
                            <w:kern w:val="0"/>
                            <w:sz w:val="24"/>
                            <w:szCs w:val="24"/>
                          </w:rPr>
                          <m:t>j</m:t>
                        </m:r>
                        <m:ctrlPr>
                          <w:rPr>
                            <w:rFonts w:ascii="Cambria Math" w:hAnsi="Cambria Math" w:cs="Times New Roman"/>
                            <w:sz w:val="24"/>
                            <w:szCs w:val="24"/>
                          </w:rPr>
                        </m:ctrlPr>
                      </m:sub>
                    </m:sSub>
                    <m:ctrlPr>
                      <w:rPr>
                        <w:rFonts w:ascii="Cambria Math" w:hAnsi="Cambria Math" w:cs="Times New Roman"/>
                        <w:i/>
                        <w:kern w:val="0"/>
                        <w:sz w:val="24"/>
                        <w:szCs w:val="24"/>
                      </w:rPr>
                    </m:ctrlPr>
                  </m:e>
                </m:nary>
                <m:sSup>
                  <m:sSupPr>
                    <m:ctrlPr>
                      <w:rPr>
                        <w:rFonts w:ascii="Cambria Math" w:hAnsi="Cambria Math" w:cs="Times New Roman"/>
                        <w:i/>
                        <w:kern w:val="0"/>
                        <w:sz w:val="24"/>
                        <w:szCs w:val="24"/>
                      </w:rPr>
                    </m:ctrlPr>
                  </m:sSupPr>
                  <m:e>
                    <m:r>
                      <w:rPr>
                        <w:rFonts w:ascii="Cambria Math" w:hAnsi="Cambria Math" w:cs="Times New Roman"/>
                        <w:kern w:val="0"/>
                        <w:sz w:val="24"/>
                        <w:szCs w:val="24"/>
                      </w:rPr>
                      <m:t>10</m:t>
                    </m:r>
                    <m:ctrlPr>
                      <w:rPr>
                        <w:rFonts w:ascii="Cambria Math" w:hAnsi="Cambria Math" w:cs="Times New Roman"/>
                        <w:i/>
                        <w:kern w:val="0"/>
                        <w:sz w:val="24"/>
                        <w:szCs w:val="24"/>
                      </w:rPr>
                    </m:ctrlPr>
                  </m:e>
                  <m:sup>
                    <m:r>
                      <w:rPr>
                        <w:rFonts w:ascii="Cambria Math" w:hAnsi="Cambria Math" w:cs="Times New Roman"/>
                        <w:kern w:val="0"/>
                        <w:sz w:val="24"/>
                        <w:szCs w:val="24"/>
                      </w:rPr>
                      <m:t>0.1</m:t>
                    </m:r>
                    <m:sSub>
                      <m:sSubPr>
                        <m:ctrlPr>
                          <w:rPr>
                            <w:rFonts w:ascii="Cambria Math" w:hAnsi="Cambria Math" w:cs="Times New Roman"/>
                            <w:i/>
                            <w:kern w:val="0"/>
                            <w:sz w:val="24"/>
                            <w:szCs w:val="24"/>
                          </w:rPr>
                        </m:ctrlPr>
                      </m:sSubPr>
                      <m:e>
                        <m:r>
                          <w:rPr>
                            <w:rFonts w:ascii="Cambria Math" w:hAnsi="Cambria Math" w:cs="Times New Roman"/>
                            <w:kern w:val="0"/>
                            <w:sz w:val="24"/>
                            <w:szCs w:val="24"/>
                          </w:rPr>
                          <m:t>L</m:t>
                        </m:r>
                        <m:ctrlPr>
                          <w:rPr>
                            <w:rFonts w:ascii="Cambria Math" w:hAnsi="Cambria Math" w:cs="Times New Roman"/>
                            <w:sz w:val="24"/>
                            <w:szCs w:val="24"/>
                          </w:rPr>
                        </m:ctrlPr>
                      </m:e>
                      <m:sub>
                        <m:r>
                          <w:rPr>
                            <w:rFonts w:ascii="Cambria Math" w:hAnsi="Cambria Math" w:cs="Times New Roman"/>
                            <w:kern w:val="0"/>
                            <w:sz w:val="24"/>
                            <w:szCs w:val="24"/>
                          </w:rPr>
                          <m:t>Aj</m:t>
                        </m:r>
                        <m:ctrlPr>
                          <w:rPr>
                            <w:rFonts w:ascii="Cambria Math" w:hAnsi="Cambria Math" w:cs="Times New Roman"/>
                            <w:sz w:val="24"/>
                            <w:szCs w:val="24"/>
                          </w:rPr>
                        </m:ctrlPr>
                      </m:sub>
                    </m:sSub>
                    <m:ctrlPr>
                      <w:rPr>
                        <w:rFonts w:ascii="Cambria Math" w:hAnsi="Cambria Math" w:cs="Times New Roman"/>
                        <w:i/>
                        <w:kern w:val="0"/>
                        <w:sz w:val="24"/>
                        <w:szCs w:val="24"/>
                      </w:rPr>
                    </m:ctrlPr>
                  </m:sup>
                </m:sSup>
                <m:r>
                  <w:rPr>
                    <w:rFonts w:ascii="Cambria Math" w:hAnsi="Cambria Math" w:cs="Times New Roman"/>
                    <w:kern w:val="0"/>
                    <w:sz w:val="24"/>
                    <w:szCs w:val="24"/>
                  </w:rPr>
                  <m:t>）</m:t>
                </m:r>
              </m:oMath>
            </m:oMathPara>
          </w:p>
          <w:p>
            <w:pPr>
              <w:adjustRightInd w:val="0"/>
              <w:snapToGrid w:val="0"/>
              <w:spacing w:line="360" w:lineRule="auto"/>
              <w:ind w:firstLine="480" w:firstLineChars="200"/>
              <w:rPr>
                <w:rFonts w:ascii="Times New Roman" w:hAnsi="Times New Roman" w:cs="Times New Roman"/>
                <w:kern w:val="0"/>
                <w:sz w:val="24"/>
                <w:szCs w:val="24"/>
              </w:rPr>
            </w:pP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式中：L</w:t>
            </w:r>
            <w:r>
              <w:rPr>
                <w:rFonts w:cs="Times New Roman" w:asciiTheme="minorEastAsia" w:hAnsiTheme="minorEastAsia"/>
                <w:sz w:val="24"/>
                <w:szCs w:val="24"/>
                <w:vertAlign w:val="subscript"/>
              </w:rPr>
              <w:t>eqg</w:t>
            </w:r>
            <w:r>
              <w:rPr>
                <w:rFonts w:cs="Times New Roman" w:asciiTheme="minorEastAsia" w:hAnsiTheme="minorEastAsia"/>
                <w:sz w:val="24"/>
                <w:szCs w:val="24"/>
              </w:rPr>
              <w:t>——建设项目声源在预测点产生的噪声贡献值，dB；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T ——用于计算等效声级的时间，s；</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N ——室外声源个数；</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t</w:t>
            </w:r>
            <w:r>
              <w:rPr>
                <w:rFonts w:cs="Times New Roman" w:asciiTheme="minorEastAsia" w:hAnsiTheme="minorEastAsia"/>
                <w:sz w:val="24"/>
                <w:szCs w:val="24"/>
                <w:vertAlign w:val="subscript"/>
              </w:rPr>
              <w:t>i</w:t>
            </w:r>
            <w:r>
              <w:rPr>
                <w:rFonts w:cs="Times New Roman" w:asciiTheme="minorEastAsia" w:hAnsiTheme="minorEastAsia"/>
                <w:sz w:val="24"/>
                <w:szCs w:val="24"/>
              </w:rPr>
              <w:t>——在T时间内i声源工作时间，s；</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M ——等效室外声源个数；</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t</w:t>
            </w:r>
            <w:r>
              <w:rPr>
                <w:rFonts w:cs="Times New Roman" w:asciiTheme="minorEastAsia" w:hAnsiTheme="minorEastAsia"/>
                <w:sz w:val="24"/>
                <w:szCs w:val="24"/>
                <w:vertAlign w:val="subscript"/>
              </w:rPr>
              <w:t>j</w:t>
            </w:r>
            <w:r>
              <w:rPr>
                <w:rFonts w:cs="Times New Roman" w:asciiTheme="minorEastAsia" w:hAnsiTheme="minorEastAsia"/>
                <w:sz w:val="24"/>
                <w:szCs w:val="24"/>
              </w:rPr>
              <w:t>——在T时间内j声源工作时间，s。</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（4）噪声预测值计算</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预测点的贡献值和背景值按能量叠加方法计算得到的声级。</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噪声预测值（L</w:t>
            </w:r>
            <w:r>
              <w:rPr>
                <w:rFonts w:cs="Times New Roman" w:asciiTheme="minorEastAsia" w:hAnsiTheme="minorEastAsia"/>
                <w:sz w:val="24"/>
                <w:szCs w:val="24"/>
                <w:vertAlign w:val="subscript"/>
              </w:rPr>
              <w:t>eq</w:t>
            </w:r>
            <w:r>
              <w:rPr>
                <w:rFonts w:cs="Times New Roman" w:asciiTheme="minorEastAsia" w:hAnsiTheme="minorEastAsia"/>
                <w:sz w:val="24"/>
                <w:szCs w:val="24"/>
              </w:rPr>
              <w:t>）计算公式为：</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L</w:t>
            </w:r>
            <w:r>
              <w:rPr>
                <w:rFonts w:cs="Times New Roman" w:asciiTheme="minorEastAsia" w:hAnsiTheme="minorEastAsia"/>
                <w:sz w:val="24"/>
                <w:szCs w:val="24"/>
                <w:vertAlign w:val="subscript"/>
              </w:rPr>
              <w:t>eq</w:t>
            </w:r>
            <w:r>
              <w:rPr>
                <w:rFonts w:cs="Times New Roman" w:asciiTheme="minorEastAsia" w:hAnsiTheme="minorEastAsia"/>
                <w:sz w:val="24"/>
                <w:szCs w:val="24"/>
              </w:rPr>
              <w:t>=10lg（10</w:t>
            </w:r>
            <w:r>
              <w:rPr>
                <w:rFonts w:cs="Times New Roman" w:asciiTheme="minorEastAsia" w:hAnsiTheme="minorEastAsia"/>
                <w:sz w:val="24"/>
                <w:szCs w:val="24"/>
                <w:vertAlign w:val="superscript"/>
              </w:rPr>
              <w:t>0.1Leqg</w:t>
            </w:r>
            <w:r>
              <w:rPr>
                <w:rFonts w:cs="Times New Roman" w:asciiTheme="minorEastAsia" w:hAnsiTheme="minorEastAsia"/>
                <w:sz w:val="24"/>
                <w:szCs w:val="24"/>
              </w:rPr>
              <w:t>+10</w:t>
            </w:r>
            <w:r>
              <w:rPr>
                <w:rFonts w:cs="Times New Roman" w:asciiTheme="minorEastAsia" w:hAnsiTheme="minorEastAsia"/>
                <w:sz w:val="24"/>
                <w:szCs w:val="24"/>
                <w:vertAlign w:val="superscript"/>
              </w:rPr>
              <w:t>0.1Leqb</w:t>
            </w:r>
            <w:r>
              <w:rPr>
                <w:rFonts w:cs="Times New Roman" w:asciiTheme="minorEastAsia" w:hAnsiTheme="minorEastAsia"/>
                <w:sz w:val="24"/>
                <w:szCs w:val="24"/>
              </w:rPr>
              <w:t>）</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式中：L</w:t>
            </w:r>
            <w:r>
              <w:rPr>
                <w:rFonts w:cs="Times New Roman" w:asciiTheme="minorEastAsia" w:hAnsiTheme="minorEastAsia"/>
                <w:sz w:val="24"/>
                <w:szCs w:val="24"/>
                <w:vertAlign w:val="subscript"/>
              </w:rPr>
              <w:t>eq</w:t>
            </w:r>
            <w:r>
              <w:rPr>
                <w:rFonts w:cs="Times New Roman" w:asciiTheme="minorEastAsia" w:hAnsiTheme="minorEastAsia"/>
                <w:sz w:val="24"/>
                <w:szCs w:val="24"/>
              </w:rPr>
              <w:t>——预测点的噪声预测值，dB；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L</w:t>
            </w:r>
            <w:r>
              <w:rPr>
                <w:rFonts w:cs="Times New Roman" w:asciiTheme="minorEastAsia" w:hAnsiTheme="minorEastAsia"/>
                <w:sz w:val="24"/>
                <w:szCs w:val="24"/>
                <w:vertAlign w:val="subscript"/>
              </w:rPr>
              <w:t>eqg</w:t>
            </w:r>
            <w:r>
              <w:rPr>
                <w:rFonts w:cs="Times New Roman" w:asciiTheme="minorEastAsia" w:hAnsiTheme="minorEastAsia"/>
                <w:sz w:val="24"/>
                <w:szCs w:val="24"/>
              </w:rPr>
              <w:t>——建设项目声源在预测点产生的噪声贡献值，dB；</w:t>
            </w:r>
          </w:p>
          <w:p>
            <w:pPr>
              <w:adjustRightInd w:val="0"/>
              <w:snapToGrid w:val="0"/>
              <w:spacing w:line="36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L</w:t>
            </w:r>
            <w:r>
              <w:rPr>
                <w:rFonts w:cs="Times New Roman" w:asciiTheme="minorEastAsia" w:hAnsiTheme="minorEastAsia"/>
                <w:sz w:val="24"/>
                <w:szCs w:val="24"/>
                <w:vertAlign w:val="subscript"/>
              </w:rPr>
              <w:t>eqb</w:t>
            </w:r>
            <w:r>
              <w:rPr>
                <w:rFonts w:cs="Times New Roman" w:asciiTheme="minorEastAsia" w:hAnsiTheme="minorEastAsia"/>
                <w:sz w:val="24"/>
                <w:szCs w:val="24"/>
              </w:rPr>
              <w:t>——预测点的背景噪声值，dB。</w:t>
            </w:r>
          </w:p>
          <w:p>
            <w:pPr>
              <w:pStyle w:val="4075"/>
              <w:numPr>
                <w:ilvl w:val="0"/>
                <w:numId w:val="19"/>
              </w:numPr>
            </w:pPr>
            <w:r>
              <w:rPr>
                <w:rFonts w:hint="eastAsia"/>
              </w:rPr>
              <w:t>预测结果</w:t>
            </w:r>
          </w:p>
          <w:p>
            <w:pPr>
              <w:pStyle w:val="160"/>
              <w:ind w:firstLine="480"/>
            </w:pPr>
            <w:r>
              <w:rPr>
                <w:rFonts w:hint="eastAsia"/>
              </w:rPr>
              <w:t>扩建项目设备经减振、消声、建筑物等综合隔声及距离衰减后，厂界噪声值预测结果见表4.4-4。</w:t>
            </w:r>
          </w:p>
          <w:p>
            <w:pPr>
              <w:jc w:val="center"/>
            </w:pPr>
            <w:r>
              <w:t>表</w:t>
            </w:r>
            <w:r>
              <w:rPr>
                <w:rFonts w:hint="eastAsia"/>
              </w:rPr>
              <w:t xml:space="preserve">4.4-4  </w:t>
            </w:r>
            <w:r>
              <w:t>噪声影响预测结果       单位：dB（A）</w:t>
            </w:r>
          </w:p>
          <w:tbl>
            <w:tblPr>
              <w:tblStyle w:val="88"/>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1083"/>
              <w:gridCol w:w="708"/>
              <w:gridCol w:w="1134"/>
              <w:gridCol w:w="1276"/>
              <w:gridCol w:w="851"/>
              <w:gridCol w:w="861"/>
              <w:gridCol w:w="806"/>
              <w:gridCol w:w="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序号</w:t>
                  </w:r>
                </w:p>
              </w:tc>
              <w:tc>
                <w:tcPr>
                  <w:tcW w:w="1083"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预测点</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时段</w:t>
                  </w:r>
                </w:p>
              </w:tc>
              <w:tc>
                <w:tcPr>
                  <w:tcW w:w="1134"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扩建项目贡献值</w:t>
                  </w:r>
                </w:p>
              </w:tc>
              <w:tc>
                <w:tcPr>
                  <w:tcW w:w="127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原项目噪声贡献值</w:t>
                  </w:r>
                </w:p>
              </w:tc>
              <w:tc>
                <w:tcPr>
                  <w:tcW w:w="85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贡献叠加值</w:t>
                  </w:r>
                </w:p>
              </w:tc>
              <w:tc>
                <w:tcPr>
                  <w:tcW w:w="86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较现状增加量</w:t>
                  </w:r>
                </w:p>
              </w:tc>
              <w:tc>
                <w:tcPr>
                  <w:tcW w:w="80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标准值</w:t>
                  </w:r>
                </w:p>
              </w:tc>
              <w:tc>
                <w:tcPr>
                  <w:tcW w:w="98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1</w:t>
                  </w:r>
                </w:p>
              </w:tc>
              <w:tc>
                <w:tcPr>
                  <w:tcW w:w="1083"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北厂界</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昼间</w:t>
                  </w:r>
                </w:p>
              </w:tc>
              <w:tc>
                <w:tcPr>
                  <w:tcW w:w="1134"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62.3 </w:t>
                  </w:r>
                </w:p>
              </w:tc>
              <w:tc>
                <w:tcPr>
                  <w:tcW w:w="127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56</w:t>
                  </w:r>
                </w:p>
              </w:tc>
              <w:tc>
                <w:tcPr>
                  <w:tcW w:w="85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63.2 </w:t>
                  </w:r>
                </w:p>
              </w:tc>
              <w:tc>
                <w:tcPr>
                  <w:tcW w:w="86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7.2 </w:t>
                  </w:r>
                </w:p>
              </w:tc>
              <w:tc>
                <w:tcPr>
                  <w:tcW w:w="80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65</w:t>
                  </w:r>
                </w:p>
              </w:tc>
              <w:tc>
                <w:tcPr>
                  <w:tcW w:w="98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2</w:t>
                  </w:r>
                </w:p>
              </w:tc>
              <w:tc>
                <w:tcPr>
                  <w:tcW w:w="1083"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西厂界</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昼间</w:t>
                  </w:r>
                </w:p>
              </w:tc>
              <w:tc>
                <w:tcPr>
                  <w:tcW w:w="1134"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48.4 </w:t>
                  </w:r>
                </w:p>
              </w:tc>
              <w:tc>
                <w:tcPr>
                  <w:tcW w:w="127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56</w:t>
                  </w:r>
                </w:p>
              </w:tc>
              <w:tc>
                <w:tcPr>
                  <w:tcW w:w="85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56.7 </w:t>
                  </w:r>
                </w:p>
              </w:tc>
              <w:tc>
                <w:tcPr>
                  <w:tcW w:w="86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0.7 </w:t>
                  </w:r>
                </w:p>
              </w:tc>
              <w:tc>
                <w:tcPr>
                  <w:tcW w:w="80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65</w:t>
                  </w:r>
                </w:p>
              </w:tc>
              <w:tc>
                <w:tcPr>
                  <w:tcW w:w="98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3</w:t>
                  </w:r>
                </w:p>
              </w:tc>
              <w:tc>
                <w:tcPr>
                  <w:tcW w:w="1083"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南厂界</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昼间</w:t>
                  </w:r>
                </w:p>
              </w:tc>
              <w:tc>
                <w:tcPr>
                  <w:tcW w:w="1134"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57.5 </w:t>
                  </w:r>
                </w:p>
              </w:tc>
              <w:tc>
                <w:tcPr>
                  <w:tcW w:w="127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56</w:t>
                  </w:r>
                </w:p>
              </w:tc>
              <w:tc>
                <w:tcPr>
                  <w:tcW w:w="85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59.8 </w:t>
                  </w:r>
                </w:p>
              </w:tc>
              <w:tc>
                <w:tcPr>
                  <w:tcW w:w="86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3.8 </w:t>
                  </w:r>
                </w:p>
              </w:tc>
              <w:tc>
                <w:tcPr>
                  <w:tcW w:w="80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65</w:t>
                  </w:r>
                </w:p>
              </w:tc>
              <w:tc>
                <w:tcPr>
                  <w:tcW w:w="98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4</w:t>
                  </w:r>
                </w:p>
              </w:tc>
              <w:tc>
                <w:tcPr>
                  <w:tcW w:w="1083"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东厂界</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昼间</w:t>
                  </w:r>
                </w:p>
              </w:tc>
              <w:tc>
                <w:tcPr>
                  <w:tcW w:w="1134"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59.5 </w:t>
                  </w:r>
                </w:p>
              </w:tc>
              <w:tc>
                <w:tcPr>
                  <w:tcW w:w="127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56</w:t>
                  </w:r>
                </w:p>
              </w:tc>
              <w:tc>
                <w:tcPr>
                  <w:tcW w:w="85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61.1 </w:t>
                  </w:r>
                </w:p>
              </w:tc>
              <w:tc>
                <w:tcPr>
                  <w:tcW w:w="86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 xml:space="preserve">5.1 </w:t>
                  </w:r>
                </w:p>
              </w:tc>
              <w:tc>
                <w:tcPr>
                  <w:tcW w:w="806"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65</w:t>
                  </w:r>
                </w:p>
              </w:tc>
              <w:tc>
                <w:tcPr>
                  <w:tcW w:w="981"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5</w:t>
                  </w:r>
                </w:p>
              </w:tc>
              <w:tc>
                <w:tcPr>
                  <w:tcW w:w="1083" w:type="dxa"/>
                  <w:shd w:val="clear" w:color="auto" w:fill="auto"/>
                  <w:noWrap/>
                  <w:vAlign w:val="center"/>
                </w:tcPr>
                <w:p>
                  <w:pPr>
                    <w:widowControl/>
                    <w:jc w:val="center"/>
                    <w:rPr>
                      <w:rFonts w:ascii="宋体" w:hAnsi="宋体" w:eastAsia="宋体" w:cs="宋体"/>
                      <w:kern w:val="0"/>
                    </w:rPr>
                  </w:pPr>
                  <w:r>
                    <w:rPr>
                      <w:rFonts w:hint="eastAsia"/>
                    </w:rPr>
                    <w:t>姜家岩还建房</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昼间</w:t>
                  </w:r>
                </w:p>
              </w:tc>
              <w:tc>
                <w:tcPr>
                  <w:tcW w:w="1134" w:type="dxa"/>
                  <w:shd w:val="clear" w:color="auto" w:fill="auto"/>
                  <w:noWrap/>
                  <w:vAlign w:val="center"/>
                </w:tcPr>
                <w:p>
                  <w:pPr>
                    <w:jc w:val="center"/>
                    <w:rPr>
                      <w:rFonts w:ascii="宋体" w:hAnsi="宋体" w:eastAsia="宋体" w:cs="宋体"/>
                      <w:color w:val="000000"/>
                    </w:rPr>
                  </w:pPr>
                  <w:r>
                    <w:rPr>
                      <w:rFonts w:hint="eastAsia"/>
                      <w:color w:val="000000"/>
                    </w:rPr>
                    <w:t xml:space="preserve">51.4 </w:t>
                  </w:r>
                </w:p>
              </w:tc>
              <w:tc>
                <w:tcPr>
                  <w:tcW w:w="1276" w:type="dxa"/>
                  <w:shd w:val="clear" w:color="auto" w:fill="auto"/>
                  <w:noWrap/>
                  <w:vAlign w:val="center"/>
                </w:tcPr>
                <w:p>
                  <w:pPr>
                    <w:jc w:val="center"/>
                    <w:rPr>
                      <w:rFonts w:ascii="宋体" w:hAnsi="宋体" w:eastAsia="宋体" w:cs="宋体"/>
                      <w:color w:val="000000"/>
                    </w:rPr>
                  </w:pPr>
                  <w:r>
                    <w:rPr>
                      <w:rFonts w:hint="eastAsia"/>
                      <w:color w:val="000000"/>
                    </w:rPr>
                    <w:t>56</w:t>
                  </w:r>
                </w:p>
              </w:tc>
              <w:tc>
                <w:tcPr>
                  <w:tcW w:w="851" w:type="dxa"/>
                  <w:shd w:val="clear" w:color="auto" w:fill="auto"/>
                  <w:noWrap/>
                  <w:vAlign w:val="center"/>
                </w:tcPr>
                <w:p>
                  <w:pPr>
                    <w:jc w:val="center"/>
                    <w:rPr>
                      <w:rFonts w:ascii="宋体" w:hAnsi="宋体" w:eastAsia="宋体" w:cs="宋体"/>
                      <w:color w:val="000000"/>
                    </w:rPr>
                  </w:pPr>
                  <w:r>
                    <w:rPr>
                      <w:rFonts w:hint="eastAsia"/>
                      <w:color w:val="000000"/>
                    </w:rPr>
                    <w:t xml:space="preserve">57.3 </w:t>
                  </w:r>
                </w:p>
              </w:tc>
              <w:tc>
                <w:tcPr>
                  <w:tcW w:w="861" w:type="dxa"/>
                  <w:shd w:val="clear" w:color="auto" w:fill="auto"/>
                  <w:noWrap/>
                  <w:vAlign w:val="center"/>
                </w:tcPr>
                <w:p>
                  <w:pPr>
                    <w:jc w:val="center"/>
                    <w:rPr>
                      <w:rFonts w:ascii="宋体" w:hAnsi="宋体" w:eastAsia="宋体" w:cs="宋体"/>
                      <w:color w:val="000000"/>
                    </w:rPr>
                  </w:pPr>
                  <w:r>
                    <w:rPr>
                      <w:rFonts w:hint="eastAsia"/>
                      <w:color w:val="000000"/>
                    </w:rPr>
                    <w:t xml:space="preserve">1.3 </w:t>
                  </w:r>
                </w:p>
              </w:tc>
              <w:tc>
                <w:tcPr>
                  <w:tcW w:w="806" w:type="dxa"/>
                  <w:shd w:val="clear" w:color="auto" w:fill="auto"/>
                  <w:noWrap/>
                  <w:vAlign w:val="center"/>
                </w:tcPr>
                <w:p>
                  <w:pPr>
                    <w:jc w:val="center"/>
                    <w:rPr>
                      <w:rFonts w:ascii="宋体" w:hAnsi="宋体" w:eastAsia="宋体" w:cs="宋体"/>
                      <w:color w:val="000000"/>
                    </w:rPr>
                  </w:pPr>
                  <w:r>
                    <w:rPr>
                      <w:rFonts w:hint="eastAsia"/>
                      <w:color w:val="000000"/>
                    </w:rPr>
                    <w:t>60</w:t>
                  </w:r>
                </w:p>
              </w:tc>
              <w:tc>
                <w:tcPr>
                  <w:tcW w:w="981" w:type="dxa"/>
                  <w:shd w:val="clear" w:color="auto" w:fill="auto"/>
                  <w:noWrap/>
                  <w:vAlign w:val="center"/>
                </w:tcPr>
                <w:p>
                  <w:pPr>
                    <w:jc w:val="center"/>
                    <w:rPr>
                      <w:rFonts w:ascii="宋体" w:hAnsi="宋体" w:eastAsia="宋体" w:cs="宋体"/>
                      <w:color w:val="000000"/>
                    </w:rPr>
                  </w:pPr>
                  <w:r>
                    <w:rPr>
                      <w:rFonts w:hint="eastAsia"/>
                      <w:color w:val="00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6</w:t>
                  </w:r>
                </w:p>
              </w:tc>
              <w:tc>
                <w:tcPr>
                  <w:tcW w:w="1083" w:type="dxa"/>
                  <w:shd w:val="clear" w:color="auto" w:fill="auto"/>
                  <w:noWrap/>
                  <w:vAlign w:val="center"/>
                </w:tcPr>
                <w:p>
                  <w:pPr>
                    <w:pStyle w:val="164"/>
                    <w:rPr>
                      <w:color w:val="auto"/>
                    </w:rPr>
                  </w:pPr>
                  <w:r>
                    <w:rPr>
                      <w:rFonts w:hint="eastAsia"/>
                      <w:color w:val="auto"/>
                    </w:rPr>
                    <w:t>东城卫生中心</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昼间</w:t>
                  </w:r>
                </w:p>
              </w:tc>
              <w:tc>
                <w:tcPr>
                  <w:tcW w:w="1134" w:type="dxa"/>
                  <w:shd w:val="clear" w:color="auto" w:fill="auto"/>
                  <w:noWrap/>
                  <w:vAlign w:val="center"/>
                </w:tcPr>
                <w:p>
                  <w:pPr>
                    <w:jc w:val="center"/>
                    <w:rPr>
                      <w:rFonts w:ascii="宋体" w:hAnsi="宋体" w:eastAsia="宋体" w:cs="宋体"/>
                      <w:color w:val="000000"/>
                    </w:rPr>
                  </w:pPr>
                  <w:r>
                    <w:rPr>
                      <w:rFonts w:hint="eastAsia"/>
                      <w:color w:val="000000"/>
                    </w:rPr>
                    <w:t xml:space="preserve">51.4 </w:t>
                  </w:r>
                </w:p>
              </w:tc>
              <w:tc>
                <w:tcPr>
                  <w:tcW w:w="1276" w:type="dxa"/>
                  <w:shd w:val="clear" w:color="auto" w:fill="auto"/>
                  <w:noWrap/>
                  <w:vAlign w:val="center"/>
                </w:tcPr>
                <w:p>
                  <w:pPr>
                    <w:jc w:val="center"/>
                    <w:rPr>
                      <w:rFonts w:ascii="宋体" w:hAnsi="宋体" w:eastAsia="宋体" w:cs="宋体"/>
                      <w:color w:val="000000"/>
                    </w:rPr>
                  </w:pPr>
                  <w:r>
                    <w:rPr>
                      <w:rFonts w:hint="eastAsia"/>
                      <w:color w:val="000000"/>
                    </w:rPr>
                    <w:t>56</w:t>
                  </w:r>
                </w:p>
              </w:tc>
              <w:tc>
                <w:tcPr>
                  <w:tcW w:w="851" w:type="dxa"/>
                  <w:shd w:val="clear" w:color="auto" w:fill="auto"/>
                  <w:noWrap/>
                  <w:vAlign w:val="center"/>
                </w:tcPr>
                <w:p>
                  <w:pPr>
                    <w:jc w:val="center"/>
                    <w:rPr>
                      <w:rFonts w:ascii="宋体" w:hAnsi="宋体" w:eastAsia="宋体" w:cs="宋体"/>
                      <w:color w:val="000000"/>
                    </w:rPr>
                  </w:pPr>
                  <w:r>
                    <w:rPr>
                      <w:rFonts w:hint="eastAsia"/>
                      <w:color w:val="000000"/>
                    </w:rPr>
                    <w:t xml:space="preserve">57.3 </w:t>
                  </w:r>
                </w:p>
              </w:tc>
              <w:tc>
                <w:tcPr>
                  <w:tcW w:w="861" w:type="dxa"/>
                  <w:shd w:val="clear" w:color="auto" w:fill="auto"/>
                  <w:noWrap/>
                  <w:vAlign w:val="center"/>
                </w:tcPr>
                <w:p>
                  <w:pPr>
                    <w:jc w:val="center"/>
                    <w:rPr>
                      <w:rFonts w:ascii="宋体" w:hAnsi="宋体" w:eastAsia="宋体" w:cs="宋体"/>
                      <w:color w:val="000000"/>
                    </w:rPr>
                  </w:pPr>
                  <w:r>
                    <w:rPr>
                      <w:rFonts w:hint="eastAsia"/>
                      <w:color w:val="000000"/>
                    </w:rPr>
                    <w:t xml:space="preserve">1.3 </w:t>
                  </w:r>
                </w:p>
              </w:tc>
              <w:tc>
                <w:tcPr>
                  <w:tcW w:w="806" w:type="dxa"/>
                  <w:shd w:val="clear" w:color="auto" w:fill="auto"/>
                  <w:noWrap/>
                  <w:vAlign w:val="center"/>
                </w:tcPr>
                <w:p>
                  <w:pPr>
                    <w:jc w:val="center"/>
                    <w:rPr>
                      <w:rFonts w:ascii="宋体" w:hAnsi="宋体" w:eastAsia="宋体" w:cs="宋体"/>
                      <w:color w:val="000000"/>
                    </w:rPr>
                  </w:pPr>
                  <w:r>
                    <w:rPr>
                      <w:rFonts w:hint="eastAsia"/>
                      <w:color w:val="000000"/>
                    </w:rPr>
                    <w:t>60</w:t>
                  </w:r>
                </w:p>
              </w:tc>
              <w:tc>
                <w:tcPr>
                  <w:tcW w:w="981" w:type="dxa"/>
                  <w:shd w:val="clear" w:color="auto" w:fill="auto"/>
                  <w:noWrap/>
                  <w:vAlign w:val="center"/>
                </w:tcPr>
                <w:p>
                  <w:pPr>
                    <w:jc w:val="center"/>
                    <w:rPr>
                      <w:rFonts w:ascii="宋体" w:hAnsi="宋体" w:eastAsia="宋体" w:cs="宋体"/>
                      <w:color w:val="000000"/>
                    </w:rPr>
                  </w:pPr>
                  <w:r>
                    <w:rPr>
                      <w:rFonts w:hint="eastAsia"/>
                      <w:color w:val="000000"/>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05"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7</w:t>
                  </w:r>
                </w:p>
              </w:tc>
              <w:tc>
                <w:tcPr>
                  <w:tcW w:w="1083" w:type="dxa"/>
                  <w:shd w:val="clear" w:color="auto" w:fill="auto"/>
                  <w:noWrap/>
                  <w:vAlign w:val="center"/>
                </w:tcPr>
                <w:p>
                  <w:pPr>
                    <w:pStyle w:val="164"/>
                    <w:rPr>
                      <w:color w:val="auto"/>
                    </w:rPr>
                  </w:pPr>
                  <w:r>
                    <w:rPr>
                      <w:rFonts w:hint="eastAsia"/>
                      <w:color w:val="auto"/>
                    </w:rPr>
                    <w:t>东城敬老院</w:t>
                  </w:r>
                </w:p>
              </w:tc>
              <w:tc>
                <w:tcPr>
                  <w:tcW w:w="708" w:type="dxa"/>
                  <w:shd w:val="clear" w:color="auto" w:fill="auto"/>
                  <w:noWrap/>
                  <w:vAlign w:val="center"/>
                </w:tcPr>
                <w:p>
                  <w:pPr>
                    <w:widowControl/>
                    <w:jc w:val="center"/>
                    <w:rPr>
                      <w:rFonts w:ascii="宋体" w:hAnsi="宋体" w:eastAsia="宋体" w:cs="宋体"/>
                      <w:kern w:val="0"/>
                    </w:rPr>
                  </w:pPr>
                  <w:r>
                    <w:rPr>
                      <w:rFonts w:hint="eastAsia" w:ascii="宋体" w:hAnsi="宋体" w:eastAsia="宋体" w:cs="宋体"/>
                      <w:kern w:val="0"/>
                    </w:rPr>
                    <w:t>昼间</w:t>
                  </w:r>
                </w:p>
              </w:tc>
              <w:tc>
                <w:tcPr>
                  <w:tcW w:w="1134" w:type="dxa"/>
                  <w:shd w:val="clear" w:color="auto" w:fill="auto"/>
                  <w:noWrap/>
                  <w:vAlign w:val="center"/>
                </w:tcPr>
                <w:p>
                  <w:pPr>
                    <w:jc w:val="center"/>
                    <w:rPr>
                      <w:rFonts w:ascii="宋体" w:hAnsi="宋体" w:eastAsia="宋体" w:cs="宋体"/>
                      <w:color w:val="000000"/>
                    </w:rPr>
                  </w:pPr>
                  <w:r>
                    <w:rPr>
                      <w:rFonts w:hint="eastAsia"/>
                      <w:color w:val="000000"/>
                    </w:rPr>
                    <w:t xml:space="preserve">51.4 </w:t>
                  </w:r>
                </w:p>
              </w:tc>
              <w:tc>
                <w:tcPr>
                  <w:tcW w:w="1276" w:type="dxa"/>
                  <w:shd w:val="clear" w:color="auto" w:fill="auto"/>
                  <w:noWrap/>
                  <w:vAlign w:val="center"/>
                </w:tcPr>
                <w:p>
                  <w:pPr>
                    <w:jc w:val="center"/>
                    <w:rPr>
                      <w:rFonts w:ascii="宋体" w:hAnsi="宋体" w:eastAsia="宋体" w:cs="宋体"/>
                      <w:color w:val="000000"/>
                    </w:rPr>
                  </w:pPr>
                  <w:r>
                    <w:rPr>
                      <w:rFonts w:hint="eastAsia"/>
                      <w:color w:val="000000"/>
                    </w:rPr>
                    <w:t>56</w:t>
                  </w:r>
                </w:p>
              </w:tc>
              <w:tc>
                <w:tcPr>
                  <w:tcW w:w="851" w:type="dxa"/>
                  <w:shd w:val="clear" w:color="auto" w:fill="auto"/>
                  <w:noWrap/>
                  <w:vAlign w:val="center"/>
                </w:tcPr>
                <w:p>
                  <w:pPr>
                    <w:jc w:val="center"/>
                    <w:rPr>
                      <w:rFonts w:ascii="宋体" w:hAnsi="宋体" w:eastAsia="宋体" w:cs="宋体"/>
                      <w:color w:val="000000"/>
                    </w:rPr>
                  </w:pPr>
                  <w:r>
                    <w:rPr>
                      <w:rFonts w:hint="eastAsia"/>
                      <w:color w:val="000000"/>
                    </w:rPr>
                    <w:t xml:space="preserve">57.3 </w:t>
                  </w:r>
                </w:p>
              </w:tc>
              <w:tc>
                <w:tcPr>
                  <w:tcW w:w="861" w:type="dxa"/>
                  <w:shd w:val="clear" w:color="auto" w:fill="auto"/>
                  <w:noWrap/>
                  <w:vAlign w:val="center"/>
                </w:tcPr>
                <w:p>
                  <w:pPr>
                    <w:jc w:val="center"/>
                    <w:rPr>
                      <w:rFonts w:ascii="宋体" w:hAnsi="宋体" w:eastAsia="宋体" w:cs="宋体"/>
                      <w:color w:val="000000"/>
                    </w:rPr>
                  </w:pPr>
                  <w:r>
                    <w:rPr>
                      <w:rFonts w:hint="eastAsia"/>
                      <w:color w:val="000000"/>
                    </w:rPr>
                    <w:t xml:space="preserve">1.3 </w:t>
                  </w:r>
                </w:p>
              </w:tc>
              <w:tc>
                <w:tcPr>
                  <w:tcW w:w="806" w:type="dxa"/>
                  <w:shd w:val="clear" w:color="auto" w:fill="auto"/>
                  <w:noWrap/>
                  <w:vAlign w:val="center"/>
                </w:tcPr>
                <w:p>
                  <w:pPr>
                    <w:jc w:val="center"/>
                    <w:rPr>
                      <w:rFonts w:ascii="宋体" w:hAnsi="宋体" w:eastAsia="宋体" w:cs="宋体"/>
                      <w:color w:val="000000"/>
                    </w:rPr>
                  </w:pPr>
                  <w:r>
                    <w:rPr>
                      <w:rFonts w:hint="eastAsia"/>
                      <w:color w:val="000000"/>
                    </w:rPr>
                    <w:t>60</w:t>
                  </w:r>
                </w:p>
              </w:tc>
              <w:tc>
                <w:tcPr>
                  <w:tcW w:w="981" w:type="dxa"/>
                  <w:shd w:val="clear" w:color="auto" w:fill="auto"/>
                  <w:noWrap/>
                  <w:vAlign w:val="center"/>
                </w:tcPr>
                <w:p>
                  <w:pPr>
                    <w:jc w:val="center"/>
                    <w:rPr>
                      <w:rFonts w:ascii="宋体" w:hAnsi="宋体" w:eastAsia="宋体" w:cs="宋体"/>
                      <w:color w:val="000000"/>
                    </w:rPr>
                  </w:pPr>
                  <w:r>
                    <w:rPr>
                      <w:rFonts w:hint="eastAsia"/>
                      <w:color w:val="000000"/>
                    </w:rPr>
                    <w:t>达标</w:t>
                  </w:r>
                </w:p>
              </w:tc>
            </w:tr>
          </w:tbl>
          <w:p>
            <w:pPr>
              <w:pStyle w:val="160"/>
              <w:ind w:firstLine="480"/>
            </w:pPr>
            <w:r>
              <w:rPr>
                <w:rFonts w:hint="eastAsia"/>
              </w:rPr>
              <w:t>由</w:t>
            </w:r>
            <w:r>
              <w:fldChar w:fldCharType="begin"/>
            </w:r>
            <w:r>
              <w:rPr>
                <w:rFonts w:hint="eastAsia"/>
              </w:rPr>
              <w:instrText xml:space="preserve">REF _Ref82520758 \h</w:instrText>
            </w:r>
            <w:r>
              <w:instrText xml:space="preserve"> \* MERGEFORMAT </w:instrText>
            </w:r>
            <w:r>
              <w:fldChar w:fldCharType="separate"/>
            </w:r>
            <w:r>
              <w:rPr>
                <w:rFonts w:hint="eastAsia"/>
              </w:rPr>
              <w:t>表</w:t>
            </w:r>
            <w:r>
              <w:t>4.</w:t>
            </w:r>
            <w:r>
              <w:rPr>
                <w:rFonts w:hint="eastAsia"/>
              </w:rPr>
              <w:t>4-4</w:t>
            </w:r>
            <w:r>
              <w:fldChar w:fldCharType="end"/>
            </w:r>
            <w:r>
              <w:rPr>
                <w:rFonts w:hint="eastAsia"/>
              </w:rPr>
              <w:t>可见，扩建项目通过采取有效的减振、隔声和消声措施后，扩建项目夜间不生产，四周厂界处的昼间噪声能满足《工业企业厂界环境噪声排放标准》（GB 12348-2008）中3类标准要求；姜家岩还建房、东城卫生中心、东城敬老院昼间噪声能满足《工业企业厂界环境噪声排放标准》（GB 12348-2008）中2类标准要求。</w:t>
            </w:r>
          </w:p>
          <w:p>
            <w:pPr>
              <w:pStyle w:val="6"/>
            </w:pPr>
            <w:r>
              <w:rPr>
                <w:rFonts w:hint="eastAsia"/>
              </w:rPr>
              <w:t>4.4.2声环境影响防治措施</w:t>
            </w:r>
          </w:p>
          <w:p>
            <w:pPr>
              <w:pStyle w:val="160"/>
              <w:ind w:firstLine="480"/>
            </w:pPr>
            <w:r>
              <w:rPr>
                <w:rFonts w:hint="eastAsia"/>
              </w:rPr>
              <w:t>声环境影响防治措施如下：</w:t>
            </w:r>
          </w:p>
          <w:p>
            <w:pPr>
              <w:pStyle w:val="4075"/>
              <w:numPr>
                <w:ilvl w:val="0"/>
                <w:numId w:val="21"/>
              </w:numPr>
            </w:pPr>
            <w:r>
              <w:rPr>
                <w:rFonts w:hint="eastAsia"/>
              </w:rPr>
              <w:t>厂房隔声措施；</w:t>
            </w:r>
          </w:p>
          <w:p>
            <w:pPr>
              <w:pStyle w:val="4075"/>
              <w:numPr>
                <w:ilvl w:val="0"/>
                <w:numId w:val="21"/>
              </w:numPr>
            </w:pPr>
            <w:r>
              <w:rPr>
                <w:rFonts w:hint="eastAsia"/>
              </w:rPr>
              <w:t>设备选型上严格把关，在满足使用功能的前提下，尽量选用低噪声设备，并要求生产厂家提供低噪声产品和消声减振的相关配件；</w:t>
            </w:r>
          </w:p>
          <w:p>
            <w:pPr>
              <w:pStyle w:val="4075"/>
              <w:numPr>
                <w:ilvl w:val="0"/>
                <w:numId w:val="21"/>
              </w:numPr>
            </w:pPr>
            <w:r>
              <w:rPr>
                <w:rFonts w:hint="eastAsia"/>
              </w:rPr>
              <w:t>运行过程中加强设备的保养和维护；</w:t>
            </w:r>
          </w:p>
          <w:p>
            <w:pPr>
              <w:pStyle w:val="4075"/>
              <w:numPr>
                <w:ilvl w:val="0"/>
                <w:numId w:val="21"/>
              </w:numPr>
            </w:pPr>
            <w:r>
              <w:rPr>
                <w:rFonts w:hint="eastAsia"/>
              </w:rPr>
              <w:t>高噪声设备采取基础减</w:t>
            </w:r>
            <w:r>
              <w:t>振</w:t>
            </w:r>
            <w:r>
              <w:rPr>
                <w:rFonts w:hint="eastAsia"/>
              </w:rPr>
              <w:t>措施。</w:t>
            </w:r>
          </w:p>
          <w:p>
            <w:pPr>
              <w:pStyle w:val="160"/>
              <w:ind w:firstLine="480"/>
            </w:pPr>
            <w:r>
              <w:rPr>
                <w:rFonts w:hint="eastAsia"/>
              </w:rPr>
              <w:t>综上所述，扩建项目在采取环评提出各隔声降噪措施后，运营期噪声对环境影响小。</w:t>
            </w:r>
          </w:p>
          <w:p>
            <w:pPr>
              <w:pStyle w:val="6"/>
            </w:pPr>
            <w:r>
              <w:rPr>
                <w:rFonts w:hint="eastAsia"/>
              </w:rPr>
              <w:t>4.4.3噪声监测计划</w:t>
            </w:r>
          </w:p>
          <w:p>
            <w:pPr>
              <w:pStyle w:val="160"/>
              <w:ind w:firstLine="480"/>
            </w:pPr>
            <w:r>
              <w:rPr>
                <w:rFonts w:hint="eastAsia"/>
              </w:rPr>
              <w:t>根据《排污单位自行监测技术指南总则》（HJ819-2017），扩建项目噪声监测要求见</w:t>
            </w:r>
            <w:r>
              <w:fldChar w:fldCharType="begin"/>
            </w:r>
            <w:r>
              <w:rPr>
                <w:rFonts w:hint="eastAsia"/>
              </w:rPr>
              <w:instrText xml:space="preserve">REF _Ref82520800 \h</w:instrText>
            </w:r>
            <w:r>
              <w:instrText xml:space="preserve"> \* MERGEFORMAT </w:instrText>
            </w:r>
            <w:r>
              <w:fldChar w:fldCharType="separate"/>
            </w:r>
            <w:r>
              <w:rPr>
                <w:rFonts w:hint="eastAsia"/>
              </w:rPr>
              <w:t>表4.4-4</w:t>
            </w:r>
            <w:r>
              <w:fldChar w:fldCharType="end"/>
            </w:r>
            <w:r>
              <w:rPr>
                <w:rFonts w:hint="eastAsia"/>
              </w:rPr>
              <w:t>。</w:t>
            </w:r>
          </w:p>
          <w:p>
            <w:pPr>
              <w:pStyle w:val="164"/>
              <w:rPr>
                <w:color w:val="auto"/>
              </w:rPr>
            </w:pPr>
            <w:bookmarkStart w:id="57" w:name="_Ref82520800"/>
            <w:r>
              <w:rPr>
                <w:rFonts w:hint="eastAsia"/>
                <w:color w:val="auto"/>
              </w:rPr>
              <w:t>表</w:t>
            </w:r>
            <w:bookmarkEnd w:id="57"/>
            <w:r>
              <w:rPr>
                <w:rFonts w:hint="eastAsia"/>
                <w:color w:val="auto"/>
              </w:rPr>
              <w:t xml:space="preserve">4.4-4  </w:t>
            </w:r>
            <w:r>
              <w:rPr>
                <w:color w:val="auto"/>
              </w:rPr>
              <w:t>噪声</w:t>
            </w:r>
            <w:r>
              <w:rPr>
                <w:rFonts w:hint="eastAsia"/>
                <w:color w:val="auto"/>
              </w:rPr>
              <w:t>监测计划一览表</w:t>
            </w:r>
            <w:r>
              <w:rPr>
                <w:color w:val="auto"/>
              </w:rPr>
              <w:t>单位：dB</w:t>
            </w:r>
            <w:r>
              <w:rPr>
                <w:rFonts w:hint="eastAsia"/>
                <w:color w:val="auto"/>
              </w:rPr>
              <w:t>（</w:t>
            </w:r>
            <w:r>
              <w:rPr>
                <w:color w:val="auto"/>
              </w:rPr>
              <w:t>A</w:t>
            </w:r>
            <w:r>
              <w:rPr>
                <w:rFonts w:hint="eastAsia"/>
                <w:color w:val="auto"/>
              </w:rPr>
              <w:t>）</w:t>
            </w:r>
          </w:p>
          <w:tbl>
            <w:tblPr>
              <w:tblStyle w:val="162"/>
              <w:tblW w:w="8526" w:type="dxa"/>
              <w:jc w:val="center"/>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7"/>
              <w:gridCol w:w="1276"/>
              <w:gridCol w:w="1875"/>
              <w:gridCol w:w="850"/>
              <w:gridCol w:w="1134"/>
              <w:gridCol w:w="221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8" w:hRule="atLeast"/>
                <w:jc w:val="center"/>
              </w:trPr>
              <w:tc>
                <w:tcPr>
                  <w:tcW w:w="1177" w:type="dxa"/>
                  <w:shd w:val="clear" w:color="auto" w:fill="auto"/>
                  <w:noWrap/>
                  <w:vAlign w:val="center"/>
                </w:tcPr>
                <w:p>
                  <w:pPr>
                    <w:pStyle w:val="164"/>
                    <w:rPr>
                      <w:b/>
                      <w:color w:val="auto"/>
                    </w:rPr>
                  </w:pPr>
                  <w:r>
                    <w:rPr>
                      <w:b w:val="0"/>
                      <w:color w:val="auto"/>
                    </w:rPr>
                    <w:t>监测类别</w:t>
                  </w:r>
                </w:p>
              </w:tc>
              <w:tc>
                <w:tcPr>
                  <w:tcW w:w="1276" w:type="dxa"/>
                  <w:shd w:val="clear" w:color="auto" w:fill="auto"/>
                  <w:noWrap/>
                  <w:vAlign w:val="center"/>
                </w:tcPr>
                <w:p>
                  <w:pPr>
                    <w:pStyle w:val="164"/>
                    <w:rPr>
                      <w:b/>
                      <w:color w:val="auto"/>
                    </w:rPr>
                  </w:pPr>
                  <w:r>
                    <w:rPr>
                      <w:b w:val="0"/>
                      <w:color w:val="auto"/>
                    </w:rPr>
                    <w:t>污染源</w:t>
                  </w:r>
                </w:p>
              </w:tc>
              <w:tc>
                <w:tcPr>
                  <w:tcW w:w="1875" w:type="dxa"/>
                  <w:shd w:val="clear" w:color="auto" w:fill="auto"/>
                  <w:noWrap/>
                  <w:vAlign w:val="center"/>
                </w:tcPr>
                <w:p>
                  <w:pPr>
                    <w:pStyle w:val="164"/>
                    <w:rPr>
                      <w:b/>
                      <w:color w:val="auto"/>
                    </w:rPr>
                  </w:pPr>
                  <w:r>
                    <w:rPr>
                      <w:b w:val="0"/>
                      <w:color w:val="auto"/>
                    </w:rPr>
                    <w:t>监测位</w:t>
                  </w:r>
                </w:p>
              </w:tc>
              <w:tc>
                <w:tcPr>
                  <w:tcW w:w="850" w:type="dxa"/>
                  <w:shd w:val="clear" w:color="auto" w:fill="auto"/>
                  <w:noWrap/>
                  <w:vAlign w:val="center"/>
                </w:tcPr>
                <w:p>
                  <w:pPr>
                    <w:pStyle w:val="164"/>
                    <w:rPr>
                      <w:b/>
                      <w:color w:val="auto"/>
                    </w:rPr>
                  </w:pPr>
                  <w:r>
                    <w:rPr>
                      <w:b w:val="0"/>
                      <w:color w:val="auto"/>
                    </w:rPr>
                    <w:t>测点数</w:t>
                  </w:r>
                </w:p>
              </w:tc>
              <w:tc>
                <w:tcPr>
                  <w:tcW w:w="1134" w:type="dxa"/>
                  <w:shd w:val="clear" w:color="auto" w:fill="auto"/>
                  <w:noWrap/>
                  <w:vAlign w:val="center"/>
                </w:tcPr>
                <w:p>
                  <w:pPr>
                    <w:pStyle w:val="164"/>
                    <w:rPr>
                      <w:b/>
                      <w:color w:val="auto"/>
                    </w:rPr>
                  </w:pPr>
                  <w:r>
                    <w:rPr>
                      <w:b w:val="0"/>
                      <w:color w:val="auto"/>
                    </w:rPr>
                    <w:t>监测项目</w:t>
                  </w:r>
                </w:p>
              </w:tc>
              <w:tc>
                <w:tcPr>
                  <w:tcW w:w="2214" w:type="dxa"/>
                  <w:shd w:val="clear" w:color="auto" w:fill="auto"/>
                  <w:noWrap/>
                  <w:vAlign w:val="center"/>
                </w:tcPr>
                <w:p>
                  <w:pPr>
                    <w:pStyle w:val="164"/>
                    <w:rPr>
                      <w:b/>
                      <w:color w:val="auto"/>
                    </w:rPr>
                  </w:pPr>
                  <w:r>
                    <w:rPr>
                      <w:b w:val="0"/>
                      <w:color w:val="auto"/>
                    </w:rPr>
                    <w:t>监测频次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jc w:val="center"/>
              </w:trPr>
              <w:tc>
                <w:tcPr>
                  <w:tcW w:w="1177" w:type="dxa"/>
                  <w:shd w:val="clear" w:color="auto" w:fill="auto"/>
                  <w:noWrap/>
                  <w:vAlign w:val="center"/>
                </w:tcPr>
                <w:p>
                  <w:pPr>
                    <w:pStyle w:val="164"/>
                    <w:rPr>
                      <w:color w:val="auto"/>
                    </w:rPr>
                  </w:pPr>
                  <w:r>
                    <w:rPr>
                      <w:color w:val="auto"/>
                    </w:rPr>
                    <w:t>噪声</w:t>
                  </w:r>
                </w:p>
              </w:tc>
              <w:tc>
                <w:tcPr>
                  <w:tcW w:w="1276" w:type="dxa"/>
                  <w:shd w:val="clear" w:color="auto" w:fill="auto"/>
                  <w:noWrap/>
                  <w:vAlign w:val="center"/>
                </w:tcPr>
                <w:p>
                  <w:pPr>
                    <w:pStyle w:val="164"/>
                    <w:rPr>
                      <w:color w:val="auto"/>
                    </w:rPr>
                  </w:pPr>
                  <w:r>
                    <w:rPr>
                      <w:color w:val="auto"/>
                    </w:rPr>
                    <w:t>厂区</w:t>
                  </w:r>
                  <w:r>
                    <w:rPr>
                      <w:rFonts w:hint="eastAsia"/>
                      <w:color w:val="auto"/>
                    </w:rPr>
                    <w:t>设备</w:t>
                  </w:r>
                </w:p>
              </w:tc>
              <w:tc>
                <w:tcPr>
                  <w:tcW w:w="1875" w:type="dxa"/>
                  <w:shd w:val="clear" w:color="auto" w:fill="auto"/>
                  <w:noWrap/>
                  <w:vAlign w:val="center"/>
                </w:tcPr>
                <w:p>
                  <w:pPr>
                    <w:pStyle w:val="164"/>
                    <w:rPr>
                      <w:color w:val="auto"/>
                    </w:rPr>
                  </w:pPr>
                  <w:r>
                    <w:rPr>
                      <w:rFonts w:hint="eastAsia"/>
                      <w:color w:val="auto"/>
                    </w:rPr>
                    <w:t>东、南、西、北厂界外1m</w:t>
                  </w:r>
                </w:p>
              </w:tc>
              <w:tc>
                <w:tcPr>
                  <w:tcW w:w="850" w:type="dxa"/>
                  <w:shd w:val="clear" w:color="auto" w:fill="auto"/>
                  <w:noWrap/>
                  <w:vAlign w:val="center"/>
                </w:tcPr>
                <w:p>
                  <w:pPr>
                    <w:pStyle w:val="164"/>
                    <w:rPr>
                      <w:color w:val="auto"/>
                    </w:rPr>
                  </w:pPr>
                  <w:r>
                    <w:rPr>
                      <w:color w:val="auto"/>
                    </w:rPr>
                    <w:t>4</w:t>
                  </w:r>
                  <w:r>
                    <w:rPr>
                      <w:rFonts w:hint="eastAsia"/>
                      <w:color w:val="auto"/>
                    </w:rPr>
                    <w:t>个点</w:t>
                  </w:r>
                </w:p>
              </w:tc>
              <w:tc>
                <w:tcPr>
                  <w:tcW w:w="1134" w:type="dxa"/>
                  <w:shd w:val="clear" w:color="auto" w:fill="auto"/>
                  <w:noWrap/>
                  <w:vAlign w:val="center"/>
                </w:tcPr>
                <w:p>
                  <w:pPr>
                    <w:pStyle w:val="164"/>
                    <w:rPr>
                      <w:color w:val="auto"/>
                    </w:rPr>
                  </w:pPr>
                  <w:r>
                    <w:rPr>
                      <w:color w:val="auto"/>
                    </w:rPr>
                    <w:t>等效</w:t>
                  </w:r>
                </w:p>
                <w:p>
                  <w:pPr>
                    <w:pStyle w:val="164"/>
                    <w:rPr>
                      <w:color w:val="auto"/>
                    </w:rPr>
                  </w:pPr>
                  <w:r>
                    <w:rPr>
                      <w:color w:val="auto"/>
                    </w:rPr>
                    <w:t>A声级</w:t>
                  </w:r>
                </w:p>
              </w:tc>
              <w:tc>
                <w:tcPr>
                  <w:tcW w:w="2214" w:type="dxa"/>
                  <w:shd w:val="clear" w:color="auto" w:fill="auto"/>
                  <w:noWrap/>
                  <w:vAlign w:val="center"/>
                </w:tcPr>
                <w:p>
                  <w:pPr>
                    <w:pStyle w:val="164"/>
                    <w:rPr>
                      <w:color w:val="auto"/>
                    </w:rPr>
                  </w:pPr>
                  <w:r>
                    <w:rPr>
                      <w:color w:val="auto"/>
                    </w:rPr>
                    <w:t>验收时监测一次，以后每</w:t>
                  </w:r>
                  <w:r>
                    <w:rPr>
                      <w:rFonts w:hint="eastAsia"/>
                      <w:color w:val="auto"/>
                    </w:rPr>
                    <w:t>季度</w:t>
                  </w:r>
                  <w:r>
                    <w:rPr>
                      <w:color w:val="auto"/>
                    </w:rPr>
                    <w:t>监测一次</w:t>
                  </w:r>
                </w:p>
              </w:tc>
            </w:tr>
          </w:tbl>
          <w:p>
            <w:pPr>
              <w:pStyle w:val="5"/>
              <w:keepNext w:val="0"/>
              <w:keepLines w:val="0"/>
              <w:snapToGrid w:val="0"/>
              <w:rPr>
                <w:rFonts w:ascii="宋体" w:hAnsi="宋体"/>
              </w:rPr>
            </w:pPr>
            <w:bookmarkStart w:id="58" w:name="_Hlk76550467"/>
            <w:bookmarkStart w:id="59" w:name="_Hlk69405837"/>
            <w:r>
              <w:rPr>
                <w:rFonts w:hint="eastAsia" w:ascii="宋体" w:hAnsi="宋体"/>
              </w:rPr>
              <w:t>4.5固体废物</w:t>
            </w:r>
          </w:p>
          <w:p>
            <w:pPr>
              <w:pStyle w:val="6"/>
            </w:pPr>
            <w:r>
              <w:rPr>
                <w:rFonts w:hint="eastAsia"/>
              </w:rPr>
              <w:t>4.5.1固体废物产生情况</w:t>
            </w:r>
          </w:p>
          <w:p>
            <w:pPr>
              <w:pStyle w:val="160"/>
              <w:ind w:firstLine="480"/>
            </w:pPr>
            <w:r>
              <w:rPr>
                <w:rFonts w:hint="eastAsia"/>
              </w:rPr>
              <w:t>扩建项目营运期产生的固体废物主要包括生活垃圾、一般工业固体废物和危险废物三类。</w:t>
            </w:r>
          </w:p>
          <w:p>
            <w:pPr>
              <w:pStyle w:val="4075"/>
              <w:numPr>
                <w:ilvl w:val="0"/>
                <w:numId w:val="22"/>
              </w:numPr>
            </w:pPr>
            <w:r>
              <w:rPr>
                <w:rFonts w:hint="eastAsia"/>
              </w:rPr>
              <w:t>生活垃圾</w:t>
            </w:r>
          </w:p>
          <w:p>
            <w:pPr>
              <w:pStyle w:val="160"/>
              <w:ind w:firstLine="480"/>
            </w:pPr>
            <w:r>
              <w:rPr>
                <w:rFonts w:hint="eastAsia"/>
              </w:rPr>
              <w:t>扩建项目新增劳动定员80人，每人产生垃圾按照0.5kg/d.人计算，年产生生活垃圾12t/a，收集后委托环卫部门清运处理。</w:t>
            </w:r>
          </w:p>
          <w:p>
            <w:pPr>
              <w:pStyle w:val="4075"/>
              <w:numPr>
                <w:ilvl w:val="0"/>
                <w:numId w:val="22"/>
              </w:numPr>
            </w:pPr>
            <w:r>
              <w:rPr>
                <w:rFonts w:hint="eastAsia"/>
              </w:rPr>
              <w:t>一般工业固体废物</w:t>
            </w:r>
          </w:p>
          <w:p>
            <w:pPr>
              <w:pStyle w:val="160"/>
              <w:ind w:firstLine="480"/>
            </w:pPr>
            <w:r>
              <w:rPr>
                <w:rFonts w:hint="eastAsia"/>
              </w:rPr>
              <w:t>扩建项目主要一般工业固体废物包括开料边角料（S1）、裁边边角料（S3）、木粉（S4）、废砂纸（S5）、废包装（S6）、废封边条（S17）、切槽边角料（S18）、钻孔边角料（S19）、除尘器木粉（S20）、废水站生化段污泥（S22）。</w:t>
            </w:r>
          </w:p>
          <w:p>
            <w:pPr>
              <w:pStyle w:val="160"/>
              <w:ind w:firstLine="480"/>
            </w:pPr>
            <w:r>
              <w:rPr>
                <w:rFonts w:hint="eastAsia"/>
              </w:rPr>
              <w:t>板材边角料（S1、S3、S4、S18、S19）：扩建项目木材原料成型率（板式家具80%，实木70%），板材边角料产生量为825.30 t</w:t>
            </w:r>
            <w:r>
              <w:t>/</w:t>
            </w:r>
            <w:r>
              <w:rPr>
                <w:rFonts w:hint="eastAsia"/>
              </w:rPr>
              <w:t>a。</w:t>
            </w:r>
          </w:p>
          <w:p>
            <w:pPr>
              <w:pStyle w:val="160"/>
              <w:ind w:firstLine="480"/>
            </w:pPr>
            <w:r>
              <w:rPr>
                <w:rFonts w:hint="eastAsia"/>
              </w:rPr>
              <w:t>废包装（S6）：扩建项目包装入库工序会产生部分废包装，据业主提供资料，扩建项目废包装产生量约为1.0t/a。</w:t>
            </w:r>
          </w:p>
          <w:p>
            <w:pPr>
              <w:pStyle w:val="160"/>
              <w:ind w:firstLine="480"/>
            </w:pPr>
            <w:r>
              <w:rPr>
                <w:rFonts w:hint="eastAsia"/>
              </w:rPr>
              <w:t>除尘器木粉（</w:t>
            </w:r>
            <w:r>
              <w:t>S20</w:t>
            </w:r>
            <w:r>
              <w:rPr>
                <w:rFonts w:hint="eastAsia"/>
              </w:rPr>
              <w:t>）：中央除尘器运行过程收集的木粉，除尘器处理效率按90%计算，产生量约为4.47t/a。</w:t>
            </w:r>
          </w:p>
          <w:p>
            <w:pPr>
              <w:pStyle w:val="160"/>
              <w:ind w:firstLine="480"/>
            </w:pPr>
            <w:r>
              <w:rPr>
                <w:rFonts w:hint="eastAsia"/>
              </w:rPr>
              <w:t>废砂纸（S</w:t>
            </w:r>
            <w:r>
              <w:t>5</w:t>
            </w:r>
            <w:r>
              <w:rPr>
                <w:rFonts w:hint="eastAsia"/>
              </w:rPr>
              <w:t>）：扩建项目砂光工序均使用砂纸进行砂光，砂光过程会产生废砂纸，废砂纸产生量约为0.1t/a。</w:t>
            </w:r>
          </w:p>
          <w:p>
            <w:pPr>
              <w:pStyle w:val="160"/>
              <w:ind w:firstLine="480"/>
            </w:pPr>
            <w:r>
              <w:rPr>
                <w:rFonts w:hint="eastAsia"/>
              </w:rPr>
              <w:t>废封边条（S17）：废封边条产生量为</w:t>
            </w:r>
            <w:r>
              <w:t>0.</w:t>
            </w:r>
            <w:r>
              <w:rPr>
                <w:rFonts w:hint="eastAsia"/>
              </w:rPr>
              <w:t>1t/a。</w:t>
            </w:r>
          </w:p>
          <w:p>
            <w:pPr>
              <w:pStyle w:val="160"/>
              <w:ind w:firstLine="480"/>
            </w:pPr>
            <w:r>
              <w:rPr>
                <w:rFonts w:hint="eastAsia"/>
              </w:rPr>
              <w:t>废水站生化段污泥（</w:t>
            </w:r>
            <w:r>
              <w:t>S22</w:t>
            </w:r>
            <w:r>
              <w:rPr>
                <w:rFonts w:hint="eastAsia"/>
              </w:rPr>
              <w:t>）：类比同类型项目，废水站生化段污泥（</w:t>
            </w:r>
            <w:r>
              <w:t>S22</w:t>
            </w:r>
            <w:r>
              <w:rPr>
                <w:rFonts w:hint="eastAsia"/>
              </w:rPr>
              <w:t>）产生量约为2</w:t>
            </w:r>
            <w:r>
              <w:t>t/a，，经统一收集后由当地环卫部门清运。</w:t>
            </w:r>
          </w:p>
          <w:p>
            <w:pPr>
              <w:pStyle w:val="4075"/>
              <w:numPr>
                <w:ilvl w:val="0"/>
                <w:numId w:val="22"/>
              </w:numPr>
            </w:pPr>
            <w:r>
              <w:rPr>
                <w:rFonts w:hint="eastAsia"/>
              </w:rPr>
              <w:t>危险废物</w:t>
            </w:r>
          </w:p>
          <w:p>
            <w:pPr>
              <w:pStyle w:val="160"/>
              <w:ind w:firstLine="480"/>
            </w:pPr>
            <w:r>
              <w:rPr>
                <w:rFonts w:hint="eastAsia"/>
              </w:rPr>
              <w:t>扩建项目主要危险废物包括废胶桶（S2）、废胶桶（S7）、废油漆桶（S8）、废紫外光灯（S9）、漆粉（S10）、废油漆桶（S11）、废油漆桶（S12）、废活性炭（S13）、废催化剂（S14）、废风琴纸（S15）、废热熔胶（S16）、废水站物化段污泥（S21）、油磨除尘灰（S23）、废润滑油（S24）等。</w:t>
            </w:r>
          </w:p>
          <w:p>
            <w:pPr>
              <w:pStyle w:val="160"/>
              <w:ind w:firstLine="480"/>
            </w:pPr>
            <w:r>
              <w:rPr>
                <w:rFonts w:hint="eastAsia"/>
              </w:rPr>
              <w:t>废胶桶（</w:t>
            </w:r>
            <w:r>
              <w:t>S2、</w:t>
            </w:r>
            <w:r>
              <w:rPr>
                <w:rFonts w:hint="eastAsia"/>
              </w:rPr>
              <w:t>S7</w:t>
            </w:r>
            <w:r>
              <w:t>）：主要为</w:t>
            </w:r>
            <w:r>
              <w:rPr>
                <w:rFonts w:hint="eastAsia"/>
              </w:rPr>
              <w:t>白乳胶桶、腻子及乳白胶拌合桶，类比同类型项目、废胶桶（</w:t>
            </w:r>
            <w:r>
              <w:t>S2、</w:t>
            </w:r>
            <w:r>
              <w:rPr>
                <w:rFonts w:hint="eastAsia"/>
              </w:rPr>
              <w:t>S7</w:t>
            </w:r>
            <w:r>
              <w:t>）产生量约为</w:t>
            </w:r>
            <w:r>
              <w:rPr>
                <w:rFonts w:hint="eastAsia"/>
              </w:rPr>
              <w:t>1t/a。委托有资质单位处置</w:t>
            </w:r>
            <w:r>
              <w:t>。</w:t>
            </w:r>
          </w:p>
          <w:p>
            <w:pPr>
              <w:pStyle w:val="160"/>
              <w:ind w:firstLine="480"/>
            </w:pPr>
            <w:r>
              <w:rPr>
                <w:rFonts w:hint="eastAsia"/>
              </w:rPr>
              <w:t>废油漆桶（S8、S11、S12）：主要为油性漆漆桶、水性漆漆桶及UV油漆漆桶。类比同类型项目、废油漆桶（S8、S11、S12）</w:t>
            </w:r>
            <w:r>
              <w:t>产生量约为</w:t>
            </w:r>
            <w:r>
              <w:rPr>
                <w:rFonts w:hint="eastAsia"/>
              </w:rPr>
              <w:t>2t/a。委托有资质单位处置</w:t>
            </w:r>
            <w:r>
              <w:t>。</w:t>
            </w:r>
          </w:p>
          <w:p>
            <w:pPr>
              <w:pStyle w:val="160"/>
              <w:ind w:firstLine="480"/>
            </w:pPr>
            <w:r>
              <w:rPr>
                <w:rFonts w:hint="eastAsia"/>
              </w:rPr>
              <w:t>废紫外光灯（</w:t>
            </w:r>
            <w:r>
              <w:t>S</w:t>
            </w:r>
            <w:r>
              <w:rPr>
                <w:rFonts w:hint="eastAsia"/>
              </w:rPr>
              <w:t>9）：扩建项目UV涂装线使用</w:t>
            </w:r>
            <w:r>
              <w:t>UV灯进行固化，使用过程中需进行维修、更换，会产生少量废紫外光灯，废紫外光灯产生量约0.05t/a。</w:t>
            </w:r>
            <w:r>
              <w:rPr>
                <w:rFonts w:hint="eastAsia"/>
              </w:rPr>
              <w:t>委托有资质单位处置</w:t>
            </w:r>
            <w:r>
              <w:t>。</w:t>
            </w:r>
          </w:p>
          <w:p>
            <w:pPr>
              <w:pStyle w:val="160"/>
              <w:ind w:firstLine="480"/>
            </w:pPr>
            <w:r>
              <w:rPr>
                <w:rFonts w:hint="eastAsia"/>
              </w:rPr>
              <w:t>漆粉（</w:t>
            </w:r>
            <w:r>
              <w:t>S10</w:t>
            </w:r>
            <w:r>
              <w:rPr>
                <w:rFonts w:hint="eastAsia"/>
              </w:rPr>
              <w:t>）：</w:t>
            </w:r>
            <w:r>
              <w:rPr>
                <w:rFonts w:hint="eastAsia" w:asciiTheme="minorEastAsia" w:hAnsiTheme="minorEastAsia" w:eastAsiaTheme="minorEastAsia"/>
              </w:rPr>
              <w:t>UV光固后漆膜表面会存在少量毛刺及不平整位置，采用设备自带的打磨机对工件表面毛刺及不平整位置进行打磨，</w:t>
            </w:r>
            <w:r>
              <w:rPr>
                <w:rFonts w:asciiTheme="minorEastAsia" w:hAnsiTheme="minorEastAsia" w:eastAsiaTheme="minorEastAsia"/>
              </w:rPr>
              <w:t>UV打磨废气</w:t>
            </w:r>
            <w:r>
              <w:rPr>
                <w:rFonts w:hint="eastAsia" w:asciiTheme="minorEastAsia" w:hAnsiTheme="minorEastAsia" w:eastAsiaTheme="minorEastAsia"/>
              </w:rPr>
              <w:t>采用布袋除尘器处理后车间排放，产生量约为0.12t/a。</w:t>
            </w:r>
            <w:r>
              <w:rPr>
                <w:rFonts w:hint="eastAsia"/>
              </w:rPr>
              <w:t>委托有资质单位处置</w:t>
            </w:r>
            <w:r>
              <w:t>。</w:t>
            </w:r>
          </w:p>
          <w:p>
            <w:pPr>
              <w:pStyle w:val="160"/>
              <w:ind w:firstLine="480"/>
            </w:pPr>
            <w:r>
              <w:t>废活性炭（S</w:t>
            </w:r>
            <w:r>
              <w:rPr>
                <w:rFonts w:hint="eastAsia"/>
              </w:rPr>
              <w:t>13</w:t>
            </w:r>
            <w:r>
              <w:t>）：</w:t>
            </w:r>
            <w:r>
              <w:rPr>
                <w:rFonts w:hint="eastAsia"/>
              </w:rPr>
              <w:t>涂装废气处理设施活性炭2</w:t>
            </w:r>
            <w:r>
              <w:t>年更换一次，活性炭装填量合计为</w:t>
            </w:r>
            <w:r>
              <w:rPr>
                <w:rFonts w:hint="eastAsia"/>
              </w:rPr>
              <w:t>20</w:t>
            </w:r>
            <w:r>
              <w:t>m³，活性炭密度按0.6t/m³。则废活性炭（S</w:t>
            </w:r>
            <w:r>
              <w:rPr>
                <w:rFonts w:hint="eastAsia"/>
              </w:rPr>
              <w:t>13</w:t>
            </w:r>
            <w:r>
              <w:t>）产生的量合计约</w:t>
            </w:r>
            <w:r>
              <w:rPr>
                <w:rFonts w:hint="eastAsia"/>
              </w:rPr>
              <w:t>6</w:t>
            </w:r>
            <w:r>
              <w:t>t/a</w:t>
            </w:r>
            <w:r>
              <w:rPr>
                <w:rFonts w:hint="eastAsia"/>
              </w:rPr>
              <w:t>委托有资质单位处置</w:t>
            </w:r>
            <w:r>
              <w:t>。</w:t>
            </w:r>
          </w:p>
          <w:p>
            <w:pPr>
              <w:pStyle w:val="160"/>
              <w:ind w:firstLine="480"/>
            </w:pPr>
            <w:r>
              <w:rPr>
                <w:rFonts w:hint="eastAsia"/>
              </w:rPr>
              <w:t>废催化剂（</w:t>
            </w:r>
            <w:r>
              <w:t>S14</w:t>
            </w:r>
            <w:r>
              <w:rPr>
                <w:rFonts w:hint="eastAsia"/>
              </w:rPr>
              <w:t>）</w:t>
            </w:r>
            <w:r>
              <w:t>：催化剂5年更换1次、</w:t>
            </w:r>
            <w:r>
              <w:rPr>
                <w:rFonts w:hint="eastAsia"/>
              </w:rPr>
              <w:t>废催化剂（</w:t>
            </w:r>
            <w:r>
              <w:t>S14</w:t>
            </w:r>
            <w:r>
              <w:rPr>
                <w:rFonts w:hint="eastAsia"/>
              </w:rPr>
              <w:t>）</w:t>
            </w:r>
            <w:r>
              <w:t>产生量约为0.</w:t>
            </w:r>
            <w:r>
              <w:rPr>
                <w:rFonts w:hint="eastAsia"/>
              </w:rPr>
              <w:t>2</w:t>
            </w:r>
            <w:r>
              <w:t>t/a。</w:t>
            </w:r>
            <w:r>
              <w:rPr>
                <w:rFonts w:hint="eastAsia"/>
              </w:rPr>
              <w:t>委托有资质单位处置</w:t>
            </w:r>
            <w:r>
              <w:t>。</w:t>
            </w:r>
          </w:p>
          <w:p>
            <w:pPr>
              <w:pStyle w:val="160"/>
              <w:ind w:firstLine="480"/>
            </w:pPr>
            <w:r>
              <w:rPr>
                <w:rFonts w:hint="eastAsia"/>
              </w:rPr>
              <w:t>废风琴纸（</w:t>
            </w:r>
            <w:r>
              <w:t>S15</w:t>
            </w:r>
            <w:r>
              <w:rPr>
                <w:rFonts w:hint="eastAsia"/>
              </w:rPr>
              <w:t>）：涂装废气处理设施干式去漆雾过程中产生，根据物料产排污核算，涂装废气处理过程中颗粒物去除量为41.04t/a。委托有资质单位处置</w:t>
            </w:r>
            <w:r>
              <w:t>。</w:t>
            </w:r>
          </w:p>
          <w:p>
            <w:pPr>
              <w:pStyle w:val="160"/>
              <w:ind w:firstLine="480"/>
            </w:pPr>
            <w:r>
              <w:rPr>
                <w:rFonts w:hint="eastAsia"/>
              </w:rPr>
              <w:t>废热熔胶（S16）：扩建项目热压封边过程中将产生一定量的废胶，类比同类型项目扩建项目废热熔胶（S16）产生量为</w:t>
            </w:r>
            <w:r>
              <w:t>0.</w:t>
            </w:r>
            <w:r>
              <w:rPr>
                <w:rFonts w:hint="eastAsia"/>
              </w:rPr>
              <w:t>1</w:t>
            </w:r>
            <w:r>
              <w:t>t</w:t>
            </w:r>
            <w:r>
              <w:rPr>
                <w:rFonts w:hint="eastAsia"/>
              </w:rPr>
              <w:t>/a，委托有资质单位处置。</w:t>
            </w:r>
          </w:p>
          <w:p>
            <w:pPr>
              <w:pStyle w:val="160"/>
              <w:ind w:firstLine="480"/>
            </w:pPr>
            <w:r>
              <w:rPr>
                <w:rFonts w:hint="eastAsia"/>
              </w:rPr>
              <w:t>废水站物化段污泥（</w:t>
            </w:r>
            <w:r>
              <w:t>S2</w:t>
            </w:r>
            <w:r>
              <w:rPr>
                <w:rFonts w:hint="eastAsia"/>
              </w:rPr>
              <w:t>1）：根据SS去除量，年SS去除量为0.32t、污泥含水率按80%计算，废水站物化段污泥（</w:t>
            </w:r>
            <w:r>
              <w:t>S2</w:t>
            </w:r>
            <w:r>
              <w:rPr>
                <w:rFonts w:hint="eastAsia"/>
              </w:rPr>
              <w:t>1）产生量约为1.6</w:t>
            </w:r>
            <w:r>
              <w:t>t/a，，经统一收集后由当地环卫部门清运。</w:t>
            </w:r>
          </w:p>
          <w:p>
            <w:pPr>
              <w:pStyle w:val="160"/>
              <w:ind w:firstLine="480"/>
            </w:pPr>
            <w:r>
              <w:rPr>
                <w:rFonts w:hint="eastAsia"/>
              </w:rPr>
              <w:t>油磨除尘灰（</w:t>
            </w:r>
            <w:r>
              <w:t>S23）</w:t>
            </w:r>
            <w:r>
              <w:rPr>
                <w:rFonts w:hint="eastAsia"/>
              </w:rPr>
              <w:t>：油磨废气采用</w:t>
            </w:r>
            <w:r>
              <w:rPr>
                <w:rFonts w:hint="eastAsia" w:ascii="宋体" w:hAnsi="宋体" w:cs="宋体"/>
                <w:bCs/>
              </w:rPr>
              <w:t>喷淋除尘器进行处理</w:t>
            </w:r>
            <w:r>
              <w:rPr>
                <w:rFonts w:hint="eastAsia" w:asciiTheme="minorEastAsia" w:hAnsiTheme="minorEastAsia" w:eastAsiaTheme="minorEastAsia"/>
              </w:rPr>
              <w:t>，产生量约为0.95t/a、含水率按80%计算，则产生量为4.75 t/a。</w:t>
            </w:r>
            <w:r>
              <w:rPr>
                <w:rFonts w:hint="eastAsia"/>
              </w:rPr>
              <w:t>委托有资质单位处置</w:t>
            </w:r>
            <w:r>
              <w:t>。</w:t>
            </w:r>
          </w:p>
          <w:p>
            <w:pPr>
              <w:pStyle w:val="160"/>
              <w:ind w:firstLine="480"/>
            </w:pPr>
            <w:r>
              <w:rPr>
                <w:rFonts w:hint="eastAsia"/>
              </w:rPr>
              <w:t>废润滑油（</w:t>
            </w:r>
            <w:r>
              <w:t>S24）</w:t>
            </w:r>
            <w:r>
              <w:rPr>
                <w:rFonts w:hint="eastAsia"/>
              </w:rPr>
              <w:t>：扩建项目设备保养时将产生少量废润滑油，类比同类型项目扩建项目废润滑油（</w:t>
            </w:r>
            <w:r>
              <w:t>S24）</w:t>
            </w:r>
            <w:r>
              <w:rPr>
                <w:rFonts w:hint="eastAsia"/>
              </w:rPr>
              <w:t>产生量为</w:t>
            </w:r>
            <w:r>
              <w:t>0.</w:t>
            </w:r>
            <w:r>
              <w:rPr>
                <w:rFonts w:hint="eastAsia"/>
              </w:rPr>
              <w:t>1</w:t>
            </w:r>
            <w:r>
              <w:t>t</w:t>
            </w:r>
            <w:r>
              <w:rPr>
                <w:rFonts w:hint="eastAsia"/>
              </w:rPr>
              <w:t>/a，委托有资质单位处置。</w:t>
            </w:r>
          </w:p>
          <w:p>
            <w:pPr>
              <w:pStyle w:val="160"/>
              <w:ind w:firstLine="480"/>
            </w:pPr>
            <w:r>
              <w:rPr>
                <w:rFonts w:hint="eastAsia"/>
              </w:rPr>
              <w:t>扩建项目产生的固体废物外排放为零，对环境不会造成二次污染。扩建项目固体废物产生及处置情况见下表。</w:t>
            </w:r>
          </w:p>
          <w:bookmarkEnd w:id="58"/>
          <w:p>
            <w:pPr>
              <w:pStyle w:val="160"/>
              <w:ind w:firstLine="480"/>
            </w:pPr>
            <w:r>
              <w:rPr>
                <w:rFonts w:hint="eastAsia"/>
              </w:rPr>
              <w:t>扩建项目固体废物产生量及处理方式见</w:t>
            </w:r>
            <w:r>
              <w:fldChar w:fldCharType="begin"/>
            </w:r>
            <w:r>
              <w:rPr>
                <w:rFonts w:hint="eastAsia"/>
              </w:rPr>
              <w:instrText xml:space="preserve">REF _Ref82520841 \h</w:instrText>
            </w:r>
            <w:r>
              <w:fldChar w:fldCharType="separate"/>
            </w:r>
            <w:r>
              <w:rPr>
                <w:rFonts w:hint="eastAsia"/>
              </w:rPr>
              <w:t>表4.5-1</w:t>
            </w:r>
            <w:r>
              <w:fldChar w:fldCharType="end"/>
            </w:r>
            <w:r>
              <w:rPr>
                <w:rFonts w:hint="eastAsia"/>
              </w:rPr>
              <w:t>。</w:t>
            </w:r>
          </w:p>
          <w:p>
            <w:pPr>
              <w:pStyle w:val="160"/>
              <w:ind w:firstLine="480"/>
            </w:pPr>
          </w:p>
          <w:p>
            <w:pPr>
              <w:pStyle w:val="164"/>
            </w:pPr>
            <w:bookmarkStart w:id="60" w:name="_Ref82520841"/>
          </w:p>
          <w:p>
            <w:pPr>
              <w:pStyle w:val="164"/>
            </w:pPr>
          </w:p>
          <w:p>
            <w:pPr>
              <w:pStyle w:val="164"/>
            </w:pPr>
          </w:p>
          <w:p>
            <w:pPr>
              <w:pStyle w:val="164"/>
            </w:pPr>
          </w:p>
          <w:p>
            <w:pPr>
              <w:pStyle w:val="164"/>
            </w:pPr>
          </w:p>
          <w:p>
            <w:pPr>
              <w:pStyle w:val="164"/>
            </w:pPr>
          </w:p>
          <w:p>
            <w:pPr>
              <w:pStyle w:val="164"/>
            </w:pPr>
          </w:p>
          <w:p>
            <w:pPr>
              <w:pStyle w:val="164"/>
            </w:pPr>
            <w:r>
              <w:rPr>
                <w:rFonts w:hint="eastAsia"/>
              </w:rPr>
              <w:t>表</w:t>
            </w:r>
            <w:bookmarkEnd w:id="60"/>
            <w:r>
              <w:rPr>
                <w:rFonts w:hint="eastAsia"/>
              </w:rPr>
              <w:t>4.5-1  扩建项目固体废物产生量及处理方式一览表</w:t>
            </w:r>
          </w:p>
          <w:tbl>
            <w:tblPr>
              <w:tblStyle w:val="88"/>
              <w:tblW w:w="8505" w:type="dxa"/>
              <w:tblInd w:w="0" w:type="dxa"/>
              <w:tblLayout w:type="fixed"/>
              <w:tblCellMar>
                <w:top w:w="0" w:type="dxa"/>
                <w:left w:w="108" w:type="dxa"/>
                <w:bottom w:w="0" w:type="dxa"/>
                <w:right w:w="108" w:type="dxa"/>
              </w:tblCellMar>
            </w:tblPr>
            <w:tblGrid>
              <w:gridCol w:w="595"/>
              <w:gridCol w:w="1434"/>
              <w:gridCol w:w="709"/>
              <w:gridCol w:w="1134"/>
              <w:gridCol w:w="1417"/>
              <w:gridCol w:w="952"/>
              <w:gridCol w:w="1175"/>
              <w:gridCol w:w="662"/>
              <w:gridCol w:w="427"/>
            </w:tblGrid>
            <w:tr>
              <w:tblPrEx>
                <w:tblLayout w:type="fixed"/>
                <w:tblCellMar>
                  <w:top w:w="0" w:type="dxa"/>
                  <w:left w:w="108" w:type="dxa"/>
                  <w:bottom w:w="0" w:type="dxa"/>
                  <w:right w:w="108" w:type="dxa"/>
                </w:tblCellMar>
              </w:tblPrEx>
              <w:trPr>
                <w:trHeight w:val="525" w:hRule="atLeast"/>
              </w:trPr>
              <w:tc>
                <w:tcPr>
                  <w:tcW w:w="5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序号</w:t>
                  </w:r>
                </w:p>
              </w:tc>
              <w:tc>
                <w:tcPr>
                  <w:tcW w:w="14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固体废物种类</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产生量（</w:t>
                  </w:r>
                  <w:r>
                    <w:rPr>
                      <w:rFonts w:cs="Times New Roman" w:asciiTheme="minorEastAsia" w:hAnsiTheme="minorEastAsia"/>
                      <w:bCs/>
                      <w:color w:val="000000"/>
                      <w:kern w:val="0"/>
                      <w:sz w:val="18"/>
                      <w:szCs w:val="18"/>
                    </w:rPr>
                    <w:t>t/a</w:t>
                  </w:r>
                  <w:r>
                    <w:rPr>
                      <w:rFonts w:hint="eastAsia" w:cs="宋体" w:asciiTheme="minorEastAsia" w:hAnsiTheme="minorEastAsia"/>
                      <w:bCs/>
                      <w:color w:val="00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性质</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废物代码</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处置方式</w:t>
                  </w:r>
                </w:p>
              </w:tc>
              <w:tc>
                <w:tcPr>
                  <w:tcW w:w="117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最终去向</w:t>
                  </w:r>
                </w:p>
              </w:tc>
              <w:tc>
                <w:tcPr>
                  <w:tcW w:w="6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处置量（</w:t>
                  </w:r>
                  <w:r>
                    <w:rPr>
                      <w:rFonts w:cs="Times New Roman" w:asciiTheme="minorEastAsia" w:hAnsiTheme="minorEastAsia"/>
                      <w:bCs/>
                      <w:color w:val="000000"/>
                      <w:kern w:val="0"/>
                      <w:sz w:val="18"/>
                      <w:szCs w:val="18"/>
                    </w:rPr>
                    <w:t>t/a</w:t>
                  </w:r>
                  <w:r>
                    <w:rPr>
                      <w:rFonts w:hint="eastAsia" w:cs="宋体" w:asciiTheme="minorEastAsia" w:hAnsiTheme="minorEastAsia"/>
                      <w:bCs/>
                      <w:color w:val="000000"/>
                      <w:kern w:val="0"/>
                      <w:sz w:val="18"/>
                      <w:szCs w:val="18"/>
                    </w:rPr>
                    <w:t>）</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color w:val="000000"/>
                      <w:kern w:val="0"/>
                      <w:sz w:val="18"/>
                      <w:szCs w:val="18"/>
                    </w:rPr>
                  </w:pPr>
                  <w:r>
                    <w:rPr>
                      <w:rFonts w:hint="eastAsia" w:cs="宋体" w:asciiTheme="minorEastAsia" w:hAnsiTheme="minorEastAsia"/>
                      <w:bCs/>
                      <w:color w:val="000000"/>
                      <w:kern w:val="0"/>
                      <w:sz w:val="18"/>
                      <w:szCs w:val="18"/>
                    </w:rPr>
                    <w:t>排放量（</w:t>
                  </w:r>
                  <w:r>
                    <w:rPr>
                      <w:rFonts w:cs="Times New Roman" w:asciiTheme="minorEastAsia" w:hAnsiTheme="minorEastAsia"/>
                      <w:bCs/>
                      <w:color w:val="000000"/>
                      <w:kern w:val="0"/>
                      <w:sz w:val="18"/>
                      <w:szCs w:val="18"/>
                    </w:rPr>
                    <w:t>t/a</w:t>
                  </w:r>
                  <w:r>
                    <w:rPr>
                      <w:rFonts w:hint="eastAsia" w:cs="宋体" w:asciiTheme="minorEastAsia" w:hAnsiTheme="minorEastAsia"/>
                      <w:bCs/>
                      <w:color w:val="000000"/>
                      <w:kern w:val="0"/>
                      <w:sz w:val="18"/>
                      <w:szCs w:val="18"/>
                    </w:rPr>
                    <w:t>）</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生活垃圾</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12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生活垃圾</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交环卫部门统一处理</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交环卫部门统一处理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12.00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2</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板材边角料（S1、S3、S4、S15、S18、S19）</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 xml:space="preserve">825.30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一般工业固体废物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211-001-03</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外售单位</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825.30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3</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废砂纸（</w:t>
                  </w:r>
                  <w:r>
                    <w:rPr>
                      <w:rFonts w:hint="eastAsia" w:cs="Times New Roman" w:asciiTheme="minorEastAsia" w:hAnsiTheme="minorEastAsia"/>
                      <w:color w:val="000000"/>
                      <w:kern w:val="0"/>
                      <w:sz w:val="18"/>
                      <w:szCs w:val="18"/>
                    </w:rPr>
                    <w:t>S5）</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一般工业固体废物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211-001-99</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外售单位</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0.10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4</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废包装（</w:t>
                  </w:r>
                  <w:r>
                    <w:rPr>
                      <w:rFonts w:hint="eastAsia" w:cs="Times New Roman" w:asciiTheme="minorEastAsia" w:hAnsiTheme="minorEastAsia"/>
                      <w:color w:val="000000"/>
                      <w:kern w:val="0"/>
                      <w:sz w:val="18"/>
                      <w:szCs w:val="18"/>
                    </w:rPr>
                    <w:t>S6）</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一般工业固体废物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211-001-04</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外售单位</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1.00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5</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废封边条（</w:t>
                  </w:r>
                  <w:r>
                    <w:rPr>
                      <w:rFonts w:hint="eastAsia" w:cs="Times New Roman" w:asciiTheme="minorEastAsia" w:hAnsiTheme="minorEastAsia"/>
                      <w:color w:val="000000"/>
                      <w:kern w:val="0"/>
                      <w:sz w:val="18"/>
                      <w:szCs w:val="18"/>
                    </w:rPr>
                    <w:t>S17）</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一般工业固体废物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211-001-06</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外售单位</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0.10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6</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除尘器木粉（</w:t>
                  </w:r>
                  <w:r>
                    <w:rPr>
                      <w:rFonts w:hint="eastAsia" w:cs="Times New Roman" w:asciiTheme="minorEastAsia" w:hAnsiTheme="minorEastAsia"/>
                      <w:color w:val="000000"/>
                      <w:kern w:val="0"/>
                      <w:sz w:val="18"/>
                      <w:szCs w:val="18"/>
                    </w:rPr>
                    <w:t>S20）</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 xml:space="preserve">4.47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一般工业固体废物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211-001-99</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外售单位</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4.47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7</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废水站生化段污泥（</w:t>
                  </w:r>
                  <w:r>
                    <w:rPr>
                      <w:rFonts w:hint="eastAsia" w:cs="Times New Roman" w:asciiTheme="minorEastAsia" w:hAnsiTheme="minorEastAsia"/>
                      <w:color w:val="000000"/>
                      <w:kern w:val="0"/>
                      <w:sz w:val="18"/>
                      <w:szCs w:val="18"/>
                    </w:rPr>
                    <w:t>S22）</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一般工业固体废物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211-001-62</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外售单位</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2.00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8</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废胶桶（S2、S7）</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900-041-49</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1.00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9</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废漆桶（S8、S11、S12）</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900-041-49</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2.00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10</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废紫外光灯（</w:t>
                  </w:r>
                  <w:r>
                    <w:rPr>
                      <w:rFonts w:hint="eastAsia" w:cs="Times New Roman" w:asciiTheme="minorEastAsia" w:hAnsiTheme="minorEastAsia"/>
                      <w:color w:val="000000"/>
                      <w:kern w:val="0"/>
                      <w:sz w:val="18"/>
                      <w:szCs w:val="18"/>
                    </w:rPr>
                    <w:t>S9）</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0.05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HW29  </w:t>
                  </w:r>
                  <w:r>
                    <w:rPr>
                      <w:rFonts w:cs="Times New Roman" w:asciiTheme="minorEastAsia" w:hAnsiTheme="minorEastAsia"/>
                      <w:kern w:val="0"/>
                      <w:sz w:val="18"/>
                      <w:szCs w:val="18"/>
                    </w:rPr>
                    <w:t>900-023-29</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0.05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11</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漆粉（</w:t>
                  </w:r>
                  <w:r>
                    <w:rPr>
                      <w:rFonts w:hint="eastAsia" w:cs="Times New Roman" w:asciiTheme="minorEastAsia" w:hAnsiTheme="minorEastAsia"/>
                      <w:color w:val="000000"/>
                      <w:kern w:val="0"/>
                      <w:sz w:val="18"/>
                      <w:szCs w:val="18"/>
                    </w:rPr>
                    <w:t>S10）</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 xml:space="preserve">0.24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HW12 900-252-12</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0.24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12</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废活性炭（</w:t>
                  </w:r>
                  <w:r>
                    <w:rPr>
                      <w:rFonts w:hint="eastAsia" w:cs="Times New Roman" w:asciiTheme="minorEastAsia" w:hAnsiTheme="minorEastAsia"/>
                      <w:color w:val="000000"/>
                      <w:kern w:val="0"/>
                      <w:sz w:val="18"/>
                      <w:szCs w:val="18"/>
                    </w:rPr>
                    <w:t>S13）</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900-039-49</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6.00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13</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废催化剂（</w:t>
                  </w:r>
                  <w:r>
                    <w:rPr>
                      <w:rFonts w:hint="eastAsia" w:cs="Times New Roman" w:asciiTheme="minorEastAsia" w:hAnsiTheme="minorEastAsia"/>
                      <w:color w:val="000000"/>
                      <w:kern w:val="0"/>
                      <w:sz w:val="18"/>
                      <w:szCs w:val="18"/>
                    </w:rPr>
                    <w:t>S14）</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0.2</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HW50  900-049-50</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0.20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14</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废风琴纸（</w:t>
                  </w:r>
                  <w:r>
                    <w:rPr>
                      <w:rFonts w:hint="eastAsia" w:cs="Times New Roman" w:asciiTheme="minorEastAsia" w:hAnsiTheme="minorEastAsia"/>
                      <w:color w:val="000000"/>
                      <w:kern w:val="0"/>
                      <w:sz w:val="18"/>
                      <w:szCs w:val="18"/>
                    </w:rPr>
                    <w:t>S15）</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 xml:space="preserve">41.04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HW49  900-039-49</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41.04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15</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废热熔胶（</w:t>
                  </w:r>
                  <w:r>
                    <w:rPr>
                      <w:rFonts w:hint="eastAsia" w:cs="Times New Roman" w:asciiTheme="minorEastAsia" w:hAnsiTheme="minorEastAsia"/>
                      <w:color w:val="000000"/>
                      <w:kern w:val="0"/>
                      <w:sz w:val="18"/>
                      <w:szCs w:val="18"/>
                    </w:rPr>
                    <w:t>S16）</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HW13  900-014-13</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0.10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16</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废水站物化段污泥（</w:t>
                  </w:r>
                  <w:r>
                    <w:rPr>
                      <w:rFonts w:hint="eastAsia" w:cs="Times New Roman" w:asciiTheme="minorEastAsia" w:hAnsiTheme="minorEastAsia"/>
                      <w:color w:val="000000"/>
                      <w:kern w:val="0"/>
                      <w:sz w:val="18"/>
                      <w:szCs w:val="18"/>
                    </w:rPr>
                    <w:t>S21）</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 xml:space="preserve">1.60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 xml:space="preserve">HW49 </w:t>
                  </w:r>
                  <w:r>
                    <w:rPr>
                      <w:rFonts w:cs="Times New Roman" w:asciiTheme="minorEastAsia" w:hAnsiTheme="minorEastAsia"/>
                      <w:color w:val="000000"/>
                      <w:kern w:val="0"/>
                      <w:sz w:val="18"/>
                      <w:szCs w:val="18"/>
                    </w:rPr>
                    <w:t>900-252-12</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1.60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17</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油磨除尘灰（</w:t>
                  </w:r>
                  <w:r>
                    <w:rPr>
                      <w:rFonts w:cs="Times New Roman" w:asciiTheme="minorEastAsia" w:hAnsiTheme="minorEastAsia"/>
                      <w:kern w:val="0"/>
                      <w:sz w:val="18"/>
                      <w:szCs w:val="18"/>
                    </w:rPr>
                    <w:t>S23</w:t>
                  </w:r>
                  <w:r>
                    <w:rPr>
                      <w:rFonts w:hint="eastAsia" w:cs="Times New Roman" w:asciiTheme="minorEastAsia" w:hAnsiTheme="minorEastAsia"/>
                      <w:kern w:val="0"/>
                      <w:sz w:val="18"/>
                      <w:szCs w:val="18"/>
                    </w:rPr>
                    <w:t>）</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 xml:space="preserve">4.75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HW12 900-252-12</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4.75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r>
              <w:tblPrEx>
                <w:tblLayout w:type="fixed"/>
                <w:tblCellMar>
                  <w:top w:w="0" w:type="dxa"/>
                  <w:left w:w="108" w:type="dxa"/>
                  <w:bottom w:w="0" w:type="dxa"/>
                  <w:right w:w="108" w:type="dxa"/>
                </w:tblCellMar>
              </w:tblPrEx>
              <w:trPr>
                <w:trHeight w:val="270" w:hRule="atLeast"/>
              </w:trPr>
              <w:tc>
                <w:tcPr>
                  <w:tcW w:w="5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18</w:t>
                  </w:r>
                </w:p>
              </w:tc>
              <w:tc>
                <w:tcPr>
                  <w:tcW w:w="14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废润滑油（</w:t>
                  </w:r>
                  <w:r>
                    <w:rPr>
                      <w:rFonts w:cs="Times New Roman" w:asciiTheme="minorEastAsia" w:hAnsiTheme="minorEastAsia"/>
                      <w:kern w:val="0"/>
                      <w:sz w:val="18"/>
                      <w:szCs w:val="18"/>
                    </w:rPr>
                    <w:t>S24</w:t>
                  </w:r>
                  <w:r>
                    <w:rPr>
                      <w:rFonts w:hint="eastAsia" w:cs="Times New Roman" w:asciiTheme="minorEastAsia" w:hAnsiTheme="minorEastAsia"/>
                      <w:kern w:val="0"/>
                      <w:sz w:val="18"/>
                      <w:szCs w:val="18"/>
                    </w:rPr>
                    <w:t>）</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0.1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危险废物</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HW08 900-214-08</w:t>
                  </w:r>
                </w:p>
              </w:tc>
              <w:tc>
                <w:tcPr>
                  <w:tcW w:w="95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委托处置</w:t>
                  </w:r>
                </w:p>
              </w:tc>
              <w:tc>
                <w:tcPr>
                  <w:tcW w:w="1175"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交有资质单位处理</w:t>
                  </w:r>
                </w:p>
              </w:tc>
              <w:tc>
                <w:tcPr>
                  <w:tcW w:w="662" w:type="dxa"/>
                  <w:tcBorders>
                    <w:top w:val="nil"/>
                    <w:left w:val="nil"/>
                    <w:bottom w:val="single" w:color="auto" w:sz="4" w:space="0"/>
                    <w:right w:val="single" w:color="auto" w:sz="4" w:space="0"/>
                  </w:tcBorders>
                  <w:shd w:val="clear" w:color="auto" w:fill="auto"/>
                  <w:noWrap/>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 xml:space="preserve">0.10 </w:t>
                  </w:r>
                </w:p>
              </w:tc>
              <w:tc>
                <w:tcPr>
                  <w:tcW w:w="427" w:type="dxa"/>
                  <w:tcBorders>
                    <w:top w:val="nil"/>
                    <w:left w:val="nil"/>
                    <w:bottom w:val="single" w:color="auto" w:sz="4" w:space="0"/>
                    <w:right w:val="single" w:color="auto" w:sz="4" w:space="0"/>
                  </w:tcBorders>
                  <w:shd w:val="clear" w:color="auto" w:fill="auto"/>
                  <w:vAlign w:val="center"/>
                </w:tcPr>
                <w:p>
                  <w:pPr>
                    <w:widowControl/>
                    <w:jc w:val="center"/>
                    <w:rPr>
                      <w:rFonts w:cs="Times New Roman" w:asciiTheme="minorEastAsia" w:hAnsiTheme="minorEastAsia"/>
                      <w:color w:val="000000"/>
                      <w:kern w:val="0"/>
                      <w:sz w:val="18"/>
                      <w:szCs w:val="18"/>
                    </w:rPr>
                  </w:pPr>
                  <w:r>
                    <w:rPr>
                      <w:rFonts w:cs="Times New Roman" w:asciiTheme="minorEastAsia" w:hAnsiTheme="minorEastAsia"/>
                      <w:color w:val="000000"/>
                      <w:kern w:val="0"/>
                      <w:sz w:val="18"/>
                      <w:szCs w:val="18"/>
                    </w:rPr>
                    <w:t>0</w:t>
                  </w:r>
                </w:p>
              </w:tc>
            </w:tr>
          </w:tbl>
          <w:p>
            <w:pPr>
              <w:widowControl/>
              <w:adjustRightInd w:val="0"/>
              <w:snapToGrid w:val="0"/>
              <w:jc w:val="center"/>
              <w:rPr>
                <w:rFonts w:cs="Times New Roman" w:asciiTheme="minorEastAsia" w:hAnsiTheme="minorEastAsia"/>
                <w:kern w:val="0"/>
                <w:sz w:val="18"/>
                <w:szCs w:val="18"/>
              </w:rPr>
            </w:pPr>
            <w:bookmarkStart w:id="61" w:name="_Hlk71738610"/>
            <w:r>
              <w:rPr>
                <w:rFonts w:hint="eastAsia" w:cs="Times New Roman" w:asciiTheme="minorEastAsia" w:hAnsiTheme="minorEastAsia"/>
                <w:kern w:val="0"/>
                <w:sz w:val="18"/>
                <w:szCs w:val="18"/>
              </w:rPr>
              <w:t>表4.5-2  危险废物汇总表</w:t>
            </w:r>
          </w:p>
          <w:tbl>
            <w:tblPr>
              <w:tblStyle w:val="8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220"/>
              <w:gridCol w:w="1302"/>
              <w:gridCol w:w="851"/>
              <w:gridCol w:w="850"/>
              <w:gridCol w:w="1358"/>
              <w:gridCol w:w="768"/>
              <w:gridCol w:w="851"/>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563"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序号</w:t>
                  </w: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固体废物种类</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废物代码</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产生量（</w:t>
                  </w:r>
                  <w:r>
                    <w:rPr>
                      <w:rFonts w:cs="Times New Roman" w:asciiTheme="minorEastAsia" w:hAnsiTheme="minorEastAsia"/>
                      <w:kern w:val="0"/>
                      <w:sz w:val="18"/>
                      <w:szCs w:val="18"/>
                    </w:rPr>
                    <w:t>t/a</w:t>
                  </w:r>
                  <w:r>
                    <w:rPr>
                      <w:rFonts w:hint="eastAsia" w:cs="Times New Roman" w:asciiTheme="minorEastAsia" w:hAnsiTheme="minorEastAsia"/>
                      <w:kern w:val="0"/>
                      <w:sz w:val="18"/>
                      <w:szCs w:val="18"/>
                    </w:rPr>
                    <w:t>）</w:t>
                  </w:r>
                </w:p>
              </w:tc>
              <w:tc>
                <w:tcPr>
                  <w:tcW w:w="850" w:type="dxa"/>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形态</w:t>
                  </w:r>
                </w:p>
              </w:tc>
              <w:tc>
                <w:tcPr>
                  <w:tcW w:w="1358" w:type="dxa"/>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主要成分</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产废周期</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危险特性</w:t>
                  </w:r>
                </w:p>
              </w:tc>
              <w:tc>
                <w:tcPr>
                  <w:tcW w:w="759" w:type="dxa"/>
                  <w:shd w:val="clear" w:color="auto" w:fill="auto"/>
                  <w:vAlign w:val="center"/>
                </w:tcPr>
                <w:p>
                  <w:pPr>
                    <w:widowControl/>
                    <w:jc w:val="center"/>
                    <w:rPr>
                      <w:rFonts w:cs="Times New Roman" w:asciiTheme="minorEastAsia" w:hAnsiTheme="minorEastAsia"/>
                      <w:kern w:val="0"/>
                      <w:sz w:val="18"/>
                      <w:szCs w:val="18"/>
                    </w:rPr>
                  </w:pPr>
                  <w:r>
                    <w:rPr>
                      <w:rFonts w:cs="Times New Roman" w:asciiTheme="minorEastAsia" w:hAnsiTheme="minorEastAsia"/>
                      <w:kern w:val="0"/>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废胶桶（S2、S7）</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900-041-49</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1</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白乳胶</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3</w:t>
                  </w:r>
                  <w:r>
                    <w:rPr>
                      <w:rFonts w:hint="eastAsia" w:cs="Times New Roman" w:asciiTheme="minorEastAsia" w:hAnsiTheme="minorEastAsia"/>
                      <w:kern w:val="0"/>
                      <w:sz w:val="18"/>
                      <w:szCs w:val="18"/>
                    </w:rPr>
                    <w:t>d</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T/In</w:t>
                  </w:r>
                </w:p>
              </w:tc>
              <w:tc>
                <w:tcPr>
                  <w:tcW w:w="759" w:type="dxa"/>
                  <w:vMerge w:val="restart"/>
                  <w:shd w:val="clear" w:color="auto" w:fill="auto"/>
                  <w:vAlign w:val="center"/>
                </w:tcPr>
                <w:p>
                  <w:pPr>
                    <w:widowControl/>
                    <w:adjustRightInd w:val="0"/>
                    <w:snapToGrid w:val="0"/>
                    <w:rPr>
                      <w:rFonts w:cs="Times New Roman" w:asciiTheme="minorEastAsia" w:hAnsiTheme="minorEastAsia"/>
                      <w:kern w:val="0"/>
                      <w:sz w:val="18"/>
                      <w:szCs w:val="18"/>
                    </w:rPr>
                  </w:pPr>
                  <w:r>
                    <w:rPr>
                      <w:rFonts w:cs="Times New Roman" w:asciiTheme="minorEastAsia" w:hAnsiTheme="minorEastAsia"/>
                      <w:kern w:val="0"/>
                      <w:sz w:val="18"/>
                      <w:szCs w:val="18"/>
                    </w:rPr>
                    <w:t>暂存于危险废物暂存间，定期交由有资质单位处理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废漆桶（S8、S11、S12）</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900-041-49</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2</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有机物、空桶</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1</w:t>
                  </w:r>
                  <w:r>
                    <w:rPr>
                      <w:rFonts w:hint="eastAsia" w:cs="Times New Roman" w:asciiTheme="minorEastAsia" w:hAnsiTheme="minorEastAsia"/>
                      <w:kern w:val="0"/>
                      <w:sz w:val="18"/>
                      <w:szCs w:val="18"/>
                    </w:rPr>
                    <w:t>d</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T/In</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废紫外光灯（</w:t>
                  </w:r>
                  <w:r>
                    <w:rPr>
                      <w:rFonts w:hint="eastAsia" w:cs="Times New Roman" w:asciiTheme="minorEastAsia" w:hAnsiTheme="minorEastAsia"/>
                      <w:kern w:val="0"/>
                      <w:sz w:val="18"/>
                      <w:szCs w:val="18"/>
                    </w:rPr>
                    <w:t>S9）</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HW29  900-023-29</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0.05</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废含汞灯管</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1</w:t>
                  </w:r>
                  <w:r>
                    <w:rPr>
                      <w:rFonts w:hint="eastAsia" w:cs="Times New Roman" w:asciiTheme="minorEastAsia" w:hAnsiTheme="minorEastAsia"/>
                      <w:kern w:val="0"/>
                      <w:sz w:val="18"/>
                      <w:szCs w:val="18"/>
                    </w:rPr>
                    <w:t>年</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T</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漆粉（</w:t>
                  </w:r>
                  <w:r>
                    <w:rPr>
                      <w:rFonts w:hint="eastAsia" w:cs="Times New Roman" w:asciiTheme="minorEastAsia" w:hAnsiTheme="minorEastAsia"/>
                      <w:kern w:val="0"/>
                      <w:sz w:val="18"/>
                      <w:szCs w:val="18"/>
                    </w:rPr>
                    <w:t>S10）</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HW12 900-252-12</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0.24</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UV漆渣</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1</w:t>
                  </w:r>
                  <w:r>
                    <w:rPr>
                      <w:rFonts w:hint="eastAsia" w:cs="Times New Roman" w:asciiTheme="minorEastAsia" w:hAnsiTheme="minorEastAsia"/>
                      <w:kern w:val="0"/>
                      <w:sz w:val="18"/>
                      <w:szCs w:val="18"/>
                    </w:rPr>
                    <w:t>个月</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T、I</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废活性炭（</w:t>
                  </w:r>
                  <w:r>
                    <w:rPr>
                      <w:rFonts w:hint="eastAsia" w:cs="Times New Roman" w:asciiTheme="minorEastAsia" w:hAnsiTheme="minorEastAsia"/>
                      <w:kern w:val="0"/>
                      <w:sz w:val="18"/>
                      <w:szCs w:val="18"/>
                    </w:rPr>
                    <w:t>S13）</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900-039-49</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6</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活性炭</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半年</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T</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废催化剂（</w:t>
                  </w:r>
                  <w:r>
                    <w:rPr>
                      <w:rFonts w:hint="eastAsia" w:cs="Times New Roman" w:asciiTheme="minorEastAsia" w:hAnsiTheme="minorEastAsia"/>
                      <w:kern w:val="0"/>
                      <w:sz w:val="18"/>
                      <w:szCs w:val="18"/>
                    </w:rPr>
                    <w:t>S14）</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HW50  900-049-50</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0.2</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合金</w:t>
                  </w:r>
                </w:p>
              </w:tc>
              <w:tc>
                <w:tcPr>
                  <w:tcW w:w="768"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hint="eastAsia" w:asciiTheme="minorEastAsia" w:hAnsiTheme="minorEastAsia" w:eastAsiaTheme="minorEastAsia"/>
                      <w:color w:val="auto"/>
                      <w:sz w:val="18"/>
                      <w:szCs w:val="18"/>
                      <w:lang w:val="en-US"/>
                    </w:rPr>
                    <w:t>5年</w:t>
                  </w:r>
                </w:p>
              </w:tc>
              <w:tc>
                <w:tcPr>
                  <w:tcW w:w="851"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hint="eastAsia" w:asciiTheme="minorEastAsia" w:hAnsiTheme="minorEastAsia" w:eastAsiaTheme="minorEastAsia"/>
                      <w:color w:val="auto"/>
                      <w:sz w:val="18"/>
                      <w:szCs w:val="18"/>
                      <w:lang w:val="en-US"/>
                    </w:rPr>
                    <w:t>T</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废风琴纸（</w:t>
                  </w:r>
                  <w:r>
                    <w:rPr>
                      <w:rFonts w:hint="eastAsia" w:cs="Times New Roman" w:asciiTheme="minorEastAsia" w:hAnsiTheme="minorEastAsia"/>
                      <w:kern w:val="0"/>
                      <w:sz w:val="18"/>
                      <w:szCs w:val="18"/>
                    </w:rPr>
                    <w:t>S15）</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900-039-49</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41.04</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漆雾</w:t>
                  </w:r>
                </w:p>
              </w:tc>
              <w:tc>
                <w:tcPr>
                  <w:tcW w:w="768"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3</w:t>
                  </w:r>
                  <w:r>
                    <w:rPr>
                      <w:rFonts w:hint="eastAsia" w:asciiTheme="minorEastAsia" w:hAnsiTheme="minorEastAsia" w:eastAsiaTheme="minorEastAsia"/>
                      <w:color w:val="auto"/>
                      <w:sz w:val="18"/>
                      <w:szCs w:val="18"/>
                      <w:lang w:val="en-US"/>
                    </w:rPr>
                    <w:t>个月</w:t>
                  </w:r>
                </w:p>
              </w:tc>
              <w:tc>
                <w:tcPr>
                  <w:tcW w:w="851"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hint="eastAsia" w:asciiTheme="minorEastAsia" w:hAnsiTheme="minorEastAsia" w:eastAsiaTheme="minorEastAsia"/>
                      <w:color w:val="auto"/>
                      <w:sz w:val="18"/>
                      <w:szCs w:val="18"/>
                      <w:lang w:val="en-US"/>
                    </w:rPr>
                    <w:t>T</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废热熔胶（</w:t>
                  </w:r>
                  <w:r>
                    <w:rPr>
                      <w:rFonts w:hint="eastAsia" w:cs="Times New Roman" w:asciiTheme="minorEastAsia" w:hAnsiTheme="minorEastAsia"/>
                      <w:kern w:val="0"/>
                      <w:sz w:val="18"/>
                      <w:szCs w:val="18"/>
                    </w:rPr>
                    <w:t>S16）</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HW13  900-014-13</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0.1</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固态</w:t>
                  </w:r>
                </w:p>
              </w:tc>
              <w:tc>
                <w:tcPr>
                  <w:tcW w:w="1358"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树脂类</w:t>
                  </w:r>
                </w:p>
              </w:tc>
              <w:tc>
                <w:tcPr>
                  <w:tcW w:w="768"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1</w:t>
                  </w:r>
                  <w:r>
                    <w:rPr>
                      <w:rFonts w:hint="eastAsia" w:asciiTheme="minorEastAsia" w:hAnsiTheme="minorEastAsia" w:eastAsiaTheme="minorEastAsia"/>
                      <w:color w:val="auto"/>
                      <w:sz w:val="18"/>
                      <w:szCs w:val="18"/>
                      <w:lang w:val="en-US"/>
                    </w:rPr>
                    <w:t>d</w:t>
                  </w:r>
                </w:p>
              </w:tc>
              <w:tc>
                <w:tcPr>
                  <w:tcW w:w="851"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hint="eastAsia" w:asciiTheme="minorEastAsia" w:hAnsiTheme="minorEastAsia" w:eastAsiaTheme="minorEastAsia"/>
                      <w:color w:val="auto"/>
                      <w:sz w:val="18"/>
                      <w:szCs w:val="18"/>
                      <w:lang w:val="en-US"/>
                    </w:rPr>
                    <w:t>T</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废水站物化段污泥（</w:t>
                  </w:r>
                  <w:r>
                    <w:rPr>
                      <w:rFonts w:hint="eastAsia" w:cs="Times New Roman" w:asciiTheme="minorEastAsia" w:hAnsiTheme="minorEastAsia"/>
                      <w:kern w:val="0"/>
                      <w:sz w:val="18"/>
                      <w:szCs w:val="18"/>
                    </w:rPr>
                    <w:t>S21）</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HW49 900-252-12</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1.60</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半固态</w:t>
                  </w:r>
                </w:p>
              </w:tc>
              <w:tc>
                <w:tcPr>
                  <w:tcW w:w="1358"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漆雾</w:t>
                  </w:r>
                </w:p>
              </w:tc>
              <w:tc>
                <w:tcPr>
                  <w:tcW w:w="768"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1</w:t>
                  </w:r>
                  <w:r>
                    <w:rPr>
                      <w:rFonts w:hint="eastAsia" w:asciiTheme="minorEastAsia" w:hAnsiTheme="minorEastAsia" w:eastAsiaTheme="minorEastAsia"/>
                      <w:color w:val="auto"/>
                      <w:sz w:val="18"/>
                      <w:szCs w:val="18"/>
                      <w:lang w:val="en-US"/>
                    </w:rPr>
                    <w:t>d</w:t>
                  </w:r>
                </w:p>
              </w:tc>
              <w:tc>
                <w:tcPr>
                  <w:tcW w:w="851" w:type="dxa"/>
                  <w:shd w:val="clear" w:color="auto" w:fill="auto"/>
                  <w:noWrap/>
                  <w:vAlign w:val="center"/>
                </w:tcPr>
                <w:p>
                  <w:pPr>
                    <w:pStyle w:val="164"/>
                    <w:adjustRightInd w:val="0"/>
                    <w:snapToGrid w:val="0"/>
                    <w:rPr>
                      <w:rFonts w:asciiTheme="minorEastAsia" w:hAnsiTheme="minorEastAsia" w:eastAsiaTheme="minorEastAsia"/>
                      <w:color w:val="auto"/>
                      <w:sz w:val="18"/>
                      <w:szCs w:val="18"/>
                      <w:lang w:val="en-US"/>
                    </w:rPr>
                  </w:pPr>
                  <w:r>
                    <w:rPr>
                      <w:rFonts w:hint="eastAsia" w:asciiTheme="minorEastAsia" w:hAnsiTheme="minorEastAsia"/>
                      <w:color w:val="auto"/>
                      <w:sz w:val="18"/>
                      <w:szCs w:val="18"/>
                    </w:rPr>
                    <w:t>T、I</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油磨除尘灰（</w:t>
                  </w:r>
                  <w:r>
                    <w:rPr>
                      <w:rFonts w:cs="Times New Roman" w:asciiTheme="minorEastAsia" w:hAnsiTheme="minorEastAsia"/>
                      <w:kern w:val="0"/>
                      <w:sz w:val="18"/>
                      <w:szCs w:val="18"/>
                    </w:rPr>
                    <w:t>S23</w:t>
                  </w:r>
                  <w:r>
                    <w:rPr>
                      <w:rFonts w:hint="eastAsia" w:cs="Times New Roman" w:asciiTheme="minorEastAsia" w:hAnsiTheme="minorEastAsia"/>
                      <w:kern w:val="0"/>
                      <w:sz w:val="18"/>
                      <w:szCs w:val="18"/>
                    </w:rPr>
                    <w:t>）</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HW12 900-252-12</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4.75</w:t>
                  </w:r>
                </w:p>
              </w:tc>
              <w:tc>
                <w:tcPr>
                  <w:tcW w:w="850"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半固态</w:t>
                  </w:r>
                </w:p>
              </w:tc>
              <w:tc>
                <w:tcPr>
                  <w:tcW w:w="1358" w:type="dxa"/>
                  <w:vAlign w:val="center"/>
                </w:tcPr>
                <w:p>
                  <w:pPr>
                    <w:pStyle w:val="164"/>
                    <w:adjustRightInd w:val="0"/>
                    <w:snapToGrid w:val="0"/>
                    <w:rPr>
                      <w:rFonts w:asciiTheme="minorEastAsia" w:hAnsiTheme="minorEastAsia" w:eastAsiaTheme="minorEastAsia"/>
                      <w:color w:val="auto"/>
                      <w:sz w:val="18"/>
                      <w:szCs w:val="18"/>
                      <w:lang w:val="en-US"/>
                    </w:rPr>
                  </w:pPr>
                  <w:r>
                    <w:rPr>
                      <w:rFonts w:asciiTheme="minorEastAsia" w:hAnsiTheme="minorEastAsia" w:eastAsiaTheme="minorEastAsia"/>
                      <w:color w:val="auto"/>
                      <w:sz w:val="18"/>
                      <w:szCs w:val="18"/>
                      <w:lang w:val="en-US"/>
                    </w:rPr>
                    <w:t>漆雾</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3</w:t>
                  </w:r>
                  <w:r>
                    <w:rPr>
                      <w:rFonts w:hint="eastAsia" w:cs="Times New Roman" w:asciiTheme="minorEastAsia" w:hAnsiTheme="minorEastAsia"/>
                      <w:kern w:val="0"/>
                      <w:sz w:val="18"/>
                      <w:szCs w:val="18"/>
                    </w:rPr>
                    <w:t>个月</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T、I</w:t>
                  </w:r>
                </w:p>
              </w:tc>
              <w:tc>
                <w:tcPr>
                  <w:tcW w:w="759" w:type="dxa"/>
                  <w:vMerge w:val="continue"/>
                  <w:shd w:val="clear" w:color="auto" w:fill="auto"/>
                  <w:vAlign w:val="center"/>
                </w:tcPr>
                <w:p>
                  <w:pPr>
                    <w:jc w:val="center"/>
                    <w:rPr>
                      <w:rFonts w:cs="Times New Roman" w:asciiTheme="minorEastAsia" w:hAnsiTheme="minorEastAsia"/>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63" w:type="dxa"/>
                  <w:shd w:val="clear" w:color="auto" w:fill="auto"/>
                  <w:noWrap/>
                  <w:vAlign w:val="center"/>
                </w:tcPr>
                <w:p>
                  <w:pPr>
                    <w:pStyle w:val="152"/>
                    <w:widowControl/>
                    <w:numPr>
                      <w:ilvl w:val="0"/>
                      <w:numId w:val="23"/>
                    </w:numPr>
                    <w:adjustRightInd w:val="0"/>
                    <w:snapToGrid w:val="0"/>
                    <w:ind w:left="0" w:firstLine="0" w:firstLineChars="0"/>
                    <w:jc w:val="center"/>
                    <w:rPr>
                      <w:rFonts w:cs="Times New Roman" w:asciiTheme="minorEastAsia" w:hAnsiTheme="minorEastAsia"/>
                      <w:kern w:val="0"/>
                      <w:sz w:val="18"/>
                      <w:szCs w:val="18"/>
                    </w:rPr>
                  </w:pPr>
                </w:p>
              </w:tc>
              <w:tc>
                <w:tcPr>
                  <w:tcW w:w="1220"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废润滑油（</w:t>
                  </w:r>
                  <w:r>
                    <w:rPr>
                      <w:rFonts w:cs="Times New Roman" w:asciiTheme="minorEastAsia" w:hAnsiTheme="minorEastAsia"/>
                      <w:kern w:val="0"/>
                      <w:sz w:val="18"/>
                      <w:szCs w:val="18"/>
                    </w:rPr>
                    <w:t>S24</w:t>
                  </w:r>
                  <w:r>
                    <w:rPr>
                      <w:rFonts w:hint="eastAsia" w:cs="Times New Roman" w:asciiTheme="minorEastAsia" w:hAnsiTheme="minorEastAsia"/>
                      <w:kern w:val="0"/>
                      <w:sz w:val="18"/>
                      <w:szCs w:val="18"/>
                    </w:rPr>
                    <w:t>）</w:t>
                  </w:r>
                </w:p>
              </w:tc>
              <w:tc>
                <w:tcPr>
                  <w:tcW w:w="1302"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HW08 900-214-08</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0.1</w:t>
                  </w:r>
                </w:p>
              </w:tc>
              <w:tc>
                <w:tcPr>
                  <w:tcW w:w="850"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液态</w:t>
                  </w:r>
                </w:p>
              </w:tc>
              <w:tc>
                <w:tcPr>
                  <w:tcW w:w="1358" w:type="dxa"/>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油</w:t>
                  </w:r>
                </w:p>
              </w:tc>
              <w:tc>
                <w:tcPr>
                  <w:tcW w:w="76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6个月</w:t>
                  </w:r>
                </w:p>
              </w:tc>
              <w:tc>
                <w:tcPr>
                  <w:tcW w:w="851"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T、I</w:t>
                  </w:r>
                </w:p>
              </w:tc>
              <w:tc>
                <w:tcPr>
                  <w:tcW w:w="759" w:type="dxa"/>
                  <w:vMerge w:val="continue"/>
                  <w:shd w:val="clear" w:color="auto" w:fill="auto"/>
                  <w:vAlign w:val="center"/>
                </w:tcPr>
                <w:p>
                  <w:pPr>
                    <w:widowControl/>
                    <w:jc w:val="center"/>
                    <w:rPr>
                      <w:rFonts w:cs="Times New Roman" w:asciiTheme="minorEastAsia" w:hAnsiTheme="minorEastAsia"/>
                      <w:color w:val="000000"/>
                      <w:kern w:val="0"/>
                      <w:sz w:val="18"/>
                      <w:szCs w:val="18"/>
                    </w:rPr>
                  </w:pPr>
                </w:p>
              </w:tc>
            </w:tr>
            <w:bookmarkEnd w:id="61"/>
          </w:tbl>
          <w:p>
            <w:pPr>
              <w:pStyle w:val="164"/>
            </w:pPr>
            <w:bookmarkStart w:id="62" w:name="_Hlk71739129"/>
            <w:r>
              <w:rPr>
                <w:rFonts w:hint="eastAsia"/>
              </w:rPr>
              <w:t>表4.5-3  扩建项目危险废物贮存场所基本情况表</w:t>
            </w:r>
          </w:p>
          <w:tbl>
            <w:tblPr>
              <w:tblStyle w:val="162"/>
              <w:tblW w:w="8475" w:type="dxa"/>
              <w:jc w:val="center"/>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14"/>
              <w:gridCol w:w="697"/>
              <w:gridCol w:w="1672"/>
              <w:gridCol w:w="1995"/>
              <w:gridCol w:w="567"/>
              <w:gridCol w:w="426"/>
              <w:gridCol w:w="1002"/>
              <w:gridCol w:w="748"/>
              <w:gridCol w:w="85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序号</w:t>
                  </w:r>
                </w:p>
              </w:tc>
              <w:tc>
                <w:tcPr>
                  <w:tcW w:w="697"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贮存场所</w:t>
                  </w:r>
                </w:p>
              </w:tc>
              <w:tc>
                <w:tcPr>
                  <w:tcW w:w="1672"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名称</w:t>
                  </w:r>
                </w:p>
              </w:tc>
              <w:tc>
                <w:tcPr>
                  <w:tcW w:w="1995"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hint="eastAsia" w:cs="Times New Roman" w:asciiTheme="minorEastAsia" w:hAnsiTheme="minorEastAsia"/>
                      <w:b w:val="0"/>
                      <w:kern w:val="0"/>
                      <w:sz w:val="18"/>
                      <w:szCs w:val="18"/>
                    </w:rPr>
                    <w:t>危险废物</w:t>
                  </w:r>
                  <w:r>
                    <w:rPr>
                      <w:rFonts w:cs="Times New Roman" w:asciiTheme="minorEastAsia" w:hAnsiTheme="minorEastAsia"/>
                      <w:b w:val="0"/>
                      <w:kern w:val="0"/>
                      <w:sz w:val="18"/>
                      <w:szCs w:val="18"/>
                    </w:rPr>
                    <w:t>类别</w:t>
                  </w:r>
                  <w:r>
                    <w:rPr>
                      <w:rFonts w:hint="eastAsia" w:cs="Times New Roman" w:asciiTheme="minorEastAsia" w:hAnsiTheme="minorEastAsia"/>
                      <w:b w:val="0"/>
                      <w:kern w:val="0"/>
                      <w:sz w:val="18"/>
                      <w:szCs w:val="18"/>
                    </w:rPr>
                    <w:t>及</w:t>
                  </w:r>
                  <w:r>
                    <w:rPr>
                      <w:rFonts w:cs="Times New Roman" w:asciiTheme="minorEastAsia" w:hAnsiTheme="minorEastAsia"/>
                      <w:b w:val="0"/>
                      <w:kern w:val="0"/>
                      <w:sz w:val="18"/>
                      <w:szCs w:val="18"/>
                    </w:rPr>
                    <w:t>代码</w:t>
                  </w:r>
                </w:p>
              </w:tc>
              <w:tc>
                <w:tcPr>
                  <w:tcW w:w="567"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位置</w:t>
                  </w:r>
                </w:p>
              </w:tc>
              <w:tc>
                <w:tcPr>
                  <w:tcW w:w="426"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面积</w:t>
                  </w:r>
                </w:p>
              </w:tc>
              <w:tc>
                <w:tcPr>
                  <w:tcW w:w="1002"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贮存方式</w:t>
                  </w:r>
                </w:p>
              </w:tc>
              <w:tc>
                <w:tcPr>
                  <w:tcW w:w="748"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贮存能力（t）</w:t>
                  </w:r>
                </w:p>
              </w:tc>
              <w:tc>
                <w:tcPr>
                  <w:tcW w:w="854" w:type="dxa"/>
                  <w:shd w:val="clear" w:color="auto" w:fill="auto"/>
                  <w:noWrap/>
                  <w:vAlign w:val="center"/>
                </w:tcPr>
                <w:p>
                  <w:pPr>
                    <w:widowControl/>
                    <w:adjustRightInd w:val="0"/>
                    <w:snapToGrid w:val="0"/>
                    <w:jc w:val="center"/>
                    <w:rPr>
                      <w:rFonts w:cs="Times New Roman" w:asciiTheme="minorEastAsia" w:hAnsiTheme="minorEastAsia"/>
                      <w:b w:val="0"/>
                      <w:kern w:val="0"/>
                      <w:sz w:val="18"/>
                      <w:szCs w:val="18"/>
                    </w:rPr>
                  </w:pPr>
                  <w:r>
                    <w:rPr>
                      <w:rFonts w:cs="Times New Roman" w:asciiTheme="minorEastAsia" w:hAnsiTheme="minorEastAsia"/>
                      <w:b w:val="0"/>
                      <w:kern w:val="0"/>
                      <w:sz w:val="18"/>
                      <w:szCs w:val="18"/>
                    </w:rPr>
                    <w:t>贮存周期</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restart"/>
                  <w:shd w:val="clear" w:color="auto" w:fill="auto"/>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危废暂存间</w:t>
                  </w: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废胶桶（S2、S7）</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900-041-49</w:t>
                  </w:r>
                </w:p>
              </w:tc>
              <w:tc>
                <w:tcPr>
                  <w:tcW w:w="567" w:type="dxa"/>
                  <w:vMerge w:val="restart"/>
                  <w:shd w:val="clear" w:color="auto" w:fill="auto"/>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厂区西侧</w:t>
                  </w:r>
                </w:p>
              </w:tc>
              <w:tc>
                <w:tcPr>
                  <w:tcW w:w="426" w:type="dxa"/>
                  <w:vMerge w:val="restart"/>
                  <w:shd w:val="clear" w:color="auto" w:fill="auto"/>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15平方米</w:t>
                  </w: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托盘</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0.25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废漆桶（S8、S11、S12）</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900-041-49</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托盘</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0.50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废紫外光灯（</w:t>
                  </w:r>
                  <w:r>
                    <w:rPr>
                      <w:rFonts w:hint="eastAsia" w:cs="Times New Roman" w:asciiTheme="minorEastAsia" w:hAnsiTheme="minorEastAsia"/>
                      <w:kern w:val="0"/>
                      <w:sz w:val="18"/>
                      <w:szCs w:val="18"/>
                    </w:rPr>
                    <w:t>S9）</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HW29  900-023-29</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桶装</w:t>
                  </w:r>
                  <w:r>
                    <w:rPr>
                      <w:rFonts w:hint="eastAsia" w:cs="Times New Roman" w:asciiTheme="minorEastAsia" w:hAnsiTheme="minorEastAsia"/>
                      <w:kern w:val="0"/>
                      <w:sz w:val="18"/>
                      <w:szCs w:val="18"/>
                    </w:rPr>
                    <w:t>托盘</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0.01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漆粉（</w:t>
                  </w:r>
                  <w:r>
                    <w:rPr>
                      <w:rFonts w:hint="eastAsia" w:cs="Times New Roman" w:asciiTheme="minorEastAsia" w:hAnsiTheme="minorEastAsia"/>
                      <w:kern w:val="0"/>
                      <w:sz w:val="18"/>
                      <w:szCs w:val="18"/>
                    </w:rPr>
                    <w:t>S10）</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HW12 900-252-12</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密闭桶装</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0.06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废活性炭（</w:t>
                  </w:r>
                  <w:r>
                    <w:rPr>
                      <w:rFonts w:hint="eastAsia" w:cs="Times New Roman" w:asciiTheme="minorEastAsia" w:hAnsiTheme="minorEastAsia"/>
                      <w:kern w:val="0"/>
                      <w:sz w:val="18"/>
                      <w:szCs w:val="18"/>
                    </w:rPr>
                    <w:t>S13）</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900-039-49</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密闭桶装</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1.50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废催化剂（</w:t>
                  </w:r>
                  <w:r>
                    <w:rPr>
                      <w:rFonts w:hint="eastAsia" w:cs="Times New Roman" w:asciiTheme="minorEastAsia" w:hAnsiTheme="minorEastAsia"/>
                      <w:kern w:val="0"/>
                      <w:sz w:val="18"/>
                      <w:szCs w:val="18"/>
                    </w:rPr>
                    <w:t>S14）</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HW50  900-049-50</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密闭桶装</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0.05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废风琴纸（</w:t>
                  </w:r>
                  <w:r>
                    <w:rPr>
                      <w:rFonts w:hint="eastAsia" w:cs="Times New Roman" w:asciiTheme="minorEastAsia" w:hAnsiTheme="minorEastAsia"/>
                      <w:kern w:val="0"/>
                      <w:sz w:val="18"/>
                      <w:szCs w:val="18"/>
                    </w:rPr>
                    <w:t>S15）</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900-039-49</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密闭</w:t>
                  </w:r>
                  <w:r>
                    <w:rPr>
                      <w:rFonts w:hint="eastAsia" w:cs="Times New Roman" w:asciiTheme="minorEastAsia" w:hAnsiTheme="minorEastAsia"/>
                      <w:kern w:val="0"/>
                      <w:sz w:val="18"/>
                      <w:szCs w:val="18"/>
                    </w:rPr>
                    <w:t>袋</w:t>
                  </w:r>
                  <w:r>
                    <w:rPr>
                      <w:rFonts w:cs="Times New Roman" w:asciiTheme="minorEastAsia" w:hAnsiTheme="minorEastAsia"/>
                      <w:kern w:val="0"/>
                      <w:sz w:val="18"/>
                      <w:szCs w:val="18"/>
                    </w:rPr>
                    <w:t>装</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10.26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废热熔胶（</w:t>
                  </w:r>
                  <w:r>
                    <w:rPr>
                      <w:rFonts w:hint="eastAsia" w:cs="Times New Roman" w:asciiTheme="minorEastAsia" w:hAnsiTheme="minorEastAsia"/>
                      <w:kern w:val="0"/>
                      <w:sz w:val="18"/>
                      <w:szCs w:val="18"/>
                    </w:rPr>
                    <w:t>S16）</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HW13  900-014-13</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托盘</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0.03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废水站物化段污泥（</w:t>
                  </w:r>
                  <w:r>
                    <w:rPr>
                      <w:rFonts w:hint="eastAsia" w:cs="Times New Roman" w:asciiTheme="minorEastAsia" w:hAnsiTheme="minorEastAsia"/>
                      <w:kern w:val="0"/>
                      <w:sz w:val="18"/>
                      <w:szCs w:val="18"/>
                    </w:rPr>
                    <w:t>S21）</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HW49 900-252-12</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密闭</w:t>
                  </w:r>
                  <w:r>
                    <w:rPr>
                      <w:rFonts w:hint="eastAsia" w:cs="Times New Roman" w:asciiTheme="minorEastAsia" w:hAnsiTheme="minorEastAsia"/>
                      <w:kern w:val="0"/>
                      <w:sz w:val="18"/>
                      <w:szCs w:val="18"/>
                    </w:rPr>
                    <w:t>袋</w:t>
                  </w:r>
                  <w:r>
                    <w:rPr>
                      <w:rFonts w:cs="Times New Roman" w:asciiTheme="minorEastAsia" w:hAnsiTheme="minorEastAsia"/>
                      <w:kern w:val="0"/>
                      <w:sz w:val="18"/>
                      <w:szCs w:val="18"/>
                    </w:rPr>
                    <w:t>装</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0.40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油磨除尘灰（</w:t>
                  </w:r>
                  <w:r>
                    <w:rPr>
                      <w:rFonts w:cs="Times New Roman" w:asciiTheme="minorEastAsia" w:hAnsiTheme="minorEastAsia"/>
                      <w:kern w:val="0"/>
                      <w:sz w:val="18"/>
                      <w:szCs w:val="18"/>
                    </w:rPr>
                    <w:t>S23</w:t>
                  </w:r>
                  <w:r>
                    <w:rPr>
                      <w:rFonts w:hint="eastAsia" w:cs="Times New Roman" w:asciiTheme="minorEastAsia" w:hAnsiTheme="minorEastAsia"/>
                      <w:kern w:val="0"/>
                      <w:sz w:val="18"/>
                      <w:szCs w:val="18"/>
                    </w:rPr>
                    <w:t>）</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HW12 900-252-12</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密闭桶装</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1.19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4" w:type="dxa"/>
                  <w:shd w:val="clear" w:color="auto" w:fill="auto"/>
                  <w:noWrap/>
                  <w:vAlign w:val="center"/>
                </w:tcPr>
                <w:p>
                  <w:pPr>
                    <w:pStyle w:val="152"/>
                    <w:widowControl/>
                    <w:numPr>
                      <w:ilvl w:val="0"/>
                      <w:numId w:val="24"/>
                    </w:numPr>
                    <w:adjustRightInd w:val="0"/>
                    <w:snapToGrid w:val="0"/>
                    <w:ind w:firstLineChars="0"/>
                    <w:jc w:val="center"/>
                    <w:rPr>
                      <w:rFonts w:cs="Times New Roman" w:asciiTheme="minorEastAsia" w:hAnsiTheme="minorEastAsia"/>
                      <w:kern w:val="0"/>
                      <w:sz w:val="18"/>
                      <w:szCs w:val="18"/>
                    </w:rPr>
                  </w:pPr>
                </w:p>
              </w:tc>
              <w:tc>
                <w:tcPr>
                  <w:tcW w:w="69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67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废润滑油（</w:t>
                  </w:r>
                  <w:r>
                    <w:rPr>
                      <w:rFonts w:cs="Times New Roman" w:asciiTheme="minorEastAsia" w:hAnsiTheme="minorEastAsia"/>
                      <w:kern w:val="0"/>
                      <w:sz w:val="18"/>
                      <w:szCs w:val="18"/>
                    </w:rPr>
                    <w:t>S24</w:t>
                  </w:r>
                  <w:r>
                    <w:rPr>
                      <w:rFonts w:hint="eastAsia" w:cs="Times New Roman" w:asciiTheme="minorEastAsia" w:hAnsiTheme="minorEastAsia"/>
                      <w:kern w:val="0"/>
                      <w:sz w:val="18"/>
                      <w:szCs w:val="18"/>
                    </w:rPr>
                    <w:t>）</w:t>
                  </w:r>
                </w:p>
              </w:tc>
              <w:tc>
                <w:tcPr>
                  <w:tcW w:w="1995"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HW08 900-214-08</w:t>
                  </w:r>
                </w:p>
              </w:tc>
              <w:tc>
                <w:tcPr>
                  <w:tcW w:w="567"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426" w:type="dxa"/>
                  <w:vMerge w:val="continue"/>
                  <w:shd w:val="clear" w:color="auto" w:fill="auto"/>
                  <w:vAlign w:val="center"/>
                </w:tcPr>
                <w:p>
                  <w:pPr>
                    <w:widowControl/>
                    <w:adjustRightInd w:val="0"/>
                    <w:snapToGrid w:val="0"/>
                    <w:jc w:val="center"/>
                    <w:rPr>
                      <w:rFonts w:cs="Times New Roman" w:asciiTheme="minorEastAsia" w:hAnsiTheme="minorEastAsia"/>
                      <w:kern w:val="0"/>
                      <w:sz w:val="18"/>
                      <w:szCs w:val="18"/>
                    </w:rPr>
                  </w:pPr>
                </w:p>
              </w:tc>
              <w:tc>
                <w:tcPr>
                  <w:tcW w:w="1002"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cs="Times New Roman" w:asciiTheme="minorEastAsia" w:hAnsiTheme="minorEastAsia"/>
                      <w:kern w:val="0"/>
                      <w:sz w:val="18"/>
                      <w:szCs w:val="18"/>
                    </w:rPr>
                    <w:t>桶装</w:t>
                  </w:r>
                  <w:r>
                    <w:rPr>
                      <w:rFonts w:hint="eastAsia" w:cs="Times New Roman" w:asciiTheme="minorEastAsia" w:hAnsiTheme="minorEastAsia"/>
                      <w:kern w:val="0"/>
                      <w:sz w:val="18"/>
                      <w:szCs w:val="18"/>
                    </w:rPr>
                    <w:t>托盘</w:t>
                  </w:r>
                </w:p>
              </w:tc>
              <w:tc>
                <w:tcPr>
                  <w:tcW w:w="748"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 xml:space="preserve">0.03 </w:t>
                  </w:r>
                </w:p>
              </w:tc>
              <w:tc>
                <w:tcPr>
                  <w:tcW w:w="854" w:type="dxa"/>
                  <w:shd w:val="clear" w:color="auto" w:fill="auto"/>
                  <w:noWrap/>
                  <w:vAlign w:val="center"/>
                </w:tcPr>
                <w:p>
                  <w:pPr>
                    <w:widowControl/>
                    <w:adjustRightInd w:val="0"/>
                    <w:snapToGrid w:val="0"/>
                    <w:jc w:val="center"/>
                    <w:rPr>
                      <w:rFonts w:cs="Times New Roman" w:asciiTheme="minorEastAsia" w:hAnsiTheme="minorEastAsia"/>
                      <w:kern w:val="0"/>
                      <w:sz w:val="18"/>
                      <w:szCs w:val="18"/>
                    </w:rPr>
                  </w:pPr>
                  <w:r>
                    <w:rPr>
                      <w:rFonts w:hint="eastAsia" w:cs="Times New Roman" w:asciiTheme="minorEastAsia" w:hAnsiTheme="minorEastAsia"/>
                      <w:kern w:val="0"/>
                      <w:sz w:val="18"/>
                      <w:szCs w:val="18"/>
                    </w:rPr>
                    <w:t>3个月</w:t>
                  </w:r>
                </w:p>
              </w:tc>
            </w:tr>
            <w:bookmarkEnd w:id="59"/>
            <w:bookmarkEnd w:id="62"/>
          </w:tbl>
          <w:p>
            <w:pPr>
              <w:pStyle w:val="6"/>
              <w:keepNext w:val="0"/>
              <w:keepLines w:val="0"/>
              <w:snapToGrid w:val="0"/>
              <w:rPr>
                <w:rFonts w:ascii="宋体" w:hAnsi="宋体"/>
              </w:rPr>
            </w:pPr>
            <w:r>
              <w:rPr>
                <w:rFonts w:hint="eastAsia" w:ascii="宋体" w:hAnsi="宋体"/>
              </w:rPr>
              <w:t>4.6环境管理要求</w:t>
            </w:r>
          </w:p>
          <w:p>
            <w:pPr>
              <w:pStyle w:val="160"/>
              <w:ind w:firstLine="480"/>
            </w:pPr>
            <w:r>
              <w:rPr>
                <w:rFonts w:hint="eastAsia"/>
              </w:rPr>
              <w:t>一般工业固体废物暂存间贮存过程应满足相应防渗漏、防雨淋、防扬尘等环境保护要求，贮存应设置《环境保护图形标志-固体废物贮存（处置）场》（GB 15562.2-1995）中的规定设置警示标志及环境保护图形标志；</w:t>
            </w:r>
            <w:r>
              <w:t>堆场不得混入生活垃圾或危险废物</w:t>
            </w:r>
            <w:r>
              <w:rPr>
                <w:rFonts w:hint="eastAsia"/>
              </w:rPr>
              <w:t>等环境保护相关要求。</w:t>
            </w:r>
          </w:p>
          <w:p>
            <w:pPr>
              <w:pStyle w:val="160"/>
              <w:ind w:firstLine="480"/>
            </w:pPr>
            <w:r>
              <w:rPr>
                <w:rFonts w:hint="eastAsia"/>
              </w:rPr>
              <w:t>危险废物暂存间严格按照《危险废物贮存污染控制标准》（</w:t>
            </w:r>
            <w:r>
              <w:t>GB18597-2023）</w:t>
            </w:r>
            <w:r>
              <w:rPr>
                <w:rFonts w:hint="eastAsia"/>
              </w:rPr>
              <w:t>及其</w:t>
            </w:r>
            <w:r>
              <w:t>2013</w:t>
            </w:r>
            <w:r>
              <w:rPr>
                <w:rFonts w:hint="eastAsia"/>
              </w:rPr>
              <w:t>年修改单中有关要求进行防风、防雨、防晒、防渗漏处理，并设置危险废物标识标牌等；危险废物转移应按照《危险废物转移管理办法》（部令</w:t>
            </w:r>
            <w:r>
              <w:t>第23号）执行转移联单制度。</w:t>
            </w:r>
          </w:p>
          <w:p>
            <w:pPr>
              <w:pStyle w:val="5"/>
            </w:pPr>
            <w:r>
              <w:rPr>
                <w:rFonts w:hint="eastAsia"/>
              </w:rPr>
              <w:t>4.7地下水和土壤</w:t>
            </w:r>
          </w:p>
          <w:p>
            <w:pPr>
              <w:pStyle w:val="160"/>
              <w:ind w:firstLine="480"/>
            </w:pPr>
            <w:r>
              <w:rPr>
                <w:rFonts w:hint="eastAsia"/>
              </w:rPr>
              <w:t>扩建项目地下水、土壤污染源、污染物类型及途径情况见下</w:t>
            </w:r>
            <w:r>
              <w:rPr>
                <w:rFonts w:cstheme="majorBidi"/>
                <w:b/>
                <w:szCs w:val="20"/>
              </w:rPr>
              <w:fldChar w:fldCharType="begin"/>
            </w:r>
            <w:r>
              <w:rPr>
                <w:rFonts w:hint="eastAsia"/>
              </w:rPr>
              <w:instrText xml:space="preserve">REF _Ref84547695 \h</w:instrText>
            </w:r>
            <w:r>
              <w:rPr>
                <w:rFonts w:cstheme="majorBidi"/>
                <w:b/>
                <w:szCs w:val="20"/>
              </w:rPr>
              <w:fldChar w:fldCharType="separate"/>
            </w:r>
            <w:r>
              <w:t>表4.2</w:t>
            </w:r>
            <w:r>
              <w:noBreakHyphen/>
            </w:r>
            <w:r>
              <w:t>25</w:t>
            </w:r>
            <w:r>
              <w:fldChar w:fldCharType="end"/>
            </w:r>
            <w:r>
              <w:rPr>
                <w:rFonts w:hint="eastAsia"/>
              </w:rPr>
              <w:t>。</w:t>
            </w:r>
          </w:p>
          <w:p>
            <w:pPr>
              <w:pStyle w:val="164"/>
            </w:pPr>
            <w:bookmarkStart w:id="63" w:name="_Ref84547695"/>
            <w:r>
              <w:t>表</w:t>
            </w:r>
            <w:bookmarkEnd w:id="63"/>
            <w:r>
              <w:rPr>
                <w:rFonts w:hint="eastAsia"/>
              </w:rPr>
              <w:t xml:space="preserve">4.7-1  </w:t>
            </w:r>
            <w:r>
              <w:t>地下水、土壤污染源</w:t>
            </w:r>
            <w:r>
              <w:rPr>
                <w:rFonts w:hint="eastAsia"/>
              </w:rPr>
              <w:t>、</w:t>
            </w:r>
            <w:r>
              <w:t>污染物类型</w:t>
            </w:r>
            <w:r>
              <w:rPr>
                <w:rFonts w:hint="eastAsia"/>
              </w:rPr>
              <w:t>及途径</w:t>
            </w:r>
            <w:r>
              <w:t>情况一览表</w:t>
            </w:r>
          </w:p>
          <w:tbl>
            <w:tblPr>
              <w:tblStyle w:val="162"/>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7"/>
              <w:gridCol w:w="1875"/>
              <w:gridCol w:w="3851"/>
              <w:gridCol w:w="14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07" w:type="dxa"/>
                  <w:shd w:val="clear" w:color="auto" w:fill="auto"/>
                  <w:vAlign w:val="center"/>
                </w:tcPr>
                <w:p>
                  <w:pPr>
                    <w:pStyle w:val="164"/>
                    <w:rPr>
                      <w:b/>
                    </w:rPr>
                  </w:pPr>
                  <w:r>
                    <w:rPr>
                      <w:rFonts w:hint="eastAsia"/>
                      <w:b w:val="0"/>
                    </w:rPr>
                    <w:t>序号</w:t>
                  </w:r>
                </w:p>
              </w:tc>
              <w:tc>
                <w:tcPr>
                  <w:tcW w:w="1875" w:type="dxa"/>
                  <w:shd w:val="clear" w:color="auto" w:fill="auto"/>
                  <w:vAlign w:val="center"/>
                </w:tcPr>
                <w:p>
                  <w:pPr>
                    <w:pStyle w:val="164"/>
                    <w:rPr>
                      <w:b/>
                    </w:rPr>
                  </w:pPr>
                  <w:r>
                    <w:rPr>
                      <w:rFonts w:hint="eastAsia"/>
                      <w:b w:val="0"/>
                    </w:rPr>
                    <w:t>污染源</w:t>
                  </w:r>
                </w:p>
              </w:tc>
              <w:tc>
                <w:tcPr>
                  <w:tcW w:w="3851" w:type="dxa"/>
                  <w:shd w:val="clear" w:color="auto" w:fill="auto"/>
                  <w:vAlign w:val="center"/>
                </w:tcPr>
                <w:p>
                  <w:pPr>
                    <w:pStyle w:val="164"/>
                    <w:rPr>
                      <w:b/>
                    </w:rPr>
                  </w:pPr>
                  <w:r>
                    <w:rPr>
                      <w:rFonts w:hint="eastAsia"/>
                      <w:b w:val="0"/>
                    </w:rPr>
                    <w:t>污染物类型</w:t>
                  </w:r>
                </w:p>
              </w:tc>
              <w:tc>
                <w:tcPr>
                  <w:tcW w:w="1472" w:type="dxa"/>
                  <w:shd w:val="clear" w:color="auto" w:fill="auto"/>
                  <w:vAlign w:val="center"/>
                </w:tcPr>
                <w:p>
                  <w:pPr>
                    <w:pStyle w:val="164"/>
                    <w:rPr>
                      <w:b/>
                    </w:rPr>
                  </w:pPr>
                  <w:r>
                    <w:rPr>
                      <w:rFonts w:hint="eastAsia"/>
                      <w:b w:val="0"/>
                    </w:rPr>
                    <w:t>污染途径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07" w:type="dxa"/>
                  <w:shd w:val="clear" w:color="auto" w:fill="auto"/>
                  <w:vAlign w:val="center"/>
                </w:tcPr>
                <w:p>
                  <w:pPr>
                    <w:pStyle w:val="4074"/>
                    <w:rPr>
                      <w:sz w:val="21"/>
                    </w:rPr>
                  </w:pPr>
                  <w:r>
                    <w:rPr>
                      <w:rFonts w:hint="eastAsia"/>
                      <w:sz w:val="21"/>
                    </w:rPr>
                    <w:t>1</w:t>
                  </w:r>
                </w:p>
              </w:tc>
              <w:tc>
                <w:tcPr>
                  <w:tcW w:w="1875" w:type="dxa"/>
                  <w:shd w:val="clear" w:color="auto" w:fill="auto"/>
                  <w:vAlign w:val="center"/>
                </w:tcPr>
                <w:p>
                  <w:pPr>
                    <w:pStyle w:val="4074"/>
                    <w:rPr>
                      <w:sz w:val="21"/>
                    </w:rPr>
                  </w:pPr>
                  <w:r>
                    <w:rPr>
                      <w:rFonts w:hint="eastAsia"/>
                      <w:sz w:val="21"/>
                    </w:rPr>
                    <w:t>喷涂车间</w:t>
                  </w:r>
                </w:p>
              </w:tc>
              <w:tc>
                <w:tcPr>
                  <w:tcW w:w="3851" w:type="dxa"/>
                  <w:shd w:val="clear" w:color="auto" w:fill="auto"/>
                  <w:vAlign w:val="center"/>
                </w:tcPr>
                <w:p>
                  <w:pPr>
                    <w:pStyle w:val="4074"/>
                    <w:rPr>
                      <w:sz w:val="21"/>
                    </w:rPr>
                  </w:pPr>
                  <w:r>
                    <w:rPr>
                      <w:rFonts w:hint="eastAsia"/>
                      <w:sz w:val="21"/>
                    </w:rPr>
                    <w:t>油漆</w:t>
                  </w:r>
                </w:p>
              </w:tc>
              <w:tc>
                <w:tcPr>
                  <w:tcW w:w="1472" w:type="dxa"/>
                  <w:shd w:val="clear" w:color="auto" w:fill="auto"/>
                  <w:vAlign w:val="center"/>
                </w:tcPr>
                <w:p>
                  <w:pPr>
                    <w:pStyle w:val="4074"/>
                    <w:rPr>
                      <w:sz w:val="21"/>
                    </w:rPr>
                  </w:pPr>
                  <w:r>
                    <w:rPr>
                      <w:rFonts w:hint="eastAsia"/>
                      <w:sz w:val="21"/>
                    </w:rPr>
                    <w:t>泄露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07" w:type="dxa"/>
                  <w:shd w:val="clear" w:color="auto" w:fill="auto"/>
                  <w:vAlign w:val="center"/>
                </w:tcPr>
                <w:p>
                  <w:pPr>
                    <w:pStyle w:val="4074"/>
                    <w:rPr>
                      <w:sz w:val="21"/>
                    </w:rPr>
                  </w:pPr>
                  <w:r>
                    <w:rPr>
                      <w:sz w:val="21"/>
                    </w:rPr>
                    <w:t>2</w:t>
                  </w:r>
                </w:p>
              </w:tc>
              <w:tc>
                <w:tcPr>
                  <w:tcW w:w="1875" w:type="dxa"/>
                  <w:shd w:val="clear" w:color="auto" w:fill="auto"/>
                  <w:vAlign w:val="center"/>
                </w:tcPr>
                <w:p>
                  <w:pPr>
                    <w:pStyle w:val="4074"/>
                    <w:rPr>
                      <w:sz w:val="21"/>
                    </w:rPr>
                  </w:pPr>
                  <w:r>
                    <w:rPr>
                      <w:rFonts w:hint="eastAsia"/>
                      <w:sz w:val="21"/>
                    </w:rPr>
                    <w:t>油料库房</w:t>
                  </w:r>
                </w:p>
              </w:tc>
              <w:tc>
                <w:tcPr>
                  <w:tcW w:w="3851" w:type="dxa"/>
                  <w:shd w:val="clear" w:color="auto" w:fill="auto"/>
                  <w:vAlign w:val="center"/>
                </w:tcPr>
                <w:p>
                  <w:pPr>
                    <w:pStyle w:val="4074"/>
                    <w:rPr>
                      <w:sz w:val="21"/>
                    </w:rPr>
                  </w:pPr>
                  <w:r>
                    <w:rPr>
                      <w:rFonts w:hint="eastAsia"/>
                      <w:sz w:val="21"/>
                    </w:rPr>
                    <w:t>油漆、白乳胶</w:t>
                  </w:r>
                </w:p>
              </w:tc>
              <w:tc>
                <w:tcPr>
                  <w:tcW w:w="1472" w:type="dxa"/>
                  <w:shd w:val="clear" w:color="auto" w:fill="auto"/>
                  <w:vAlign w:val="center"/>
                </w:tcPr>
                <w:p>
                  <w:pPr>
                    <w:pStyle w:val="4074"/>
                    <w:rPr>
                      <w:sz w:val="21"/>
                    </w:rPr>
                  </w:pPr>
                  <w:r>
                    <w:rPr>
                      <w:rFonts w:hint="eastAsia"/>
                      <w:sz w:val="21"/>
                    </w:rPr>
                    <w:t>泄露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07" w:type="dxa"/>
                  <w:shd w:val="clear" w:color="auto" w:fill="auto"/>
                  <w:vAlign w:val="center"/>
                </w:tcPr>
                <w:p>
                  <w:pPr>
                    <w:pStyle w:val="4074"/>
                    <w:rPr>
                      <w:sz w:val="21"/>
                    </w:rPr>
                  </w:pPr>
                  <w:r>
                    <w:rPr>
                      <w:sz w:val="21"/>
                    </w:rPr>
                    <w:t>3</w:t>
                  </w:r>
                </w:p>
              </w:tc>
              <w:tc>
                <w:tcPr>
                  <w:tcW w:w="1875" w:type="dxa"/>
                  <w:shd w:val="clear" w:color="auto" w:fill="auto"/>
                  <w:vAlign w:val="center"/>
                </w:tcPr>
                <w:p>
                  <w:pPr>
                    <w:pStyle w:val="4074"/>
                    <w:rPr>
                      <w:sz w:val="21"/>
                    </w:rPr>
                  </w:pPr>
                  <w:r>
                    <w:rPr>
                      <w:rFonts w:hint="eastAsia"/>
                      <w:sz w:val="21"/>
                    </w:rPr>
                    <w:t>危险废物暂存间</w:t>
                  </w:r>
                </w:p>
              </w:tc>
              <w:tc>
                <w:tcPr>
                  <w:tcW w:w="3851" w:type="dxa"/>
                  <w:shd w:val="clear" w:color="auto" w:fill="auto"/>
                  <w:vAlign w:val="center"/>
                </w:tcPr>
                <w:p>
                  <w:pPr>
                    <w:pStyle w:val="4074"/>
                    <w:rPr>
                      <w:sz w:val="21"/>
                    </w:rPr>
                  </w:pPr>
                  <w:r>
                    <w:rPr>
                      <w:rFonts w:hint="eastAsia"/>
                      <w:sz w:val="21"/>
                    </w:rPr>
                    <w:t>污泥</w:t>
                  </w:r>
                </w:p>
              </w:tc>
              <w:tc>
                <w:tcPr>
                  <w:tcW w:w="1472" w:type="dxa"/>
                  <w:shd w:val="clear" w:color="auto" w:fill="auto"/>
                  <w:vAlign w:val="center"/>
                </w:tcPr>
                <w:p>
                  <w:pPr>
                    <w:pStyle w:val="4074"/>
                    <w:rPr>
                      <w:sz w:val="21"/>
                    </w:rPr>
                  </w:pPr>
                  <w:r>
                    <w:rPr>
                      <w:rFonts w:hint="eastAsia"/>
                      <w:sz w:val="21"/>
                    </w:rPr>
                    <w:t>泄露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07" w:type="dxa"/>
                  <w:shd w:val="clear" w:color="auto" w:fill="auto"/>
                  <w:vAlign w:val="center"/>
                </w:tcPr>
                <w:p>
                  <w:pPr>
                    <w:pStyle w:val="4074"/>
                    <w:rPr>
                      <w:sz w:val="21"/>
                    </w:rPr>
                  </w:pPr>
                  <w:r>
                    <w:rPr>
                      <w:rFonts w:hint="eastAsia"/>
                      <w:sz w:val="21"/>
                    </w:rPr>
                    <w:t>4</w:t>
                  </w:r>
                </w:p>
              </w:tc>
              <w:tc>
                <w:tcPr>
                  <w:tcW w:w="1875" w:type="dxa"/>
                  <w:shd w:val="clear" w:color="auto" w:fill="auto"/>
                  <w:vAlign w:val="center"/>
                </w:tcPr>
                <w:p>
                  <w:pPr>
                    <w:pStyle w:val="4074"/>
                    <w:rPr>
                      <w:sz w:val="21"/>
                    </w:rPr>
                  </w:pPr>
                  <w:r>
                    <w:rPr>
                      <w:rFonts w:hint="eastAsia"/>
                      <w:sz w:val="21"/>
                    </w:rPr>
                    <w:t>涂装废气处理设备</w:t>
                  </w:r>
                </w:p>
              </w:tc>
              <w:tc>
                <w:tcPr>
                  <w:tcW w:w="3851" w:type="dxa"/>
                  <w:shd w:val="clear" w:color="auto" w:fill="auto"/>
                  <w:vAlign w:val="center"/>
                </w:tcPr>
                <w:p>
                  <w:pPr>
                    <w:pStyle w:val="4074"/>
                    <w:rPr>
                      <w:sz w:val="21"/>
                    </w:rPr>
                  </w:pPr>
                  <w:r>
                    <w:rPr>
                      <w:rFonts w:hint="eastAsia"/>
                      <w:sz w:val="21"/>
                    </w:rPr>
                    <w:t>油漆</w:t>
                  </w:r>
                </w:p>
              </w:tc>
              <w:tc>
                <w:tcPr>
                  <w:tcW w:w="1472" w:type="dxa"/>
                  <w:shd w:val="clear" w:color="auto" w:fill="auto"/>
                  <w:vAlign w:val="center"/>
                </w:tcPr>
                <w:p>
                  <w:pPr>
                    <w:pStyle w:val="4074"/>
                    <w:rPr>
                      <w:sz w:val="21"/>
                    </w:rPr>
                  </w:pPr>
                  <w:r>
                    <w:rPr>
                      <w:rFonts w:hint="eastAsia"/>
                      <w:sz w:val="21"/>
                    </w:rPr>
                    <w:t>渗漏</w:t>
                  </w:r>
                </w:p>
              </w:tc>
            </w:tr>
          </w:tbl>
          <w:p>
            <w:pPr>
              <w:pStyle w:val="160"/>
              <w:ind w:firstLine="480"/>
            </w:pPr>
            <w:r>
              <w:rPr>
                <w:rFonts w:hint="eastAsia"/>
              </w:rPr>
              <w:t>由上表可知，扩建项目地下水、土壤污染源主要是在</w:t>
            </w:r>
            <w:r>
              <w:rPr>
                <w:rFonts w:hint="eastAsia" w:cs="Times New Roman"/>
              </w:rPr>
              <w:t>油料</w:t>
            </w:r>
            <w:r>
              <w:rPr>
                <w:rFonts w:cs="Times New Roman"/>
              </w:rPr>
              <w:t>库房</w:t>
            </w:r>
            <w:r>
              <w:rPr>
                <w:rFonts w:hint="eastAsia"/>
              </w:rPr>
              <w:t>以及危险废物暂存间区域，污染物类型主要为各类液体物料区域，则扩建项目地下水及土壤污染防治措施按照“源头控制、分区防治、污染监控、应急响应”相结合的原则进行控制。</w:t>
            </w:r>
          </w:p>
          <w:p>
            <w:pPr>
              <w:pStyle w:val="4075"/>
              <w:numPr>
                <w:ilvl w:val="0"/>
                <w:numId w:val="25"/>
              </w:numPr>
            </w:pPr>
            <w:r>
              <w:rPr>
                <w:rFonts w:hint="eastAsia"/>
              </w:rPr>
              <w:t>源头控制措施</w:t>
            </w:r>
          </w:p>
          <w:p>
            <w:pPr>
              <w:pStyle w:val="160"/>
              <w:ind w:firstLine="480"/>
            </w:pPr>
            <w:r>
              <w:rPr>
                <w:rFonts w:hint="eastAsia"/>
              </w:rPr>
              <w:t>油料库房以及危险废物暂存间按照《环境影响评价技术导则</w:t>
            </w:r>
            <w:r>
              <w:t>地下水环境</w:t>
            </w:r>
            <w:r>
              <w:rPr>
                <w:rFonts w:hint="eastAsia"/>
              </w:rPr>
              <w:t>》（</w:t>
            </w:r>
            <w:r>
              <w:t>HJ 610-2016</w:t>
            </w:r>
            <w:r>
              <w:rPr>
                <w:rFonts w:hint="eastAsia"/>
              </w:rPr>
              <w:t>）的要求，地面采用坚固、防渗、耐腐蚀的钢筋混凝土材料铺设，同时设置托盘或围堰</w:t>
            </w:r>
            <w:r>
              <w:t>。</w:t>
            </w:r>
          </w:p>
          <w:p>
            <w:pPr>
              <w:pStyle w:val="160"/>
              <w:ind w:firstLine="480"/>
            </w:pPr>
            <w:r>
              <w:rPr>
                <w:rFonts w:hint="eastAsia"/>
              </w:rPr>
              <w:t>工作人员应加强油料库房和危险废物间的检修、加固，防止渗漏，对地下水造成污染。</w:t>
            </w:r>
          </w:p>
          <w:p>
            <w:pPr>
              <w:pStyle w:val="4075"/>
              <w:numPr>
                <w:ilvl w:val="0"/>
                <w:numId w:val="25"/>
              </w:numPr>
            </w:pPr>
            <w:r>
              <w:rPr>
                <w:rFonts w:hint="eastAsia"/>
              </w:rPr>
              <w:t>防渗分区防治及措施</w:t>
            </w:r>
          </w:p>
          <w:p>
            <w:pPr>
              <w:pStyle w:val="160"/>
              <w:ind w:firstLine="480"/>
            </w:pPr>
            <w:r>
              <w:rPr>
                <w:rFonts w:hint="eastAsia"/>
              </w:rPr>
              <w:t>根据防渗分区技术方法及扩建项目的工程分析，将喷涂车间、油料库房、危险废物暂存间及涂装废气处理设备划分为重点防渗区；</w:t>
            </w:r>
            <w:r>
              <w:t>厂房其他生产区划分为一般防渗区。</w:t>
            </w:r>
          </w:p>
          <w:p>
            <w:pPr>
              <w:pStyle w:val="4076"/>
              <w:numPr>
                <w:ilvl w:val="0"/>
                <w:numId w:val="26"/>
              </w:numPr>
              <w:ind w:firstLine="482"/>
            </w:pPr>
            <w:r>
              <w:t>重点防渗区</w:t>
            </w:r>
            <w:r>
              <w:rPr>
                <w:rFonts w:hint="eastAsia"/>
              </w:rPr>
              <w:t>：</w:t>
            </w:r>
            <w:r>
              <w:rPr>
                <w:rFonts w:hint="eastAsia"/>
                <w:bCs/>
              </w:rPr>
              <w:t>防渗技术要求等效黏土防渗层</w:t>
            </w:r>
            <w:r>
              <w:rPr>
                <w:bCs/>
              </w:rPr>
              <w:t>Mb</w:t>
            </w:r>
            <w:r>
              <w:rPr>
                <w:rFonts w:ascii="宋体" w:hAnsi="宋体"/>
                <w:bCs/>
              </w:rPr>
              <w:t>≥</w:t>
            </w:r>
            <w:r>
              <w:rPr>
                <w:bCs/>
              </w:rPr>
              <w:t>6.0m，K</w:t>
            </w:r>
            <w:r>
              <w:rPr>
                <w:rFonts w:ascii="宋体" w:hAnsi="宋体"/>
                <w:bCs/>
              </w:rPr>
              <w:t>≤</w:t>
            </w:r>
            <w:r>
              <w:rPr>
                <w:bCs/>
              </w:rPr>
              <w:t>1×10</w:t>
            </w:r>
            <w:r>
              <w:rPr>
                <w:bCs/>
                <w:vertAlign w:val="superscript"/>
              </w:rPr>
              <w:t>-7</w:t>
            </w:r>
            <w:r>
              <w:rPr>
                <w:bCs/>
              </w:rPr>
              <w:t>cm/s；或参照GB18598 执行</w:t>
            </w:r>
            <w:r>
              <w:rPr>
                <w:rFonts w:hint="eastAsia"/>
              </w:rPr>
              <w:t>；</w:t>
            </w:r>
          </w:p>
          <w:p>
            <w:pPr>
              <w:pStyle w:val="4076"/>
            </w:pPr>
            <w:r>
              <w:t>一般防渗区</w:t>
            </w:r>
            <w:r>
              <w:rPr>
                <w:rFonts w:hint="eastAsia"/>
              </w:rPr>
              <w:t>：</w:t>
            </w:r>
            <w:r>
              <w:t>防渗技术要求等效黏土防渗层Mb</w:t>
            </w:r>
            <w:r>
              <w:rPr>
                <w:rFonts w:ascii="宋体" w:hAnsi="宋体"/>
                <w:bCs/>
              </w:rPr>
              <w:t>≥</w:t>
            </w:r>
            <w:r>
              <w:t>1.5m，K</w:t>
            </w:r>
            <w:r>
              <w:rPr>
                <w:rFonts w:ascii="宋体" w:hAnsi="宋体"/>
                <w:bCs/>
              </w:rPr>
              <w:t>≤</w:t>
            </w:r>
            <w:r>
              <w:t>1×10</w:t>
            </w:r>
            <w:r>
              <w:rPr>
                <w:vertAlign w:val="superscript"/>
              </w:rPr>
              <w:t>-7</w:t>
            </w:r>
            <w:r>
              <w:t>cm/s；或参照GB16889 执行</w:t>
            </w:r>
            <w:r>
              <w:rPr>
                <w:rFonts w:hint="eastAsia"/>
              </w:rPr>
              <w:t>。</w:t>
            </w:r>
          </w:p>
          <w:p>
            <w:pPr>
              <w:pStyle w:val="4075"/>
              <w:numPr>
                <w:ilvl w:val="0"/>
                <w:numId w:val="25"/>
              </w:numPr>
            </w:pPr>
            <w:r>
              <w:rPr>
                <w:rFonts w:hint="eastAsia"/>
              </w:rPr>
              <w:t>风险事故应急响应</w:t>
            </w:r>
          </w:p>
          <w:p>
            <w:pPr>
              <w:pStyle w:val="160"/>
              <w:ind w:firstLine="480"/>
            </w:pPr>
            <w:r>
              <w:rPr>
                <w:rFonts w:hint="eastAsia"/>
              </w:rPr>
              <w:t>发现渗漏时应立即停止运营，组织人员查明渗漏源头，采取补救措施。</w:t>
            </w:r>
          </w:p>
          <w:p>
            <w:pPr>
              <w:pStyle w:val="4075"/>
              <w:numPr>
                <w:ilvl w:val="0"/>
                <w:numId w:val="25"/>
              </w:numPr>
            </w:pPr>
            <w:r>
              <w:rPr>
                <w:rFonts w:hint="eastAsia"/>
              </w:rPr>
              <w:t>跟踪监测</w:t>
            </w:r>
          </w:p>
          <w:p>
            <w:pPr>
              <w:pStyle w:val="160"/>
              <w:ind w:firstLine="480"/>
            </w:pPr>
            <w:r>
              <w:rPr>
                <w:rFonts w:hint="eastAsia"/>
              </w:rPr>
              <w:t>扩建项目所有原料及危险废物均储存于托盘上，一旦发生泄露可及时发现，可以保证对污染源进行监控，因此扩建项目可不设置跟踪监测点位。</w:t>
            </w:r>
          </w:p>
          <w:p>
            <w:pPr>
              <w:pStyle w:val="160"/>
              <w:ind w:firstLine="480"/>
            </w:pPr>
            <w:r>
              <w:rPr>
                <w:rFonts w:hint="eastAsia"/>
              </w:rPr>
              <w:t>综上，扩建项目在确保各项措施得到落实，并加强维护和厂区环境管理的前提下，不存在地下水、土壤的污染途径，可有效避免污染地下水及土壤，因此扩建项目不会对地下水及土壤环境产生明显影响。</w:t>
            </w:r>
          </w:p>
          <w:p>
            <w:pPr>
              <w:pStyle w:val="5"/>
              <w:keepNext w:val="0"/>
              <w:keepLines w:val="0"/>
              <w:snapToGrid w:val="0"/>
              <w:rPr>
                <w:rFonts w:ascii="宋体" w:hAnsi="宋体"/>
              </w:rPr>
            </w:pPr>
            <w:r>
              <w:rPr>
                <w:rFonts w:hint="eastAsia" w:ascii="宋体" w:hAnsi="宋体"/>
              </w:rPr>
              <w:t>4.8环境风险</w:t>
            </w:r>
          </w:p>
          <w:p>
            <w:pPr>
              <w:pStyle w:val="6"/>
              <w:keepNext w:val="0"/>
              <w:keepLines w:val="0"/>
              <w:rPr>
                <w:rFonts w:ascii="宋体" w:hAnsi="宋体"/>
              </w:rPr>
            </w:pPr>
            <w:r>
              <w:rPr>
                <w:rFonts w:hint="eastAsia" w:ascii="宋体" w:hAnsi="宋体"/>
              </w:rPr>
              <w:t>4.8.1评价依据</w:t>
            </w:r>
          </w:p>
          <w:p>
            <w:pPr>
              <w:pStyle w:val="160"/>
              <w:ind w:firstLine="480"/>
            </w:pPr>
            <w:r>
              <w:rPr>
                <w:rFonts w:hint="eastAsia"/>
              </w:rPr>
              <w:t>按照《环境风险评价技术导则》（HJ169-2018）附录B、C规定进行识别，扩建项目风险物质为原料库的白乳胶、水性漆、润滑油及危险废物暂存间危险废物。</w:t>
            </w:r>
          </w:p>
          <w:p>
            <w:pPr>
              <w:pStyle w:val="164"/>
            </w:pPr>
            <w:r>
              <w:rPr>
                <w:rFonts w:hint="eastAsia"/>
              </w:rPr>
              <w:t>表4.8-1  扩建项目环境风险物质调查一览表</w:t>
            </w:r>
          </w:p>
          <w:tbl>
            <w:tblPr>
              <w:tblStyle w:val="162"/>
              <w:tblW w:w="843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467"/>
              <w:gridCol w:w="2251"/>
              <w:gridCol w:w="603"/>
              <w:gridCol w:w="836"/>
              <w:gridCol w:w="1259"/>
              <w:gridCol w:w="920"/>
              <w:gridCol w:w="742"/>
              <w:gridCol w:w="13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64"/>
                    <w:rPr>
                      <w:b/>
                      <w:bCs/>
                      <w:color w:val="auto"/>
                    </w:rPr>
                  </w:pPr>
                  <w:r>
                    <w:rPr>
                      <w:b w:val="0"/>
                      <w:bCs/>
                      <w:color w:val="auto"/>
                    </w:rPr>
                    <w:t>序号</w:t>
                  </w:r>
                </w:p>
              </w:tc>
              <w:tc>
                <w:tcPr>
                  <w:tcW w:w="2251" w:type="dxa"/>
                  <w:shd w:val="clear" w:color="auto" w:fill="auto"/>
                  <w:noWrap/>
                  <w:vAlign w:val="center"/>
                </w:tcPr>
                <w:p>
                  <w:pPr>
                    <w:pStyle w:val="164"/>
                    <w:rPr>
                      <w:b/>
                      <w:bCs/>
                      <w:color w:val="auto"/>
                    </w:rPr>
                  </w:pPr>
                  <w:r>
                    <w:rPr>
                      <w:b w:val="0"/>
                      <w:bCs/>
                      <w:color w:val="auto"/>
                    </w:rPr>
                    <w:t>名称</w:t>
                  </w:r>
                </w:p>
              </w:tc>
              <w:tc>
                <w:tcPr>
                  <w:tcW w:w="603" w:type="dxa"/>
                  <w:shd w:val="clear" w:color="auto" w:fill="auto"/>
                  <w:noWrap/>
                  <w:vAlign w:val="center"/>
                </w:tcPr>
                <w:p>
                  <w:pPr>
                    <w:pStyle w:val="164"/>
                    <w:rPr>
                      <w:b/>
                      <w:bCs/>
                      <w:color w:val="auto"/>
                    </w:rPr>
                  </w:pPr>
                  <w:r>
                    <w:rPr>
                      <w:b w:val="0"/>
                      <w:bCs/>
                      <w:color w:val="auto"/>
                    </w:rPr>
                    <w:t>急性</w:t>
                  </w:r>
                </w:p>
                <w:p>
                  <w:pPr>
                    <w:pStyle w:val="164"/>
                    <w:rPr>
                      <w:b/>
                      <w:bCs/>
                      <w:color w:val="auto"/>
                    </w:rPr>
                  </w:pPr>
                  <w:r>
                    <w:rPr>
                      <w:b w:val="0"/>
                      <w:bCs/>
                      <w:color w:val="auto"/>
                    </w:rPr>
                    <w:t>毒性</w:t>
                  </w:r>
                </w:p>
              </w:tc>
              <w:tc>
                <w:tcPr>
                  <w:tcW w:w="836" w:type="dxa"/>
                  <w:shd w:val="clear" w:color="auto" w:fill="auto"/>
                  <w:noWrap/>
                  <w:vAlign w:val="center"/>
                </w:tcPr>
                <w:p>
                  <w:pPr>
                    <w:pStyle w:val="164"/>
                    <w:rPr>
                      <w:b/>
                      <w:bCs/>
                      <w:color w:val="auto"/>
                    </w:rPr>
                  </w:pPr>
                  <w:r>
                    <w:rPr>
                      <w:b w:val="0"/>
                      <w:bCs/>
                      <w:color w:val="auto"/>
                    </w:rPr>
                    <w:t>是否风险物质</w:t>
                  </w:r>
                </w:p>
              </w:tc>
              <w:tc>
                <w:tcPr>
                  <w:tcW w:w="1259" w:type="dxa"/>
                  <w:shd w:val="clear" w:color="auto" w:fill="auto"/>
                  <w:noWrap/>
                  <w:vAlign w:val="center"/>
                </w:tcPr>
                <w:p>
                  <w:pPr>
                    <w:pStyle w:val="164"/>
                    <w:rPr>
                      <w:b/>
                      <w:bCs/>
                      <w:color w:val="auto"/>
                    </w:rPr>
                  </w:pPr>
                  <w:r>
                    <w:rPr>
                      <w:b w:val="0"/>
                      <w:bCs/>
                      <w:color w:val="auto"/>
                    </w:rPr>
                    <w:t>判定依据</w:t>
                  </w:r>
                </w:p>
              </w:tc>
              <w:tc>
                <w:tcPr>
                  <w:tcW w:w="920" w:type="dxa"/>
                  <w:shd w:val="clear" w:color="auto" w:fill="auto"/>
                  <w:noWrap/>
                  <w:vAlign w:val="center"/>
                </w:tcPr>
                <w:p>
                  <w:pPr>
                    <w:pStyle w:val="164"/>
                    <w:rPr>
                      <w:b/>
                      <w:bCs/>
                      <w:color w:val="auto"/>
                    </w:rPr>
                  </w:pPr>
                  <w:r>
                    <w:rPr>
                      <w:b w:val="0"/>
                      <w:bCs/>
                      <w:color w:val="auto"/>
                    </w:rPr>
                    <w:t>最大储存量</w:t>
                  </w:r>
                  <w:r>
                    <w:rPr>
                      <w:rFonts w:hint="eastAsia"/>
                      <w:b w:val="0"/>
                      <w:bCs/>
                      <w:color w:val="auto"/>
                    </w:rPr>
                    <w:t>（</w:t>
                  </w:r>
                  <w:r>
                    <w:rPr>
                      <w:b w:val="0"/>
                      <w:bCs/>
                      <w:color w:val="auto"/>
                    </w:rPr>
                    <w:t>t</w:t>
                  </w:r>
                  <w:r>
                    <w:rPr>
                      <w:rFonts w:hint="eastAsia"/>
                      <w:b w:val="0"/>
                      <w:bCs/>
                      <w:color w:val="auto"/>
                    </w:rPr>
                    <w:t>）</w:t>
                  </w:r>
                </w:p>
              </w:tc>
              <w:tc>
                <w:tcPr>
                  <w:tcW w:w="742" w:type="dxa"/>
                  <w:shd w:val="clear" w:color="auto" w:fill="auto"/>
                  <w:noWrap/>
                  <w:vAlign w:val="center"/>
                </w:tcPr>
                <w:p>
                  <w:pPr>
                    <w:pStyle w:val="164"/>
                    <w:rPr>
                      <w:b/>
                      <w:bCs/>
                      <w:color w:val="auto"/>
                    </w:rPr>
                  </w:pPr>
                  <w:r>
                    <w:rPr>
                      <w:rFonts w:hint="eastAsia"/>
                      <w:b w:val="0"/>
                      <w:bCs/>
                      <w:color w:val="auto"/>
                    </w:rPr>
                    <w:t>临界量（</w:t>
                  </w:r>
                  <w:r>
                    <w:rPr>
                      <w:b w:val="0"/>
                      <w:bCs/>
                      <w:color w:val="auto"/>
                    </w:rPr>
                    <w:t>t</w:t>
                  </w:r>
                  <w:r>
                    <w:rPr>
                      <w:rFonts w:hint="eastAsia"/>
                      <w:b w:val="0"/>
                      <w:bCs/>
                      <w:color w:val="auto"/>
                    </w:rPr>
                    <w:t>）</w:t>
                  </w:r>
                </w:p>
              </w:tc>
              <w:tc>
                <w:tcPr>
                  <w:tcW w:w="1359" w:type="dxa"/>
                  <w:shd w:val="clear" w:color="auto" w:fill="auto"/>
                  <w:noWrap/>
                  <w:vAlign w:val="center"/>
                </w:tcPr>
                <w:p>
                  <w:pPr>
                    <w:pStyle w:val="164"/>
                    <w:rPr>
                      <w:b/>
                      <w:bCs/>
                      <w:color w:val="auto"/>
                    </w:rPr>
                  </w:pPr>
                  <w:r>
                    <w:rPr>
                      <w:b w:val="0"/>
                      <w:bCs/>
                      <w:color w:val="auto"/>
                    </w:rPr>
                    <w:t>贮存及使用位置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pStyle w:val="164"/>
                    <w:rPr>
                      <w:color w:val="auto"/>
                    </w:rPr>
                  </w:pPr>
                  <w:r>
                    <w:rPr>
                      <w:rFonts w:hint="eastAsia"/>
                      <w:color w:val="auto"/>
                    </w:rPr>
                    <w:t>白乳胶</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shd w:val="clear" w:color="auto" w:fill="auto"/>
                  <w:noWrap/>
                  <w:vAlign w:val="center"/>
                </w:tcPr>
                <w:p>
                  <w:pPr>
                    <w:pStyle w:val="164"/>
                    <w:rPr>
                      <w:color w:val="auto"/>
                    </w:rPr>
                  </w:pPr>
                  <w:r>
                    <w:rPr>
                      <w:color w:val="auto"/>
                    </w:rPr>
                    <w:t>表B.1中193号</w:t>
                  </w:r>
                </w:p>
              </w:tc>
              <w:tc>
                <w:tcPr>
                  <w:tcW w:w="920" w:type="dxa"/>
                  <w:shd w:val="clear" w:color="auto" w:fill="auto"/>
                  <w:noWrap/>
                  <w:vAlign w:val="center"/>
                </w:tcPr>
                <w:p>
                  <w:pPr>
                    <w:pStyle w:val="164"/>
                    <w:rPr>
                      <w:color w:val="auto"/>
                    </w:rPr>
                  </w:pPr>
                  <w:r>
                    <w:rPr>
                      <w:rFonts w:hint="eastAsia"/>
                      <w:color w:val="auto"/>
                    </w:rPr>
                    <w:t>1</w:t>
                  </w:r>
                </w:p>
              </w:tc>
              <w:tc>
                <w:tcPr>
                  <w:tcW w:w="742" w:type="dxa"/>
                  <w:shd w:val="clear" w:color="auto" w:fill="auto"/>
                  <w:noWrap/>
                  <w:vAlign w:val="center"/>
                </w:tcPr>
                <w:p>
                  <w:pPr>
                    <w:pStyle w:val="164"/>
                    <w:rPr>
                      <w:color w:val="auto"/>
                    </w:rPr>
                  </w:pPr>
                  <w:r>
                    <w:rPr>
                      <w:rFonts w:hint="eastAsia"/>
                      <w:color w:val="auto"/>
                    </w:rPr>
                    <w:t>1</w:t>
                  </w:r>
                  <w:r>
                    <w:rPr>
                      <w:color w:val="auto"/>
                    </w:rPr>
                    <w:t>0</w:t>
                  </w:r>
                </w:p>
              </w:tc>
              <w:tc>
                <w:tcPr>
                  <w:tcW w:w="1359" w:type="dxa"/>
                  <w:shd w:val="clear" w:color="auto" w:fill="auto"/>
                  <w:noWrap/>
                  <w:vAlign w:val="center"/>
                </w:tcPr>
                <w:p>
                  <w:pPr>
                    <w:pStyle w:val="164"/>
                    <w:rPr>
                      <w:color w:val="auto"/>
                    </w:rPr>
                  </w:pPr>
                  <w:r>
                    <w:rPr>
                      <w:rFonts w:hint="eastAsia"/>
                      <w:color w:val="auto"/>
                    </w:rPr>
                    <w:t>油料库房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pStyle w:val="164"/>
                    <w:rPr>
                      <w:color w:val="auto"/>
                    </w:rPr>
                  </w:pPr>
                  <w:r>
                    <w:rPr>
                      <w:rFonts w:hint="eastAsia"/>
                      <w:color w:val="auto"/>
                    </w:rPr>
                    <w:t>油漆</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shd w:val="clear" w:color="auto" w:fill="auto"/>
                  <w:noWrap/>
                  <w:vAlign w:val="center"/>
                </w:tcPr>
                <w:p>
                  <w:pPr>
                    <w:pStyle w:val="164"/>
                    <w:rPr>
                      <w:color w:val="auto"/>
                    </w:rPr>
                  </w:pPr>
                  <w:r>
                    <w:rPr>
                      <w:color w:val="auto"/>
                    </w:rPr>
                    <w:t>表B.1中81号</w:t>
                  </w:r>
                </w:p>
              </w:tc>
              <w:tc>
                <w:tcPr>
                  <w:tcW w:w="920" w:type="dxa"/>
                  <w:shd w:val="clear" w:color="auto" w:fill="auto"/>
                  <w:noWrap/>
                  <w:vAlign w:val="center"/>
                </w:tcPr>
                <w:p>
                  <w:pPr>
                    <w:pStyle w:val="164"/>
                    <w:rPr>
                      <w:color w:val="auto"/>
                    </w:rPr>
                  </w:pPr>
                  <w:r>
                    <w:rPr>
                      <w:rFonts w:hint="eastAsia"/>
                      <w:color w:val="auto"/>
                    </w:rPr>
                    <w:t>4.03</w:t>
                  </w:r>
                </w:p>
              </w:tc>
              <w:tc>
                <w:tcPr>
                  <w:tcW w:w="742" w:type="dxa"/>
                  <w:shd w:val="clear" w:color="auto" w:fill="auto"/>
                  <w:noWrap/>
                  <w:vAlign w:val="center"/>
                </w:tcPr>
                <w:p>
                  <w:pPr>
                    <w:pStyle w:val="164"/>
                    <w:rPr>
                      <w:color w:val="auto"/>
                    </w:rPr>
                  </w:pPr>
                  <w:r>
                    <w:rPr>
                      <w:rFonts w:hint="eastAsia"/>
                      <w:color w:val="auto"/>
                    </w:rPr>
                    <w:t>1</w:t>
                  </w:r>
                  <w:r>
                    <w:rPr>
                      <w:color w:val="auto"/>
                    </w:rPr>
                    <w:t>0</w:t>
                  </w:r>
                </w:p>
              </w:tc>
              <w:tc>
                <w:tcPr>
                  <w:tcW w:w="1359" w:type="dxa"/>
                  <w:shd w:val="clear" w:color="auto" w:fill="auto"/>
                  <w:noWrap/>
                  <w:vAlign w:val="center"/>
                </w:tcPr>
                <w:p>
                  <w:pPr>
                    <w:pStyle w:val="164"/>
                    <w:rPr>
                      <w:color w:val="auto"/>
                    </w:rPr>
                  </w:pPr>
                  <w:r>
                    <w:rPr>
                      <w:rFonts w:hint="eastAsia"/>
                      <w:color w:val="auto"/>
                    </w:rPr>
                    <w:t>油料库房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widowControl/>
                    <w:adjustRightInd w:val="0"/>
                    <w:snapToGrid w:val="0"/>
                    <w:rPr>
                      <w:rFonts w:cs="宋体" w:asciiTheme="minorEastAsia" w:hAnsiTheme="minorEastAsia"/>
                      <w:color w:val="000000"/>
                      <w:kern w:val="0"/>
                    </w:rPr>
                  </w:pPr>
                  <w:r>
                    <w:rPr>
                      <w:rFonts w:hint="eastAsia" w:cs="宋体" w:asciiTheme="minorEastAsia" w:hAnsiTheme="minorEastAsia"/>
                      <w:color w:val="000000"/>
                      <w:kern w:val="0"/>
                    </w:rPr>
                    <w:t>废胶桶（S2、S7）</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restart"/>
                  <w:shd w:val="clear" w:color="auto" w:fill="auto"/>
                  <w:noWrap/>
                  <w:vAlign w:val="center"/>
                </w:tcPr>
                <w:p>
                  <w:pPr>
                    <w:pStyle w:val="164"/>
                    <w:rPr>
                      <w:color w:val="auto"/>
                    </w:rPr>
                  </w:pPr>
                  <w:r>
                    <w:rPr>
                      <w:color w:val="auto"/>
                    </w:rPr>
                    <w:t>表B.2中</w:t>
                  </w:r>
                </w:p>
                <w:p>
                  <w:pPr>
                    <w:pStyle w:val="164"/>
                    <w:rPr>
                      <w:color w:val="auto"/>
                    </w:rPr>
                  </w:pPr>
                  <w:r>
                    <w:rPr>
                      <w:rFonts w:hint="eastAsia"/>
                      <w:color w:val="auto"/>
                    </w:rPr>
                    <w:t>“序号2”</w:t>
                  </w:r>
                </w:p>
              </w:tc>
              <w:tc>
                <w:tcPr>
                  <w:tcW w:w="920" w:type="dxa"/>
                  <w:vMerge w:val="restart"/>
                  <w:shd w:val="clear" w:color="auto" w:fill="auto"/>
                  <w:noWrap/>
                  <w:vAlign w:val="center"/>
                </w:tcPr>
                <w:p>
                  <w:pPr>
                    <w:pStyle w:val="164"/>
                    <w:rPr>
                      <w:color w:val="auto"/>
                    </w:rPr>
                  </w:pPr>
                  <w:r>
                    <w:rPr>
                      <w:rFonts w:hint="eastAsia"/>
                      <w:color w:val="auto"/>
                    </w:rPr>
                    <w:t>14.27</w:t>
                  </w:r>
                </w:p>
              </w:tc>
              <w:tc>
                <w:tcPr>
                  <w:tcW w:w="742" w:type="dxa"/>
                  <w:vMerge w:val="restart"/>
                  <w:shd w:val="clear" w:color="auto" w:fill="auto"/>
                  <w:noWrap/>
                  <w:vAlign w:val="center"/>
                </w:tcPr>
                <w:p>
                  <w:pPr>
                    <w:pStyle w:val="164"/>
                    <w:rPr>
                      <w:color w:val="auto"/>
                    </w:rPr>
                  </w:pPr>
                  <w:r>
                    <w:rPr>
                      <w:rFonts w:hint="eastAsia"/>
                      <w:color w:val="auto"/>
                    </w:rPr>
                    <w:t>5</w:t>
                  </w:r>
                  <w:r>
                    <w:rPr>
                      <w:color w:val="auto"/>
                    </w:rPr>
                    <w:t>0</w:t>
                  </w:r>
                </w:p>
              </w:tc>
              <w:tc>
                <w:tcPr>
                  <w:tcW w:w="1359" w:type="dxa"/>
                  <w:vMerge w:val="restart"/>
                  <w:shd w:val="clear" w:color="auto" w:fill="auto"/>
                  <w:noWrap/>
                  <w:vAlign w:val="center"/>
                </w:tcPr>
                <w:p>
                  <w:pPr>
                    <w:pStyle w:val="164"/>
                    <w:rPr>
                      <w:color w:val="auto"/>
                    </w:rPr>
                  </w:pPr>
                  <w:r>
                    <w:rPr>
                      <w:color w:val="auto"/>
                    </w:rPr>
                    <w:t>危险废物暂存间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废胶桶（S2、S7）</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废漆桶（S8、S11、S12）</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废紫外光灯（</w:t>
                  </w:r>
                  <w:r>
                    <w:rPr>
                      <w:rFonts w:hint="eastAsia" w:cs="Times New Roman"/>
                      <w:color w:val="000000"/>
                      <w:sz w:val="22"/>
                      <w:szCs w:val="22"/>
                    </w:rPr>
                    <w:t>S9）</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漆粉（</w:t>
                  </w:r>
                  <w:r>
                    <w:rPr>
                      <w:rFonts w:hint="eastAsia" w:cs="Times New Roman"/>
                      <w:color w:val="000000"/>
                      <w:sz w:val="22"/>
                      <w:szCs w:val="22"/>
                    </w:rPr>
                    <w:t>S10）</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废活性炭（</w:t>
                  </w:r>
                  <w:r>
                    <w:rPr>
                      <w:rFonts w:hint="eastAsia" w:cs="Times New Roman"/>
                      <w:color w:val="000000"/>
                      <w:sz w:val="22"/>
                      <w:szCs w:val="22"/>
                    </w:rPr>
                    <w:t>S13）</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废催化剂（</w:t>
                  </w:r>
                  <w:r>
                    <w:rPr>
                      <w:rFonts w:hint="eastAsia" w:cs="Times New Roman"/>
                      <w:color w:val="000000"/>
                      <w:sz w:val="22"/>
                      <w:szCs w:val="22"/>
                    </w:rPr>
                    <w:t>S14）</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废风琴纸（</w:t>
                  </w:r>
                  <w:r>
                    <w:rPr>
                      <w:rFonts w:hint="eastAsia" w:cs="Times New Roman"/>
                      <w:color w:val="000000"/>
                      <w:sz w:val="22"/>
                      <w:szCs w:val="22"/>
                    </w:rPr>
                    <w:t>S15）</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废热熔胶（</w:t>
                  </w:r>
                  <w:r>
                    <w:rPr>
                      <w:rFonts w:hint="eastAsia" w:cs="Times New Roman"/>
                      <w:color w:val="000000"/>
                      <w:sz w:val="22"/>
                      <w:szCs w:val="22"/>
                    </w:rPr>
                    <w:t>S16）</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ascii="Times New Roman" w:hAnsi="Times New Roman" w:cs="Times New Roman"/>
                    </w:rPr>
                    <w:t>废水站物化段污泥（</w:t>
                  </w:r>
                  <w:r>
                    <w:rPr>
                      <w:rFonts w:hint="eastAsia" w:cs="Times New Roman"/>
                      <w:color w:val="000000"/>
                      <w:sz w:val="22"/>
                      <w:szCs w:val="22"/>
                    </w:rPr>
                    <w:t>S21）</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467" w:type="dxa"/>
                  <w:shd w:val="clear" w:color="auto" w:fill="auto"/>
                  <w:noWrap/>
                  <w:vAlign w:val="center"/>
                </w:tcPr>
                <w:p>
                  <w:pPr>
                    <w:pStyle w:val="152"/>
                    <w:numPr>
                      <w:ilvl w:val="0"/>
                      <w:numId w:val="27"/>
                    </w:numPr>
                    <w:ind w:firstLineChars="0"/>
                    <w:jc w:val="center"/>
                  </w:pPr>
                </w:p>
              </w:tc>
              <w:tc>
                <w:tcPr>
                  <w:tcW w:w="2251" w:type="dxa"/>
                  <w:shd w:val="clear" w:color="auto" w:fill="auto"/>
                  <w:noWrap/>
                  <w:vAlign w:val="center"/>
                </w:tcPr>
                <w:p>
                  <w:pPr>
                    <w:jc w:val="center"/>
                    <w:rPr>
                      <w:rFonts w:ascii="Times New Roman" w:hAnsi="Times New Roman" w:eastAsia="宋体" w:cs="Times New Roman"/>
                    </w:rPr>
                  </w:pPr>
                  <w:r>
                    <w:rPr>
                      <w:rFonts w:hint="eastAsia" w:cs="Times New Roman"/>
                    </w:rPr>
                    <w:t>油磨除尘灰（</w:t>
                  </w:r>
                  <w:r>
                    <w:rPr>
                      <w:rFonts w:ascii="Times New Roman" w:hAnsi="Times New Roman" w:cs="Times New Roman"/>
                    </w:rPr>
                    <w:t>S23</w:t>
                  </w:r>
                  <w:r>
                    <w:rPr>
                      <w:rFonts w:hint="eastAsia" w:cs="Times New Roman"/>
                    </w:rPr>
                    <w:t>）</w:t>
                  </w:r>
                </w:p>
              </w:tc>
              <w:tc>
                <w:tcPr>
                  <w:tcW w:w="603" w:type="dxa"/>
                  <w:shd w:val="clear" w:color="auto" w:fill="auto"/>
                  <w:noWrap/>
                  <w:vAlign w:val="center"/>
                </w:tcPr>
                <w:p>
                  <w:pPr>
                    <w:pStyle w:val="164"/>
                    <w:rPr>
                      <w:color w:val="auto"/>
                    </w:rPr>
                  </w:pPr>
                  <w:r>
                    <w:rPr>
                      <w:rFonts w:hint="eastAsia"/>
                      <w:color w:val="auto"/>
                    </w:rPr>
                    <w:t>毒性</w:t>
                  </w:r>
                </w:p>
              </w:tc>
              <w:tc>
                <w:tcPr>
                  <w:tcW w:w="836" w:type="dxa"/>
                  <w:shd w:val="clear" w:color="auto" w:fill="auto"/>
                  <w:noWrap/>
                  <w:vAlign w:val="center"/>
                </w:tcPr>
                <w:p>
                  <w:pPr>
                    <w:pStyle w:val="164"/>
                    <w:rPr>
                      <w:color w:val="auto"/>
                    </w:rPr>
                  </w:pPr>
                  <w:r>
                    <w:rPr>
                      <w:color w:val="auto"/>
                    </w:rPr>
                    <w:t>是</w:t>
                  </w:r>
                </w:p>
              </w:tc>
              <w:tc>
                <w:tcPr>
                  <w:tcW w:w="1259" w:type="dxa"/>
                  <w:vMerge w:val="continue"/>
                  <w:shd w:val="clear" w:color="auto" w:fill="auto"/>
                  <w:noWrap/>
                  <w:vAlign w:val="center"/>
                </w:tcPr>
                <w:p>
                  <w:pPr>
                    <w:pStyle w:val="164"/>
                    <w:rPr>
                      <w:color w:val="auto"/>
                    </w:rPr>
                  </w:pPr>
                </w:p>
              </w:tc>
              <w:tc>
                <w:tcPr>
                  <w:tcW w:w="920" w:type="dxa"/>
                  <w:vMerge w:val="continue"/>
                  <w:shd w:val="clear" w:color="auto" w:fill="auto"/>
                  <w:noWrap/>
                  <w:vAlign w:val="center"/>
                </w:tcPr>
                <w:p>
                  <w:pPr>
                    <w:pStyle w:val="164"/>
                    <w:rPr>
                      <w:color w:val="auto"/>
                      <w:highlight w:val="cyan"/>
                    </w:rPr>
                  </w:pPr>
                </w:p>
              </w:tc>
              <w:tc>
                <w:tcPr>
                  <w:tcW w:w="742" w:type="dxa"/>
                  <w:vMerge w:val="continue"/>
                  <w:shd w:val="clear" w:color="auto" w:fill="auto"/>
                  <w:noWrap/>
                  <w:vAlign w:val="center"/>
                </w:tcPr>
                <w:p>
                  <w:pPr>
                    <w:pStyle w:val="164"/>
                    <w:rPr>
                      <w:color w:val="auto"/>
                    </w:rPr>
                  </w:pPr>
                </w:p>
              </w:tc>
              <w:tc>
                <w:tcPr>
                  <w:tcW w:w="1359" w:type="dxa"/>
                  <w:vMerge w:val="continue"/>
                  <w:shd w:val="clear" w:color="auto" w:fill="auto"/>
                  <w:noWrap/>
                  <w:vAlign w:val="center"/>
                </w:tcPr>
                <w:p>
                  <w:pPr>
                    <w:pStyle w:val="164"/>
                    <w:rPr>
                      <w:color w:val="auto"/>
                    </w:rPr>
                  </w:pPr>
                </w:p>
              </w:tc>
            </w:tr>
          </w:tbl>
          <w:p>
            <w:pPr>
              <w:pStyle w:val="6"/>
              <w:keepNext w:val="0"/>
              <w:keepLines w:val="0"/>
              <w:snapToGrid w:val="0"/>
              <w:rPr>
                <w:rFonts w:ascii="宋体" w:hAnsi="宋体"/>
              </w:rPr>
            </w:pPr>
            <w:r>
              <w:rPr>
                <w:rFonts w:hint="eastAsia" w:ascii="宋体" w:hAnsi="宋体"/>
              </w:rPr>
              <w:t>4.8.2环境风险识别</w:t>
            </w:r>
          </w:p>
          <w:p>
            <w:pPr>
              <w:pStyle w:val="160"/>
              <w:ind w:firstLine="480"/>
            </w:pPr>
            <w:r>
              <w:rPr>
                <w:rFonts w:hint="eastAsia"/>
              </w:rPr>
              <w:t>根据《建设项目环境风险评价技术导则》（H</w:t>
            </w:r>
            <w:r>
              <w:t xml:space="preserve">J </w:t>
            </w:r>
            <w:r>
              <w:rPr>
                <w:rFonts w:hint="eastAsia"/>
              </w:rPr>
              <w:t>169-2018）附录B、附录C，扩建项目所使用的原辅材料和产品中涉及的有毒有害、易燃易爆化学品较少。建设项目环境风险物质识别情况见</w:t>
            </w:r>
            <w:r>
              <w:fldChar w:fldCharType="begin"/>
            </w:r>
            <w:r>
              <w:rPr>
                <w:rFonts w:hint="eastAsia"/>
              </w:rPr>
              <w:instrText xml:space="preserve">REF _Ref82521016 \h</w:instrText>
            </w:r>
            <w:r>
              <w:fldChar w:fldCharType="separate"/>
            </w:r>
            <w:r>
              <w:rPr>
                <w:rFonts w:hint="eastAsia"/>
              </w:rPr>
              <w:t>表4.8-4</w:t>
            </w:r>
            <w:r>
              <w:fldChar w:fldCharType="end"/>
            </w:r>
            <w:r>
              <w:rPr>
                <w:rFonts w:hint="eastAsia"/>
              </w:rPr>
              <w:t>。</w:t>
            </w:r>
          </w:p>
          <w:p>
            <w:pPr>
              <w:pStyle w:val="164"/>
            </w:pPr>
            <w:bookmarkStart w:id="64" w:name="_Ref82521016"/>
            <w:r>
              <w:rPr>
                <w:rFonts w:hint="eastAsia"/>
              </w:rPr>
              <w:t>表</w:t>
            </w:r>
            <w:bookmarkEnd w:id="64"/>
            <w:r>
              <w:rPr>
                <w:rFonts w:hint="eastAsia"/>
              </w:rPr>
              <w:t>4.8-4  建设项目环境风险</w:t>
            </w:r>
            <w:r>
              <w:t>影响途径识别表</w:t>
            </w:r>
          </w:p>
          <w:tbl>
            <w:tblPr>
              <w:tblStyle w:val="162"/>
              <w:tblW w:w="850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0"/>
              <w:gridCol w:w="1229"/>
              <w:gridCol w:w="1094"/>
              <w:gridCol w:w="1359"/>
              <w:gridCol w:w="1885"/>
              <w:gridCol w:w="23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30" w:type="dxa"/>
                  <w:shd w:val="clear" w:color="auto" w:fill="auto"/>
                  <w:vAlign w:val="center"/>
                </w:tcPr>
                <w:p>
                  <w:pPr>
                    <w:pStyle w:val="164"/>
                    <w:rPr>
                      <w:b/>
                    </w:rPr>
                  </w:pPr>
                  <w:r>
                    <w:rPr>
                      <w:rFonts w:hint="eastAsia"/>
                      <w:b w:val="0"/>
                    </w:rPr>
                    <w:t>序号</w:t>
                  </w:r>
                </w:p>
              </w:tc>
              <w:tc>
                <w:tcPr>
                  <w:tcW w:w="1229" w:type="dxa"/>
                  <w:shd w:val="clear" w:color="auto" w:fill="auto"/>
                  <w:vAlign w:val="center"/>
                </w:tcPr>
                <w:p>
                  <w:pPr>
                    <w:pStyle w:val="164"/>
                    <w:rPr>
                      <w:b/>
                    </w:rPr>
                  </w:pPr>
                  <w:r>
                    <w:rPr>
                      <w:rFonts w:hint="eastAsia"/>
                      <w:b w:val="0"/>
                    </w:rPr>
                    <w:t>风险源分布</w:t>
                  </w:r>
                </w:p>
              </w:tc>
              <w:tc>
                <w:tcPr>
                  <w:tcW w:w="1094" w:type="dxa"/>
                  <w:shd w:val="clear" w:color="auto" w:fill="auto"/>
                  <w:vAlign w:val="center"/>
                </w:tcPr>
                <w:p>
                  <w:pPr>
                    <w:pStyle w:val="164"/>
                    <w:rPr>
                      <w:b/>
                    </w:rPr>
                  </w:pPr>
                  <w:r>
                    <w:rPr>
                      <w:rFonts w:hint="eastAsia"/>
                      <w:b w:val="0"/>
                    </w:rPr>
                    <w:t>风险源</w:t>
                  </w:r>
                </w:p>
              </w:tc>
              <w:tc>
                <w:tcPr>
                  <w:tcW w:w="1359" w:type="dxa"/>
                  <w:shd w:val="clear" w:color="auto" w:fill="auto"/>
                  <w:vAlign w:val="center"/>
                </w:tcPr>
                <w:p>
                  <w:pPr>
                    <w:pStyle w:val="164"/>
                    <w:rPr>
                      <w:b/>
                    </w:rPr>
                  </w:pPr>
                  <w:r>
                    <w:rPr>
                      <w:rFonts w:hint="eastAsia"/>
                      <w:b w:val="0"/>
                    </w:rPr>
                    <w:t>风险物质</w:t>
                  </w:r>
                </w:p>
              </w:tc>
              <w:tc>
                <w:tcPr>
                  <w:tcW w:w="1885" w:type="dxa"/>
                  <w:shd w:val="clear" w:color="auto" w:fill="auto"/>
                  <w:vAlign w:val="center"/>
                </w:tcPr>
                <w:p>
                  <w:pPr>
                    <w:pStyle w:val="164"/>
                    <w:rPr>
                      <w:b/>
                    </w:rPr>
                  </w:pPr>
                  <w:r>
                    <w:rPr>
                      <w:rFonts w:hint="eastAsia"/>
                      <w:b w:val="0"/>
                    </w:rPr>
                    <w:t>环境风险类型</w:t>
                  </w:r>
                </w:p>
              </w:tc>
              <w:tc>
                <w:tcPr>
                  <w:tcW w:w="2308" w:type="dxa"/>
                  <w:shd w:val="clear" w:color="auto" w:fill="auto"/>
                  <w:vAlign w:val="center"/>
                </w:tcPr>
                <w:p>
                  <w:pPr>
                    <w:pStyle w:val="164"/>
                    <w:rPr>
                      <w:b/>
                    </w:rPr>
                  </w:pPr>
                  <w:r>
                    <w:rPr>
                      <w:rFonts w:hint="eastAsia"/>
                      <w:b w:val="0"/>
                    </w:rPr>
                    <w:t>环境影响途径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4" w:hRule="atLeast"/>
                <w:jc w:val="center"/>
              </w:trPr>
              <w:tc>
                <w:tcPr>
                  <w:tcW w:w="630" w:type="dxa"/>
                  <w:shd w:val="clear" w:color="auto" w:fill="auto"/>
                  <w:vAlign w:val="center"/>
                </w:tcPr>
                <w:p>
                  <w:pPr>
                    <w:pStyle w:val="164"/>
                  </w:pPr>
                  <w:r>
                    <w:rPr>
                      <w:rFonts w:hint="eastAsia"/>
                    </w:rPr>
                    <w:t>1</w:t>
                  </w:r>
                </w:p>
              </w:tc>
              <w:tc>
                <w:tcPr>
                  <w:tcW w:w="1229" w:type="dxa"/>
                  <w:shd w:val="clear" w:color="auto" w:fill="auto"/>
                  <w:vAlign w:val="center"/>
                </w:tcPr>
                <w:p>
                  <w:pPr>
                    <w:pStyle w:val="164"/>
                  </w:pPr>
                  <w:r>
                    <w:rPr>
                      <w:rFonts w:hint="eastAsia"/>
                    </w:rPr>
                    <w:t>油料库房</w:t>
                  </w:r>
                </w:p>
              </w:tc>
              <w:tc>
                <w:tcPr>
                  <w:tcW w:w="1094" w:type="dxa"/>
                  <w:shd w:val="clear" w:color="auto" w:fill="auto"/>
                  <w:vAlign w:val="center"/>
                </w:tcPr>
                <w:p>
                  <w:pPr>
                    <w:pStyle w:val="164"/>
                  </w:pPr>
                  <w:r>
                    <w:rPr>
                      <w:rFonts w:hint="eastAsia"/>
                    </w:rPr>
                    <w:t>白乳胶</w:t>
                  </w:r>
                </w:p>
              </w:tc>
              <w:tc>
                <w:tcPr>
                  <w:tcW w:w="1359" w:type="dxa"/>
                  <w:shd w:val="clear" w:color="auto" w:fill="auto"/>
                  <w:vAlign w:val="center"/>
                </w:tcPr>
                <w:p>
                  <w:pPr>
                    <w:pStyle w:val="164"/>
                  </w:pPr>
                  <w:r>
                    <w:rPr>
                      <w:rFonts w:hint="eastAsia"/>
                    </w:rPr>
                    <w:t>邻苯二甲酸二丁酯</w:t>
                  </w:r>
                </w:p>
              </w:tc>
              <w:tc>
                <w:tcPr>
                  <w:tcW w:w="1885" w:type="dxa"/>
                  <w:shd w:val="clear" w:color="auto" w:fill="auto"/>
                  <w:vAlign w:val="center"/>
                </w:tcPr>
                <w:p>
                  <w:pPr>
                    <w:pStyle w:val="164"/>
                  </w:pPr>
                  <w:r>
                    <w:rPr>
                      <w:rFonts w:hint="eastAsia"/>
                    </w:rPr>
                    <w:t>泄漏、火灾</w:t>
                  </w:r>
                </w:p>
              </w:tc>
              <w:tc>
                <w:tcPr>
                  <w:tcW w:w="2308" w:type="dxa"/>
                  <w:shd w:val="clear" w:color="auto" w:fill="auto"/>
                  <w:vAlign w:val="center"/>
                </w:tcPr>
                <w:p>
                  <w:pPr>
                    <w:pStyle w:val="164"/>
                  </w:pPr>
                  <w:r>
                    <w:rPr>
                      <w:rFonts w:hint="eastAsia"/>
                    </w:rPr>
                    <w:t>泄漏、火灾造成的伴生/次生环境污染事件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30" w:type="dxa"/>
                  <w:shd w:val="clear" w:color="auto" w:fill="auto"/>
                  <w:vAlign w:val="center"/>
                </w:tcPr>
                <w:p>
                  <w:pPr>
                    <w:pStyle w:val="164"/>
                  </w:pPr>
                  <w:r>
                    <w:rPr>
                      <w:rFonts w:hint="eastAsia"/>
                    </w:rPr>
                    <w:t>2</w:t>
                  </w:r>
                </w:p>
              </w:tc>
              <w:tc>
                <w:tcPr>
                  <w:tcW w:w="1229" w:type="dxa"/>
                  <w:shd w:val="clear" w:color="auto" w:fill="auto"/>
                  <w:vAlign w:val="center"/>
                </w:tcPr>
                <w:p>
                  <w:pPr>
                    <w:pStyle w:val="164"/>
                  </w:pPr>
                  <w:r>
                    <w:rPr>
                      <w:rFonts w:hint="eastAsia"/>
                    </w:rPr>
                    <w:t>油料库房</w:t>
                  </w:r>
                </w:p>
              </w:tc>
              <w:tc>
                <w:tcPr>
                  <w:tcW w:w="1094" w:type="dxa"/>
                  <w:shd w:val="clear" w:color="auto" w:fill="auto"/>
                  <w:vAlign w:val="center"/>
                </w:tcPr>
                <w:p>
                  <w:pPr>
                    <w:pStyle w:val="164"/>
                  </w:pPr>
                  <w:r>
                    <w:rPr>
                      <w:rFonts w:hint="eastAsia"/>
                    </w:rPr>
                    <w:t>油漆</w:t>
                  </w:r>
                </w:p>
              </w:tc>
              <w:tc>
                <w:tcPr>
                  <w:tcW w:w="1359" w:type="dxa"/>
                  <w:shd w:val="clear" w:color="auto" w:fill="auto"/>
                  <w:vAlign w:val="center"/>
                </w:tcPr>
                <w:p>
                  <w:pPr>
                    <w:pStyle w:val="164"/>
                  </w:pPr>
                  <w:r>
                    <w:rPr>
                      <w:rFonts w:hint="eastAsia"/>
                    </w:rPr>
                    <w:t>各类有机物</w:t>
                  </w:r>
                </w:p>
              </w:tc>
              <w:tc>
                <w:tcPr>
                  <w:tcW w:w="1885" w:type="dxa"/>
                  <w:shd w:val="clear" w:color="auto" w:fill="auto"/>
                  <w:vAlign w:val="center"/>
                </w:tcPr>
                <w:p>
                  <w:pPr>
                    <w:pStyle w:val="164"/>
                  </w:pPr>
                  <w:r>
                    <w:rPr>
                      <w:rFonts w:hint="eastAsia"/>
                    </w:rPr>
                    <w:t>泄漏、火灾</w:t>
                  </w:r>
                </w:p>
              </w:tc>
              <w:tc>
                <w:tcPr>
                  <w:tcW w:w="2308" w:type="dxa"/>
                  <w:shd w:val="clear" w:color="auto" w:fill="auto"/>
                  <w:vAlign w:val="center"/>
                </w:tcPr>
                <w:p>
                  <w:pPr>
                    <w:pStyle w:val="164"/>
                  </w:pPr>
                  <w:r>
                    <w:rPr>
                      <w:rFonts w:hint="eastAsia"/>
                    </w:rPr>
                    <w:t>泄漏、火灾造成的伴生/次生环境污染事件</w:t>
                  </w:r>
                </w:p>
              </w:tc>
            </w:tr>
          </w:tbl>
          <w:p>
            <w:pPr>
              <w:pStyle w:val="6"/>
              <w:keepNext w:val="0"/>
              <w:keepLines w:val="0"/>
              <w:snapToGrid w:val="0"/>
              <w:rPr>
                <w:rFonts w:ascii="宋体" w:hAnsi="宋体"/>
              </w:rPr>
            </w:pPr>
            <w:r>
              <w:rPr>
                <w:rFonts w:hint="eastAsia" w:ascii="宋体" w:hAnsi="宋体"/>
              </w:rPr>
              <w:t>4.8.3环境风险防范措施</w:t>
            </w:r>
          </w:p>
          <w:p>
            <w:pPr>
              <w:pStyle w:val="160"/>
              <w:ind w:firstLine="480"/>
            </w:pPr>
            <w:r>
              <w:rPr>
                <w:rFonts w:hint="eastAsia"/>
              </w:rPr>
              <w:t>扩建项目主要环境风险防范措施包括以下几个方面：</w:t>
            </w:r>
          </w:p>
          <w:p>
            <w:pPr>
              <w:pStyle w:val="4075"/>
              <w:numPr>
                <w:ilvl w:val="0"/>
                <w:numId w:val="28"/>
              </w:numPr>
            </w:pPr>
            <w:r>
              <w:t>生产过程中的风险防范措施分析</w:t>
            </w:r>
          </w:p>
          <w:p>
            <w:pPr>
              <w:pStyle w:val="160"/>
              <w:ind w:firstLine="480"/>
            </w:pPr>
            <w:r>
              <w:rPr>
                <w:rFonts w:hint="eastAsia"/>
              </w:rPr>
              <w:t>建立安全生产岗位责任制，制定安全生产规章制度、安全操作规程。油料库房和喷漆房等有易燃物质的区域严禁明火；</w:t>
            </w:r>
            <w:r>
              <w:t>厂房内配备充分的通风系统</w:t>
            </w:r>
            <w:r>
              <w:rPr>
                <w:rFonts w:hint="eastAsia"/>
              </w:rPr>
              <w:t>；</w:t>
            </w:r>
            <w:r>
              <w:t>生产车间配备相应品种和数量的消防器材及泄漏应急处理设备</w:t>
            </w:r>
            <w:r>
              <w:rPr>
                <w:rFonts w:hint="eastAsia"/>
              </w:rPr>
              <w:t>；</w:t>
            </w:r>
            <w:r>
              <w:t>倒空的容器可能残留危险物质，严禁乱堆放。</w:t>
            </w:r>
          </w:p>
          <w:p>
            <w:pPr>
              <w:pStyle w:val="4075"/>
              <w:numPr>
                <w:ilvl w:val="0"/>
                <w:numId w:val="28"/>
              </w:numPr>
            </w:pPr>
            <w:r>
              <w:t>储存风险防范措施分析</w:t>
            </w:r>
          </w:p>
          <w:p>
            <w:pPr>
              <w:pStyle w:val="160"/>
              <w:ind w:firstLine="480"/>
            </w:pPr>
            <w:r>
              <w:rPr>
                <w:rFonts w:hint="eastAsia"/>
              </w:rPr>
              <w:t>油料库房必须阴凉、干燥、通风良好；水性漆</w:t>
            </w:r>
            <w:r>
              <w:t>、</w:t>
            </w:r>
            <w:r>
              <w:rPr>
                <w:rFonts w:hint="eastAsia"/>
              </w:rPr>
              <w:t>白乳</w:t>
            </w:r>
            <w:r>
              <w:t>胶、热熔胶、</w:t>
            </w:r>
            <w:r>
              <w:rPr>
                <w:rFonts w:hint="eastAsia"/>
              </w:rPr>
              <w:t>润滑油</w:t>
            </w:r>
            <w:r>
              <w:t>和废油存放点必须远离火种、热源，避免阳光直射。存放点周围应配备吸附材料、托盘等</w:t>
            </w:r>
            <w:r>
              <w:rPr>
                <w:rFonts w:hint="eastAsia"/>
              </w:rPr>
              <w:t>；</w:t>
            </w:r>
            <w:r>
              <w:t>并对地面进行防渗硬化处理，防渗层的防渗性能不应低于6.0m厚渗透系数</w:t>
            </w:r>
            <w:r>
              <w:rPr>
                <w:rFonts w:cs="Times New Roman"/>
              </w:rPr>
              <w:t>为1.0×10</w:t>
            </w:r>
            <w:r>
              <w:rPr>
                <w:rFonts w:cs="Times New Roman"/>
                <w:vertAlign w:val="superscript"/>
              </w:rPr>
              <w:t>-7</w:t>
            </w:r>
            <w:r>
              <w:rPr>
                <w:rFonts w:cs="Times New Roman"/>
              </w:rPr>
              <w:t>cm/s</w:t>
            </w:r>
            <w:r>
              <w:t>的黏土层的防渗性能</w:t>
            </w:r>
            <w:r>
              <w:rPr>
                <w:rFonts w:hint="eastAsia"/>
              </w:rPr>
              <w:t>；</w:t>
            </w:r>
            <w:r>
              <w:t>预留空桶，方便泄漏时及时转桶。</w:t>
            </w:r>
          </w:p>
          <w:p>
            <w:pPr>
              <w:pStyle w:val="4075"/>
              <w:numPr>
                <w:ilvl w:val="0"/>
                <w:numId w:val="28"/>
              </w:numPr>
            </w:pPr>
            <w:r>
              <w:t>截断措施</w:t>
            </w:r>
          </w:p>
          <w:p>
            <w:pPr>
              <w:pStyle w:val="160"/>
              <w:ind w:firstLine="480"/>
            </w:pPr>
            <w:r>
              <w:rPr>
                <w:rFonts w:hint="eastAsia"/>
              </w:rPr>
              <w:t>雨水排口设置截断阀、防止消防废水外流；厂区设置防洪沙袋、防止消防废水外流。</w:t>
            </w:r>
          </w:p>
          <w:p>
            <w:pPr>
              <w:pStyle w:val="160"/>
              <w:ind w:firstLine="480"/>
            </w:pPr>
            <w:r>
              <w:rPr>
                <w:rFonts w:hint="eastAsia"/>
              </w:rPr>
              <w:t>综上所述，扩建项目一旦发生风险事故，只要严格采取上述风险防范措施，并及时启动应急预案，能有效减轻对周围环境及人群造成的伤害和环境危害，其环境风险水平在可接受范围内。</w:t>
            </w:r>
          </w:p>
          <w:p>
            <w:pPr>
              <w:pStyle w:val="6"/>
            </w:pPr>
            <w:r>
              <w:rPr>
                <w:rFonts w:hint="eastAsia" w:ascii="宋体" w:hAnsi="宋体"/>
              </w:rPr>
              <w:t>4.8.4</w:t>
            </w:r>
            <w:r>
              <w:rPr>
                <w:rFonts w:hint="eastAsia"/>
              </w:rPr>
              <w:t>应急预案</w:t>
            </w:r>
          </w:p>
          <w:p>
            <w:pPr>
              <w:pStyle w:val="4075"/>
              <w:numPr>
                <w:ilvl w:val="0"/>
                <w:numId w:val="29"/>
              </w:numPr>
            </w:pPr>
            <w:r>
              <w:rPr>
                <w:rFonts w:hint="eastAsia"/>
              </w:rPr>
              <w:t>企业应制定环境风险应急预案，建立应急组织机构，负责应急突发性事件的组织、指挥、抢修、控制、协调等应急响应行动；</w:t>
            </w:r>
          </w:p>
          <w:p>
            <w:pPr>
              <w:pStyle w:val="4075"/>
            </w:pPr>
            <w:r>
              <w:rPr>
                <w:rFonts w:hint="eastAsia"/>
              </w:rPr>
              <w:t>风险事故应急队伍收到事故信息后，应立即赶赴现场，确认事故应急状态等级和危急程序，确定应急抢修方案，迅速开展各项抢修、抢救工作。若事故严重，同时请求政府应急支援；</w:t>
            </w:r>
          </w:p>
          <w:p>
            <w:pPr>
              <w:pStyle w:val="4075"/>
            </w:pPr>
            <w:r>
              <w:rPr>
                <w:rFonts w:hint="eastAsia"/>
              </w:rPr>
              <w:t>当事故发生时，应由专业队伍负责对事故现场进行侦察监测，对事故性质、参数与后果进行评估，为指挥部门提供决策依据；</w:t>
            </w:r>
          </w:p>
          <w:p>
            <w:pPr>
              <w:pStyle w:val="4075"/>
            </w:pPr>
            <w:r>
              <w:rPr>
                <w:rFonts w:hint="eastAsia"/>
              </w:rPr>
              <w:t>应急计划制定后，平时安排人员培训与演练；对邻近地区开展公众教育、培训和发布有关信息等。</w:t>
            </w:r>
          </w:p>
          <w:p>
            <w:pPr>
              <w:pStyle w:val="160"/>
              <w:ind w:firstLine="480"/>
              <w:rPr>
                <w:rFonts w:ascii="宋体" w:hAnsi="宋体"/>
              </w:rPr>
            </w:pPr>
            <w:r>
              <w:rPr>
                <w:rFonts w:hint="eastAsia" w:ascii="宋体" w:hAnsi="宋体"/>
              </w:rPr>
              <w:t>通过制定风险防范措施及应急预案，能够有效预防风险事故的发生，如果一旦发生风险事故，能及时采取相应的应急措施，在短时间内解除事故风险，以免对人员健康造成较大影响。</w:t>
            </w:r>
          </w:p>
          <w:p>
            <w:pPr>
              <w:pStyle w:val="6"/>
              <w:keepNext w:val="0"/>
              <w:keepLines w:val="0"/>
              <w:snapToGrid w:val="0"/>
              <w:rPr>
                <w:rFonts w:ascii="宋体" w:hAnsi="宋体"/>
              </w:rPr>
            </w:pPr>
            <w:r>
              <w:rPr>
                <w:rFonts w:hint="eastAsia" w:ascii="宋体" w:hAnsi="宋体"/>
              </w:rPr>
              <w:t>4.8.5环境管理</w:t>
            </w:r>
          </w:p>
          <w:p>
            <w:pPr>
              <w:pStyle w:val="160"/>
              <w:ind w:firstLine="480"/>
            </w:pPr>
            <w:r>
              <w:rPr>
                <w:rFonts w:hint="eastAsia"/>
              </w:rPr>
              <w:t>根据扩建项目的生产特点，对环境管理机构的设置建议如下：</w:t>
            </w:r>
          </w:p>
          <w:p>
            <w:pPr>
              <w:pStyle w:val="160"/>
              <w:ind w:firstLine="480"/>
            </w:pPr>
            <w:r>
              <w:rPr>
                <w:rFonts w:hint="eastAsia"/>
              </w:rPr>
              <w:t>环境管理应由总经理主管负责，下设环境保护专职机构，并与各职能部门保持密切的联系，由专职环境保护管理和工作人员实施全公司的环境管理工作，其主要职责是：</w:t>
            </w:r>
          </w:p>
          <w:p>
            <w:pPr>
              <w:pStyle w:val="4075"/>
              <w:numPr>
                <w:ilvl w:val="0"/>
                <w:numId w:val="30"/>
              </w:numPr>
            </w:pPr>
            <w:r>
              <w:rPr>
                <w:rFonts w:hint="eastAsia"/>
              </w:rPr>
              <w:t>贯彻执行国家的环境保护法规和标准；</w:t>
            </w:r>
          </w:p>
          <w:p>
            <w:pPr>
              <w:pStyle w:val="4075"/>
            </w:pPr>
            <w:r>
              <w:rPr>
                <w:rFonts w:hint="eastAsia"/>
              </w:rPr>
              <w:t>接受环保主管部门的检查监督，定期上报各项环境管理工作的执行情况；</w:t>
            </w:r>
          </w:p>
          <w:p>
            <w:pPr>
              <w:pStyle w:val="4075"/>
            </w:pPr>
            <w:r>
              <w:rPr>
                <w:rFonts w:hint="eastAsia"/>
              </w:rPr>
              <w:t>组织制定公司各部门的环境管理规章制度；</w:t>
            </w:r>
          </w:p>
          <w:p>
            <w:pPr>
              <w:pStyle w:val="4075"/>
            </w:pPr>
            <w:r>
              <w:rPr>
                <w:rFonts w:hint="eastAsia"/>
              </w:rPr>
              <w:t>负责环保设施的正常运转，以及环境监测计划的实施。</w:t>
            </w:r>
          </w:p>
          <w:p>
            <w:pPr>
              <w:pStyle w:val="3"/>
              <w:tabs>
                <w:tab w:val="left" w:pos="269"/>
                <w:tab w:val="left" w:pos="371"/>
                <w:tab w:val="left" w:pos="432"/>
              </w:tabs>
              <w:jc w:val="left"/>
              <w:rPr>
                <w:bCs w:val="0"/>
                <w:sz w:val="24"/>
                <w:szCs w:val="22"/>
              </w:rPr>
            </w:pPr>
            <w:r>
              <w:rPr>
                <w:rFonts w:hint="eastAsia"/>
                <w:bCs w:val="0"/>
                <w:sz w:val="24"/>
                <w:szCs w:val="22"/>
              </w:rPr>
              <w:t>4.9  以新带老措施分析</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（1）现有危废暂存间地面存在破损情况，应对危废暂存间进行“四防”修补。</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（2）食堂油烟废气未设置废气处理设施，需增加油烟净化器。</w:t>
            </w:r>
          </w:p>
          <w:p>
            <w:pPr>
              <w:pStyle w:val="160"/>
              <w:ind w:firstLine="480"/>
              <w:rPr>
                <w:rFonts w:asciiTheme="minorEastAsia" w:hAnsiTheme="minorEastAsia" w:eastAsiaTheme="minorEastAsia" w:cstheme="minorEastAsia"/>
              </w:rPr>
            </w:pPr>
            <w:r>
              <w:rPr>
                <w:rFonts w:hint="eastAsia" w:asciiTheme="minorEastAsia" w:hAnsiTheme="minorEastAsia" w:eastAsiaTheme="minorEastAsia" w:cstheme="minorEastAsia"/>
              </w:rPr>
              <w:t>（3）现有底漆涂装线（1#线）无封闭措施，涂装线为半开放式涂装，废气收集效率较低。应对现有底漆涂装线（1#线）进行改造，对涂装线进行密闭，提高废气收集效率。</w:t>
            </w:r>
          </w:p>
        </w:tc>
      </w:tr>
    </w:tbl>
    <w:p>
      <w:pPr>
        <w:rPr>
          <w:rFonts w:ascii="宋体" w:hAnsi="宋体" w:eastAsia="宋体"/>
        </w:rPr>
        <w:sectPr>
          <w:pgSz w:w="11907" w:h="16840"/>
          <w:pgMar w:top="1701" w:right="1304" w:bottom="2126" w:left="1304" w:header="851" w:footer="851" w:gutter="0"/>
          <w:cols w:space="720" w:num="1"/>
          <w:docGrid w:linePitch="312" w:charSpace="0"/>
        </w:sectPr>
      </w:pPr>
    </w:p>
    <w:bookmarkEnd w:id="38"/>
    <w:p>
      <w:pPr>
        <w:pStyle w:val="3"/>
      </w:pPr>
      <w:bookmarkStart w:id="65" w:name="_Hlk54167917"/>
      <w:r>
        <w:rPr>
          <w:rFonts w:hint="eastAsia"/>
        </w:rPr>
        <w:t>五、环境保护措施监督检查清单</w:t>
      </w:r>
      <w:bookmarkEnd w:id="65"/>
    </w:p>
    <w:tbl>
      <w:tblPr>
        <w:tblStyle w:val="88"/>
        <w:tblW w:w="8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003"/>
        <w:gridCol w:w="2130"/>
        <w:gridCol w:w="2678"/>
        <w:gridCol w:w="20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3" w:type="dxa"/>
            <w:tcBorders>
              <w:tl2br w:val="single" w:color="auto" w:sz="4" w:space="0"/>
            </w:tcBorders>
          </w:tcPr>
          <w:p>
            <w:pPr>
              <w:pStyle w:val="164"/>
              <w:rPr>
                <w:b/>
                <w:bCs/>
              </w:rPr>
            </w:pPr>
            <w:r>
              <w:rPr>
                <w:rFonts w:hint="eastAsia"/>
                <w:b/>
                <w:bCs/>
              </w:rPr>
              <w:t>内</w:t>
            </w:r>
            <w:r>
              <w:rPr>
                <w:b/>
                <w:bCs/>
              </w:rPr>
              <w:t>容</w:t>
            </w:r>
          </w:p>
          <w:p>
            <w:pPr>
              <w:pStyle w:val="164"/>
              <w:rPr>
                <w:b/>
                <w:bCs/>
              </w:rPr>
            </w:pPr>
          </w:p>
          <w:p>
            <w:pPr>
              <w:pStyle w:val="164"/>
              <w:rPr>
                <w:b/>
                <w:bCs/>
              </w:rPr>
            </w:pPr>
            <w:r>
              <w:rPr>
                <w:b/>
                <w:bCs/>
              </w:rPr>
              <w:t>要素</w:t>
            </w:r>
          </w:p>
        </w:tc>
        <w:tc>
          <w:tcPr>
            <w:tcW w:w="1003" w:type="dxa"/>
            <w:vAlign w:val="center"/>
          </w:tcPr>
          <w:p>
            <w:pPr>
              <w:pStyle w:val="164"/>
              <w:rPr>
                <w:b/>
                <w:bCs/>
              </w:rPr>
            </w:pPr>
            <w:r>
              <w:rPr>
                <w:b/>
                <w:bCs/>
              </w:rPr>
              <w:t>排放口</w:t>
            </w:r>
            <w:r>
              <w:rPr>
                <w:rFonts w:hint="eastAsia"/>
                <w:b/>
                <w:bCs/>
              </w:rPr>
              <w:t>（</w:t>
            </w:r>
            <w:r>
              <w:rPr>
                <w:b/>
                <w:bCs/>
              </w:rPr>
              <w:t>编号、名称</w:t>
            </w:r>
            <w:r>
              <w:rPr>
                <w:rFonts w:hint="eastAsia"/>
                <w:b/>
                <w:bCs/>
              </w:rPr>
              <w:t>）</w:t>
            </w:r>
            <w:r>
              <w:rPr>
                <w:b/>
                <w:bCs/>
              </w:rPr>
              <w:t>/污染源</w:t>
            </w:r>
          </w:p>
        </w:tc>
        <w:tc>
          <w:tcPr>
            <w:tcW w:w="2130" w:type="dxa"/>
            <w:vAlign w:val="center"/>
          </w:tcPr>
          <w:p>
            <w:pPr>
              <w:pStyle w:val="164"/>
              <w:rPr>
                <w:b/>
                <w:bCs/>
              </w:rPr>
            </w:pPr>
            <w:r>
              <w:rPr>
                <w:b/>
                <w:bCs/>
              </w:rPr>
              <w:t>污染物项目</w:t>
            </w:r>
          </w:p>
        </w:tc>
        <w:tc>
          <w:tcPr>
            <w:tcW w:w="2678" w:type="dxa"/>
            <w:vAlign w:val="center"/>
          </w:tcPr>
          <w:p>
            <w:pPr>
              <w:pStyle w:val="164"/>
              <w:rPr>
                <w:b/>
                <w:bCs/>
              </w:rPr>
            </w:pPr>
            <w:r>
              <w:rPr>
                <w:b/>
                <w:bCs/>
              </w:rPr>
              <w:t>环境保护措施</w:t>
            </w:r>
          </w:p>
        </w:tc>
        <w:tc>
          <w:tcPr>
            <w:tcW w:w="2030" w:type="dxa"/>
            <w:vAlign w:val="center"/>
          </w:tcPr>
          <w:p>
            <w:pPr>
              <w:pStyle w:val="164"/>
              <w:rPr>
                <w:b/>
                <w:bCs/>
              </w:rPr>
            </w:pPr>
            <w:r>
              <w:rPr>
                <w:b/>
                <w:bCs/>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3" w:type="dxa"/>
            <w:vMerge w:val="restart"/>
            <w:vAlign w:val="center"/>
          </w:tcPr>
          <w:p>
            <w:pPr>
              <w:pStyle w:val="164"/>
            </w:pPr>
            <w:r>
              <w:t>大气环境</w:t>
            </w:r>
          </w:p>
        </w:tc>
        <w:tc>
          <w:tcPr>
            <w:tcW w:w="1003"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DA001排气筒</w:t>
            </w:r>
          </w:p>
        </w:tc>
        <w:tc>
          <w:tcPr>
            <w:tcW w:w="2130"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颗粒物、非甲烷总烃、VOCs、甲苯+二甲苯合计、苯系物</w:t>
            </w:r>
          </w:p>
        </w:tc>
        <w:tc>
          <w:tcPr>
            <w:tcW w:w="2678"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湿式过滤+干式过滤+活性炭吸附浓缩+解析（催化燃烧）+15m DA001排气筒</w:t>
            </w:r>
          </w:p>
        </w:tc>
        <w:tc>
          <w:tcPr>
            <w:tcW w:w="2030" w:type="dxa"/>
            <w:vMerge w:val="restart"/>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《家具制造业大气污染物排放标准》（DB</w:t>
            </w:r>
          </w:p>
          <w:p>
            <w:pPr>
              <w:pStyle w:val="164"/>
              <w:rPr>
                <w:rFonts w:asciiTheme="minorEastAsia" w:hAnsiTheme="minorEastAsia" w:eastAsiaTheme="minorEastAsia" w:cstheme="minorEastAsia"/>
                <w:color w:val="FF0000"/>
              </w:rPr>
            </w:pPr>
            <w:r>
              <w:rPr>
                <w:rFonts w:hint="eastAsia" w:asciiTheme="minorEastAsia" w:hAnsiTheme="minorEastAsia" w:eastAsiaTheme="minorEastAsia" w:cstheme="minorEastAsia"/>
              </w:rPr>
              <w:t>50/757-2017）中表2其他区域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3" w:type="dxa"/>
            <w:vMerge w:val="continue"/>
            <w:vAlign w:val="center"/>
          </w:tcPr>
          <w:p>
            <w:pPr>
              <w:pStyle w:val="164"/>
            </w:pPr>
          </w:p>
        </w:tc>
        <w:tc>
          <w:tcPr>
            <w:tcW w:w="1003"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DA002排气筒</w:t>
            </w:r>
          </w:p>
        </w:tc>
        <w:tc>
          <w:tcPr>
            <w:tcW w:w="2130"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颗粒物、非甲烷总烃、VOCs、甲苯+二甲苯合计、苯系物</w:t>
            </w:r>
          </w:p>
        </w:tc>
        <w:tc>
          <w:tcPr>
            <w:tcW w:w="2678"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湿式过滤+干式过滤+活性炭吸附浓缩+解析（催化燃烧）+15m DA002排气筒</w:t>
            </w: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3" w:type="dxa"/>
            <w:vMerge w:val="continue"/>
            <w:vAlign w:val="center"/>
          </w:tcPr>
          <w:p>
            <w:pPr>
              <w:pStyle w:val="164"/>
            </w:pPr>
          </w:p>
        </w:tc>
        <w:tc>
          <w:tcPr>
            <w:tcW w:w="1003"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DA007排气筒</w:t>
            </w:r>
          </w:p>
        </w:tc>
        <w:tc>
          <w:tcPr>
            <w:tcW w:w="2130"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 xml:space="preserve">颗粒物、非甲烷总烃、VOCs </w:t>
            </w:r>
          </w:p>
        </w:tc>
        <w:tc>
          <w:tcPr>
            <w:tcW w:w="2678"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湿式过滤+干式过滤+活性炭吸附浓缩+解析（催化燃烧）+15m DA007排气筒</w:t>
            </w: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3" w:type="dxa"/>
            <w:vMerge w:val="continue"/>
            <w:vAlign w:val="center"/>
          </w:tcPr>
          <w:p>
            <w:pPr>
              <w:pStyle w:val="164"/>
            </w:pPr>
          </w:p>
        </w:tc>
        <w:tc>
          <w:tcPr>
            <w:tcW w:w="1003"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DA008排气筒</w:t>
            </w:r>
          </w:p>
        </w:tc>
        <w:tc>
          <w:tcPr>
            <w:tcW w:w="2130"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颗粒物、非甲烷总烃、VOCs</w:t>
            </w:r>
          </w:p>
        </w:tc>
        <w:tc>
          <w:tcPr>
            <w:tcW w:w="2678"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湿式过滤+干式过滤+活性炭吸附浓缩+解析（催化燃烧）+15m DA008排气筒</w:t>
            </w: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3" w:type="dxa"/>
            <w:vMerge w:val="continue"/>
            <w:vAlign w:val="center"/>
          </w:tcPr>
          <w:p>
            <w:pPr>
              <w:pStyle w:val="164"/>
            </w:pPr>
          </w:p>
        </w:tc>
        <w:tc>
          <w:tcPr>
            <w:tcW w:w="1003"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DA009排气筒</w:t>
            </w:r>
          </w:p>
        </w:tc>
        <w:tc>
          <w:tcPr>
            <w:tcW w:w="2130"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颗粒物</w:t>
            </w:r>
          </w:p>
        </w:tc>
        <w:tc>
          <w:tcPr>
            <w:tcW w:w="2678"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集气罩收集+中央除尘器+15m DA009排气筒</w:t>
            </w: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83" w:type="dxa"/>
            <w:vMerge w:val="continue"/>
            <w:vAlign w:val="center"/>
          </w:tcPr>
          <w:p>
            <w:pPr>
              <w:pStyle w:val="164"/>
            </w:pPr>
          </w:p>
        </w:tc>
        <w:tc>
          <w:tcPr>
            <w:tcW w:w="1003"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DA010</w:t>
            </w:r>
          </w:p>
        </w:tc>
        <w:tc>
          <w:tcPr>
            <w:tcW w:w="2130"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油烟、非甲烷总烃</w:t>
            </w:r>
          </w:p>
        </w:tc>
        <w:tc>
          <w:tcPr>
            <w:tcW w:w="2678"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油烟净化器</w:t>
            </w:r>
          </w:p>
        </w:tc>
        <w:tc>
          <w:tcPr>
            <w:tcW w:w="2030" w:type="dxa"/>
            <w:vAlign w:val="center"/>
          </w:tcPr>
          <w:p>
            <w:pPr>
              <w:pStyle w:val="164"/>
              <w:rPr>
                <w:rFonts w:asciiTheme="minorEastAsia" w:hAnsiTheme="minorEastAsia" w:eastAsiaTheme="minorEastAsia" w:cstheme="minorEastAsia"/>
                <w:color w:val="FF0000"/>
              </w:rPr>
            </w:pPr>
            <w:r>
              <w:rPr>
                <w:rFonts w:hint="eastAsia" w:asciiTheme="minorEastAsia" w:hAnsiTheme="minorEastAsia" w:eastAsiaTheme="minorEastAsia" w:cstheme="minorEastAsia"/>
              </w:rPr>
              <w:t>《餐饮业大气污染物排放标准》（DB50/859-2018）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983" w:type="dxa"/>
            <w:vMerge w:val="restart"/>
            <w:vAlign w:val="center"/>
          </w:tcPr>
          <w:p>
            <w:pPr>
              <w:pStyle w:val="164"/>
            </w:pPr>
            <w:r>
              <w:t>地表水环境</w:t>
            </w:r>
          </w:p>
        </w:tc>
        <w:tc>
          <w:tcPr>
            <w:tcW w:w="1003" w:type="dxa"/>
            <w:vMerge w:val="restart"/>
            <w:vAlign w:val="center"/>
          </w:tcPr>
          <w:p>
            <w:pPr>
              <w:pStyle w:val="164"/>
            </w:pPr>
            <w:r>
              <w:rPr>
                <w:rFonts w:hint="eastAsia"/>
              </w:rPr>
              <w:t>综合废水</w:t>
            </w:r>
          </w:p>
        </w:tc>
        <w:tc>
          <w:tcPr>
            <w:tcW w:w="2130" w:type="dxa"/>
            <w:vAlign w:val="center"/>
          </w:tcPr>
          <w:p>
            <w:pPr>
              <w:pStyle w:val="164"/>
            </w:pPr>
            <w:r>
              <w:rPr>
                <w:rFonts w:hint="eastAsia"/>
              </w:rPr>
              <w:t>p</w:t>
            </w:r>
            <w:r>
              <w:t>H</w:t>
            </w:r>
          </w:p>
        </w:tc>
        <w:tc>
          <w:tcPr>
            <w:tcW w:w="2678" w:type="dxa"/>
            <w:vMerge w:val="restart"/>
            <w:vAlign w:val="center"/>
          </w:tcPr>
          <w:p>
            <w:pPr>
              <w:pStyle w:val="164"/>
              <w:jc w:val="both"/>
              <w:rPr>
                <w:rFonts w:asciiTheme="minorEastAsia" w:hAnsiTheme="minorEastAsia" w:eastAsiaTheme="minorEastAsia" w:cstheme="minorEastAsia"/>
                <w:color w:val="FF0000"/>
              </w:rPr>
            </w:pPr>
            <w:r>
              <w:rPr>
                <w:rFonts w:hint="eastAsia" w:asciiTheme="minorEastAsia" w:hAnsiTheme="minorEastAsia" w:eastAsiaTheme="minorEastAsia" w:cstheme="minorEastAsia"/>
                <w:bCs/>
              </w:rPr>
              <w:t>生活污水与生产废水经物化处理的生产废水相混合后经生化处理达《污水综合排放标准》（GB8978-1996）三级排放标准，经园区污水管网排入东城污水处理厂进一步处理达</w:t>
            </w:r>
            <w:r>
              <w:rPr>
                <w:rFonts w:hint="eastAsia" w:asciiTheme="minorEastAsia" w:hAnsiTheme="minorEastAsia" w:eastAsiaTheme="minorEastAsia" w:cstheme="minorEastAsia"/>
                <w:bCs/>
                <w:color w:val="auto"/>
              </w:rPr>
              <w:t>《城镇污水处理厂污染物排放标准》（GB18918-2002）一级B标后排入淮远河</w:t>
            </w:r>
          </w:p>
        </w:tc>
        <w:tc>
          <w:tcPr>
            <w:tcW w:w="2030" w:type="dxa"/>
            <w:vMerge w:val="restart"/>
            <w:vAlign w:val="center"/>
          </w:tcPr>
          <w:p>
            <w:pPr>
              <w:pStyle w:val="164"/>
              <w:rPr>
                <w:rFonts w:asciiTheme="minorEastAsia" w:hAnsiTheme="minorEastAsia" w:eastAsiaTheme="minorEastAsia" w:cstheme="minorEastAsia"/>
                <w:color w:val="FF0000"/>
              </w:rPr>
            </w:pPr>
            <w:r>
              <w:rPr>
                <w:rFonts w:hint="eastAsia" w:asciiTheme="minorEastAsia" w:hAnsiTheme="minorEastAsia" w:eastAsiaTheme="minorEastAsia" w:cstheme="minorEastAsia"/>
              </w:rPr>
              <w:t>《污水综合排放标准》（GB 8978-1996）三级标准；《城镇污水处理厂污染物排放标准》（GB 18918-2002）一级B标准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983" w:type="dxa"/>
            <w:vMerge w:val="continue"/>
            <w:vAlign w:val="center"/>
          </w:tcPr>
          <w:p>
            <w:pPr>
              <w:pStyle w:val="164"/>
            </w:pPr>
          </w:p>
        </w:tc>
        <w:tc>
          <w:tcPr>
            <w:tcW w:w="1003" w:type="dxa"/>
            <w:vMerge w:val="continue"/>
            <w:vAlign w:val="center"/>
          </w:tcPr>
          <w:p>
            <w:pPr>
              <w:pStyle w:val="164"/>
            </w:pPr>
          </w:p>
        </w:tc>
        <w:tc>
          <w:tcPr>
            <w:tcW w:w="2130" w:type="dxa"/>
            <w:vAlign w:val="center"/>
          </w:tcPr>
          <w:p>
            <w:pPr>
              <w:pStyle w:val="164"/>
            </w:pPr>
            <w:r>
              <w:t>COD</w:t>
            </w:r>
          </w:p>
        </w:tc>
        <w:tc>
          <w:tcPr>
            <w:tcW w:w="2678" w:type="dxa"/>
            <w:vMerge w:val="continue"/>
            <w:vAlign w:val="center"/>
          </w:tcPr>
          <w:p>
            <w:pPr>
              <w:pStyle w:val="164"/>
              <w:jc w:val="both"/>
            </w:pPr>
          </w:p>
        </w:tc>
        <w:tc>
          <w:tcPr>
            <w:tcW w:w="2030" w:type="dxa"/>
            <w:vMerge w:val="continue"/>
            <w:vAlign w:val="center"/>
          </w:tcPr>
          <w:p>
            <w:pPr>
              <w:pStyle w:val="164"/>
              <w:rPr>
                <w:rFonts w:asciiTheme="minorEastAsia" w:hAnsiTheme="minorEastAsia" w:eastAsiaTheme="minorEastAsia" w:cstheme="minor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983" w:type="dxa"/>
            <w:vMerge w:val="continue"/>
            <w:vAlign w:val="center"/>
          </w:tcPr>
          <w:p>
            <w:pPr>
              <w:pStyle w:val="164"/>
              <w:rPr>
                <w:color w:val="FF0000"/>
              </w:rPr>
            </w:pPr>
          </w:p>
        </w:tc>
        <w:tc>
          <w:tcPr>
            <w:tcW w:w="1003" w:type="dxa"/>
            <w:vMerge w:val="continue"/>
            <w:vAlign w:val="center"/>
          </w:tcPr>
          <w:p>
            <w:pPr>
              <w:pStyle w:val="164"/>
              <w:rPr>
                <w:color w:val="FF0000"/>
              </w:rPr>
            </w:pPr>
          </w:p>
        </w:tc>
        <w:tc>
          <w:tcPr>
            <w:tcW w:w="2130" w:type="dxa"/>
            <w:vAlign w:val="center"/>
          </w:tcPr>
          <w:p>
            <w:pPr>
              <w:pStyle w:val="164"/>
            </w:pPr>
            <w:r>
              <w:t>BOD</w:t>
            </w:r>
            <w:r>
              <w:rPr>
                <w:vertAlign w:val="subscript"/>
              </w:rPr>
              <w:t>5</w:t>
            </w:r>
          </w:p>
        </w:tc>
        <w:tc>
          <w:tcPr>
            <w:tcW w:w="2678" w:type="dxa"/>
            <w:vMerge w:val="continue"/>
            <w:vAlign w:val="center"/>
          </w:tcPr>
          <w:p>
            <w:pPr>
              <w:pStyle w:val="164"/>
              <w:rPr>
                <w:color w:val="FF0000"/>
              </w:rPr>
            </w:pP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983" w:type="dxa"/>
            <w:vMerge w:val="continue"/>
            <w:vAlign w:val="center"/>
          </w:tcPr>
          <w:p>
            <w:pPr>
              <w:pStyle w:val="164"/>
              <w:rPr>
                <w:color w:val="FF0000"/>
              </w:rPr>
            </w:pPr>
          </w:p>
        </w:tc>
        <w:tc>
          <w:tcPr>
            <w:tcW w:w="1003" w:type="dxa"/>
            <w:vMerge w:val="continue"/>
            <w:vAlign w:val="center"/>
          </w:tcPr>
          <w:p>
            <w:pPr>
              <w:pStyle w:val="164"/>
              <w:rPr>
                <w:color w:val="FF0000"/>
              </w:rPr>
            </w:pPr>
          </w:p>
        </w:tc>
        <w:tc>
          <w:tcPr>
            <w:tcW w:w="2130" w:type="dxa"/>
            <w:vAlign w:val="center"/>
          </w:tcPr>
          <w:p>
            <w:pPr>
              <w:pStyle w:val="164"/>
            </w:pPr>
            <w:r>
              <w:t>SS</w:t>
            </w:r>
          </w:p>
        </w:tc>
        <w:tc>
          <w:tcPr>
            <w:tcW w:w="2678" w:type="dxa"/>
            <w:vMerge w:val="continue"/>
            <w:vAlign w:val="center"/>
          </w:tcPr>
          <w:p>
            <w:pPr>
              <w:pStyle w:val="164"/>
              <w:rPr>
                <w:color w:val="FF0000"/>
              </w:rPr>
            </w:pP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983" w:type="dxa"/>
            <w:vMerge w:val="continue"/>
            <w:vAlign w:val="center"/>
          </w:tcPr>
          <w:p>
            <w:pPr>
              <w:pStyle w:val="164"/>
              <w:rPr>
                <w:color w:val="FF0000"/>
              </w:rPr>
            </w:pPr>
          </w:p>
        </w:tc>
        <w:tc>
          <w:tcPr>
            <w:tcW w:w="1003" w:type="dxa"/>
            <w:vMerge w:val="continue"/>
            <w:vAlign w:val="center"/>
          </w:tcPr>
          <w:p>
            <w:pPr>
              <w:pStyle w:val="164"/>
              <w:rPr>
                <w:color w:val="FF0000"/>
              </w:rPr>
            </w:pPr>
          </w:p>
        </w:tc>
        <w:tc>
          <w:tcPr>
            <w:tcW w:w="2130" w:type="dxa"/>
            <w:vAlign w:val="center"/>
          </w:tcPr>
          <w:p>
            <w:pPr>
              <w:pStyle w:val="164"/>
            </w:pPr>
            <w:r>
              <w:t>动植物油</w:t>
            </w:r>
          </w:p>
        </w:tc>
        <w:tc>
          <w:tcPr>
            <w:tcW w:w="2678" w:type="dxa"/>
            <w:vMerge w:val="continue"/>
            <w:vAlign w:val="center"/>
          </w:tcPr>
          <w:p>
            <w:pPr>
              <w:pStyle w:val="164"/>
              <w:rPr>
                <w:color w:val="FF0000"/>
              </w:rPr>
            </w:pP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983" w:type="dxa"/>
            <w:vMerge w:val="continue"/>
            <w:vAlign w:val="center"/>
          </w:tcPr>
          <w:p>
            <w:pPr>
              <w:pStyle w:val="164"/>
              <w:rPr>
                <w:color w:val="FF0000"/>
              </w:rPr>
            </w:pPr>
          </w:p>
        </w:tc>
        <w:tc>
          <w:tcPr>
            <w:tcW w:w="1003" w:type="dxa"/>
            <w:vMerge w:val="continue"/>
            <w:vAlign w:val="center"/>
          </w:tcPr>
          <w:p>
            <w:pPr>
              <w:pStyle w:val="164"/>
              <w:rPr>
                <w:color w:val="FF0000"/>
              </w:rPr>
            </w:pPr>
          </w:p>
        </w:tc>
        <w:tc>
          <w:tcPr>
            <w:tcW w:w="2130" w:type="dxa"/>
            <w:vAlign w:val="center"/>
          </w:tcPr>
          <w:p>
            <w:pPr>
              <w:pStyle w:val="164"/>
            </w:pPr>
            <w:r>
              <w:t>石油类</w:t>
            </w:r>
          </w:p>
        </w:tc>
        <w:tc>
          <w:tcPr>
            <w:tcW w:w="2678" w:type="dxa"/>
            <w:vMerge w:val="continue"/>
            <w:vAlign w:val="center"/>
          </w:tcPr>
          <w:p>
            <w:pPr>
              <w:pStyle w:val="164"/>
              <w:rPr>
                <w:color w:val="FF0000"/>
              </w:rPr>
            </w:pPr>
          </w:p>
        </w:tc>
        <w:tc>
          <w:tcPr>
            <w:tcW w:w="2030" w:type="dxa"/>
            <w:vMerge w:val="continue"/>
            <w:vAlign w:val="center"/>
          </w:tcPr>
          <w:p>
            <w:pPr>
              <w:pStyle w:val="164"/>
              <w:rPr>
                <w:rFonts w:asciiTheme="minorEastAsia" w:hAnsiTheme="minorEastAsia" w:eastAsiaTheme="minorEastAsia" w:cstheme="minorEastAsia"/>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jc w:val="center"/>
        </w:trPr>
        <w:tc>
          <w:tcPr>
            <w:tcW w:w="983" w:type="dxa"/>
            <w:vAlign w:val="center"/>
          </w:tcPr>
          <w:p>
            <w:pPr>
              <w:pStyle w:val="164"/>
            </w:pPr>
            <w:r>
              <w:t>声环境</w:t>
            </w:r>
          </w:p>
        </w:tc>
        <w:tc>
          <w:tcPr>
            <w:tcW w:w="1003" w:type="dxa"/>
            <w:vAlign w:val="center"/>
          </w:tcPr>
          <w:p>
            <w:pPr>
              <w:pStyle w:val="164"/>
            </w:pPr>
            <w:r>
              <w:rPr>
                <w:rFonts w:hint="eastAsia"/>
              </w:rPr>
              <w:t>生产设备、风机等</w:t>
            </w:r>
          </w:p>
        </w:tc>
        <w:tc>
          <w:tcPr>
            <w:tcW w:w="2130" w:type="dxa"/>
            <w:vAlign w:val="center"/>
          </w:tcPr>
          <w:p>
            <w:pPr>
              <w:pStyle w:val="164"/>
            </w:pPr>
            <w:r>
              <w:rPr>
                <w:rFonts w:hint="eastAsia"/>
              </w:rPr>
              <w:t>等效A声级</w:t>
            </w:r>
          </w:p>
        </w:tc>
        <w:tc>
          <w:tcPr>
            <w:tcW w:w="2678" w:type="dxa"/>
            <w:vAlign w:val="center"/>
          </w:tcPr>
          <w:p>
            <w:pPr>
              <w:pStyle w:val="164"/>
              <w:rPr>
                <w:color w:val="FF0000"/>
              </w:rPr>
            </w:pPr>
            <w:r>
              <w:rPr>
                <w:rFonts w:hint="eastAsia"/>
              </w:rPr>
              <w:t>选用高效低噪声设备、安装减振底座及厂房隔声等</w:t>
            </w:r>
          </w:p>
        </w:tc>
        <w:tc>
          <w:tcPr>
            <w:tcW w:w="2030"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《工业企业厂界环境噪声排放标准》（GB 12348-2008）中3类排放标准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983" w:type="dxa"/>
            <w:vAlign w:val="center"/>
          </w:tcPr>
          <w:p>
            <w:pPr>
              <w:pStyle w:val="164"/>
            </w:pPr>
            <w:r>
              <w:rPr>
                <w:rFonts w:hint="eastAsia"/>
              </w:rPr>
              <w:t>电磁</w:t>
            </w:r>
          </w:p>
          <w:p>
            <w:pPr>
              <w:pStyle w:val="164"/>
            </w:pPr>
            <w:r>
              <w:rPr>
                <w:rFonts w:hint="eastAsia"/>
              </w:rPr>
              <w:t>辐射</w:t>
            </w:r>
          </w:p>
        </w:tc>
        <w:tc>
          <w:tcPr>
            <w:tcW w:w="1003" w:type="dxa"/>
            <w:vAlign w:val="center"/>
          </w:tcPr>
          <w:p>
            <w:pPr>
              <w:pStyle w:val="164"/>
            </w:pPr>
            <w:r>
              <w:rPr>
                <w:rFonts w:hint="eastAsia"/>
              </w:rPr>
              <w:t>/</w:t>
            </w:r>
          </w:p>
        </w:tc>
        <w:tc>
          <w:tcPr>
            <w:tcW w:w="2130" w:type="dxa"/>
            <w:vAlign w:val="center"/>
          </w:tcPr>
          <w:p>
            <w:pPr>
              <w:pStyle w:val="164"/>
            </w:pPr>
            <w:r>
              <w:rPr>
                <w:rFonts w:hint="eastAsia"/>
              </w:rPr>
              <w:t>/</w:t>
            </w:r>
          </w:p>
        </w:tc>
        <w:tc>
          <w:tcPr>
            <w:tcW w:w="2678" w:type="dxa"/>
            <w:vAlign w:val="center"/>
          </w:tcPr>
          <w:p>
            <w:pPr>
              <w:pStyle w:val="164"/>
            </w:pPr>
            <w:r>
              <w:rPr>
                <w:rFonts w:hint="eastAsia"/>
              </w:rPr>
              <w:t>/</w:t>
            </w:r>
          </w:p>
        </w:tc>
        <w:tc>
          <w:tcPr>
            <w:tcW w:w="2030" w:type="dxa"/>
            <w:vAlign w:val="center"/>
          </w:tcPr>
          <w:p>
            <w:pPr>
              <w:pStyle w:val="164"/>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983" w:type="dxa"/>
            <w:vMerge w:val="restart"/>
            <w:vAlign w:val="center"/>
          </w:tcPr>
          <w:p>
            <w:pPr>
              <w:pStyle w:val="164"/>
            </w:pPr>
            <w:r>
              <w:t>固体</w:t>
            </w:r>
          </w:p>
          <w:p>
            <w:pPr>
              <w:pStyle w:val="164"/>
            </w:pPr>
            <w:r>
              <w:t>废物</w:t>
            </w:r>
          </w:p>
        </w:tc>
        <w:tc>
          <w:tcPr>
            <w:tcW w:w="1003" w:type="dxa"/>
            <w:vAlign w:val="center"/>
          </w:tcPr>
          <w:p>
            <w:pPr>
              <w:pStyle w:val="164"/>
            </w:pPr>
            <w:r>
              <w:rPr>
                <w:rFonts w:hint="eastAsia"/>
              </w:rPr>
              <w:t>生活垃圾</w:t>
            </w:r>
          </w:p>
        </w:tc>
        <w:tc>
          <w:tcPr>
            <w:tcW w:w="2130" w:type="dxa"/>
            <w:vAlign w:val="center"/>
          </w:tcPr>
          <w:p>
            <w:pPr>
              <w:pStyle w:val="164"/>
            </w:pPr>
            <w:r>
              <w:rPr>
                <w:rFonts w:hint="eastAsia"/>
              </w:rPr>
              <w:t>生活垃圾</w:t>
            </w:r>
          </w:p>
        </w:tc>
        <w:tc>
          <w:tcPr>
            <w:tcW w:w="4708" w:type="dxa"/>
            <w:gridSpan w:val="2"/>
            <w:vAlign w:val="center"/>
          </w:tcPr>
          <w:p>
            <w:pPr>
              <w:pStyle w:val="164"/>
            </w:pPr>
            <w:r>
              <w:rPr>
                <w:rFonts w:hint="eastAsia"/>
              </w:rPr>
              <w:t>交由环卫部门统一收运、处置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0" w:hRule="atLeast"/>
          <w:jc w:val="center"/>
        </w:trPr>
        <w:tc>
          <w:tcPr>
            <w:tcW w:w="983" w:type="dxa"/>
            <w:vMerge w:val="continue"/>
            <w:vAlign w:val="center"/>
          </w:tcPr>
          <w:p>
            <w:pPr>
              <w:pStyle w:val="164"/>
              <w:rPr>
                <w:color w:val="FF0000"/>
              </w:rPr>
            </w:pPr>
          </w:p>
        </w:tc>
        <w:tc>
          <w:tcPr>
            <w:tcW w:w="1003" w:type="dxa"/>
            <w:vAlign w:val="center"/>
          </w:tcPr>
          <w:p>
            <w:pPr>
              <w:pStyle w:val="164"/>
              <w:rPr>
                <w:color w:val="FF0000"/>
              </w:rPr>
            </w:pPr>
            <w:r>
              <w:rPr>
                <w:rFonts w:hint="eastAsia"/>
              </w:rPr>
              <w:t>一般工业固体废物暂存间</w:t>
            </w:r>
          </w:p>
        </w:tc>
        <w:tc>
          <w:tcPr>
            <w:tcW w:w="2130" w:type="dxa"/>
            <w:vAlign w:val="center"/>
          </w:tcPr>
          <w:p>
            <w:pPr>
              <w:pStyle w:val="164"/>
              <w:jc w:val="both"/>
            </w:pPr>
            <w:r>
              <w:rPr>
                <w:rFonts w:hint="eastAsia"/>
              </w:rPr>
              <w:t>开料边角料</w:t>
            </w:r>
            <w:r>
              <w:t>、裁边边角料、木粉、废砂纸、废包装、开料边角料、废封边条、切槽边角料、钻孔边角料、除尘器木粉、废水站生化段污泥</w:t>
            </w:r>
          </w:p>
        </w:tc>
        <w:tc>
          <w:tcPr>
            <w:tcW w:w="2678" w:type="dxa"/>
            <w:vAlign w:val="center"/>
          </w:tcPr>
          <w:p>
            <w:pPr>
              <w:pStyle w:val="164"/>
            </w:pPr>
            <w:r>
              <w:rPr>
                <w:rFonts w:hint="eastAsia"/>
              </w:rPr>
              <w:t>一般工业固体废物</w:t>
            </w:r>
          </w:p>
          <w:p>
            <w:pPr>
              <w:pStyle w:val="164"/>
            </w:pPr>
            <w:r>
              <w:rPr>
                <w:rFonts w:hint="eastAsia"/>
              </w:rPr>
              <w:t>收集后外售</w:t>
            </w:r>
          </w:p>
        </w:tc>
        <w:tc>
          <w:tcPr>
            <w:tcW w:w="2030" w:type="dxa"/>
            <w:vAlign w:val="center"/>
          </w:tcPr>
          <w:p>
            <w:pPr>
              <w:pStyle w:val="164"/>
            </w:pPr>
            <w:r>
              <w:rPr>
                <w:rFonts w:hint="eastAsia"/>
              </w:rPr>
              <w:t>参照执行《</w:t>
            </w:r>
            <w:r>
              <w:t>一般工业固体废物贮存和填埋污染控制标准</w:t>
            </w:r>
            <w:r>
              <w:rPr>
                <w:rFonts w:hint="eastAsia"/>
              </w:rPr>
              <w:t>》</w:t>
            </w:r>
            <w:r>
              <w:t>（GB 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983" w:type="dxa"/>
            <w:vMerge w:val="continue"/>
            <w:vAlign w:val="center"/>
          </w:tcPr>
          <w:p>
            <w:pPr>
              <w:pStyle w:val="164"/>
              <w:rPr>
                <w:color w:val="FF0000"/>
              </w:rPr>
            </w:pPr>
          </w:p>
        </w:tc>
        <w:tc>
          <w:tcPr>
            <w:tcW w:w="1003" w:type="dxa"/>
            <w:vAlign w:val="center"/>
          </w:tcPr>
          <w:p>
            <w:pPr>
              <w:pStyle w:val="164"/>
            </w:pPr>
            <w:r>
              <w:rPr>
                <w:rFonts w:hint="eastAsia"/>
              </w:rPr>
              <w:t>危险废物</w:t>
            </w:r>
          </w:p>
          <w:p>
            <w:pPr>
              <w:pStyle w:val="164"/>
            </w:pPr>
            <w:r>
              <w:rPr>
                <w:rFonts w:hint="eastAsia"/>
              </w:rPr>
              <w:t>暂存间</w:t>
            </w:r>
          </w:p>
        </w:tc>
        <w:tc>
          <w:tcPr>
            <w:tcW w:w="2130" w:type="dxa"/>
            <w:vAlign w:val="center"/>
          </w:tcPr>
          <w:p>
            <w:pPr>
              <w:pStyle w:val="164"/>
              <w:jc w:val="both"/>
            </w:pPr>
            <w:r>
              <w:rPr>
                <w:rFonts w:hint="eastAsia"/>
              </w:rPr>
              <w:t>废胶桶</w:t>
            </w:r>
            <w:r>
              <w:t>、废胶桶、废油漆桶、废紫外光灯、漆粉、废油漆桶、废油漆桶、废活性炭、废催化剂、废风琴纸、废热熔胶、废水站物化段污泥等</w:t>
            </w:r>
          </w:p>
        </w:tc>
        <w:tc>
          <w:tcPr>
            <w:tcW w:w="2678" w:type="dxa"/>
            <w:vAlign w:val="center"/>
          </w:tcPr>
          <w:p>
            <w:pPr>
              <w:pStyle w:val="164"/>
            </w:pPr>
            <w:r>
              <w:rPr>
                <w:rFonts w:hint="eastAsia"/>
              </w:rPr>
              <w:t>交由有资质单位</w:t>
            </w:r>
          </w:p>
          <w:p>
            <w:pPr>
              <w:pStyle w:val="164"/>
            </w:pPr>
            <w:r>
              <w:rPr>
                <w:rFonts w:hint="eastAsia"/>
              </w:rPr>
              <w:t>收运处置</w:t>
            </w:r>
          </w:p>
        </w:tc>
        <w:tc>
          <w:tcPr>
            <w:tcW w:w="2030" w:type="dxa"/>
            <w:vAlign w:val="center"/>
          </w:tcPr>
          <w:p>
            <w:pPr>
              <w:pStyle w:val="164"/>
            </w:pPr>
            <w:r>
              <w:rPr>
                <w:rFonts w:hint="eastAsia"/>
              </w:rPr>
              <w:t>《危险废物贮存污染控制标准》（</w:t>
            </w:r>
            <w:r>
              <w:t>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jc w:val="center"/>
        </w:trPr>
        <w:tc>
          <w:tcPr>
            <w:tcW w:w="983" w:type="dxa"/>
            <w:vAlign w:val="center"/>
          </w:tcPr>
          <w:p>
            <w:pPr>
              <w:pStyle w:val="164"/>
              <w:rPr>
                <w:rFonts w:asciiTheme="minorEastAsia" w:hAnsiTheme="minorEastAsia" w:eastAsiaTheme="minorEastAsia" w:cstheme="minorEastAsia"/>
                <w:color w:val="FF0000"/>
                <w:lang w:val="en-US"/>
              </w:rPr>
            </w:pPr>
            <w:r>
              <w:rPr>
                <w:rFonts w:hint="eastAsia" w:asciiTheme="minorEastAsia" w:hAnsiTheme="minorEastAsia" w:eastAsiaTheme="minorEastAsia" w:cstheme="minorEastAsia"/>
              </w:rPr>
              <w:t>土壤及地下水污染防治措施</w:t>
            </w:r>
          </w:p>
        </w:tc>
        <w:tc>
          <w:tcPr>
            <w:tcW w:w="7841" w:type="dxa"/>
            <w:gridSpan w:val="4"/>
            <w:vAlign w:val="center"/>
          </w:tcPr>
          <w:p>
            <w:pPr>
              <w:pStyle w:val="164"/>
              <w:jc w:val="both"/>
              <w:rPr>
                <w:rFonts w:asciiTheme="minorEastAsia" w:hAnsiTheme="minorEastAsia" w:eastAsiaTheme="minorEastAsia" w:cstheme="minorEastAsia"/>
                <w:color w:val="FF0000"/>
              </w:rPr>
            </w:pPr>
            <w:r>
              <w:rPr>
                <w:rFonts w:hint="eastAsia" w:asciiTheme="minorEastAsia" w:hAnsiTheme="minorEastAsia" w:eastAsiaTheme="minorEastAsia" w:cstheme="minorEastAsia"/>
              </w:rPr>
              <w:t>扩建项目采用分区防渗措施，对油料库房、喷漆房、危险废物暂存间及涂装废气处理设备进行重点防渗处置，防渗技术要求为等效黏土防渗层Mb≥6.0m，K≤1×10</w:t>
            </w:r>
            <w:r>
              <w:rPr>
                <w:rFonts w:hint="eastAsia" w:asciiTheme="minorEastAsia" w:hAnsiTheme="minorEastAsia" w:eastAsiaTheme="minorEastAsia" w:cstheme="minorEastAsia"/>
                <w:vertAlign w:val="superscript"/>
              </w:rPr>
              <w:t>-7</w:t>
            </w:r>
            <w:r>
              <w:rPr>
                <w:rFonts w:hint="eastAsia" w:asciiTheme="minorEastAsia" w:hAnsiTheme="minorEastAsia" w:eastAsiaTheme="minorEastAsia" w:cstheme="minorEastAsia"/>
              </w:rPr>
              <w:t>cm/s；或参照GB18598 执行；生产车间其他区域和一般固体废物暂存间为一般防渗处置，防渗技术要求为等效黏土防渗层Mb≥1.5m，K≤1×10</w:t>
            </w:r>
            <w:r>
              <w:rPr>
                <w:rFonts w:hint="eastAsia" w:asciiTheme="minorEastAsia" w:hAnsiTheme="minorEastAsia" w:eastAsiaTheme="minorEastAsia" w:cstheme="minorEastAsia"/>
                <w:vertAlign w:val="superscript"/>
              </w:rPr>
              <w:t>-7</w:t>
            </w:r>
            <w:r>
              <w:rPr>
                <w:rFonts w:hint="eastAsia" w:asciiTheme="minorEastAsia" w:hAnsiTheme="minorEastAsia" w:eastAsiaTheme="minorEastAsia" w:cstheme="minorEastAsia"/>
              </w:rPr>
              <w:t>cm/s；或参照GB16889 执行；办公区域为简单防渗区，需要进行地面硬化处置。液态、半固态的原辅料需桶装密闭存放，底部设置托盘；液态、半固态的危险废物需先采用密封袋密封后放置密闭桶中，桶底部设置托盘。定期对环保设备进行检修，保障环保设备的正常运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983" w:type="dxa"/>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生态保护措施</w:t>
            </w:r>
          </w:p>
        </w:tc>
        <w:tc>
          <w:tcPr>
            <w:tcW w:w="7841" w:type="dxa"/>
            <w:gridSpan w:val="4"/>
            <w:vAlign w:val="center"/>
          </w:tcPr>
          <w:p>
            <w:pPr>
              <w:pStyle w:val="164"/>
              <w:rPr>
                <w:rFonts w:asciiTheme="minorEastAsia" w:hAnsiTheme="minorEastAsia" w:eastAsiaTheme="minorEastAsia" w:cstheme="minorEastAsia"/>
              </w:rPr>
            </w:pPr>
            <w:r>
              <w:rPr>
                <w:rFonts w:hint="eastAsia" w:asciiTheme="minorEastAsia" w:hAnsiTheme="minorEastAsia" w:eastAsiaTheme="minorEastAsia" w:cstheme="minorEastAsia"/>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983" w:type="dxa"/>
            <w:vAlign w:val="center"/>
          </w:tcPr>
          <w:p>
            <w:pPr>
              <w:pStyle w:val="164"/>
              <w:rPr>
                <w:rFonts w:asciiTheme="minorEastAsia" w:hAnsiTheme="minorEastAsia" w:eastAsiaTheme="minorEastAsia" w:cstheme="minorEastAsia"/>
                <w:spacing w:val="-8"/>
              </w:rPr>
            </w:pPr>
            <w:r>
              <w:rPr>
                <w:rFonts w:hint="eastAsia" w:asciiTheme="minorEastAsia" w:hAnsiTheme="minorEastAsia" w:eastAsiaTheme="minorEastAsia" w:cstheme="minorEastAsia"/>
                <w:spacing w:val="-8"/>
              </w:rPr>
              <w:t>环境风险防范措施</w:t>
            </w:r>
          </w:p>
        </w:tc>
        <w:tc>
          <w:tcPr>
            <w:tcW w:w="7841" w:type="dxa"/>
            <w:gridSpan w:val="4"/>
            <w:vAlign w:val="center"/>
          </w:tcPr>
          <w:p>
            <w:pPr>
              <w:pStyle w:val="164"/>
              <w:jc w:val="left"/>
              <w:rPr>
                <w:rFonts w:asciiTheme="minorEastAsia" w:hAnsiTheme="minorEastAsia" w:eastAsiaTheme="minorEastAsia" w:cstheme="minorEastAsia"/>
              </w:rPr>
            </w:pPr>
            <w:r>
              <w:rPr>
                <w:rFonts w:hint="eastAsia" w:asciiTheme="minorEastAsia" w:hAnsiTheme="minorEastAsia" w:eastAsiaTheme="minorEastAsia" w:cstheme="minorEastAsia"/>
              </w:rPr>
              <w:t>1）生产过程中的风险防范措施分析</w:t>
            </w:r>
          </w:p>
          <w:p>
            <w:pPr>
              <w:pStyle w:val="164"/>
              <w:jc w:val="left"/>
              <w:rPr>
                <w:rFonts w:asciiTheme="minorEastAsia" w:hAnsiTheme="minorEastAsia" w:eastAsiaTheme="minorEastAsia" w:cstheme="minorEastAsia"/>
              </w:rPr>
            </w:pPr>
            <w:r>
              <w:rPr>
                <w:rFonts w:hint="eastAsia" w:asciiTheme="minorEastAsia" w:hAnsiTheme="minorEastAsia" w:eastAsiaTheme="minorEastAsia" w:cstheme="minorEastAsia"/>
              </w:rPr>
              <w:t>建立安全生产岗位责任制，制定安全生产规章制度、安全操作规程。油料库房和喷漆房等有易燃物质的区域严禁明火；厂房内配备充分的通风系统；生产车间配备相应品种和数量的消防器材及泄漏应急处理设备；倒空的容器可能残留危险物质，严禁乱堆放。</w:t>
            </w:r>
          </w:p>
          <w:p>
            <w:pPr>
              <w:pStyle w:val="164"/>
              <w:jc w:val="left"/>
              <w:rPr>
                <w:rFonts w:asciiTheme="minorEastAsia" w:hAnsiTheme="minorEastAsia" w:eastAsiaTheme="minorEastAsia" w:cstheme="minorEastAsia"/>
              </w:rPr>
            </w:pPr>
            <w:r>
              <w:rPr>
                <w:rFonts w:hint="eastAsia" w:asciiTheme="minorEastAsia" w:hAnsiTheme="minorEastAsia" w:eastAsiaTheme="minorEastAsia" w:cstheme="minorEastAsia"/>
              </w:rPr>
              <w:t>2）储存风险防范措施分析</w:t>
            </w:r>
          </w:p>
          <w:p>
            <w:pPr>
              <w:pStyle w:val="164"/>
              <w:jc w:val="left"/>
              <w:rPr>
                <w:rFonts w:asciiTheme="minorEastAsia" w:hAnsiTheme="minorEastAsia" w:eastAsiaTheme="minorEastAsia" w:cstheme="minorEastAsia"/>
              </w:rPr>
            </w:pPr>
            <w:r>
              <w:rPr>
                <w:rFonts w:hint="eastAsia" w:asciiTheme="minorEastAsia" w:hAnsiTheme="minorEastAsia" w:eastAsiaTheme="minorEastAsia" w:cstheme="minorEastAsia"/>
              </w:rPr>
              <w:t>油料库房必须阴凉、干燥、通风良好；水性漆、白乳胶、热熔胶、润滑油和废油存放点必须远离火种、热源，避免阳光直射。存放点周围应配备吸附材料、托盘等；并对地面进行防渗硬化处理，防渗层的防渗性能不应低于6.0m厚渗透系数为1.0×10</w:t>
            </w:r>
            <w:r>
              <w:rPr>
                <w:rFonts w:hint="eastAsia" w:asciiTheme="minorEastAsia" w:hAnsiTheme="minorEastAsia" w:eastAsiaTheme="minorEastAsia" w:cstheme="minorEastAsia"/>
                <w:vertAlign w:val="superscript"/>
              </w:rPr>
              <w:t>-7</w:t>
            </w:r>
            <w:r>
              <w:rPr>
                <w:rFonts w:hint="eastAsia" w:asciiTheme="minorEastAsia" w:hAnsiTheme="minorEastAsia" w:eastAsiaTheme="minorEastAsia" w:cstheme="minorEastAsia"/>
              </w:rPr>
              <w:t>cm/s的黏土层的防渗性能；预留空桶，方便泄漏时及时转桶。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626" w:hRule="atLeast"/>
          <w:jc w:val="center"/>
        </w:trPr>
        <w:tc>
          <w:tcPr>
            <w:tcW w:w="983" w:type="dxa"/>
            <w:vAlign w:val="center"/>
          </w:tcPr>
          <w:p>
            <w:pPr>
              <w:pStyle w:val="164"/>
              <w:jc w:val="both"/>
              <w:rPr>
                <w:color w:val="FF0000"/>
              </w:rPr>
            </w:pPr>
            <w:r>
              <w:t>其他环境管理要求</w:t>
            </w:r>
          </w:p>
        </w:tc>
        <w:tc>
          <w:tcPr>
            <w:tcW w:w="7841" w:type="dxa"/>
            <w:gridSpan w:val="4"/>
            <w:vAlign w:val="center"/>
          </w:tcPr>
          <w:p>
            <w:pPr>
              <w:pStyle w:val="4"/>
            </w:pPr>
            <w:r>
              <w:rPr>
                <w:rFonts w:hint="eastAsia"/>
              </w:rPr>
              <w:t>5.1排污口规范化管理</w:t>
            </w:r>
          </w:p>
          <w:p>
            <w:pPr>
              <w:pStyle w:val="5"/>
            </w:pPr>
            <w:r>
              <w:rPr>
                <w:rFonts w:hint="eastAsia"/>
              </w:rPr>
              <w:t>5.1.1废气</w:t>
            </w:r>
          </w:p>
          <w:p>
            <w:pPr>
              <w:pStyle w:val="160"/>
              <w:ind w:firstLine="480"/>
            </w:pPr>
            <w:r>
              <w:rPr>
                <w:rFonts w:hint="eastAsia"/>
              </w:rPr>
              <w:t>扩建项目有组织废气排气筒应符合《固定污染源排气中颗粒物测定与气态污染源采样方法》（GB/T16157-1996）、《印发排放口标志牌技术规格的通知》（环办〔2003〕95号）、《固定源废气监测技术规范HJ/T397-2007》的设置要求。</w:t>
            </w:r>
          </w:p>
          <w:p>
            <w:pPr>
              <w:pStyle w:val="5"/>
            </w:pPr>
            <w:r>
              <w:rPr>
                <w:rFonts w:hint="eastAsia"/>
              </w:rPr>
              <w:t>5.1.2废水</w:t>
            </w:r>
          </w:p>
          <w:p>
            <w:pPr>
              <w:pStyle w:val="160"/>
              <w:ind w:firstLine="480"/>
            </w:pPr>
            <w:r>
              <w:rPr>
                <w:rFonts w:hint="eastAsia"/>
              </w:rPr>
              <w:t>扩建项目依托的生化池排口及综合废水排放口符合《排污口规范化整治方案》（渝环发〔2002〕27号）及《重庆市规整排污口（源）技术要求》的设置要求。</w:t>
            </w:r>
          </w:p>
          <w:p>
            <w:pPr>
              <w:pStyle w:val="5"/>
            </w:pPr>
            <w:r>
              <w:rPr>
                <w:rFonts w:hint="eastAsia"/>
              </w:rPr>
              <w:t>5.1.3固体废物</w:t>
            </w:r>
          </w:p>
          <w:p>
            <w:pPr>
              <w:pStyle w:val="160"/>
              <w:ind w:firstLine="480"/>
            </w:pPr>
            <w:r>
              <w:rPr>
                <w:rFonts w:hint="eastAsia"/>
              </w:rPr>
              <w:t>扩建项目一般工业固体废物参照《一般工业固体废物贮存和填埋污染控制标准》（GB 18599-2020）设置；危险废物暂存间应严格按照《危险废物污染防治技术政策》（环发[2001]199号）、</w:t>
            </w:r>
            <w:r>
              <w:rPr>
                <w:rFonts w:hint="eastAsia"/>
                <w:color w:val="FF0000"/>
              </w:rPr>
              <w:t>《危险废物贮存污染控制标准》（</w:t>
            </w:r>
            <w:r>
              <w:rPr>
                <w:color w:val="FF0000"/>
              </w:rPr>
              <w:t>GB18597-2023）</w:t>
            </w:r>
            <w:r>
              <w:rPr>
                <w:rFonts w:hint="eastAsia"/>
              </w:rPr>
              <w:t>及《危险废物标志牌式样》的要求设置，满足防风、防雨、防晒、防渗漏措施。</w:t>
            </w:r>
          </w:p>
          <w:p>
            <w:pPr>
              <w:pStyle w:val="4"/>
            </w:pPr>
            <w:r>
              <w:rPr>
                <w:rFonts w:hint="eastAsia"/>
              </w:rPr>
              <w:t>5.2排污许可</w:t>
            </w:r>
          </w:p>
          <w:p>
            <w:pPr>
              <w:pStyle w:val="160"/>
              <w:ind w:firstLine="480"/>
              <w:rPr>
                <w:rFonts w:asciiTheme="minorEastAsia" w:hAnsiTheme="minorEastAsia" w:eastAsiaTheme="minorEastAsia"/>
              </w:rPr>
            </w:pPr>
            <w:r>
              <w:rPr>
                <w:rFonts w:hint="eastAsia" w:asciiTheme="minorEastAsia" w:hAnsiTheme="minorEastAsia" w:eastAsiaTheme="minorEastAsia"/>
              </w:rPr>
              <w:t>扩建项目为木质家具制造，不涉及锅炉、废水处理、工业炉窑等通用工序，年使用水性漆127.26t/a、UV漆4.49 t/a，属于《固定污染源排污许可分类管理名录（2019版）》中的“十六、家具制造业35”——“35木质家具制造211”中的“年使用</w:t>
            </w:r>
            <w:r>
              <w:rPr>
                <w:rFonts w:asciiTheme="minorEastAsia" w:hAnsiTheme="minorEastAsia" w:eastAsiaTheme="minorEastAsia"/>
              </w:rPr>
              <w:t>20吨及以上水性涂料或者胶粘剂的</w:t>
            </w:r>
            <w:r>
              <w:rPr>
                <w:rFonts w:hint="eastAsia" w:asciiTheme="minorEastAsia" w:hAnsiTheme="minorEastAsia" w:eastAsiaTheme="minorEastAsia"/>
              </w:rPr>
              <w:t>”，应执行简化管理。扩建项目排污许可管理类型判别见</w:t>
            </w:r>
            <w:r>
              <w:fldChar w:fldCharType="begin"/>
            </w:r>
            <w:r>
              <w:instrText xml:space="preserve">REF _Ref82521098 \h \* MERGEFORMAT </w:instrText>
            </w:r>
            <w:r>
              <w:fldChar w:fldCharType="separate"/>
            </w:r>
            <w:r>
              <w:rPr>
                <w:rFonts w:hint="eastAsia" w:asciiTheme="minorEastAsia" w:hAnsiTheme="minorEastAsia" w:eastAsiaTheme="minorEastAsia"/>
              </w:rPr>
              <w:t>表</w:t>
            </w:r>
            <w:r>
              <w:rPr>
                <w:rFonts w:asciiTheme="minorEastAsia" w:hAnsiTheme="minorEastAsia" w:eastAsiaTheme="minorEastAsia"/>
              </w:rPr>
              <w:t>5.3</w:t>
            </w:r>
            <w:r>
              <w:rPr>
                <w:rFonts w:asciiTheme="minorEastAsia" w:hAnsiTheme="minorEastAsia" w:eastAsiaTheme="minorEastAsia"/>
              </w:rPr>
              <w:noBreakHyphen/>
            </w:r>
            <w:r>
              <w:rPr>
                <w:rFonts w:asciiTheme="minorEastAsia" w:hAnsiTheme="minorEastAsia" w:eastAsiaTheme="minorEastAsia"/>
              </w:rPr>
              <w:t>1</w:t>
            </w:r>
            <w:r>
              <w:fldChar w:fldCharType="end"/>
            </w:r>
            <w:r>
              <w:rPr>
                <w:rFonts w:hint="eastAsia" w:asciiTheme="minorEastAsia" w:hAnsiTheme="minorEastAsia" w:eastAsiaTheme="minorEastAsia"/>
              </w:rPr>
              <w:t>。</w:t>
            </w:r>
          </w:p>
          <w:p>
            <w:pPr>
              <w:pStyle w:val="164"/>
            </w:pPr>
            <w:bookmarkStart w:id="66" w:name="_Ref82521098"/>
            <w:r>
              <w:rPr>
                <w:rFonts w:hint="eastAsia"/>
              </w:rPr>
              <w:t>表</w:t>
            </w:r>
            <w:r>
              <w:fldChar w:fldCharType="begin"/>
            </w:r>
            <w:r>
              <w:rPr>
                <w:rFonts w:hint="eastAsia"/>
              </w:rPr>
              <w:instrText xml:space="preserve">STYLEREF 2 \s</w:instrText>
            </w:r>
            <w:r>
              <w:fldChar w:fldCharType="separate"/>
            </w:r>
            <w:r>
              <w:t>5.3</w:t>
            </w:r>
            <w:r>
              <w:fldChar w:fldCharType="end"/>
            </w:r>
            <w:r>
              <w:noBreakHyphen/>
            </w:r>
            <w:r>
              <w:fldChar w:fldCharType="begin"/>
            </w:r>
            <w:r>
              <w:rPr>
                <w:rFonts w:hint="eastAsia"/>
              </w:rPr>
              <w:instrText xml:space="preserve">SEQ 表 \* ARABIC \s 2</w:instrText>
            </w:r>
            <w:r>
              <w:fldChar w:fldCharType="separate"/>
            </w:r>
            <w:r>
              <w:t>1</w:t>
            </w:r>
            <w:r>
              <w:fldChar w:fldCharType="end"/>
            </w:r>
            <w:bookmarkEnd w:id="66"/>
            <w:r>
              <w:rPr>
                <w:rFonts w:hint="eastAsia"/>
              </w:rPr>
              <w:t>排污许可管理类型判别表</w:t>
            </w:r>
          </w:p>
          <w:tbl>
            <w:tblPr>
              <w:tblStyle w:val="162"/>
              <w:tblW w:w="768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58"/>
              <w:gridCol w:w="1134"/>
              <w:gridCol w:w="1134"/>
              <w:gridCol w:w="1134"/>
              <w:gridCol w:w="1275"/>
              <w:gridCol w:w="19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8" w:hRule="atLeast"/>
                <w:jc w:val="center"/>
              </w:trPr>
              <w:tc>
                <w:tcPr>
                  <w:tcW w:w="1058" w:type="dxa"/>
                  <w:shd w:val="clear" w:color="auto" w:fill="auto"/>
                  <w:noWrap/>
                  <w:vAlign w:val="center"/>
                </w:tcPr>
                <w:p>
                  <w:pPr>
                    <w:pStyle w:val="164"/>
                    <w:rPr>
                      <w:b/>
                      <w:bCs/>
                      <w:color w:val="auto"/>
                    </w:rPr>
                  </w:pPr>
                  <w:r>
                    <w:rPr>
                      <w:b w:val="0"/>
                      <w:bCs/>
                      <w:color w:val="auto"/>
                    </w:rPr>
                    <w:t>扩建项目</w:t>
                  </w:r>
                </w:p>
              </w:tc>
              <w:tc>
                <w:tcPr>
                  <w:tcW w:w="1134" w:type="dxa"/>
                  <w:shd w:val="clear" w:color="auto" w:fill="auto"/>
                  <w:noWrap/>
                  <w:vAlign w:val="center"/>
                </w:tcPr>
                <w:p>
                  <w:pPr>
                    <w:pStyle w:val="164"/>
                    <w:rPr>
                      <w:b/>
                      <w:bCs/>
                      <w:color w:val="auto"/>
                    </w:rPr>
                  </w:pPr>
                  <w:r>
                    <w:rPr>
                      <w:b w:val="0"/>
                      <w:bCs/>
                      <w:color w:val="auto"/>
                    </w:rPr>
                    <w:t>行业代码</w:t>
                  </w:r>
                </w:p>
              </w:tc>
              <w:tc>
                <w:tcPr>
                  <w:tcW w:w="1134" w:type="dxa"/>
                  <w:shd w:val="clear" w:color="auto" w:fill="auto"/>
                  <w:noWrap/>
                  <w:vAlign w:val="center"/>
                </w:tcPr>
                <w:p>
                  <w:pPr>
                    <w:pStyle w:val="164"/>
                    <w:rPr>
                      <w:b/>
                      <w:bCs/>
                      <w:color w:val="auto"/>
                    </w:rPr>
                  </w:pPr>
                  <w:r>
                    <w:rPr>
                      <w:b w:val="0"/>
                      <w:bCs/>
                      <w:color w:val="auto"/>
                    </w:rPr>
                    <w:t>行业名称</w:t>
                  </w:r>
                </w:p>
              </w:tc>
              <w:tc>
                <w:tcPr>
                  <w:tcW w:w="1134" w:type="dxa"/>
                  <w:shd w:val="clear" w:color="auto" w:fill="auto"/>
                  <w:noWrap/>
                  <w:vAlign w:val="center"/>
                </w:tcPr>
                <w:p>
                  <w:pPr>
                    <w:pStyle w:val="164"/>
                    <w:rPr>
                      <w:b/>
                      <w:bCs/>
                      <w:color w:val="auto"/>
                    </w:rPr>
                  </w:pPr>
                  <w:r>
                    <w:rPr>
                      <w:b w:val="0"/>
                      <w:bCs/>
                      <w:color w:val="auto"/>
                    </w:rPr>
                    <w:t>排污许可管理等级</w:t>
                  </w:r>
                </w:p>
              </w:tc>
              <w:tc>
                <w:tcPr>
                  <w:tcW w:w="1275" w:type="dxa"/>
                  <w:shd w:val="clear" w:color="auto" w:fill="auto"/>
                  <w:noWrap/>
                  <w:vAlign w:val="center"/>
                </w:tcPr>
                <w:p>
                  <w:pPr>
                    <w:pStyle w:val="164"/>
                    <w:rPr>
                      <w:b/>
                      <w:bCs/>
                      <w:color w:val="auto"/>
                    </w:rPr>
                  </w:pPr>
                  <w:r>
                    <w:rPr>
                      <w:b w:val="0"/>
                      <w:bCs/>
                      <w:color w:val="auto"/>
                    </w:rPr>
                    <w:t>办理类型</w:t>
                  </w:r>
                </w:p>
              </w:tc>
              <w:tc>
                <w:tcPr>
                  <w:tcW w:w="1947" w:type="dxa"/>
                  <w:shd w:val="clear" w:color="auto" w:fill="auto"/>
                  <w:noWrap/>
                  <w:vAlign w:val="center"/>
                </w:tcPr>
                <w:p>
                  <w:pPr>
                    <w:pStyle w:val="164"/>
                    <w:rPr>
                      <w:b/>
                      <w:bCs/>
                      <w:color w:val="auto"/>
                    </w:rPr>
                  </w:pPr>
                  <w:r>
                    <w:rPr>
                      <w:b w:val="0"/>
                      <w:bCs/>
                      <w:color w:val="auto"/>
                    </w:rPr>
                    <w:t>项目办理类型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058" w:type="dxa"/>
                  <w:shd w:val="clear" w:color="auto" w:fill="auto"/>
                  <w:noWrap/>
                  <w:vAlign w:val="center"/>
                </w:tcPr>
                <w:p>
                  <w:pPr>
                    <w:pStyle w:val="164"/>
                    <w:rPr>
                      <w:color w:val="auto"/>
                    </w:rPr>
                  </w:pPr>
                  <w:r>
                    <w:rPr>
                      <w:color w:val="auto"/>
                    </w:rPr>
                    <w:t>柜体</w:t>
                  </w:r>
                </w:p>
                <w:p>
                  <w:pPr>
                    <w:pStyle w:val="164"/>
                    <w:rPr>
                      <w:color w:val="auto"/>
                    </w:rPr>
                  </w:pPr>
                  <w:r>
                    <w:rPr>
                      <w:color w:val="auto"/>
                    </w:rPr>
                    <w:t>家具制造</w:t>
                  </w:r>
                </w:p>
              </w:tc>
              <w:tc>
                <w:tcPr>
                  <w:tcW w:w="1134" w:type="dxa"/>
                  <w:shd w:val="clear" w:color="auto" w:fill="auto"/>
                  <w:noWrap/>
                  <w:vAlign w:val="center"/>
                </w:tcPr>
                <w:p>
                  <w:pPr>
                    <w:pStyle w:val="164"/>
                    <w:rPr>
                      <w:color w:val="auto"/>
                    </w:rPr>
                  </w:pPr>
                  <w:r>
                    <w:rPr>
                      <w:color w:val="auto"/>
                    </w:rPr>
                    <w:t>211</w:t>
                  </w:r>
                </w:p>
              </w:tc>
              <w:tc>
                <w:tcPr>
                  <w:tcW w:w="1134" w:type="dxa"/>
                  <w:shd w:val="clear" w:color="auto" w:fill="auto"/>
                  <w:noWrap/>
                  <w:vAlign w:val="center"/>
                </w:tcPr>
                <w:p>
                  <w:pPr>
                    <w:pStyle w:val="164"/>
                    <w:rPr>
                      <w:color w:val="auto"/>
                    </w:rPr>
                  </w:pPr>
                  <w:r>
                    <w:rPr>
                      <w:color w:val="auto"/>
                    </w:rPr>
                    <w:t>木质家具制造</w:t>
                  </w:r>
                </w:p>
              </w:tc>
              <w:tc>
                <w:tcPr>
                  <w:tcW w:w="1134" w:type="dxa"/>
                  <w:shd w:val="clear" w:color="auto" w:fill="auto"/>
                  <w:noWrap/>
                  <w:vAlign w:val="center"/>
                </w:tcPr>
                <w:p>
                  <w:pPr>
                    <w:pStyle w:val="164"/>
                    <w:rPr>
                      <w:color w:val="auto"/>
                    </w:rPr>
                  </w:pPr>
                  <w:r>
                    <w:rPr>
                      <w:rFonts w:hint="eastAsia"/>
                      <w:color w:val="auto"/>
                    </w:rPr>
                    <w:t>简化管理</w:t>
                  </w:r>
                </w:p>
              </w:tc>
              <w:tc>
                <w:tcPr>
                  <w:tcW w:w="1275" w:type="dxa"/>
                  <w:shd w:val="clear" w:color="auto" w:fill="auto"/>
                  <w:noWrap/>
                  <w:vAlign w:val="center"/>
                </w:tcPr>
                <w:p>
                  <w:pPr>
                    <w:pStyle w:val="164"/>
                    <w:rPr>
                      <w:color w:val="auto"/>
                    </w:rPr>
                  </w:pPr>
                  <w:r>
                    <w:rPr>
                      <w:rFonts w:hint="eastAsia"/>
                      <w:color w:val="auto"/>
                    </w:rPr>
                    <w:t>排污许可证</w:t>
                  </w:r>
                </w:p>
              </w:tc>
              <w:tc>
                <w:tcPr>
                  <w:tcW w:w="1947" w:type="dxa"/>
                  <w:shd w:val="clear" w:color="auto" w:fill="auto"/>
                  <w:noWrap/>
                  <w:vAlign w:val="center"/>
                </w:tcPr>
                <w:p>
                  <w:pPr>
                    <w:pStyle w:val="164"/>
                    <w:rPr>
                      <w:color w:val="auto"/>
                    </w:rPr>
                  </w:pPr>
                  <w:r>
                    <w:rPr>
                      <w:rFonts w:hint="eastAsia"/>
                      <w:color w:val="auto"/>
                    </w:rPr>
                    <w:t>简化管理</w:t>
                  </w:r>
                </w:p>
              </w:tc>
            </w:tr>
          </w:tbl>
          <w:p>
            <w:pPr>
              <w:pStyle w:val="164"/>
              <w:jc w:val="both"/>
              <w:rPr>
                <w:color w:val="FF0000"/>
              </w:rPr>
            </w:pPr>
          </w:p>
        </w:tc>
      </w:tr>
    </w:tbl>
    <w:p>
      <w:pPr>
        <w:pStyle w:val="3"/>
      </w:pPr>
      <w:r>
        <w:rPr>
          <w:rFonts w:hint="eastAsia"/>
        </w:rPr>
        <w:t>结论</w:t>
      </w:r>
    </w:p>
    <w:p>
      <w:pPr>
        <w:pStyle w:val="160"/>
        <w:snapToGrid w:val="0"/>
        <w:ind w:firstLine="480"/>
        <w:rPr>
          <w:rFonts w:ascii="宋体" w:hAnsi="宋体"/>
        </w:rPr>
        <w:sectPr>
          <w:pgSz w:w="11906" w:h="16838"/>
          <w:pgMar w:top="1701" w:right="1531" w:bottom="1701" w:left="1531" w:header="851" w:footer="851" w:gutter="0"/>
          <w:cols w:space="720" w:num="1"/>
          <w:docGrid w:linePitch="312" w:charSpace="0"/>
        </w:sectPr>
      </w:pPr>
    </w:p>
    <w:tbl>
      <w:tblPr>
        <w:tblStyle w:val="88"/>
        <w:tblW w:w="886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trPr>
        <w:tc>
          <w:tcPr>
            <w:tcW w:w="8865" w:type="dxa"/>
          </w:tcPr>
          <w:p>
            <w:pPr>
              <w:pStyle w:val="160"/>
              <w:ind w:firstLine="480"/>
            </w:pPr>
            <w:r>
              <w:rPr>
                <w:rFonts w:hint="eastAsia"/>
              </w:rPr>
              <w:t>重庆展成家俱制造有限公司二期扩建项目符合</w:t>
            </w:r>
            <w:r>
              <w:rPr>
                <w:rFonts w:hint="eastAsia"/>
                <w:color w:val="000000"/>
              </w:rPr>
              <w:t>国家产业政策和相关环保政策，具有良好的社会效益和经济效益。区域无制约工程建设的重大环境问题，生产过程中产生的各类污染物，在采取有效治理措施后，可实现达标排放，对环境的影响程度较小，满足环保要求；扩建项目的环境风险，在采取有效的环境风险防范措施后，风险水平可接受；从环境保护角度看，本工程的建设是可行的。</w:t>
            </w:r>
          </w:p>
        </w:tc>
      </w:tr>
    </w:tbl>
    <w:p>
      <w:pPr>
        <w:adjustRightInd w:val="0"/>
        <w:snapToGrid w:val="0"/>
        <w:rPr>
          <w:rFonts w:ascii="宋体" w:hAnsi="宋体" w:eastAsia="宋体"/>
        </w:rPr>
        <w:sectPr>
          <w:type w:val="continuous"/>
          <w:pgSz w:w="11906" w:h="16838"/>
          <w:pgMar w:top="1701" w:right="1531" w:bottom="1701" w:left="1531" w:header="851" w:footer="851" w:gutter="0"/>
          <w:cols w:space="720" w:num="1"/>
          <w:docGrid w:linePitch="312" w:charSpace="0"/>
        </w:sectPr>
      </w:pPr>
    </w:p>
    <w:p>
      <w:pPr>
        <w:pStyle w:val="160"/>
        <w:ind w:firstLine="0" w:firstLineChars="0"/>
        <w:rPr>
          <w:b/>
          <w:bCs/>
          <w:snapToGrid w:val="0"/>
          <w:sz w:val="30"/>
          <w:szCs w:val="30"/>
        </w:rPr>
      </w:pPr>
      <w:r>
        <w:rPr>
          <w:rFonts w:hint="eastAsia"/>
          <w:b/>
          <w:bCs/>
          <w:snapToGrid w:val="0"/>
          <w:sz w:val="30"/>
          <w:szCs w:val="30"/>
        </w:rPr>
        <w:t>附表</w:t>
      </w:r>
    </w:p>
    <w:p>
      <w:pPr>
        <w:pStyle w:val="3"/>
        <w:pageBreakBefore w:val="0"/>
      </w:pPr>
      <w:r>
        <w:rPr>
          <w:rFonts w:hint="eastAsia"/>
        </w:rPr>
        <w:t>建设项目污染物排放量汇总表</w:t>
      </w:r>
    </w:p>
    <w:tbl>
      <w:tblPr>
        <w:tblStyle w:val="88"/>
        <w:tblW w:w="14081" w:type="dxa"/>
        <w:tblInd w:w="93" w:type="dxa"/>
        <w:tblLayout w:type="fixed"/>
        <w:tblCellMar>
          <w:top w:w="0" w:type="dxa"/>
          <w:left w:w="108" w:type="dxa"/>
          <w:bottom w:w="0" w:type="dxa"/>
          <w:right w:w="108" w:type="dxa"/>
        </w:tblCellMar>
      </w:tblPr>
      <w:tblGrid>
        <w:gridCol w:w="764"/>
        <w:gridCol w:w="3109"/>
        <w:gridCol w:w="1705"/>
        <w:gridCol w:w="860"/>
        <w:gridCol w:w="1396"/>
        <w:gridCol w:w="1812"/>
        <w:gridCol w:w="1304"/>
        <w:gridCol w:w="2156"/>
        <w:gridCol w:w="975"/>
      </w:tblGrid>
      <w:tr>
        <w:tblPrEx>
          <w:tblLayout w:type="fixed"/>
          <w:tblCellMar>
            <w:top w:w="0" w:type="dxa"/>
            <w:left w:w="108" w:type="dxa"/>
            <w:bottom w:w="0" w:type="dxa"/>
            <w:right w:w="108" w:type="dxa"/>
          </w:tblCellMar>
        </w:tblPrEx>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项目分类</w:t>
            </w: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污染物名称</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现有工程排放量（固体废物产生量）①</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现有工程许可排放量②</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在建工程排放量（固体废物产生量）③</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改扩建项目排放量（固体废物产生量）④（</w:t>
            </w:r>
            <w:r>
              <w:rPr>
                <w:rFonts w:ascii="Times New Roman" w:hAnsi="Times New Roman" w:eastAsia="宋体" w:cs="Times New Roman"/>
                <w:color w:val="000000"/>
                <w:kern w:val="0"/>
              </w:rPr>
              <w:t>t/a</w:t>
            </w:r>
            <w:r>
              <w:rPr>
                <w:rFonts w:ascii="宋体" w:hAnsi="宋体" w:eastAsia="宋体" w:cs="宋体"/>
                <w:color w:val="000000"/>
                <w:kern w:val="0"/>
              </w:rPr>
              <w:t>）</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kern w:val="0"/>
              </w:rPr>
            </w:pPr>
            <w:r>
              <w:rPr>
                <w:rFonts w:ascii="宋体" w:hAnsi="宋体" w:eastAsia="宋体" w:cs="宋体"/>
                <w:kern w:val="0"/>
              </w:rPr>
              <w:t>以新带老削减量⑤（</w:t>
            </w:r>
            <w:r>
              <w:rPr>
                <w:rFonts w:ascii="Times New Roman" w:hAnsi="Times New Roman" w:eastAsia="宋体" w:cs="Times New Roman"/>
                <w:kern w:val="0"/>
              </w:rPr>
              <w:t>t/a</w:t>
            </w:r>
            <w:r>
              <w:rPr>
                <w:rFonts w:ascii="宋体" w:hAnsi="宋体" w:eastAsia="宋体" w:cs="宋体"/>
                <w:kern w:val="0"/>
              </w:rPr>
              <w:t>）</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改扩建项目建成后全厂排放量（固体废物产生量）⑥（</w:t>
            </w:r>
            <w:r>
              <w:rPr>
                <w:rFonts w:ascii="Times New Roman" w:hAnsi="Times New Roman" w:eastAsia="宋体" w:cs="Times New Roman"/>
                <w:color w:val="000000"/>
                <w:kern w:val="0"/>
              </w:rPr>
              <w:t>t/a</w:t>
            </w:r>
            <w:r>
              <w:rPr>
                <w:rFonts w:ascii="宋体" w:hAnsi="宋体" w:eastAsia="宋体" w:cs="宋体"/>
                <w:color w:val="000000"/>
                <w:kern w:val="0"/>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变化量⑦</w:t>
            </w:r>
          </w:p>
        </w:tc>
      </w:tr>
      <w:tr>
        <w:tblPrEx>
          <w:tblLayout w:type="fixed"/>
          <w:tblCellMar>
            <w:top w:w="0" w:type="dxa"/>
            <w:left w:w="108" w:type="dxa"/>
            <w:bottom w:w="0" w:type="dxa"/>
            <w:right w:w="108" w:type="dxa"/>
          </w:tblCellMar>
        </w:tblPrEx>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废气</w:t>
            </w: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颗粒物</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10.19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7.46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 xml:space="preserve">10.19 </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7.46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-2.74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总</w:t>
            </w:r>
            <w:r>
              <w:rPr>
                <w:rFonts w:ascii="Times New Roman" w:hAnsi="Times New Roman" w:eastAsia="宋体" w:cs="Times New Roman"/>
                <w:color w:val="000000"/>
                <w:kern w:val="0"/>
              </w:rPr>
              <w:t>VOCs</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11.65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3.99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 xml:space="preserve">11.65 </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3.99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-7.66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非甲烷总烃</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11.65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3.99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 xml:space="preserve">11.65 </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3.99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-7.66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甲苯与二甲苯合计</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2.28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0.37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 xml:space="preserve">2.28 </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0.37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-1.91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苯系物</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2.28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0.37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 xml:space="preserve">2.28 </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0.37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-1.91 </w:t>
            </w:r>
          </w:p>
        </w:tc>
      </w:tr>
      <w:tr>
        <w:tblPrEx>
          <w:tblLayout w:type="fixed"/>
          <w:tblCellMar>
            <w:top w:w="0" w:type="dxa"/>
            <w:left w:w="108" w:type="dxa"/>
            <w:bottom w:w="0" w:type="dxa"/>
            <w:right w:w="108" w:type="dxa"/>
          </w:tblCellMar>
        </w:tblPrEx>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废水</w:t>
            </w: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COD</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1.02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2.46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3.49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2.46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BOD</w:t>
            </w:r>
            <w:r>
              <w:rPr>
                <w:rFonts w:ascii="Times New Roman" w:hAnsi="Times New Roman" w:eastAsia="宋体" w:cs="Times New Roman"/>
                <w:color w:val="000000"/>
                <w:kern w:val="0"/>
                <w:vertAlign w:val="subscript"/>
              </w:rPr>
              <w:t>5</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0.49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0.70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0.49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NH</w:t>
            </w:r>
            <w:r>
              <w:rPr>
                <w:rFonts w:ascii="Times New Roman" w:hAnsi="Times New Roman" w:eastAsia="宋体" w:cs="Times New Roman"/>
                <w:color w:val="000000"/>
                <w:kern w:val="0"/>
                <w:vertAlign w:val="subscript"/>
              </w:rPr>
              <w:t>3</w:t>
            </w:r>
            <w:r>
              <w:rPr>
                <w:rFonts w:ascii="Times New Roman" w:hAnsi="Times New Roman" w:eastAsia="宋体" w:cs="Times New Roman"/>
                <w:color w:val="000000"/>
                <w:kern w:val="0"/>
              </w:rPr>
              <w:t>-N</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0.02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0.05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0.07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0.05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SS</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0.82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1.97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2.79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1.97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动植物油</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0.08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0.28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石油类</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0.04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0.14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r>
      <w:tr>
        <w:tblPrEx>
          <w:tblLayout w:type="fixed"/>
          <w:tblCellMar>
            <w:top w:w="0" w:type="dxa"/>
            <w:left w:w="108" w:type="dxa"/>
            <w:bottom w:w="0" w:type="dxa"/>
            <w:right w:w="108" w:type="dxa"/>
          </w:tblCellMar>
        </w:tblPrEx>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一般工业固体废物</w:t>
            </w: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板材边角料（S1、S3、S4、S15、S18、S19）</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1019.07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825.30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1844.37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825.30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废砂纸</w:t>
            </w:r>
            <w:r>
              <w:rPr>
                <w:rFonts w:ascii="宋体" w:hAnsi="宋体" w:eastAsia="宋体" w:cs="宋体"/>
                <w:color w:val="000000"/>
                <w:kern w:val="0"/>
                <w:sz w:val="22"/>
                <w:szCs w:val="22"/>
              </w:rPr>
              <w:t>S5</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0.12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0.22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废包装</w:t>
            </w:r>
            <w:r>
              <w:rPr>
                <w:rFonts w:ascii="宋体" w:hAnsi="宋体" w:eastAsia="宋体" w:cs="宋体"/>
                <w:color w:val="000000"/>
                <w:kern w:val="0"/>
                <w:sz w:val="22"/>
                <w:szCs w:val="22"/>
              </w:rPr>
              <w:t>S6</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1.23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2.23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废封边条</w:t>
            </w:r>
            <w:r>
              <w:rPr>
                <w:rFonts w:ascii="宋体" w:hAnsi="宋体" w:eastAsia="宋体" w:cs="宋体"/>
                <w:color w:val="000000"/>
                <w:kern w:val="0"/>
                <w:sz w:val="22"/>
                <w:szCs w:val="22"/>
              </w:rPr>
              <w:t>S17</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0.12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0.22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除尘器木粉</w:t>
            </w:r>
            <w:r>
              <w:rPr>
                <w:rFonts w:ascii="宋体" w:hAnsi="宋体" w:eastAsia="宋体" w:cs="宋体"/>
                <w:color w:val="000000"/>
                <w:kern w:val="0"/>
                <w:sz w:val="22"/>
                <w:szCs w:val="22"/>
              </w:rPr>
              <w:t>S20</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5.52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4.47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9.98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4.47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ascii="宋体" w:hAnsi="宋体" w:eastAsia="宋体" w:cs="宋体"/>
                <w:color w:val="000000"/>
                <w:kern w:val="0"/>
              </w:rPr>
              <w:t>废水站生化段污泥</w:t>
            </w:r>
            <w:r>
              <w:rPr>
                <w:rFonts w:ascii="宋体" w:hAnsi="宋体" w:eastAsia="宋体" w:cs="宋体"/>
                <w:color w:val="000000"/>
                <w:kern w:val="0"/>
                <w:sz w:val="22"/>
                <w:szCs w:val="22"/>
              </w:rPr>
              <w:t>S22</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2.00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3.00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2.00 </w:t>
            </w:r>
          </w:p>
        </w:tc>
      </w:tr>
      <w:tr>
        <w:tblPrEx>
          <w:tblLayout w:type="fixed"/>
          <w:tblCellMar>
            <w:top w:w="0" w:type="dxa"/>
            <w:left w:w="108" w:type="dxa"/>
            <w:bottom w:w="0" w:type="dxa"/>
            <w:right w:w="108" w:type="dxa"/>
          </w:tblCellMar>
        </w:tblPrEx>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生活垃圾</w:t>
            </w:r>
          </w:p>
        </w:tc>
        <w:tc>
          <w:tcPr>
            <w:tcW w:w="3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生活垃圾</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18.00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12.00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30.00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12.00 </w:t>
            </w:r>
          </w:p>
        </w:tc>
      </w:tr>
      <w:tr>
        <w:tblPrEx>
          <w:tblLayout w:type="fixed"/>
          <w:tblCellMar>
            <w:top w:w="0" w:type="dxa"/>
            <w:left w:w="108" w:type="dxa"/>
            <w:bottom w:w="0" w:type="dxa"/>
            <w:right w:w="108" w:type="dxa"/>
          </w:tblCellMar>
        </w:tblPrEx>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危险废物</w:t>
            </w: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废胶桶（S2、S7）</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1.23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2.23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1.00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废漆桶（S8、S11、S12）</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2.47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2.00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4.47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2.00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废紫外光灯（</w:t>
            </w:r>
            <w:r>
              <w:rPr>
                <w:rFonts w:ascii="宋体" w:hAnsi="宋体" w:eastAsia="宋体" w:cs="Times New Roman"/>
                <w:color w:val="000000"/>
                <w:kern w:val="0"/>
                <w:sz w:val="22"/>
                <w:szCs w:val="22"/>
              </w:rPr>
              <w:t>S9）</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0.05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0.05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0.05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漆粉（</w:t>
            </w:r>
            <w:r>
              <w:rPr>
                <w:rFonts w:ascii="宋体" w:hAnsi="宋体" w:eastAsia="宋体" w:cs="Times New Roman"/>
                <w:color w:val="000000"/>
                <w:kern w:val="0"/>
                <w:sz w:val="22"/>
                <w:szCs w:val="22"/>
              </w:rPr>
              <w:t>S10）</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0.24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0.24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0.24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废活性炭（</w:t>
            </w:r>
            <w:r>
              <w:rPr>
                <w:rFonts w:ascii="宋体" w:hAnsi="宋体" w:eastAsia="宋体" w:cs="Times New Roman"/>
                <w:color w:val="000000"/>
                <w:kern w:val="0"/>
                <w:sz w:val="22"/>
                <w:szCs w:val="22"/>
              </w:rPr>
              <w:t>S13）</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6.00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6.00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12.00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6.00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废催化剂（</w:t>
            </w:r>
            <w:r>
              <w:rPr>
                <w:rFonts w:ascii="宋体" w:hAnsi="宋体" w:eastAsia="宋体" w:cs="Times New Roman"/>
                <w:color w:val="000000"/>
                <w:kern w:val="0"/>
                <w:sz w:val="22"/>
                <w:szCs w:val="22"/>
              </w:rPr>
              <w:t>S14）</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废风琴纸（</w:t>
            </w:r>
            <w:r>
              <w:rPr>
                <w:rFonts w:ascii="宋体" w:hAnsi="宋体" w:eastAsia="宋体" w:cs="Times New Roman"/>
                <w:color w:val="000000"/>
                <w:kern w:val="0"/>
                <w:sz w:val="22"/>
                <w:szCs w:val="22"/>
              </w:rPr>
              <w:t>S15）</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41.04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41.04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41.04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废热熔胶（</w:t>
            </w:r>
            <w:r>
              <w:rPr>
                <w:rFonts w:ascii="宋体" w:hAnsi="宋体" w:eastAsia="宋体" w:cs="Times New Roman"/>
                <w:color w:val="000000"/>
                <w:kern w:val="0"/>
                <w:sz w:val="22"/>
                <w:szCs w:val="22"/>
              </w:rPr>
              <w:t>S16）</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废水站物化段污泥（</w:t>
            </w:r>
            <w:r>
              <w:rPr>
                <w:rFonts w:ascii="宋体" w:hAnsi="宋体" w:eastAsia="宋体" w:cs="Times New Roman"/>
                <w:color w:val="000000"/>
                <w:kern w:val="0"/>
                <w:sz w:val="22"/>
                <w:szCs w:val="22"/>
              </w:rPr>
              <w:t>S21）</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0.80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1.60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2.40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1.60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宋体" w:hAnsi="宋体" w:eastAsia="宋体" w:cs="Times New Roman"/>
                <w:color w:val="000000"/>
                <w:kern w:val="0"/>
              </w:rPr>
              <w:t>油磨除尘灰（</w:t>
            </w:r>
            <w:r>
              <w:rPr>
                <w:rFonts w:ascii="Times New Roman" w:hAnsi="Times New Roman" w:eastAsia="宋体" w:cs="Times New Roman"/>
                <w:color w:val="000000"/>
                <w:kern w:val="0"/>
              </w:rPr>
              <w:t>S23</w:t>
            </w:r>
            <w:r>
              <w:rPr>
                <w:rFonts w:ascii="宋体" w:hAnsi="宋体" w:eastAsia="宋体" w:cs="Times New Roman"/>
                <w:color w:val="000000"/>
                <w:kern w:val="0"/>
              </w:rPr>
              <w:t>）</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5.22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4.75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9.97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4.75 </w:t>
            </w:r>
          </w:p>
        </w:tc>
      </w:tr>
      <w:tr>
        <w:tblPrEx>
          <w:tblLayout w:type="fixed"/>
          <w:tblCellMar>
            <w:top w:w="0" w:type="dxa"/>
            <w:left w:w="108" w:type="dxa"/>
            <w:bottom w:w="0" w:type="dxa"/>
            <w:right w:w="108" w:type="dxa"/>
          </w:tblCellMar>
        </w:tblPrEx>
        <w:tc>
          <w:tcPr>
            <w:tcW w:w="76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eastAsia="宋体" w:cs="宋体"/>
                <w:color w:val="000000"/>
                <w:kern w:val="0"/>
              </w:rPr>
            </w:pPr>
          </w:p>
        </w:tc>
        <w:tc>
          <w:tcPr>
            <w:tcW w:w="3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eastAsia="宋体" w:cs="Times New Roman"/>
                <w:color w:val="000000"/>
                <w:kern w:val="0"/>
              </w:rPr>
            </w:pPr>
            <w:r>
              <w:rPr>
                <w:rFonts w:ascii="宋体" w:hAnsi="宋体" w:eastAsia="宋体" w:cs="Times New Roman"/>
                <w:color w:val="000000"/>
                <w:kern w:val="0"/>
              </w:rPr>
              <w:t>废润滑油（</w:t>
            </w:r>
            <w:r>
              <w:rPr>
                <w:rFonts w:ascii="Times New Roman" w:hAnsi="Times New Roman" w:eastAsia="宋体" w:cs="Times New Roman"/>
                <w:color w:val="000000"/>
                <w:kern w:val="0"/>
              </w:rPr>
              <w:t>S24</w:t>
            </w:r>
            <w:r>
              <w:rPr>
                <w:rFonts w:ascii="宋体" w:hAnsi="宋体" w:eastAsia="宋体" w:cs="Times New Roman"/>
                <w:color w:val="000000"/>
                <w:kern w:val="0"/>
              </w:rPr>
              <w:t>）</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0.00 </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rPr>
            </w:pPr>
            <w:r>
              <w:rPr>
                <w:rFonts w:ascii="Times New Roman" w:hAnsi="Times New Roman" w:eastAsia="宋体" w:cs="Times New Roman"/>
                <w:kern w:val="0"/>
              </w:rPr>
              <w:t>0</w:t>
            </w:r>
          </w:p>
        </w:tc>
        <w:tc>
          <w:tcPr>
            <w:tcW w:w="21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0.20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 xml:space="preserve">0.10 </w:t>
            </w:r>
          </w:p>
        </w:tc>
      </w:tr>
    </w:tbl>
    <w:p>
      <w:pPr>
        <w:pStyle w:val="231"/>
        <w:spacing w:before="249" w:beforeLines="80" w:after="24"/>
        <w:rPr>
          <w:rFonts w:ascii="宋体" w:hAnsi="宋体"/>
          <w:snapToGrid w:val="0"/>
          <w:color w:val="000000"/>
          <w:spacing w:val="-6"/>
          <w:kern w:val="21"/>
        </w:rPr>
        <w:sectPr>
          <w:headerReference r:id="rId7" w:type="even"/>
          <w:pgSz w:w="16838" w:h="11906" w:orient="landscape"/>
          <w:pgMar w:top="1800" w:right="1440" w:bottom="1800" w:left="1440" w:header="851" w:footer="992" w:gutter="0"/>
          <w:cols w:space="425" w:num="1"/>
          <w:docGrid w:type="lines" w:linePitch="312" w:charSpace="0"/>
        </w:sectPr>
      </w:pPr>
      <w:r>
        <w:rPr>
          <w:rFonts w:ascii="宋体" w:hAnsi="宋体"/>
          <w:snapToGrid w:val="0"/>
          <w:color w:val="000000"/>
          <w:kern w:val="21"/>
        </w:rPr>
        <w:t>注：</w:t>
      </w:r>
      <w:r>
        <w:rPr>
          <w:rFonts w:ascii="宋体" w:hAnsi="宋体"/>
          <w:snapToGrid w:val="0"/>
          <w:color w:val="000000"/>
          <w:spacing w:val="-16"/>
          <w:kern w:val="21"/>
        </w:rPr>
        <w:fldChar w:fldCharType="begin"/>
      </w:r>
      <w:r>
        <w:rPr>
          <w:rFonts w:ascii="宋体" w:hAnsi="宋体"/>
          <w:snapToGrid w:val="0"/>
          <w:color w:val="000000"/>
          <w:spacing w:val="-16"/>
          <w:kern w:val="21"/>
        </w:rPr>
        <w:instrText xml:space="preserve"> = 6 \* GB3 \* MERGEFORMAT </w:instrText>
      </w:r>
      <w:r>
        <w:rPr>
          <w:rFonts w:ascii="宋体" w:hAnsi="宋体"/>
          <w:snapToGrid w:val="0"/>
          <w:color w:val="000000"/>
          <w:spacing w:val="-16"/>
          <w:kern w:val="21"/>
        </w:rPr>
        <w:fldChar w:fldCharType="separate"/>
      </w:r>
      <w:r>
        <w:rPr>
          <w:rFonts w:ascii="宋体" w:hAnsi="宋体"/>
        </w:rPr>
        <w:t>⑥</w:t>
      </w:r>
      <w:r>
        <w:rPr>
          <w:rFonts w:ascii="宋体" w:hAnsi="宋体"/>
          <w:snapToGrid w:val="0"/>
          <w:color w:val="000000"/>
          <w:spacing w:val="-16"/>
          <w:kern w:val="21"/>
        </w:rPr>
        <w:fldChar w:fldCharType="end"/>
      </w:r>
      <w:r>
        <w:rPr>
          <w:rFonts w:ascii="宋体" w:hAnsi="宋体"/>
          <w:snapToGrid w:val="0"/>
          <w:color w:val="000000"/>
          <w:spacing w:val="-16"/>
          <w:kern w:val="21"/>
        </w:rPr>
        <w:t>=</w:t>
      </w:r>
      <w:r>
        <w:rPr>
          <w:rFonts w:ascii="宋体" w:hAnsi="宋体"/>
          <w:snapToGrid w:val="0"/>
          <w:color w:val="000000"/>
          <w:spacing w:val="-6"/>
          <w:kern w:val="21"/>
        </w:rPr>
        <w:fldChar w:fldCharType="begin"/>
      </w:r>
      <w:r>
        <w:rPr>
          <w:rFonts w:ascii="宋体" w:hAnsi="宋体"/>
          <w:snapToGrid w:val="0"/>
          <w:color w:val="000000"/>
          <w:spacing w:val="-6"/>
          <w:kern w:val="21"/>
        </w:rPr>
        <w:instrText xml:space="preserve"> = 1 \* GB3 \* MERGEFORMAT </w:instrText>
      </w:r>
      <w:r>
        <w:rPr>
          <w:rFonts w:ascii="宋体" w:hAnsi="宋体"/>
          <w:snapToGrid w:val="0"/>
          <w:color w:val="000000"/>
          <w:spacing w:val="-6"/>
          <w:kern w:val="21"/>
        </w:rPr>
        <w:fldChar w:fldCharType="separate"/>
      </w:r>
      <w:r>
        <w:rPr>
          <w:rFonts w:ascii="宋体" w:hAnsi="宋体"/>
        </w:rPr>
        <w:t>①</w:t>
      </w:r>
      <w:r>
        <w:rPr>
          <w:rFonts w:ascii="宋体" w:hAnsi="宋体"/>
          <w:snapToGrid w:val="0"/>
          <w:color w:val="000000"/>
          <w:spacing w:val="-6"/>
          <w:kern w:val="21"/>
        </w:rPr>
        <w:fldChar w:fldCharType="end"/>
      </w:r>
      <w:r>
        <w:rPr>
          <w:rFonts w:ascii="宋体" w:hAnsi="宋体"/>
          <w:snapToGrid w:val="0"/>
          <w:color w:val="000000"/>
          <w:spacing w:val="-6"/>
          <w:kern w:val="21"/>
        </w:rPr>
        <w:t>+</w:t>
      </w:r>
      <w:r>
        <w:rPr>
          <w:rFonts w:ascii="宋体" w:hAnsi="宋体"/>
          <w:snapToGrid w:val="0"/>
          <w:color w:val="000000"/>
          <w:spacing w:val="-6"/>
          <w:kern w:val="21"/>
        </w:rPr>
        <w:fldChar w:fldCharType="begin"/>
      </w:r>
      <w:r>
        <w:rPr>
          <w:rFonts w:ascii="宋体" w:hAnsi="宋体"/>
          <w:snapToGrid w:val="0"/>
          <w:color w:val="000000"/>
          <w:spacing w:val="-6"/>
          <w:kern w:val="21"/>
        </w:rPr>
        <w:instrText xml:space="preserve"> = 3 \* GB3 \* MERGEFORMAT </w:instrText>
      </w:r>
      <w:r>
        <w:rPr>
          <w:rFonts w:ascii="宋体" w:hAnsi="宋体"/>
          <w:snapToGrid w:val="0"/>
          <w:color w:val="000000"/>
          <w:spacing w:val="-6"/>
          <w:kern w:val="21"/>
        </w:rPr>
        <w:fldChar w:fldCharType="separate"/>
      </w:r>
      <w:r>
        <w:rPr>
          <w:rFonts w:ascii="宋体" w:hAnsi="宋体"/>
        </w:rPr>
        <w:t>③</w:t>
      </w:r>
      <w:r>
        <w:rPr>
          <w:rFonts w:ascii="宋体" w:hAnsi="宋体"/>
          <w:snapToGrid w:val="0"/>
          <w:color w:val="000000"/>
          <w:spacing w:val="-6"/>
          <w:kern w:val="21"/>
        </w:rPr>
        <w:fldChar w:fldCharType="end"/>
      </w:r>
      <w:r>
        <w:rPr>
          <w:rFonts w:ascii="宋体" w:hAnsi="宋体"/>
          <w:snapToGrid w:val="0"/>
          <w:color w:val="000000"/>
          <w:spacing w:val="-6"/>
          <w:kern w:val="21"/>
        </w:rPr>
        <w:t>+</w:t>
      </w:r>
      <w:r>
        <w:rPr>
          <w:rFonts w:ascii="宋体" w:hAnsi="宋体"/>
          <w:snapToGrid w:val="0"/>
          <w:color w:val="000000"/>
          <w:spacing w:val="-6"/>
          <w:kern w:val="21"/>
        </w:rPr>
        <w:fldChar w:fldCharType="begin"/>
      </w:r>
      <w:r>
        <w:rPr>
          <w:rFonts w:ascii="宋体" w:hAnsi="宋体"/>
          <w:snapToGrid w:val="0"/>
          <w:color w:val="000000"/>
          <w:spacing w:val="-6"/>
          <w:kern w:val="21"/>
        </w:rPr>
        <w:instrText xml:space="preserve"> = 4 \* GB3 \* MERGEFORMAT </w:instrText>
      </w:r>
      <w:r>
        <w:rPr>
          <w:rFonts w:ascii="宋体" w:hAnsi="宋体"/>
          <w:snapToGrid w:val="0"/>
          <w:color w:val="000000"/>
          <w:spacing w:val="-6"/>
          <w:kern w:val="21"/>
        </w:rPr>
        <w:fldChar w:fldCharType="separate"/>
      </w:r>
      <w:r>
        <w:rPr>
          <w:rFonts w:ascii="宋体" w:hAnsi="宋体"/>
        </w:rPr>
        <w:t>④</w:t>
      </w:r>
      <w:r>
        <w:rPr>
          <w:rFonts w:ascii="宋体" w:hAnsi="宋体"/>
          <w:snapToGrid w:val="0"/>
          <w:color w:val="000000"/>
          <w:spacing w:val="-6"/>
          <w:kern w:val="21"/>
        </w:rPr>
        <w:fldChar w:fldCharType="end"/>
      </w:r>
      <w:r>
        <w:rPr>
          <w:rFonts w:ascii="宋体" w:hAnsi="宋体"/>
          <w:snapToGrid w:val="0"/>
          <w:color w:val="000000"/>
          <w:spacing w:val="-6"/>
          <w:kern w:val="21"/>
        </w:rPr>
        <w:t>-</w:t>
      </w:r>
      <w:r>
        <w:rPr>
          <w:rFonts w:ascii="宋体" w:hAnsi="宋体"/>
          <w:snapToGrid w:val="0"/>
          <w:color w:val="000000"/>
          <w:spacing w:val="-16"/>
          <w:kern w:val="21"/>
        </w:rPr>
        <w:fldChar w:fldCharType="begin"/>
      </w:r>
      <w:r>
        <w:rPr>
          <w:rFonts w:ascii="宋体" w:hAnsi="宋体"/>
          <w:snapToGrid w:val="0"/>
          <w:color w:val="000000"/>
          <w:spacing w:val="-16"/>
          <w:kern w:val="21"/>
        </w:rPr>
        <w:instrText xml:space="preserve"> = 5 \* GB3 \* MERGEFORMAT </w:instrText>
      </w:r>
      <w:r>
        <w:rPr>
          <w:rFonts w:ascii="宋体" w:hAnsi="宋体"/>
          <w:snapToGrid w:val="0"/>
          <w:color w:val="000000"/>
          <w:spacing w:val="-16"/>
          <w:kern w:val="21"/>
        </w:rPr>
        <w:fldChar w:fldCharType="separate"/>
      </w:r>
      <w:r>
        <w:rPr>
          <w:rFonts w:ascii="宋体" w:hAnsi="宋体"/>
        </w:rPr>
        <w:t>⑤</w:t>
      </w:r>
      <w:r>
        <w:rPr>
          <w:rFonts w:ascii="宋体" w:hAnsi="宋体"/>
          <w:snapToGrid w:val="0"/>
          <w:color w:val="000000"/>
          <w:spacing w:val="-16"/>
          <w:kern w:val="21"/>
        </w:rPr>
        <w:fldChar w:fldCharType="end"/>
      </w:r>
      <w:r>
        <w:rPr>
          <w:rFonts w:ascii="宋体" w:hAnsi="宋体"/>
          <w:snapToGrid w:val="0"/>
          <w:color w:val="000000"/>
          <w:spacing w:val="-16"/>
          <w:kern w:val="21"/>
        </w:rPr>
        <w:t>；</w:t>
      </w:r>
      <w:r>
        <w:rPr>
          <w:rFonts w:ascii="宋体" w:hAnsi="宋体"/>
          <w:snapToGrid w:val="0"/>
          <w:color w:val="000000"/>
          <w:spacing w:val="-6"/>
          <w:kern w:val="21"/>
        </w:rPr>
        <w:fldChar w:fldCharType="begin"/>
      </w:r>
      <w:r>
        <w:rPr>
          <w:rFonts w:ascii="宋体" w:hAnsi="宋体"/>
          <w:snapToGrid w:val="0"/>
          <w:color w:val="000000"/>
          <w:spacing w:val="-6"/>
          <w:kern w:val="21"/>
        </w:rPr>
        <w:instrText xml:space="preserve"> = 7 \* GB3 \* MERGEFORMAT </w:instrText>
      </w:r>
      <w:r>
        <w:rPr>
          <w:rFonts w:ascii="宋体" w:hAnsi="宋体"/>
          <w:snapToGrid w:val="0"/>
          <w:color w:val="000000"/>
          <w:spacing w:val="-6"/>
          <w:kern w:val="21"/>
        </w:rPr>
        <w:fldChar w:fldCharType="separate"/>
      </w:r>
      <w:r>
        <w:rPr>
          <w:rFonts w:ascii="宋体" w:hAnsi="宋体"/>
        </w:rPr>
        <w:t>⑦</w:t>
      </w:r>
      <w:r>
        <w:rPr>
          <w:rFonts w:ascii="宋体" w:hAnsi="宋体"/>
          <w:snapToGrid w:val="0"/>
          <w:color w:val="000000"/>
          <w:spacing w:val="-6"/>
          <w:kern w:val="21"/>
        </w:rPr>
        <w:fldChar w:fldCharType="end"/>
      </w:r>
      <w:r>
        <w:rPr>
          <w:rFonts w:ascii="宋体" w:hAnsi="宋体"/>
          <w:snapToGrid w:val="0"/>
          <w:color w:val="000000"/>
          <w:spacing w:val="-6"/>
          <w:kern w:val="21"/>
        </w:rPr>
        <w:t>=</w:t>
      </w:r>
      <w:r>
        <w:rPr>
          <w:rFonts w:ascii="宋体" w:hAnsi="宋体"/>
          <w:snapToGrid w:val="0"/>
          <w:color w:val="000000"/>
          <w:spacing w:val="-16"/>
          <w:kern w:val="21"/>
        </w:rPr>
        <w:fldChar w:fldCharType="begin"/>
      </w:r>
      <w:r>
        <w:rPr>
          <w:rFonts w:ascii="宋体" w:hAnsi="宋体"/>
          <w:snapToGrid w:val="0"/>
          <w:color w:val="000000"/>
          <w:spacing w:val="-16"/>
          <w:kern w:val="21"/>
        </w:rPr>
        <w:instrText xml:space="preserve"> = 6 \* GB3 \* MERGEFORMAT </w:instrText>
      </w:r>
      <w:r>
        <w:rPr>
          <w:rFonts w:ascii="宋体" w:hAnsi="宋体"/>
          <w:snapToGrid w:val="0"/>
          <w:color w:val="000000"/>
          <w:spacing w:val="-16"/>
          <w:kern w:val="21"/>
        </w:rPr>
        <w:fldChar w:fldCharType="separate"/>
      </w:r>
      <w:r>
        <w:rPr>
          <w:rFonts w:ascii="宋体" w:hAnsi="宋体"/>
        </w:rPr>
        <w:t>⑥</w:t>
      </w:r>
      <w:r>
        <w:rPr>
          <w:rFonts w:ascii="宋体" w:hAnsi="宋体"/>
          <w:snapToGrid w:val="0"/>
          <w:color w:val="000000"/>
          <w:spacing w:val="-16"/>
          <w:kern w:val="21"/>
        </w:rPr>
        <w:fldChar w:fldCharType="end"/>
      </w:r>
      <w:r>
        <w:rPr>
          <w:rFonts w:ascii="宋体" w:hAnsi="宋体"/>
          <w:snapToGrid w:val="0"/>
          <w:color w:val="000000"/>
          <w:spacing w:val="-16"/>
          <w:kern w:val="21"/>
        </w:rPr>
        <w:t>-</w:t>
      </w:r>
      <w:r>
        <w:rPr>
          <w:rFonts w:ascii="宋体" w:hAnsi="宋体"/>
          <w:snapToGrid w:val="0"/>
          <w:color w:val="000000"/>
          <w:spacing w:val="-6"/>
          <w:kern w:val="21"/>
        </w:rPr>
        <w:fldChar w:fldCharType="begin"/>
      </w:r>
      <w:r>
        <w:rPr>
          <w:rFonts w:ascii="宋体" w:hAnsi="宋体"/>
          <w:snapToGrid w:val="0"/>
          <w:color w:val="000000"/>
          <w:spacing w:val="-6"/>
          <w:kern w:val="21"/>
        </w:rPr>
        <w:instrText xml:space="preserve"> = 1 \* GB3 \* MERGEFORMAT </w:instrText>
      </w:r>
      <w:r>
        <w:rPr>
          <w:rFonts w:ascii="宋体" w:hAnsi="宋体"/>
          <w:snapToGrid w:val="0"/>
          <w:color w:val="000000"/>
          <w:spacing w:val="-6"/>
          <w:kern w:val="21"/>
        </w:rPr>
        <w:fldChar w:fldCharType="separate"/>
      </w:r>
      <w:r>
        <w:rPr>
          <w:rFonts w:ascii="宋体" w:hAnsi="宋体"/>
        </w:rPr>
        <w:t>①</w:t>
      </w:r>
      <w:r>
        <w:rPr>
          <w:rFonts w:ascii="宋体" w:hAnsi="宋体"/>
          <w:snapToGrid w:val="0"/>
          <w:color w:val="000000"/>
          <w:spacing w:val="-6"/>
          <w:kern w:val="21"/>
        </w:rPr>
        <w:fldChar w:fldCharType="end"/>
      </w:r>
    </w:p>
    <w:p>
      <w:pPr>
        <w:pStyle w:val="238"/>
        <w:bidi w:val="0"/>
      </w:pPr>
      <w:r>
        <w:drawing>
          <wp:inline distT="0" distB="0" distL="114300" distR="114300">
            <wp:extent cx="5269865" cy="7225665"/>
            <wp:effectExtent l="0" t="0" r="6985" b="1333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6"/>
                    <a:stretch>
                      <a:fillRect/>
                    </a:stretch>
                  </pic:blipFill>
                  <pic:spPr>
                    <a:xfrm>
                      <a:off x="0" y="0"/>
                      <a:ext cx="5269865" cy="7225665"/>
                    </a:xfrm>
                    <a:prstGeom prst="rect">
                      <a:avLst/>
                    </a:prstGeom>
                    <a:noFill/>
                    <a:ln>
                      <a:noFill/>
                    </a:ln>
                  </pic:spPr>
                </pic:pic>
              </a:graphicData>
            </a:graphic>
          </wp:inline>
        </w:drawing>
      </w:r>
    </w:p>
    <w:p>
      <w:pPr>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44">
      <wne:acd wne:acdName="acd4"/>
    </wne:keymap>
    <wne:keymap wne:kcmPrimary="0445">
      <wne:acd wne:acdName="acd5"/>
    </wne:keymap>
    <wne:keymap wne:kcmPrimary="0446">
      <wne:acd wne:acdName="acd6"/>
    </wne:keymap>
    <wne:keymap wne:kcmPrimary="0447">
      <wne:acd wne:acdName="acd7"/>
    </wne:keymap>
    <wne:keymap wne:kcmPrimary="0451">
      <wne:acd wne:acdName="acd8"/>
    </wne:keymap>
    <wne:keymap wne:kcmPrimary="0452">
      <wne:acd wne:acdName="acd9"/>
    </wne:keymap>
    <wne:keymap wne:kcmPrimary="0457">
      <wne:acd wne:acdName="acd10"/>
    </wne:keymap>
    <wne:keymap wne:kcmPrimary="0458">
      <wne:acd wne:acdName="acd11"/>
    </wne:keymap>
    <wne:keymap wne:kcmPrimary="045A">
      <wne:acd wne:acdName="acd12"/>
    </wne:keymap>
  </wne:keymap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gBMAFkALQB5mO52Fn/3UzAAMwA=" wne:acdName="acd4" wne:fciIndexBasedOn="0065"/>
    <wne:acd wne:argValue="AgBMAFkALQBoiDxohVG5Ww==" wne:acdName="acd5" wne:fciIndexBasedOn="0065"/>
    <wne:acd wne:argValue="AgBMAFkALQB5mO52Fn/3UzAANAA=" wne:acdName="acd6" wne:fciIndexBasedOn="0065"/>
    <wne:acd wne:argValue="AgBMAFkALQD+VmiImJjobA==" wne:acdName="acd7" wne:fciIndexBasedOn="0065"/>
    <wne:acd wne:argValue="AgBMAFkALQBja4dlhVG5Ww==" wne:acdName="acd8" wne:fciIndexBasedOn="0065"/>
    <wne:acd wne:argValue="AgBMAFkALQD+VkdyPmVufw==" wne:acdName="acd9" wne:fciIndexBasedOn="0065"/>
    <wne:acd wne:argValue="AgBMAFkALQD+VmiImJjobA==" wne:acdName="acd10" wne:fciIndexBasedOn="0065"/>
    <wne:acd wne:argValue="AgBMAFkALQB5mO52Fn/3UzAAMgA=" wne:acdName="acd11" wne:fciIndexBasedOn="0065"/>
    <wne:acd wne:argValue="AgBMAFkALQB5mO52Fn/3UzAAMQA=" wne:acdName="acd1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方正大标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Book Antiqua">
    <w:altName w:val="Segoe Print"/>
    <w:panose1 w:val="02040602050305030304"/>
    <w:charset w:val="00"/>
    <w:family w:val="roman"/>
    <w:pitch w:val="default"/>
    <w:sig w:usb0="00000000" w:usb1="00000000" w:usb2="00000000" w:usb3="00000000" w:csb0="2000009F" w:csb1="DFD70000"/>
  </w:font>
  <w:font w:name="??">
    <w:altName w:val="Segoe Print"/>
    <w:panose1 w:val="00000000000000000000"/>
    <w:charset w:val="00"/>
    <w:family w:val="roman"/>
    <w:pitch w:val="default"/>
    <w:sig w:usb0="00000000" w:usb1="00000000" w:usb2="00000000" w:usb3="00000000" w:csb0="00000001" w:csb1="00000000"/>
  </w:font>
  <w:font w:name="Century Gothic">
    <w:altName w:val="Segoe Print"/>
    <w:panose1 w:val="020B050202020202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隶书">
    <w:altName w:val="微软雅黑"/>
    <w:panose1 w:val="02010509060101010101"/>
    <w:charset w:val="86"/>
    <w:family w:val="modern"/>
    <w:pitch w:val="default"/>
    <w:sig w:usb0="00000000" w:usb1="00000000" w:usb2="00000000" w:usb3="00000000" w:csb0="00040000" w:csb1="00000000"/>
  </w:font>
  <w:font w:name="Swis721 BT">
    <w:altName w:val="Segoe Script"/>
    <w:panose1 w:val="020B0504020202020204"/>
    <w:charset w:val="00"/>
    <w:family w:val="swiss"/>
    <w:pitch w:val="default"/>
    <w:sig w:usb0="00000000" w:usb1="00000000" w:usb2="00000000" w:usb3="00000000" w:csb0="00000000" w:csb1="00000000"/>
  </w:font>
  <w:font w:name="Swis721 Lt BT">
    <w:altName w:val="Malgun Gothic"/>
    <w:panose1 w:val="020B0403020202020204"/>
    <w:charset w:val="00"/>
    <w:family w:val="swiss"/>
    <w:pitch w:val="default"/>
    <w:sig w:usb0="00000000" w:usb1="00000000" w:usb2="00000000" w:usb3="00000000" w:csb0="00000000" w:csb1="00000000"/>
  </w:font>
  <w:font w:name="方正细黑一简体">
    <w:altName w:val="黑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
    <w:altName w:val="Segoe Print"/>
    <w:panose1 w:val="00000000000000000000"/>
    <w:charset w:val="00"/>
    <w:family w:val="auto"/>
    <w:pitch w:val="default"/>
    <w:sig w:usb0="00000000" w:usb1="00000000" w:usb2="00000000" w:usb3="00000000" w:csb0="00000001" w:csb1="00000000"/>
  </w:font>
  <w:font w:name="@宋体">
    <w:panose1 w:val="02010600030101010101"/>
    <w:charset w:val="86"/>
    <w:family w:val="auto"/>
    <w:pitch w:val="default"/>
    <w:sig w:usb0="00000003" w:usb1="288F0000" w:usb2="0000000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方正姚体">
    <w:altName w:val="宋体"/>
    <w:panose1 w:val="02010601030101010101"/>
    <w:charset w:val="86"/>
    <w:family w:val="auto"/>
    <w:pitch w:val="default"/>
    <w:sig w:usb0="00000000" w:usb1="00000000" w:usb2="00000000" w:usb3="00000000" w:csb0="00040000" w:csb1="00000000"/>
  </w:font>
  <w:font w:name="JKIKGP+CenturyGothic">
    <w:altName w:val="宋体"/>
    <w:panose1 w:val="00000000000000000000"/>
    <w:charset w:val="86"/>
    <w:family w:val="swiss"/>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Stylus BT">
    <w:altName w:val="Segoe Print"/>
    <w:panose1 w:val="020E0402020206020304"/>
    <w:charset w:val="00"/>
    <w:family w:val="swiss"/>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华文楷体">
    <w:altName w:val="方正楷体_GBK"/>
    <w:panose1 w:val="02010600040101010101"/>
    <w:charset w:val="86"/>
    <w:family w:val="auto"/>
    <w:pitch w:val="default"/>
    <w:sig w:usb0="00000000" w:usb1="00000000" w:usb2="00000000" w:usb3="00000000" w:csb0="0004009F" w:csb1="DFD70000"/>
  </w:font>
  <w:font w:name="方正小标宋简体">
    <w:altName w:val="仿宋_GB2312"/>
    <w:panose1 w:val="03000509000000000000"/>
    <w:charset w:val="86"/>
    <w:family w:val="auto"/>
    <w:pitch w:val="default"/>
    <w:sig w:usb0="00000000" w:usb1="00000000" w:usb2="00000000" w:usb3="00000000" w:csb0="00040000" w:csb1="00000000"/>
  </w:font>
  <w:font w:name="方正仿宋简体">
    <w:altName w:val="微软雅黑"/>
    <w:panose1 w:val="03000509000000000000"/>
    <w:charset w:val="86"/>
    <w:family w:val="auto"/>
    <w:pitch w:val="default"/>
    <w:sig w:usb0="00000000" w:usb1="00000000" w:usb2="00000000" w:usb3="00000000" w:csb0="00040000" w:csb1="00000000"/>
  </w:font>
  <w:font w:name="汉仪仿宋简">
    <w:altName w:val="仿宋"/>
    <w:panose1 w:val="02010600000101010101"/>
    <w:charset w:val="86"/>
    <w:family w:val="modern"/>
    <w:pitch w:val="default"/>
    <w:sig w:usb0="00000000" w:usb1="00000000" w:usb2="00000002" w:usb3="00000000" w:csb0="00040000" w:csb1="00000000"/>
  </w:font>
  <w:font w:name="CG Times (WN)">
    <w:altName w:val="Segoe Print"/>
    <w:panose1 w:val="00000000000000000000"/>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Segoe Script">
    <w:panose1 w:val="020B0504020000000003"/>
    <w:charset w:val="00"/>
    <w:family w:val="auto"/>
    <w:pitch w:val="default"/>
    <w:sig w:usb0="0000028F" w:usb1="00000000" w:usb2="00000000" w:usb3="00000000" w:csb0="0000009F" w:csb1="00000000"/>
  </w:font>
  <w:font w:name="Malgun Gothic">
    <w:panose1 w:val="020B0503020000020004"/>
    <w:charset w:val="81"/>
    <w:family w:val="auto"/>
    <w:pitch w:val="default"/>
    <w:sig w:usb0="900002AF" w:usb1="01D77CFB" w:usb2="00000012" w:usb3="00000000" w:csb0="0008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rPr>
        <w:rStyle w:val="135"/>
      </w:rPr>
    </w:pPr>
    <w:r>
      <w:fldChar w:fldCharType="begin"/>
    </w:r>
    <w:r>
      <w:rPr>
        <w:rStyle w:val="135"/>
      </w:rPr>
      <w:instrText xml:space="preserve">PAGE  </w:instrText>
    </w:r>
    <w:r>
      <w:fldChar w:fldCharType="end"/>
    </w:r>
  </w:p>
  <w:p>
    <w:pPr>
      <w:pStyle w:val="5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page" w:x="5476" w:y="-408"/>
      <w:rPr>
        <w:rStyle w:val="135"/>
        <w:rFonts w:ascii="宋体" w:hAnsi="宋体"/>
        <w:sz w:val="28"/>
        <w:szCs w:val="28"/>
      </w:rPr>
    </w:pPr>
    <w:r>
      <w:rPr>
        <w:rStyle w:val="135"/>
        <w:rFonts w:hint="eastAsia" w:ascii="宋体" w:hAnsi="宋体"/>
        <w:sz w:val="28"/>
        <w:szCs w:val="28"/>
      </w:rPr>
      <w:t>—</w:t>
    </w:r>
    <w:r>
      <w:rPr>
        <w:rFonts w:ascii="宋体" w:hAnsi="宋体"/>
        <w:sz w:val="21"/>
        <w:szCs w:val="21"/>
      </w:rPr>
      <w:fldChar w:fldCharType="begin"/>
    </w:r>
    <w:r>
      <w:rPr>
        <w:rStyle w:val="135"/>
        <w:rFonts w:ascii="宋体" w:hAnsi="宋体"/>
        <w:sz w:val="21"/>
        <w:szCs w:val="21"/>
      </w:rPr>
      <w:instrText xml:space="preserve">PAGE  </w:instrText>
    </w:r>
    <w:r>
      <w:rPr>
        <w:rFonts w:ascii="宋体" w:hAnsi="宋体"/>
        <w:sz w:val="21"/>
        <w:szCs w:val="21"/>
      </w:rPr>
      <w:fldChar w:fldCharType="separate"/>
    </w:r>
    <w:r>
      <w:rPr>
        <w:rStyle w:val="135"/>
        <w:rFonts w:ascii="宋体" w:hAnsi="宋体"/>
        <w:sz w:val="21"/>
        <w:szCs w:val="21"/>
      </w:rPr>
      <w:t>31</w:t>
    </w:r>
    <w:r>
      <w:rPr>
        <w:rFonts w:ascii="宋体" w:hAnsi="宋体"/>
        <w:sz w:val="21"/>
        <w:szCs w:val="21"/>
      </w:rPr>
      <w:fldChar w:fldCharType="end"/>
    </w:r>
    <w:r>
      <w:rPr>
        <w:rStyle w:val="135"/>
        <w:rFonts w:hint="eastAsia" w:ascii="宋体" w:hAnsi="宋体"/>
        <w:sz w:val="28"/>
        <w:szCs w:val="28"/>
      </w:rPr>
      <w:t>—</w:t>
    </w:r>
  </w:p>
  <w:p>
    <w:pPr>
      <w:pStyle w:val="5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page" w:x="8206" w:y="-142"/>
      <w:rPr>
        <w:rStyle w:val="135"/>
        <w:rFonts w:ascii="宋体" w:hAnsi="宋体"/>
        <w:sz w:val="28"/>
        <w:szCs w:val="28"/>
      </w:rPr>
    </w:pPr>
    <w:r>
      <w:rPr>
        <w:rStyle w:val="135"/>
        <w:rFonts w:hint="eastAsia" w:ascii="宋体" w:hAnsi="宋体"/>
        <w:sz w:val="28"/>
        <w:szCs w:val="28"/>
      </w:rPr>
      <w:t>—</w:t>
    </w:r>
    <w:r>
      <w:rPr>
        <w:rFonts w:ascii="宋体" w:hAnsi="宋体"/>
        <w:sz w:val="21"/>
        <w:szCs w:val="21"/>
      </w:rPr>
      <w:fldChar w:fldCharType="begin"/>
    </w:r>
    <w:r>
      <w:rPr>
        <w:rStyle w:val="135"/>
        <w:rFonts w:ascii="宋体" w:hAnsi="宋体"/>
        <w:sz w:val="21"/>
        <w:szCs w:val="21"/>
      </w:rPr>
      <w:instrText xml:space="preserve">PAGE  </w:instrText>
    </w:r>
    <w:r>
      <w:rPr>
        <w:rFonts w:ascii="宋体" w:hAnsi="宋体"/>
        <w:sz w:val="21"/>
        <w:szCs w:val="21"/>
      </w:rPr>
      <w:fldChar w:fldCharType="separate"/>
    </w:r>
    <w:r>
      <w:rPr>
        <w:rStyle w:val="135"/>
        <w:rFonts w:ascii="宋体" w:hAnsi="宋体"/>
        <w:sz w:val="21"/>
        <w:szCs w:val="21"/>
      </w:rPr>
      <w:t>117</w:t>
    </w:r>
    <w:r>
      <w:rPr>
        <w:rFonts w:ascii="宋体" w:hAnsi="宋体"/>
        <w:sz w:val="21"/>
        <w:szCs w:val="21"/>
      </w:rPr>
      <w:fldChar w:fldCharType="end"/>
    </w:r>
    <w:r>
      <w:rPr>
        <w:rStyle w:val="135"/>
        <w:rFonts w:hint="eastAsia" w:ascii="宋体" w:hAnsi="宋体"/>
        <w:sz w:val="28"/>
        <w:szCs w:val="28"/>
      </w:rPr>
      <w:t>—</w:t>
    </w:r>
  </w:p>
  <w:p>
    <w:pPr>
      <w:pStyle w:val="5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left"/>
      <w:rPr>
        <w:color w:val="000000"/>
      </w:rPr>
    </w:pPr>
    <w:r>
      <w:rPr>
        <w:rFonts w:hint="eastAsia"/>
        <w:color w:val="000000"/>
      </w:rPr>
      <w:t>泸州志鹏畜禽养殖有限公司</w:t>
    </w:r>
  </w:p>
  <w:p>
    <w:pPr>
      <w:pStyle w:val="57"/>
      <w:jc w:val="left"/>
    </w:pPr>
    <w:r>
      <w:rPr>
        <w:rFonts w:hint="eastAsia"/>
        <w:color w:val="000000"/>
      </w:rPr>
      <w:t xml:space="preserve">志鹏养殖场扩建项目环境影响报告书 </w:t>
    </w:r>
    <w:r>
      <w:rPr>
        <w:rFonts w:hint="eastAsia"/>
      </w:rPr>
      <w:t>中云智德（重庆）环境技术有限公司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73E9"/>
    <w:multiLevelType w:val="multilevel"/>
    <w:tmpl w:val="0A5473E9"/>
    <w:lvl w:ilvl="0" w:tentative="0">
      <w:start w:val="1"/>
      <w:numFmt w:val="decimal"/>
      <w:suff w:val="nothing"/>
      <w:lvlText w:val="%1"/>
      <w:lvlJc w:val="center"/>
      <w:pPr>
        <w:ind w:left="0" w:firstLine="0"/>
      </w:pPr>
      <w:rPr>
        <w:rFonts w:hint="default" w:ascii="Times New Roman" w:hAnsi="Times New Roman" w:eastAsia="宋体"/>
        <w:b w:val="0"/>
        <w:i w:val="0"/>
        <w:kern w:val="32"/>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2F72F83"/>
    <w:multiLevelType w:val="multilevel"/>
    <w:tmpl w:val="12F72F83"/>
    <w:lvl w:ilvl="0" w:tentative="0">
      <w:start w:val="1"/>
      <w:numFmt w:val="decimal"/>
      <w:lvlText w:val="（%1）"/>
      <w:lvlJc w:val="left"/>
      <w:pPr>
        <w:ind w:left="900"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6321F43"/>
    <w:multiLevelType w:val="multilevel"/>
    <w:tmpl w:val="16321F4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7793131"/>
    <w:multiLevelType w:val="multilevel"/>
    <w:tmpl w:val="17793131"/>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CE41B93"/>
    <w:multiLevelType w:val="multilevel"/>
    <w:tmpl w:val="1CE41B93"/>
    <w:lvl w:ilvl="0" w:tentative="0">
      <w:start w:val="1"/>
      <w:numFmt w:val="decimal"/>
      <w:suff w:val="space"/>
      <w:lvlText w:val="%1）"/>
      <w:lvlJc w:val="left"/>
      <w:pPr>
        <w:ind w:left="0" w:firstLine="482"/>
      </w:pPr>
      <w:rPr>
        <w:rFonts w:hint="default" w:ascii="Times New Roman" w:hAnsi="Times New Roman" w:eastAsia="宋体"/>
        <w:b w:val="0"/>
        <w:i w:val="0"/>
        <w:color w:val="auto"/>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5">
    <w:nsid w:val="291C43B2"/>
    <w:multiLevelType w:val="multilevel"/>
    <w:tmpl w:val="291C43B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CC17E06"/>
    <w:multiLevelType w:val="multilevel"/>
    <w:tmpl w:val="3CC17E06"/>
    <w:lvl w:ilvl="0" w:tentative="0">
      <w:start w:val="1"/>
      <w:numFmt w:val="upperLetter"/>
      <w:suff w:val="space"/>
      <w:lvlText w:val="%1. "/>
      <w:lvlJc w:val="left"/>
      <w:pPr>
        <w:ind w:left="0" w:firstLine="480"/>
      </w:pPr>
      <w:rPr>
        <w:rFonts w:hint="default" w:ascii="Times New Roman" w:hAnsi="Times New Roman" w:eastAsia="宋体"/>
        <w:b w:val="0"/>
        <w:i w:val="0"/>
        <w:color w:val="auto"/>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53A4E1D"/>
    <w:multiLevelType w:val="multilevel"/>
    <w:tmpl w:val="553A4E1D"/>
    <w:lvl w:ilvl="0" w:tentative="0">
      <w:start w:val="1"/>
      <w:numFmt w:val="decimal"/>
      <w:suff w:val="space"/>
      <w:lvlText w:val="（%1）"/>
      <w:lvlJc w:val="left"/>
      <w:pPr>
        <w:ind w:left="0" w:firstLine="476"/>
      </w:pPr>
      <w:rPr>
        <w:rFonts w:hint="default" w:ascii="Times New Roman" w:hAnsi="Times New Roman" w:eastAsia="宋体" w:cs="Times New Roman"/>
        <w:b w:val="0"/>
        <w:i w:val="0"/>
        <w:sz w:val="24"/>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8">
    <w:nsid w:val="63B42D6F"/>
    <w:multiLevelType w:val="multilevel"/>
    <w:tmpl w:val="63B42D6F"/>
    <w:lvl w:ilvl="0" w:tentative="0">
      <w:start w:val="1"/>
      <w:numFmt w:val="decimal"/>
      <w:suff w:val="nothing"/>
      <w:lvlText w:val="%1"/>
      <w:lvlJc w:val="center"/>
      <w:pPr>
        <w:ind w:left="0" w:firstLine="0"/>
      </w:pPr>
      <w:rPr>
        <w:rFonts w:hint="default" w:ascii="Times New Roman" w:hAnsi="Times New Roman" w:eastAsia="宋体"/>
        <w:b w:val="0"/>
        <w:i w:val="0"/>
        <w:kern w:val="32"/>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B68486A"/>
    <w:multiLevelType w:val="multilevel"/>
    <w:tmpl w:val="6B68486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B8B1234"/>
    <w:multiLevelType w:val="multilevel"/>
    <w:tmpl w:val="6B8B1234"/>
    <w:lvl w:ilvl="0" w:tentative="0">
      <w:start w:val="1"/>
      <w:numFmt w:val="decimal"/>
      <w:suff w:val="nothing"/>
      <w:lvlText w:val="%1"/>
      <w:lvlJc w:val="center"/>
      <w:pPr>
        <w:ind w:left="0" w:firstLine="0"/>
      </w:pPr>
      <w:rPr>
        <w:rFonts w:hint="default" w:ascii="Times New Roman" w:hAnsi="Times New Roman" w:eastAsia="宋体"/>
        <w:b w:val="0"/>
        <w:i w:val="0"/>
        <w:kern w:val="32"/>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6C54748"/>
    <w:multiLevelType w:val="multilevel"/>
    <w:tmpl w:val="76C54748"/>
    <w:lvl w:ilvl="0" w:tentative="0">
      <w:start w:val="1"/>
      <w:numFmt w:val="decimal"/>
      <w:suff w:val="nothing"/>
      <w:lvlText w:val="%1"/>
      <w:lvlJc w:val="center"/>
      <w:pPr>
        <w:ind w:left="0" w:firstLine="0"/>
      </w:pPr>
      <w:rPr>
        <w:rFonts w:hint="default" w:ascii="Times New Roman" w:hAnsi="Times New Roman" w:eastAsia="宋体"/>
        <w:b w:val="0"/>
        <w:i w:val="0"/>
        <w:kern w:val="32"/>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1"/>
  </w:num>
  <w:num w:numId="4">
    <w:abstractNumId w:val="7"/>
    <w:lvlOverride w:ilvl="0">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num>
  <w:num w:numId="7">
    <w:abstractNumId w:val="10"/>
  </w:num>
  <w:num w:numId="8">
    <w:abstractNumId w:val="11"/>
  </w:num>
  <w:num w:numId="9">
    <w:abstractNumId w:val="4"/>
    <w:lvlOverride w:ilvl="0">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num>
  <w:num w:numId="14">
    <w:abstractNumId w:val="4"/>
    <w:lvlOverride w:ilvl="0">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
    <w:lvlOverride w:ilvl="0">
      <w:startOverride w:val="1"/>
    </w:lvlOverride>
  </w:num>
  <w:num w:numId="22">
    <w:abstractNumId w:val="4"/>
    <w:lvlOverride w:ilvl="0">
      <w:startOverride w:val="1"/>
    </w:lvlOverride>
  </w:num>
  <w:num w:numId="23">
    <w:abstractNumId w:val="2"/>
  </w:num>
  <w:num w:numId="24">
    <w:abstractNumId w:val="9"/>
  </w:num>
  <w:num w:numId="25">
    <w:abstractNumId w:val="4"/>
    <w:lvlOverride w:ilvl="0">
      <w:startOverride w:val="1"/>
    </w:lvlOverride>
  </w:num>
  <w:num w:numId="26">
    <w:abstractNumId w:val="7"/>
    <w:lvlOverride w:ilvl="0">
      <w:startOverride w:val="1"/>
    </w:lvlOverride>
  </w:num>
  <w:num w:numId="27">
    <w:abstractNumId w:val="8"/>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iMzBjMzcyYTc0ZTQ5ZDg5MDU4ZDU5MjkyNGRjNGQifQ=="/>
  </w:docVars>
  <w:rsids>
    <w:rsidRoot w:val="00631C18"/>
    <w:rsid w:val="00000ACF"/>
    <w:rsid w:val="00000B4F"/>
    <w:rsid w:val="00001834"/>
    <w:rsid w:val="000021D7"/>
    <w:rsid w:val="00003BD8"/>
    <w:rsid w:val="000042A2"/>
    <w:rsid w:val="000046E3"/>
    <w:rsid w:val="00004751"/>
    <w:rsid w:val="00005C01"/>
    <w:rsid w:val="00006178"/>
    <w:rsid w:val="000076A2"/>
    <w:rsid w:val="000077F4"/>
    <w:rsid w:val="00007EE3"/>
    <w:rsid w:val="0001104A"/>
    <w:rsid w:val="00011C11"/>
    <w:rsid w:val="00012516"/>
    <w:rsid w:val="0001346D"/>
    <w:rsid w:val="000134FA"/>
    <w:rsid w:val="0001386E"/>
    <w:rsid w:val="000139C0"/>
    <w:rsid w:val="00013E28"/>
    <w:rsid w:val="00014C96"/>
    <w:rsid w:val="00016B97"/>
    <w:rsid w:val="00020FDB"/>
    <w:rsid w:val="00023154"/>
    <w:rsid w:val="00023460"/>
    <w:rsid w:val="000234A1"/>
    <w:rsid w:val="00024D12"/>
    <w:rsid w:val="00025910"/>
    <w:rsid w:val="00026B75"/>
    <w:rsid w:val="00027965"/>
    <w:rsid w:val="0003042D"/>
    <w:rsid w:val="00030981"/>
    <w:rsid w:val="00030E52"/>
    <w:rsid w:val="00031AB2"/>
    <w:rsid w:val="00032405"/>
    <w:rsid w:val="00032B48"/>
    <w:rsid w:val="0003348A"/>
    <w:rsid w:val="000340C7"/>
    <w:rsid w:val="000341D6"/>
    <w:rsid w:val="000359A8"/>
    <w:rsid w:val="00035E9A"/>
    <w:rsid w:val="00035ECC"/>
    <w:rsid w:val="00036F7E"/>
    <w:rsid w:val="00040006"/>
    <w:rsid w:val="00043063"/>
    <w:rsid w:val="00043621"/>
    <w:rsid w:val="000438C8"/>
    <w:rsid w:val="00044979"/>
    <w:rsid w:val="00044DC6"/>
    <w:rsid w:val="00045F9C"/>
    <w:rsid w:val="00046B2B"/>
    <w:rsid w:val="00046EA2"/>
    <w:rsid w:val="00046FF4"/>
    <w:rsid w:val="00047679"/>
    <w:rsid w:val="000479A6"/>
    <w:rsid w:val="00047D67"/>
    <w:rsid w:val="00051BA9"/>
    <w:rsid w:val="0005206D"/>
    <w:rsid w:val="00052842"/>
    <w:rsid w:val="000529A9"/>
    <w:rsid w:val="00053042"/>
    <w:rsid w:val="00054793"/>
    <w:rsid w:val="0005594C"/>
    <w:rsid w:val="00055AD9"/>
    <w:rsid w:val="00055CE6"/>
    <w:rsid w:val="00061FB2"/>
    <w:rsid w:val="0006232E"/>
    <w:rsid w:val="000627BA"/>
    <w:rsid w:val="00066924"/>
    <w:rsid w:val="00067B54"/>
    <w:rsid w:val="000701C4"/>
    <w:rsid w:val="00070B5E"/>
    <w:rsid w:val="00070DAA"/>
    <w:rsid w:val="00071AF4"/>
    <w:rsid w:val="000722AB"/>
    <w:rsid w:val="000738F9"/>
    <w:rsid w:val="00076B0F"/>
    <w:rsid w:val="000771A0"/>
    <w:rsid w:val="00080007"/>
    <w:rsid w:val="00080161"/>
    <w:rsid w:val="0008029A"/>
    <w:rsid w:val="00080952"/>
    <w:rsid w:val="00080A68"/>
    <w:rsid w:val="00081873"/>
    <w:rsid w:val="000819A3"/>
    <w:rsid w:val="00081AA2"/>
    <w:rsid w:val="00082328"/>
    <w:rsid w:val="000837B8"/>
    <w:rsid w:val="00085B77"/>
    <w:rsid w:val="00085D77"/>
    <w:rsid w:val="00087271"/>
    <w:rsid w:val="00087588"/>
    <w:rsid w:val="00087958"/>
    <w:rsid w:val="00090B4A"/>
    <w:rsid w:val="00090DE1"/>
    <w:rsid w:val="0009109A"/>
    <w:rsid w:val="00094930"/>
    <w:rsid w:val="00094B08"/>
    <w:rsid w:val="00095A0D"/>
    <w:rsid w:val="0009741B"/>
    <w:rsid w:val="00097A2E"/>
    <w:rsid w:val="000A0034"/>
    <w:rsid w:val="000A2742"/>
    <w:rsid w:val="000A33A9"/>
    <w:rsid w:val="000A3666"/>
    <w:rsid w:val="000A583D"/>
    <w:rsid w:val="000A5ACE"/>
    <w:rsid w:val="000A70CD"/>
    <w:rsid w:val="000B0897"/>
    <w:rsid w:val="000B1218"/>
    <w:rsid w:val="000B1687"/>
    <w:rsid w:val="000B16D0"/>
    <w:rsid w:val="000B1BBD"/>
    <w:rsid w:val="000B1F3B"/>
    <w:rsid w:val="000B231C"/>
    <w:rsid w:val="000B2876"/>
    <w:rsid w:val="000B36EB"/>
    <w:rsid w:val="000B3F9A"/>
    <w:rsid w:val="000B3FE2"/>
    <w:rsid w:val="000B4F87"/>
    <w:rsid w:val="000B6BDE"/>
    <w:rsid w:val="000B7225"/>
    <w:rsid w:val="000B7805"/>
    <w:rsid w:val="000C0C8B"/>
    <w:rsid w:val="000C2346"/>
    <w:rsid w:val="000C2F04"/>
    <w:rsid w:val="000C3034"/>
    <w:rsid w:val="000C36E9"/>
    <w:rsid w:val="000C4CC3"/>
    <w:rsid w:val="000C503A"/>
    <w:rsid w:val="000C563C"/>
    <w:rsid w:val="000C570B"/>
    <w:rsid w:val="000C5F29"/>
    <w:rsid w:val="000C6728"/>
    <w:rsid w:val="000C7616"/>
    <w:rsid w:val="000D08D7"/>
    <w:rsid w:val="000D0D8F"/>
    <w:rsid w:val="000D192D"/>
    <w:rsid w:val="000D1B97"/>
    <w:rsid w:val="000D2CEB"/>
    <w:rsid w:val="000D2D2C"/>
    <w:rsid w:val="000D3F78"/>
    <w:rsid w:val="000D571D"/>
    <w:rsid w:val="000D6176"/>
    <w:rsid w:val="000D642B"/>
    <w:rsid w:val="000D6513"/>
    <w:rsid w:val="000E28DD"/>
    <w:rsid w:val="000E3147"/>
    <w:rsid w:val="000E47B2"/>
    <w:rsid w:val="000E537B"/>
    <w:rsid w:val="000E5A3F"/>
    <w:rsid w:val="000E6195"/>
    <w:rsid w:val="000E6ED7"/>
    <w:rsid w:val="000E7C3A"/>
    <w:rsid w:val="000F0FFF"/>
    <w:rsid w:val="000F1952"/>
    <w:rsid w:val="000F1996"/>
    <w:rsid w:val="000F1D53"/>
    <w:rsid w:val="000F33BD"/>
    <w:rsid w:val="000F3A8B"/>
    <w:rsid w:val="000F53E4"/>
    <w:rsid w:val="000F64A1"/>
    <w:rsid w:val="000F6894"/>
    <w:rsid w:val="000F752D"/>
    <w:rsid w:val="001009DB"/>
    <w:rsid w:val="0010310F"/>
    <w:rsid w:val="00103BEA"/>
    <w:rsid w:val="00103F34"/>
    <w:rsid w:val="0010407C"/>
    <w:rsid w:val="00104103"/>
    <w:rsid w:val="00104A1E"/>
    <w:rsid w:val="001058CC"/>
    <w:rsid w:val="00110D04"/>
    <w:rsid w:val="00111958"/>
    <w:rsid w:val="00112A3F"/>
    <w:rsid w:val="00114A20"/>
    <w:rsid w:val="00114EFA"/>
    <w:rsid w:val="001152DF"/>
    <w:rsid w:val="001153C6"/>
    <w:rsid w:val="00116C45"/>
    <w:rsid w:val="00116D0B"/>
    <w:rsid w:val="00120E42"/>
    <w:rsid w:val="001211F9"/>
    <w:rsid w:val="00121879"/>
    <w:rsid w:val="001220A4"/>
    <w:rsid w:val="0012257A"/>
    <w:rsid w:val="00124A57"/>
    <w:rsid w:val="00125164"/>
    <w:rsid w:val="001256B9"/>
    <w:rsid w:val="001264B0"/>
    <w:rsid w:val="00126948"/>
    <w:rsid w:val="0012704F"/>
    <w:rsid w:val="00127B19"/>
    <w:rsid w:val="001301E6"/>
    <w:rsid w:val="001317BB"/>
    <w:rsid w:val="00132598"/>
    <w:rsid w:val="001325CE"/>
    <w:rsid w:val="001330DA"/>
    <w:rsid w:val="001332EC"/>
    <w:rsid w:val="0013350B"/>
    <w:rsid w:val="001337A2"/>
    <w:rsid w:val="001348A2"/>
    <w:rsid w:val="00134D08"/>
    <w:rsid w:val="00135149"/>
    <w:rsid w:val="001369FA"/>
    <w:rsid w:val="00136D50"/>
    <w:rsid w:val="00141171"/>
    <w:rsid w:val="00141ADC"/>
    <w:rsid w:val="00141DC9"/>
    <w:rsid w:val="001434A4"/>
    <w:rsid w:val="001439D7"/>
    <w:rsid w:val="00145839"/>
    <w:rsid w:val="00146025"/>
    <w:rsid w:val="001461DB"/>
    <w:rsid w:val="00146A56"/>
    <w:rsid w:val="00146F4A"/>
    <w:rsid w:val="0014719E"/>
    <w:rsid w:val="00150E3C"/>
    <w:rsid w:val="0015159F"/>
    <w:rsid w:val="00154D3C"/>
    <w:rsid w:val="00154DA9"/>
    <w:rsid w:val="00154DD3"/>
    <w:rsid w:val="0015572E"/>
    <w:rsid w:val="0016081E"/>
    <w:rsid w:val="00160AAC"/>
    <w:rsid w:val="00160BFE"/>
    <w:rsid w:val="00160C62"/>
    <w:rsid w:val="001620B6"/>
    <w:rsid w:val="00162B9F"/>
    <w:rsid w:val="00163AC2"/>
    <w:rsid w:val="00163E87"/>
    <w:rsid w:val="0016526B"/>
    <w:rsid w:val="001663A0"/>
    <w:rsid w:val="001663EF"/>
    <w:rsid w:val="00166991"/>
    <w:rsid w:val="00167810"/>
    <w:rsid w:val="00167AD9"/>
    <w:rsid w:val="0017099B"/>
    <w:rsid w:val="00170C4B"/>
    <w:rsid w:val="0017126E"/>
    <w:rsid w:val="00172E62"/>
    <w:rsid w:val="0017434A"/>
    <w:rsid w:val="00174AEE"/>
    <w:rsid w:val="001755FF"/>
    <w:rsid w:val="00175E98"/>
    <w:rsid w:val="0017636F"/>
    <w:rsid w:val="00176AA1"/>
    <w:rsid w:val="001771C7"/>
    <w:rsid w:val="0018156D"/>
    <w:rsid w:val="0018160B"/>
    <w:rsid w:val="00181680"/>
    <w:rsid w:val="00183663"/>
    <w:rsid w:val="00183A3F"/>
    <w:rsid w:val="001846C3"/>
    <w:rsid w:val="00185306"/>
    <w:rsid w:val="00186565"/>
    <w:rsid w:val="00186DC5"/>
    <w:rsid w:val="0018745D"/>
    <w:rsid w:val="0018785F"/>
    <w:rsid w:val="001879CE"/>
    <w:rsid w:val="001908FE"/>
    <w:rsid w:val="00191800"/>
    <w:rsid w:val="00192182"/>
    <w:rsid w:val="0019260D"/>
    <w:rsid w:val="00192823"/>
    <w:rsid w:val="00192DCB"/>
    <w:rsid w:val="001932DC"/>
    <w:rsid w:val="00194CA3"/>
    <w:rsid w:val="00195E93"/>
    <w:rsid w:val="00196C19"/>
    <w:rsid w:val="001A5641"/>
    <w:rsid w:val="001A58A9"/>
    <w:rsid w:val="001A5FC0"/>
    <w:rsid w:val="001A61A6"/>
    <w:rsid w:val="001A630B"/>
    <w:rsid w:val="001A651F"/>
    <w:rsid w:val="001A7668"/>
    <w:rsid w:val="001B2B7A"/>
    <w:rsid w:val="001B504C"/>
    <w:rsid w:val="001B5436"/>
    <w:rsid w:val="001B6E65"/>
    <w:rsid w:val="001B7072"/>
    <w:rsid w:val="001B7A88"/>
    <w:rsid w:val="001C1E2E"/>
    <w:rsid w:val="001C1E73"/>
    <w:rsid w:val="001C300C"/>
    <w:rsid w:val="001C5002"/>
    <w:rsid w:val="001C5770"/>
    <w:rsid w:val="001C5D17"/>
    <w:rsid w:val="001C62FB"/>
    <w:rsid w:val="001C7451"/>
    <w:rsid w:val="001C7D8C"/>
    <w:rsid w:val="001D0B03"/>
    <w:rsid w:val="001D1C03"/>
    <w:rsid w:val="001D2E62"/>
    <w:rsid w:val="001D4A27"/>
    <w:rsid w:val="001D539D"/>
    <w:rsid w:val="001D689C"/>
    <w:rsid w:val="001D702E"/>
    <w:rsid w:val="001D7A2F"/>
    <w:rsid w:val="001E0CBC"/>
    <w:rsid w:val="001E0FBD"/>
    <w:rsid w:val="001E30CA"/>
    <w:rsid w:val="001E41C9"/>
    <w:rsid w:val="001E51CE"/>
    <w:rsid w:val="001E5C44"/>
    <w:rsid w:val="001E6F1A"/>
    <w:rsid w:val="001E6FF0"/>
    <w:rsid w:val="001E75C3"/>
    <w:rsid w:val="001F1A58"/>
    <w:rsid w:val="001F3D1B"/>
    <w:rsid w:val="001F4D3B"/>
    <w:rsid w:val="001F4E73"/>
    <w:rsid w:val="001F67AA"/>
    <w:rsid w:val="001F71CB"/>
    <w:rsid w:val="001F799B"/>
    <w:rsid w:val="001F7E6E"/>
    <w:rsid w:val="00200F1D"/>
    <w:rsid w:val="00204043"/>
    <w:rsid w:val="0020436A"/>
    <w:rsid w:val="00206F87"/>
    <w:rsid w:val="0021010F"/>
    <w:rsid w:val="00210168"/>
    <w:rsid w:val="00210D6B"/>
    <w:rsid w:val="00211DBB"/>
    <w:rsid w:val="002120AA"/>
    <w:rsid w:val="002135DF"/>
    <w:rsid w:val="00213CF0"/>
    <w:rsid w:val="0021484C"/>
    <w:rsid w:val="0021517F"/>
    <w:rsid w:val="00216CAD"/>
    <w:rsid w:val="00220C86"/>
    <w:rsid w:val="00221AFC"/>
    <w:rsid w:val="00222ED7"/>
    <w:rsid w:val="002244E1"/>
    <w:rsid w:val="0022597A"/>
    <w:rsid w:val="00225D4A"/>
    <w:rsid w:val="00227A04"/>
    <w:rsid w:val="00230359"/>
    <w:rsid w:val="00230A6A"/>
    <w:rsid w:val="00231EBB"/>
    <w:rsid w:val="002326C5"/>
    <w:rsid w:val="00232AD6"/>
    <w:rsid w:val="00233401"/>
    <w:rsid w:val="00233E0A"/>
    <w:rsid w:val="002348AA"/>
    <w:rsid w:val="002373F7"/>
    <w:rsid w:val="00237A1A"/>
    <w:rsid w:val="00237AD1"/>
    <w:rsid w:val="0024018B"/>
    <w:rsid w:val="00240856"/>
    <w:rsid w:val="00240B95"/>
    <w:rsid w:val="00241BB0"/>
    <w:rsid w:val="00243B73"/>
    <w:rsid w:val="00245652"/>
    <w:rsid w:val="002456F2"/>
    <w:rsid w:val="00246E0C"/>
    <w:rsid w:val="00247D60"/>
    <w:rsid w:val="00250990"/>
    <w:rsid w:val="00251705"/>
    <w:rsid w:val="00251A3A"/>
    <w:rsid w:val="00251B58"/>
    <w:rsid w:val="00252227"/>
    <w:rsid w:val="002529FD"/>
    <w:rsid w:val="00252A70"/>
    <w:rsid w:val="00252FC5"/>
    <w:rsid w:val="00253A8D"/>
    <w:rsid w:val="00253D94"/>
    <w:rsid w:val="00253F84"/>
    <w:rsid w:val="0025474F"/>
    <w:rsid w:val="00254CEB"/>
    <w:rsid w:val="002553A2"/>
    <w:rsid w:val="00255DDF"/>
    <w:rsid w:val="0025696B"/>
    <w:rsid w:val="00256B04"/>
    <w:rsid w:val="00257BA5"/>
    <w:rsid w:val="00261793"/>
    <w:rsid w:val="00262EEF"/>
    <w:rsid w:val="002630C5"/>
    <w:rsid w:val="00264BF5"/>
    <w:rsid w:val="00264FB9"/>
    <w:rsid w:val="00265D08"/>
    <w:rsid w:val="002670C4"/>
    <w:rsid w:val="002674BC"/>
    <w:rsid w:val="00267585"/>
    <w:rsid w:val="00267D82"/>
    <w:rsid w:val="00267E70"/>
    <w:rsid w:val="0027042B"/>
    <w:rsid w:val="0027114C"/>
    <w:rsid w:val="00271492"/>
    <w:rsid w:val="002716BE"/>
    <w:rsid w:val="00272B46"/>
    <w:rsid w:val="002748BE"/>
    <w:rsid w:val="00275596"/>
    <w:rsid w:val="0027659F"/>
    <w:rsid w:val="00276FD0"/>
    <w:rsid w:val="0027721D"/>
    <w:rsid w:val="00277750"/>
    <w:rsid w:val="002806EC"/>
    <w:rsid w:val="00280BF7"/>
    <w:rsid w:val="002812AE"/>
    <w:rsid w:val="00281DB4"/>
    <w:rsid w:val="0028203C"/>
    <w:rsid w:val="00282B7A"/>
    <w:rsid w:val="002830F1"/>
    <w:rsid w:val="002833FB"/>
    <w:rsid w:val="00284C68"/>
    <w:rsid w:val="00284DA7"/>
    <w:rsid w:val="00287676"/>
    <w:rsid w:val="0029018F"/>
    <w:rsid w:val="00291D73"/>
    <w:rsid w:val="0029204D"/>
    <w:rsid w:val="00292307"/>
    <w:rsid w:val="00293DC6"/>
    <w:rsid w:val="00295B4D"/>
    <w:rsid w:val="00295BC6"/>
    <w:rsid w:val="00296825"/>
    <w:rsid w:val="00296A31"/>
    <w:rsid w:val="002A0EA1"/>
    <w:rsid w:val="002A1855"/>
    <w:rsid w:val="002A1E87"/>
    <w:rsid w:val="002A22F0"/>
    <w:rsid w:val="002A29B5"/>
    <w:rsid w:val="002A2A42"/>
    <w:rsid w:val="002A3D0E"/>
    <w:rsid w:val="002A5BAD"/>
    <w:rsid w:val="002A6752"/>
    <w:rsid w:val="002A6F66"/>
    <w:rsid w:val="002A75DF"/>
    <w:rsid w:val="002A7A88"/>
    <w:rsid w:val="002B050F"/>
    <w:rsid w:val="002B0AE0"/>
    <w:rsid w:val="002B0D6D"/>
    <w:rsid w:val="002B1072"/>
    <w:rsid w:val="002B2557"/>
    <w:rsid w:val="002B27D9"/>
    <w:rsid w:val="002B28B8"/>
    <w:rsid w:val="002B2B3A"/>
    <w:rsid w:val="002B2BE0"/>
    <w:rsid w:val="002B3082"/>
    <w:rsid w:val="002B309A"/>
    <w:rsid w:val="002B321D"/>
    <w:rsid w:val="002B39C2"/>
    <w:rsid w:val="002B3A69"/>
    <w:rsid w:val="002B3A88"/>
    <w:rsid w:val="002B5DC7"/>
    <w:rsid w:val="002B5DD5"/>
    <w:rsid w:val="002B7023"/>
    <w:rsid w:val="002B77AD"/>
    <w:rsid w:val="002B798E"/>
    <w:rsid w:val="002C077D"/>
    <w:rsid w:val="002C136C"/>
    <w:rsid w:val="002C1425"/>
    <w:rsid w:val="002C33B6"/>
    <w:rsid w:val="002C4E87"/>
    <w:rsid w:val="002C6B2B"/>
    <w:rsid w:val="002C71EA"/>
    <w:rsid w:val="002D04D0"/>
    <w:rsid w:val="002D127B"/>
    <w:rsid w:val="002D2700"/>
    <w:rsid w:val="002D41AC"/>
    <w:rsid w:val="002D5F82"/>
    <w:rsid w:val="002E02C0"/>
    <w:rsid w:val="002E06D6"/>
    <w:rsid w:val="002E1192"/>
    <w:rsid w:val="002E1350"/>
    <w:rsid w:val="002E140E"/>
    <w:rsid w:val="002E1EE2"/>
    <w:rsid w:val="002E1F5C"/>
    <w:rsid w:val="002E278D"/>
    <w:rsid w:val="002E2A09"/>
    <w:rsid w:val="002E2ACD"/>
    <w:rsid w:val="002E476E"/>
    <w:rsid w:val="002E5BCA"/>
    <w:rsid w:val="002E5C54"/>
    <w:rsid w:val="002E5CEE"/>
    <w:rsid w:val="002E711B"/>
    <w:rsid w:val="002E76CE"/>
    <w:rsid w:val="002E7F1E"/>
    <w:rsid w:val="002F0C41"/>
    <w:rsid w:val="002F172C"/>
    <w:rsid w:val="002F1DC8"/>
    <w:rsid w:val="002F3570"/>
    <w:rsid w:val="002F4893"/>
    <w:rsid w:val="002F521F"/>
    <w:rsid w:val="002F5C4D"/>
    <w:rsid w:val="002F7E44"/>
    <w:rsid w:val="00301BF1"/>
    <w:rsid w:val="00302C76"/>
    <w:rsid w:val="00302D6A"/>
    <w:rsid w:val="003037A0"/>
    <w:rsid w:val="003039C9"/>
    <w:rsid w:val="00303B6F"/>
    <w:rsid w:val="003049A5"/>
    <w:rsid w:val="00305BA5"/>
    <w:rsid w:val="00306CAC"/>
    <w:rsid w:val="00310B9E"/>
    <w:rsid w:val="00311F62"/>
    <w:rsid w:val="003125D6"/>
    <w:rsid w:val="00313372"/>
    <w:rsid w:val="003133C6"/>
    <w:rsid w:val="00313D56"/>
    <w:rsid w:val="00314476"/>
    <w:rsid w:val="0031615A"/>
    <w:rsid w:val="003177F3"/>
    <w:rsid w:val="00317E2C"/>
    <w:rsid w:val="0032239C"/>
    <w:rsid w:val="00322475"/>
    <w:rsid w:val="00322636"/>
    <w:rsid w:val="00323342"/>
    <w:rsid w:val="0032389D"/>
    <w:rsid w:val="003242DD"/>
    <w:rsid w:val="003247CF"/>
    <w:rsid w:val="00324D38"/>
    <w:rsid w:val="00326521"/>
    <w:rsid w:val="00330571"/>
    <w:rsid w:val="00330795"/>
    <w:rsid w:val="00331062"/>
    <w:rsid w:val="0033212F"/>
    <w:rsid w:val="00333966"/>
    <w:rsid w:val="00333CC0"/>
    <w:rsid w:val="00333F75"/>
    <w:rsid w:val="00334ABB"/>
    <w:rsid w:val="00334B81"/>
    <w:rsid w:val="00335555"/>
    <w:rsid w:val="00335B3C"/>
    <w:rsid w:val="003364F8"/>
    <w:rsid w:val="0033724D"/>
    <w:rsid w:val="00340712"/>
    <w:rsid w:val="0034094C"/>
    <w:rsid w:val="00340B57"/>
    <w:rsid w:val="00343DCE"/>
    <w:rsid w:val="00343E07"/>
    <w:rsid w:val="0034509D"/>
    <w:rsid w:val="0034544F"/>
    <w:rsid w:val="00345E1E"/>
    <w:rsid w:val="00347D8F"/>
    <w:rsid w:val="00350CDB"/>
    <w:rsid w:val="00351A20"/>
    <w:rsid w:val="00353824"/>
    <w:rsid w:val="003542EE"/>
    <w:rsid w:val="0035542D"/>
    <w:rsid w:val="00355ABC"/>
    <w:rsid w:val="00356102"/>
    <w:rsid w:val="00356B82"/>
    <w:rsid w:val="00360685"/>
    <w:rsid w:val="0036184E"/>
    <w:rsid w:val="00361B91"/>
    <w:rsid w:val="00361D06"/>
    <w:rsid w:val="003624A5"/>
    <w:rsid w:val="003627F5"/>
    <w:rsid w:val="00363BD4"/>
    <w:rsid w:val="00363C07"/>
    <w:rsid w:val="003646DA"/>
    <w:rsid w:val="00364B70"/>
    <w:rsid w:val="00366895"/>
    <w:rsid w:val="003673F2"/>
    <w:rsid w:val="0036749E"/>
    <w:rsid w:val="003707BB"/>
    <w:rsid w:val="00370971"/>
    <w:rsid w:val="00370FB4"/>
    <w:rsid w:val="0037110C"/>
    <w:rsid w:val="00371E73"/>
    <w:rsid w:val="0037228D"/>
    <w:rsid w:val="0037298C"/>
    <w:rsid w:val="00373EA6"/>
    <w:rsid w:val="0037470B"/>
    <w:rsid w:val="00376219"/>
    <w:rsid w:val="003763C4"/>
    <w:rsid w:val="003766B3"/>
    <w:rsid w:val="00377F04"/>
    <w:rsid w:val="00380103"/>
    <w:rsid w:val="0038041D"/>
    <w:rsid w:val="00381A45"/>
    <w:rsid w:val="00381B93"/>
    <w:rsid w:val="00382A2A"/>
    <w:rsid w:val="00383778"/>
    <w:rsid w:val="00383A97"/>
    <w:rsid w:val="00383EFB"/>
    <w:rsid w:val="00385D0E"/>
    <w:rsid w:val="00387998"/>
    <w:rsid w:val="003909E0"/>
    <w:rsid w:val="00390B2D"/>
    <w:rsid w:val="00390FFC"/>
    <w:rsid w:val="0039183F"/>
    <w:rsid w:val="003923C6"/>
    <w:rsid w:val="00393556"/>
    <w:rsid w:val="003948AE"/>
    <w:rsid w:val="00397BA9"/>
    <w:rsid w:val="003A05B3"/>
    <w:rsid w:val="003A0BB2"/>
    <w:rsid w:val="003A266E"/>
    <w:rsid w:val="003A51A8"/>
    <w:rsid w:val="003A5200"/>
    <w:rsid w:val="003A52D5"/>
    <w:rsid w:val="003A60EB"/>
    <w:rsid w:val="003A7959"/>
    <w:rsid w:val="003A7D67"/>
    <w:rsid w:val="003B0168"/>
    <w:rsid w:val="003B0DA3"/>
    <w:rsid w:val="003B14DB"/>
    <w:rsid w:val="003B3723"/>
    <w:rsid w:val="003B3FA7"/>
    <w:rsid w:val="003B4A28"/>
    <w:rsid w:val="003B4F87"/>
    <w:rsid w:val="003B5203"/>
    <w:rsid w:val="003B52D6"/>
    <w:rsid w:val="003B5672"/>
    <w:rsid w:val="003B5E18"/>
    <w:rsid w:val="003B73FB"/>
    <w:rsid w:val="003B7494"/>
    <w:rsid w:val="003B7705"/>
    <w:rsid w:val="003B7859"/>
    <w:rsid w:val="003B7A5A"/>
    <w:rsid w:val="003B7AA5"/>
    <w:rsid w:val="003B7F0A"/>
    <w:rsid w:val="003C0585"/>
    <w:rsid w:val="003C0826"/>
    <w:rsid w:val="003C17EB"/>
    <w:rsid w:val="003C27AE"/>
    <w:rsid w:val="003C2931"/>
    <w:rsid w:val="003C6601"/>
    <w:rsid w:val="003C6E4D"/>
    <w:rsid w:val="003C77FE"/>
    <w:rsid w:val="003C7BCB"/>
    <w:rsid w:val="003C7F96"/>
    <w:rsid w:val="003D02D1"/>
    <w:rsid w:val="003D1DFA"/>
    <w:rsid w:val="003D3177"/>
    <w:rsid w:val="003D35BE"/>
    <w:rsid w:val="003D5C39"/>
    <w:rsid w:val="003D5CEE"/>
    <w:rsid w:val="003D648D"/>
    <w:rsid w:val="003D688C"/>
    <w:rsid w:val="003D6A19"/>
    <w:rsid w:val="003D7A61"/>
    <w:rsid w:val="003E04D1"/>
    <w:rsid w:val="003E0AED"/>
    <w:rsid w:val="003E12D5"/>
    <w:rsid w:val="003E20D7"/>
    <w:rsid w:val="003E2678"/>
    <w:rsid w:val="003E2722"/>
    <w:rsid w:val="003E3A3E"/>
    <w:rsid w:val="003E4A7E"/>
    <w:rsid w:val="003E5C28"/>
    <w:rsid w:val="003E6198"/>
    <w:rsid w:val="003E647C"/>
    <w:rsid w:val="003E694B"/>
    <w:rsid w:val="003E69CB"/>
    <w:rsid w:val="003E6EC9"/>
    <w:rsid w:val="003E799D"/>
    <w:rsid w:val="003E7A0E"/>
    <w:rsid w:val="003F0465"/>
    <w:rsid w:val="003F0830"/>
    <w:rsid w:val="003F1148"/>
    <w:rsid w:val="003F1CC2"/>
    <w:rsid w:val="003F1D73"/>
    <w:rsid w:val="003F258C"/>
    <w:rsid w:val="003F2BCC"/>
    <w:rsid w:val="003F3A3E"/>
    <w:rsid w:val="003F40DB"/>
    <w:rsid w:val="003F4107"/>
    <w:rsid w:val="003F4745"/>
    <w:rsid w:val="003F5E5C"/>
    <w:rsid w:val="003F646A"/>
    <w:rsid w:val="003F67FF"/>
    <w:rsid w:val="003F6E53"/>
    <w:rsid w:val="003F7A20"/>
    <w:rsid w:val="00400058"/>
    <w:rsid w:val="0040081F"/>
    <w:rsid w:val="0040139D"/>
    <w:rsid w:val="004020DE"/>
    <w:rsid w:val="0040241F"/>
    <w:rsid w:val="0040379B"/>
    <w:rsid w:val="00405944"/>
    <w:rsid w:val="004067F5"/>
    <w:rsid w:val="00406B59"/>
    <w:rsid w:val="00406CF0"/>
    <w:rsid w:val="00407851"/>
    <w:rsid w:val="00407A08"/>
    <w:rsid w:val="00407CB0"/>
    <w:rsid w:val="00410CC5"/>
    <w:rsid w:val="004110D3"/>
    <w:rsid w:val="00411D0E"/>
    <w:rsid w:val="00412089"/>
    <w:rsid w:val="00412228"/>
    <w:rsid w:val="00412AF3"/>
    <w:rsid w:val="00412F95"/>
    <w:rsid w:val="00413066"/>
    <w:rsid w:val="00413305"/>
    <w:rsid w:val="00413AC3"/>
    <w:rsid w:val="004147A3"/>
    <w:rsid w:val="00415141"/>
    <w:rsid w:val="0041518F"/>
    <w:rsid w:val="0041541F"/>
    <w:rsid w:val="004156ED"/>
    <w:rsid w:val="00415769"/>
    <w:rsid w:val="00415CC1"/>
    <w:rsid w:val="00416EDB"/>
    <w:rsid w:val="00417171"/>
    <w:rsid w:val="004209A5"/>
    <w:rsid w:val="00420E5E"/>
    <w:rsid w:val="00420ECA"/>
    <w:rsid w:val="00421ED3"/>
    <w:rsid w:val="00423121"/>
    <w:rsid w:val="00423F8E"/>
    <w:rsid w:val="00424DEC"/>
    <w:rsid w:val="00425787"/>
    <w:rsid w:val="00425CDC"/>
    <w:rsid w:val="00425D4D"/>
    <w:rsid w:val="00425DFC"/>
    <w:rsid w:val="00427640"/>
    <w:rsid w:val="0043040A"/>
    <w:rsid w:val="00430B07"/>
    <w:rsid w:val="0043132B"/>
    <w:rsid w:val="00431595"/>
    <w:rsid w:val="004315C1"/>
    <w:rsid w:val="004332B7"/>
    <w:rsid w:val="00434044"/>
    <w:rsid w:val="00434364"/>
    <w:rsid w:val="0043638B"/>
    <w:rsid w:val="00436F90"/>
    <w:rsid w:val="00437825"/>
    <w:rsid w:val="00441536"/>
    <w:rsid w:val="00441825"/>
    <w:rsid w:val="0044187D"/>
    <w:rsid w:val="00443374"/>
    <w:rsid w:val="0044362B"/>
    <w:rsid w:val="00444116"/>
    <w:rsid w:val="00444C55"/>
    <w:rsid w:val="00444DA0"/>
    <w:rsid w:val="00445DD0"/>
    <w:rsid w:val="00445EF5"/>
    <w:rsid w:val="0044653F"/>
    <w:rsid w:val="00447616"/>
    <w:rsid w:val="004476B5"/>
    <w:rsid w:val="00447D75"/>
    <w:rsid w:val="004501D5"/>
    <w:rsid w:val="00450208"/>
    <w:rsid w:val="00451207"/>
    <w:rsid w:val="004512BA"/>
    <w:rsid w:val="00451E26"/>
    <w:rsid w:val="00451F7C"/>
    <w:rsid w:val="0045273C"/>
    <w:rsid w:val="00453D67"/>
    <w:rsid w:val="004544D2"/>
    <w:rsid w:val="00454F2A"/>
    <w:rsid w:val="00457180"/>
    <w:rsid w:val="00457901"/>
    <w:rsid w:val="004620E9"/>
    <w:rsid w:val="00462654"/>
    <w:rsid w:val="00462B45"/>
    <w:rsid w:val="00464880"/>
    <w:rsid w:val="00467A56"/>
    <w:rsid w:val="004703B5"/>
    <w:rsid w:val="004705AC"/>
    <w:rsid w:val="004723CB"/>
    <w:rsid w:val="00473299"/>
    <w:rsid w:val="00473557"/>
    <w:rsid w:val="00473A40"/>
    <w:rsid w:val="00473F39"/>
    <w:rsid w:val="004743B5"/>
    <w:rsid w:val="004747AB"/>
    <w:rsid w:val="00474CA6"/>
    <w:rsid w:val="004750E2"/>
    <w:rsid w:val="00476F78"/>
    <w:rsid w:val="0047710C"/>
    <w:rsid w:val="00477775"/>
    <w:rsid w:val="0047799D"/>
    <w:rsid w:val="00477D5B"/>
    <w:rsid w:val="00481EA9"/>
    <w:rsid w:val="00482E31"/>
    <w:rsid w:val="00483854"/>
    <w:rsid w:val="00483FB7"/>
    <w:rsid w:val="00484F60"/>
    <w:rsid w:val="00485295"/>
    <w:rsid w:val="004856A3"/>
    <w:rsid w:val="0048713C"/>
    <w:rsid w:val="00490E5C"/>
    <w:rsid w:val="0049192F"/>
    <w:rsid w:val="00491DEF"/>
    <w:rsid w:val="00493650"/>
    <w:rsid w:val="0049410A"/>
    <w:rsid w:val="004942E1"/>
    <w:rsid w:val="004948F0"/>
    <w:rsid w:val="00495136"/>
    <w:rsid w:val="0049541D"/>
    <w:rsid w:val="00495F54"/>
    <w:rsid w:val="0049698F"/>
    <w:rsid w:val="00496B6E"/>
    <w:rsid w:val="004979CF"/>
    <w:rsid w:val="004A15EC"/>
    <w:rsid w:val="004A2354"/>
    <w:rsid w:val="004A3947"/>
    <w:rsid w:val="004A4747"/>
    <w:rsid w:val="004A5D1A"/>
    <w:rsid w:val="004A7071"/>
    <w:rsid w:val="004A7097"/>
    <w:rsid w:val="004B08E1"/>
    <w:rsid w:val="004B0CC9"/>
    <w:rsid w:val="004B121E"/>
    <w:rsid w:val="004B16EC"/>
    <w:rsid w:val="004B1747"/>
    <w:rsid w:val="004B19F9"/>
    <w:rsid w:val="004B23DB"/>
    <w:rsid w:val="004B2EC0"/>
    <w:rsid w:val="004B4E09"/>
    <w:rsid w:val="004B7D89"/>
    <w:rsid w:val="004C0193"/>
    <w:rsid w:val="004C08A8"/>
    <w:rsid w:val="004C0C8C"/>
    <w:rsid w:val="004C1254"/>
    <w:rsid w:val="004C2150"/>
    <w:rsid w:val="004C2428"/>
    <w:rsid w:val="004C3BE4"/>
    <w:rsid w:val="004C5B2E"/>
    <w:rsid w:val="004C5BEF"/>
    <w:rsid w:val="004C6CA9"/>
    <w:rsid w:val="004C711B"/>
    <w:rsid w:val="004C7AF4"/>
    <w:rsid w:val="004D06AD"/>
    <w:rsid w:val="004D0BB4"/>
    <w:rsid w:val="004D179C"/>
    <w:rsid w:val="004D19E7"/>
    <w:rsid w:val="004D24F1"/>
    <w:rsid w:val="004D2F7F"/>
    <w:rsid w:val="004D3350"/>
    <w:rsid w:val="004D3A72"/>
    <w:rsid w:val="004D488E"/>
    <w:rsid w:val="004D4E6C"/>
    <w:rsid w:val="004D5487"/>
    <w:rsid w:val="004D6C3E"/>
    <w:rsid w:val="004D7110"/>
    <w:rsid w:val="004D7385"/>
    <w:rsid w:val="004D7499"/>
    <w:rsid w:val="004E02BD"/>
    <w:rsid w:val="004E02FD"/>
    <w:rsid w:val="004E0D91"/>
    <w:rsid w:val="004E1AC4"/>
    <w:rsid w:val="004E3A4D"/>
    <w:rsid w:val="004E47AE"/>
    <w:rsid w:val="004E49C0"/>
    <w:rsid w:val="004E4E26"/>
    <w:rsid w:val="004E4FDF"/>
    <w:rsid w:val="004E53BD"/>
    <w:rsid w:val="004E57B3"/>
    <w:rsid w:val="004E6153"/>
    <w:rsid w:val="004E622F"/>
    <w:rsid w:val="004E64F3"/>
    <w:rsid w:val="004E6996"/>
    <w:rsid w:val="004F0CBD"/>
    <w:rsid w:val="004F0EEF"/>
    <w:rsid w:val="004F1267"/>
    <w:rsid w:val="004F17D8"/>
    <w:rsid w:val="004F1BF2"/>
    <w:rsid w:val="004F3082"/>
    <w:rsid w:val="004F37A4"/>
    <w:rsid w:val="004F4073"/>
    <w:rsid w:val="004F4B90"/>
    <w:rsid w:val="004F546F"/>
    <w:rsid w:val="004F55CB"/>
    <w:rsid w:val="004F608D"/>
    <w:rsid w:val="004F7684"/>
    <w:rsid w:val="004F7B06"/>
    <w:rsid w:val="005004A6"/>
    <w:rsid w:val="005011CB"/>
    <w:rsid w:val="00501331"/>
    <w:rsid w:val="00501755"/>
    <w:rsid w:val="0050321A"/>
    <w:rsid w:val="00504736"/>
    <w:rsid w:val="0050564C"/>
    <w:rsid w:val="005057C1"/>
    <w:rsid w:val="00505E29"/>
    <w:rsid w:val="00506FA3"/>
    <w:rsid w:val="00507668"/>
    <w:rsid w:val="005126CA"/>
    <w:rsid w:val="00513EA3"/>
    <w:rsid w:val="005175AE"/>
    <w:rsid w:val="00517CBE"/>
    <w:rsid w:val="0052062D"/>
    <w:rsid w:val="005212C2"/>
    <w:rsid w:val="0052184D"/>
    <w:rsid w:val="005221CF"/>
    <w:rsid w:val="00522373"/>
    <w:rsid w:val="00523188"/>
    <w:rsid w:val="00523C9D"/>
    <w:rsid w:val="00524EB9"/>
    <w:rsid w:val="005277D2"/>
    <w:rsid w:val="0053021C"/>
    <w:rsid w:val="005306EE"/>
    <w:rsid w:val="005315B8"/>
    <w:rsid w:val="00531672"/>
    <w:rsid w:val="00531F62"/>
    <w:rsid w:val="0053203B"/>
    <w:rsid w:val="0053252C"/>
    <w:rsid w:val="00532AFC"/>
    <w:rsid w:val="0053303F"/>
    <w:rsid w:val="00533D7B"/>
    <w:rsid w:val="00533D89"/>
    <w:rsid w:val="00533E24"/>
    <w:rsid w:val="00534952"/>
    <w:rsid w:val="00535116"/>
    <w:rsid w:val="0053541B"/>
    <w:rsid w:val="0053673E"/>
    <w:rsid w:val="00537653"/>
    <w:rsid w:val="00541E2E"/>
    <w:rsid w:val="00543DFD"/>
    <w:rsid w:val="0054418F"/>
    <w:rsid w:val="005446EB"/>
    <w:rsid w:val="0054479B"/>
    <w:rsid w:val="00545982"/>
    <w:rsid w:val="00545BCC"/>
    <w:rsid w:val="005465B7"/>
    <w:rsid w:val="00546624"/>
    <w:rsid w:val="00546E92"/>
    <w:rsid w:val="00550430"/>
    <w:rsid w:val="00550A7D"/>
    <w:rsid w:val="005517EA"/>
    <w:rsid w:val="00553732"/>
    <w:rsid w:val="00553DA3"/>
    <w:rsid w:val="00554A36"/>
    <w:rsid w:val="00555E5A"/>
    <w:rsid w:val="00555FC5"/>
    <w:rsid w:val="005568AD"/>
    <w:rsid w:val="0055717E"/>
    <w:rsid w:val="00557620"/>
    <w:rsid w:val="00557EDD"/>
    <w:rsid w:val="00560F40"/>
    <w:rsid w:val="00561146"/>
    <w:rsid w:val="00561742"/>
    <w:rsid w:val="00563B6C"/>
    <w:rsid w:val="00564430"/>
    <w:rsid w:val="005657AB"/>
    <w:rsid w:val="00565DE3"/>
    <w:rsid w:val="00566186"/>
    <w:rsid w:val="00566264"/>
    <w:rsid w:val="00567174"/>
    <w:rsid w:val="00570C52"/>
    <w:rsid w:val="0057106B"/>
    <w:rsid w:val="0057166F"/>
    <w:rsid w:val="00571B30"/>
    <w:rsid w:val="0057462F"/>
    <w:rsid w:val="0057600E"/>
    <w:rsid w:val="00577A34"/>
    <w:rsid w:val="00577CCA"/>
    <w:rsid w:val="00581018"/>
    <w:rsid w:val="00581354"/>
    <w:rsid w:val="005827A0"/>
    <w:rsid w:val="0058364A"/>
    <w:rsid w:val="0058368D"/>
    <w:rsid w:val="00583F6E"/>
    <w:rsid w:val="005842CA"/>
    <w:rsid w:val="00584CDA"/>
    <w:rsid w:val="00584ED5"/>
    <w:rsid w:val="0058687E"/>
    <w:rsid w:val="00586BED"/>
    <w:rsid w:val="005875F1"/>
    <w:rsid w:val="005877D7"/>
    <w:rsid w:val="00590DB4"/>
    <w:rsid w:val="00590EE6"/>
    <w:rsid w:val="005914BE"/>
    <w:rsid w:val="00591B3A"/>
    <w:rsid w:val="00592ECE"/>
    <w:rsid w:val="005932C5"/>
    <w:rsid w:val="00593694"/>
    <w:rsid w:val="00593FEC"/>
    <w:rsid w:val="00594044"/>
    <w:rsid w:val="00594FD6"/>
    <w:rsid w:val="00595CA5"/>
    <w:rsid w:val="00596274"/>
    <w:rsid w:val="00596F0B"/>
    <w:rsid w:val="0059707C"/>
    <w:rsid w:val="005A0478"/>
    <w:rsid w:val="005A0BD9"/>
    <w:rsid w:val="005A16F7"/>
    <w:rsid w:val="005A1BA5"/>
    <w:rsid w:val="005A2DC3"/>
    <w:rsid w:val="005A3109"/>
    <w:rsid w:val="005A3298"/>
    <w:rsid w:val="005A4A55"/>
    <w:rsid w:val="005A7D13"/>
    <w:rsid w:val="005B0672"/>
    <w:rsid w:val="005B1199"/>
    <w:rsid w:val="005B1288"/>
    <w:rsid w:val="005B2AC3"/>
    <w:rsid w:val="005B2D3A"/>
    <w:rsid w:val="005B3236"/>
    <w:rsid w:val="005B3758"/>
    <w:rsid w:val="005B3BB9"/>
    <w:rsid w:val="005B3C8B"/>
    <w:rsid w:val="005B4664"/>
    <w:rsid w:val="005B4F2A"/>
    <w:rsid w:val="005B6F08"/>
    <w:rsid w:val="005B7489"/>
    <w:rsid w:val="005B7633"/>
    <w:rsid w:val="005B7E74"/>
    <w:rsid w:val="005C04B4"/>
    <w:rsid w:val="005C21BC"/>
    <w:rsid w:val="005C2706"/>
    <w:rsid w:val="005C43F0"/>
    <w:rsid w:val="005C4BD9"/>
    <w:rsid w:val="005C4E11"/>
    <w:rsid w:val="005C5461"/>
    <w:rsid w:val="005C74F3"/>
    <w:rsid w:val="005C7D73"/>
    <w:rsid w:val="005D0BDE"/>
    <w:rsid w:val="005D139F"/>
    <w:rsid w:val="005D2015"/>
    <w:rsid w:val="005D2F87"/>
    <w:rsid w:val="005D341C"/>
    <w:rsid w:val="005D4439"/>
    <w:rsid w:val="005D4BB8"/>
    <w:rsid w:val="005D52F8"/>
    <w:rsid w:val="005D5473"/>
    <w:rsid w:val="005D5766"/>
    <w:rsid w:val="005D5F3C"/>
    <w:rsid w:val="005D65C7"/>
    <w:rsid w:val="005D6654"/>
    <w:rsid w:val="005E247B"/>
    <w:rsid w:val="005E331E"/>
    <w:rsid w:val="005E397A"/>
    <w:rsid w:val="005E41C0"/>
    <w:rsid w:val="005E5C87"/>
    <w:rsid w:val="005E6623"/>
    <w:rsid w:val="005E68AC"/>
    <w:rsid w:val="005E6A3A"/>
    <w:rsid w:val="005E6F09"/>
    <w:rsid w:val="005E6F93"/>
    <w:rsid w:val="005F01FA"/>
    <w:rsid w:val="005F058F"/>
    <w:rsid w:val="005F1C67"/>
    <w:rsid w:val="005F1EA4"/>
    <w:rsid w:val="005F21B0"/>
    <w:rsid w:val="005F2651"/>
    <w:rsid w:val="005F33BE"/>
    <w:rsid w:val="005F4512"/>
    <w:rsid w:val="005F4ABB"/>
    <w:rsid w:val="005F4B7F"/>
    <w:rsid w:val="005F4C04"/>
    <w:rsid w:val="005F5989"/>
    <w:rsid w:val="0060088D"/>
    <w:rsid w:val="0060162E"/>
    <w:rsid w:val="006028B2"/>
    <w:rsid w:val="0060330A"/>
    <w:rsid w:val="00604757"/>
    <w:rsid w:val="0060477A"/>
    <w:rsid w:val="00604809"/>
    <w:rsid w:val="00605EA1"/>
    <w:rsid w:val="006063C1"/>
    <w:rsid w:val="0060727A"/>
    <w:rsid w:val="0060768E"/>
    <w:rsid w:val="00607A3B"/>
    <w:rsid w:val="00610004"/>
    <w:rsid w:val="00610EEB"/>
    <w:rsid w:val="00612B96"/>
    <w:rsid w:val="00613087"/>
    <w:rsid w:val="00613D2C"/>
    <w:rsid w:val="00615122"/>
    <w:rsid w:val="006152A8"/>
    <w:rsid w:val="00616229"/>
    <w:rsid w:val="006162D4"/>
    <w:rsid w:val="0061744B"/>
    <w:rsid w:val="006176BB"/>
    <w:rsid w:val="0062241C"/>
    <w:rsid w:val="00622589"/>
    <w:rsid w:val="006225A0"/>
    <w:rsid w:val="00622F59"/>
    <w:rsid w:val="00623049"/>
    <w:rsid w:val="00624957"/>
    <w:rsid w:val="00624BB3"/>
    <w:rsid w:val="00624C79"/>
    <w:rsid w:val="00624D54"/>
    <w:rsid w:val="0062566E"/>
    <w:rsid w:val="0062602F"/>
    <w:rsid w:val="006261B2"/>
    <w:rsid w:val="00626DCA"/>
    <w:rsid w:val="00630886"/>
    <w:rsid w:val="0063120A"/>
    <w:rsid w:val="00631C18"/>
    <w:rsid w:val="00636201"/>
    <w:rsid w:val="00636F05"/>
    <w:rsid w:val="0063700D"/>
    <w:rsid w:val="00640240"/>
    <w:rsid w:val="00640423"/>
    <w:rsid w:val="00642DE8"/>
    <w:rsid w:val="006434AB"/>
    <w:rsid w:val="0064530E"/>
    <w:rsid w:val="00645749"/>
    <w:rsid w:val="006457A4"/>
    <w:rsid w:val="00645996"/>
    <w:rsid w:val="00645D40"/>
    <w:rsid w:val="006466A9"/>
    <w:rsid w:val="00646F18"/>
    <w:rsid w:val="0064700F"/>
    <w:rsid w:val="00647A19"/>
    <w:rsid w:val="00650002"/>
    <w:rsid w:val="00650913"/>
    <w:rsid w:val="006512A1"/>
    <w:rsid w:val="006515BC"/>
    <w:rsid w:val="00653080"/>
    <w:rsid w:val="00653793"/>
    <w:rsid w:val="00653873"/>
    <w:rsid w:val="00655F6B"/>
    <w:rsid w:val="0065622E"/>
    <w:rsid w:val="00656DF1"/>
    <w:rsid w:val="00657CE7"/>
    <w:rsid w:val="00660254"/>
    <w:rsid w:val="00660AC6"/>
    <w:rsid w:val="00660AEC"/>
    <w:rsid w:val="00662286"/>
    <w:rsid w:val="006645C1"/>
    <w:rsid w:val="00664BA7"/>
    <w:rsid w:val="00665624"/>
    <w:rsid w:val="006659E5"/>
    <w:rsid w:val="006667F3"/>
    <w:rsid w:val="00666F58"/>
    <w:rsid w:val="006673DD"/>
    <w:rsid w:val="00671CB7"/>
    <w:rsid w:val="006724E9"/>
    <w:rsid w:val="00672B37"/>
    <w:rsid w:val="00672D3D"/>
    <w:rsid w:val="00672F52"/>
    <w:rsid w:val="00674CFC"/>
    <w:rsid w:val="00674E59"/>
    <w:rsid w:val="00675373"/>
    <w:rsid w:val="00675B0A"/>
    <w:rsid w:val="00676A4D"/>
    <w:rsid w:val="006779C8"/>
    <w:rsid w:val="006804AB"/>
    <w:rsid w:val="006806F7"/>
    <w:rsid w:val="00682156"/>
    <w:rsid w:val="0068505D"/>
    <w:rsid w:val="00685094"/>
    <w:rsid w:val="00685CF2"/>
    <w:rsid w:val="00685DDB"/>
    <w:rsid w:val="00686D78"/>
    <w:rsid w:val="00687450"/>
    <w:rsid w:val="00690589"/>
    <w:rsid w:val="00691D4A"/>
    <w:rsid w:val="006923B4"/>
    <w:rsid w:val="00692BC6"/>
    <w:rsid w:val="006930BE"/>
    <w:rsid w:val="00693666"/>
    <w:rsid w:val="0069544B"/>
    <w:rsid w:val="006954AE"/>
    <w:rsid w:val="006955D4"/>
    <w:rsid w:val="006963A2"/>
    <w:rsid w:val="00697D95"/>
    <w:rsid w:val="006A0866"/>
    <w:rsid w:val="006A13B4"/>
    <w:rsid w:val="006A1D22"/>
    <w:rsid w:val="006A3654"/>
    <w:rsid w:val="006A3EE9"/>
    <w:rsid w:val="006A40F8"/>
    <w:rsid w:val="006A46F5"/>
    <w:rsid w:val="006A6B15"/>
    <w:rsid w:val="006A764D"/>
    <w:rsid w:val="006A7978"/>
    <w:rsid w:val="006A7E5E"/>
    <w:rsid w:val="006B0546"/>
    <w:rsid w:val="006B1524"/>
    <w:rsid w:val="006B2842"/>
    <w:rsid w:val="006B3AE6"/>
    <w:rsid w:val="006B416F"/>
    <w:rsid w:val="006B5808"/>
    <w:rsid w:val="006B624B"/>
    <w:rsid w:val="006B6738"/>
    <w:rsid w:val="006B6A5E"/>
    <w:rsid w:val="006B7319"/>
    <w:rsid w:val="006B769F"/>
    <w:rsid w:val="006B7CB1"/>
    <w:rsid w:val="006B7EB8"/>
    <w:rsid w:val="006C0314"/>
    <w:rsid w:val="006C1419"/>
    <w:rsid w:val="006C168F"/>
    <w:rsid w:val="006C1D62"/>
    <w:rsid w:val="006C2686"/>
    <w:rsid w:val="006C338A"/>
    <w:rsid w:val="006C3FE5"/>
    <w:rsid w:val="006C4CF4"/>
    <w:rsid w:val="006C5796"/>
    <w:rsid w:val="006C5F4E"/>
    <w:rsid w:val="006C6A07"/>
    <w:rsid w:val="006C7BB8"/>
    <w:rsid w:val="006D00BF"/>
    <w:rsid w:val="006D2194"/>
    <w:rsid w:val="006D377C"/>
    <w:rsid w:val="006D4A17"/>
    <w:rsid w:val="006D6E85"/>
    <w:rsid w:val="006D7BD5"/>
    <w:rsid w:val="006D7C13"/>
    <w:rsid w:val="006D7D59"/>
    <w:rsid w:val="006E0931"/>
    <w:rsid w:val="006E238C"/>
    <w:rsid w:val="006E2561"/>
    <w:rsid w:val="006E5A16"/>
    <w:rsid w:val="006E5EA4"/>
    <w:rsid w:val="006E65D3"/>
    <w:rsid w:val="006E681B"/>
    <w:rsid w:val="006E7027"/>
    <w:rsid w:val="006F155D"/>
    <w:rsid w:val="006F24B5"/>
    <w:rsid w:val="006F36C0"/>
    <w:rsid w:val="006F36EB"/>
    <w:rsid w:val="006F3CC9"/>
    <w:rsid w:val="006F4040"/>
    <w:rsid w:val="006F4296"/>
    <w:rsid w:val="006F4CA4"/>
    <w:rsid w:val="006F5148"/>
    <w:rsid w:val="006F5188"/>
    <w:rsid w:val="006F556A"/>
    <w:rsid w:val="006F605B"/>
    <w:rsid w:val="006F6BBF"/>
    <w:rsid w:val="006F6DDD"/>
    <w:rsid w:val="006F7B19"/>
    <w:rsid w:val="00700055"/>
    <w:rsid w:val="0070008F"/>
    <w:rsid w:val="00700091"/>
    <w:rsid w:val="00700F76"/>
    <w:rsid w:val="0070126F"/>
    <w:rsid w:val="007021C1"/>
    <w:rsid w:val="007026BF"/>
    <w:rsid w:val="00702FC9"/>
    <w:rsid w:val="00703208"/>
    <w:rsid w:val="00703774"/>
    <w:rsid w:val="007046B8"/>
    <w:rsid w:val="0070477D"/>
    <w:rsid w:val="00704937"/>
    <w:rsid w:val="007051D8"/>
    <w:rsid w:val="00705414"/>
    <w:rsid w:val="00706366"/>
    <w:rsid w:val="00707B7B"/>
    <w:rsid w:val="0071096C"/>
    <w:rsid w:val="00710B94"/>
    <w:rsid w:val="00710F3F"/>
    <w:rsid w:val="00711078"/>
    <w:rsid w:val="007121AE"/>
    <w:rsid w:val="00712F8B"/>
    <w:rsid w:val="00714E43"/>
    <w:rsid w:val="00715618"/>
    <w:rsid w:val="007156EA"/>
    <w:rsid w:val="007158C9"/>
    <w:rsid w:val="00717F1D"/>
    <w:rsid w:val="007201CE"/>
    <w:rsid w:val="00720D1C"/>
    <w:rsid w:val="00721651"/>
    <w:rsid w:val="00721779"/>
    <w:rsid w:val="00721B23"/>
    <w:rsid w:val="00721C0B"/>
    <w:rsid w:val="00721C31"/>
    <w:rsid w:val="00721E01"/>
    <w:rsid w:val="0072291C"/>
    <w:rsid w:val="00723073"/>
    <w:rsid w:val="007239FC"/>
    <w:rsid w:val="00724443"/>
    <w:rsid w:val="00724463"/>
    <w:rsid w:val="00724888"/>
    <w:rsid w:val="0072689D"/>
    <w:rsid w:val="007269FD"/>
    <w:rsid w:val="00726EE7"/>
    <w:rsid w:val="007278FB"/>
    <w:rsid w:val="0073238A"/>
    <w:rsid w:val="00732C41"/>
    <w:rsid w:val="00732EA8"/>
    <w:rsid w:val="00733DFD"/>
    <w:rsid w:val="00734A3F"/>
    <w:rsid w:val="00734C78"/>
    <w:rsid w:val="00735566"/>
    <w:rsid w:val="0073565F"/>
    <w:rsid w:val="007359D8"/>
    <w:rsid w:val="00736468"/>
    <w:rsid w:val="007366B3"/>
    <w:rsid w:val="007368F6"/>
    <w:rsid w:val="00736DA2"/>
    <w:rsid w:val="00737D40"/>
    <w:rsid w:val="00740F50"/>
    <w:rsid w:val="00741427"/>
    <w:rsid w:val="007422E8"/>
    <w:rsid w:val="007438D6"/>
    <w:rsid w:val="00743B5C"/>
    <w:rsid w:val="00743C57"/>
    <w:rsid w:val="00744F07"/>
    <w:rsid w:val="00745145"/>
    <w:rsid w:val="00745363"/>
    <w:rsid w:val="00745B91"/>
    <w:rsid w:val="00745C0B"/>
    <w:rsid w:val="00745D21"/>
    <w:rsid w:val="00745DD4"/>
    <w:rsid w:val="00745FBA"/>
    <w:rsid w:val="007466D1"/>
    <w:rsid w:val="00746BD9"/>
    <w:rsid w:val="0075059E"/>
    <w:rsid w:val="0075167A"/>
    <w:rsid w:val="00751936"/>
    <w:rsid w:val="00751C24"/>
    <w:rsid w:val="00752325"/>
    <w:rsid w:val="00752949"/>
    <w:rsid w:val="00752AAF"/>
    <w:rsid w:val="007530B3"/>
    <w:rsid w:val="007543CF"/>
    <w:rsid w:val="007555A5"/>
    <w:rsid w:val="00755CE4"/>
    <w:rsid w:val="00755E37"/>
    <w:rsid w:val="00755F64"/>
    <w:rsid w:val="0075657D"/>
    <w:rsid w:val="00756CD9"/>
    <w:rsid w:val="00757726"/>
    <w:rsid w:val="00757858"/>
    <w:rsid w:val="00760898"/>
    <w:rsid w:val="00760A9C"/>
    <w:rsid w:val="00761CB8"/>
    <w:rsid w:val="00761F1E"/>
    <w:rsid w:val="00762205"/>
    <w:rsid w:val="00762260"/>
    <w:rsid w:val="0076258D"/>
    <w:rsid w:val="00762B47"/>
    <w:rsid w:val="00764768"/>
    <w:rsid w:val="00766ABF"/>
    <w:rsid w:val="00767D11"/>
    <w:rsid w:val="007703A7"/>
    <w:rsid w:val="00770DA1"/>
    <w:rsid w:val="00770E0F"/>
    <w:rsid w:val="007714F7"/>
    <w:rsid w:val="00771A14"/>
    <w:rsid w:val="00771C80"/>
    <w:rsid w:val="007737D7"/>
    <w:rsid w:val="00774D94"/>
    <w:rsid w:val="007779D2"/>
    <w:rsid w:val="00777A29"/>
    <w:rsid w:val="0078064A"/>
    <w:rsid w:val="007807D2"/>
    <w:rsid w:val="007812EE"/>
    <w:rsid w:val="00781C70"/>
    <w:rsid w:val="0078252F"/>
    <w:rsid w:val="00782556"/>
    <w:rsid w:val="00782789"/>
    <w:rsid w:val="00783358"/>
    <w:rsid w:val="00783B28"/>
    <w:rsid w:val="00784545"/>
    <w:rsid w:val="00784757"/>
    <w:rsid w:val="0078491C"/>
    <w:rsid w:val="007849F2"/>
    <w:rsid w:val="007854F0"/>
    <w:rsid w:val="007858C7"/>
    <w:rsid w:val="007870F6"/>
    <w:rsid w:val="0078786C"/>
    <w:rsid w:val="00790B3C"/>
    <w:rsid w:val="007912C9"/>
    <w:rsid w:val="007914E9"/>
    <w:rsid w:val="00792969"/>
    <w:rsid w:val="00792A37"/>
    <w:rsid w:val="0079385E"/>
    <w:rsid w:val="00795016"/>
    <w:rsid w:val="00795F9C"/>
    <w:rsid w:val="0079621A"/>
    <w:rsid w:val="00796337"/>
    <w:rsid w:val="007967A3"/>
    <w:rsid w:val="007968AF"/>
    <w:rsid w:val="00796A6D"/>
    <w:rsid w:val="00797A52"/>
    <w:rsid w:val="007A01F7"/>
    <w:rsid w:val="007A1836"/>
    <w:rsid w:val="007A42E4"/>
    <w:rsid w:val="007A4D74"/>
    <w:rsid w:val="007A512A"/>
    <w:rsid w:val="007A5656"/>
    <w:rsid w:val="007A58FC"/>
    <w:rsid w:val="007A5D42"/>
    <w:rsid w:val="007A63EA"/>
    <w:rsid w:val="007A766D"/>
    <w:rsid w:val="007A79F8"/>
    <w:rsid w:val="007A7B50"/>
    <w:rsid w:val="007A7C83"/>
    <w:rsid w:val="007B0474"/>
    <w:rsid w:val="007B0521"/>
    <w:rsid w:val="007B1AA0"/>
    <w:rsid w:val="007B261B"/>
    <w:rsid w:val="007B2861"/>
    <w:rsid w:val="007B2CA7"/>
    <w:rsid w:val="007B32C4"/>
    <w:rsid w:val="007B33AD"/>
    <w:rsid w:val="007B4D88"/>
    <w:rsid w:val="007B70B7"/>
    <w:rsid w:val="007B7E3B"/>
    <w:rsid w:val="007C0159"/>
    <w:rsid w:val="007C1356"/>
    <w:rsid w:val="007C1664"/>
    <w:rsid w:val="007C1D07"/>
    <w:rsid w:val="007C1FAF"/>
    <w:rsid w:val="007C2492"/>
    <w:rsid w:val="007C3896"/>
    <w:rsid w:val="007C39FB"/>
    <w:rsid w:val="007C3B05"/>
    <w:rsid w:val="007C4146"/>
    <w:rsid w:val="007C50F4"/>
    <w:rsid w:val="007C5317"/>
    <w:rsid w:val="007C5610"/>
    <w:rsid w:val="007C5D18"/>
    <w:rsid w:val="007C680A"/>
    <w:rsid w:val="007C6E0E"/>
    <w:rsid w:val="007D03E4"/>
    <w:rsid w:val="007D0A05"/>
    <w:rsid w:val="007D0E86"/>
    <w:rsid w:val="007D16D3"/>
    <w:rsid w:val="007D2728"/>
    <w:rsid w:val="007D353C"/>
    <w:rsid w:val="007D4672"/>
    <w:rsid w:val="007D6234"/>
    <w:rsid w:val="007D644C"/>
    <w:rsid w:val="007D67EE"/>
    <w:rsid w:val="007D6BE3"/>
    <w:rsid w:val="007D6F0A"/>
    <w:rsid w:val="007D74E2"/>
    <w:rsid w:val="007D7D37"/>
    <w:rsid w:val="007E0471"/>
    <w:rsid w:val="007E072C"/>
    <w:rsid w:val="007E0C59"/>
    <w:rsid w:val="007E1F0A"/>
    <w:rsid w:val="007E2355"/>
    <w:rsid w:val="007E41B2"/>
    <w:rsid w:val="007E423D"/>
    <w:rsid w:val="007E4671"/>
    <w:rsid w:val="007E5128"/>
    <w:rsid w:val="007E5BAC"/>
    <w:rsid w:val="007E6571"/>
    <w:rsid w:val="007E6587"/>
    <w:rsid w:val="007E691F"/>
    <w:rsid w:val="007E6B3D"/>
    <w:rsid w:val="007E6F4C"/>
    <w:rsid w:val="007E6FC9"/>
    <w:rsid w:val="007E732C"/>
    <w:rsid w:val="007E7A93"/>
    <w:rsid w:val="007E7E44"/>
    <w:rsid w:val="007F06D5"/>
    <w:rsid w:val="007F10B1"/>
    <w:rsid w:val="007F273F"/>
    <w:rsid w:val="007F3793"/>
    <w:rsid w:val="007F3EE6"/>
    <w:rsid w:val="007F3FF4"/>
    <w:rsid w:val="007F426C"/>
    <w:rsid w:val="007F47BF"/>
    <w:rsid w:val="007F4C4B"/>
    <w:rsid w:val="007F632F"/>
    <w:rsid w:val="007F6912"/>
    <w:rsid w:val="007F73F4"/>
    <w:rsid w:val="0080390A"/>
    <w:rsid w:val="00804127"/>
    <w:rsid w:val="008049BA"/>
    <w:rsid w:val="0080593B"/>
    <w:rsid w:val="00806239"/>
    <w:rsid w:val="008064F5"/>
    <w:rsid w:val="00806CC7"/>
    <w:rsid w:val="0080734F"/>
    <w:rsid w:val="008074E6"/>
    <w:rsid w:val="0080756C"/>
    <w:rsid w:val="00807948"/>
    <w:rsid w:val="00807E5B"/>
    <w:rsid w:val="00811099"/>
    <w:rsid w:val="00811D2E"/>
    <w:rsid w:val="0081201B"/>
    <w:rsid w:val="0081204C"/>
    <w:rsid w:val="008125C2"/>
    <w:rsid w:val="00812EAD"/>
    <w:rsid w:val="00813923"/>
    <w:rsid w:val="008141CD"/>
    <w:rsid w:val="00814E8A"/>
    <w:rsid w:val="00815AD0"/>
    <w:rsid w:val="00816627"/>
    <w:rsid w:val="00816878"/>
    <w:rsid w:val="008176DD"/>
    <w:rsid w:val="00820027"/>
    <w:rsid w:val="00820EFA"/>
    <w:rsid w:val="00821BF1"/>
    <w:rsid w:val="00821E82"/>
    <w:rsid w:val="0082392C"/>
    <w:rsid w:val="008246D3"/>
    <w:rsid w:val="00824E4B"/>
    <w:rsid w:val="00825C81"/>
    <w:rsid w:val="008303A3"/>
    <w:rsid w:val="0083193C"/>
    <w:rsid w:val="00831AB1"/>
    <w:rsid w:val="00831D66"/>
    <w:rsid w:val="00831D7E"/>
    <w:rsid w:val="00832C04"/>
    <w:rsid w:val="00833018"/>
    <w:rsid w:val="00833379"/>
    <w:rsid w:val="00833B49"/>
    <w:rsid w:val="00834916"/>
    <w:rsid w:val="00834B89"/>
    <w:rsid w:val="00834D53"/>
    <w:rsid w:val="00835292"/>
    <w:rsid w:val="00835CDB"/>
    <w:rsid w:val="00837ACE"/>
    <w:rsid w:val="00837CCE"/>
    <w:rsid w:val="00840443"/>
    <w:rsid w:val="00842831"/>
    <w:rsid w:val="00842908"/>
    <w:rsid w:val="008429E7"/>
    <w:rsid w:val="00843F00"/>
    <w:rsid w:val="00845818"/>
    <w:rsid w:val="00846EA1"/>
    <w:rsid w:val="00847582"/>
    <w:rsid w:val="00847D1C"/>
    <w:rsid w:val="00850FBE"/>
    <w:rsid w:val="00851043"/>
    <w:rsid w:val="0085164A"/>
    <w:rsid w:val="0085186F"/>
    <w:rsid w:val="00851880"/>
    <w:rsid w:val="00851ADB"/>
    <w:rsid w:val="00851EC5"/>
    <w:rsid w:val="0085202D"/>
    <w:rsid w:val="00852C15"/>
    <w:rsid w:val="008534C1"/>
    <w:rsid w:val="00853636"/>
    <w:rsid w:val="008547D6"/>
    <w:rsid w:val="0085524A"/>
    <w:rsid w:val="00856258"/>
    <w:rsid w:val="008568C5"/>
    <w:rsid w:val="008568C6"/>
    <w:rsid w:val="008576B9"/>
    <w:rsid w:val="00860225"/>
    <w:rsid w:val="00860FF5"/>
    <w:rsid w:val="00861703"/>
    <w:rsid w:val="00861D1B"/>
    <w:rsid w:val="00861EC4"/>
    <w:rsid w:val="008624D4"/>
    <w:rsid w:val="00862C4C"/>
    <w:rsid w:val="00863713"/>
    <w:rsid w:val="00864FE6"/>
    <w:rsid w:val="00865642"/>
    <w:rsid w:val="00866825"/>
    <w:rsid w:val="008668DB"/>
    <w:rsid w:val="008678E1"/>
    <w:rsid w:val="00867D73"/>
    <w:rsid w:val="00870344"/>
    <w:rsid w:val="0087334C"/>
    <w:rsid w:val="00873389"/>
    <w:rsid w:val="00873410"/>
    <w:rsid w:val="0087446A"/>
    <w:rsid w:val="008756CA"/>
    <w:rsid w:val="0087575C"/>
    <w:rsid w:val="00875B8B"/>
    <w:rsid w:val="00876BB7"/>
    <w:rsid w:val="0088121F"/>
    <w:rsid w:val="00881745"/>
    <w:rsid w:val="00882311"/>
    <w:rsid w:val="008847AF"/>
    <w:rsid w:val="00885436"/>
    <w:rsid w:val="00885CAE"/>
    <w:rsid w:val="00887780"/>
    <w:rsid w:val="00887B2A"/>
    <w:rsid w:val="00891B2D"/>
    <w:rsid w:val="00891C10"/>
    <w:rsid w:val="0089220C"/>
    <w:rsid w:val="0089322E"/>
    <w:rsid w:val="00893650"/>
    <w:rsid w:val="00893BB8"/>
    <w:rsid w:val="008945F8"/>
    <w:rsid w:val="00894F1E"/>
    <w:rsid w:val="008959E0"/>
    <w:rsid w:val="00895B96"/>
    <w:rsid w:val="0089657A"/>
    <w:rsid w:val="0089703E"/>
    <w:rsid w:val="008A0993"/>
    <w:rsid w:val="008A1220"/>
    <w:rsid w:val="008A22B6"/>
    <w:rsid w:val="008A3A06"/>
    <w:rsid w:val="008A4147"/>
    <w:rsid w:val="008A4B8F"/>
    <w:rsid w:val="008A5C89"/>
    <w:rsid w:val="008B0255"/>
    <w:rsid w:val="008B0C2D"/>
    <w:rsid w:val="008B0CE6"/>
    <w:rsid w:val="008B1423"/>
    <w:rsid w:val="008B1492"/>
    <w:rsid w:val="008B2CEF"/>
    <w:rsid w:val="008B3488"/>
    <w:rsid w:val="008B3BC3"/>
    <w:rsid w:val="008B3FA2"/>
    <w:rsid w:val="008B5FF2"/>
    <w:rsid w:val="008B7859"/>
    <w:rsid w:val="008C0378"/>
    <w:rsid w:val="008C05BE"/>
    <w:rsid w:val="008C1354"/>
    <w:rsid w:val="008C1925"/>
    <w:rsid w:val="008C1BD6"/>
    <w:rsid w:val="008C1C51"/>
    <w:rsid w:val="008C1C5D"/>
    <w:rsid w:val="008C1C8E"/>
    <w:rsid w:val="008C258E"/>
    <w:rsid w:val="008C3516"/>
    <w:rsid w:val="008C38E3"/>
    <w:rsid w:val="008C54E4"/>
    <w:rsid w:val="008C5700"/>
    <w:rsid w:val="008C5D42"/>
    <w:rsid w:val="008C6C96"/>
    <w:rsid w:val="008C6E69"/>
    <w:rsid w:val="008C7B6D"/>
    <w:rsid w:val="008D0EC0"/>
    <w:rsid w:val="008D1167"/>
    <w:rsid w:val="008D138C"/>
    <w:rsid w:val="008D1A3D"/>
    <w:rsid w:val="008D2397"/>
    <w:rsid w:val="008D2B18"/>
    <w:rsid w:val="008D368C"/>
    <w:rsid w:val="008D435A"/>
    <w:rsid w:val="008D4698"/>
    <w:rsid w:val="008D4752"/>
    <w:rsid w:val="008D578B"/>
    <w:rsid w:val="008D57D0"/>
    <w:rsid w:val="008D5E79"/>
    <w:rsid w:val="008D6AD0"/>
    <w:rsid w:val="008D6BFD"/>
    <w:rsid w:val="008D7110"/>
    <w:rsid w:val="008E0696"/>
    <w:rsid w:val="008E0C82"/>
    <w:rsid w:val="008E0CD4"/>
    <w:rsid w:val="008E15BA"/>
    <w:rsid w:val="008E1A65"/>
    <w:rsid w:val="008E1AE1"/>
    <w:rsid w:val="008E1BB9"/>
    <w:rsid w:val="008E1E6C"/>
    <w:rsid w:val="008E2D20"/>
    <w:rsid w:val="008E34DE"/>
    <w:rsid w:val="008E37A4"/>
    <w:rsid w:val="008E3FF0"/>
    <w:rsid w:val="008E4675"/>
    <w:rsid w:val="008E6995"/>
    <w:rsid w:val="008E6E73"/>
    <w:rsid w:val="008E7EBC"/>
    <w:rsid w:val="008F1031"/>
    <w:rsid w:val="008F118F"/>
    <w:rsid w:val="008F13EA"/>
    <w:rsid w:val="008F150F"/>
    <w:rsid w:val="008F25FE"/>
    <w:rsid w:val="008F2A8F"/>
    <w:rsid w:val="008F4A67"/>
    <w:rsid w:val="008F4E7F"/>
    <w:rsid w:val="008F54A2"/>
    <w:rsid w:val="008F6AE6"/>
    <w:rsid w:val="008F6B2D"/>
    <w:rsid w:val="008F7704"/>
    <w:rsid w:val="008F7993"/>
    <w:rsid w:val="00900C23"/>
    <w:rsid w:val="00900CE7"/>
    <w:rsid w:val="009020CA"/>
    <w:rsid w:val="00902317"/>
    <w:rsid w:val="00902829"/>
    <w:rsid w:val="00902BC6"/>
    <w:rsid w:val="00902FC1"/>
    <w:rsid w:val="0090358F"/>
    <w:rsid w:val="00903E97"/>
    <w:rsid w:val="00903F86"/>
    <w:rsid w:val="0090457E"/>
    <w:rsid w:val="00905BF7"/>
    <w:rsid w:val="00905E33"/>
    <w:rsid w:val="00906435"/>
    <w:rsid w:val="0090720A"/>
    <w:rsid w:val="00907A91"/>
    <w:rsid w:val="00907C1E"/>
    <w:rsid w:val="009112F8"/>
    <w:rsid w:val="00911C0C"/>
    <w:rsid w:val="009125C5"/>
    <w:rsid w:val="009128A0"/>
    <w:rsid w:val="009142FD"/>
    <w:rsid w:val="00914BD4"/>
    <w:rsid w:val="00916D60"/>
    <w:rsid w:val="00921191"/>
    <w:rsid w:val="009228FF"/>
    <w:rsid w:val="00922EE2"/>
    <w:rsid w:val="00923451"/>
    <w:rsid w:val="00926BF4"/>
    <w:rsid w:val="00927FC3"/>
    <w:rsid w:val="00930108"/>
    <w:rsid w:val="00930CE0"/>
    <w:rsid w:val="009312AF"/>
    <w:rsid w:val="0093204D"/>
    <w:rsid w:val="00932A60"/>
    <w:rsid w:val="009333A9"/>
    <w:rsid w:val="009335BC"/>
    <w:rsid w:val="00933AAB"/>
    <w:rsid w:val="00933B83"/>
    <w:rsid w:val="00933DEB"/>
    <w:rsid w:val="009341BC"/>
    <w:rsid w:val="00935098"/>
    <w:rsid w:val="009350DD"/>
    <w:rsid w:val="00936EA0"/>
    <w:rsid w:val="009372B9"/>
    <w:rsid w:val="009402AF"/>
    <w:rsid w:val="0094053D"/>
    <w:rsid w:val="009414EF"/>
    <w:rsid w:val="009425F6"/>
    <w:rsid w:val="00942919"/>
    <w:rsid w:val="0094340B"/>
    <w:rsid w:val="00943423"/>
    <w:rsid w:val="00943A13"/>
    <w:rsid w:val="00944518"/>
    <w:rsid w:val="00946924"/>
    <w:rsid w:val="00947812"/>
    <w:rsid w:val="00947B47"/>
    <w:rsid w:val="00947F30"/>
    <w:rsid w:val="009505A1"/>
    <w:rsid w:val="00950A9D"/>
    <w:rsid w:val="00951823"/>
    <w:rsid w:val="009519FE"/>
    <w:rsid w:val="0095240E"/>
    <w:rsid w:val="009537B5"/>
    <w:rsid w:val="0095467A"/>
    <w:rsid w:val="009549A6"/>
    <w:rsid w:val="00954E71"/>
    <w:rsid w:val="00955DD9"/>
    <w:rsid w:val="0095648E"/>
    <w:rsid w:val="0095789A"/>
    <w:rsid w:val="009608DD"/>
    <w:rsid w:val="00960BE5"/>
    <w:rsid w:val="009614AF"/>
    <w:rsid w:val="00961682"/>
    <w:rsid w:val="00961ACB"/>
    <w:rsid w:val="00962319"/>
    <w:rsid w:val="009629E6"/>
    <w:rsid w:val="009630C9"/>
    <w:rsid w:val="00963578"/>
    <w:rsid w:val="00963DCA"/>
    <w:rsid w:val="0096505A"/>
    <w:rsid w:val="00965D4D"/>
    <w:rsid w:val="0096619E"/>
    <w:rsid w:val="00966862"/>
    <w:rsid w:val="00966DBD"/>
    <w:rsid w:val="00967EC7"/>
    <w:rsid w:val="009701EB"/>
    <w:rsid w:val="00970EEC"/>
    <w:rsid w:val="00972D18"/>
    <w:rsid w:val="00973866"/>
    <w:rsid w:val="009743B6"/>
    <w:rsid w:val="009745BD"/>
    <w:rsid w:val="009745C3"/>
    <w:rsid w:val="00974B47"/>
    <w:rsid w:val="00974D0B"/>
    <w:rsid w:val="00976400"/>
    <w:rsid w:val="00976753"/>
    <w:rsid w:val="00977250"/>
    <w:rsid w:val="009801A6"/>
    <w:rsid w:val="009804A9"/>
    <w:rsid w:val="0098062B"/>
    <w:rsid w:val="00980B4C"/>
    <w:rsid w:val="0098160B"/>
    <w:rsid w:val="009820C6"/>
    <w:rsid w:val="009828A0"/>
    <w:rsid w:val="0098291E"/>
    <w:rsid w:val="00982C0E"/>
    <w:rsid w:val="00983C66"/>
    <w:rsid w:val="00983E82"/>
    <w:rsid w:val="00983E86"/>
    <w:rsid w:val="0098524E"/>
    <w:rsid w:val="00985793"/>
    <w:rsid w:val="00985C86"/>
    <w:rsid w:val="009879B8"/>
    <w:rsid w:val="009907B7"/>
    <w:rsid w:val="00991393"/>
    <w:rsid w:val="0099168B"/>
    <w:rsid w:val="00991C4C"/>
    <w:rsid w:val="009922C5"/>
    <w:rsid w:val="00992730"/>
    <w:rsid w:val="00992FCD"/>
    <w:rsid w:val="0099376F"/>
    <w:rsid w:val="00993E7B"/>
    <w:rsid w:val="0099550C"/>
    <w:rsid w:val="00995B1F"/>
    <w:rsid w:val="00995E0D"/>
    <w:rsid w:val="0099649E"/>
    <w:rsid w:val="00997562"/>
    <w:rsid w:val="00997964"/>
    <w:rsid w:val="00997A39"/>
    <w:rsid w:val="009A0679"/>
    <w:rsid w:val="009A0FD9"/>
    <w:rsid w:val="009A1E64"/>
    <w:rsid w:val="009A241E"/>
    <w:rsid w:val="009A297D"/>
    <w:rsid w:val="009A2F5D"/>
    <w:rsid w:val="009A30A5"/>
    <w:rsid w:val="009A3368"/>
    <w:rsid w:val="009A3B49"/>
    <w:rsid w:val="009A45E9"/>
    <w:rsid w:val="009A549F"/>
    <w:rsid w:val="009A5B49"/>
    <w:rsid w:val="009A6955"/>
    <w:rsid w:val="009A6A95"/>
    <w:rsid w:val="009A6FB7"/>
    <w:rsid w:val="009B116B"/>
    <w:rsid w:val="009B1263"/>
    <w:rsid w:val="009B1696"/>
    <w:rsid w:val="009B2D6A"/>
    <w:rsid w:val="009B4A7B"/>
    <w:rsid w:val="009B6249"/>
    <w:rsid w:val="009B73D2"/>
    <w:rsid w:val="009B76B0"/>
    <w:rsid w:val="009C1DB4"/>
    <w:rsid w:val="009C25D6"/>
    <w:rsid w:val="009C2DD7"/>
    <w:rsid w:val="009C2FAE"/>
    <w:rsid w:val="009C319E"/>
    <w:rsid w:val="009C4063"/>
    <w:rsid w:val="009C4194"/>
    <w:rsid w:val="009C441E"/>
    <w:rsid w:val="009C4981"/>
    <w:rsid w:val="009C49B9"/>
    <w:rsid w:val="009C4E93"/>
    <w:rsid w:val="009C4F10"/>
    <w:rsid w:val="009C5ADB"/>
    <w:rsid w:val="009C6D57"/>
    <w:rsid w:val="009C722F"/>
    <w:rsid w:val="009C72AE"/>
    <w:rsid w:val="009C73A7"/>
    <w:rsid w:val="009D070E"/>
    <w:rsid w:val="009D0EC8"/>
    <w:rsid w:val="009D272E"/>
    <w:rsid w:val="009D296B"/>
    <w:rsid w:val="009D2E8A"/>
    <w:rsid w:val="009D5410"/>
    <w:rsid w:val="009D55E0"/>
    <w:rsid w:val="009D72AE"/>
    <w:rsid w:val="009D797A"/>
    <w:rsid w:val="009E01BE"/>
    <w:rsid w:val="009E03B7"/>
    <w:rsid w:val="009E0502"/>
    <w:rsid w:val="009E0D24"/>
    <w:rsid w:val="009E1DDE"/>
    <w:rsid w:val="009E3209"/>
    <w:rsid w:val="009E3E22"/>
    <w:rsid w:val="009E4C8F"/>
    <w:rsid w:val="009E73E0"/>
    <w:rsid w:val="009E7479"/>
    <w:rsid w:val="009E7D08"/>
    <w:rsid w:val="009E7D82"/>
    <w:rsid w:val="009F04FC"/>
    <w:rsid w:val="009F0B6B"/>
    <w:rsid w:val="009F1132"/>
    <w:rsid w:val="009F1450"/>
    <w:rsid w:val="009F1EE4"/>
    <w:rsid w:val="009F24A2"/>
    <w:rsid w:val="009F2564"/>
    <w:rsid w:val="009F273D"/>
    <w:rsid w:val="009F2969"/>
    <w:rsid w:val="009F30DC"/>
    <w:rsid w:val="009F3B20"/>
    <w:rsid w:val="009F3B5F"/>
    <w:rsid w:val="009F4658"/>
    <w:rsid w:val="009F5B35"/>
    <w:rsid w:val="00A00160"/>
    <w:rsid w:val="00A0028B"/>
    <w:rsid w:val="00A00303"/>
    <w:rsid w:val="00A0078B"/>
    <w:rsid w:val="00A00853"/>
    <w:rsid w:val="00A01981"/>
    <w:rsid w:val="00A02905"/>
    <w:rsid w:val="00A031A2"/>
    <w:rsid w:val="00A06B74"/>
    <w:rsid w:val="00A0754F"/>
    <w:rsid w:val="00A10F03"/>
    <w:rsid w:val="00A1166A"/>
    <w:rsid w:val="00A1283C"/>
    <w:rsid w:val="00A12C5E"/>
    <w:rsid w:val="00A12E88"/>
    <w:rsid w:val="00A152D5"/>
    <w:rsid w:val="00A1636A"/>
    <w:rsid w:val="00A16693"/>
    <w:rsid w:val="00A16CF0"/>
    <w:rsid w:val="00A16DAD"/>
    <w:rsid w:val="00A1706E"/>
    <w:rsid w:val="00A20A8A"/>
    <w:rsid w:val="00A217DE"/>
    <w:rsid w:val="00A21B0B"/>
    <w:rsid w:val="00A22B6A"/>
    <w:rsid w:val="00A25563"/>
    <w:rsid w:val="00A25BD5"/>
    <w:rsid w:val="00A25E8F"/>
    <w:rsid w:val="00A27BB4"/>
    <w:rsid w:val="00A31EC5"/>
    <w:rsid w:val="00A32D57"/>
    <w:rsid w:val="00A34529"/>
    <w:rsid w:val="00A34DDF"/>
    <w:rsid w:val="00A350C5"/>
    <w:rsid w:val="00A3512C"/>
    <w:rsid w:val="00A36FDA"/>
    <w:rsid w:val="00A40264"/>
    <w:rsid w:val="00A403E0"/>
    <w:rsid w:val="00A40D39"/>
    <w:rsid w:val="00A40FF5"/>
    <w:rsid w:val="00A41362"/>
    <w:rsid w:val="00A41993"/>
    <w:rsid w:val="00A420FD"/>
    <w:rsid w:val="00A421F1"/>
    <w:rsid w:val="00A43889"/>
    <w:rsid w:val="00A4557C"/>
    <w:rsid w:val="00A45E93"/>
    <w:rsid w:val="00A4612A"/>
    <w:rsid w:val="00A46844"/>
    <w:rsid w:val="00A4799F"/>
    <w:rsid w:val="00A47B4F"/>
    <w:rsid w:val="00A47E5F"/>
    <w:rsid w:val="00A50FCC"/>
    <w:rsid w:val="00A513E0"/>
    <w:rsid w:val="00A52AE0"/>
    <w:rsid w:val="00A52B31"/>
    <w:rsid w:val="00A53373"/>
    <w:rsid w:val="00A543F8"/>
    <w:rsid w:val="00A548E1"/>
    <w:rsid w:val="00A56C46"/>
    <w:rsid w:val="00A56F97"/>
    <w:rsid w:val="00A601D3"/>
    <w:rsid w:val="00A60978"/>
    <w:rsid w:val="00A611CF"/>
    <w:rsid w:val="00A623DD"/>
    <w:rsid w:val="00A6246C"/>
    <w:rsid w:val="00A62BC7"/>
    <w:rsid w:val="00A64ADE"/>
    <w:rsid w:val="00A666E8"/>
    <w:rsid w:val="00A669A6"/>
    <w:rsid w:val="00A678FD"/>
    <w:rsid w:val="00A71650"/>
    <w:rsid w:val="00A72133"/>
    <w:rsid w:val="00A725EC"/>
    <w:rsid w:val="00A725F5"/>
    <w:rsid w:val="00A72881"/>
    <w:rsid w:val="00A73231"/>
    <w:rsid w:val="00A73BB9"/>
    <w:rsid w:val="00A73DF7"/>
    <w:rsid w:val="00A748B0"/>
    <w:rsid w:val="00A74FD9"/>
    <w:rsid w:val="00A759BB"/>
    <w:rsid w:val="00A76610"/>
    <w:rsid w:val="00A775C2"/>
    <w:rsid w:val="00A77DD8"/>
    <w:rsid w:val="00A8034E"/>
    <w:rsid w:val="00A81653"/>
    <w:rsid w:val="00A8185C"/>
    <w:rsid w:val="00A81A3B"/>
    <w:rsid w:val="00A81F4D"/>
    <w:rsid w:val="00A82074"/>
    <w:rsid w:val="00A8381B"/>
    <w:rsid w:val="00A84151"/>
    <w:rsid w:val="00A8443A"/>
    <w:rsid w:val="00A84AFC"/>
    <w:rsid w:val="00A856A4"/>
    <w:rsid w:val="00A87318"/>
    <w:rsid w:val="00A87795"/>
    <w:rsid w:val="00A87A1C"/>
    <w:rsid w:val="00A90AB6"/>
    <w:rsid w:val="00A90ABD"/>
    <w:rsid w:val="00A91ED3"/>
    <w:rsid w:val="00A91F02"/>
    <w:rsid w:val="00A920F8"/>
    <w:rsid w:val="00A9212B"/>
    <w:rsid w:val="00A924A2"/>
    <w:rsid w:val="00A92597"/>
    <w:rsid w:val="00A92FF9"/>
    <w:rsid w:val="00A932FF"/>
    <w:rsid w:val="00A9507B"/>
    <w:rsid w:val="00AA05AA"/>
    <w:rsid w:val="00AA1E70"/>
    <w:rsid w:val="00AA2EF2"/>
    <w:rsid w:val="00AA4826"/>
    <w:rsid w:val="00AA4835"/>
    <w:rsid w:val="00AA5D0B"/>
    <w:rsid w:val="00AA627A"/>
    <w:rsid w:val="00AA6644"/>
    <w:rsid w:val="00AA6D22"/>
    <w:rsid w:val="00AA79A2"/>
    <w:rsid w:val="00AA7C70"/>
    <w:rsid w:val="00AB02F7"/>
    <w:rsid w:val="00AB18E6"/>
    <w:rsid w:val="00AB1BAF"/>
    <w:rsid w:val="00AB1BE6"/>
    <w:rsid w:val="00AB2131"/>
    <w:rsid w:val="00AB25B0"/>
    <w:rsid w:val="00AB272E"/>
    <w:rsid w:val="00AB2B93"/>
    <w:rsid w:val="00AB4E48"/>
    <w:rsid w:val="00AB5A03"/>
    <w:rsid w:val="00AB5E57"/>
    <w:rsid w:val="00AB6902"/>
    <w:rsid w:val="00AB7681"/>
    <w:rsid w:val="00AB7913"/>
    <w:rsid w:val="00AC1AFE"/>
    <w:rsid w:val="00AC2346"/>
    <w:rsid w:val="00AC23C5"/>
    <w:rsid w:val="00AC2FA1"/>
    <w:rsid w:val="00AC4334"/>
    <w:rsid w:val="00AC43AB"/>
    <w:rsid w:val="00AC5D7A"/>
    <w:rsid w:val="00AC6356"/>
    <w:rsid w:val="00AC74E9"/>
    <w:rsid w:val="00AC7F28"/>
    <w:rsid w:val="00AC7F31"/>
    <w:rsid w:val="00AD005F"/>
    <w:rsid w:val="00AD1098"/>
    <w:rsid w:val="00AD1A33"/>
    <w:rsid w:val="00AD1A52"/>
    <w:rsid w:val="00AD261D"/>
    <w:rsid w:val="00AD2745"/>
    <w:rsid w:val="00AD27D8"/>
    <w:rsid w:val="00AD3D61"/>
    <w:rsid w:val="00AD4455"/>
    <w:rsid w:val="00AD4536"/>
    <w:rsid w:val="00AD49FA"/>
    <w:rsid w:val="00AD4CBD"/>
    <w:rsid w:val="00AD513E"/>
    <w:rsid w:val="00AD538E"/>
    <w:rsid w:val="00AD5D5C"/>
    <w:rsid w:val="00AE13ED"/>
    <w:rsid w:val="00AE16A0"/>
    <w:rsid w:val="00AE3ED4"/>
    <w:rsid w:val="00AE3F40"/>
    <w:rsid w:val="00AE3F44"/>
    <w:rsid w:val="00AE3FF2"/>
    <w:rsid w:val="00AE4AC3"/>
    <w:rsid w:val="00AE5427"/>
    <w:rsid w:val="00AE6ECE"/>
    <w:rsid w:val="00AE75C4"/>
    <w:rsid w:val="00AF0A0C"/>
    <w:rsid w:val="00AF1CAE"/>
    <w:rsid w:val="00AF2F20"/>
    <w:rsid w:val="00AF3B1F"/>
    <w:rsid w:val="00AF3D69"/>
    <w:rsid w:val="00AF3E77"/>
    <w:rsid w:val="00AF483C"/>
    <w:rsid w:val="00AF5308"/>
    <w:rsid w:val="00AF5C96"/>
    <w:rsid w:val="00AF65A4"/>
    <w:rsid w:val="00AF68E6"/>
    <w:rsid w:val="00AF76E0"/>
    <w:rsid w:val="00B0022D"/>
    <w:rsid w:val="00B004D7"/>
    <w:rsid w:val="00B0052B"/>
    <w:rsid w:val="00B00CF5"/>
    <w:rsid w:val="00B02F08"/>
    <w:rsid w:val="00B03A7A"/>
    <w:rsid w:val="00B03F90"/>
    <w:rsid w:val="00B069E5"/>
    <w:rsid w:val="00B074D0"/>
    <w:rsid w:val="00B10FBF"/>
    <w:rsid w:val="00B11448"/>
    <w:rsid w:val="00B117F8"/>
    <w:rsid w:val="00B1225C"/>
    <w:rsid w:val="00B12A93"/>
    <w:rsid w:val="00B13515"/>
    <w:rsid w:val="00B14C25"/>
    <w:rsid w:val="00B166C9"/>
    <w:rsid w:val="00B17CA9"/>
    <w:rsid w:val="00B20446"/>
    <w:rsid w:val="00B21E4F"/>
    <w:rsid w:val="00B21F78"/>
    <w:rsid w:val="00B222D9"/>
    <w:rsid w:val="00B27A4C"/>
    <w:rsid w:val="00B27DF7"/>
    <w:rsid w:val="00B27E4D"/>
    <w:rsid w:val="00B30211"/>
    <w:rsid w:val="00B3224A"/>
    <w:rsid w:val="00B33758"/>
    <w:rsid w:val="00B34B57"/>
    <w:rsid w:val="00B360EB"/>
    <w:rsid w:val="00B36782"/>
    <w:rsid w:val="00B37884"/>
    <w:rsid w:val="00B37BF9"/>
    <w:rsid w:val="00B4012D"/>
    <w:rsid w:val="00B419B1"/>
    <w:rsid w:val="00B41E63"/>
    <w:rsid w:val="00B43259"/>
    <w:rsid w:val="00B4342D"/>
    <w:rsid w:val="00B43675"/>
    <w:rsid w:val="00B43809"/>
    <w:rsid w:val="00B44952"/>
    <w:rsid w:val="00B45114"/>
    <w:rsid w:val="00B45F39"/>
    <w:rsid w:val="00B468F5"/>
    <w:rsid w:val="00B46E27"/>
    <w:rsid w:val="00B50A57"/>
    <w:rsid w:val="00B50C05"/>
    <w:rsid w:val="00B50DB2"/>
    <w:rsid w:val="00B51C75"/>
    <w:rsid w:val="00B537FB"/>
    <w:rsid w:val="00B53ADA"/>
    <w:rsid w:val="00B53AE3"/>
    <w:rsid w:val="00B549AF"/>
    <w:rsid w:val="00B54B26"/>
    <w:rsid w:val="00B5517C"/>
    <w:rsid w:val="00B55B7D"/>
    <w:rsid w:val="00B56361"/>
    <w:rsid w:val="00B567A5"/>
    <w:rsid w:val="00B56F34"/>
    <w:rsid w:val="00B602FD"/>
    <w:rsid w:val="00B605DC"/>
    <w:rsid w:val="00B60881"/>
    <w:rsid w:val="00B60D38"/>
    <w:rsid w:val="00B62121"/>
    <w:rsid w:val="00B62679"/>
    <w:rsid w:val="00B629C0"/>
    <w:rsid w:val="00B629CF"/>
    <w:rsid w:val="00B6423A"/>
    <w:rsid w:val="00B64D32"/>
    <w:rsid w:val="00B64F5F"/>
    <w:rsid w:val="00B65636"/>
    <w:rsid w:val="00B658C3"/>
    <w:rsid w:val="00B66230"/>
    <w:rsid w:val="00B6657F"/>
    <w:rsid w:val="00B67062"/>
    <w:rsid w:val="00B6776B"/>
    <w:rsid w:val="00B7011A"/>
    <w:rsid w:val="00B7060C"/>
    <w:rsid w:val="00B70932"/>
    <w:rsid w:val="00B71733"/>
    <w:rsid w:val="00B723BD"/>
    <w:rsid w:val="00B72C9C"/>
    <w:rsid w:val="00B73860"/>
    <w:rsid w:val="00B7421C"/>
    <w:rsid w:val="00B756E2"/>
    <w:rsid w:val="00B80239"/>
    <w:rsid w:val="00B817B0"/>
    <w:rsid w:val="00B8210D"/>
    <w:rsid w:val="00B82D13"/>
    <w:rsid w:val="00B843DF"/>
    <w:rsid w:val="00B84EC0"/>
    <w:rsid w:val="00B86E93"/>
    <w:rsid w:val="00B87101"/>
    <w:rsid w:val="00B876CF"/>
    <w:rsid w:val="00B90276"/>
    <w:rsid w:val="00B91263"/>
    <w:rsid w:val="00B916D1"/>
    <w:rsid w:val="00B92DA6"/>
    <w:rsid w:val="00B93D54"/>
    <w:rsid w:val="00B94521"/>
    <w:rsid w:val="00B96048"/>
    <w:rsid w:val="00B9614B"/>
    <w:rsid w:val="00B96BF7"/>
    <w:rsid w:val="00B96E2F"/>
    <w:rsid w:val="00B97A0B"/>
    <w:rsid w:val="00B97CB8"/>
    <w:rsid w:val="00BA162E"/>
    <w:rsid w:val="00BA1923"/>
    <w:rsid w:val="00BA1AD1"/>
    <w:rsid w:val="00BA1D79"/>
    <w:rsid w:val="00BA1FF4"/>
    <w:rsid w:val="00BA2ABB"/>
    <w:rsid w:val="00BA32D2"/>
    <w:rsid w:val="00BA3438"/>
    <w:rsid w:val="00BA4CD3"/>
    <w:rsid w:val="00BA528C"/>
    <w:rsid w:val="00BA64FB"/>
    <w:rsid w:val="00BA7304"/>
    <w:rsid w:val="00BA792B"/>
    <w:rsid w:val="00BB0155"/>
    <w:rsid w:val="00BB0CF7"/>
    <w:rsid w:val="00BB10EB"/>
    <w:rsid w:val="00BB16A8"/>
    <w:rsid w:val="00BB1BC1"/>
    <w:rsid w:val="00BB1FC1"/>
    <w:rsid w:val="00BB2093"/>
    <w:rsid w:val="00BB250B"/>
    <w:rsid w:val="00BB29CD"/>
    <w:rsid w:val="00BB30EB"/>
    <w:rsid w:val="00BB324F"/>
    <w:rsid w:val="00BB3C85"/>
    <w:rsid w:val="00BB42AC"/>
    <w:rsid w:val="00BB62AE"/>
    <w:rsid w:val="00BB6FA0"/>
    <w:rsid w:val="00BB7BA8"/>
    <w:rsid w:val="00BC06D0"/>
    <w:rsid w:val="00BC130F"/>
    <w:rsid w:val="00BC1A39"/>
    <w:rsid w:val="00BC323D"/>
    <w:rsid w:val="00BC40AB"/>
    <w:rsid w:val="00BC4118"/>
    <w:rsid w:val="00BC48CD"/>
    <w:rsid w:val="00BC5500"/>
    <w:rsid w:val="00BC5638"/>
    <w:rsid w:val="00BC63B1"/>
    <w:rsid w:val="00BC64CC"/>
    <w:rsid w:val="00BC7B4C"/>
    <w:rsid w:val="00BD0DD9"/>
    <w:rsid w:val="00BD2A32"/>
    <w:rsid w:val="00BD3868"/>
    <w:rsid w:val="00BD5A6F"/>
    <w:rsid w:val="00BD746D"/>
    <w:rsid w:val="00BD7E02"/>
    <w:rsid w:val="00BE030A"/>
    <w:rsid w:val="00BE078F"/>
    <w:rsid w:val="00BE161E"/>
    <w:rsid w:val="00BE17F3"/>
    <w:rsid w:val="00BE353B"/>
    <w:rsid w:val="00BE388D"/>
    <w:rsid w:val="00BE3AFB"/>
    <w:rsid w:val="00BE4287"/>
    <w:rsid w:val="00BE430D"/>
    <w:rsid w:val="00BE4E4C"/>
    <w:rsid w:val="00BE4E86"/>
    <w:rsid w:val="00BE6054"/>
    <w:rsid w:val="00BE664C"/>
    <w:rsid w:val="00BE7385"/>
    <w:rsid w:val="00BF038E"/>
    <w:rsid w:val="00BF058F"/>
    <w:rsid w:val="00BF23E7"/>
    <w:rsid w:val="00BF25FD"/>
    <w:rsid w:val="00BF2855"/>
    <w:rsid w:val="00BF306B"/>
    <w:rsid w:val="00BF36DA"/>
    <w:rsid w:val="00BF37A2"/>
    <w:rsid w:val="00BF385D"/>
    <w:rsid w:val="00BF3EE5"/>
    <w:rsid w:val="00BF4F77"/>
    <w:rsid w:val="00BF55BD"/>
    <w:rsid w:val="00BF6214"/>
    <w:rsid w:val="00BF63E1"/>
    <w:rsid w:val="00BF6785"/>
    <w:rsid w:val="00BF769E"/>
    <w:rsid w:val="00BF77F1"/>
    <w:rsid w:val="00BF787E"/>
    <w:rsid w:val="00C00C85"/>
    <w:rsid w:val="00C01B35"/>
    <w:rsid w:val="00C02660"/>
    <w:rsid w:val="00C03606"/>
    <w:rsid w:val="00C03B08"/>
    <w:rsid w:val="00C056A1"/>
    <w:rsid w:val="00C06709"/>
    <w:rsid w:val="00C07CDA"/>
    <w:rsid w:val="00C07D62"/>
    <w:rsid w:val="00C1068D"/>
    <w:rsid w:val="00C10690"/>
    <w:rsid w:val="00C10AEF"/>
    <w:rsid w:val="00C16556"/>
    <w:rsid w:val="00C1676B"/>
    <w:rsid w:val="00C20EB8"/>
    <w:rsid w:val="00C21892"/>
    <w:rsid w:val="00C21939"/>
    <w:rsid w:val="00C2215A"/>
    <w:rsid w:val="00C22404"/>
    <w:rsid w:val="00C22432"/>
    <w:rsid w:val="00C225C4"/>
    <w:rsid w:val="00C2262C"/>
    <w:rsid w:val="00C228AB"/>
    <w:rsid w:val="00C24902"/>
    <w:rsid w:val="00C265A0"/>
    <w:rsid w:val="00C26C25"/>
    <w:rsid w:val="00C2774A"/>
    <w:rsid w:val="00C27A33"/>
    <w:rsid w:val="00C30B0F"/>
    <w:rsid w:val="00C30F49"/>
    <w:rsid w:val="00C31AF3"/>
    <w:rsid w:val="00C3317B"/>
    <w:rsid w:val="00C33580"/>
    <w:rsid w:val="00C33F3B"/>
    <w:rsid w:val="00C348C7"/>
    <w:rsid w:val="00C34E01"/>
    <w:rsid w:val="00C357EB"/>
    <w:rsid w:val="00C35BBD"/>
    <w:rsid w:val="00C36A9E"/>
    <w:rsid w:val="00C36C9F"/>
    <w:rsid w:val="00C36DD9"/>
    <w:rsid w:val="00C37B10"/>
    <w:rsid w:val="00C400E9"/>
    <w:rsid w:val="00C40496"/>
    <w:rsid w:val="00C40896"/>
    <w:rsid w:val="00C40E7E"/>
    <w:rsid w:val="00C417F4"/>
    <w:rsid w:val="00C42324"/>
    <w:rsid w:val="00C42916"/>
    <w:rsid w:val="00C43EBF"/>
    <w:rsid w:val="00C44ABB"/>
    <w:rsid w:val="00C45A43"/>
    <w:rsid w:val="00C46052"/>
    <w:rsid w:val="00C4607E"/>
    <w:rsid w:val="00C4685B"/>
    <w:rsid w:val="00C476E3"/>
    <w:rsid w:val="00C506CE"/>
    <w:rsid w:val="00C50BE9"/>
    <w:rsid w:val="00C50D21"/>
    <w:rsid w:val="00C53D07"/>
    <w:rsid w:val="00C53DB8"/>
    <w:rsid w:val="00C5581E"/>
    <w:rsid w:val="00C55929"/>
    <w:rsid w:val="00C56A6D"/>
    <w:rsid w:val="00C5723D"/>
    <w:rsid w:val="00C574EF"/>
    <w:rsid w:val="00C6051F"/>
    <w:rsid w:val="00C6084C"/>
    <w:rsid w:val="00C60984"/>
    <w:rsid w:val="00C61CC6"/>
    <w:rsid w:val="00C6237C"/>
    <w:rsid w:val="00C62D47"/>
    <w:rsid w:val="00C6395C"/>
    <w:rsid w:val="00C65415"/>
    <w:rsid w:val="00C660D7"/>
    <w:rsid w:val="00C669C3"/>
    <w:rsid w:val="00C678E4"/>
    <w:rsid w:val="00C67D37"/>
    <w:rsid w:val="00C70713"/>
    <w:rsid w:val="00C70C1C"/>
    <w:rsid w:val="00C7105D"/>
    <w:rsid w:val="00C7124D"/>
    <w:rsid w:val="00C721FA"/>
    <w:rsid w:val="00C72917"/>
    <w:rsid w:val="00C74112"/>
    <w:rsid w:val="00C752F4"/>
    <w:rsid w:val="00C75A19"/>
    <w:rsid w:val="00C76627"/>
    <w:rsid w:val="00C76831"/>
    <w:rsid w:val="00C776DB"/>
    <w:rsid w:val="00C8127A"/>
    <w:rsid w:val="00C81A13"/>
    <w:rsid w:val="00C81E9B"/>
    <w:rsid w:val="00C82903"/>
    <w:rsid w:val="00C82D42"/>
    <w:rsid w:val="00C830AC"/>
    <w:rsid w:val="00C83A7C"/>
    <w:rsid w:val="00C84D26"/>
    <w:rsid w:val="00C852B1"/>
    <w:rsid w:val="00C8592E"/>
    <w:rsid w:val="00C85FEC"/>
    <w:rsid w:val="00C87B0A"/>
    <w:rsid w:val="00C87FEF"/>
    <w:rsid w:val="00C911B0"/>
    <w:rsid w:val="00C913B0"/>
    <w:rsid w:val="00C9288F"/>
    <w:rsid w:val="00C933A8"/>
    <w:rsid w:val="00C93888"/>
    <w:rsid w:val="00C95E53"/>
    <w:rsid w:val="00C96BB5"/>
    <w:rsid w:val="00C97B04"/>
    <w:rsid w:val="00CA08A7"/>
    <w:rsid w:val="00CA08E4"/>
    <w:rsid w:val="00CA2596"/>
    <w:rsid w:val="00CA2B2C"/>
    <w:rsid w:val="00CA2D06"/>
    <w:rsid w:val="00CA2EF4"/>
    <w:rsid w:val="00CA3D6D"/>
    <w:rsid w:val="00CA412C"/>
    <w:rsid w:val="00CA41F5"/>
    <w:rsid w:val="00CA43ED"/>
    <w:rsid w:val="00CA497D"/>
    <w:rsid w:val="00CA4A63"/>
    <w:rsid w:val="00CA5548"/>
    <w:rsid w:val="00CA5CB3"/>
    <w:rsid w:val="00CA75A0"/>
    <w:rsid w:val="00CA76BA"/>
    <w:rsid w:val="00CA7B35"/>
    <w:rsid w:val="00CB07EA"/>
    <w:rsid w:val="00CB1065"/>
    <w:rsid w:val="00CB120C"/>
    <w:rsid w:val="00CB32B2"/>
    <w:rsid w:val="00CB3629"/>
    <w:rsid w:val="00CB429A"/>
    <w:rsid w:val="00CB532D"/>
    <w:rsid w:val="00CB5B00"/>
    <w:rsid w:val="00CB5B91"/>
    <w:rsid w:val="00CB5E80"/>
    <w:rsid w:val="00CB6658"/>
    <w:rsid w:val="00CB7029"/>
    <w:rsid w:val="00CB7837"/>
    <w:rsid w:val="00CC0A82"/>
    <w:rsid w:val="00CC2295"/>
    <w:rsid w:val="00CC3989"/>
    <w:rsid w:val="00CC4879"/>
    <w:rsid w:val="00CC52A7"/>
    <w:rsid w:val="00CC540A"/>
    <w:rsid w:val="00CC59C8"/>
    <w:rsid w:val="00CC74C7"/>
    <w:rsid w:val="00CC7EEA"/>
    <w:rsid w:val="00CD0896"/>
    <w:rsid w:val="00CD11D9"/>
    <w:rsid w:val="00CD2E4D"/>
    <w:rsid w:val="00CD326A"/>
    <w:rsid w:val="00CD4684"/>
    <w:rsid w:val="00CD46F4"/>
    <w:rsid w:val="00CD578D"/>
    <w:rsid w:val="00CD65CD"/>
    <w:rsid w:val="00CD65F2"/>
    <w:rsid w:val="00CE4260"/>
    <w:rsid w:val="00CE45DC"/>
    <w:rsid w:val="00CE5254"/>
    <w:rsid w:val="00CE5B9B"/>
    <w:rsid w:val="00CE601E"/>
    <w:rsid w:val="00CE64E9"/>
    <w:rsid w:val="00CE6DE5"/>
    <w:rsid w:val="00CE79FD"/>
    <w:rsid w:val="00CE7EE5"/>
    <w:rsid w:val="00CF100A"/>
    <w:rsid w:val="00CF21A2"/>
    <w:rsid w:val="00CF2A98"/>
    <w:rsid w:val="00CF3185"/>
    <w:rsid w:val="00CF332C"/>
    <w:rsid w:val="00CF4A6D"/>
    <w:rsid w:val="00CF4BCC"/>
    <w:rsid w:val="00CF5FED"/>
    <w:rsid w:val="00CF6299"/>
    <w:rsid w:val="00CF6F50"/>
    <w:rsid w:val="00D0094E"/>
    <w:rsid w:val="00D00F9E"/>
    <w:rsid w:val="00D04910"/>
    <w:rsid w:val="00D053DA"/>
    <w:rsid w:val="00D05AEB"/>
    <w:rsid w:val="00D064E6"/>
    <w:rsid w:val="00D06693"/>
    <w:rsid w:val="00D06BC8"/>
    <w:rsid w:val="00D12527"/>
    <w:rsid w:val="00D126D1"/>
    <w:rsid w:val="00D137E6"/>
    <w:rsid w:val="00D13F0A"/>
    <w:rsid w:val="00D142C3"/>
    <w:rsid w:val="00D1431D"/>
    <w:rsid w:val="00D151AC"/>
    <w:rsid w:val="00D20472"/>
    <w:rsid w:val="00D2115E"/>
    <w:rsid w:val="00D23329"/>
    <w:rsid w:val="00D240AB"/>
    <w:rsid w:val="00D2541A"/>
    <w:rsid w:val="00D27581"/>
    <w:rsid w:val="00D27921"/>
    <w:rsid w:val="00D30285"/>
    <w:rsid w:val="00D30CB6"/>
    <w:rsid w:val="00D3284E"/>
    <w:rsid w:val="00D34A7D"/>
    <w:rsid w:val="00D35015"/>
    <w:rsid w:val="00D35489"/>
    <w:rsid w:val="00D355B5"/>
    <w:rsid w:val="00D3568C"/>
    <w:rsid w:val="00D3582A"/>
    <w:rsid w:val="00D4056A"/>
    <w:rsid w:val="00D40A53"/>
    <w:rsid w:val="00D40D29"/>
    <w:rsid w:val="00D40FD8"/>
    <w:rsid w:val="00D41134"/>
    <w:rsid w:val="00D41185"/>
    <w:rsid w:val="00D41712"/>
    <w:rsid w:val="00D419DE"/>
    <w:rsid w:val="00D42333"/>
    <w:rsid w:val="00D42A09"/>
    <w:rsid w:val="00D42EEC"/>
    <w:rsid w:val="00D43F4C"/>
    <w:rsid w:val="00D445DF"/>
    <w:rsid w:val="00D44743"/>
    <w:rsid w:val="00D44782"/>
    <w:rsid w:val="00D44C4F"/>
    <w:rsid w:val="00D450E5"/>
    <w:rsid w:val="00D451BF"/>
    <w:rsid w:val="00D455C8"/>
    <w:rsid w:val="00D46770"/>
    <w:rsid w:val="00D47ABA"/>
    <w:rsid w:val="00D50410"/>
    <w:rsid w:val="00D506AB"/>
    <w:rsid w:val="00D51BB7"/>
    <w:rsid w:val="00D53E6F"/>
    <w:rsid w:val="00D54E2E"/>
    <w:rsid w:val="00D55100"/>
    <w:rsid w:val="00D55C0F"/>
    <w:rsid w:val="00D560B0"/>
    <w:rsid w:val="00D57533"/>
    <w:rsid w:val="00D57C6D"/>
    <w:rsid w:val="00D608C8"/>
    <w:rsid w:val="00D60FD5"/>
    <w:rsid w:val="00D617B4"/>
    <w:rsid w:val="00D6180E"/>
    <w:rsid w:val="00D61CC7"/>
    <w:rsid w:val="00D632B8"/>
    <w:rsid w:val="00D6338F"/>
    <w:rsid w:val="00D640AA"/>
    <w:rsid w:val="00D641DA"/>
    <w:rsid w:val="00D64629"/>
    <w:rsid w:val="00D66352"/>
    <w:rsid w:val="00D66CED"/>
    <w:rsid w:val="00D66DDE"/>
    <w:rsid w:val="00D67768"/>
    <w:rsid w:val="00D67DF3"/>
    <w:rsid w:val="00D70A5D"/>
    <w:rsid w:val="00D70C69"/>
    <w:rsid w:val="00D711E7"/>
    <w:rsid w:val="00D71F85"/>
    <w:rsid w:val="00D72E13"/>
    <w:rsid w:val="00D73C0C"/>
    <w:rsid w:val="00D73F6D"/>
    <w:rsid w:val="00D75482"/>
    <w:rsid w:val="00D763E7"/>
    <w:rsid w:val="00D768A4"/>
    <w:rsid w:val="00D76A9F"/>
    <w:rsid w:val="00D80113"/>
    <w:rsid w:val="00D81209"/>
    <w:rsid w:val="00D81BE1"/>
    <w:rsid w:val="00D8246D"/>
    <w:rsid w:val="00D82548"/>
    <w:rsid w:val="00D8274B"/>
    <w:rsid w:val="00D82EA3"/>
    <w:rsid w:val="00D84616"/>
    <w:rsid w:val="00D85B45"/>
    <w:rsid w:val="00D85D1A"/>
    <w:rsid w:val="00D8657C"/>
    <w:rsid w:val="00D867F5"/>
    <w:rsid w:val="00D86C41"/>
    <w:rsid w:val="00D8703B"/>
    <w:rsid w:val="00D8710A"/>
    <w:rsid w:val="00D872EB"/>
    <w:rsid w:val="00D87B27"/>
    <w:rsid w:val="00D90675"/>
    <w:rsid w:val="00D90C20"/>
    <w:rsid w:val="00D9107D"/>
    <w:rsid w:val="00D918CF"/>
    <w:rsid w:val="00D93B62"/>
    <w:rsid w:val="00D945A6"/>
    <w:rsid w:val="00D96FAD"/>
    <w:rsid w:val="00DA01ED"/>
    <w:rsid w:val="00DA05C9"/>
    <w:rsid w:val="00DA0A8D"/>
    <w:rsid w:val="00DA1618"/>
    <w:rsid w:val="00DA1DD7"/>
    <w:rsid w:val="00DA2086"/>
    <w:rsid w:val="00DA37CE"/>
    <w:rsid w:val="00DA3B50"/>
    <w:rsid w:val="00DA3EA2"/>
    <w:rsid w:val="00DA50DE"/>
    <w:rsid w:val="00DA5292"/>
    <w:rsid w:val="00DA5448"/>
    <w:rsid w:val="00DA5B4A"/>
    <w:rsid w:val="00DA5C65"/>
    <w:rsid w:val="00DA5FD4"/>
    <w:rsid w:val="00DA6476"/>
    <w:rsid w:val="00DB09D9"/>
    <w:rsid w:val="00DB0E4D"/>
    <w:rsid w:val="00DB1745"/>
    <w:rsid w:val="00DB2224"/>
    <w:rsid w:val="00DB2D6D"/>
    <w:rsid w:val="00DB3A65"/>
    <w:rsid w:val="00DB3CB4"/>
    <w:rsid w:val="00DB46F5"/>
    <w:rsid w:val="00DB47EC"/>
    <w:rsid w:val="00DB4825"/>
    <w:rsid w:val="00DB4ADF"/>
    <w:rsid w:val="00DB5520"/>
    <w:rsid w:val="00DB56DE"/>
    <w:rsid w:val="00DB59DC"/>
    <w:rsid w:val="00DB6B1F"/>
    <w:rsid w:val="00DC0014"/>
    <w:rsid w:val="00DC2848"/>
    <w:rsid w:val="00DC3007"/>
    <w:rsid w:val="00DC3E91"/>
    <w:rsid w:val="00DC4243"/>
    <w:rsid w:val="00DC46C0"/>
    <w:rsid w:val="00DC5677"/>
    <w:rsid w:val="00DC67C1"/>
    <w:rsid w:val="00DC78D3"/>
    <w:rsid w:val="00DC7F1E"/>
    <w:rsid w:val="00DD1052"/>
    <w:rsid w:val="00DD12E7"/>
    <w:rsid w:val="00DD2113"/>
    <w:rsid w:val="00DD2746"/>
    <w:rsid w:val="00DD2FB8"/>
    <w:rsid w:val="00DD2FF0"/>
    <w:rsid w:val="00DD330A"/>
    <w:rsid w:val="00DD3F09"/>
    <w:rsid w:val="00DD447B"/>
    <w:rsid w:val="00DD5093"/>
    <w:rsid w:val="00DD530C"/>
    <w:rsid w:val="00DD573E"/>
    <w:rsid w:val="00DD5BAC"/>
    <w:rsid w:val="00DD6102"/>
    <w:rsid w:val="00DD64BF"/>
    <w:rsid w:val="00DD6703"/>
    <w:rsid w:val="00DE290A"/>
    <w:rsid w:val="00DE29E3"/>
    <w:rsid w:val="00DE36F0"/>
    <w:rsid w:val="00DE3C15"/>
    <w:rsid w:val="00DE3CC7"/>
    <w:rsid w:val="00DE415C"/>
    <w:rsid w:val="00DE50E8"/>
    <w:rsid w:val="00DE545A"/>
    <w:rsid w:val="00DE6689"/>
    <w:rsid w:val="00DE677D"/>
    <w:rsid w:val="00DE67BE"/>
    <w:rsid w:val="00DE67F2"/>
    <w:rsid w:val="00DE74CF"/>
    <w:rsid w:val="00DE7585"/>
    <w:rsid w:val="00DE776A"/>
    <w:rsid w:val="00DE781B"/>
    <w:rsid w:val="00DE793A"/>
    <w:rsid w:val="00DE79DE"/>
    <w:rsid w:val="00DE7CB4"/>
    <w:rsid w:val="00DF0092"/>
    <w:rsid w:val="00DF0989"/>
    <w:rsid w:val="00DF1485"/>
    <w:rsid w:val="00DF1E5D"/>
    <w:rsid w:val="00DF1F31"/>
    <w:rsid w:val="00DF28B9"/>
    <w:rsid w:val="00DF3649"/>
    <w:rsid w:val="00DF3952"/>
    <w:rsid w:val="00DF462D"/>
    <w:rsid w:val="00DF56F5"/>
    <w:rsid w:val="00DF59DC"/>
    <w:rsid w:val="00DF7B93"/>
    <w:rsid w:val="00E01DCE"/>
    <w:rsid w:val="00E05698"/>
    <w:rsid w:val="00E05C85"/>
    <w:rsid w:val="00E0615D"/>
    <w:rsid w:val="00E07444"/>
    <w:rsid w:val="00E10287"/>
    <w:rsid w:val="00E10574"/>
    <w:rsid w:val="00E10F9D"/>
    <w:rsid w:val="00E113CA"/>
    <w:rsid w:val="00E1277B"/>
    <w:rsid w:val="00E13E4C"/>
    <w:rsid w:val="00E140DD"/>
    <w:rsid w:val="00E14FBE"/>
    <w:rsid w:val="00E15571"/>
    <w:rsid w:val="00E167B4"/>
    <w:rsid w:val="00E17048"/>
    <w:rsid w:val="00E17156"/>
    <w:rsid w:val="00E179E9"/>
    <w:rsid w:val="00E201CD"/>
    <w:rsid w:val="00E2033E"/>
    <w:rsid w:val="00E20A5D"/>
    <w:rsid w:val="00E20DBD"/>
    <w:rsid w:val="00E210B7"/>
    <w:rsid w:val="00E220ED"/>
    <w:rsid w:val="00E22AAA"/>
    <w:rsid w:val="00E23D1B"/>
    <w:rsid w:val="00E257FD"/>
    <w:rsid w:val="00E25CDF"/>
    <w:rsid w:val="00E25E9C"/>
    <w:rsid w:val="00E27441"/>
    <w:rsid w:val="00E30C7B"/>
    <w:rsid w:val="00E31880"/>
    <w:rsid w:val="00E32610"/>
    <w:rsid w:val="00E32E09"/>
    <w:rsid w:val="00E34C40"/>
    <w:rsid w:val="00E353B0"/>
    <w:rsid w:val="00E360FA"/>
    <w:rsid w:val="00E36387"/>
    <w:rsid w:val="00E406F1"/>
    <w:rsid w:val="00E40B3F"/>
    <w:rsid w:val="00E40C34"/>
    <w:rsid w:val="00E40C8D"/>
    <w:rsid w:val="00E41B5F"/>
    <w:rsid w:val="00E4370E"/>
    <w:rsid w:val="00E43E59"/>
    <w:rsid w:val="00E44AFB"/>
    <w:rsid w:val="00E452E4"/>
    <w:rsid w:val="00E467AE"/>
    <w:rsid w:val="00E470D7"/>
    <w:rsid w:val="00E5074F"/>
    <w:rsid w:val="00E5095E"/>
    <w:rsid w:val="00E50E15"/>
    <w:rsid w:val="00E52A2A"/>
    <w:rsid w:val="00E52F23"/>
    <w:rsid w:val="00E53A6D"/>
    <w:rsid w:val="00E53E0D"/>
    <w:rsid w:val="00E54ADB"/>
    <w:rsid w:val="00E567E9"/>
    <w:rsid w:val="00E569B8"/>
    <w:rsid w:val="00E576EE"/>
    <w:rsid w:val="00E57B28"/>
    <w:rsid w:val="00E62081"/>
    <w:rsid w:val="00E62B9B"/>
    <w:rsid w:val="00E633BC"/>
    <w:rsid w:val="00E63843"/>
    <w:rsid w:val="00E64201"/>
    <w:rsid w:val="00E64428"/>
    <w:rsid w:val="00E647C0"/>
    <w:rsid w:val="00E64D82"/>
    <w:rsid w:val="00E66271"/>
    <w:rsid w:val="00E67712"/>
    <w:rsid w:val="00E67D30"/>
    <w:rsid w:val="00E70571"/>
    <w:rsid w:val="00E7116F"/>
    <w:rsid w:val="00E71D7E"/>
    <w:rsid w:val="00E72338"/>
    <w:rsid w:val="00E728AE"/>
    <w:rsid w:val="00E7423F"/>
    <w:rsid w:val="00E74855"/>
    <w:rsid w:val="00E75B0E"/>
    <w:rsid w:val="00E75C2A"/>
    <w:rsid w:val="00E773BF"/>
    <w:rsid w:val="00E77438"/>
    <w:rsid w:val="00E77F66"/>
    <w:rsid w:val="00E8040C"/>
    <w:rsid w:val="00E80AF9"/>
    <w:rsid w:val="00E81C84"/>
    <w:rsid w:val="00E82EF8"/>
    <w:rsid w:val="00E84537"/>
    <w:rsid w:val="00E848DC"/>
    <w:rsid w:val="00E85F79"/>
    <w:rsid w:val="00E8659C"/>
    <w:rsid w:val="00E866D5"/>
    <w:rsid w:val="00E86CA6"/>
    <w:rsid w:val="00E86FB6"/>
    <w:rsid w:val="00E878B3"/>
    <w:rsid w:val="00E87BCD"/>
    <w:rsid w:val="00E907A5"/>
    <w:rsid w:val="00E90E19"/>
    <w:rsid w:val="00E91794"/>
    <w:rsid w:val="00E91A75"/>
    <w:rsid w:val="00E924E0"/>
    <w:rsid w:val="00E926CA"/>
    <w:rsid w:val="00E92BDF"/>
    <w:rsid w:val="00E93384"/>
    <w:rsid w:val="00E9413C"/>
    <w:rsid w:val="00E94374"/>
    <w:rsid w:val="00E950AE"/>
    <w:rsid w:val="00E95536"/>
    <w:rsid w:val="00E95917"/>
    <w:rsid w:val="00E961A1"/>
    <w:rsid w:val="00E96AD5"/>
    <w:rsid w:val="00E97D4C"/>
    <w:rsid w:val="00EA087A"/>
    <w:rsid w:val="00EA13A6"/>
    <w:rsid w:val="00EA1E60"/>
    <w:rsid w:val="00EA229E"/>
    <w:rsid w:val="00EA27B6"/>
    <w:rsid w:val="00EA31C3"/>
    <w:rsid w:val="00EA3515"/>
    <w:rsid w:val="00EA371E"/>
    <w:rsid w:val="00EA3BC8"/>
    <w:rsid w:val="00EA5420"/>
    <w:rsid w:val="00EA6310"/>
    <w:rsid w:val="00EB03D6"/>
    <w:rsid w:val="00EB0821"/>
    <w:rsid w:val="00EB471A"/>
    <w:rsid w:val="00EB5849"/>
    <w:rsid w:val="00EB5CAE"/>
    <w:rsid w:val="00EB64DD"/>
    <w:rsid w:val="00EB7CF1"/>
    <w:rsid w:val="00EC11EE"/>
    <w:rsid w:val="00EC1E2E"/>
    <w:rsid w:val="00EC3365"/>
    <w:rsid w:val="00EC36EB"/>
    <w:rsid w:val="00EC3E59"/>
    <w:rsid w:val="00EC52DC"/>
    <w:rsid w:val="00EC5FC7"/>
    <w:rsid w:val="00EC62DF"/>
    <w:rsid w:val="00EC7B1F"/>
    <w:rsid w:val="00ED0077"/>
    <w:rsid w:val="00ED007A"/>
    <w:rsid w:val="00ED0936"/>
    <w:rsid w:val="00ED1567"/>
    <w:rsid w:val="00ED18A9"/>
    <w:rsid w:val="00ED1B6C"/>
    <w:rsid w:val="00ED1F9A"/>
    <w:rsid w:val="00ED25ED"/>
    <w:rsid w:val="00ED270B"/>
    <w:rsid w:val="00ED2BFB"/>
    <w:rsid w:val="00ED3A29"/>
    <w:rsid w:val="00ED4EBD"/>
    <w:rsid w:val="00ED5465"/>
    <w:rsid w:val="00ED56A4"/>
    <w:rsid w:val="00ED5BA1"/>
    <w:rsid w:val="00ED5E72"/>
    <w:rsid w:val="00ED7053"/>
    <w:rsid w:val="00ED7596"/>
    <w:rsid w:val="00ED7ED0"/>
    <w:rsid w:val="00EE08A3"/>
    <w:rsid w:val="00EE0A19"/>
    <w:rsid w:val="00EE122D"/>
    <w:rsid w:val="00EE16E4"/>
    <w:rsid w:val="00EE1944"/>
    <w:rsid w:val="00EE1DC5"/>
    <w:rsid w:val="00EE30EF"/>
    <w:rsid w:val="00EE3EBA"/>
    <w:rsid w:val="00EE47A8"/>
    <w:rsid w:val="00EE6066"/>
    <w:rsid w:val="00EE6F21"/>
    <w:rsid w:val="00EE7134"/>
    <w:rsid w:val="00EE7E00"/>
    <w:rsid w:val="00EF09B6"/>
    <w:rsid w:val="00EF0A30"/>
    <w:rsid w:val="00EF0EF4"/>
    <w:rsid w:val="00EF192B"/>
    <w:rsid w:val="00EF1B14"/>
    <w:rsid w:val="00EF289B"/>
    <w:rsid w:val="00EF29A7"/>
    <w:rsid w:val="00EF3D5A"/>
    <w:rsid w:val="00EF4192"/>
    <w:rsid w:val="00EF4193"/>
    <w:rsid w:val="00EF5475"/>
    <w:rsid w:val="00EF5707"/>
    <w:rsid w:val="00EF59E9"/>
    <w:rsid w:val="00EF5CCE"/>
    <w:rsid w:val="00EF6C27"/>
    <w:rsid w:val="00EF6ED5"/>
    <w:rsid w:val="00EF6F97"/>
    <w:rsid w:val="00EF7338"/>
    <w:rsid w:val="00F0084E"/>
    <w:rsid w:val="00F00E8F"/>
    <w:rsid w:val="00F01B25"/>
    <w:rsid w:val="00F02F9E"/>
    <w:rsid w:val="00F03ED3"/>
    <w:rsid w:val="00F04BC0"/>
    <w:rsid w:val="00F0567E"/>
    <w:rsid w:val="00F056AF"/>
    <w:rsid w:val="00F05926"/>
    <w:rsid w:val="00F05F24"/>
    <w:rsid w:val="00F0645F"/>
    <w:rsid w:val="00F06A6D"/>
    <w:rsid w:val="00F0735E"/>
    <w:rsid w:val="00F07B95"/>
    <w:rsid w:val="00F1088A"/>
    <w:rsid w:val="00F11255"/>
    <w:rsid w:val="00F12468"/>
    <w:rsid w:val="00F12CDD"/>
    <w:rsid w:val="00F13C6F"/>
    <w:rsid w:val="00F14475"/>
    <w:rsid w:val="00F15184"/>
    <w:rsid w:val="00F154AC"/>
    <w:rsid w:val="00F15519"/>
    <w:rsid w:val="00F15B64"/>
    <w:rsid w:val="00F16D46"/>
    <w:rsid w:val="00F20EC5"/>
    <w:rsid w:val="00F21AF9"/>
    <w:rsid w:val="00F23F51"/>
    <w:rsid w:val="00F25022"/>
    <w:rsid w:val="00F26331"/>
    <w:rsid w:val="00F27C46"/>
    <w:rsid w:val="00F3081A"/>
    <w:rsid w:val="00F31770"/>
    <w:rsid w:val="00F32373"/>
    <w:rsid w:val="00F32C8A"/>
    <w:rsid w:val="00F3416B"/>
    <w:rsid w:val="00F34A45"/>
    <w:rsid w:val="00F34CA4"/>
    <w:rsid w:val="00F359F4"/>
    <w:rsid w:val="00F36126"/>
    <w:rsid w:val="00F3617F"/>
    <w:rsid w:val="00F36C63"/>
    <w:rsid w:val="00F36CF1"/>
    <w:rsid w:val="00F40BDA"/>
    <w:rsid w:val="00F40C11"/>
    <w:rsid w:val="00F41C7E"/>
    <w:rsid w:val="00F41CA6"/>
    <w:rsid w:val="00F44532"/>
    <w:rsid w:val="00F44A14"/>
    <w:rsid w:val="00F45859"/>
    <w:rsid w:val="00F4608C"/>
    <w:rsid w:val="00F46A26"/>
    <w:rsid w:val="00F46E28"/>
    <w:rsid w:val="00F50068"/>
    <w:rsid w:val="00F50C78"/>
    <w:rsid w:val="00F511B8"/>
    <w:rsid w:val="00F519E1"/>
    <w:rsid w:val="00F521F9"/>
    <w:rsid w:val="00F52492"/>
    <w:rsid w:val="00F525C9"/>
    <w:rsid w:val="00F5279C"/>
    <w:rsid w:val="00F54BEF"/>
    <w:rsid w:val="00F552B3"/>
    <w:rsid w:val="00F6068D"/>
    <w:rsid w:val="00F607DB"/>
    <w:rsid w:val="00F634D9"/>
    <w:rsid w:val="00F641E1"/>
    <w:rsid w:val="00F6509C"/>
    <w:rsid w:val="00F6718F"/>
    <w:rsid w:val="00F67311"/>
    <w:rsid w:val="00F67B1B"/>
    <w:rsid w:val="00F70A77"/>
    <w:rsid w:val="00F718AC"/>
    <w:rsid w:val="00F7207D"/>
    <w:rsid w:val="00F72B1F"/>
    <w:rsid w:val="00F73791"/>
    <w:rsid w:val="00F742A6"/>
    <w:rsid w:val="00F74392"/>
    <w:rsid w:val="00F764C4"/>
    <w:rsid w:val="00F76648"/>
    <w:rsid w:val="00F76E62"/>
    <w:rsid w:val="00F80CA8"/>
    <w:rsid w:val="00F811A3"/>
    <w:rsid w:val="00F811D8"/>
    <w:rsid w:val="00F81797"/>
    <w:rsid w:val="00F8195C"/>
    <w:rsid w:val="00F8294C"/>
    <w:rsid w:val="00F833EE"/>
    <w:rsid w:val="00F84B6E"/>
    <w:rsid w:val="00F853EE"/>
    <w:rsid w:val="00F8557D"/>
    <w:rsid w:val="00F86AD4"/>
    <w:rsid w:val="00F8708C"/>
    <w:rsid w:val="00F87D9B"/>
    <w:rsid w:val="00F87DFB"/>
    <w:rsid w:val="00F908F3"/>
    <w:rsid w:val="00F91420"/>
    <w:rsid w:val="00F916EF"/>
    <w:rsid w:val="00F92701"/>
    <w:rsid w:val="00F93FE5"/>
    <w:rsid w:val="00F943F6"/>
    <w:rsid w:val="00F94EFE"/>
    <w:rsid w:val="00F9516F"/>
    <w:rsid w:val="00F9530C"/>
    <w:rsid w:val="00F953BD"/>
    <w:rsid w:val="00F961FD"/>
    <w:rsid w:val="00F96E8B"/>
    <w:rsid w:val="00F9711F"/>
    <w:rsid w:val="00F97139"/>
    <w:rsid w:val="00F97394"/>
    <w:rsid w:val="00F9781F"/>
    <w:rsid w:val="00FA1623"/>
    <w:rsid w:val="00FA22AD"/>
    <w:rsid w:val="00FA262E"/>
    <w:rsid w:val="00FA602F"/>
    <w:rsid w:val="00FA6296"/>
    <w:rsid w:val="00FA6CFE"/>
    <w:rsid w:val="00FA6F42"/>
    <w:rsid w:val="00FA7BEC"/>
    <w:rsid w:val="00FB0EDA"/>
    <w:rsid w:val="00FB1DB4"/>
    <w:rsid w:val="00FB20EE"/>
    <w:rsid w:val="00FB2168"/>
    <w:rsid w:val="00FB2C51"/>
    <w:rsid w:val="00FB47D2"/>
    <w:rsid w:val="00FB5F6A"/>
    <w:rsid w:val="00FB6016"/>
    <w:rsid w:val="00FB60CB"/>
    <w:rsid w:val="00FC01A5"/>
    <w:rsid w:val="00FC188E"/>
    <w:rsid w:val="00FC24C8"/>
    <w:rsid w:val="00FC24DE"/>
    <w:rsid w:val="00FC29DC"/>
    <w:rsid w:val="00FC4A22"/>
    <w:rsid w:val="00FC5470"/>
    <w:rsid w:val="00FC66ED"/>
    <w:rsid w:val="00FC7BB4"/>
    <w:rsid w:val="00FC7F9C"/>
    <w:rsid w:val="00FD009A"/>
    <w:rsid w:val="00FD0777"/>
    <w:rsid w:val="00FD11D9"/>
    <w:rsid w:val="00FD1665"/>
    <w:rsid w:val="00FD1785"/>
    <w:rsid w:val="00FD194C"/>
    <w:rsid w:val="00FD2BEC"/>
    <w:rsid w:val="00FD317A"/>
    <w:rsid w:val="00FD387A"/>
    <w:rsid w:val="00FD4EEB"/>
    <w:rsid w:val="00FD6ADF"/>
    <w:rsid w:val="00FD733B"/>
    <w:rsid w:val="00FD797F"/>
    <w:rsid w:val="00FD7C82"/>
    <w:rsid w:val="00FE09A4"/>
    <w:rsid w:val="00FE1404"/>
    <w:rsid w:val="00FE1CA5"/>
    <w:rsid w:val="00FE1CE5"/>
    <w:rsid w:val="00FE226F"/>
    <w:rsid w:val="00FE2312"/>
    <w:rsid w:val="00FE2689"/>
    <w:rsid w:val="00FE2D4F"/>
    <w:rsid w:val="00FE46CB"/>
    <w:rsid w:val="00FE614E"/>
    <w:rsid w:val="00FE6B10"/>
    <w:rsid w:val="00FE76F1"/>
    <w:rsid w:val="00FF0FD7"/>
    <w:rsid w:val="00FF177A"/>
    <w:rsid w:val="00FF188A"/>
    <w:rsid w:val="00FF20AB"/>
    <w:rsid w:val="00FF3418"/>
    <w:rsid w:val="00FF3B57"/>
    <w:rsid w:val="00FF3E6C"/>
    <w:rsid w:val="00FF4C7F"/>
    <w:rsid w:val="00FF61F8"/>
    <w:rsid w:val="00FF737E"/>
    <w:rsid w:val="00FF741B"/>
    <w:rsid w:val="00FF7503"/>
    <w:rsid w:val="00FF7B93"/>
    <w:rsid w:val="016C2D4F"/>
    <w:rsid w:val="017B2F92"/>
    <w:rsid w:val="01DD59FB"/>
    <w:rsid w:val="021B6BBC"/>
    <w:rsid w:val="028F5CEF"/>
    <w:rsid w:val="02A46519"/>
    <w:rsid w:val="02EC0838"/>
    <w:rsid w:val="03987657"/>
    <w:rsid w:val="03A9636D"/>
    <w:rsid w:val="03C52BEB"/>
    <w:rsid w:val="04620439"/>
    <w:rsid w:val="04A7062B"/>
    <w:rsid w:val="04D9520B"/>
    <w:rsid w:val="052A7682"/>
    <w:rsid w:val="055E38E4"/>
    <w:rsid w:val="05831D58"/>
    <w:rsid w:val="058704ED"/>
    <w:rsid w:val="060078E9"/>
    <w:rsid w:val="06391B26"/>
    <w:rsid w:val="069114AA"/>
    <w:rsid w:val="06CA66F9"/>
    <w:rsid w:val="06D95807"/>
    <w:rsid w:val="06DF3FC3"/>
    <w:rsid w:val="079B438E"/>
    <w:rsid w:val="079C0106"/>
    <w:rsid w:val="07B226FE"/>
    <w:rsid w:val="081E6D6D"/>
    <w:rsid w:val="08860919"/>
    <w:rsid w:val="089A5059"/>
    <w:rsid w:val="08F91DAF"/>
    <w:rsid w:val="0918093A"/>
    <w:rsid w:val="09496E88"/>
    <w:rsid w:val="096E2FF7"/>
    <w:rsid w:val="0A28754A"/>
    <w:rsid w:val="0A854E23"/>
    <w:rsid w:val="0ACB2C3D"/>
    <w:rsid w:val="0AD76C3A"/>
    <w:rsid w:val="0B633B21"/>
    <w:rsid w:val="0B905E1D"/>
    <w:rsid w:val="0BB93035"/>
    <w:rsid w:val="0C193AD3"/>
    <w:rsid w:val="0C5965C6"/>
    <w:rsid w:val="0C673C16"/>
    <w:rsid w:val="0C90491D"/>
    <w:rsid w:val="0CCA2A99"/>
    <w:rsid w:val="0D0B7D26"/>
    <w:rsid w:val="0D2543F3"/>
    <w:rsid w:val="0D441024"/>
    <w:rsid w:val="0D462888"/>
    <w:rsid w:val="0D4E3C51"/>
    <w:rsid w:val="0D725199"/>
    <w:rsid w:val="0D9D21D2"/>
    <w:rsid w:val="0DB717F6"/>
    <w:rsid w:val="0E5C7B2D"/>
    <w:rsid w:val="0E75363E"/>
    <w:rsid w:val="0E8F472D"/>
    <w:rsid w:val="0EEC2FD4"/>
    <w:rsid w:val="0F8C0A60"/>
    <w:rsid w:val="0FFA1E6E"/>
    <w:rsid w:val="10055E40"/>
    <w:rsid w:val="10213339"/>
    <w:rsid w:val="10510BA5"/>
    <w:rsid w:val="109D72B8"/>
    <w:rsid w:val="10A5002C"/>
    <w:rsid w:val="10AF1C20"/>
    <w:rsid w:val="11094D2D"/>
    <w:rsid w:val="112677D5"/>
    <w:rsid w:val="123262B2"/>
    <w:rsid w:val="12411FD6"/>
    <w:rsid w:val="124742AD"/>
    <w:rsid w:val="12581A0B"/>
    <w:rsid w:val="12603C3F"/>
    <w:rsid w:val="12C33D55"/>
    <w:rsid w:val="13056777"/>
    <w:rsid w:val="13527F6D"/>
    <w:rsid w:val="13BD568C"/>
    <w:rsid w:val="13DA250F"/>
    <w:rsid w:val="13FA5BFB"/>
    <w:rsid w:val="143F42F3"/>
    <w:rsid w:val="14A95C11"/>
    <w:rsid w:val="14BE3A15"/>
    <w:rsid w:val="14BE65C7"/>
    <w:rsid w:val="14F93FE1"/>
    <w:rsid w:val="150A16B2"/>
    <w:rsid w:val="15472591"/>
    <w:rsid w:val="15474D46"/>
    <w:rsid w:val="1562158A"/>
    <w:rsid w:val="15731BFA"/>
    <w:rsid w:val="15757D19"/>
    <w:rsid w:val="16A9014A"/>
    <w:rsid w:val="16C3120C"/>
    <w:rsid w:val="16F2389F"/>
    <w:rsid w:val="1704311A"/>
    <w:rsid w:val="170610F8"/>
    <w:rsid w:val="175E4C6A"/>
    <w:rsid w:val="17620A24"/>
    <w:rsid w:val="17817547"/>
    <w:rsid w:val="178A3AD7"/>
    <w:rsid w:val="17B40B54"/>
    <w:rsid w:val="17DF26BE"/>
    <w:rsid w:val="183E3F40"/>
    <w:rsid w:val="184C77BD"/>
    <w:rsid w:val="185D5215"/>
    <w:rsid w:val="188032F2"/>
    <w:rsid w:val="189E1E10"/>
    <w:rsid w:val="191F708A"/>
    <w:rsid w:val="192B4048"/>
    <w:rsid w:val="19555B6B"/>
    <w:rsid w:val="196B7938"/>
    <w:rsid w:val="1972506F"/>
    <w:rsid w:val="19831126"/>
    <w:rsid w:val="1998697F"/>
    <w:rsid w:val="19BC78C6"/>
    <w:rsid w:val="1A0B509D"/>
    <w:rsid w:val="1A3A17E5"/>
    <w:rsid w:val="1A7902EC"/>
    <w:rsid w:val="1A98650B"/>
    <w:rsid w:val="1A9F36BF"/>
    <w:rsid w:val="1B1443AF"/>
    <w:rsid w:val="1B7C185C"/>
    <w:rsid w:val="1B7F3046"/>
    <w:rsid w:val="1B8F4496"/>
    <w:rsid w:val="1B935EA2"/>
    <w:rsid w:val="1BBE18F6"/>
    <w:rsid w:val="1C301279"/>
    <w:rsid w:val="1C511B76"/>
    <w:rsid w:val="1CCB593A"/>
    <w:rsid w:val="1CFF0AC4"/>
    <w:rsid w:val="1D6B6159"/>
    <w:rsid w:val="1DA06B03"/>
    <w:rsid w:val="1DE46CD8"/>
    <w:rsid w:val="1E60096B"/>
    <w:rsid w:val="1ED93F88"/>
    <w:rsid w:val="1EE0502A"/>
    <w:rsid w:val="1F113D30"/>
    <w:rsid w:val="1F1C4344"/>
    <w:rsid w:val="1F6070FC"/>
    <w:rsid w:val="1F6804B9"/>
    <w:rsid w:val="1FBF5490"/>
    <w:rsid w:val="202C660E"/>
    <w:rsid w:val="207835FB"/>
    <w:rsid w:val="211108EC"/>
    <w:rsid w:val="21310D11"/>
    <w:rsid w:val="214B2529"/>
    <w:rsid w:val="214E201A"/>
    <w:rsid w:val="21670C77"/>
    <w:rsid w:val="2172663E"/>
    <w:rsid w:val="21E464DA"/>
    <w:rsid w:val="21E97519"/>
    <w:rsid w:val="225918FF"/>
    <w:rsid w:val="228302D1"/>
    <w:rsid w:val="22A53EBB"/>
    <w:rsid w:val="23553077"/>
    <w:rsid w:val="239D01DC"/>
    <w:rsid w:val="240B37F5"/>
    <w:rsid w:val="242B4894"/>
    <w:rsid w:val="245427EC"/>
    <w:rsid w:val="2455763F"/>
    <w:rsid w:val="24CC2282"/>
    <w:rsid w:val="24E82F9D"/>
    <w:rsid w:val="25563966"/>
    <w:rsid w:val="25D074A1"/>
    <w:rsid w:val="25D26CDC"/>
    <w:rsid w:val="261344AE"/>
    <w:rsid w:val="26143832"/>
    <w:rsid w:val="26437C73"/>
    <w:rsid w:val="268B33C8"/>
    <w:rsid w:val="274F4410"/>
    <w:rsid w:val="27AC5CEC"/>
    <w:rsid w:val="27AE3812"/>
    <w:rsid w:val="27F47E39"/>
    <w:rsid w:val="282C76C7"/>
    <w:rsid w:val="29340F2B"/>
    <w:rsid w:val="293D68F7"/>
    <w:rsid w:val="295E2967"/>
    <w:rsid w:val="29721DDA"/>
    <w:rsid w:val="29C410CB"/>
    <w:rsid w:val="29CA2A31"/>
    <w:rsid w:val="29DB1965"/>
    <w:rsid w:val="2A363FF5"/>
    <w:rsid w:val="2A5F0DF4"/>
    <w:rsid w:val="2AC56AA7"/>
    <w:rsid w:val="2AC74991"/>
    <w:rsid w:val="2AE51B33"/>
    <w:rsid w:val="2B2D78A1"/>
    <w:rsid w:val="2B732123"/>
    <w:rsid w:val="2BA85A6C"/>
    <w:rsid w:val="2BD55811"/>
    <w:rsid w:val="2C5548F9"/>
    <w:rsid w:val="2CD739E1"/>
    <w:rsid w:val="2CDF614E"/>
    <w:rsid w:val="2CFA169D"/>
    <w:rsid w:val="2CFA64EC"/>
    <w:rsid w:val="2D4439CC"/>
    <w:rsid w:val="2D887FDA"/>
    <w:rsid w:val="2DB5458F"/>
    <w:rsid w:val="2EBF6305"/>
    <w:rsid w:val="2EF1694E"/>
    <w:rsid w:val="2F7B222C"/>
    <w:rsid w:val="2F961566"/>
    <w:rsid w:val="2FAF45CB"/>
    <w:rsid w:val="300F08DD"/>
    <w:rsid w:val="30394F0C"/>
    <w:rsid w:val="31C14142"/>
    <w:rsid w:val="31DE4CF4"/>
    <w:rsid w:val="32221084"/>
    <w:rsid w:val="3249602F"/>
    <w:rsid w:val="325112B7"/>
    <w:rsid w:val="32546D64"/>
    <w:rsid w:val="3255679D"/>
    <w:rsid w:val="32C901CA"/>
    <w:rsid w:val="32EE71B8"/>
    <w:rsid w:val="330F664A"/>
    <w:rsid w:val="3320246A"/>
    <w:rsid w:val="33386686"/>
    <w:rsid w:val="33776A98"/>
    <w:rsid w:val="338344B6"/>
    <w:rsid w:val="33AD7722"/>
    <w:rsid w:val="343457B0"/>
    <w:rsid w:val="34E305BB"/>
    <w:rsid w:val="34F32864"/>
    <w:rsid w:val="35132F06"/>
    <w:rsid w:val="352E1AEE"/>
    <w:rsid w:val="35492DCC"/>
    <w:rsid w:val="358018CB"/>
    <w:rsid w:val="358A16AC"/>
    <w:rsid w:val="3596650B"/>
    <w:rsid w:val="35A149B6"/>
    <w:rsid w:val="35AE7065"/>
    <w:rsid w:val="35E20170"/>
    <w:rsid w:val="35F4404F"/>
    <w:rsid w:val="369F6F7B"/>
    <w:rsid w:val="37BA6EB8"/>
    <w:rsid w:val="37E15936"/>
    <w:rsid w:val="37E956E0"/>
    <w:rsid w:val="37F52D97"/>
    <w:rsid w:val="382E23D7"/>
    <w:rsid w:val="383733B0"/>
    <w:rsid w:val="385C32F9"/>
    <w:rsid w:val="38A26A7B"/>
    <w:rsid w:val="38C912B6"/>
    <w:rsid w:val="38DB1F8D"/>
    <w:rsid w:val="39237490"/>
    <w:rsid w:val="39267D62"/>
    <w:rsid w:val="393526C6"/>
    <w:rsid w:val="39784750"/>
    <w:rsid w:val="397D5E61"/>
    <w:rsid w:val="3A010F18"/>
    <w:rsid w:val="3A2A7697"/>
    <w:rsid w:val="3A4045A0"/>
    <w:rsid w:val="3A704957"/>
    <w:rsid w:val="3A816B64"/>
    <w:rsid w:val="3A8C1949"/>
    <w:rsid w:val="3A995573"/>
    <w:rsid w:val="3AB36BA1"/>
    <w:rsid w:val="3ACA03D9"/>
    <w:rsid w:val="3AE53941"/>
    <w:rsid w:val="3B394FFC"/>
    <w:rsid w:val="3B901331"/>
    <w:rsid w:val="3BC25BE1"/>
    <w:rsid w:val="3BF56A76"/>
    <w:rsid w:val="3BFD6260"/>
    <w:rsid w:val="3C074E47"/>
    <w:rsid w:val="3CA75F09"/>
    <w:rsid w:val="3D803F47"/>
    <w:rsid w:val="3D893D2F"/>
    <w:rsid w:val="3DE41F0D"/>
    <w:rsid w:val="3DF36DEA"/>
    <w:rsid w:val="3E5C591E"/>
    <w:rsid w:val="3EAD43CC"/>
    <w:rsid w:val="3EB4736A"/>
    <w:rsid w:val="3ECF6255"/>
    <w:rsid w:val="3ED83F73"/>
    <w:rsid w:val="3F0007B8"/>
    <w:rsid w:val="3F092ECE"/>
    <w:rsid w:val="3F1E0E25"/>
    <w:rsid w:val="407D660D"/>
    <w:rsid w:val="40A315E2"/>
    <w:rsid w:val="40B03D74"/>
    <w:rsid w:val="40BB4ECE"/>
    <w:rsid w:val="411B496A"/>
    <w:rsid w:val="413D2FE4"/>
    <w:rsid w:val="41C173C1"/>
    <w:rsid w:val="41F53C1B"/>
    <w:rsid w:val="41FC164D"/>
    <w:rsid w:val="42164036"/>
    <w:rsid w:val="42291FBB"/>
    <w:rsid w:val="42294DF3"/>
    <w:rsid w:val="424566C9"/>
    <w:rsid w:val="42674891"/>
    <w:rsid w:val="426C3C56"/>
    <w:rsid w:val="429F2050"/>
    <w:rsid w:val="436911F3"/>
    <w:rsid w:val="442B46DF"/>
    <w:rsid w:val="4477227B"/>
    <w:rsid w:val="4500679C"/>
    <w:rsid w:val="4510256F"/>
    <w:rsid w:val="452B7DF8"/>
    <w:rsid w:val="45EF52CA"/>
    <w:rsid w:val="46121983"/>
    <w:rsid w:val="462D76F7"/>
    <w:rsid w:val="4637280F"/>
    <w:rsid w:val="46476EB4"/>
    <w:rsid w:val="46591A5A"/>
    <w:rsid w:val="46C76FBA"/>
    <w:rsid w:val="47190850"/>
    <w:rsid w:val="474F4549"/>
    <w:rsid w:val="479354BC"/>
    <w:rsid w:val="47E95A52"/>
    <w:rsid w:val="48147269"/>
    <w:rsid w:val="48897310"/>
    <w:rsid w:val="48B210C6"/>
    <w:rsid w:val="48C3196B"/>
    <w:rsid w:val="4902393B"/>
    <w:rsid w:val="493D56EB"/>
    <w:rsid w:val="499E599F"/>
    <w:rsid w:val="49AA3C03"/>
    <w:rsid w:val="4A1D77EA"/>
    <w:rsid w:val="4A325071"/>
    <w:rsid w:val="4A3B0ADD"/>
    <w:rsid w:val="4A407ECC"/>
    <w:rsid w:val="4A4B5F65"/>
    <w:rsid w:val="4B1F03FF"/>
    <w:rsid w:val="4B733B58"/>
    <w:rsid w:val="4B7E5126"/>
    <w:rsid w:val="4BA6467C"/>
    <w:rsid w:val="4BAD77B9"/>
    <w:rsid w:val="4BAF683C"/>
    <w:rsid w:val="4C463A51"/>
    <w:rsid w:val="4C52210E"/>
    <w:rsid w:val="4C613484"/>
    <w:rsid w:val="4CC87159"/>
    <w:rsid w:val="4CD90D07"/>
    <w:rsid w:val="4CFB2EFA"/>
    <w:rsid w:val="4D1B1AD8"/>
    <w:rsid w:val="4D6A330B"/>
    <w:rsid w:val="4DA64687"/>
    <w:rsid w:val="4DB210B7"/>
    <w:rsid w:val="4DC62DB4"/>
    <w:rsid w:val="4DDF2DFD"/>
    <w:rsid w:val="4DF07E31"/>
    <w:rsid w:val="4E2A23F0"/>
    <w:rsid w:val="4F11658F"/>
    <w:rsid w:val="4F2A2C08"/>
    <w:rsid w:val="4F494A26"/>
    <w:rsid w:val="4F7F566C"/>
    <w:rsid w:val="4F9D5652"/>
    <w:rsid w:val="4FD756FD"/>
    <w:rsid w:val="506B2AEC"/>
    <w:rsid w:val="510A1139"/>
    <w:rsid w:val="512E4EF8"/>
    <w:rsid w:val="51385D77"/>
    <w:rsid w:val="51487C22"/>
    <w:rsid w:val="51946F74"/>
    <w:rsid w:val="519D598D"/>
    <w:rsid w:val="51C67202"/>
    <w:rsid w:val="52071938"/>
    <w:rsid w:val="528462EE"/>
    <w:rsid w:val="52BB5DEC"/>
    <w:rsid w:val="530909D3"/>
    <w:rsid w:val="533913CC"/>
    <w:rsid w:val="53507EFF"/>
    <w:rsid w:val="539A4AC7"/>
    <w:rsid w:val="539F5BCC"/>
    <w:rsid w:val="53C2653A"/>
    <w:rsid w:val="53FC1A4E"/>
    <w:rsid w:val="541E7226"/>
    <w:rsid w:val="54722583"/>
    <w:rsid w:val="54732FA3"/>
    <w:rsid w:val="54754651"/>
    <w:rsid w:val="548D314A"/>
    <w:rsid w:val="54946536"/>
    <w:rsid w:val="54DB5397"/>
    <w:rsid w:val="551B0112"/>
    <w:rsid w:val="55563FC3"/>
    <w:rsid w:val="55A01FB9"/>
    <w:rsid w:val="55A76017"/>
    <w:rsid w:val="55F05B7B"/>
    <w:rsid w:val="55FE12D9"/>
    <w:rsid w:val="56075F36"/>
    <w:rsid w:val="57671164"/>
    <w:rsid w:val="57DE6F4C"/>
    <w:rsid w:val="57E52E02"/>
    <w:rsid w:val="581651B7"/>
    <w:rsid w:val="58490869"/>
    <w:rsid w:val="5850626F"/>
    <w:rsid w:val="586C4558"/>
    <w:rsid w:val="587F1CDC"/>
    <w:rsid w:val="58A15002"/>
    <w:rsid w:val="58D77D7A"/>
    <w:rsid w:val="592F3F03"/>
    <w:rsid w:val="59593923"/>
    <w:rsid w:val="59A44714"/>
    <w:rsid w:val="59AB0FD4"/>
    <w:rsid w:val="59CC0429"/>
    <w:rsid w:val="59F63514"/>
    <w:rsid w:val="5A08072E"/>
    <w:rsid w:val="5A094289"/>
    <w:rsid w:val="5A5C701B"/>
    <w:rsid w:val="5A7A0021"/>
    <w:rsid w:val="5B2D6220"/>
    <w:rsid w:val="5B847494"/>
    <w:rsid w:val="5BA268F2"/>
    <w:rsid w:val="5BC204D4"/>
    <w:rsid w:val="5BDF3607"/>
    <w:rsid w:val="5C4E46A0"/>
    <w:rsid w:val="5C565037"/>
    <w:rsid w:val="5C86411D"/>
    <w:rsid w:val="5CB04BD8"/>
    <w:rsid w:val="5CED5D14"/>
    <w:rsid w:val="5D0A14D7"/>
    <w:rsid w:val="5D325D70"/>
    <w:rsid w:val="5D704AEA"/>
    <w:rsid w:val="5D9A3915"/>
    <w:rsid w:val="5DB14403"/>
    <w:rsid w:val="5DC21086"/>
    <w:rsid w:val="5DD64497"/>
    <w:rsid w:val="5DE20F31"/>
    <w:rsid w:val="5E755783"/>
    <w:rsid w:val="5E9C3A6E"/>
    <w:rsid w:val="5F2F716C"/>
    <w:rsid w:val="5F8C78AA"/>
    <w:rsid w:val="5F93686E"/>
    <w:rsid w:val="60310E97"/>
    <w:rsid w:val="603D2CFD"/>
    <w:rsid w:val="605D66B1"/>
    <w:rsid w:val="60B25ACD"/>
    <w:rsid w:val="60D11860"/>
    <w:rsid w:val="611D5F98"/>
    <w:rsid w:val="61826A36"/>
    <w:rsid w:val="61D92C5E"/>
    <w:rsid w:val="62824B0D"/>
    <w:rsid w:val="62A97A41"/>
    <w:rsid w:val="632B0CD5"/>
    <w:rsid w:val="63302D52"/>
    <w:rsid w:val="6361086B"/>
    <w:rsid w:val="6372336A"/>
    <w:rsid w:val="63AF1F74"/>
    <w:rsid w:val="644776FA"/>
    <w:rsid w:val="64764716"/>
    <w:rsid w:val="648C22CF"/>
    <w:rsid w:val="648D5F82"/>
    <w:rsid w:val="64E275B7"/>
    <w:rsid w:val="65122A13"/>
    <w:rsid w:val="65682557"/>
    <w:rsid w:val="65DD759E"/>
    <w:rsid w:val="65E66BEA"/>
    <w:rsid w:val="66151058"/>
    <w:rsid w:val="66925AD1"/>
    <w:rsid w:val="66970D17"/>
    <w:rsid w:val="66A313C3"/>
    <w:rsid w:val="67386679"/>
    <w:rsid w:val="673A5239"/>
    <w:rsid w:val="674D61DB"/>
    <w:rsid w:val="674E7C4A"/>
    <w:rsid w:val="67717495"/>
    <w:rsid w:val="67A313C6"/>
    <w:rsid w:val="67B0620F"/>
    <w:rsid w:val="67B850C4"/>
    <w:rsid w:val="67D44750"/>
    <w:rsid w:val="681C3431"/>
    <w:rsid w:val="681F29BA"/>
    <w:rsid w:val="68D221AE"/>
    <w:rsid w:val="693D5E8F"/>
    <w:rsid w:val="6968592E"/>
    <w:rsid w:val="69F66CEC"/>
    <w:rsid w:val="6A08403E"/>
    <w:rsid w:val="6A6F3AF5"/>
    <w:rsid w:val="6A7554EE"/>
    <w:rsid w:val="6A874F13"/>
    <w:rsid w:val="6A911080"/>
    <w:rsid w:val="6AED7884"/>
    <w:rsid w:val="6BA970F5"/>
    <w:rsid w:val="6BEC7A32"/>
    <w:rsid w:val="6CD10962"/>
    <w:rsid w:val="6CE150BD"/>
    <w:rsid w:val="6CFB4EF5"/>
    <w:rsid w:val="6CFD69AD"/>
    <w:rsid w:val="6D147240"/>
    <w:rsid w:val="6E241040"/>
    <w:rsid w:val="6E5C22B1"/>
    <w:rsid w:val="6EA6036C"/>
    <w:rsid w:val="6EC16F54"/>
    <w:rsid w:val="6F197B82"/>
    <w:rsid w:val="6F235519"/>
    <w:rsid w:val="6F32736E"/>
    <w:rsid w:val="6FAA6BAD"/>
    <w:rsid w:val="6FC1105E"/>
    <w:rsid w:val="70061E72"/>
    <w:rsid w:val="701D3078"/>
    <w:rsid w:val="702C517A"/>
    <w:rsid w:val="702E6265"/>
    <w:rsid w:val="705D0D2D"/>
    <w:rsid w:val="70696494"/>
    <w:rsid w:val="70CC00AC"/>
    <w:rsid w:val="70E709C7"/>
    <w:rsid w:val="70F952AD"/>
    <w:rsid w:val="711F5C05"/>
    <w:rsid w:val="71386623"/>
    <w:rsid w:val="718A7AD1"/>
    <w:rsid w:val="71D63EC8"/>
    <w:rsid w:val="72054744"/>
    <w:rsid w:val="7259420F"/>
    <w:rsid w:val="7346211D"/>
    <w:rsid w:val="73572028"/>
    <w:rsid w:val="736866A0"/>
    <w:rsid w:val="73770529"/>
    <w:rsid w:val="739D5097"/>
    <w:rsid w:val="73BB372E"/>
    <w:rsid w:val="73BE6420"/>
    <w:rsid w:val="74017DF2"/>
    <w:rsid w:val="740D3DE3"/>
    <w:rsid w:val="74493C73"/>
    <w:rsid w:val="74722723"/>
    <w:rsid w:val="748E1279"/>
    <w:rsid w:val="74ED5EE1"/>
    <w:rsid w:val="751A2454"/>
    <w:rsid w:val="752B78DD"/>
    <w:rsid w:val="755632B8"/>
    <w:rsid w:val="7592220F"/>
    <w:rsid w:val="76761954"/>
    <w:rsid w:val="76920976"/>
    <w:rsid w:val="769413F2"/>
    <w:rsid w:val="76AC6ABC"/>
    <w:rsid w:val="76E80FFE"/>
    <w:rsid w:val="772B58B2"/>
    <w:rsid w:val="774C3712"/>
    <w:rsid w:val="77521889"/>
    <w:rsid w:val="77AF64E3"/>
    <w:rsid w:val="77CF1C97"/>
    <w:rsid w:val="781535E4"/>
    <w:rsid w:val="781653BD"/>
    <w:rsid w:val="781E71C5"/>
    <w:rsid w:val="783A7F30"/>
    <w:rsid w:val="78842500"/>
    <w:rsid w:val="78A3591C"/>
    <w:rsid w:val="78DD2BDC"/>
    <w:rsid w:val="790B026B"/>
    <w:rsid w:val="7933502F"/>
    <w:rsid w:val="79660E24"/>
    <w:rsid w:val="796A1ED9"/>
    <w:rsid w:val="79B1645D"/>
    <w:rsid w:val="7A3E3797"/>
    <w:rsid w:val="7B775430"/>
    <w:rsid w:val="7B8E8FA2"/>
    <w:rsid w:val="7C5B47A7"/>
    <w:rsid w:val="7C68691D"/>
    <w:rsid w:val="7CB44C11"/>
    <w:rsid w:val="7CDF5C5E"/>
    <w:rsid w:val="7CEC32A6"/>
    <w:rsid w:val="7D4501ED"/>
    <w:rsid w:val="7D644FF4"/>
    <w:rsid w:val="7DF35FB7"/>
    <w:rsid w:val="7E0806FB"/>
    <w:rsid w:val="7E307C52"/>
    <w:rsid w:val="7F030B14"/>
    <w:rsid w:val="7F1E3F4E"/>
    <w:rsid w:val="7F805181"/>
    <w:rsid w:val="7FC4176B"/>
    <w:rsid w:val="BEDF3FE4"/>
    <w:rsid w:val="EEF9CD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9" w:semiHidden="0" w:name="heading 8"/>
    <w:lsdException w:qFormat="1"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99" w:semiHidden="0" w:name="Body Text 2"/>
    <w:lsdException w:qFormat="1"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semiHidden="0" w:name="Table Elegant"/>
    <w:lsdException w:uiPriority="99"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3">
    <w:name w:val="heading 1"/>
    <w:next w:val="1"/>
    <w:link w:val="153"/>
    <w:qFormat/>
    <w:uiPriority w:val="0"/>
    <w:pPr>
      <w:keepNext/>
      <w:keepLines/>
      <w:pageBreakBefore/>
      <w:spacing w:line="360" w:lineRule="auto"/>
      <w:jc w:val="center"/>
      <w:outlineLvl w:val="0"/>
    </w:pPr>
    <w:rPr>
      <w:rFonts w:ascii="Times New Roman" w:hAnsi="Times New Roman" w:eastAsia="宋体" w:cstheme="minorBidi"/>
      <w:b/>
      <w:bCs/>
      <w:kern w:val="44"/>
      <w:sz w:val="28"/>
      <w:szCs w:val="44"/>
      <w:lang w:val="en-US" w:eastAsia="zh-CN" w:bidi="ar-SA"/>
    </w:rPr>
  </w:style>
  <w:style w:type="paragraph" w:styleId="4">
    <w:name w:val="heading 2"/>
    <w:next w:val="1"/>
    <w:link w:val="154"/>
    <w:unhideWhenUsed/>
    <w:qFormat/>
    <w:uiPriority w:val="0"/>
    <w:pPr>
      <w:keepNext/>
      <w:keepLines/>
      <w:widowControl w:val="0"/>
      <w:spacing w:line="360" w:lineRule="auto"/>
      <w:outlineLvl w:val="1"/>
    </w:pPr>
    <w:rPr>
      <w:rFonts w:ascii="Times New Roman" w:hAnsi="Times New Roman" w:eastAsia="宋体" w:cstheme="majorBidi"/>
      <w:b/>
      <w:bCs/>
      <w:kern w:val="2"/>
      <w:sz w:val="24"/>
      <w:szCs w:val="32"/>
      <w:lang w:val="en-US" w:eastAsia="zh-CN" w:bidi="ar-SA"/>
    </w:rPr>
  </w:style>
  <w:style w:type="paragraph" w:styleId="5">
    <w:name w:val="heading 3"/>
    <w:basedOn w:val="1"/>
    <w:next w:val="1"/>
    <w:link w:val="155"/>
    <w:unhideWhenUsed/>
    <w:qFormat/>
    <w:uiPriority w:val="9"/>
    <w:pPr>
      <w:keepNext/>
      <w:keepLines/>
      <w:spacing w:line="360" w:lineRule="auto"/>
      <w:outlineLvl w:val="2"/>
    </w:pPr>
    <w:rPr>
      <w:rFonts w:ascii="Times New Roman" w:hAnsi="Times New Roman" w:eastAsia="宋体"/>
      <w:b/>
      <w:bCs/>
      <w:sz w:val="24"/>
      <w:szCs w:val="32"/>
    </w:rPr>
  </w:style>
  <w:style w:type="paragraph" w:styleId="6">
    <w:name w:val="heading 4"/>
    <w:next w:val="1"/>
    <w:link w:val="156"/>
    <w:unhideWhenUsed/>
    <w:qFormat/>
    <w:uiPriority w:val="0"/>
    <w:pPr>
      <w:keepNext/>
      <w:keepLines/>
      <w:spacing w:line="360" w:lineRule="auto"/>
      <w:outlineLvl w:val="3"/>
    </w:pPr>
    <w:rPr>
      <w:rFonts w:ascii="Times New Roman" w:hAnsi="Times New Roman" w:eastAsia="宋体" w:cstheme="majorBidi"/>
      <w:b/>
      <w:bCs/>
      <w:kern w:val="2"/>
      <w:sz w:val="24"/>
      <w:szCs w:val="28"/>
      <w:lang w:val="en-US" w:eastAsia="zh-CN" w:bidi="ar-SA"/>
    </w:rPr>
  </w:style>
  <w:style w:type="paragraph" w:styleId="7">
    <w:name w:val="heading 5"/>
    <w:basedOn w:val="1"/>
    <w:next w:val="1"/>
    <w:link w:val="161"/>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209"/>
    <w:unhideWhenUsed/>
    <w:qFormat/>
    <w:uiPriority w:val="0"/>
    <w:pPr>
      <w:keepNext/>
      <w:keepLines/>
      <w:adjustRightInd w:val="0"/>
      <w:spacing w:before="240" w:after="64" w:line="320" w:lineRule="atLeast"/>
      <w:jc w:val="left"/>
      <w:outlineLvl w:val="5"/>
    </w:pPr>
    <w:rPr>
      <w:rFonts w:ascii="Cambria" w:hAnsi="Cambria" w:eastAsia="宋体" w:cs="Times New Roman"/>
      <w:b/>
      <w:bCs/>
      <w:sz w:val="24"/>
    </w:rPr>
  </w:style>
  <w:style w:type="paragraph" w:styleId="9">
    <w:name w:val="heading 7"/>
    <w:basedOn w:val="1"/>
    <w:next w:val="1"/>
    <w:link w:val="210"/>
    <w:unhideWhenUsed/>
    <w:qFormat/>
    <w:uiPriority w:val="0"/>
    <w:pPr>
      <w:keepNext/>
      <w:keepLines/>
      <w:adjustRightInd w:val="0"/>
      <w:spacing w:before="240" w:after="64" w:line="320" w:lineRule="atLeast"/>
      <w:jc w:val="left"/>
      <w:outlineLvl w:val="6"/>
    </w:pPr>
    <w:rPr>
      <w:rFonts w:ascii="Times New Roman" w:hAnsi="Times New Roman" w:eastAsia="宋体" w:cs="Times New Roman"/>
      <w:b/>
      <w:bCs/>
      <w:sz w:val="24"/>
    </w:rPr>
  </w:style>
  <w:style w:type="paragraph" w:styleId="10">
    <w:name w:val="heading 8"/>
    <w:basedOn w:val="1"/>
    <w:next w:val="1"/>
    <w:link w:val="211"/>
    <w:unhideWhenUsed/>
    <w:qFormat/>
    <w:uiPriority w:val="9"/>
    <w:pPr>
      <w:keepNext/>
      <w:keepLines/>
      <w:adjustRightInd w:val="0"/>
      <w:spacing w:before="240" w:after="64" w:line="320" w:lineRule="atLeast"/>
      <w:jc w:val="left"/>
      <w:outlineLvl w:val="7"/>
    </w:pPr>
    <w:rPr>
      <w:rFonts w:ascii="Cambria" w:hAnsi="Cambria" w:eastAsia="宋体" w:cs="Times New Roman"/>
      <w:sz w:val="24"/>
    </w:rPr>
  </w:style>
  <w:style w:type="paragraph" w:styleId="11">
    <w:name w:val="heading 9"/>
    <w:basedOn w:val="1"/>
    <w:next w:val="1"/>
    <w:link w:val="212"/>
    <w:unhideWhenUsed/>
    <w:qFormat/>
    <w:uiPriority w:val="0"/>
    <w:pPr>
      <w:keepNext/>
      <w:keepLines/>
      <w:adjustRightInd w:val="0"/>
      <w:spacing w:before="240" w:after="64" w:line="320" w:lineRule="atLeast"/>
      <w:jc w:val="left"/>
      <w:outlineLvl w:val="8"/>
    </w:pPr>
    <w:rPr>
      <w:rFonts w:ascii="Cambria" w:hAnsi="Cambria" w:eastAsia="宋体" w:cs="Times New Roman"/>
    </w:rPr>
  </w:style>
  <w:style w:type="character" w:default="1" w:styleId="132">
    <w:name w:val="Default Paragraph Font"/>
    <w:semiHidden/>
    <w:unhideWhenUsed/>
    <w:qFormat/>
    <w:uiPriority w:val="1"/>
  </w:style>
  <w:style w:type="table" w:default="1" w:styleId="88">
    <w:name w:val="Normal Table"/>
    <w:semiHidden/>
    <w:unhideWhenUsed/>
    <w:qFormat/>
    <w:uiPriority w:val="99"/>
    <w:tblPr>
      <w:tblLayout w:type="fixed"/>
      <w:tblCellMar>
        <w:top w:w="0" w:type="dxa"/>
        <w:left w:w="108" w:type="dxa"/>
        <w:bottom w:w="0" w:type="dxa"/>
        <w:right w:w="108" w:type="dxa"/>
      </w:tblCellMar>
    </w:tblPr>
  </w:style>
  <w:style w:type="paragraph" w:styleId="2">
    <w:name w:val="macro"/>
    <w:link w:val="18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sz w:val="24"/>
      <w:szCs w:val="24"/>
      <w:lang w:val="en-US" w:eastAsia="zh-CN" w:bidi="ar-SA"/>
    </w:rPr>
  </w:style>
  <w:style w:type="paragraph" w:styleId="12">
    <w:name w:val="List 3"/>
    <w:basedOn w:val="1"/>
    <w:qFormat/>
    <w:uiPriority w:val="0"/>
    <w:pPr>
      <w:adjustRightInd w:val="0"/>
      <w:spacing w:beforeLines="10" w:line="480" w:lineRule="atLeast"/>
      <w:ind w:left="100" w:leftChars="400" w:hanging="200" w:hangingChars="200"/>
      <w:jc w:val="left"/>
    </w:pPr>
    <w:rPr>
      <w:rFonts w:ascii="Times New Roman" w:hAnsi="Times New Roman" w:cs="Times New Roman"/>
      <w:snapToGrid w:val="0"/>
      <w:kern w:val="0"/>
      <w:sz w:val="24"/>
      <w:szCs w:val="24"/>
    </w:rPr>
  </w:style>
  <w:style w:type="paragraph" w:styleId="13">
    <w:name w:val="toc 7"/>
    <w:basedOn w:val="1"/>
    <w:next w:val="1"/>
    <w:unhideWhenUsed/>
    <w:qFormat/>
    <w:uiPriority w:val="39"/>
    <w:pPr>
      <w:ind w:left="2520" w:leftChars="1200"/>
      <w:jc w:val="left"/>
    </w:pPr>
    <w:rPr>
      <w:rFonts w:ascii="Calibri" w:hAnsi="Calibri" w:eastAsia="宋体" w:cs="Times New Roman"/>
    </w:rPr>
  </w:style>
  <w:style w:type="paragraph" w:styleId="14">
    <w:name w:val="List Number 2"/>
    <w:basedOn w:val="1"/>
    <w:qFormat/>
    <w:uiPriority w:val="0"/>
    <w:pPr>
      <w:tabs>
        <w:tab w:val="left" w:pos="780"/>
      </w:tabs>
      <w:adjustRightInd w:val="0"/>
      <w:spacing w:beforeLines="10" w:line="480" w:lineRule="atLeast"/>
      <w:ind w:left="780" w:leftChars="200" w:hanging="360" w:hangingChars="200"/>
      <w:jc w:val="left"/>
    </w:pPr>
    <w:rPr>
      <w:rFonts w:ascii="Times New Roman" w:hAnsi="Times New Roman" w:cs="Times New Roman"/>
      <w:snapToGrid w:val="0"/>
      <w:kern w:val="0"/>
      <w:sz w:val="24"/>
      <w:szCs w:val="24"/>
    </w:rPr>
  </w:style>
  <w:style w:type="paragraph" w:styleId="15">
    <w:name w:val="table of authorities"/>
    <w:basedOn w:val="1"/>
    <w:next w:val="1"/>
    <w:qFormat/>
    <w:uiPriority w:val="0"/>
    <w:pPr>
      <w:spacing w:line="480" w:lineRule="exact"/>
      <w:ind w:left="420" w:leftChars="200"/>
      <w:jc w:val="left"/>
    </w:pPr>
    <w:rPr>
      <w:rFonts w:ascii="Times New Roman" w:hAnsi="Times New Roman" w:cs="Times New Roman"/>
      <w:sz w:val="24"/>
      <w:szCs w:val="24"/>
    </w:rPr>
  </w:style>
  <w:style w:type="paragraph" w:styleId="16">
    <w:name w:val="Note Heading"/>
    <w:basedOn w:val="1"/>
    <w:next w:val="1"/>
    <w:link w:val="181"/>
    <w:qFormat/>
    <w:uiPriority w:val="0"/>
    <w:pPr>
      <w:adjustRightInd w:val="0"/>
      <w:spacing w:line="480" w:lineRule="exact"/>
      <w:ind w:firstLine="200" w:firstLineChars="200"/>
      <w:jc w:val="center"/>
    </w:pPr>
    <w:rPr>
      <w:rFonts w:ascii="Calibri" w:hAnsi="Calibri" w:eastAsia="宋体" w:cs="Times New Roman"/>
      <w:kern w:val="0"/>
      <w:sz w:val="24"/>
      <w:szCs w:val="24"/>
    </w:rPr>
  </w:style>
  <w:style w:type="paragraph" w:styleId="17">
    <w:name w:val="List Bullet 4"/>
    <w:basedOn w:val="1"/>
    <w:qFormat/>
    <w:uiPriority w:val="0"/>
    <w:pPr>
      <w:tabs>
        <w:tab w:val="left" w:pos="1620"/>
      </w:tabs>
      <w:adjustRightInd w:val="0"/>
      <w:spacing w:beforeLines="10" w:line="480" w:lineRule="atLeast"/>
      <w:ind w:left="1620" w:leftChars="600" w:hanging="360" w:hangingChars="200"/>
      <w:jc w:val="left"/>
    </w:pPr>
    <w:rPr>
      <w:rFonts w:ascii="Times New Roman" w:hAnsi="Times New Roman" w:cs="Times New Roman"/>
      <w:snapToGrid w:val="0"/>
      <w:kern w:val="0"/>
      <w:sz w:val="24"/>
      <w:szCs w:val="24"/>
    </w:rPr>
  </w:style>
  <w:style w:type="paragraph" w:styleId="18">
    <w:name w:val="index 8"/>
    <w:basedOn w:val="1"/>
    <w:next w:val="1"/>
    <w:qFormat/>
    <w:uiPriority w:val="0"/>
    <w:pPr>
      <w:ind w:left="1400" w:leftChars="1400"/>
      <w:jc w:val="left"/>
    </w:pPr>
    <w:rPr>
      <w:rFonts w:ascii="Times New Roman" w:hAnsi="Times New Roman" w:cs="Times New Roman"/>
      <w:szCs w:val="24"/>
    </w:rPr>
  </w:style>
  <w:style w:type="paragraph" w:styleId="19">
    <w:name w:val="E-mail Signature"/>
    <w:basedOn w:val="1"/>
    <w:link w:val="373"/>
    <w:qFormat/>
    <w:uiPriority w:val="0"/>
    <w:pPr>
      <w:adjustRightInd w:val="0"/>
      <w:spacing w:beforeLines="10" w:line="480" w:lineRule="atLeast"/>
      <w:ind w:firstLine="200" w:firstLineChars="200"/>
      <w:jc w:val="left"/>
    </w:pPr>
    <w:rPr>
      <w:rFonts w:ascii="Times New Roman" w:hAnsi="Times New Roman" w:cs="Times New Roman"/>
      <w:snapToGrid w:val="0"/>
      <w:kern w:val="0"/>
      <w:sz w:val="24"/>
      <w:szCs w:val="24"/>
    </w:rPr>
  </w:style>
  <w:style w:type="paragraph" w:styleId="20">
    <w:name w:val="List Number"/>
    <w:basedOn w:val="1"/>
    <w:qFormat/>
    <w:uiPriority w:val="0"/>
    <w:pPr>
      <w:tabs>
        <w:tab w:val="left" w:pos="833"/>
      </w:tabs>
      <w:adjustRightInd w:val="0"/>
      <w:spacing w:beforeLines="10" w:line="360" w:lineRule="auto"/>
      <w:ind w:left="833" w:hanging="360" w:hangingChars="200"/>
      <w:jc w:val="left"/>
    </w:pPr>
    <w:rPr>
      <w:rFonts w:ascii="Times New Roman" w:hAnsi="Times New Roman" w:eastAsia="宋体" w:cs="Times New Roman"/>
      <w:snapToGrid w:val="0"/>
      <w:kern w:val="0"/>
      <w:sz w:val="24"/>
      <w:szCs w:val="24"/>
    </w:rPr>
  </w:style>
  <w:style w:type="paragraph" w:styleId="21">
    <w:name w:val="Normal Indent"/>
    <w:basedOn w:val="1"/>
    <w:link w:val="287"/>
    <w:qFormat/>
    <w:uiPriority w:val="0"/>
    <w:pPr>
      <w:spacing w:line="360" w:lineRule="auto"/>
      <w:jc w:val="center"/>
    </w:pPr>
    <w:rPr>
      <w:rFonts w:ascii="Times New Roman" w:hAnsi="Times New Roman" w:eastAsia="宋体" w:cs="Times New Roman"/>
      <w:b/>
      <w:color w:val="000000"/>
      <w:kern w:val="0"/>
      <w:sz w:val="24"/>
      <w:szCs w:val="24"/>
    </w:rPr>
  </w:style>
  <w:style w:type="paragraph" w:styleId="22">
    <w:name w:val="caption"/>
    <w:basedOn w:val="1"/>
    <w:next w:val="1"/>
    <w:link w:val="250"/>
    <w:unhideWhenUsed/>
    <w:qFormat/>
    <w:uiPriority w:val="0"/>
    <w:rPr>
      <w:rFonts w:eastAsia="黑体" w:asciiTheme="majorHAnsi" w:hAnsiTheme="majorHAnsi" w:cstheme="majorBidi"/>
      <w:sz w:val="20"/>
      <w:szCs w:val="20"/>
    </w:rPr>
  </w:style>
  <w:style w:type="paragraph" w:styleId="23">
    <w:name w:val="index 5"/>
    <w:basedOn w:val="1"/>
    <w:next w:val="1"/>
    <w:qFormat/>
    <w:uiPriority w:val="0"/>
    <w:pPr>
      <w:ind w:left="800" w:leftChars="800"/>
      <w:jc w:val="left"/>
    </w:pPr>
    <w:rPr>
      <w:rFonts w:ascii="Times New Roman" w:hAnsi="Times New Roman" w:cs="Times New Roman"/>
      <w:szCs w:val="24"/>
    </w:rPr>
  </w:style>
  <w:style w:type="paragraph" w:styleId="24">
    <w:name w:val="List Bullet"/>
    <w:basedOn w:val="1"/>
    <w:qFormat/>
    <w:uiPriority w:val="0"/>
    <w:pPr>
      <w:tabs>
        <w:tab w:val="left" w:pos="360"/>
      </w:tabs>
      <w:adjustRightInd w:val="0"/>
      <w:spacing w:beforeLines="10" w:line="480" w:lineRule="atLeast"/>
      <w:ind w:left="360" w:hanging="360" w:hangingChars="200"/>
      <w:jc w:val="left"/>
    </w:pPr>
    <w:rPr>
      <w:rFonts w:ascii="Times New Roman" w:hAnsi="Times New Roman" w:cs="Times New Roman"/>
      <w:snapToGrid w:val="0"/>
      <w:kern w:val="0"/>
      <w:sz w:val="24"/>
      <w:szCs w:val="24"/>
    </w:rPr>
  </w:style>
  <w:style w:type="paragraph" w:styleId="25">
    <w:name w:val="envelope address"/>
    <w:basedOn w:val="1"/>
    <w:qFormat/>
    <w:uiPriority w:val="0"/>
    <w:pPr>
      <w:framePr w:w="7920" w:h="1980" w:hRule="exact" w:hSpace="180" w:wrap="around" w:vAnchor="margin" w:hAnchor="page" w:xAlign="center" w:yAlign="bottom"/>
      <w:adjustRightInd w:val="0"/>
      <w:spacing w:beforeLines="10" w:line="480" w:lineRule="atLeast"/>
      <w:ind w:left="100" w:leftChars="1400" w:firstLine="200" w:firstLineChars="200"/>
      <w:jc w:val="left"/>
    </w:pPr>
    <w:rPr>
      <w:rFonts w:ascii="Arial" w:hAnsi="Arial" w:cs="Arial"/>
      <w:snapToGrid w:val="0"/>
      <w:kern w:val="0"/>
      <w:sz w:val="24"/>
      <w:szCs w:val="24"/>
    </w:rPr>
  </w:style>
  <w:style w:type="paragraph" w:styleId="26">
    <w:name w:val="Document Map"/>
    <w:basedOn w:val="1"/>
    <w:link w:val="232"/>
    <w:unhideWhenUsed/>
    <w:qFormat/>
    <w:uiPriority w:val="99"/>
    <w:pPr>
      <w:adjustRightInd w:val="0"/>
      <w:spacing w:line="360" w:lineRule="auto"/>
      <w:ind w:firstLine="200" w:firstLineChars="200"/>
      <w:jc w:val="left"/>
    </w:pPr>
    <w:rPr>
      <w:rFonts w:ascii="宋体" w:hAnsi="Times New Roman" w:eastAsia="宋体" w:cs="Times New Roman"/>
      <w:sz w:val="18"/>
      <w:szCs w:val="18"/>
    </w:rPr>
  </w:style>
  <w:style w:type="paragraph" w:styleId="27">
    <w:name w:val="toa heading"/>
    <w:basedOn w:val="1"/>
    <w:next w:val="1"/>
    <w:qFormat/>
    <w:uiPriority w:val="0"/>
    <w:pPr>
      <w:spacing w:line="480" w:lineRule="exact"/>
      <w:jc w:val="left"/>
    </w:pPr>
    <w:rPr>
      <w:rFonts w:ascii="Arial" w:hAnsi="Arial" w:cs="Times New Roman"/>
      <w:b/>
      <w:bCs/>
      <w:sz w:val="24"/>
      <w:szCs w:val="24"/>
    </w:rPr>
  </w:style>
  <w:style w:type="paragraph" w:styleId="28">
    <w:name w:val="annotation text"/>
    <w:basedOn w:val="1"/>
    <w:link w:val="240"/>
    <w:unhideWhenUsed/>
    <w:qFormat/>
    <w:uiPriority w:val="0"/>
    <w:pPr>
      <w:adjustRightInd w:val="0"/>
      <w:spacing w:line="360" w:lineRule="auto"/>
      <w:ind w:firstLine="200" w:firstLineChars="200"/>
      <w:jc w:val="left"/>
    </w:pPr>
    <w:rPr>
      <w:rFonts w:ascii="Times New Roman" w:hAnsi="Times New Roman" w:eastAsia="宋体" w:cs="Times New Roman"/>
      <w:sz w:val="24"/>
    </w:rPr>
  </w:style>
  <w:style w:type="paragraph" w:styleId="29">
    <w:name w:val="index 6"/>
    <w:basedOn w:val="1"/>
    <w:next w:val="1"/>
    <w:qFormat/>
    <w:uiPriority w:val="0"/>
    <w:pPr>
      <w:ind w:left="1000" w:leftChars="1000"/>
      <w:jc w:val="left"/>
    </w:pPr>
    <w:rPr>
      <w:rFonts w:ascii="Times New Roman" w:hAnsi="Times New Roman" w:cs="Times New Roman"/>
      <w:szCs w:val="24"/>
    </w:rPr>
  </w:style>
  <w:style w:type="paragraph" w:styleId="30">
    <w:name w:val="Salutation"/>
    <w:basedOn w:val="1"/>
    <w:next w:val="1"/>
    <w:link w:val="372"/>
    <w:qFormat/>
    <w:uiPriority w:val="0"/>
    <w:pPr>
      <w:adjustRightInd w:val="0"/>
      <w:spacing w:beforeLines="10" w:line="480" w:lineRule="atLeast"/>
      <w:ind w:firstLine="200" w:firstLineChars="200"/>
      <w:jc w:val="left"/>
    </w:pPr>
    <w:rPr>
      <w:rFonts w:ascii="Times New Roman" w:hAnsi="Times New Roman" w:cs="Times New Roman"/>
      <w:snapToGrid w:val="0"/>
      <w:kern w:val="0"/>
      <w:sz w:val="24"/>
      <w:szCs w:val="24"/>
    </w:rPr>
  </w:style>
  <w:style w:type="paragraph" w:styleId="31">
    <w:name w:val="Body Text 3"/>
    <w:basedOn w:val="1"/>
    <w:link w:val="353"/>
    <w:unhideWhenUsed/>
    <w:qFormat/>
    <w:uiPriority w:val="0"/>
    <w:pPr>
      <w:adjustRightInd w:val="0"/>
      <w:spacing w:after="120" w:line="360" w:lineRule="auto"/>
      <w:ind w:firstLine="200" w:firstLineChars="200"/>
      <w:jc w:val="left"/>
    </w:pPr>
    <w:rPr>
      <w:rFonts w:ascii="Times New Roman" w:hAnsi="Times New Roman" w:eastAsia="宋体" w:cs="Times New Roman"/>
      <w:sz w:val="16"/>
      <w:szCs w:val="16"/>
    </w:rPr>
  </w:style>
  <w:style w:type="paragraph" w:styleId="32">
    <w:name w:val="Closing"/>
    <w:basedOn w:val="1"/>
    <w:link w:val="374"/>
    <w:qFormat/>
    <w:uiPriority w:val="0"/>
    <w:pPr>
      <w:adjustRightInd w:val="0"/>
      <w:spacing w:beforeLines="10" w:line="480" w:lineRule="atLeast"/>
      <w:ind w:left="100" w:leftChars="2100" w:firstLine="200" w:firstLineChars="200"/>
      <w:jc w:val="left"/>
    </w:pPr>
    <w:rPr>
      <w:rFonts w:ascii="Times New Roman" w:hAnsi="Times New Roman" w:cs="Times New Roman"/>
      <w:snapToGrid w:val="0"/>
      <w:kern w:val="0"/>
      <w:sz w:val="24"/>
      <w:szCs w:val="24"/>
    </w:rPr>
  </w:style>
  <w:style w:type="paragraph" w:styleId="33">
    <w:name w:val="List Bullet 3"/>
    <w:basedOn w:val="1"/>
    <w:qFormat/>
    <w:uiPriority w:val="0"/>
    <w:pPr>
      <w:tabs>
        <w:tab w:val="left" w:pos="1200"/>
      </w:tabs>
      <w:adjustRightInd w:val="0"/>
      <w:spacing w:beforeLines="10" w:line="480" w:lineRule="atLeast"/>
      <w:ind w:left="1200" w:leftChars="400" w:hanging="360" w:hangingChars="200"/>
      <w:jc w:val="left"/>
    </w:pPr>
    <w:rPr>
      <w:rFonts w:ascii="Times New Roman" w:hAnsi="Times New Roman" w:cs="Times New Roman"/>
      <w:snapToGrid w:val="0"/>
      <w:kern w:val="0"/>
      <w:sz w:val="24"/>
      <w:szCs w:val="24"/>
    </w:rPr>
  </w:style>
  <w:style w:type="paragraph" w:styleId="34">
    <w:name w:val="Body Text"/>
    <w:basedOn w:val="1"/>
    <w:link w:val="233"/>
    <w:qFormat/>
    <w:uiPriority w:val="0"/>
    <w:pPr>
      <w:adjustRightInd w:val="0"/>
      <w:spacing w:beforeLines="10" w:line="360" w:lineRule="auto"/>
      <w:jc w:val="left"/>
    </w:pPr>
    <w:rPr>
      <w:rFonts w:ascii="Times New Roman" w:hAnsi="Times New Roman" w:eastAsia="宋体" w:cs="Times New Roman"/>
      <w:snapToGrid w:val="0"/>
      <w:kern w:val="0"/>
      <w:sz w:val="24"/>
      <w:szCs w:val="24"/>
    </w:rPr>
  </w:style>
  <w:style w:type="paragraph" w:styleId="35">
    <w:name w:val="Body Text Indent"/>
    <w:basedOn w:val="1"/>
    <w:link w:val="262"/>
    <w:unhideWhenUsed/>
    <w:qFormat/>
    <w:uiPriority w:val="0"/>
    <w:pPr>
      <w:spacing w:after="120" w:line="360" w:lineRule="auto"/>
      <w:ind w:left="420" w:leftChars="200" w:firstLine="200" w:firstLineChars="200"/>
      <w:jc w:val="left"/>
    </w:pPr>
    <w:rPr>
      <w:rFonts w:ascii="Times New Roman" w:hAnsi="Times New Roman" w:eastAsia="宋体" w:cs="Times New Roman"/>
      <w:sz w:val="24"/>
    </w:rPr>
  </w:style>
  <w:style w:type="paragraph" w:styleId="36">
    <w:name w:val="List Number 3"/>
    <w:basedOn w:val="1"/>
    <w:qFormat/>
    <w:uiPriority w:val="0"/>
    <w:pPr>
      <w:tabs>
        <w:tab w:val="left" w:pos="1200"/>
      </w:tabs>
      <w:adjustRightInd w:val="0"/>
      <w:spacing w:beforeLines="10" w:line="480" w:lineRule="atLeast"/>
      <w:ind w:left="1200" w:leftChars="400" w:hanging="360" w:hangingChars="200"/>
      <w:jc w:val="left"/>
    </w:pPr>
    <w:rPr>
      <w:rFonts w:ascii="Times New Roman" w:hAnsi="Times New Roman" w:cs="Times New Roman"/>
      <w:snapToGrid w:val="0"/>
      <w:kern w:val="0"/>
      <w:sz w:val="24"/>
      <w:szCs w:val="24"/>
    </w:rPr>
  </w:style>
  <w:style w:type="paragraph" w:styleId="37">
    <w:name w:val="List 2"/>
    <w:basedOn w:val="1"/>
    <w:link w:val="3774"/>
    <w:qFormat/>
    <w:uiPriority w:val="0"/>
    <w:pPr>
      <w:adjustRightInd w:val="0"/>
      <w:spacing w:beforeLines="10" w:line="480" w:lineRule="atLeast"/>
      <w:ind w:left="100" w:leftChars="200" w:hanging="200" w:hangingChars="200"/>
      <w:jc w:val="left"/>
    </w:pPr>
    <w:rPr>
      <w:rFonts w:ascii="Times New Roman" w:hAnsi="Times New Roman" w:cs="Times New Roman"/>
      <w:snapToGrid w:val="0"/>
      <w:kern w:val="0"/>
      <w:sz w:val="24"/>
      <w:szCs w:val="24"/>
    </w:rPr>
  </w:style>
  <w:style w:type="paragraph" w:styleId="38">
    <w:name w:val="List Continue"/>
    <w:basedOn w:val="1"/>
    <w:qFormat/>
    <w:uiPriority w:val="0"/>
    <w:pPr>
      <w:adjustRightInd w:val="0"/>
      <w:spacing w:beforeLines="10" w:after="120" w:line="480" w:lineRule="atLeast"/>
      <w:ind w:left="420" w:leftChars="200" w:firstLine="200" w:firstLineChars="200"/>
      <w:jc w:val="left"/>
    </w:pPr>
    <w:rPr>
      <w:rFonts w:ascii="Times New Roman" w:hAnsi="Times New Roman" w:cs="Times New Roman"/>
      <w:snapToGrid w:val="0"/>
      <w:kern w:val="0"/>
      <w:sz w:val="24"/>
      <w:szCs w:val="24"/>
    </w:rPr>
  </w:style>
  <w:style w:type="paragraph" w:styleId="39">
    <w:name w:val="Block Text"/>
    <w:basedOn w:val="1"/>
    <w:qFormat/>
    <w:uiPriority w:val="0"/>
    <w:pPr>
      <w:adjustRightInd w:val="0"/>
      <w:spacing w:beforeLines="10" w:after="120" w:line="480" w:lineRule="atLeast"/>
      <w:ind w:left="1440" w:leftChars="700" w:right="1440" w:rightChars="700" w:firstLine="200" w:firstLineChars="200"/>
      <w:jc w:val="left"/>
    </w:pPr>
    <w:rPr>
      <w:rFonts w:ascii="Times New Roman" w:hAnsi="Times New Roman" w:cs="Times New Roman"/>
      <w:snapToGrid w:val="0"/>
      <w:kern w:val="0"/>
      <w:sz w:val="24"/>
      <w:szCs w:val="24"/>
    </w:rPr>
  </w:style>
  <w:style w:type="paragraph" w:styleId="40">
    <w:name w:val="List Bullet 2"/>
    <w:basedOn w:val="1"/>
    <w:link w:val="895"/>
    <w:qFormat/>
    <w:uiPriority w:val="0"/>
    <w:pPr>
      <w:tabs>
        <w:tab w:val="left" w:pos="780"/>
      </w:tabs>
      <w:adjustRightInd w:val="0"/>
      <w:spacing w:beforeLines="10" w:line="480" w:lineRule="atLeast"/>
      <w:ind w:left="780" w:leftChars="200" w:hanging="360" w:hangingChars="200"/>
      <w:jc w:val="left"/>
    </w:pPr>
    <w:rPr>
      <w:rFonts w:ascii="Times New Roman" w:hAnsi="Times New Roman" w:cs="Times New Roman"/>
      <w:snapToGrid w:val="0"/>
      <w:kern w:val="0"/>
      <w:sz w:val="24"/>
      <w:szCs w:val="24"/>
    </w:rPr>
  </w:style>
  <w:style w:type="paragraph" w:styleId="41">
    <w:name w:val="HTML Address"/>
    <w:basedOn w:val="1"/>
    <w:link w:val="371"/>
    <w:qFormat/>
    <w:uiPriority w:val="0"/>
    <w:pPr>
      <w:adjustRightInd w:val="0"/>
      <w:spacing w:beforeLines="10" w:line="480" w:lineRule="atLeast"/>
      <w:ind w:firstLine="200" w:firstLineChars="200"/>
      <w:jc w:val="left"/>
    </w:pPr>
    <w:rPr>
      <w:rFonts w:ascii="Times New Roman" w:hAnsi="Times New Roman" w:cs="Times New Roman"/>
      <w:i/>
      <w:iCs/>
      <w:snapToGrid w:val="0"/>
      <w:kern w:val="0"/>
      <w:sz w:val="24"/>
      <w:szCs w:val="24"/>
    </w:rPr>
  </w:style>
  <w:style w:type="paragraph" w:styleId="42">
    <w:name w:val="index 4"/>
    <w:basedOn w:val="1"/>
    <w:next w:val="1"/>
    <w:qFormat/>
    <w:uiPriority w:val="0"/>
    <w:pPr>
      <w:ind w:left="600" w:leftChars="600"/>
      <w:jc w:val="left"/>
    </w:pPr>
    <w:rPr>
      <w:rFonts w:ascii="Times New Roman" w:hAnsi="Times New Roman" w:cs="Times New Roman"/>
      <w:szCs w:val="24"/>
    </w:rPr>
  </w:style>
  <w:style w:type="paragraph" w:styleId="43">
    <w:name w:val="toc 5"/>
    <w:basedOn w:val="1"/>
    <w:next w:val="1"/>
    <w:unhideWhenUsed/>
    <w:qFormat/>
    <w:uiPriority w:val="39"/>
    <w:pPr>
      <w:ind w:left="1680" w:leftChars="800"/>
      <w:jc w:val="left"/>
    </w:pPr>
    <w:rPr>
      <w:rFonts w:ascii="Calibri" w:hAnsi="Calibri" w:eastAsia="宋体" w:cs="Times New Roman"/>
    </w:rPr>
  </w:style>
  <w:style w:type="paragraph" w:styleId="44">
    <w:name w:val="toc 3"/>
    <w:basedOn w:val="1"/>
    <w:next w:val="1"/>
    <w:unhideWhenUsed/>
    <w:qFormat/>
    <w:uiPriority w:val="39"/>
    <w:pPr>
      <w:adjustRightInd w:val="0"/>
      <w:spacing w:line="360" w:lineRule="auto"/>
      <w:ind w:left="840" w:leftChars="400" w:firstLine="200" w:firstLineChars="200"/>
      <w:jc w:val="left"/>
    </w:pPr>
    <w:rPr>
      <w:rFonts w:ascii="Times New Roman" w:hAnsi="Times New Roman" w:eastAsia="宋体" w:cs="Times New Roman"/>
      <w:sz w:val="24"/>
    </w:rPr>
  </w:style>
  <w:style w:type="paragraph" w:styleId="45">
    <w:name w:val="Plain Text"/>
    <w:basedOn w:val="1"/>
    <w:link w:val="244"/>
    <w:qFormat/>
    <w:uiPriority w:val="0"/>
    <w:pPr>
      <w:jc w:val="left"/>
    </w:pPr>
    <w:rPr>
      <w:rFonts w:ascii="宋体" w:hAnsi="Courier New" w:eastAsia="宋体" w:cs="Times New Roman"/>
    </w:rPr>
  </w:style>
  <w:style w:type="paragraph" w:styleId="46">
    <w:name w:val="List Bullet 5"/>
    <w:basedOn w:val="1"/>
    <w:qFormat/>
    <w:uiPriority w:val="0"/>
    <w:pPr>
      <w:tabs>
        <w:tab w:val="left" w:pos="2040"/>
      </w:tabs>
      <w:adjustRightInd w:val="0"/>
      <w:spacing w:beforeLines="10" w:line="480" w:lineRule="atLeast"/>
      <w:ind w:left="2040" w:leftChars="800" w:hanging="360" w:hangingChars="200"/>
      <w:jc w:val="left"/>
    </w:pPr>
    <w:rPr>
      <w:rFonts w:ascii="Times New Roman" w:hAnsi="Times New Roman" w:cs="Times New Roman"/>
      <w:snapToGrid w:val="0"/>
      <w:kern w:val="0"/>
      <w:sz w:val="24"/>
      <w:szCs w:val="24"/>
    </w:rPr>
  </w:style>
  <w:style w:type="paragraph" w:styleId="47">
    <w:name w:val="List Number 4"/>
    <w:basedOn w:val="1"/>
    <w:qFormat/>
    <w:uiPriority w:val="0"/>
    <w:pPr>
      <w:tabs>
        <w:tab w:val="left" w:pos="1620"/>
      </w:tabs>
      <w:adjustRightInd w:val="0"/>
      <w:spacing w:beforeLines="10" w:line="480" w:lineRule="atLeast"/>
      <w:ind w:left="1620" w:leftChars="600" w:hanging="360" w:hangingChars="200"/>
      <w:jc w:val="left"/>
    </w:pPr>
    <w:rPr>
      <w:rFonts w:ascii="Times New Roman" w:hAnsi="Times New Roman" w:cs="Times New Roman"/>
      <w:snapToGrid w:val="0"/>
      <w:kern w:val="0"/>
      <w:sz w:val="24"/>
      <w:szCs w:val="24"/>
    </w:rPr>
  </w:style>
  <w:style w:type="paragraph" w:styleId="48">
    <w:name w:val="toc 8"/>
    <w:basedOn w:val="1"/>
    <w:next w:val="1"/>
    <w:unhideWhenUsed/>
    <w:qFormat/>
    <w:uiPriority w:val="39"/>
    <w:pPr>
      <w:ind w:left="2940" w:leftChars="1400"/>
      <w:jc w:val="left"/>
    </w:pPr>
    <w:rPr>
      <w:rFonts w:ascii="Calibri" w:hAnsi="Calibri" w:eastAsia="宋体" w:cs="Times New Roman"/>
    </w:rPr>
  </w:style>
  <w:style w:type="paragraph" w:styleId="49">
    <w:name w:val="index 3"/>
    <w:basedOn w:val="1"/>
    <w:next w:val="1"/>
    <w:qFormat/>
    <w:uiPriority w:val="0"/>
    <w:pPr>
      <w:ind w:left="400" w:leftChars="400"/>
      <w:jc w:val="left"/>
    </w:pPr>
    <w:rPr>
      <w:rFonts w:ascii="Times New Roman" w:hAnsi="Times New Roman" w:cs="Times New Roman"/>
      <w:szCs w:val="24"/>
    </w:rPr>
  </w:style>
  <w:style w:type="paragraph" w:styleId="50">
    <w:name w:val="Date"/>
    <w:basedOn w:val="1"/>
    <w:next w:val="1"/>
    <w:link w:val="358"/>
    <w:qFormat/>
    <w:uiPriority w:val="0"/>
    <w:pPr>
      <w:adjustRightInd w:val="0"/>
      <w:spacing w:beforeLines="10" w:line="480" w:lineRule="atLeast"/>
      <w:ind w:left="100" w:leftChars="2500" w:firstLine="200" w:firstLineChars="200"/>
      <w:jc w:val="left"/>
    </w:pPr>
    <w:rPr>
      <w:rFonts w:ascii="Times New Roman" w:hAnsi="Times New Roman" w:cs="Times New Roman"/>
      <w:snapToGrid w:val="0"/>
      <w:kern w:val="0"/>
      <w:sz w:val="24"/>
      <w:szCs w:val="26"/>
    </w:rPr>
  </w:style>
  <w:style w:type="paragraph" w:styleId="51">
    <w:name w:val="Body Text Indent 2"/>
    <w:basedOn w:val="1"/>
    <w:link w:val="302"/>
    <w:unhideWhenUsed/>
    <w:qFormat/>
    <w:uiPriority w:val="0"/>
    <w:pPr>
      <w:adjustRightInd w:val="0"/>
      <w:spacing w:after="120" w:line="480" w:lineRule="auto"/>
      <w:ind w:left="420" w:leftChars="200" w:firstLine="200" w:firstLineChars="200"/>
      <w:jc w:val="left"/>
    </w:pPr>
    <w:rPr>
      <w:rFonts w:ascii="Times New Roman" w:hAnsi="Times New Roman" w:eastAsia="宋体" w:cs="Times New Roman"/>
      <w:sz w:val="24"/>
    </w:rPr>
  </w:style>
  <w:style w:type="paragraph" w:styleId="52">
    <w:name w:val="endnote text"/>
    <w:basedOn w:val="1"/>
    <w:link w:val="534"/>
    <w:qFormat/>
    <w:uiPriority w:val="0"/>
    <w:pPr>
      <w:jc w:val="left"/>
    </w:pPr>
    <w:rPr>
      <w:rFonts w:ascii="Times New Roman" w:hAnsi="Times New Roman" w:cs="Times New Roman"/>
      <w:szCs w:val="24"/>
    </w:rPr>
  </w:style>
  <w:style w:type="paragraph" w:styleId="53">
    <w:name w:val="List Continue 5"/>
    <w:basedOn w:val="1"/>
    <w:qFormat/>
    <w:uiPriority w:val="0"/>
    <w:pPr>
      <w:adjustRightInd w:val="0"/>
      <w:spacing w:beforeLines="10" w:after="120" w:line="480" w:lineRule="atLeast"/>
      <w:ind w:left="2100" w:leftChars="1000" w:firstLine="200" w:firstLineChars="200"/>
      <w:jc w:val="left"/>
    </w:pPr>
    <w:rPr>
      <w:rFonts w:ascii="Times New Roman" w:hAnsi="Times New Roman" w:cs="Times New Roman"/>
      <w:snapToGrid w:val="0"/>
      <w:kern w:val="0"/>
      <w:sz w:val="24"/>
      <w:szCs w:val="24"/>
    </w:rPr>
  </w:style>
  <w:style w:type="paragraph" w:styleId="54">
    <w:name w:val="Balloon Text"/>
    <w:basedOn w:val="1"/>
    <w:link w:val="242"/>
    <w:unhideWhenUsed/>
    <w:qFormat/>
    <w:uiPriority w:val="0"/>
    <w:pPr>
      <w:adjustRightInd w:val="0"/>
      <w:ind w:firstLine="200" w:firstLineChars="200"/>
      <w:jc w:val="left"/>
    </w:pPr>
    <w:rPr>
      <w:rFonts w:ascii="Times New Roman" w:hAnsi="Times New Roman" w:eastAsia="宋体" w:cs="Times New Roman"/>
      <w:sz w:val="18"/>
      <w:szCs w:val="18"/>
    </w:rPr>
  </w:style>
  <w:style w:type="paragraph" w:styleId="55">
    <w:name w:val="footer"/>
    <w:basedOn w:val="1"/>
    <w:link w:val="158"/>
    <w:unhideWhenUsed/>
    <w:qFormat/>
    <w:uiPriority w:val="0"/>
    <w:pPr>
      <w:tabs>
        <w:tab w:val="center" w:pos="4153"/>
        <w:tab w:val="right" w:pos="8306"/>
      </w:tabs>
      <w:snapToGrid w:val="0"/>
      <w:jc w:val="left"/>
    </w:pPr>
    <w:rPr>
      <w:sz w:val="18"/>
      <w:szCs w:val="18"/>
    </w:rPr>
  </w:style>
  <w:style w:type="paragraph" w:styleId="56">
    <w:name w:val="envelope return"/>
    <w:basedOn w:val="1"/>
    <w:qFormat/>
    <w:uiPriority w:val="0"/>
    <w:pPr>
      <w:adjustRightInd w:val="0"/>
      <w:spacing w:beforeLines="10" w:line="480" w:lineRule="atLeast"/>
      <w:ind w:firstLine="200" w:firstLineChars="200"/>
      <w:jc w:val="left"/>
    </w:pPr>
    <w:rPr>
      <w:rFonts w:ascii="Arial" w:hAnsi="Arial" w:cs="Arial"/>
      <w:snapToGrid w:val="0"/>
      <w:kern w:val="0"/>
      <w:sz w:val="24"/>
      <w:szCs w:val="24"/>
    </w:rPr>
  </w:style>
  <w:style w:type="paragraph" w:styleId="57">
    <w:name w:val="header"/>
    <w:basedOn w:val="1"/>
    <w:link w:val="157"/>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375"/>
    <w:qFormat/>
    <w:uiPriority w:val="0"/>
    <w:pPr>
      <w:adjustRightInd w:val="0"/>
      <w:spacing w:beforeLines="10" w:line="480" w:lineRule="atLeast"/>
      <w:ind w:left="100" w:leftChars="2100" w:firstLine="200" w:firstLineChars="200"/>
      <w:jc w:val="left"/>
    </w:pPr>
    <w:rPr>
      <w:rFonts w:ascii="Times New Roman" w:hAnsi="Times New Roman" w:cs="Times New Roman"/>
      <w:snapToGrid w:val="0"/>
      <w:kern w:val="0"/>
      <w:sz w:val="24"/>
      <w:szCs w:val="24"/>
    </w:rPr>
  </w:style>
  <w:style w:type="paragraph" w:styleId="59">
    <w:name w:val="toc 1"/>
    <w:basedOn w:val="1"/>
    <w:next w:val="1"/>
    <w:unhideWhenUsed/>
    <w:qFormat/>
    <w:uiPriority w:val="39"/>
    <w:pPr>
      <w:tabs>
        <w:tab w:val="left" w:pos="260"/>
        <w:tab w:val="left" w:pos="520"/>
        <w:tab w:val="right" w:leader="dot" w:pos="8494"/>
      </w:tabs>
      <w:adjustRightInd w:val="0"/>
      <w:spacing w:line="360" w:lineRule="auto"/>
      <w:jc w:val="left"/>
    </w:pPr>
    <w:rPr>
      <w:rFonts w:ascii="Times New Roman" w:hAnsi="Times New Roman" w:eastAsia="宋体" w:cs="Times New Roman"/>
      <w:b/>
      <w:sz w:val="24"/>
    </w:rPr>
  </w:style>
  <w:style w:type="paragraph" w:styleId="60">
    <w:name w:val="List Continue 4"/>
    <w:basedOn w:val="1"/>
    <w:qFormat/>
    <w:uiPriority w:val="0"/>
    <w:pPr>
      <w:adjustRightInd w:val="0"/>
      <w:spacing w:beforeLines="10" w:after="120" w:line="480" w:lineRule="atLeast"/>
      <w:ind w:left="1680" w:leftChars="800" w:firstLine="200" w:firstLineChars="200"/>
      <w:jc w:val="left"/>
    </w:pPr>
    <w:rPr>
      <w:rFonts w:ascii="Times New Roman" w:hAnsi="Times New Roman" w:cs="Times New Roman"/>
      <w:snapToGrid w:val="0"/>
      <w:kern w:val="0"/>
      <w:sz w:val="24"/>
      <w:szCs w:val="24"/>
    </w:rPr>
  </w:style>
  <w:style w:type="paragraph" w:styleId="61">
    <w:name w:val="toc 4"/>
    <w:basedOn w:val="1"/>
    <w:next w:val="1"/>
    <w:unhideWhenUsed/>
    <w:qFormat/>
    <w:uiPriority w:val="39"/>
    <w:pPr>
      <w:ind w:left="1260" w:leftChars="600"/>
      <w:jc w:val="left"/>
    </w:pPr>
    <w:rPr>
      <w:rFonts w:ascii="Calibri" w:hAnsi="Calibri" w:eastAsia="宋体" w:cs="Times New Roman"/>
    </w:rPr>
  </w:style>
  <w:style w:type="paragraph" w:styleId="62">
    <w:name w:val="index heading"/>
    <w:basedOn w:val="1"/>
    <w:next w:val="63"/>
    <w:qFormat/>
    <w:uiPriority w:val="0"/>
    <w:pPr>
      <w:jc w:val="left"/>
    </w:pPr>
    <w:rPr>
      <w:rFonts w:ascii="Times New Roman" w:hAnsi="Times New Roman" w:cs="Times New Roman"/>
      <w:szCs w:val="24"/>
    </w:rPr>
  </w:style>
  <w:style w:type="paragraph" w:styleId="63">
    <w:name w:val="index 1"/>
    <w:basedOn w:val="1"/>
    <w:next w:val="1"/>
    <w:unhideWhenUsed/>
    <w:qFormat/>
    <w:uiPriority w:val="0"/>
  </w:style>
  <w:style w:type="paragraph" w:styleId="64">
    <w:name w:val="Subtitle"/>
    <w:basedOn w:val="1"/>
    <w:next w:val="1"/>
    <w:link w:val="213"/>
    <w:qFormat/>
    <w:uiPriority w:val="11"/>
    <w:pPr>
      <w:adjustRightInd w:val="0"/>
      <w:spacing w:before="240" w:after="60" w:line="312" w:lineRule="atLeast"/>
      <w:ind w:firstLine="200" w:firstLineChars="200"/>
      <w:jc w:val="center"/>
      <w:outlineLvl w:val="1"/>
    </w:pPr>
    <w:rPr>
      <w:rFonts w:ascii="Cambria" w:hAnsi="Cambria" w:eastAsia="宋体" w:cs="Times New Roman"/>
      <w:b/>
      <w:bCs/>
      <w:kern w:val="28"/>
      <w:sz w:val="32"/>
      <w:szCs w:val="32"/>
    </w:rPr>
  </w:style>
  <w:style w:type="paragraph" w:styleId="65">
    <w:name w:val="List Number 5"/>
    <w:basedOn w:val="1"/>
    <w:qFormat/>
    <w:uiPriority w:val="0"/>
    <w:pPr>
      <w:tabs>
        <w:tab w:val="left" w:pos="4436"/>
      </w:tabs>
      <w:adjustRightInd w:val="0"/>
      <w:spacing w:beforeLines="10" w:line="480" w:lineRule="atLeast"/>
      <w:ind w:left="4436" w:leftChars="800" w:hanging="360" w:hangingChars="200"/>
      <w:jc w:val="left"/>
    </w:pPr>
    <w:rPr>
      <w:rFonts w:ascii="Times New Roman" w:hAnsi="Times New Roman" w:cs="Times New Roman"/>
      <w:snapToGrid w:val="0"/>
      <w:kern w:val="0"/>
      <w:sz w:val="24"/>
      <w:szCs w:val="24"/>
    </w:rPr>
  </w:style>
  <w:style w:type="paragraph" w:styleId="66">
    <w:name w:val="List"/>
    <w:basedOn w:val="1"/>
    <w:qFormat/>
    <w:uiPriority w:val="0"/>
    <w:pPr>
      <w:ind w:left="200" w:hanging="200" w:hangingChars="200"/>
      <w:jc w:val="left"/>
    </w:pPr>
    <w:rPr>
      <w:rFonts w:ascii="Times New Roman" w:hAnsi="Times New Roman" w:cs="Times New Roman"/>
      <w:sz w:val="24"/>
      <w:szCs w:val="24"/>
    </w:rPr>
  </w:style>
  <w:style w:type="paragraph" w:styleId="67">
    <w:name w:val="footnote text"/>
    <w:basedOn w:val="1"/>
    <w:link w:val="517"/>
    <w:qFormat/>
    <w:uiPriority w:val="0"/>
    <w:pPr>
      <w:jc w:val="left"/>
    </w:pPr>
    <w:rPr>
      <w:rFonts w:ascii="Times New Roman" w:hAnsi="Times New Roman" w:cs="Times New Roman"/>
      <w:sz w:val="18"/>
      <w:szCs w:val="18"/>
    </w:rPr>
  </w:style>
  <w:style w:type="paragraph" w:styleId="68">
    <w:name w:val="toc 6"/>
    <w:basedOn w:val="1"/>
    <w:next w:val="1"/>
    <w:unhideWhenUsed/>
    <w:qFormat/>
    <w:uiPriority w:val="39"/>
    <w:pPr>
      <w:ind w:left="2100" w:leftChars="1000"/>
      <w:jc w:val="left"/>
    </w:pPr>
    <w:rPr>
      <w:rFonts w:ascii="Calibri" w:hAnsi="Calibri" w:eastAsia="宋体" w:cs="Times New Roman"/>
    </w:rPr>
  </w:style>
  <w:style w:type="paragraph" w:styleId="69">
    <w:name w:val="List 5"/>
    <w:basedOn w:val="1"/>
    <w:qFormat/>
    <w:uiPriority w:val="0"/>
    <w:pPr>
      <w:adjustRightInd w:val="0"/>
      <w:spacing w:beforeLines="10" w:line="480" w:lineRule="atLeast"/>
      <w:ind w:left="100" w:leftChars="800" w:hanging="200" w:hangingChars="200"/>
      <w:jc w:val="left"/>
    </w:pPr>
    <w:rPr>
      <w:rFonts w:ascii="Times New Roman" w:hAnsi="Times New Roman" w:cs="Times New Roman"/>
      <w:snapToGrid w:val="0"/>
      <w:kern w:val="0"/>
      <w:sz w:val="24"/>
      <w:szCs w:val="24"/>
    </w:rPr>
  </w:style>
  <w:style w:type="paragraph" w:styleId="70">
    <w:name w:val="Body Text Indent 3"/>
    <w:basedOn w:val="1"/>
    <w:link w:val="357"/>
    <w:qFormat/>
    <w:uiPriority w:val="0"/>
    <w:pPr>
      <w:adjustRightInd w:val="0"/>
      <w:spacing w:beforeLines="10" w:line="480" w:lineRule="atLeast"/>
      <w:ind w:firstLine="520" w:firstLineChars="200"/>
      <w:jc w:val="left"/>
    </w:pPr>
    <w:rPr>
      <w:rFonts w:ascii="Times New Roman" w:hAnsi="Times New Roman" w:cs="Times New Roman"/>
      <w:snapToGrid w:val="0"/>
      <w:kern w:val="0"/>
      <w:sz w:val="24"/>
      <w:szCs w:val="24"/>
    </w:rPr>
  </w:style>
  <w:style w:type="paragraph" w:styleId="71">
    <w:name w:val="index 7"/>
    <w:basedOn w:val="1"/>
    <w:next w:val="1"/>
    <w:qFormat/>
    <w:uiPriority w:val="0"/>
    <w:pPr>
      <w:ind w:left="1200" w:leftChars="1200"/>
      <w:jc w:val="left"/>
    </w:pPr>
    <w:rPr>
      <w:rFonts w:ascii="Times New Roman" w:hAnsi="Times New Roman" w:cs="Times New Roman"/>
      <w:szCs w:val="24"/>
    </w:rPr>
  </w:style>
  <w:style w:type="paragraph" w:styleId="72">
    <w:name w:val="index 9"/>
    <w:basedOn w:val="1"/>
    <w:next w:val="1"/>
    <w:qFormat/>
    <w:uiPriority w:val="0"/>
    <w:pPr>
      <w:ind w:left="1600" w:leftChars="1600"/>
      <w:jc w:val="left"/>
    </w:pPr>
    <w:rPr>
      <w:rFonts w:ascii="Times New Roman" w:hAnsi="Times New Roman" w:cs="Times New Roman"/>
      <w:szCs w:val="24"/>
    </w:rPr>
  </w:style>
  <w:style w:type="paragraph" w:styleId="73">
    <w:name w:val="table of figures"/>
    <w:basedOn w:val="1"/>
    <w:next w:val="1"/>
    <w:qFormat/>
    <w:uiPriority w:val="0"/>
    <w:pPr>
      <w:adjustRightInd w:val="0"/>
      <w:spacing w:beforeLines="10" w:line="480" w:lineRule="atLeast"/>
      <w:ind w:left="520" w:hanging="520" w:firstLineChars="200"/>
      <w:jc w:val="left"/>
    </w:pPr>
    <w:rPr>
      <w:rFonts w:ascii="Times New Roman" w:hAnsi="Times New Roman" w:cs="Times New Roman"/>
      <w:caps/>
      <w:snapToGrid w:val="0"/>
      <w:kern w:val="0"/>
      <w:sz w:val="24"/>
      <w:szCs w:val="24"/>
    </w:rPr>
  </w:style>
  <w:style w:type="paragraph" w:styleId="74">
    <w:name w:val="toc 2"/>
    <w:basedOn w:val="1"/>
    <w:next w:val="1"/>
    <w:unhideWhenUsed/>
    <w:qFormat/>
    <w:uiPriority w:val="39"/>
    <w:pPr>
      <w:tabs>
        <w:tab w:val="right" w:leader="dot" w:pos="8494"/>
      </w:tabs>
      <w:adjustRightInd w:val="0"/>
      <w:ind w:firstLine="200" w:firstLineChars="200"/>
      <w:jc w:val="left"/>
    </w:pPr>
    <w:rPr>
      <w:rFonts w:ascii="Times New Roman" w:hAnsi="Times New Roman" w:eastAsia="宋体" w:cs="Times New Roman"/>
      <w:sz w:val="24"/>
    </w:rPr>
  </w:style>
  <w:style w:type="paragraph" w:styleId="75">
    <w:name w:val="toc 9"/>
    <w:basedOn w:val="1"/>
    <w:next w:val="1"/>
    <w:unhideWhenUsed/>
    <w:qFormat/>
    <w:uiPriority w:val="39"/>
    <w:pPr>
      <w:ind w:left="3360" w:leftChars="1600"/>
      <w:jc w:val="left"/>
    </w:pPr>
    <w:rPr>
      <w:rFonts w:ascii="Calibri" w:hAnsi="Calibri" w:eastAsia="宋体" w:cs="Times New Roman"/>
    </w:rPr>
  </w:style>
  <w:style w:type="paragraph" w:styleId="76">
    <w:name w:val="Body Text 2"/>
    <w:basedOn w:val="1"/>
    <w:link w:val="303"/>
    <w:unhideWhenUsed/>
    <w:qFormat/>
    <w:uiPriority w:val="99"/>
    <w:pPr>
      <w:adjustRightInd w:val="0"/>
      <w:spacing w:after="120" w:line="480" w:lineRule="auto"/>
      <w:ind w:firstLine="200" w:firstLineChars="200"/>
      <w:jc w:val="left"/>
    </w:pPr>
    <w:rPr>
      <w:rFonts w:ascii="Times New Roman" w:hAnsi="Times New Roman" w:eastAsia="宋体" w:cs="Times New Roman"/>
      <w:sz w:val="24"/>
    </w:rPr>
  </w:style>
  <w:style w:type="paragraph" w:styleId="77">
    <w:name w:val="List 4"/>
    <w:basedOn w:val="1"/>
    <w:qFormat/>
    <w:uiPriority w:val="0"/>
    <w:pPr>
      <w:adjustRightInd w:val="0"/>
      <w:spacing w:beforeLines="10" w:line="480" w:lineRule="atLeast"/>
      <w:ind w:left="100" w:leftChars="600" w:hanging="200" w:hangingChars="200"/>
      <w:jc w:val="left"/>
    </w:pPr>
    <w:rPr>
      <w:rFonts w:ascii="Times New Roman" w:hAnsi="Times New Roman" w:cs="Times New Roman"/>
      <w:snapToGrid w:val="0"/>
      <w:kern w:val="0"/>
      <w:sz w:val="24"/>
      <w:szCs w:val="24"/>
    </w:rPr>
  </w:style>
  <w:style w:type="paragraph" w:styleId="78">
    <w:name w:val="List Continue 2"/>
    <w:basedOn w:val="1"/>
    <w:qFormat/>
    <w:uiPriority w:val="0"/>
    <w:pPr>
      <w:adjustRightInd w:val="0"/>
      <w:spacing w:beforeLines="10" w:after="120" w:line="480" w:lineRule="atLeast"/>
      <w:ind w:left="840" w:leftChars="400" w:firstLine="200" w:firstLineChars="200"/>
      <w:jc w:val="left"/>
    </w:pPr>
    <w:rPr>
      <w:rFonts w:ascii="Times New Roman" w:hAnsi="Times New Roman" w:cs="Times New Roman"/>
      <w:snapToGrid w:val="0"/>
      <w:kern w:val="0"/>
      <w:sz w:val="24"/>
      <w:szCs w:val="24"/>
    </w:rPr>
  </w:style>
  <w:style w:type="paragraph" w:styleId="79">
    <w:name w:val="Message Header"/>
    <w:basedOn w:val="1"/>
    <w:link w:val="376"/>
    <w:qFormat/>
    <w:uiPriority w:val="0"/>
    <w:pPr>
      <w:pBdr>
        <w:top w:val="single" w:color="auto" w:sz="6" w:space="1"/>
        <w:left w:val="single" w:color="auto" w:sz="6" w:space="1"/>
        <w:bottom w:val="single" w:color="auto" w:sz="6" w:space="1"/>
        <w:right w:val="single" w:color="auto" w:sz="6" w:space="1"/>
      </w:pBdr>
      <w:shd w:val="pct20" w:color="auto" w:fill="auto"/>
      <w:adjustRightInd w:val="0"/>
      <w:spacing w:beforeLines="10" w:line="480" w:lineRule="atLeast"/>
      <w:ind w:left="1080" w:leftChars="500" w:hanging="1080" w:hangingChars="500"/>
      <w:jc w:val="left"/>
    </w:pPr>
    <w:rPr>
      <w:rFonts w:ascii="Arial" w:hAnsi="Arial" w:cs="Times New Roman"/>
      <w:snapToGrid w:val="0"/>
      <w:kern w:val="0"/>
      <w:sz w:val="24"/>
      <w:szCs w:val="24"/>
    </w:rPr>
  </w:style>
  <w:style w:type="paragraph" w:styleId="80">
    <w:name w:val="HTML Preformatted"/>
    <w:basedOn w:val="1"/>
    <w:link w:val="2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81">
    <w:name w:val="Normal (Web)"/>
    <w:basedOn w:val="1"/>
    <w:link w:val="4079"/>
    <w:qFormat/>
    <w:uiPriority w:val="0"/>
    <w:pPr>
      <w:widowControl/>
      <w:spacing w:beforeAutospacing="1" w:after="100" w:afterAutospacing="1"/>
      <w:jc w:val="left"/>
    </w:pPr>
    <w:rPr>
      <w:rFonts w:ascii="宋体" w:hAnsi="宋体" w:eastAsia="宋体" w:cs="Times New Roman"/>
      <w:kern w:val="0"/>
      <w:sz w:val="24"/>
      <w:szCs w:val="24"/>
    </w:rPr>
  </w:style>
  <w:style w:type="paragraph" w:styleId="82">
    <w:name w:val="List Continue 3"/>
    <w:basedOn w:val="1"/>
    <w:qFormat/>
    <w:uiPriority w:val="0"/>
    <w:pPr>
      <w:adjustRightInd w:val="0"/>
      <w:spacing w:beforeLines="10" w:after="120" w:line="480" w:lineRule="atLeast"/>
      <w:ind w:left="1260" w:leftChars="600" w:firstLine="200" w:firstLineChars="200"/>
      <w:jc w:val="left"/>
    </w:pPr>
    <w:rPr>
      <w:rFonts w:ascii="Times New Roman" w:hAnsi="Times New Roman" w:cs="Times New Roman"/>
      <w:snapToGrid w:val="0"/>
      <w:kern w:val="0"/>
      <w:sz w:val="24"/>
      <w:szCs w:val="24"/>
    </w:rPr>
  </w:style>
  <w:style w:type="paragraph" w:styleId="83">
    <w:name w:val="index 2"/>
    <w:basedOn w:val="1"/>
    <w:next w:val="1"/>
    <w:qFormat/>
    <w:uiPriority w:val="0"/>
    <w:pPr>
      <w:adjustRightInd w:val="0"/>
      <w:spacing w:line="480" w:lineRule="exact"/>
      <w:ind w:left="200" w:leftChars="200" w:firstLine="200" w:firstLineChars="200"/>
      <w:jc w:val="left"/>
    </w:pPr>
    <w:rPr>
      <w:rFonts w:ascii="Times New Roman" w:hAnsi="Times New Roman" w:cs="Times New Roman"/>
      <w:sz w:val="24"/>
    </w:rPr>
  </w:style>
  <w:style w:type="paragraph" w:styleId="84">
    <w:name w:val="Title"/>
    <w:basedOn w:val="1"/>
    <w:next w:val="1"/>
    <w:link w:val="207"/>
    <w:qFormat/>
    <w:uiPriority w:val="0"/>
    <w:pPr>
      <w:adjustRightInd w:val="0"/>
      <w:spacing w:beforeLines="50" w:line="360" w:lineRule="auto"/>
      <w:jc w:val="right"/>
    </w:pPr>
    <w:rPr>
      <w:rFonts w:ascii="Times New Roman" w:hAnsi="Times New Roman" w:eastAsia="宋体" w:cs="Times New Roman"/>
      <w:b/>
      <w:snapToGrid w:val="0"/>
      <w:color w:val="000000"/>
      <w:spacing w:val="8"/>
      <w:kern w:val="0"/>
      <w:sz w:val="24"/>
      <w:szCs w:val="24"/>
    </w:rPr>
  </w:style>
  <w:style w:type="paragraph" w:styleId="85">
    <w:name w:val="annotation subject"/>
    <w:basedOn w:val="28"/>
    <w:next w:val="28"/>
    <w:link w:val="241"/>
    <w:unhideWhenUsed/>
    <w:qFormat/>
    <w:uiPriority w:val="0"/>
    <w:rPr>
      <w:b/>
      <w:bCs/>
    </w:rPr>
  </w:style>
  <w:style w:type="paragraph" w:styleId="86">
    <w:name w:val="Body Text First Indent"/>
    <w:basedOn w:val="34"/>
    <w:link w:val="205"/>
    <w:qFormat/>
    <w:uiPriority w:val="0"/>
    <w:pPr>
      <w:spacing w:after="120" w:line="480" w:lineRule="atLeast"/>
      <w:ind w:firstLine="420" w:firstLineChars="100"/>
    </w:pPr>
    <w:rPr>
      <w:rFonts w:eastAsiaTheme="minorEastAsia"/>
      <w:snapToGrid/>
      <w:sz w:val="26"/>
    </w:rPr>
  </w:style>
  <w:style w:type="paragraph" w:styleId="87">
    <w:name w:val="Body Text First Indent 2"/>
    <w:basedOn w:val="35"/>
    <w:link w:val="206"/>
    <w:qFormat/>
    <w:uiPriority w:val="0"/>
    <w:pPr>
      <w:adjustRightInd w:val="0"/>
      <w:snapToGrid w:val="0"/>
      <w:spacing w:beforeLines="10" w:line="480" w:lineRule="atLeast"/>
      <w:ind w:firstLine="420"/>
    </w:pPr>
    <w:rPr>
      <w:rFonts w:eastAsiaTheme="minorEastAsia"/>
      <w:snapToGrid w:val="0"/>
      <w:kern w:val="0"/>
      <w:szCs w:val="24"/>
    </w:r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0">
    <w:name w:val="Table Theme"/>
    <w:basedOn w:val="88"/>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styleId="91">
    <w:name w:val="Table Colorful 1"/>
    <w:basedOn w:val="88"/>
    <w:semiHidden/>
    <w:qFormat/>
    <w:uiPriority w:val="0"/>
    <w:pPr>
      <w:widowControl w:val="0"/>
      <w:adjustRightInd w:val="0"/>
      <w:snapToGrid w:val="0"/>
      <w:spacing w:beforeLines="10" w:line="460" w:lineRule="exact"/>
      <w:ind w:firstLine="200" w:firstLineChars="200"/>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blPr>
        <w:tblLayout w:type="fixed"/>
      </w:tblPr>
      <w:tcPr>
        <w:tcBorders>
          <w:tl2br w:val="nil"/>
          <w:tr2bl w:val="nil"/>
        </w:tcBorders>
        <w:shd w:val="solid" w:color="000000" w:fill="FFFFFF"/>
      </w:tcPr>
    </w:tblStylePr>
    <w:tblStylePr w:type="firstCol">
      <w:rPr>
        <w:b/>
        <w:bCs/>
        <w:i/>
        <w:iCs/>
      </w:rPr>
      <w:tblPr>
        <w:tblLayout w:type="fixed"/>
      </w:tblPr>
      <w:tcPr>
        <w:tcBorders>
          <w:tl2br w:val="nil"/>
          <w:tr2bl w:val="nil"/>
        </w:tcBorders>
        <w:shd w:val="solid" w:color="000080" w:fill="FFFFFF"/>
      </w:tcPr>
    </w:tblStylePr>
    <w:tblStylePr w:type="nwCell">
      <w:tblPr>
        <w:tblLayout w:type="fixed"/>
      </w:tblPr>
      <w:tcPr>
        <w:tcBorders>
          <w:tl2br w:val="nil"/>
          <w:tr2bl w:val="nil"/>
        </w:tcBorders>
        <w:shd w:val="solid" w:color="000000" w:fill="FFFFFF"/>
      </w:tcPr>
    </w:tblStylePr>
    <w:tblStylePr w:type="swCell">
      <w:rPr>
        <w:b/>
        <w:bCs/>
        <w:i w:val="0"/>
        <w:iCs w:val="0"/>
      </w:rPr>
      <w:tblPr>
        <w:tblLayout w:type="fixed"/>
      </w:tblPr>
      <w:tcPr>
        <w:tcBorders>
          <w:tl2br w:val="nil"/>
          <w:tr2bl w:val="nil"/>
        </w:tcBorders>
      </w:tcPr>
    </w:tblStylePr>
  </w:style>
  <w:style w:type="table" w:styleId="92">
    <w:name w:val="Table Colorful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blPr>
        <w:tblLayout w:type="fixed"/>
      </w:tblPr>
      <w:tcPr>
        <w:tcBorders>
          <w:bottom w:val="single" w:color="000000" w:sz="12" w:space="0"/>
          <w:tl2br w:val="nil"/>
          <w:tr2bl w:val="nil"/>
        </w:tcBorders>
        <w:shd w:val="solid" w:color="800000" w:fill="FFFFFF"/>
      </w:tcPr>
    </w:tblStylePr>
    <w:tblStylePr w:type="firstCol">
      <w:rPr>
        <w:b/>
        <w:bCs/>
        <w:i/>
        <w:iCs/>
      </w:rPr>
      <w:tblPr>
        <w:tblLayout w:type="fixed"/>
      </w:tblPr>
      <w:tcPr>
        <w:tcBorders>
          <w:tl2br w:val="nil"/>
          <w:tr2bl w:val="nil"/>
        </w:tcBorders>
      </w:tcPr>
    </w:tblStylePr>
    <w:tblStylePr w:type="lastCol">
      <w:tblPr>
        <w:tblLayout w:type="fixed"/>
      </w:tblPr>
      <w:tcPr>
        <w:tcBorders>
          <w:tl2br w:val="nil"/>
          <w:tr2bl w:val="nil"/>
        </w:tcBorders>
        <w:shd w:val="solid" w:color="C0C0C0" w:fill="FFFFFF"/>
      </w:tcPr>
    </w:tblStylePr>
    <w:tblStylePr w:type="swCell">
      <w:rPr>
        <w:b/>
        <w:bCs/>
        <w:i w:val="0"/>
        <w:iCs w:val="0"/>
      </w:rPr>
      <w:tblPr>
        <w:tblLayout w:type="fixed"/>
      </w:tblPr>
      <w:tcPr>
        <w:tcBorders>
          <w:tl2br w:val="nil"/>
          <w:tr2bl w:val="nil"/>
        </w:tcBorders>
      </w:tcPr>
    </w:tblStylePr>
  </w:style>
  <w:style w:type="table" w:styleId="93">
    <w:name w:val="Table Colorful 3"/>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blPr>
        <w:tblLayout w:type="fixed"/>
      </w:tblPr>
      <w:tcPr>
        <w:tcBorders>
          <w:bottom w:val="single" w:color="000000" w:sz="6" w:space="0"/>
          <w:tl2br w:val="nil"/>
          <w:tr2bl w:val="nil"/>
        </w:tcBorders>
        <w:shd w:val="solid" w:color="008080" w:fill="FFFFFF"/>
      </w:tcPr>
    </w:tblStylePr>
    <w:tblStylePr w:type="firstCol">
      <w:tblPr>
        <w:tblLayout w:type="fixed"/>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blLayout w:type="fixed"/>
      </w:tblPr>
      <w:tcPr>
        <w:tcBorders>
          <w:tl2br w:val="nil"/>
          <w:tr2bl w:val="nil"/>
        </w:tcBorders>
        <w:shd w:val="solid" w:color="000000" w:fill="FFFFFF"/>
      </w:tcPr>
    </w:tblStylePr>
  </w:style>
  <w:style w:type="table" w:styleId="94">
    <w:name w:val="Table Elegant"/>
    <w:basedOn w:val="88"/>
    <w:qFormat/>
    <w:uiPriority w:val="0"/>
    <w:pPr>
      <w:widowControl w:val="0"/>
      <w:adjustRightInd w:val="0"/>
      <w:snapToGrid w:val="0"/>
      <w:spacing w:beforeLines="10" w:line="460" w:lineRule="exact"/>
      <w:ind w:firstLine="200" w:firstLineChars="20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table" w:styleId="95">
    <w:name w:val="Table Classic 1"/>
    <w:basedOn w:val="88"/>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96">
    <w:name w:val="Table Classic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table" w:styleId="97">
    <w:name w:val="Table Classic 3"/>
    <w:basedOn w:val="88"/>
    <w:semiHidden/>
    <w:qFormat/>
    <w:uiPriority w:val="0"/>
    <w:pPr>
      <w:widowControl w:val="0"/>
      <w:adjustRightInd w:val="0"/>
      <w:snapToGrid w:val="0"/>
      <w:spacing w:beforeLines="10" w:line="460" w:lineRule="exact"/>
      <w:ind w:firstLine="200" w:firstLineChars="200"/>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blPr>
        <w:tblLayout w:type="fixed"/>
      </w:tblPr>
      <w:tcPr>
        <w:tcBorders>
          <w:bottom w:val="single" w:color="000000" w:sz="6" w:space="0"/>
          <w:tl2br w:val="nil"/>
          <w:tr2bl w:val="nil"/>
        </w:tcBorders>
        <w:shd w:val="solid" w:color="000080" w:fill="FFFFFF"/>
      </w:tcPr>
    </w:tblStylePr>
    <w:tblStylePr w:type="lastRow">
      <w:rPr>
        <w:color w:val="000080"/>
      </w:rPr>
      <w:tblPr>
        <w:tblLayout w:type="fixed"/>
      </w:tblPr>
      <w:tcPr>
        <w:tcBorders>
          <w:top w:val="single" w:color="000000" w:sz="12" w:space="0"/>
          <w:tl2br w:val="nil"/>
          <w:tr2bl w:val="nil"/>
        </w:tcBorders>
        <w:shd w:val="solid" w:color="FFFFFF" w:fill="FFFFFF"/>
      </w:tcPr>
    </w:tblStylePr>
    <w:tblStylePr w:type="firstCol">
      <w:rPr>
        <w:b/>
        <w:bCs/>
        <w:color w:val="000000"/>
      </w:rPr>
      <w:tblPr>
        <w:tblLayout w:type="fixed"/>
      </w:tblPr>
      <w:tcPr>
        <w:tcBorders>
          <w:tl2br w:val="nil"/>
          <w:tr2bl w:val="nil"/>
        </w:tcBorders>
      </w:tcPr>
    </w:tblStylePr>
  </w:style>
  <w:style w:type="table" w:styleId="98">
    <w:name w:val="Table Classic 4"/>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blPr>
        <w:tblLayout w:type="fixed"/>
      </w:tblPr>
      <w:tcPr>
        <w:tcBorders>
          <w:bottom w:val="single" w:color="000000" w:sz="6" w:space="0"/>
          <w:tl2br w:val="nil"/>
          <w:tr2bl w:val="nil"/>
        </w:tcBorders>
        <w:shd w:val="pct50" w:color="000080" w:fill="FFFFFF"/>
      </w:tcPr>
    </w:tblStylePr>
    <w:tblStylePr w:type="lastRow">
      <w:rPr>
        <w:color w:val="000080"/>
      </w:rPr>
      <w:tblPr>
        <w:tblLayout w:type="fixed"/>
      </w:tblPr>
      <w:tcPr>
        <w:tcBorders>
          <w:bottom w:val="single" w:color="000000" w:sz="6" w:space="0"/>
          <w:tl2br w:val="nil"/>
          <w:tr2bl w:val="nil"/>
        </w:tcBorders>
        <w:shd w:val="pct50" w:color="000000" w:fill="FFFFFF"/>
      </w:tcPr>
    </w:tblStylePr>
    <w:tblStylePr w:type="firstCol">
      <w:rPr>
        <w:b/>
        <w:bCs/>
      </w:rPr>
      <w:tblPr>
        <w:tblLayout w:type="fixed"/>
      </w:tblPr>
      <w:tcPr>
        <w:tcBorders>
          <w:tl2br w:val="nil"/>
          <w:tr2bl w:val="nil"/>
        </w:tcBorders>
      </w:tcPr>
    </w:tblStylePr>
    <w:tblStylePr w:type="nwCell">
      <w:rPr>
        <w:b/>
        <w:bCs/>
      </w:rPr>
      <w:tblPr>
        <w:tblLayout w:type="fixed"/>
      </w:tblPr>
      <w:tcPr>
        <w:tcBorders>
          <w:tl2br w:val="nil"/>
          <w:tr2bl w:val="nil"/>
        </w:tcBorders>
      </w:tcPr>
    </w:tblStylePr>
    <w:tblStylePr w:type="swCell">
      <w:rPr>
        <w:color w:val="000080"/>
      </w:rPr>
      <w:tblPr>
        <w:tblLayout w:type="fixed"/>
      </w:tblPr>
      <w:tcPr>
        <w:tcBorders>
          <w:tl2br w:val="nil"/>
          <w:tr2bl w:val="nil"/>
        </w:tcBorders>
      </w:tcPr>
    </w:tblStylePr>
  </w:style>
  <w:style w:type="table" w:styleId="99">
    <w:name w:val="Table Simple 1"/>
    <w:basedOn w:val="88"/>
    <w:qFormat/>
    <w:uiPriority w:val="0"/>
    <w:pPr>
      <w:widowControl w:val="0"/>
      <w:adjustRightInd w:val="0"/>
      <w:snapToGrid w:val="0"/>
      <w:spacing w:beforeLines="10" w:line="460" w:lineRule="exact"/>
      <w:ind w:firstLine="200" w:firstLineChars="20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100">
    <w:name w:val="Table Simple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blPr>
        <w:tblLayout w:type="fixed"/>
      </w:tblPr>
      <w:tcPr>
        <w:tcBorders>
          <w:bottom w:val="single" w:color="000000" w:sz="12" w:space="0"/>
          <w:tl2br w:val="nil"/>
          <w:tr2bl w:val="nil"/>
        </w:tcBorders>
      </w:tcPr>
    </w:tblStylePr>
    <w:tblStylePr w:type="lastRow">
      <w:rPr>
        <w:b/>
        <w:bCs/>
        <w:color w:val="auto"/>
      </w:rPr>
      <w:tblPr>
        <w:tblLayout w:type="fixed"/>
      </w:tblPr>
      <w:tcPr>
        <w:tcBorders>
          <w:top w:val="single" w:color="000000" w:sz="6"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lastCol">
      <w:rPr>
        <w:b/>
        <w:bCs/>
      </w:rPr>
      <w:tblPr>
        <w:tblLayout w:type="fixed"/>
      </w:tblPr>
      <w:tcPr>
        <w:tcBorders>
          <w:left w:val="single" w:color="000000" w:sz="6" w:space="0"/>
          <w:tl2br w:val="nil"/>
          <w:tr2bl w:val="nil"/>
        </w:tcBorders>
      </w:tcPr>
    </w:tblStylePr>
    <w:tblStylePr w:type="neCell">
      <w:rPr>
        <w:b/>
        <w:bCs/>
      </w:rPr>
      <w:tblPr>
        <w:tblLayout w:type="fixed"/>
      </w:tblPr>
      <w:tcPr>
        <w:tcBorders>
          <w:left w:val="nil"/>
          <w:tl2br w:val="nil"/>
          <w:tr2bl w:val="nil"/>
        </w:tcBorders>
      </w:tcPr>
    </w:tblStylePr>
    <w:tblStylePr w:type="swCell">
      <w:rPr>
        <w:b/>
        <w:bCs/>
      </w:rPr>
      <w:tblPr>
        <w:tblLayout w:type="fixed"/>
      </w:tblPr>
      <w:tcPr>
        <w:tcBorders>
          <w:top w:val="nil"/>
          <w:tl2br w:val="nil"/>
          <w:tr2bl w:val="nil"/>
        </w:tcBorders>
      </w:tcPr>
    </w:tblStylePr>
  </w:style>
  <w:style w:type="table" w:styleId="101">
    <w:name w:val="Table Simple 3"/>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00" w:fill="FFFFFF"/>
      </w:tcPr>
    </w:tblStylePr>
  </w:style>
  <w:style w:type="table" w:styleId="102">
    <w:name w:val="Table Subtle 1"/>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tblPr>
        <w:tblLayout w:type="fixed"/>
      </w:tblPr>
      <w:tcPr>
        <w:tcBorders>
          <w:top w:val="single" w:color="000000" w:sz="6" w:space="0"/>
          <w:bottom w:val="single" w:color="000000" w:sz="12" w:space="0"/>
          <w:tl2br w:val="nil"/>
          <w:tr2bl w:val="nil"/>
        </w:tcBorders>
      </w:tcPr>
    </w:tblStylePr>
    <w:tblStylePr w:type="lastRow">
      <w:tblPr>
        <w:tblLayout w:type="fixed"/>
      </w:tblPr>
      <w:tcPr>
        <w:tcBorders>
          <w:top w:val="single" w:color="000000" w:sz="12" w:space="0"/>
          <w:tl2br w:val="nil"/>
          <w:tr2bl w:val="nil"/>
        </w:tcBorders>
        <w:shd w:val="pct25" w:color="800080" w:fill="FFFFFF"/>
      </w:tcPr>
    </w:tblStylePr>
    <w:tblStylePr w:type="firstCol">
      <w:tblPr>
        <w:tblLayout w:type="fixed"/>
      </w:tblPr>
      <w:tcPr>
        <w:tcBorders>
          <w:right w:val="single" w:color="000000" w:sz="12" w:space="0"/>
          <w:tl2br w:val="nil"/>
          <w:tr2bl w:val="nil"/>
        </w:tcBorders>
      </w:tcPr>
    </w:tblStylePr>
    <w:tblStylePr w:type="lastCol">
      <w:tblPr>
        <w:tblLayout w:type="fixed"/>
      </w:tblPr>
      <w:tcPr>
        <w:tcBorders>
          <w:left w:val="single" w:color="000000" w:sz="12" w:space="0"/>
          <w:tl2br w:val="nil"/>
          <w:tr2bl w:val="nil"/>
        </w:tcBorders>
      </w:tcPr>
    </w:tblStylePr>
    <w:tblStylePr w:type="band1Horz">
      <w:tblPr>
        <w:tblLayout w:type="fixed"/>
      </w:tblPr>
      <w:tcPr>
        <w:tcBorders>
          <w:bottom w:val="single" w:color="000000" w:sz="6"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3">
    <w:name w:val="Table Subtle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firstCol">
      <w:tblPr>
        <w:tblLayout w:type="fixed"/>
      </w:tblPr>
      <w:tcPr>
        <w:tcBorders>
          <w:right w:val="single" w:color="000000" w:sz="12" w:space="0"/>
          <w:tl2br w:val="nil"/>
          <w:tr2bl w:val="nil"/>
        </w:tcBorders>
        <w:shd w:val="pct25" w:color="008000" w:fill="FFFFFF"/>
      </w:tcPr>
    </w:tblStylePr>
    <w:tblStylePr w:type="lastCol">
      <w:tblPr>
        <w:tblLayout w:type="fixed"/>
      </w:tblPr>
      <w:tcPr>
        <w:tcBorders>
          <w:left w:val="single" w:color="000000" w:sz="12"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4">
    <w:name w:val="Table 3D effects 1"/>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cPr>
      <w:shd w:val="solid" w:color="C0C0C0" w:fill="FFFFFF"/>
    </w:tcPr>
    <w:tblStylePr w:type="firstRow">
      <w:rPr>
        <w:b/>
        <w:bCs/>
        <w:color w:val="800080"/>
      </w:rPr>
      <w:tblPr>
        <w:tblLayout w:type="fixed"/>
      </w:tblPr>
      <w:tcPr>
        <w:tcBorders>
          <w:bottom w:val="single" w:color="808080" w:sz="6" w:space="0"/>
          <w:tl2br w:val="nil"/>
          <w:tr2bl w:val="nil"/>
        </w:tcBorders>
      </w:tcPr>
    </w:tblStylePr>
    <w:tblStylePr w:type="lastRow">
      <w:tblPr>
        <w:tblLayout w:type="fixed"/>
      </w:tblPr>
      <w:tcPr>
        <w:tcBorders>
          <w:top w:val="single" w:color="FFFFFF" w:sz="6" w:space="0"/>
          <w:tl2br w:val="nil"/>
          <w:tr2bl w:val="nil"/>
        </w:tcBorders>
      </w:tcPr>
    </w:tblStylePr>
    <w:tblStylePr w:type="firstCol">
      <w:rPr>
        <w:b/>
        <w:bCs/>
      </w:rPr>
      <w:tblPr>
        <w:tblLayout w:type="fixed"/>
      </w:tblPr>
      <w:tcPr>
        <w:tcBorders>
          <w:right w:val="single" w:color="808080" w:sz="6" w:space="0"/>
          <w:tl2br w:val="nil"/>
          <w:tr2bl w:val="nil"/>
        </w:tcBorders>
      </w:tcPr>
    </w:tblStylePr>
    <w:tblStylePr w:type="lastCol">
      <w:tblPr>
        <w:tblLayout w:type="fixed"/>
      </w:tblPr>
      <w:tcPr>
        <w:tcBorders>
          <w:left w:val="single" w:color="FFFFFF" w:sz="6" w:space="0"/>
          <w:tl2br w:val="nil"/>
          <w:tr2bl w:val="nil"/>
        </w:tcBorders>
      </w:tcPr>
    </w:tblStylePr>
    <w:tblStylePr w:type="neCell">
      <w:tblPr>
        <w:tblLayout w:type="fixed"/>
      </w:tblPr>
      <w:tcPr>
        <w:tcBorders>
          <w:left w:val="nil"/>
          <w:bottom w:val="nil"/>
          <w:tl2br w:val="nil"/>
          <w:tr2bl w:val="nil"/>
        </w:tcBorders>
      </w:tcPr>
    </w:tblStylePr>
    <w:tblStylePr w:type="nwCell">
      <w:tblPr>
        <w:tblLayout w:type="fixed"/>
      </w:tblPr>
      <w:tcPr>
        <w:tcBorders>
          <w:bottom w:val="nil"/>
          <w:right w:val="nil"/>
          <w:tl2br w:val="nil"/>
          <w:tr2bl w:val="nil"/>
        </w:tcBorders>
      </w:tcPr>
    </w:tblStylePr>
    <w:tblStylePr w:type="seCell">
      <w:tblPr>
        <w:tblLayout w:type="fixed"/>
      </w:tblPr>
      <w:tcPr>
        <w:tcBorders>
          <w:top w:val="nil"/>
          <w:left w:val="nil"/>
          <w:tl2br w:val="nil"/>
          <w:tr2bl w:val="nil"/>
        </w:tcBorders>
      </w:tcPr>
    </w:tblStylePr>
    <w:tblStylePr w:type="swCell">
      <w:rPr>
        <w:color w:val="000080"/>
      </w:rPr>
      <w:tblPr>
        <w:tblLayout w:type="fixed"/>
      </w:tblPr>
      <w:tcPr>
        <w:tcBorders>
          <w:top w:val="nil"/>
          <w:right w:val="nil"/>
          <w:tl2br w:val="nil"/>
          <w:tr2bl w:val="nil"/>
        </w:tcBorders>
      </w:tcPr>
    </w:tblStylePr>
  </w:style>
  <w:style w:type="table" w:styleId="105">
    <w:name w:val="Table 3D effects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cPr>
      <w:shd w:val="solid" w:color="C0C0C0" w:fill="FFFFFF"/>
    </w:tc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06">
    <w:name w:val="Table 3D effects 3"/>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07">
    <w:name w:val="Table List 1"/>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8">
    <w:name w:val="Table List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bottom w:val="single" w:color="808080" w:sz="12" w:space="0"/>
      </w:tblBorders>
      <w:tblLayout w:type="fixed"/>
      <w:tblCellMar>
        <w:top w:w="0" w:type="dxa"/>
        <w:left w:w="108" w:type="dxa"/>
        <w:bottom w:w="0" w:type="dxa"/>
        <w:right w:w="108" w:type="dxa"/>
      </w:tblCellMar>
    </w:tblPr>
    <w:tblStylePr w:type="firstRow">
      <w:rPr>
        <w:b/>
        <w:bCs/>
        <w:color w:val="FFFFFF"/>
      </w:rPr>
      <w:tblPr>
        <w:tblLayout w:type="fixed"/>
      </w:tblPr>
      <w:tcPr>
        <w:tcBorders>
          <w:bottom w:val="single" w:color="000000" w:sz="6" w:space="0"/>
          <w:tl2br w:val="nil"/>
          <w:tr2bl w:val="nil"/>
        </w:tcBorders>
        <w:shd w:val="pct75" w:color="008080" w:fill="008000"/>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pct20" w:color="00FF0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9">
    <w:name w:val="Table List 3"/>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table" w:styleId="110">
    <w:name w:val="Table List 4"/>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bottom w:val="single" w:color="000000" w:sz="12" w:space="0"/>
          <w:tl2br w:val="nil"/>
          <w:tr2bl w:val="nil"/>
        </w:tcBorders>
        <w:shd w:val="solid" w:color="808080" w:fill="FFFFFF"/>
      </w:tcPr>
    </w:tblStylePr>
  </w:style>
  <w:style w:type="table" w:styleId="111">
    <w:name w:val="Table List 5"/>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tl2br w:val="nil"/>
          <w:tr2bl w:val="nil"/>
        </w:tcBorders>
      </w:tcPr>
    </w:tblStylePr>
  </w:style>
  <w:style w:type="table" w:styleId="112">
    <w:name w:val="Table List 6"/>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band1Horz">
      <w:tblPr>
        <w:tblLayout w:type="fixed"/>
      </w:tblPr>
      <w:tcPr>
        <w:tcBorders>
          <w:tl2br w:val="nil"/>
          <w:tr2bl w:val="nil"/>
        </w:tcBorders>
        <w:shd w:val="pct25" w:color="000000" w:fill="FFFFFF"/>
      </w:tcPr>
    </w:tblStylePr>
    <w:tblStylePr w:type="nwCell">
      <w:tblPr>
        <w:tblLayout w:type="fixed"/>
      </w:tblPr>
      <w:tcPr>
        <w:tcBorders>
          <w:tl2br w:val="single" w:color="000000" w:sz="6" w:space="0"/>
          <w:tr2bl w:val="nil"/>
        </w:tcBorders>
      </w:tcPr>
    </w:tblStylePr>
  </w:style>
  <w:style w:type="table" w:styleId="113">
    <w:name w:val="Table List 7"/>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blPr>
        <w:tblLayout w:type="fixed"/>
      </w:tblPr>
      <w:tcPr>
        <w:tcBorders>
          <w:bottom w:val="single" w:color="008000" w:sz="12" w:space="0"/>
          <w:tl2br w:val="nil"/>
          <w:tr2bl w:val="nil"/>
        </w:tcBorders>
        <w:shd w:val="solid" w:color="C0C0C0" w:fill="FFFFFF"/>
      </w:tcPr>
    </w:tblStylePr>
    <w:tblStylePr w:type="lastRow">
      <w:rPr>
        <w:b/>
        <w:bCs/>
      </w:rPr>
      <w:tblPr>
        <w:tblLayout w:type="fixed"/>
      </w:tblPr>
      <w:tcPr>
        <w:tcBorders>
          <w:top w:val="single" w:color="008000" w:sz="12"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0" w:color="000000" w:fill="FFFFFF"/>
      </w:tcPr>
    </w:tblStylePr>
    <w:tblStylePr w:type="band2Horz">
      <w:tblPr>
        <w:tblLayout w:type="fixed"/>
      </w:tblPr>
      <w:tcPr>
        <w:tcBorders>
          <w:tl2br w:val="nil"/>
          <w:tr2bl w:val="nil"/>
        </w:tcBorders>
        <w:shd w:val="pct25" w:color="FFFF00" w:fill="FFFFFF"/>
      </w:tcPr>
    </w:tblStylePr>
  </w:style>
  <w:style w:type="table" w:styleId="114">
    <w:name w:val="Table List 8"/>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000000" w:sz="6" w:space="0"/>
          <w:tl2br w:val="nil"/>
          <w:tr2bl w:val="nil"/>
        </w:tcBorders>
        <w:shd w:val="solid" w:color="FFFF00" w:fill="FFFFFF"/>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5" w:color="FFFF00" w:fill="FFFFFF"/>
      </w:tcPr>
    </w:tblStylePr>
    <w:tblStylePr w:type="band2Horz">
      <w:tblPr>
        <w:tblLayout w:type="fixed"/>
      </w:tblPr>
      <w:tcPr>
        <w:tcBorders>
          <w:tl2br w:val="nil"/>
          <w:tr2bl w:val="nil"/>
        </w:tcBorders>
        <w:shd w:val="pct50" w:color="FF0000" w:fill="FFFFFF"/>
      </w:tcPr>
    </w:tblStylePr>
    <w:tblStylePr w:type="nwCell">
      <w:tblPr>
        <w:tblLayout w:type="fixed"/>
      </w:tblPr>
      <w:tcPr>
        <w:tcBorders>
          <w:tl2br w:val="single" w:color="auto" w:sz="6" w:space="0"/>
          <w:tr2bl w:val="nil"/>
        </w:tcBorders>
      </w:tcPr>
    </w:tblStylePr>
  </w:style>
  <w:style w:type="table" w:styleId="115">
    <w:name w:val="Table Contemporary"/>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blPr>
        <w:tblLayout w:type="fixed"/>
      </w:tblPr>
      <w:tcPr>
        <w:tcBorders>
          <w:tl2br w:val="nil"/>
          <w:tr2bl w:val="nil"/>
        </w:tcBorders>
        <w:shd w:val="pct20" w:color="000000" w:fill="FFFFFF"/>
      </w:tcPr>
    </w:tblStylePr>
    <w:tblStylePr w:type="band1Horz">
      <w:rPr>
        <w:color w:val="auto"/>
      </w:rPr>
      <w:tblPr>
        <w:tblLayout w:type="fixed"/>
      </w:tblPr>
      <w:tcPr>
        <w:tcBorders>
          <w:tl2br w:val="nil"/>
          <w:tr2bl w:val="nil"/>
        </w:tcBorders>
        <w:shd w:val="pct5" w:color="000000" w:fill="FFFFFF"/>
      </w:tcPr>
    </w:tblStylePr>
    <w:tblStylePr w:type="band2Horz">
      <w:rPr>
        <w:color w:val="auto"/>
      </w:rPr>
      <w:tblPr>
        <w:tblLayout w:type="fixed"/>
      </w:tblPr>
      <w:tcPr>
        <w:tcBorders>
          <w:tl2br w:val="nil"/>
          <w:tr2bl w:val="nil"/>
        </w:tcBorders>
        <w:shd w:val="pct20" w:color="000000" w:fill="FFFFFF"/>
      </w:tcPr>
    </w:tblStylePr>
  </w:style>
  <w:style w:type="table" w:styleId="116">
    <w:name w:val="Table Columns 1"/>
    <w:basedOn w:val="88"/>
    <w:semiHidden/>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blPr>
        <w:tblLayout w:type="fixed"/>
      </w:tblPr>
      <w:tcPr>
        <w:tcBorders>
          <w:bottom w:val="double" w:color="000000" w:sz="6" w:space="0"/>
          <w:tl2br w:val="nil"/>
          <w:tr2bl w:val="nil"/>
        </w:tcBorders>
      </w:tcPr>
    </w:tblStylePr>
    <w:tblStylePr w:type="lastRow">
      <w:rPr>
        <w:b w:val="0"/>
        <w:bCs w:val="0"/>
      </w:rPr>
      <w:tblPr>
        <w:tblLayout w:type="fixed"/>
      </w:tblPr>
      <w:tcPr>
        <w:tcBorders>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7">
    <w:name w:val="Table Columns 2"/>
    <w:basedOn w:val="88"/>
    <w:semiHidden/>
    <w:qFormat/>
    <w:uiPriority w:val="0"/>
    <w:pPr>
      <w:widowControl w:val="0"/>
      <w:adjustRightInd w:val="0"/>
      <w:snapToGrid w:val="0"/>
      <w:spacing w:beforeLines="10" w:line="460" w:lineRule="exact"/>
      <w:ind w:firstLine="200" w:firstLineChars="200"/>
      <w:jc w:val="both"/>
    </w:pPr>
    <w:rPr>
      <w:rFonts w:ascii="Calibri" w:hAnsi="Calibri"/>
      <w:b/>
      <w:bCs/>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l2br w:val="nil"/>
          <w:tr2bl w:val="nil"/>
        </w:tcBorders>
      </w:tcPr>
    </w:tblStylePr>
    <w:tblStylePr w:type="firstCol">
      <w:rPr>
        <w:b w:val="0"/>
        <w:bCs w:val="0"/>
        <w:color w:val="00000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8">
    <w:name w:val="Table Columns 3"/>
    <w:basedOn w:val="88"/>
    <w:semiHidden/>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op w:val="single" w:color="00008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l2br w:val="nil"/>
          <w:tr2bl w:val="nil"/>
        </w:tcBorders>
      </w:tcPr>
    </w:tblStylePr>
  </w:style>
  <w:style w:type="table" w:styleId="119">
    <w:name w:val="Table Columns 4"/>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color w:val="FFFFFF"/>
      </w:rPr>
      <w:tblPr>
        <w:tblLayout w:type="fixed"/>
      </w:tblPr>
      <w:tcPr>
        <w:tcBorders>
          <w:tl2br w:val="nil"/>
          <w:tr2bl w:val="nil"/>
        </w:tcBorders>
        <w:shd w:val="solid" w:color="0000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20">
    <w:name w:val="Table Columns 5"/>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blPr>
        <w:tblLayout w:type="fixed"/>
      </w:tblPr>
      <w:tcPr>
        <w:tcBorders>
          <w:bottom w:val="single" w:color="808080" w:sz="6" w:space="0"/>
          <w:tl2br w:val="nil"/>
          <w:tr2bl w:val="nil"/>
        </w:tcBorders>
      </w:tcPr>
    </w:tblStylePr>
    <w:tblStylePr w:type="lastRow">
      <w:rPr>
        <w:b/>
        <w:bCs/>
      </w:rPr>
      <w:tblPr>
        <w:tblLayout w:type="fixed"/>
      </w:tblPr>
      <w:tcPr>
        <w:tcBorders>
          <w:top w:val="single" w:color="80808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21">
    <w:name w:val="Table Grid 1"/>
    <w:basedOn w:val="88"/>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2">
    <w:name w:val="Table Grid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l2br w:val="nil"/>
          <w:tr2bl w:val="nil"/>
        </w:tcBorders>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style>
  <w:style w:type="table" w:styleId="123">
    <w:name w:val="Table Grid 3"/>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6" w:space="0"/>
          <w:tl2br w:val="nil"/>
          <w:tr2bl w:val="nil"/>
        </w:tcBorders>
        <w:shd w:val="pct30" w:color="FFFF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4">
    <w:name w:val="Table Grid 4"/>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olor w:val="auto"/>
      </w:rPr>
      <w:tblPr>
        <w:tblLayout w:type="fixed"/>
      </w:tblPr>
      <w:tcPr>
        <w:tcBorders>
          <w:bottom w:val="single" w:color="000000" w:sz="6" w:space="0"/>
          <w:tl2br w:val="nil"/>
          <w:tr2bl w:val="nil"/>
        </w:tcBorders>
        <w:shd w:val="pct30" w:color="FFFF00" w:fill="FFFFFF"/>
      </w:tcPr>
    </w:tblStylePr>
    <w:tblStylePr w:type="lastRow">
      <w:rPr>
        <w:b/>
        <w:bCs/>
        <w:color w:val="auto"/>
      </w:rPr>
      <w:tblPr>
        <w:tblLayout w:type="fixed"/>
      </w:tblPr>
      <w:tcPr>
        <w:tcBorders>
          <w:top w:val="single" w:color="000000" w:sz="6" w:space="0"/>
          <w:tl2br w:val="nil"/>
          <w:tr2bl w:val="nil"/>
        </w:tcBorders>
        <w:shd w:val="pct30" w:color="FFFF00" w:fill="FFFFFF"/>
      </w:tcPr>
    </w:tblStylePr>
    <w:tblStylePr w:type="lastCol">
      <w:rPr>
        <w:b/>
        <w:bCs/>
        <w:color w:val="auto"/>
      </w:rPr>
      <w:tblPr>
        <w:tblLayout w:type="fixed"/>
      </w:tblPr>
      <w:tcPr>
        <w:tcBorders>
          <w:tl2br w:val="nil"/>
          <w:tr2bl w:val="nil"/>
        </w:tcBorders>
      </w:tcPr>
    </w:tblStylePr>
  </w:style>
  <w:style w:type="table" w:styleId="125">
    <w:name w:val="Table Grid 5"/>
    <w:basedOn w:val="88"/>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6">
    <w:name w:val="Table Grid 6"/>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7">
    <w:name w:val="Table Grid 7"/>
    <w:basedOn w:val="88"/>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8">
    <w:name w:val="Table Grid 8"/>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table" w:styleId="129">
    <w:name w:val="Table Web 1"/>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0">
    <w:name w:val="Table Web 2"/>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1">
    <w:name w:val="Table Web 3"/>
    <w:basedOn w:val="88"/>
    <w:semiHidden/>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character" w:styleId="133">
    <w:name w:val="Strong"/>
    <w:qFormat/>
    <w:uiPriority w:val="0"/>
    <w:rPr>
      <w:b/>
      <w:bCs/>
    </w:rPr>
  </w:style>
  <w:style w:type="character" w:styleId="134">
    <w:name w:val="endnote reference"/>
    <w:qFormat/>
    <w:uiPriority w:val="0"/>
    <w:rPr>
      <w:vertAlign w:val="superscript"/>
    </w:rPr>
  </w:style>
  <w:style w:type="character" w:styleId="135">
    <w:name w:val="page number"/>
    <w:qFormat/>
    <w:uiPriority w:val="0"/>
    <w:rPr>
      <w:rFonts w:eastAsia="宋体"/>
      <w:sz w:val="18"/>
    </w:rPr>
  </w:style>
  <w:style w:type="character" w:styleId="136">
    <w:name w:val="FollowedHyperlink"/>
    <w:unhideWhenUsed/>
    <w:qFormat/>
    <w:uiPriority w:val="99"/>
    <w:rPr>
      <w:color w:val="954F72"/>
      <w:u w:val="single"/>
    </w:rPr>
  </w:style>
  <w:style w:type="character" w:styleId="137">
    <w:name w:val="Emphasis"/>
    <w:qFormat/>
    <w:uiPriority w:val="0"/>
    <w:rPr>
      <w:i/>
      <w:iCs/>
    </w:rPr>
  </w:style>
  <w:style w:type="character" w:styleId="138">
    <w:name w:val="line number"/>
    <w:basedOn w:val="132"/>
    <w:qFormat/>
    <w:uiPriority w:val="0"/>
  </w:style>
  <w:style w:type="character" w:styleId="139">
    <w:name w:val="HTML Definition"/>
    <w:qFormat/>
    <w:uiPriority w:val="0"/>
    <w:rPr>
      <w:i/>
      <w:iCs/>
    </w:rPr>
  </w:style>
  <w:style w:type="character" w:styleId="140">
    <w:name w:val="HTML Typewriter"/>
    <w:qFormat/>
    <w:uiPriority w:val="0"/>
    <w:rPr>
      <w:rFonts w:ascii="Courier New" w:hAnsi="Courier New" w:cs="Courier New"/>
      <w:sz w:val="20"/>
      <w:szCs w:val="20"/>
    </w:rPr>
  </w:style>
  <w:style w:type="character" w:styleId="141">
    <w:name w:val="HTML Acronym"/>
    <w:basedOn w:val="132"/>
    <w:qFormat/>
    <w:uiPriority w:val="0"/>
  </w:style>
  <w:style w:type="character" w:styleId="142">
    <w:name w:val="HTML Variable"/>
    <w:qFormat/>
    <w:uiPriority w:val="0"/>
    <w:rPr>
      <w:i/>
      <w:iCs/>
    </w:rPr>
  </w:style>
  <w:style w:type="character" w:styleId="143">
    <w:name w:val="Hyperlink"/>
    <w:basedOn w:val="132"/>
    <w:unhideWhenUsed/>
    <w:qFormat/>
    <w:uiPriority w:val="99"/>
    <w:rPr>
      <w:color w:val="0000FF"/>
      <w:u w:val="none"/>
    </w:rPr>
  </w:style>
  <w:style w:type="character" w:styleId="144">
    <w:name w:val="HTML Code"/>
    <w:qFormat/>
    <w:uiPriority w:val="0"/>
    <w:rPr>
      <w:rFonts w:ascii="Courier New" w:hAnsi="Courier New" w:cs="Courier New"/>
      <w:sz w:val="20"/>
      <w:szCs w:val="20"/>
    </w:rPr>
  </w:style>
  <w:style w:type="character" w:styleId="145">
    <w:name w:val="annotation reference"/>
    <w:unhideWhenUsed/>
    <w:qFormat/>
    <w:uiPriority w:val="0"/>
    <w:rPr>
      <w:sz w:val="21"/>
      <w:szCs w:val="21"/>
    </w:rPr>
  </w:style>
  <w:style w:type="character" w:styleId="146">
    <w:name w:val="HTML Cite"/>
    <w:qFormat/>
    <w:uiPriority w:val="0"/>
    <w:rPr>
      <w:i/>
      <w:iCs/>
    </w:rPr>
  </w:style>
  <w:style w:type="character" w:styleId="147">
    <w:name w:val="footnote reference"/>
    <w:qFormat/>
    <w:uiPriority w:val="0"/>
    <w:rPr>
      <w:vertAlign w:val="superscript"/>
    </w:rPr>
  </w:style>
  <w:style w:type="character" w:styleId="148">
    <w:name w:val="HTML Keyboard"/>
    <w:qFormat/>
    <w:uiPriority w:val="0"/>
    <w:rPr>
      <w:rFonts w:ascii="Courier New" w:hAnsi="Courier New" w:cs="Courier New"/>
      <w:sz w:val="20"/>
      <w:szCs w:val="20"/>
    </w:rPr>
  </w:style>
  <w:style w:type="character" w:styleId="149">
    <w:name w:val="HTML Sample"/>
    <w:qFormat/>
    <w:uiPriority w:val="0"/>
    <w:rPr>
      <w:rFonts w:ascii="Courier New" w:hAnsi="Courier New" w:cs="Courier New"/>
    </w:rPr>
  </w:style>
  <w:style w:type="paragraph" w:customStyle="1" w:styleId="150">
    <w:name w:val="LY -TEST01"/>
    <w:basedOn w:val="1"/>
    <w:link w:val="151"/>
    <w:qFormat/>
    <w:uiPriority w:val="0"/>
    <w:pPr>
      <w:adjustRightInd w:val="0"/>
      <w:spacing w:line="348" w:lineRule="auto"/>
      <w:ind w:left="480"/>
      <w:textAlignment w:val="baseline"/>
    </w:pPr>
    <w:rPr>
      <w:b/>
      <w:sz w:val="24"/>
      <w:szCs w:val="24"/>
    </w:rPr>
  </w:style>
  <w:style w:type="character" w:customStyle="1" w:styleId="151">
    <w:name w:val="LY -TEST01 字符"/>
    <w:basedOn w:val="132"/>
    <w:link w:val="150"/>
    <w:qFormat/>
    <w:uiPriority w:val="0"/>
    <w:rPr>
      <w:b/>
      <w:sz w:val="24"/>
      <w:szCs w:val="24"/>
    </w:rPr>
  </w:style>
  <w:style w:type="paragraph" w:styleId="152">
    <w:name w:val="List Paragraph"/>
    <w:basedOn w:val="1"/>
    <w:link w:val="171"/>
    <w:qFormat/>
    <w:uiPriority w:val="34"/>
    <w:pPr>
      <w:ind w:firstLine="420" w:firstLineChars="200"/>
    </w:pPr>
  </w:style>
  <w:style w:type="character" w:customStyle="1" w:styleId="153">
    <w:name w:val="标题 1 Char"/>
    <w:basedOn w:val="132"/>
    <w:link w:val="3"/>
    <w:qFormat/>
    <w:uiPriority w:val="0"/>
    <w:rPr>
      <w:rFonts w:cstheme="minorBidi"/>
      <w:b/>
      <w:bCs/>
      <w:kern w:val="44"/>
      <w:sz w:val="28"/>
      <w:szCs w:val="44"/>
    </w:rPr>
  </w:style>
  <w:style w:type="character" w:customStyle="1" w:styleId="154">
    <w:name w:val="标题 2 Char"/>
    <w:basedOn w:val="132"/>
    <w:link w:val="4"/>
    <w:qFormat/>
    <w:uiPriority w:val="0"/>
    <w:rPr>
      <w:rFonts w:cstheme="majorBidi"/>
      <w:b/>
      <w:bCs/>
      <w:kern w:val="2"/>
      <w:sz w:val="24"/>
      <w:szCs w:val="32"/>
    </w:rPr>
  </w:style>
  <w:style w:type="character" w:customStyle="1" w:styleId="155">
    <w:name w:val="标题 3 Char"/>
    <w:basedOn w:val="132"/>
    <w:link w:val="5"/>
    <w:qFormat/>
    <w:uiPriority w:val="9"/>
    <w:rPr>
      <w:rFonts w:cstheme="minorBidi"/>
      <w:b/>
      <w:bCs/>
      <w:kern w:val="2"/>
      <w:sz w:val="24"/>
      <w:szCs w:val="32"/>
    </w:rPr>
  </w:style>
  <w:style w:type="character" w:customStyle="1" w:styleId="156">
    <w:name w:val="标题 4 Char"/>
    <w:basedOn w:val="132"/>
    <w:link w:val="6"/>
    <w:qFormat/>
    <w:uiPriority w:val="0"/>
    <w:rPr>
      <w:rFonts w:cstheme="majorBidi"/>
      <w:b/>
      <w:bCs/>
      <w:kern w:val="2"/>
      <w:sz w:val="24"/>
      <w:szCs w:val="28"/>
    </w:rPr>
  </w:style>
  <w:style w:type="character" w:customStyle="1" w:styleId="157">
    <w:name w:val="页眉 Char"/>
    <w:basedOn w:val="132"/>
    <w:link w:val="57"/>
    <w:qFormat/>
    <w:uiPriority w:val="99"/>
    <w:rPr>
      <w:sz w:val="18"/>
      <w:szCs w:val="18"/>
    </w:rPr>
  </w:style>
  <w:style w:type="character" w:customStyle="1" w:styleId="158">
    <w:name w:val="页脚 Char"/>
    <w:basedOn w:val="132"/>
    <w:link w:val="55"/>
    <w:qFormat/>
    <w:uiPriority w:val="0"/>
    <w:rPr>
      <w:sz w:val="18"/>
      <w:szCs w:val="18"/>
    </w:rPr>
  </w:style>
  <w:style w:type="character" w:customStyle="1" w:styleId="159">
    <w:name w:val="页眉 字符2"/>
    <w:qFormat/>
    <w:uiPriority w:val="0"/>
    <w:rPr>
      <w:rFonts w:ascii="Times New Roman" w:hAnsi="Times New Roman" w:eastAsia="宋体" w:cs="Times New Roman"/>
      <w:szCs w:val="18"/>
    </w:rPr>
  </w:style>
  <w:style w:type="paragraph" w:customStyle="1" w:styleId="160">
    <w:name w:val="LY-正文内容"/>
    <w:basedOn w:val="1"/>
    <w:qFormat/>
    <w:uiPriority w:val="0"/>
    <w:pPr>
      <w:spacing w:line="360" w:lineRule="auto"/>
      <w:ind w:firstLine="200" w:firstLineChars="200"/>
    </w:pPr>
    <w:rPr>
      <w:rFonts w:ascii="Times New Roman" w:hAnsi="Times New Roman" w:eastAsia="宋体"/>
      <w:sz w:val="24"/>
    </w:rPr>
  </w:style>
  <w:style w:type="character" w:customStyle="1" w:styleId="161">
    <w:name w:val="标题 5 Char"/>
    <w:basedOn w:val="132"/>
    <w:link w:val="7"/>
    <w:qFormat/>
    <w:uiPriority w:val="0"/>
    <w:rPr>
      <w:rFonts w:asciiTheme="minorHAnsi" w:hAnsiTheme="minorHAnsi" w:eastAsiaTheme="minorEastAsia" w:cstheme="minorBidi"/>
      <w:b/>
      <w:bCs/>
      <w:kern w:val="2"/>
      <w:sz w:val="28"/>
      <w:szCs w:val="28"/>
    </w:rPr>
  </w:style>
  <w:style w:type="table" w:customStyle="1" w:styleId="162">
    <w:name w:val="LY-表格样式"/>
    <w:basedOn w:val="88"/>
    <w:qFormat/>
    <w:uiPriority w:val="99"/>
    <w:pPr>
      <w:jc w:val="center"/>
    </w:pPr>
    <w:tblPr>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rPr>
      <w:jc w:val="center"/>
    </w:trPr>
    <w:tcPr>
      <w:shd w:val="clear" w:color="auto" w:fill="auto"/>
      <w:vAlign w:val="center"/>
    </w:tcPr>
    <w:tblStylePr w:type="firstRow">
      <w:rPr>
        <w:rFonts w:eastAsia="宋体"/>
        <w:b/>
        <w:sz w:val="21"/>
      </w:rPr>
    </w:tblStylePr>
  </w:style>
  <w:style w:type="paragraph" w:customStyle="1" w:styleId="163">
    <w:name w:val="表格内居中文字"/>
    <w:basedOn w:val="1"/>
    <w:qFormat/>
    <w:uiPriority w:val="0"/>
    <w:pPr>
      <w:jc w:val="center"/>
    </w:pPr>
    <w:rPr>
      <w:rFonts w:ascii="Times New Roman" w:hAnsi="Times New Roman" w:eastAsia="宋体" w:cs="Times New Roman"/>
      <w:szCs w:val="24"/>
    </w:rPr>
  </w:style>
  <w:style w:type="paragraph" w:customStyle="1" w:styleId="164">
    <w:name w:val="LY-表格内容"/>
    <w:basedOn w:val="163"/>
    <w:qFormat/>
    <w:uiPriority w:val="0"/>
    <w:rPr>
      <w:color w:val="000000" w:themeColor="text1"/>
      <w:kern w:val="0"/>
      <w:lang w:val="zh-CN"/>
      <w14:textFill>
        <w14:solidFill>
          <w14:schemeClr w14:val="tx1"/>
        </w14:solidFill>
      </w14:textFill>
    </w:rPr>
  </w:style>
  <w:style w:type="paragraph" w:customStyle="1" w:styleId="165">
    <w:name w:val="LY-图表题注"/>
    <w:qFormat/>
    <w:uiPriority w:val="0"/>
    <w:pPr>
      <w:adjustRightInd w:val="0"/>
      <w:snapToGrid w:val="0"/>
      <w:spacing w:line="276" w:lineRule="auto"/>
      <w:jc w:val="center"/>
    </w:pPr>
    <w:rPr>
      <w:rFonts w:ascii="Times New Roman" w:hAnsi="Times New Roman" w:eastAsia="宋体" w:cstheme="majorBidi"/>
      <w:b/>
      <w:kern w:val="2"/>
      <w:sz w:val="24"/>
      <w:lang w:val="en-US" w:eastAsia="zh-CN" w:bidi="ar-SA"/>
    </w:rPr>
  </w:style>
  <w:style w:type="paragraph" w:customStyle="1" w:styleId="166">
    <w:name w:val="LY-标题5"/>
    <w:basedOn w:val="7"/>
    <w:qFormat/>
    <w:uiPriority w:val="0"/>
    <w:pPr>
      <w:keepNext w:val="0"/>
      <w:keepLines w:val="0"/>
      <w:spacing w:before="0" w:after="0" w:line="360" w:lineRule="auto"/>
      <w:ind w:firstLine="200" w:firstLineChars="200"/>
      <w:jc w:val="left"/>
    </w:pPr>
    <w:rPr>
      <w:rFonts w:ascii="Times New Roman" w:hAnsi="Times New Roman" w:eastAsia="宋体"/>
      <w:b w:val="0"/>
      <w:sz w:val="24"/>
    </w:rPr>
  </w:style>
  <w:style w:type="paragraph" w:customStyle="1" w:styleId="167">
    <w:name w:val="编制依据"/>
    <w:basedOn w:val="1"/>
    <w:link w:val="168"/>
    <w:qFormat/>
    <w:uiPriority w:val="0"/>
    <w:pPr>
      <w:adjustRightInd w:val="0"/>
      <w:spacing w:line="360" w:lineRule="auto"/>
    </w:pPr>
    <w:rPr>
      <w:rFonts w:ascii="Times New Roman" w:hAnsi="Times New Roman" w:eastAsia="宋体" w:cs="Times New Roman"/>
      <w:color w:val="000000" w:themeColor="text1"/>
      <w:sz w:val="24"/>
      <w14:textFill>
        <w14:solidFill>
          <w14:schemeClr w14:val="tx1"/>
        </w14:solidFill>
      </w14:textFill>
    </w:rPr>
  </w:style>
  <w:style w:type="character" w:customStyle="1" w:styleId="168">
    <w:name w:val="编制依据 字符"/>
    <w:basedOn w:val="132"/>
    <w:link w:val="167"/>
    <w:qFormat/>
    <w:uiPriority w:val="0"/>
    <w:rPr>
      <w:color w:val="000000" w:themeColor="text1"/>
      <w:kern w:val="2"/>
      <w:sz w:val="24"/>
      <w:szCs w:val="21"/>
      <w14:textFill>
        <w14:solidFill>
          <w14:schemeClr w14:val="tx1"/>
        </w14:solidFill>
      </w14:textFill>
    </w:rPr>
  </w:style>
  <w:style w:type="paragraph" w:customStyle="1" w:styleId="169">
    <w:name w:val="样式1"/>
    <w:basedOn w:val="1"/>
    <w:link w:val="170"/>
    <w:qFormat/>
    <w:uiPriority w:val="0"/>
    <w:pPr>
      <w:adjustRightInd w:val="0"/>
      <w:spacing w:line="360" w:lineRule="auto"/>
      <w:ind w:firstLine="520" w:firstLineChars="200"/>
      <w:jc w:val="left"/>
    </w:pPr>
    <w:rPr>
      <w:rFonts w:ascii="Times New Roman" w:hAnsi="Times New Roman" w:eastAsia="宋体" w:cs="Times New Roman"/>
      <w:sz w:val="24"/>
      <w:szCs w:val="26"/>
    </w:rPr>
  </w:style>
  <w:style w:type="character" w:customStyle="1" w:styleId="170">
    <w:name w:val="样式1 Char"/>
    <w:link w:val="169"/>
    <w:qFormat/>
    <w:uiPriority w:val="0"/>
    <w:rPr>
      <w:rFonts w:ascii="Times New Roman" w:hAnsi="Times New Roman" w:eastAsia="宋体" w:cs="Times New Roman"/>
      <w:sz w:val="24"/>
      <w:szCs w:val="26"/>
    </w:rPr>
  </w:style>
  <w:style w:type="character" w:customStyle="1" w:styleId="171">
    <w:name w:val="列出段落 Char"/>
    <w:link w:val="152"/>
    <w:qFormat/>
    <w:uiPriority w:val="1"/>
  </w:style>
  <w:style w:type="paragraph" w:customStyle="1" w:styleId="172">
    <w:name w:val="01正文"/>
    <w:basedOn w:val="1"/>
    <w:link w:val="173"/>
    <w:qFormat/>
    <w:uiPriority w:val="0"/>
    <w:pPr>
      <w:adjustRightInd w:val="0"/>
      <w:spacing w:line="360" w:lineRule="auto"/>
      <w:ind w:firstLine="520" w:firstLineChars="200"/>
      <w:jc w:val="left"/>
    </w:pPr>
    <w:rPr>
      <w:rFonts w:ascii="Times New Roman" w:hAnsi="Times New Roman" w:eastAsia="宋体" w:cs="Times New Roman"/>
      <w:sz w:val="24"/>
      <w:szCs w:val="26"/>
    </w:rPr>
  </w:style>
  <w:style w:type="character" w:customStyle="1" w:styleId="173">
    <w:name w:val="01正文 Char"/>
    <w:link w:val="172"/>
    <w:qFormat/>
    <w:uiPriority w:val="0"/>
    <w:rPr>
      <w:rFonts w:ascii="Times New Roman" w:hAnsi="Times New Roman" w:eastAsia="宋体" w:cs="Times New Roman"/>
      <w:sz w:val="24"/>
      <w:szCs w:val="26"/>
    </w:rPr>
  </w:style>
  <w:style w:type="character" w:customStyle="1" w:styleId="174">
    <w:name w:val="页脚 字符2"/>
    <w:qFormat/>
    <w:uiPriority w:val="99"/>
    <w:rPr>
      <w:rFonts w:ascii="Times New Roman" w:hAnsi="Times New Roman"/>
      <w:kern w:val="2"/>
      <w:sz w:val="21"/>
      <w:szCs w:val="18"/>
    </w:rPr>
  </w:style>
  <w:style w:type="paragraph" w:customStyle="1" w:styleId="175">
    <w:name w:val="表头格式"/>
    <w:basedOn w:val="1"/>
    <w:qFormat/>
    <w:uiPriority w:val="0"/>
    <w:pPr>
      <w:spacing w:before="156" w:line="360" w:lineRule="auto"/>
      <w:jc w:val="center"/>
    </w:pPr>
    <w:rPr>
      <w:rFonts w:ascii="Times New Roman" w:hAnsi="Times New Roman" w:eastAsia="宋体" w:cs="Times New Roman"/>
      <w:b/>
      <w:color w:val="000000" w:themeColor="text1"/>
      <w:sz w:val="24"/>
      <w:szCs w:val="36"/>
      <w14:textFill>
        <w14:solidFill>
          <w14:schemeClr w14:val="tx1"/>
        </w14:solidFill>
      </w14:textFill>
    </w:rPr>
  </w:style>
  <w:style w:type="character" w:customStyle="1" w:styleId="176">
    <w:name w:val="标题 6 字符"/>
    <w:basedOn w:val="132"/>
    <w:semiHidden/>
    <w:qFormat/>
    <w:uiPriority w:val="0"/>
    <w:rPr>
      <w:rFonts w:asciiTheme="majorHAnsi" w:hAnsiTheme="majorHAnsi" w:eastAsiaTheme="majorEastAsia" w:cstheme="majorBidi"/>
      <w:b/>
      <w:bCs/>
      <w:sz w:val="24"/>
      <w:szCs w:val="24"/>
    </w:rPr>
  </w:style>
  <w:style w:type="character" w:customStyle="1" w:styleId="177">
    <w:name w:val="标题 7 字符"/>
    <w:basedOn w:val="132"/>
    <w:semiHidden/>
    <w:qFormat/>
    <w:uiPriority w:val="0"/>
    <w:rPr>
      <w:b/>
      <w:bCs/>
      <w:sz w:val="24"/>
      <w:szCs w:val="24"/>
    </w:rPr>
  </w:style>
  <w:style w:type="character" w:customStyle="1" w:styleId="178">
    <w:name w:val="标题 8 字符"/>
    <w:basedOn w:val="132"/>
    <w:semiHidden/>
    <w:qFormat/>
    <w:uiPriority w:val="0"/>
    <w:rPr>
      <w:rFonts w:asciiTheme="majorHAnsi" w:hAnsiTheme="majorHAnsi" w:eastAsiaTheme="majorEastAsia" w:cstheme="majorBidi"/>
      <w:sz w:val="24"/>
      <w:szCs w:val="24"/>
    </w:rPr>
  </w:style>
  <w:style w:type="character" w:customStyle="1" w:styleId="179">
    <w:name w:val="标题 9 字符"/>
    <w:basedOn w:val="132"/>
    <w:semiHidden/>
    <w:qFormat/>
    <w:uiPriority w:val="0"/>
    <w:rPr>
      <w:rFonts w:asciiTheme="majorHAnsi" w:hAnsiTheme="majorHAnsi" w:eastAsiaTheme="majorEastAsia" w:cstheme="majorBidi"/>
      <w:szCs w:val="21"/>
    </w:rPr>
  </w:style>
  <w:style w:type="character" w:customStyle="1" w:styleId="180">
    <w:name w:val="宏文本 Char"/>
    <w:basedOn w:val="132"/>
    <w:link w:val="2"/>
    <w:qFormat/>
    <w:uiPriority w:val="0"/>
    <w:rPr>
      <w:rFonts w:ascii="Courier New" w:hAnsi="Courier New" w:eastAsia="宋体" w:cs="Courier New"/>
      <w:kern w:val="0"/>
      <w:sz w:val="24"/>
      <w:szCs w:val="24"/>
    </w:rPr>
  </w:style>
  <w:style w:type="character" w:customStyle="1" w:styleId="181">
    <w:name w:val="注释标题 Char1"/>
    <w:basedOn w:val="132"/>
    <w:link w:val="16"/>
    <w:qFormat/>
    <w:uiPriority w:val="0"/>
    <w:rPr>
      <w:rFonts w:ascii="Calibri" w:hAnsi="Calibri" w:eastAsia="宋体" w:cs="Times New Roman"/>
      <w:kern w:val="0"/>
      <w:sz w:val="24"/>
      <w:szCs w:val="24"/>
    </w:rPr>
  </w:style>
  <w:style w:type="character" w:customStyle="1" w:styleId="182">
    <w:name w:val="电子邮件签名 字符"/>
    <w:basedOn w:val="132"/>
    <w:semiHidden/>
    <w:qFormat/>
    <w:uiPriority w:val="0"/>
  </w:style>
  <w:style w:type="character" w:customStyle="1" w:styleId="183">
    <w:name w:val="文档结构图 字符"/>
    <w:basedOn w:val="132"/>
    <w:semiHidden/>
    <w:qFormat/>
    <w:uiPriority w:val="0"/>
    <w:rPr>
      <w:rFonts w:ascii="Microsoft YaHei UI" w:eastAsia="Microsoft YaHei UI"/>
      <w:sz w:val="18"/>
      <w:szCs w:val="18"/>
    </w:rPr>
  </w:style>
  <w:style w:type="character" w:customStyle="1" w:styleId="184">
    <w:name w:val="批注文字 字符"/>
    <w:basedOn w:val="132"/>
    <w:qFormat/>
    <w:uiPriority w:val="0"/>
  </w:style>
  <w:style w:type="character" w:customStyle="1" w:styleId="185">
    <w:name w:val="称呼 字符"/>
    <w:basedOn w:val="132"/>
    <w:semiHidden/>
    <w:qFormat/>
    <w:uiPriority w:val="0"/>
  </w:style>
  <w:style w:type="character" w:customStyle="1" w:styleId="186">
    <w:name w:val="正文文本 3 字符"/>
    <w:basedOn w:val="132"/>
    <w:semiHidden/>
    <w:qFormat/>
    <w:uiPriority w:val="0"/>
    <w:rPr>
      <w:sz w:val="16"/>
      <w:szCs w:val="16"/>
    </w:rPr>
  </w:style>
  <w:style w:type="character" w:customStyle="1" w:styleId="187">
    <w:name w:val="结束语 字符"/>
    <w:basedOn w:val="132"/>
    <w:semiHidden/>
    <w:qFormat/>
    <w:uiPriority w:val="0"/>
  </w:style>
  <w:style w:type="character" w:customStyle="1" w:styleId="188">
    <w:name w:val="正文文本 字符"/>
    <w:basedOn w:val="132"/>
    <w:qFormat/>
    <w:uiPriority w:val="0"/>
  </w:style>
  <w:style w:type="character" w:customStyle="1" w:styleId="189">
    <w:name w:val="正文文本缩进 字符"/>
    <w:basedOn w:val="132"/>
    <w:semiHidden/>
    <w:qFormat/>
    <w:uiPriority w:val="0"/>
  </w:style>
  <w:style w:type="character" w:customStyle="1" w:styleId="190">
    <w:name w:val="HTML 地址 字符"/>
    <w:basedOn w:val="132"/>
    <w:semiHidden/>
    <w:qFormat/>
    <w:uiPriority w:val="0"/>
    <w:rPr>
      <w:i/>
      <w:iCs/>
    </w:rPr>
  </w:style>
  <w:style w:type="character" w:customStyle="1" w:styleId="191">
    <w:name w:val="纯文本 字符"/>
    <w:basedOn w:val="132"/>
    <w:semiHidden/>
    <w:qFormat/>
    <w:uiPriority w:val="0"/>
    <w:rPr>
      <w:rFonts w:hAnsi="Courier New" w:cs="Courier New" w:asciiTheme="minorEastAsia"/>
    </w:rPr>
  </w:style>
  <w:style w:type="character" w:customStyle="1" w:styleId="192">
    <w:name w:val="日期 字符"/>
    <w:basedOn w:val="132"/>
    <w:semiHidden/>
    <w:qFormat/>
    <w:uiPriority w:val="0"/>
  </w:style>
  <w:style w:type="character" w:customStyle="1" w:styleId="193">
    <w:name w:val="正文文本缩进 2 字符"/>
    <w:basedOn w:val="132"/>
    <w:semiHidden/>
    <w:qFormat/>
    <w:uiPriority w:val="0"/>
  </w:style>
  <w:style w:type="character" w:customStyle="1" w:styleId="194">
    <w:name w:val="尾注文本 字符"/>
    <w:basedOn w:val="132"/>
    <w:qFormat/>
    <w:uiPriority w:val="0"/>
  </w:style>
  <w:style w:type="character" w:customStyle="1" w:styleId="195">
    <w:name w:val="批注框文本 字符"/>
    <w:basedOn w:val="132"/>
    <w:semiHidden/>
    <w:qFormat/>
    <w:uiPriority w:val="0"/>
    <w:rPr>
      <w:sz w:val="18"/>
      <w:szCs w:val="18"/>
    </w:rPr>
  </w:style>
  <w:style w:type="character" w:customStyle="1" w:styleId="196">
    <w:name w:val="签名 字符"/>
    <w:basedOn w:val="132"/>
    <w:semiHidden/>
    <w:qFormat/>
    <w:uiPriority w:val="0"/>
  </w:style>
  <w:style w:type="character" w:customStyle="1" w:styleId="197">
    <w:name w:val="副标题 字符"/>
    <w:basedOn w:val="132"/>
    <w:qFormat/>
    <w:uiPriority w:val="11"/>
    <w:rPr>
      <w:b/>
      <w:bCs/>
      <w:kern w:val="28"/>
      <w:sz w:val="32"/>
      <w:szCs w:val="32"/>
    </w:rPr>
  </w:style>
  <w:style w:type="character" w:customStyle="1" w:styleId="198">
    <w:name w:val="脚注文本 字符"/>
    <w:basedOn w:val="132"/>
    <w:qFormat/>
    <w:uiPriority w:val="0"/>
    <w:rPr>
      <w:sz w:val="18"/>
      <w:szCs w:val="18"/>
    </w:rPr>
  </w:style>
  <w:style w:type="character" w:customStyle="1" w:styleId="199">
    <w:name w:val="正文文本缩进 3 字符"/>
    <w:basedOn w:val="132"/>
    <w:semiHidden/>
    <w:qFormat/>
    <w:uiPriority w:val="0"/>
    <w:rPr>
      <w:sz w:val="16"/>
      <w:szCs w:val="16"/>
    </w:rPr>
  </w:style>
  <w:style w:type="character" w:customStyle="1" w:styleId="200">
    <w:name w:val="正文文本 2 字符"/>
    <w:basedOn w:val="132"/>
    <w:semiHidden/>
    <w:qFormat/>
    <w:uiPriority w:val="0"/>
  </w:style>
  <w:style w:type="character" w:customStyle="1" w:styleId="201">
    <w:name w:val="信息标题 字符"/>
    <w:basedOn w:val="132"/>
    <w:semiHidden/>
    <w:qFormat/>
    <w:uiPriority w:val="0"/>
    <w:rPr>
      <w:rFonts w:asciiTheme="majorHAnsi" w:hAnsiTheme="majorHAnsi" w:eastAsiaTheme="majorEastAsia" w:cstheme="majorBidi"/>
      <w:sz w:val="24"/>
      <w:szCs w:val="24"/>
      <w:shd w:val="pct20" w:color="auto" w:fill="auto"/>
    </w:rPr>
  </w:style>
  <w:style w:type="character" w:customStyle="1" w:styleId="202">
    <w:name w:val="HTML 预设格式 字符"/>
    <w:basedOn w:val="132"/>
    <w:semiHidden/>
    <w:qFormat/>
    <w:uiPriority w:val="0"/>
    <w:rPr>
      <w:rFonts w:ascii="Courier New" w:hAnsi="Courier New" w:cs="Courier New"/>
      <w:sz w:val="20"/>
      <w:szCs w:val="20"/>
    </w:rPr>
  </w:style>
  <w:style w:type="character" w:customStyle="1" w:styleId="203">
    <w:name w:val="标题 字符"/>
    <w:basedOn w:val="132"/>
    <w:qFormat/>
    <w:uiPriority w:val="0"/>
    <w:rPr>
      <w:rFonts w:asciiTheme="majorHAnsi" w:hAnsiTheme="majorHAnsi" w:eastAsiaTheme="majorEastAsia" w:cstheme="majorBidi"/>
      <w:b/>
      <w:bCs/>
      <w:sz w:val="32"/>
      <w:szCs w:val="32"/>
    </w:rPr>
  </w:style>
  <w:style w:type="character" w:customStyle="1" w:styleId="204">
    <w:name w:val="批注主题 字符"/>
    <w:basedOn w:val="184"/>
    <w:semiHidden/>
    <w:qFormat/>
    <w:uiPriority w:val="0"/>
    <w:rPr>
      <w:b/>
      <w:bCs/>
    </w:rPr>
  </w:style>
  <w:style w:type="character" w:customStyle="1" w:styleId="205">
    <w:name w:val="正文首行缩进 Char"/>
    <w:basedOn w:val="188"/>
    <w:link w:val="86"/>
    <w:qFormat/>
    <w:uiPriority w:val="0"/>
    <w:rPr>
      <w:rFonts w:ascii="Times New Roman" w:hAnsi="Times New Roman" w:cs="Times New Roman"/>
      <w:kern w:val="0"/>
      <w:sz w:val="26"/>
      <w:szCs w:val="24"/>
    </w:rPr>
  </w:style>
  <w:style w:type="character" w:customStyle="1" w:styleId="206">
    <w:name w:val="正文首行缩进 2 Char"/>
    <w:basedOn w:val="189"/>
    <w:link w:val="87"/>
    <w:qFormat/>
    <w:uiPriority w:val="0"/>
    <w:rPr>
      <w:rFonts w:ascii="Times New Roman" w:hAnsi="Times New Roman" w:cs="Times New Roman"/>
      <w:snapToGrid w:val="0"/>
      <w:kern w:val="0"/>
      <w:sz w:val="24"/>
      <w:szCs w:val="24"/>
    </w:rPr>
  </w:style>
  <w:style w:type="character" w:customStyle="1" w:styleId="207">
    <w:name w:val="标题 Char"/>
    <w:link w:val="84"/>
    <w:qFormat/>
    <w:uiPriority w:val="0"/>
    <w:rPr>
      <w:rFonts w:ascii="Times New Roman" w:hAnsi="Times New Roman" w:eastAsia="宋体" w:cs="Times New Roman"/>
      <w:b/>
      <w:snapToGrid w:val="0"/>
      <w:color w:val="000000"/>
      <w:spacing w:val="8"/>
      <w:kern w:val="0"/>
      <w:sz w:val="24"/>
      <w:szCs w:val="24"/>
    </w:rPr>
  </w:style>
  <w:style w:type="character" w:customStyle="1" w:styleId="208">
    <w:name w:val="标题 5 字符2"/>
    <w:qFormat/>
    <w:uiPriority w:val="0"/>
    <w:rPr>
      <w:rFonts w:ascii="Times New Roman" w:hAnsi="Times New Roman"/>
      <w:bCs/>
      <w:color w:val="000000" w:themeColor="text1"/>
      <w:kern w:val="2"/>
      <w:sz w:val="26"/>
      <w:szCs w:val="28"/>
      <w14:textFill>
        <w14:solidFill>
          <w14:schemeClr w14:val="tx1"/>
        </w14:solidFill>
      </w14:textFill>
    </w:rPr>
  </w:style>
  <w:style w:type="character" w:customStyle="1" w:styleId="209">
    <w:name w:val="标题 6 Char"/>
    <w:link w:val="8"/>
    <w:qFormat/>
    <w:uiPriority w:val="0"/>
    <w:rPr>
      <w:rFonts w:ascii="Cambria" w:hAnsi="Cambria" w:eastAsia="宋体" w:cs="Times New Roman"/>
      <w:b/>
      <w:bCs/>
      <w:sz w:val="24"/>
    </w:rPr>
  </w:style>
  <w:style w:type="character" w:customStyle="1" w:styleId="210">
    <w:name w:val="标题 7 Char"/>
    <w:link w:val="9"/>
    <w:qFormat/>
    <w:uiPriority w:val="0"/>
    <w:rPr>
      <w:rFonts w:ascii="Times New Roman" w:hAnsi="Times New Roman" w:eastAsia="宋体" w:cs="Times New Roman"/>
      <w:b/>
      <w:bCs/>
      <w:sz w:val="24"/>
    </w:rPr>
  </w:style>
  <w:style w:type="character" w:customStyle="1" w:styleId="211">
    <w:name w:val="标题 8 Char"/>
    <w:link w:val="10"/>
    <w:qFormat/>
    <w:uiPriority w:val="9"/>
    <w:rPr>
      <w:rFonts w:ascii="Cambria" w:hAnsi="Cambria" w:eastAsia="宋体" w:cs="Times New Roman"/>
      <w:sz w:val="24"/>
    </w:rPr>
  </w:style>
  <w:style w:type="character" w:customStyle="1" w:styleId="212">
    <w:name w:val="标题 9 Char"/>
    <w:link w:val="11"/>
    <w:qFormat/>
    <w:uiPriority w:val="0"/>
    <w:rPr>
      <w:rFonts w:ascii="Cambria" w:hAnsi="Cambria" w:eastAsia="宋体" w:cs="Times New Roman"/>
      <w:szCs w:val="21"/>
    </w:rPr>
  </w:style>
  <w:style w:type="character" w:customStyle="1" w:styleId="213">
    <w:name w:val="副标题 Char"/>
    <w:link w:val="64"/>
    <w:qFormat/>
    <w:uiPriority w:val="0"/>
    <w:rPr>
      <w:rFonts w:ascii="Cambria" w:hAnsi="Cambria" w:eastAsia="宋体" w:cs="Times New Roman"/>
      <w:b/>
      <w:bCs/>
      <w:kern w:val="28"/>
      <w:sz w:val="32"/>
      <w:szCs w:val="32"/>
    </w:rPr>
  </w:style>
  <w:style w:type="paragraph" w:styleId="214">
    <w:name w:val="No Spacing"/>
    <w:link w:val="291"/>
    <w:qFormat/>
    <w:uiPriority w:val="0"/>
    <w:pPr>
      <w:widowControl w:val="0"/>
      <w:adjustRightInd w:val="0"/>
      <w:snapToGrid w:val="0"/>
      <w:spacing w:line="480" w:lineRule="exact"/>
      <w:ind w:firstLine="200" w:firstLineChars="200"/>
    </w:pPr>
    <w:rPr>
      <w:rFonts w:ascii="Times New Roman" w:hAnsi="Times New Roman" w:eastAsia="宋体" w:cs="Times New Roman"/>
      <w:kern w:val="2"/>
      <w:sz w:val="26"/>
      <w:szCs w:val="21"/>
      <w:lang w:val="en-US" w:eastAsia="zh-CN" w:bidi="ar-SA"/>
    </w:rPr>
  </w:style>
  <w:style w:type="paragraph" w:styleId="215">
    <w:name w:val="Quote"/>
    <w:basedOn w:val="1"/>
    <w:next w:val="1"/>
    <w:link w:val="216"/>
    <w:qFormat/>
    <w:uiPriority w:val="0"/>
    <w:pPr>
      <w:adjustRightInd w:val="0"/>
      <w:spacing w:line="360" w:lineRule="auto"/>
      <w:ind w:firstLine="200" w:firstLineChars="200"/>
      <w:jc w:val="left"/>
    </w:pPr>
    <w:rPr>
      <w:rFonts w:ascii="Times New Roman" w:hAnsi="Times New Roman" w:eastAsia="宋体" w:cs="Times New Roman"/>
      <w:i/>
      <w:iCs/>
      <w:color w:val="000000"/>
      <w:sz w:val="24"/>
    </w:rPr>
  </w:style>
  <w:style w:type="character" w:customStyle="1" w:styleId="216">
    <w:name w:val="引用 Char"/>
    <w:basedOn w:val="132"/>
    <w:link w:val="215"/>
    <w:qFormat/>
    <w:uiPriority w:val="0"/>
    <w:rPr>
      <w:rFonts w:ascii="Times New Roman" w:hAnsi="Times New Roman" w:eastAsia="宋体" w:cs="Times New Roman"/>
      <w:i/>
      <w:iCs/>
      <w:color w:val="000000"/>
      <w:sz w:val="24"/>
    </w:rPr>
  </w:style>
  <w:style w:type="paragraph" w:styleId="217">
    <w:name w:val="Intense Quote"/>
    <w:basedOn w:val="1"/>
    <w:next w:val="1"/>
    <w:link w:val="218"/>
    <w:qFormat/>
    <w:uiPriority w:val="0"/>
    <w:pPr>
      <w:pBdr>
        <w:bottom w:val="single" w:color="4F81BD" w:sz="4" w:space="4"/>
      </w:pBdr>
      <w:adjustRightInd w:val="0"/>
      <w:spacing w:before="200" w:after="280" w:line="360" w:lineRule="auto"/>
      <w:ind w:left="936" w:right="936" w:firstLine="200" w:firstLineChars="200"/>
      <w:jc w:val="left"/>
    </w:pPr>
    <w:rPr>
      <w:rFonts w:ascii="Times New Roman" w:hAnsi="Times New Roman" w:eastAsia="宋体" w:cs="Times New Roman"/>
      <w:b/>
      <w:bCs/>
      <w:i/>
      <w:iCs/>
      <w:color w:val="4F81BD"/>
      <w:sz w:val="24"/>
    </w:rPr>
  </w:style>
  <w:style w:type="character" w:customStyle="1" w:styleId="218">
    <w:name w:val="明显引用 Char"/>
    <w:basedOn w:val="132"/>
    <w:link w:val="217"/>
    <w:qFormat/>
    <w:uiPriority w:val="0"/>
    <w:rPr>
      <w:rFonts w:ascii="Times New Roman" w:hAnsi="Times New Roman" w:eastAsia="宋体" w:cs="Times New Roman"/>
      <w:b/>
      <w:bCs/>
      <w:i/>
      <w:iCs/>
      <w:color w:val="4F81BD"/>
      <w:sz w:val="24"/>
    </w:rPr>
  </w:style>
  <w:style w:type="character" w:customStyle="1" w:styleId="219">
    <w:name w:val="不明显强调1"/>
    <w:qFormat/>
    <w:uiPriority w:val="0"/>
    <w:rPr>
      <w:i/>
      <w:iCs/>
      <w:color w:val="808080"/>
    </w:rPr>
  </w:style>
  <w:style w:type="character" w:customStyle="1" w:styleId="220">
    <w:name w:val="明显强调1"/>
    <w:qFormat/>
    <w:uiPriority w:val="0"/>
    <w:rPr>
      <w:b/>
      <w:bCs/>
      <w:i/>
      <w:iCs/>
      <w:color w:val="4F81BD"/>
    </w:rPr>
  </w:style>
  <w:style w:type="character" w:customStyle="1" w:styleId="221">
    <w:name w:val="不明显参考1"/>
    <w:qFormat/>
    <w:uiPriority w:val="0"/>
    <w:rPr>
      <w:smallCaps/>
      <w:color w:val="C0504D"/>
      <w:u w:val="single"/>
    </w:rPr>
  </w:style>
  <w:style w:type="character" w:customStyle="1" w:styleId="222">
    <w:name w:val="明显参考1"/>
    <w:qFormat/>
    <w:uiPriority w:val="0"/>
    <w:rPr>
      <w:b/>
      <w:bCs/>
      <w:smallCaps/>
      <w:color w:val="C0504D"/>
      <w:spacing w:val="5"/>
      <w:u w:val="single"/>
    </w:rPr>
  </w:style>
  <w:style w:type="character" w:customStyle="1" w:styleId="223">
    <w:name w:val="书籍标题1"/>
    <w:qFormat/>
    <w:uiPriority w:val="0"/>
    <w:rPr>
      <w:b/>
      <w:bCs/>
      <w:smallCaps/>
      <w:spacing w:val="5"/>
    </w:rPr>
  </w:style>
  <w:style w:type="paragraph" w:customStyle="1" w:styleId="224">
    <w:name w:val="TOC 标题1"/>
    <w:basedOn w:val="3"/>
    <w:next w:val="1"/>
    <w:unhideWhenUsed/>
    <w:qFormat/>
    <w:uiPriority w:val="0"/>
    <w:pPr>
      <w:tabs>
        <w:tab w:val="left" w:pos="0"/>
        <w:tab w:val="left" w:pos="432"/>
      </w:tabs>
      <w:adjustRightInd w:val="0"/>
      <w:spacing w:line="578" w:lineRule="atLeast"/>
      <w:ind w:left="432" w:firstLine="200" w:firstLineChars="200"/>
      <w:jc w:val="left"/>
      <w:outlineLvl w:val="9"/>
    </w:pPr>
    <w:rPr>
      <w:rFonts w:cs="Times New Roman"/>
      <w:color w:val="000000" w:themeColor="text1"/>
      <w14:textFill>
        <w14:solidFill>
          <w14:schemeClr w14:val="tx1"/>
        </w14:solidFill>
      </w14:textFill>
    </w:rPr>
  </w:style>
  <w:style w:type="paragraph" w:customStyle="1" w:styleId="225">
    <w:name w:val="正编号"/>
    <w:basedOn w:val="1"/>
    <w:next w:val="1"/>
    <w:link w:val="226"/>
    <w:qFormat/>
    <w:uiPriority w:val="0"/>
    <w:pPr>
      <w:tabs>
        <w:tab w:val="left" w:pos="0"/>
      </w:tabs>
      <w:adjustRightInd w:val="0"/>
      <w:spacing w:line="360" w:lineRule="auto"/>
      <w:ind w:left="620"/>
      <w:jc w:val="left"/>
    </w:pPr>
    <w:rPr>
      <w:rFonts w:ascii="Times New Roman" w:hAnsi="Times New Roman" w:eastAsia="宋体" w:cs="Times New Roman"/>
      <w:sz w:val="24"/>
    </w:rPr>
  </w:style>
  <w:style w:type="character" w:customStyle="1" w:styleId="226">
    <w:name w:val="正编号 Char"/>
    <w:link w:val="225"/>
    <w:qFormat/>
    <w:uiPriority w:val="0"/>
    <w:rPr>
      <w:kern w:val="2"/>
      <w:sz w:val="24"/>
      <w:szCs w:val="21"/>
    </w:rPr>
  </w:style>
  <w:style w:type="paragraph" w:customStyle="1" w:styleId="227">
    <w:name w:val="页眉x"/>
    <w:basedOn w:val="1"/>
    <w:qFormat/>
    <w:uiPriority w:val="0"/>
    <w:pPr>
      <w:adjustRightInd w:val="0"/>
      <w:jc w:val="center"/>
    </w:pPr>
    <w:rPr>
      <w:rFonts w:ascii="宋体" w:hAnsi="宋体" w:eastAsia="宋体" w:cs="宋体"/>
      <w:kern w:val="0"/>
    </w:rPr>
  </w:style>
  <w:style w:type="paragraph" w:customStyle="1" w:styleId="228">
    <w:name w:val="【正文】"/>
    <w:basedOn w:val="1"/>
    <w:link w:val="318"/>
    <w:qFormat/>
    <w:uiPriority w:val="0"/>
    <w:pPr>
      <w:spacing w:line="440" w:lineRule="exact"/>
      <w:ind w:firstLine="544" w:firstLineChars="200"/>
      <w:jc w:val="left"/>
    </w:pPr>
    <w:rPr>
      <w:rFonts w:ascii="Times New Roman" w:hAnsi="Times New Roman" w:eastAsia="宋体" w:cs="Times New Roman"/>
      <w:sz w:val="24"/>
      <w:szCs w:val="20"/>
    </w:rPr>
  </w:style>
  <w:style w:type="paragraph" w:customStyle="1" w:styleId="229">
    <w:name w:val="页眉msy"/>
    <w:qFormat/>
    <w:uiPriority w:val="0"/>
    <w:pPr>
      <w:pBdr>
        <w:bottom w:val="single" w:color="auto" w:sz="4" w:space="1"/>
      </w:pBdr>
      <w:adjustRightInd w:val="0"/>
      <w:snapToGrid w:val="0"/>
      <w:jc w:val="center"/>
    </w:pPr>
    <w:rPr>
      <w:rFonts w:ascii="Times New Roman" w:hAnsi="Times New Roman" w:eastAsia="宋体" w:cs="Times New Roman"/>
      <w:kern w:val="2"/>
      <w:sz w:val="22"/>
      <w:szCs w:val="21"/>
      <w:lang w:val="en-US" w:eastAsia="zh-CN" w:bidi="ar-SA"/>
    </w:rPr>
  </w:style>
  <w:style w:type="paragraph" w:customStyle="1" w:styleId="230">
    <w:name w:val="页脚msy"/>
    <w:qFormat/>
    <w:uiPriority w:val="0"/>
    <w:pPr>
      <w:pBdr>
        <w:top w:val="single" w:color="auto" w:sz="4" w:space="1"/>
      </w:pBdr>
      <w:adjustRightInd w:val="0"/>
      <w:snapToGrid w:val="0"/>
      <w:jc w:val="center"/>
    </w:pPr>
    <w:rPr>
      <w:rFonts w:ascii="Times New Roman" w:hAnsi="Times New Roman" w:eastAsia="宋体" w:cs="Times New Roman"/>
      <w:kern w:val="2"/>
      <w:sz w:val="22"/>
      <w:szCs w:val="21"/>
      <w:lang w:val="en-US" w:eastAsia="zh-CN" w:bidi="ar-SA"/>
    </w:rPr>
  </w:style>
  <w:style w:type="paragraph" w:customStyle="1" w:styleId="231">
    <w:name w:val="表格"/>
    <w:link w:val="239"/>
    <w:qFormat/>
    <w:uiPriority w:val="0"/>
    <w:pPr>
      <w:adjustRightInd w:val="0"/>
      <w:snapToGrid w:val="0"/>
      <w:spacing w:line="320" w:lineRule="exact"/>
    </w:pPr>
    <w:rPr>
      <w:rFonts w:ascii="Times New Roman" w:hAnsi="Times New Roman" w:eastAsia="宋体" w:cs="Times New Roman"/>
      <w:kern w:val="2"/>
      <w:sz w:val="22"/>
      <w:szCs w:val="21"/>
      <w:lang w:val="en-US" w:eastAsia="zh-CN" w:bidi="ar-SA"/>
    </w:rPr>
  </w:style>
  <w:style w:type="character" w:customStyle="1" w:styleId="232">
    <w:name w:val="文档结构图 Char"/>
    <w:link w:val="26"/>
    <w:qFormat/>
    <w:uiPriority w:val="99"/>
    <w:rPr>
      <w:rFonts w:ascii="宋体" w:hAnsi="Times New Roman" w:eastAsia="宋体" w:cs="Times New Roman"/>
      <w:sz w:val="18"/>
      <w:szCs w:val="18"/>
    </w:rPr>
  </w:style>
  <w:style w:type="character" w:customStyle="1" w:styleId="233">
    <w:name w:val="正文文本 Char"/>
    <w:link w:val="34"/>
    <w:qFormat/>
    <w:uiPriority w:val="0"/>
    <w:rPr>
      <w:rFonts w:ascii="Times New Roman" w:hAnsi="Times New Roman" w:eastAsia="宋体" w:cs="Times New Roman"/>
      <w:snapToGrid w:val="0"/>
      <w:kern w:val="0"/>
      <w:sz w:val="24"/>
      <w:szCs w:val="24"/>
    </w:rPr>
  </w:style>
  <w:style w:type="paragraph" w:customStyle="1" w:styleId="234">
    <w:name w:val="表格标题"/>
    <w:basedOn w:val="1"/>
    <w:link w:val="235"/>
    <w:qFormat/>
    <w:uiPriority w:val="1"/>
    <w:pPr>
      <w:adjustRightInd w:val="0"/>
      <w:spacing w:beforeLines="50" w:line="360" w:lineRule="auto"/>
      <w:jc w:val="center"/>
    </w:pPr>
    <w:rPr>
      <w:rFonts w:ascii="Times New Roman" w:hAnsi="Times New Roman" w:eastAsia="宋体" w:cs="Times New Roman"/>
      <w:b/>
      <w:snapToGrid w:val="0"/>
      <w:kern w:val="0"/>
      <w:sz w:val="24"/>
      <w:szCs w:val="24"/>
    </w:rPr>
  </w:style>
  <w:style w:type="character" w:customStyle="1" w:styleId="235">
    <w:name w:val="表格标题 Char"/>
    <w:link w:val="234"/>
    <w:qFormat/>
    <w:uiPriority w:val="0"/>
    <w:rPr>
      <w:rFonts w:ascii="Times New Roman" w:hAnsi="Times New Roman" w:eastAsia="宋体" w:cs="Times New Roman"/>
      <w:b/>
      <w:snapToGrid w:val="0"/>
      <w:kern w:val="0"/>
      <w:sz w:val="24"/>
      <w:szCs w:val="24"/>
    </w:rPr>
  </w:style>
  <w:style w:type="paragraph" w:customStyle="1" w:styleId="236">
    <w:name w:val="表格文字-hao-居中"/>
    <w:link w:val="237"/>
    <w:qFormat/>
    <w:uiPriority w:val="0"/>
    <w:pPr>
      <w:widowControl w:val="0"/>
      <w:adjustRightInd w:val="0"/>
      <w:snapToGrid w:val="0"/>
      <w:jc w:val="center"/>
      <w:textAlignment w:val="center"/>
    </w:pPr>
    <w:rPr>
      <w:rFonts w:ascii="Times New Roman" w:hAnsi="宋体" w:eastAsia="宋体" w:cs="Times New Roman"/>
      <w:color w:val="000000"/>
      <w:kern w:val="2"/>
      <w:sz w:val="18"/>
      <w:szCs w:val="18"/>
      <w:lang w:val="en-US" w:eastAsia="zh-CN" w:bidi="ar-SA"/>
    </w:rPr>
  </w:style>
  <w:style w:type="character" w:customStyle="1" w:styleId="237">
    <w:name w:val="表格文字-hao-居中 Char"/>
    <w:link w:val="236"/>
    <w:qFormat/>
    <w:uiPriority w:val="0"/>
    <w:rPr>
      <w:rFonts w:ascii="Times New Roman" w:hAnsi="宋体" w:eastAsia="宋体" w:cs="Times New Roman"/>
      <w:color w:val="000000"/>
      <w:sz w:val="18"/>
      <w:szCs w:val="18"/>
    </w:rPr>
  </w:style>
  <w:style w:type="paragraph" w:customStyle="1" w:styleId="238">
    <w:name w:val="表格文字1"/>
    <w:basedOn w:val="84"/>
    <w:qFormat/>
    <w:uiPriority w:val="0"/>
    <w:pPr>
      <w:spacing w:beforeLines="0" w:line="348" w:lineRule="auto"/>
      <w:textAlignment w:val="baseline"/>
    </w:pPr>
    <w:rPr>
      <w:bCs/>
      <w:snapToGrid/>
      <w:kern w:val="72"/>
      <w:sz w:val="21"/>
      <w:szCs w:val="72"/>
    </w:rPr>
  </w:style>
  <w:style w:type="character" w:customStyle="1" w:styleId="239">
    <w:name w:val="表格 Char"/>
    <w:link w:val="231"/>
    <w:qFormat/>
    <w:uiPriority w:val="0"/>
    <w:rPr>
      <w:rFonts w:ascii="Times New Roman" w:hAnsi="Times New Roman" w:eastAsia="宋体" w:cs="Times New Roman"/>
      <w:sz w:val="22"/>
    </w:rPr>
  </w:style>
  <w:style w:type="character" w:customStyle="1" w:styleId="240">
    <w:name w:val="批注文字 Char"/>
    <w:link w:val="28"/>
    <w:qFormat/>
    <w:uiPriority w:val="0"/>
    <w:rPr>
      <w:rFonts w:ascii="Times New Roman" w:hAnsi="Times New Roman" w:eastAsia="宋体" w:cs="Times New Roman"/>
      <w:sz w:val="24"/>
    </w:rPr>
  </w:style>
  <w:style w:type="character" w:customStyle="1" w:styleId="241">
    <w:name w:val="批注主题 Char"/>
    <w:link w:val="85"/>
    <w:qFormat/>
    <w:uiPriority w:val="0"/>
    <w:rPr>
      <w:rFonts w:ascii="Times New Roman" w:hAnsi="Times New Roman" w:eastAsia="宋体" w:cs="Times New Roman"/>
      <w:b/>
      <w:bCs/>
      <w:sz w:val="24"/>
    </w:rPr>
  </w:style>
  <w:style w:type="character" w:customStyle="1" w:styleId="242">
    <w:name w:val="批注框文本 Char"/>
    <w:link w:val="54"/>
    <w:qFormat/>
    <w:uiPriority w:val="0"/>
    <w:rPr>
      <w:rFonts w:ascii="Times New Roman" w:hAnsi="Times New Roman" w:eastAsia="宋体" w:cs="Times New Roman"/>
      <w:sz w:val="18"/>
      <w:szCs w:val="18"/>
    </w:rPr>
  </w:style>
  <w:style w:type="paragraph" w:customStyle="1" w:styleId="243">
    <w:name w:val="Char"/>
    <w:basedOn w:val="1"/>
    <w:semiHidden/>
    <w:qFormat/>
    <w:uiPriority w:val="0"/>
    <w:pPr>
      <w:jc w:val="left"/>
    </w:pPr>
    <w:rPr>
      <w:rFonts w:ascii="Times New Roman" w:hAnsi="Times New Roman" w:eastAsia="宋体" w:cs="Times New Roman"/>
      <w:szCs w:val="24"/>
    </w:rPr>
  </w:style>
  <w:style w:type="character" w:customStyle="1" w:styleId="244">
    <w:name w:val="纯文本 Char"/>
    <w:link w:val="45"/>
    <w:qFormat/>
    <w:uiPriority w:val="0"/>
    <w:rPr>
      <w:rFonts w:ascii="宋体" w:hAnsi="Courier New" w:eastAsia="宋体" w:cs="Times New Roman"/>
      <w:szCs w:val="21"/>
    </w:rPr>
  </w:style>
  <w:style w:type="paragraph" w:customStyle="1" w:styleId="245">
    <w:name w:val="表头-hao2"/>
    <w:qFormat/>
    <w:uiPriority w:val="0"/>
    <w:pPr>
      <w:adjustRightInd w:val="0"/>
      <w:snapToGrid w:val="0"/>
      <w:spacing w:line="348" w:lineRule="auto"/>
      <w:jc w:val="center"/>
    </w:pPr>
    <w:rPr>
      <w:rFonts w:ascii="Times New Roman" w:hAnsi="宋体" w:eastAsia="宋体" w:cs="Times New Roman"/>
      <w:b/>
      <w:color w:val="0000FF"/>
      <w:kern w:val="2"/>
      <w:sz w:val="24"/>
      <w:szCs w:val="24"/>
      <w:lang w:val="en-US" w:eastAsia="zh-CN" w:bidi="ar-SA"/>
    </w:rPr>
  </w:style>
  <w:style w:type="paragraph" w:customStyle="1" w:styleId="246">
    <w:name w:val="表头4"/>
    <w:basedOn w:val="1"/>
    <w:qFormat/>
    <w:uiPriority w:val="0"/>
    <w:pPr>
      <w:adjustRightInd w:val="0"/>
      <w:spacing w:line="348" w:lineRule="auto"/>
      <w:ind w:firstLine="200" w:firstLineChars="200"/>
      <w:jc w:val="center"/>
      <w:textAlignment w:val="baseline"/>
    </w:pPr>
    <w:rPr>
      <w:rFonts w:ascii="Times New Roman" w:hAnsi="Times New Roman" w:eastAsia="宋体" w:cs="Times New Roman"/>
      <w:b/>
      <w:kern w:val="72"/>
      <w:sz w:val="24"/>
      <w:szCs w:val="72"/>
    </w:rPr>
  </w:style>
  <w:style w:type="paragraph" w:customStyle="1" w:styleId="247">
    <w:name w:val="表格文字4"/>
    <w:basedOn w:val="84"/>
    <w:qFormat/>
    <w:uiPriority w:val="0"/>
    <w:pPr>
      <w:spacing w:beforeLines="0" w:line="348" w:lineRule="auto"/>
      <w:textAlignment w:val="baseline"/>
    </w:pPr>
    <w:rPr>
      <w:bCs/>
      <w:snapToGrid/>
      <w:kern w:val="72"/>
      <w:sz w:val="21"/>
      <w:szCs w:val="72"/>
    </w:rPr>
  </w:style>
  <w:style w:type="character" w:customStyle="1" w:styleId="248">
    <w:name w:val="fontstyle01"/>
    <w:qFormat/>
    <w:uiPriority w:val="0"/>
    <w:rPr>
      <w:rFonts w:hint="eastAsia" w:ascii="宋体" w:hAnsi="宋体" w:eastAsia="宋体"/>
      <w:color w:val="000000"/>
      <w:sz w:val="24"/>
      <w:szCs w:val="24"/>
    </w:rPr>
  </w:style>
  <w:style w:type="character" w:customStyle="1" w:styleId="249">
    <w:name w:val="fontstyle21"/>
    <w:qFormat/>
    <w:uiPriority w:val="0"/>
    <w:rPr>
      <w:rFonts w:hint="default" w:ascii="Times New Roman" w:hAnsi="Times New Roman" w:cs="Times New Roman"/>
      <w:color w:val="000000"/>
      <w:sz w:val="24"/>
      <w:szCs w:val="24"/>
    </w:rPr>
  </w:style>
  <w:style w:type="character" w:customStyle="1" w:styleId="250">
    <w:name w:val="题注 Char"/>
    <w:link w:val="22"/>
    <w:qFormat/>
    <w:uiPriority w:val="35"/>
    <w:rPr>
      <w:rFonts w:eastAsia="黑体" w:asciiTheme="majorHAnsi" w:hAnsiTheme="majorHAnsi" w:cstheme="majorBidi"/>
      <w:sz w:val="20"/>
      <w:szCs w:val="20"/>
    </w:rPr>
  </w:style>
  <w:style w:type="paragraph" w:customStyle="1" w:styleId="25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2">
    <w:name w:val="t1"/>
    <w:qFormat/>
    <w:uiPriority w:val="0"/>
  </w:style>
  <w:style w:type="paragraph" w:customStyle="1" w:styleId="253">
    <w:name w:val="正文样式 Char"/>
    <w:basedOn w:val="1"/>
    <w:link w:val="254"/>
    <w:qFormat/>
    <w:uiPriority w:val="0"/>
    <w:pPr>
      <w:adjustRightInd w:val="0"/>
      <w:spacing w:line="360" w:lineRule="auto"/>
      <w:ind w:firstLine="200" w:firstLineChars="200"/>
      <w:jc w:val="left"/>
    </w:pPr>
    <w:rPr>
      <w:rFonts w:ascii="Times New Roman" w:hAnsi="Times New Roman" w:eastAsia="宋体" w:cs="Times New Roman"/>
      <w:color w:val="000000"/>
      <w:sz w:val="24"/>
      <w:szCs w:val="26"/>
    </w:rPr>
  </w:style>
  <w:style w:type="character" w:customStyle="1" w:styleId="254">
    <w:name w:val="正文样式 Char Char"/>
    <w:link w:val="253"/>
    <w:qFormat/>
    <w:uiPriority w:val="0"/>
    <w:rPr>
      <w:rFonts w:ascii="Times New Roman" w:hAnsi="Times New Roman" w:eastAsia="宋体" w:cs="Times New Roman"/>
      <w:color w:val="000000"/>
      <w:sz w:val="24"/>
      <w:szCs w:val="26"/>
    </w:rPr>
  </w:style>
  <w:style w:type="paragraph" w:customStyle="1" w:styleId="255">
    <w:name w:val="样式 左 首行缩进:  1.01 厘米"/>
    <w:basedOn w:val="1"/>
    <w:link w:val="256"/>
    <w:qFormat/>
    <w:uiPriority w:val="0"/>
    <w:pPr>
      <w:adjustRightInd w:val="0"/>
      <w:spacing w:line="360" w:lineRule="auto"/>
      <w:ind w:firstLine="200" w:firstLineChars="200"/>
      <w:jc w:val="left"/>
    </w:pPr>
    <w:rPr>
      <w:rFonts w:ascii="Times New Roman" w:hAnsi="Times New Roman" w:eastAsia="宋体" w:cs="宋体"/>
      <w:sz w:val="24"/>
      <w:szCs w:val="26"/>
    </w:rPr>
  </w:style>
  <w:style w:type="character" w:customStyle="1" w:styleId="256">
    <w:name w:val="样式 左 首行缩进:  1.01 厘米 Char"/>
    <w:link w:val="255"/>
    <w:qFormat/>
    <w:uiPriority w:val="0"/>
    <w:rPr>
      <w:rFonts w:ascii="Times New Roman" w:hAnsi="Times New Roman" w:eastAsia="宋体" w:cs="宋体"/>
      <w:sz w:val="24"/>
      <w:szCs w:val="26"/>
    </w:rPr>
  </w:style>
  <w:style w:type="table" w:customStyle="1" w:styleId="257">
    <w:name w:val="Table Normal"/>
    <w:semiHidden/>
    <w:unhideWhenUsed/>
    <w:qFormat/>
    <w:uiPriority w:val="2"/>
    <w:pPr>
      <w:widowControl w:val="0"/>
    </w:pPr>
    <w:rPr>
      <w:rFonts w:ascii="Calibri" w:hAnsi="Calibri"/>
      <w:sz w:val="22"/>
      <w:lang w:eastAsia="en-US"/>
    </w:rPr>
    <w:tblPr>
      <w:tblLayout w:type="fixed"/>
      <w:tblCellMar>
        <w:top w:w="0" w:type="dxa"/>
        <w:left w:w="0" w:type="dxa"/>
        <w:bottom w:w="0" w:type="dxa"/>
        <w:right w:w="0" w:type="dxa"/>
      </w:tblCellMar>
    </w:tblPr>
  </w:style>
  <w:style w:type="paragraph" w:customStyle="1" w:styleId="258">
    <w:name w:val="表格内容格式"/>
    <w:basedOn w:val="1"/>
    <w:next w:val="34"/>
    <w:qFormat/>
    <w:uiPriority w:val="0"/>
    <w:pPr>
      <w:jc w:val="center"/>
    </w:pPr>
    <w:rPr>
      <w:rFonts w:ascii="Times New Roman" w:hAnsi="Times New Roman" w:eastAsia="宋体" w:cs="Times New Roman"/>
      <w:kern w:val="0"/>
      <w:sz w:val="22"/>
      <w:lang w:eastAsia="en-US"/>
    </w:rPr>
  </w:style>
  <w:style w:type="table" w:customStyle="1" w:styleId="259">
    <w:name w:val="lg"/>
    <w:basedOn w:val="88"/>
    <w:qFormat/>
    <w:uiPriority w:val="99"/>
    <w:pPr>
      <w:jc w:val="center"/>
      <w:textAlignment w:val="center"/>
    </w:pPr>
    <w:rPr>
      <w:sz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rPr>
      <w:jc w:val="center"/>
    </w:trPr>
    <w:tcPr>
      <w:vAlign w:val="center"/>
    </w:tcPr>
  </w:style>
  <w:style w:type="paragraph" w:customStyle="1" w:styleId="260">
    <w:name w:val="Table Paragraph"/>
    <w:basedOn w:val="1"/>
    <w:qFormat/>
    <w:uiPriority w:val="1"/>
    <w:pPr>
      <w:jc w:val="left"/>
    </w:pPr>
    <w:rPr>
      <w:rFonts w:ascii="Calibri" w:hAnsi="Calibri" w:eastAsia="宋体" w:cs="Times New Roman"/>
      <w:kern w:val="0"/>
      <w:sz w:val="22"/>
      <w:lang w:eastAsia="en-US"/>
    </w:rPr>
  </w:style>
  <w:style w:type="character" w:customStyle="1" w:styleId="261">
    <w:name w:val="纯文本 Char2"/>
    <w:qFormat/>
    <w:uiPriority w:val="0"/>
    <w:rPr>
      <w:rFonts w:ascii="宋体" w:hAnsi="Courier New" w:eastAsia="宋体" w:cs="Times New Roman"/>
      <w:szCs w:val="20"/>
    </w:rPr>
  </w:style>
  <w:style w:type="character" w:customStyle="1" w:styleId="262">
    <w:name w:val="正文文本缩进 Char"/>
    <w:link w:val="35"/>
    <w:qFormat/>
    <w:uiPriority w:val="0"/>
    <w:rPr>
      <w:rFonts w:ascii="Times New Roman" w:hAnsi="Times New Roman" w:eastAsia="宋体" w:cs="Times New Roman"/>
      <w:sz w:val="24"/>
    </w:rPr>
  </w:style>
  <w:style w:type="character" w:customStyle="1" w:styleId="263">
    <w:name w:val="表格 Char Char"/>
    <w:qFormat/>
    <w:uiPriority w:val="0"/>
    <w:rPr>
      <w:rFonts w:eastAsia="宋体"/>
      <w:spacing w:val="10"/>
    </w:rPr>
  </w:style>
  <w:style w:type="paragraph" w:customStyle="1" w:styleId="264">
    <w:name w:val="修订1"/>
    <w:hidden/>
    <w:qFormat/>
    <w:uiPriority w:val="99"/>
    <w:rPr>
      <w:rFonts w:ascii="Times New Roman" w:hAnsi="Times New Roman" w:eastAsia="宋体" w:cs="Times New Roman"/>
      <w:kern w:val="2"/>
      <w:sz w:val="26"/>
      <w:szCs w:val="21"/>
      <w:lang w:val="en-US" w:eastAsia="zh-CN" w:bidi="ar-SA"/>
    </w:rPr>
  </w:style>
  <w:style w:type="paragraph" w:customStyle="1" w:styleId="265">
    <w:name w:val="03表格文本"/>
    <w:basedOn w:val="1"/>
    <w:link w:val="266"/>
    <w:qFormat/>
    <w:uiPriority w:val="0"/>
    <w:pPr>
      <w:adjustRightInd w:val="0"/>
      <w:spacing w:line="360" w:lineRule="exact"/>
      <w:jc w:val="center"/>
    </w:pPr>
    <w:rPr>
      <w:rFonts w:ascii="Times New Roman" w:hAnsi="Times New Roman" w:eastAsia="宋体" w:cs="Times New Roman"/>
      <w:sz w:val="22"/>
    </w:rPr>
  </w:style>
  <w:style w:type="character" w:customStyle="1" w:styleId="266">
    <w:name w:val="03表格文本 Char"/>
    <w:link w:val="265"/>
    <w:qFormat/>
    <w:uiPriority w:val="0"/>
    <w:rPr>
      <w:rFonts w:ascii="Times New Roman" w:hAnsi="Times New Roman" w:eastAsia="宋体" w:cs="Times New Roman"/>
      <w:sz w:val="22"/>
    </w:rPr>
  </w:style>
  <w:style w:type="paragraph" w:customStyle="1" w:styleId="267">
    <w:name w:val="1正文"/>
    <w:basedOn w:val="1"/>
    <w:link w:val="268"/>
    <w:qFormat/>
    <w:uiPriority w:val="0"/>
    <w:pPr>
      <w:adjustRightInd w:val="0"/>
      <w:spacing w:line="360" w:lineRule="auto"/>
      <w:ind w:firstLine="520" w:firstLineChars="200"/>
      <w:jc w:val="left"/>
    </w:pPr>
    <w:rPr>
      <w:rFonts w:ascii="Times New Roman" w:hAnsi="宋体" w:eastAsia="宋体" w:cs="Times New Roman"/>
      <w:sz w:val="24"/>
      <w:szCs w:val="26"/>
    </w:rPr>
  </w:style>
  <w:style w:type="character" w:customStyle="1" w:styleId="268">
    <w:name w:val="1正文 Char"/>
    <w:link w:val="267"/>
    <w:qFormat/>
    <w:uiPriority w:val="0"/>
    <w:rPr>
      <w:rFonts w:ascii="Times New Roman" w:hAnsi="宋体" w:eastAsia="宋体" w:cs="Times New Roman"/>
      <w:sz w:val="24"/>
      <w:szCs w:val="26"/>
    </w:rPr>
  </w:style>
  <w:style w:type="paragraph" w:customStyle="1" w:styleId="269">
    <w:name w:val="0正文"/>
    <w:basedOn w:val="1"/>
    <w:link w:val="270"/>
    <w:qFormat/>
    <w:uiPriority w:val="0"/>
    <w:pPr>
      <w:adjustRightInd w:val="0"/>
      <w:spacing w:line="360" w:lineRule="auto"/>
      <w:ind w:firstLine="200" w:firstLineChars="200"/>
      <w:jc w:val="left"/>
    </w:pPr>
    <w:rPr>
      <w:rFonts w:ascii="Times New Roman" w:hAnsi="Times New Roman" w:eastAsia="宋体" w:cs="Times New Roman"/>
      <w:color w:val="000000"/>
      <w:sz w:val="24"/>
      <w:szCs w:val="26"/>
    </w:rPr>
  </w:style>
  <w:style w:type="character" w:customStyle="1" w:styleId="270">
    <w:name w:val="0正文 Char"/>
    <w:link w:val="269"/>
    <w:qFormat/>
    <w:uiPriority w:val="0"/>
    <w:rPr>
      <w:rFonts w:ascii="Times New Roman" w:hAnsi="Times New Roman" w:eastAsia="宋体" w:cs="Times New Roman"/>
      <w:color w:val="000000"/>
      <w:sz w:val="24"/>
      <w:szCs w:val="26"/>
    </w:rPr>
  </w:style>
  <w:style w:type="paragraph" w:customStyle="1" w:styleId="271">
    <w:name w:val="样式4"/>
    <w:basedOn w:val="1"/>
    <w:link w:val="305"/>
    <w:qFormat/>
    <w:uiPriority w:val="0"/>
    <w:pPr>
      <w:tabs>
        <w:tab w:val="left" w:pos="1751"/>
      </w:tabs>
      <w:spacing w:beforeLines="10" w:line="360" w:lineRule="auto"/>
      <w:ind w:left="1751" w:firstLine="200" w:firstLineChars="200"/>
      <w:jc w:val="left"/>
      <w:outlineLvl w:val="3"/>
    </w:pPr>
    <w:rPr>
      <w:rFonts w:ascii="Times New Roman" w:hAnsi="Times New Roman" w:eastAsia="宋体" w:cs="宋体"/>
      <w:b/>
      <w:color w:val="000000"/>
      <w:kern w:val="0"/>
      <w:sz w:val="24"/>
      <w:szCs w:val="24"/>
    </w:rPr>
  </w:style>
  <w:style w:type="paragraph" w:customStyle="1" w:styleId="272">
    <w:name w:val="正文01"/>
    <w:basedOn w:val="1"/>
    <w:link w:val="3813"/>
    <w:qFormat/>
    <w:uiPriority w:val="0"/>
    <w:pPr>
      <w:spacing w:before="60" w:line="360" w:lineRule="auto"/>
      <w:ind w:firstLine="200" w:firstLineChars="200"/>
      <w:jc w:val="left"/>
    </w:pPr>
    <w:rPr>
      <w:rFonts w:ascii="Times New Roman" w:hAnsi="Times New Roman" w:eastAsia="宋体" w:cs="Times New Roman"/>
      <w:bCs/>
      <w:sz w:val="24"/>
      <w:szCs w:val="24"/>
    </w:rPr>
  </w:style>
  <w:style w:type="paragraph" w:customStyle="1" w:styleId="273">
    <w:name w:val="Char2"/>
    <w:basedOn w:val="1"/>
    <w:qFormat/>
    <w:uiPriority w:val="0"/>
    <w:pPr>
      <w:spacing w:line="360" w:lineRule="auto"/>
      <w:ind w:firstLine="200" w:firstLineChars="200"/>
      <w:jc w:val="left"/>
    </w:pPr>
    <w:rPr>
      <w:rFonts w:ascii="宋体" w:hAnsi="宋体" w:eastAsia="宋体" w:cs="宋体"/>
      <w:sz w:val="24"/>
      <w:szCs w:val="26"/>
    </w:rPr>
  </w:style>
  <w:style w:type="character" w:customStyle="1" w:styleId="274">
    <w:name w:val="apple-converted-space"/>
    <w:basedOn w:val="132"/>
    <w:qFormat/>
    <w:uiPriority w:val="0"/>
  </w:style>
  <w:style w:type="paragraph" w:customStyle="1" w:styleId="275">
    <w:name w:val="Char1"/>
    <w:basedOn w:val="1"/>
    <w:link w:val="3299"/>
    <w:qFormat/>
    <w:uiPriority w:val="0"/>
    <w:pPr>
      <w:spacing w:line="360" w:lineRule="auto"/>
      <w:ind w:firstLine="200" w:firstLineChars="200"/>
      <w:jc w:val="left"/>
    </w:pPr>
    <w:rPr>
      <w:rFonts w:ascii="宋体" w:hAnsi="宋体" w:eastAsia="宋体" w:cs="宋体"/>
      <w:sz w:val="24"/>
      <w:szCs w:val="26"/>
    </w:rPr>
  </w:style>
  <w:style w:type="paragraph" w:customStyle="1" w:styleId="276">
    <w:name w:val="插图标题"/>
    <w:basedOn w:val="1"/>
    <w:link w:val="277"/>
    <w:qFormat/>
    <w:uiPriority w:val="0"/>
    <w:pPr>
      <w:adjustRightInd w:val="0"/>
      <w:spacing w:beforeLines="10" w:line="360" w:lineRule="auto"/>
      <w:jc w:val="center"/>
    </w:pPr>
    <w:rPr>
      <w:rFonts w:ascii="Times New Roman" w:hAnsi="Times New Roman" w:eastAsia="宋体" w:cs="Times New Roman"/>
      <w:b/>
      <w:snapToGrid w:val="0"/>
      <w:kern w:val="0"/>
      <w:sz w:val="24"/>
      <w:szCs w:val="24"/>
    </w:rPr>
  </w:style>
  <w:style w:type="character" w:customStyle="1" w:styleId="277">
    <w:name w:val="插图标题 Char"/>
    <w:link w:val="276"/>
    <w:qFormat/>
    <w:uiPriority w:val="0"/>
    <w:rPr>
      <w:rFonts w:ascii="Times New Roman" w:hAnsi="Times New Roman" w:eastAsia="宋体" w:cs="Times New Roman"/>
      <w:b/>
      <w:snapToGrid w:val="0"/>
      <w:kern w:val="0"/>
      <w:sz w:val="24"/>
      <w:szCs w:val="24"/>
    </w:rPr>
  </w:style>
  <w:style w:type="character" w:customStyle="1" w:styleId="278">
    <w:name w:val="HTML 预设格式 Char"/>
    <w:link w:val="80"/>
    <w:qFormat/>
    <w:uiPriority w:val="0"/>
    <w:rPr>
      <w:rFonts w:ascii="宋体" w:hAnsi="宋体" w:eastAsia="宋体" w:cs="宋体"/>
      <w:kern w:val="0"/>
      <w:sz w:val="24"/>
      <w:szCs w:val="24"/>
    </w:rPr>
  </w:style>
  <w:style w:type="paragraph" w:customStyle="1" w:styleId="279">
    <w:name w:val="表格样式"/>
    <w:basedOn w:val="1"/>
    <w:link w:val="280"/>
    <w:qFormat/>
    <w:uiPriority w:val="0"/>
    <w:pPr>
      <w:spacing w:line="320" w:lineRule="exact"/>
      <w:contextualSpacing/>
      <w:jc w:val="left"/>
    </w:pPr>
    <w:rPr>
      <w:rFonts w:ascii="Times New Roman" w:hAnsi="Times New Roman" w:eastAsia="宋体" w:cs="Times New Roman"/>
      <w:sz w:val="22"/>
      <w:szCs w:val="24"/>
    </w:rPr>
  </w:style>
  <w:style w:type="character" w:customStyle="1" w:styleId="280">
    <w:name w:val="表格样式 Char"/>
    <w:link w:val="279"/>
    <w:qFormat/>
    <w:uiPriority w:val="0"/>
    <w:rPr>
      <w:rFonts w:ascii="Times New Roman" w:hAnsi="Times New Roman" w:eastAsia="宋体" w:cs="Times New Roman"/>
      <w:sz w:val="22"/>
      <w:szCs w:val="24"/>
    </w:rPr>
  </w:style>
  <w:style w:type="paragraph" w:customStyle="1" w:styleId="281">
    <w:name w:val="表"/>
    <w:basedOn w:val="1"/>
    <w:link w:val="282"/>
    <w:qFormat/>
    <w:uiPriority w:val="0"/>
    <w:pPr>
      <w:jc w:val="left"/>
    </w:pPr>
    <w:rPr>
      <w:rFonts w:ascii="Times New Roman" w:hAnsi="Times New Roman" w:eastAsia="宋体" w:cs="Times New Roman"/>
      <w:kern w:val="0"/>
      <w:sz w:val="24"/>
      <w:szCs w:val="20"/>
    </w:rPr>
  </w:style>
  <w:style w:type="character" w:customStyle="1" w:styleId="282">
    <w:name w:val="表 Char"/>
    <w:link w:val="281"/>
    <w:qFormat/>
    <w:uiPriority w:val="0"/>
    <w:rPr>
      <w:rFonts w:ascii="Times New Roman" w:hAnsi="Times New Roman" w:eastAsia="宋体" w:cs="Times New Roman"/>
      <w:kern w:val="0"/>
      <w:sz w:val="24"/>
      <w:szCs w:val="20"/>
    </w:rPr>
  </w:style>
  <w:style w:type="paragraph" w:customStyle="1" w:styleId="283">
    <w:name w:val="流程图"/>
    <w:basedOn w:val="1"/>
    <w:qFormat/>
    <w:uiPriority w:val="0"/>
    <w:pPr>
      <w:tabs>
        <w:tab w:val="left" w:pos="0"/>
      </w:tabs>
      <w:autoSpaceDE w:val="0"/>
      <w:autoSpaceDN w:val="0"/>
      <w:adjustRightInd w:val="0"/>
      <w:spacing w:line="240" w:lineRule="atLeast"/>
      <w:ind w:firstLine="200" w:firstLineChars="200"/>
      <w:jc w:val="center"/>
      <w:textAlignment w:val="bottom"/>
    </w:pPr>
    <w:rPr>
      <w:rFonts w:ascii="宋体" w:hAnsi="Times New Roman" w:eastAsia="宋体" w:cs="Times New Roman"/>
      <w:szCs w:val="20"/>
    </w:rPr>
  </w:style>
  <w:style w:type="paragraph" w:customStyle="1" w:styleId="284">
    <w:name w:val="正文四号"/>
    <w:basedOn w:val="1"/>
    <w:link w:val="285"/>
    <w:qFormat/>
    <w:uiPriority w:val="0"/>
    <w:pPr>
      <w:adjustRightInd w:val="0"/>
      <w:spacing w:line="360" w:lineRule="auto"/>
      <w:ind w:firstLine="200" w:firstLineChars="200"/>
      <w:jc w:val="left"/>
    </w:pPr>
    <w:rPr>
      <w:rFonts w:ascii="Times New Roman" w:hAnsi="Times New Roman" w:eastAsia="宋体" w:cs="宋体"/>
      <w:sz w:val="24"/>
      <w:szCs w:val="24"/>
    </w:rPr>
  </w:style>
  <w:style w:type="character" w:customStyle="1" w:styleId="285">
    <w:name w:val="正文四号 Char"/>
    <w:link w:val="284"/>
    <w:qFormat/>
    <w:uiPriority w:val="0"/>
    <w:rPr>
      <w:rFonts w:ascii="Times New Roman" w:hAnsi="Times New Roman" w:eastAsia="宋体" w:cs="宋体"/>
      <w:sz w:val="24"/>
      <w:szCs w:val="24"/>
    </w:rPr>
  </w:style>
  <w:style w:type="paragraph" w:customStyle="1" w:styleId="286">
    <w:name w:val="样式20"/>
    <w:basedOn w:val="1"/>
    <w:link w:val="913"/>
    <w:qFormat/>
    <w:uiPriority w:val="0"/>
    <w:pPr>
      <w:adjustRightInd w:val="0"/>
      <w:spacing w:line="320" w:lineRule="exact"/>
      <w:jc w:val="center"/>
    </w:pPr>
    <w:rPr>
      <w:rFonts w:ascii="宋体" w:hAnsi="宋体" w:eastAsia="宋体" w:cs="Times New Roman"/>
      <w:sz w:val="22"/>
    </w:rPr>
  </w:style>
  <w:style w:type="character" w:customStyle="1" w:styleId="287">
    <w:name w:val="正文缩进 Char"/>
    <w:link w:val="21"/>
    <w:qFormat/>
    <w:uiPriority w:val="0"/>
    <w:rPr>
      <w:rFonts w:ascii="Times New Roman" w:hAnsi="Times New Roman" w:eastAsia="宋体" w:cs="Times New Roman"/>
      <w:b/>
      <w:color w:val="000000"/>
      <w:kern w:val="0"/>
      <w:sz w:val="24"/>
      <w:szCs w:val="24"/>
    </w:rPr>
  </w:style>
  <w:style w:type="paragraph" w:customStyle="1" w:styleId="288">
    <w:name w:val="图表"/>
    <w:basedOn w:val="1"/>
    <w:qFormat/>
    <w:uiPriority w:val="0"/>
    <w:pPr>
      <w:autoSpaceDE w:val="0"/>
      <w:autoSpaceDN w:val="0"/>
      <w:adjustRightInd w:val="0"/>
      <w:spacing w:line="360" w:lineRule="auto"/>
      <w:ind w:firstLine="200" w:firstLineChars="200"/>
      <w:jc w:val="center"/>
    </w:pPr>
    <w:rPr>
      <w:rFonts w:ascii="Times New Roman" w:hAnsi="Times New Roman" w:eastAsia="宋体" w:cs="Times New Roman"/>
      <w:kern w:val="0"/>
      <w:sz w:val="24"/>
      <w:szCs w:val="24"/>
    </w:rPr>
  </w:style>
  <w:style w:type="paragraph" w:customStyle="1" w:styleId="289">
    <w:name w:val="样式 13 磅 行距: 固定值 23 磅 首行缩进:  2 字符"/>
    <w:basedOn w:val="1"/>
    <w:link w:val="290"/>
    <w:qFormat/>
    <w:uiPriority w:val="0"/>
    <w:pPr>
      <w:adjustRightInd w:val="0"/>
      <w:spacing w:line="360" w:lineRule="auto"/>
      <w:ind w:firstLine="520" w:firstLineChars="200"/>
      <w:jc w:val="left"/>
    </w:pPr>
    <w:rPr>
      <w:rFonts w:ascii="Times New Roman" w:hAnsi="Times New Roman" w:eastAsia="宋体" w:cs="宋体"/>
      <w:sz w:val="24"/>
      <w:szCs w:val="20"/>
    </w:rPr>
  </w:style>
  <w:style w:type="character" w:customStyle="1" w:styleId="290">
    <w:name w:val="样式 13 磅 行距: 固定值 23 磅 首行缩进:  2 字符 Char"/>
    <w:link w:val="289"/>
    <w:qFormat/>
    <w:uiPriority w:val="0"/>
    <w:rPr>
      <w:rFonts w:ascii="Times New Roman" w:hAnsi="Times New Roman" w:eastAsia="宋体" w:cs="宋体"/>
      <w:sz w:val="24"/>
      <w:szCs w:val="20"/>
    </w:rPr>
  </w:style>
  <w:style w:type="character" w:customStyle="1" w:styleId="291">
    <w:name w:val="无间隔 Char"/>
    <w:link w:val="214"/>
    <w:qFormat/>
    <w:uiPriority w:val="0"/>
    <w:rPr>
      <w:rFonts w:ascii="Times New Roman" w:hAnsi="Times New Roman" w:eastAsia="宋体" w:cs="Times New Roman"/>
      <w:sz w:val="26"/>
    </w:rPr>
  </w:style>
  <w:style w:type="character" w:customStyle="1" w:styleId="292">
    <w:name w:val="fontstyle31"/>
    <w:qFormat/>
    <w:uiPriority w:val="0"/>
    <w:rPr>
      <w:rFonts w:hint="default" w:ascii="Times New Roman" w:hAnsi="Times New Roman" w:cs="Times New Roman"/>
      <w:color w:val="000000"/>
      <w:sz w:val="26"/>
      <w:szCs w:val="26"/>
    </w:rPr>
  </w:style>
  <w:style w:type="character" w:customStyle="1" w:styleId="293">
    <w:name w:val="fontstyle11"/>
    <w:qFormat/>
    <w:uiPriority w:val="0"/>
    <w:rPr>
      <w:rFonts w:hint="default" w:ascii="Times New Roman" w:hAnsi="Times New Roman" w:cs="Times New Roman"/>
      <w:color w:val="000000"/>
      <w:sz w:val="22"/>
      <w:szCs w:val="22"/>
    </w:rPr>
  </w:style>
  <w:style w:type="character" w:customStyle="1" w:styleId="294">
    <w:name w:val="表格（10号字） Char"/>
    <w:link w:val="295"/>
    <w:qFormat/>
    <w:uiPriority w:val="0"/>
    <w:rPr>
      <w:rFonts w:hAnsi="宋体" w:cs="宋体"/>
      <w:color w:val="000000"/>
    </w:rPr>
  </w:style>
  <w:style w:type="paragraph" w:customStyle="1" w:styleId="295">
    <w:name w:val="表格（10号字）"/>
    <w:basedOn w:val="1"/>
    <w:link w:val="294"/>
    <w:qFormat/>
    <w:uiPriority w:val="0"/>
    <w:pPr>
      <w:adjustRightInd w:val="0"/>
      <w:spacing w:beforeLines="5" w:afterLines="5"/>
      <w:jc w:val="center"/>
      <w:textAlignment w:val="center"/>
    </w:pPr>
    <w:rPr>
      <w:rFonts w:hAnsi="宋体" w:cs="宋体"/>
      <w:color w:val="000000"/>
    </w:rPr>
  </w:style>
  <w:style w:type="paragraph" w:customStyle="1" w:styleId="296">
    <w:name w:val="正文 首行缩进:  2 字符"/>
    <w:basedOn w:val="1"/>
    <w:qFormat/>
    <w:uiPriority w:val="0"/>
    <w:pPr>
      <w:ind w:firstLine="579" w:firstLineChars="200"/>
      <w:jc w:val="left"/>
    </w:pPr>
    <w:rPr>
      <w:rFonts w:ascii="Times New Roman" w:hAnsi="Times New Roman" w:eastAsia="宋体" w:cs="Times New Roman"/>
      <w:sz w:val="28"/>
      <w:szCs w:val="20"/>
    </w:rPr>
  </w:style>
  <w:style w:type="paragraph" w:customStyle="1" w:styleId="297">
    <w:name w:val="表格序号"/>
    <w:basedOn w:val="1"/>
    <w:qFormat/>
    <w:uiPriority w:val="0"/>
    <w:pPr>
      <w:widowControl/>
      <w:spacing w:beforeLines="50" w:line="360" w:lineRule="auto"/>
      <w:jc w:val="center"/>
    </w:pPr>
    <w:rPr>
      <w:rFonts w:ascii="Times New Roman" w:hAnsi="Times New Roman" w:eastAsia="宋体" w:cs="Times New Roman"/>
      <w:b/>
      <w:color w:val="000000"/>
      <w:sz w:val="24"/>
      <w:szCs w:val="24"/>
    </w:rPr>
  </w:style>
  <w:style w:type="paragraph" w:customStyle="1" w:styleId="298">
    <w:name w:val="样式5"/>
    <w:basedOn w:val="271"/>
    <w:link w:val="625"/>
    <w:qFormat/>
    <w:uiPriority w:val="0"/>
    <w:pPr>
      <w:adjustRightInd w:val="0"/>
      <w:snapToGrid w:val="0"/>
      <w:spacing w:beforeLines="50" w:line="480" w:lineRule="atLeast"/>
      <w:ind w:left="0" w:firstLine="0" w:firstLineChars="0"/>
      <w:jc w:val="center"/>
      <w:outlineLvl w:val="4"/>
    </w:pPr>
    <w:rPr>
      <w:rFonts w:cs="Times New Roman"/>
      <w:b w:val="0"/>
      <w:kern w:val="2"/>
      <w:szCs w:val="26"/>
    </w:rPr>
  </w:style>
  <w:style w:type="paragraph" w:customStyle="1" w:styleId="299">
    <w:name w:val="标题1"/>
    <w:basedOn w:val="1"/>
    <w:qFormat/>
    <w:uiPriority w:val="0"/>
    <w:pPr>
      <w:widowControl/>
      <w:spacing w:beforeLines="50" w:afterLines="50" w:line="500" w:lineRule="atLeast"/>
      <w:jc w:val="center"/>
      <w:outlineLvl w:val="0"/>
    </w:pPr>
    <w:rPr>
      <w:rFonts w:ascii="Times New Roman" w:hAnsi="Times New Roman" w:eastAsia="宋体" w:cs="Times New Roman"/>
      <w:b/>
      <w:kern w:val="0"/>
      <w:sz w:val="36"/>
      <w:szCs w:val="26"/>
    </w:rPr>
  </w:style>
  <w:style w:type="paragraph" w:customStyle="1" w:styleId="300">
    <w:name w:val="_Style 589"/>
    <w:basedOn w:val="1"/>
    <w:qFormat/>
    <w:uiPriority w:val="0"/>
    <w:pPr>
      <w:jc w:val="left"/>
    </w:pPr>
    <w:rPr>
      <w:rFonts w:ascii="Times New Roman" w:hAnsi="Times New Roman" w:eastAsia="宋体" w:cs="Times New Roman"/>
      <w:kern w:val="0"/>
      <w:sz w:val="20"/>
      <w:szCs w:val="20"/>
    </w:rPr>
  </w:style>
  <w:style w:type="paragraph" w:customStyle="1" w:styleId="301">
    <w:name w:val="样式 13 磅 行距: 固定值 24 磅1"/>
    <w:basedOn w:val="1"/>
    <w:qFormat/>
    <w:uiPriority w:val="0"/>
    <w:pPr>
      <w:spacing w:line="360" w:lineRule="auto"/>
      <w:ind w:firstLine="200" w:firstLineChars="200"/>
      <w:jc w:val="left"/>
    </w:pPr>
    <w:rPr>
      <w:rFonts w:ascii="Times New Roman" w:hAnsi="Times New Roman" w:eastAsia="宋体" w:cs="宋体"/>
      <w:sz w:val="24"/>
      <w:szCs w:val="20"/>
    </w:rPr>
  </w:style>
  <w:style w:type="character" w:customStyle="1" w:styleId="302">
    <w:name w:val="正文文本缩进 2 Char"/>
    <w:link w:val="51"/>
    <w:qFormat/>
    <w:uiPriority w:val="0"/>
    <w:rPr>
      <w:rFonts w:ascii="Times New Roman" w:hAnsi="Times New Roman" w:eastAsia="宋体" w:cs="Times New Roman"/>
      <w:sz w:val="24"/>
    </w:rPr>
  </w:style>
  <w:style w:type="character" w:customStyle="1" w:styleId="303">
    <w:name w:val="正文文本 2 Char"/>
    <w:link w:val="76"/>
    <w:qFormat/>
    <w:uiPriority w:val="99"/>
    <w:rPr>
      <w:rFonts w:ascii="Times New Roman" w:hAnsi="Times New Roman" w:eastAsia="宋体" w:cs="Times New Roman"/>
      <w:sz w:val="24"/>
    </w:rPr>
  </w:style>
  <w:style w:type="paragraph" w:customStyle="1" w:styleId="304">
    <w:name w:val="02表格标题"/>
    <w:basedOn w:val="1"/>
    <w:link w:val="403"/>
    <w:qFormat/>
    <w:uiPriority w:val="0"/>
    <w:pPr>
      <w:adjustRightInd w:val="0"/>
      <w:spacing w:beforeLines="50" w:line="360" w:lineRule="auto"/>
      <w:jc w:val="center"/>
      <w:outlineLvl w:val="4"/>
    </w:pPr>
    <w:rPr>
      <w:rFonts w:ascii="Times New Roman" w:hAnsi="Times New Roman" w:eastAsia="宋体" w:cs="Times New Roman"/>
      <w:sz w:val="24"/>
      <w:szCs w:val="26"/>
    </w:rPr>
  </w:style>
  <w:style w:type="character" w:customStyle="1" w:styleId="305">
    <w:name w:val="样式4 Char"/>
    <w:link w:val="271"/>
    <w:qFormat/>
    <w:uiPriority w:val="0"/>
    <w:rPr>
      <w:rFonts w:cs="宋体"/>
      <w:b/>
      <w:color w:val="000000"/>
      <w:sz w:val="24"/>
      <w:szCs w:val="24"/>
    </w:rPr>
  </w:style>
  <w:style w:type="paragraph" w:customStyle="1" w:styleId="306">
    <w:name w:val="样式10"/>
    <w:basedOn w:val="1"/>
    <w:link w:val="861"/>
    <w:qFormat/>
    <w:uiPriority w:val="0"/>
    <w:pPr>
      <w:adjustRightInd w:val="0"/>
      <w:spacing w:line="360" w:lineRule="auto"/>
      <w:ind w:firstLine="520" w:firstLineChars="200"/>
      <w:jc w:val="left"/>
    </w:pPr>
    <w:rPr>
      <w:rFonts w:ascii="Times New Roman" w:hAnsi="宋体" w:eastAsia="宋体" w:cs="Times New Roman"/>
      <w:sz w:val="24"/>
      <w:szCs w:val="26"/>
    </w:rPr>
  </w:style>
  <w:style w:type="paragraph" w:customStyle="1" w:styleId="307">
    <w:name w:val="新格式表"/>
    <w:basedOn w:val="1"/>
    <w:link w:val="308"/>
    <w:qFormat/>
    <w:uiPriority w:val="0"/>
    <w:pPr>
      <w:jc w:val="center"/>
    </w:pPr>
    <w:rPr>
      <w:rFonts w:ascii="Times New Roman" w:hAnsi="Times New Roman" w:eastAsia="宋体" w:cs="Times New Roman"/>
      <w:b/>
      <w:color w:val="000000"/>
    </w:rPr>
  </w:style>
  <w:style w:type="character" w:customStyle="1" w:styleId="308">
    <w:name w:val="新格式表 Char"/>
    <w:link w:val="307"/>
    <w:qFormat/>
    <w:uiPriority w:val="0"/>
    <w:rPr>
      <w:rFonts w:ascii="Times New Roman" w:hAnsi="Times New Roman" w:eastAsia="宋体" w:cs="Times New Roman"/>
      <w:b/>
      <w:color w:val="000000"/>
      <w:szCs w:val="21"/>
    </w:rPr>
  </w:style>
  <w:style w:type="paragraph" w:customStyle="1" w:styleId="309">
    <w:name w:val="正文1"/>
    <w:link w:val="389"/>
    <w:qFormat/>
    <w:uiPriority w:val="0"/>
    <w:pPr>
      <w:jc w:val="both"/>
    </w:pPr>
    <w:rPr>
      <w:rFonts w:ascii="Times New Roman" w:hAnsi="Times New Roman" w:eastAsia="宋体" w:cs="Times New Roman"/>
      <w:kern w:val="2"/>
      <w:sz w:val="21"/>
      <w:szCs w:val="21"/>
      <w:lang w:val="en-US" w:eastAsia="zh-CN" w:bidi="ar-SA"/>
    </w:rPr>
  </w:style>
  <w:style w:type="character" w:customStyle="1" w:styleId="310">
    <w:name w:val="宗兴正文 Char Char"/>
    <w:link w:val="311"/>
    <w:qFormat/>
    <w:uiPriority w:val="0"/>
    <w:rPr>
      <w:sz w:val="24"/>
      <w:szCs w:val="24"/>
    </w:rPr>
  </w:style>
  <w:style w:type="paragraph" w:customStyle="1" w:styleId="311">
    <w:name w:val="宗兴正文"/>
    <w:basedOn w:val="1"/>
    <w:link w:val="310"/>
    <w:qFormat/>
    <w:uiPriority w:val="0"/>
    <w:pPr>
      <w:spacing w:before="93" w:after="93" w:line="360" w:lineRule="auto"/>
      <w:ind w:firstLine="480" w:firstLineChars="200"/>
      <w:jc w:val="left"/>
    </w:pPr>
    <w:rPr>
      <w:sz w:val="24"/>
      <w:szCs w:val="24"/>
    </w:rPr>
  </w:style>
  <w:style w:type="character" w:customStyle="1" w:styleId="312">
    <w:name w:val="正文（天安） Char Char"/>
    <w:link w:val="313"/>
    <w:qFormat/>
    <w:uiPriority w:val="0"/>
    <w:rPr>
      <w:sz w:val="24"/>
      <w:szCs w:val="24"/>
    </w:rPr>
  </w:style>
  <w:style w:type="paragraph" w:customStyle="1" w:styleId="313">
    <w:name w:val="正文（天安）"/>
    <w:basedOn w:val="1"/>
    <w:link w:val="312"/>
    <w:qFormat/>
    <w:uiPriority w:val="0"/>
    <w:pPr>
      <w:overflowPunct w:val="0"/>
      <w:autoSpaceDE w:val="0"/>
      <w:autoSpaceDN w:val="0"/>
      <w:adjustRightInd w:val="0"/>
      <w:spacing w:beforeLines="30" w:afterLines="30" w:line="360" w:lineRule="auto"/>
      <w:ind w:firstLine="200" w:firstLineChars="200"/>
      <w:jc w:val="left"/>
      <w:textAlignment w:val="baseline"/>
    </w:pPr>
    <w:rPr>
      <w:sz w:val="24"/>
      <w:szCs w:val="24"/>
    </w:rPr>
  </w:style>
  <w:style w:type="paragraph" w:customStyle="1" w:styleId="314">
    <w:name w:val="LY-图名题注"/>
    <w:basedOn w:val="1"/>
    <w:qFormat/>
    <w:uiPriority w:val="0"/>
    <w:pPr>
      <w:adjustRightInd w:val="0"/>
      <w:spacing w:line="360" w:lineRule="auto"/>
      <w:jc w:val="center"/>
    </w:pPr>
    <w:rPr>
      <w:rFonts w:ascii="Times New Roman" w:hAnsi="Times New Roman" w:eastAsia="宋体" w:cs="Times New Roman"/>
      <w:b/>
      <w:sz w:val="24"/>
    </w:rPr>
  </w:style>
  <w:style w:type="character" w:customStyle="1" w:styleId="315">
    <w:name w:val="表标题 Char"/>
    <w:link w:val="316"/>
    <w:qFormat/>
    <w:uiPriority w:val="0"/>
    <w:rPr>
      <w:rFonts w:ascii="仿宋_GB2312" w:hAnsi="宋体"/>
      <w:spacing w:val="21"/>
      <w:sz w:val="28"/>
    </w:rPr>
  </w:style>
  <w:style w:type="paragraph" w:customStyle="1" w:styleId="316">
    <w:name w:val="表标题"/>
    <w:basedOn w:val="1"/>
    <w:link w:val="315"/>
    <w:qFormat/>
    <w:uiPriority w:val="0"/>
    <w:pPr>
      <w:spacing w:line="400" w:lineRule="atLeast"/>
      <w:ind w:firstLine="644"/>
      <w:jc w:val="center"/>
    </w:pPr>
    <w:rPr>
      <w:rFonts w:ascii="仿宋_GB2312" w:hAnsi="宋体"/>
      <w:spacing w:val="21"/>
      <w:sz w:val="28"/>
    </w:rPr>
  </w:style>
  <w:style w:type="paragraph" w:customStyle="1" w:styleId="317">
    <w:name w:val="列出段落2"/>
    <w:basedOn w:val="1"/>
    <w:qFormat/>
    <w:uiPriority w:val="0"/>
    <w:pPr>
      <w:ind w:firstLine="420" w:firstLineChars="200"/>
      <w:jc w:val="left"/>
    </w:pPr>
    <w:rPr>
      <w:rFonts w:ascii="Calibri" w:hAnsi="Calibri" w:eastAsia="宋体" w:cs="Times New Roman"/>
    </w:rPr>
  </w:style>
  <w:style w:type="character" w:customStyle="1" w:styleId="318">
    <w:name w:val="【正文】 Char"/>
    <w:link w:val="228"/>
    <w:qFormat/>
    <w:uiPriority w:val="0"/>
    <w:rPr>
      <w:rFonts w:ascii="Times New Roman" w:hAnsi="Times New Roman" w:eastAsia="宋体" w:cs="Times New Roman"/>
      <w:sz w:val="24"/>
      <w:szCs w:val="20"/>
    </w:rPr>
  </w:style>
  <w:style w:type="paragraph" w:customStyle="1" w:styleId="319">
    <w:name w:val="yyp"/>
    <w:basedOn w:val="1"/>
    <w:link w:val="320"/>
    <w:qFormat/>
    <w:uiPriority w:val="0"/>
    <w:pPr>
      <w:spacing w:after="120" w:line="360" w:lineRule="auto"/>
      <w:ind w:firstLine="480" w:firstLineChars="200"/>
      <w:jc w:val="left"/>
    </w:pPr>
    <w:rPr>
      <w:rFonts w:ascii="Calibri" w:hAnsi="Calibri" w:eastAsia="宋体" w:cs="Times New Roman"/>
      <w:kern w:val="0"/>
      <w:sz w:val="24"/>
      <w:szCs w:val="20"/>
    </w:rPr>
  </w:style>
  <w:style w:type="character" w:customStyle="1" w:styleId="320">
    <w:name w:val="yyp Char"/>
    <w:link w:val="319"/>
    <w:qFormat/>
    <w:uiPriority w:val="0"/>
    <w:rPr>
      <w:rFonts w:ascii="Calibri" w:hAnsi="Calibri" w:eastAsia="宋体" w:cs="Times New Roman"/>
      <w:kern w:val="0"/>
      <w:sz w:val="24"/>
      <w:szCs w:val="20"/>
    </w:rPr>
  </w:style>
  <w:style w:type="paragraph" w:customStyle="1" w:styleId="321">
    <w:name w:val="Char4 Char Char Char"/>
    <w:basedOn w:val="1"/>
    <w:qFormat/>
    <w:uiPriority w:val="0"/>
    <w:pPr>
      <w:adjustRightInd w:val="0"/>
      <w:spacing w:afterLines="50" w:line="360" w:lineRule="auto"/>
      <w:ind w:firstLine="200" w:firstLineChars="200"/>
      <w:jc w:val="left"/>
    </w:pPr>
    <w:rPr>
      <w:rFonts w:ascii="宋体" w:hAnsi="宋体" w:eastAsia="宋体" w:cs="宋体"/>
      <w:sz w:val="24"/>
      <w:szCs w:val="26"/>
    </w:rPr>
  </w:style>
  <w:style w:type="paragraph" w:customStyle="1" w:styleId="322">
    <w:name w:val="默认段落字体 Para Char Char Char Char"/>
    <w:basedOn w:val="1"/>
    <w:qFormat/>
    <w:uiPriority w:val="0"/>
    <w:pPr>
      <w:spacing w:beforeLines="100" w:afterLines="50" w:line="600" w:lineRule="exact"/>
      <w:ind w:firstLine="200" w:firstLineChars="200"/>
      <w:jc w:val="left"/>
    </w:pPr>
    <w:rPr>
      <w:rFonts w:ascii="Times New Roman" w:hAnsi="Times New Roman" w:eastAsia="黑体" w:cs="Times New Roman"/>
      <w:sz w:val="28"/>
      <w:szCs w:val="24"/>
    </w:rPr>
  </w:style>
  <w:style w:type="paragraph" w:customStyle="1" w:styleId="323">
    <w:name w:val="xl26"/>
    <w:basedOn w:val="1"/>
    <w:qFormat/>
    <w:uiPriority w:val="0"/>
    <w:pPr>
      <w:widowControl/>
      <w:pBdr>
        <w:left w:val="single" w:color="auto" w:sz="4" w:space="0"/>
        <w:bottom w:val="single" w:color="auto" w:sz="4" w:space="0"/>
        <w:right w:val="single" w:color="auto" w:sz="4" w:space="0"/>
      </w:pBdr>
      <w:spacing w:before="100" w:after="100" w:line="560" w:lineRule="exact"/>
      <w:jc w:val="center"/>
      <w:textAlignment w:val="center"/>
    </w:pPr>
    <w:rPr>
      <w:rFonts w:ascii="Times New Roman" w:hAnsi="Times New Roman" w:eastAsia="宋体" w:cs="Times New Roman"/>
      <w:kern w:val="0"/>
      <w:sz w:val="24"/>
      <w:szCs w:val="24"/>
    </w:rPr>
  </w:style>
  <w:style w:type="character" w:customStyle="1" w:styleId="324">
    <w:name w:val="111111111正文 Char"/>
    <w:link w:val="325"/>
    <w:qFormat/>
    <w:uiPriority w:val="0"/>
    <w:rPr>
      <w:bCs/>
      <w:sz w:val="26"/>
      <w:szCs w:val="26"/>
    </w:rPr>
  </w:style>
  <w:style w:type="paragraph" w:customStyle="1" w:styleId="325">
    <w:name w:val="111111111正文"/>
    <w:basedOn w:val="1"/>
    <w:link w:val="324"/>
    <w:qFormat/>
    <w:uiPriority w:val="0"/>
    <w:pPr>
      <w:spacing w:line="360" w:lineRule="auto"/>
      <w:ind w:firstLine="520" w:firstLineChars="200"/>
      <w:jc w:val="center"/>
    </w:pPr>
    <w:rPr>
      <w:bCs/>
      <w:sz w:val="26"/>
      <w:szCs w:val="26"/>
    </w:rPr>
  </w:style>
  <w:style w:type="paragraph" w:customStyle="1" w:styleId="326">
    <w:name w:val="表格体"/>
    <w:basedOn w:val="214"/>
    <w:link w:val="327"/>
    <w:qFormat/>
    <w:uiPriority w:val="0"/>
    <w:pPr>
      <w:adjustRightInd/>
      <w:snapToGrid/>
      <w:spacing w:line="240" w:lineRule="auto"/>
      <w:ind w:firstLine="0" w:firstLineChars="0"/>
      <w:jc w:val="center"/>
    </w:pPr>
    <w:rPr>
      <w:sz w:val="21"/>
    </w:rPr>
  </w:style>
  <w:style w:type="character" w:customStyle="1" w:styleId="327">
    <w:name w:val="表格体 Char"/>
    <w:link w:val="326"/>
    <w:qFormat/>
    <w:uiPriority w:val="0"/>
    <w:rPr>
      <w:rFonts w:ascii="Times New Roman" w:hAnsi="Times New Roman" w:eastAsia="宋体" w:cs="Times New Roman"/>
    </w:rPr>
  </w:style>
  <w:style w:type="paragraph" w:customStyle="1" w:styleId="328">
    <w:name w:val="TOC 标题11"/>
    <w:basedOn w:val="3"/>
    <w:next w:val="1"/>
    <w:qFormat/>
    <w:uiPriority w:val="0"/>
    <w:pPr>
      <w:spacing w:line="276" w:lineRule="auto"/>
      <w:ind w:left="425" w:hanging="425"/>
      <w:jc w:val="left"/>
      <w:outlineLvl w:val="9"/>
    </w:pPr>
    <w:rPr>
      <w:rFonts w:ascii="Cambria" w:hAnsi="Cambria" w:cs="Times New Roman"/>
      <w:color w:val="365F91"/>
      <w:kern w:val="0"/>
      <w:szCs w:val="28"/>
    </w:rPr>
  </w:style>
  <w:style w:type="paragraph" w:customStyle="1" w:styleId="329">
    <w:name w:val="Char Char Char Char"/>
    <w:basedOn w:val="1"/>
    <w:link w:val="1246"/>
    <w:qFormat/>
    <w:uiPriority w:val="0"/>
    <w:pPr>
      <w:widowControl/>
      <w:adjustRightInd w:val="0"/>
      <w:spacing w:after="160" w:line="240" w:lineRule="exact"/>
      <w:jc w:val="left"/>
      <w:textAlignment w:val="baseline"/>
    </w:pPr>
    <w:rPr>
      <w:rFonts w:ascii="Times New Roman" w:hAnsi="Times New Roman" w:eastAsia="宋体" w:cs="Times New Roman"/>
      <w:szCs w:val="24"/>
    </w:rPr>
  </w:style>
  <w:style w:type="paragraph" w:customStyle="1" w:styleId="330">
    <w:name w:val="注释格式"/>
    <w:basedOn w:val="1"/>
    <w:next w:val="1"/>
    <w:qFormat/>
    <w:uiPriority w:val="0"/>
    <w:pPr>
      <w:adjustRightInd w:val="0"/>
      <w:jc w:val="left"/>
    </w:pPr>
    <w:rPr>
      <w:rFonts w:ascii="Times New Roman" w:hAnsi="Times New Roman" w:eastAsia="宋体" w:cs="Times New Roman"/>
    </w:rPr>
  </w:style>
  <w:style w:type="paragraph" w:customStyle="1" w:styleId="331">
    <w:name w:val="CM66"/>
    <w:basedOn w:val="251"/>
    <w:next w:val="251"/>
    <w:qFormat/>
    <w:uiPriority w:val="0"/>
    <w:pPr>
      <w:spacing w:line="500" w:lineRule="atLeast"/>
    </w:pPr>
    <w:rPr>
      <w:rFonts w:ascii="黑体" w:eastAsia="黑体" w:cs="Times New Roman"/>
      <w:color w:val="auto"/>
    </w:rPr>
  </w:style>
  <w:style w:type="character" w:customStyle="1" w:styleId="332">
    <w:name w:val="H表头 Char"/>
    <w:link w:val="333"/>
    <w:qFormat/>
    <w:uiPriority w:val="0"/>
    <w:rPr>
      <w:sz w:val="26"/>
      <w:szCs w:val="24"/>
    </w:rPr>
  </w:style>
  <w:style w:type="paragraph" w:customStyle="1" w:styleId="333">
    <w:name w:val="H表头"/>
    <w:basedOn w:val="1"/>
    <w:link w:val="332"/>
    <w:qFormat/>
    <w:uiPriority w:val="0"/>
    <w:pPr>
      <w:spacing w:beforeLines="50" w:line="360" w:lineRule="auto"/>
      <w:jc w:val="center"/>
    </w:pPr>
    <w:rPr>
      <w:sz w:val="26"/>
      <w:szCs w:val="24"/>
    </w:rPr>
  </w:style>
  <w:style w:type="paragraph" w:customStyle="1" w:styleId="334">
    <w:name w:val="H正文"/>
    <w:basedOn w:val="1"/>
    <w:qFormat/>
    <w:uiPriority w:val="0"/>
    <w:pPr>
      <w:spacing w:line="360" w:lineRule="auto"/>
      <w:ind w:firstLine="200" w:firstLineChars="200"/>
      <w:jc w:val="left"/>
    </w:pPr>
    <w:rPr>
      <w:rFonts w:ascii="Times New Roman" w:hAnsi="Times New Roman" w:eastAsia="宋体" w:cs="Times New Roman"/>
      <w:color w:val="000000"/>
      <w:sz w:val="24"/>
      <w:szCs w:val="30"/>
    </w:rPr>
  </w:style>
  <w:style w:type="paragraph" w:customStyle="1" w:styleId="335">
    <w:name w:val="正文2"/>
    <w:qFormat/>
    <w:uiPriority w:val="0"/>
    <w:pPr>
      <w:jc w:val="both"/>
    </w:pPr>
    <w:rPr>
      <w:rFonts w:ascii="Calibri" w:hAnsi="Calibri" w:eastAsia="宋体" w:cs="Calibri"/>
      <w:kern w:val="2"/>
      <w:sz w:val="21"/>
      <w:szCs w:val="21"/>
      <w:lang w:val="en-US" w:eastAsia="zh-CN" w:bidi="ar-SA"/>
    </w:rPr>
  </w:style>
  <w:style w:type="paragraph" w:customStyle="1" w:styleId="336">
    <w:name w:val="表头/图标"/>
    <w:basedOn w:val="1"/>
    <w:next w:val="1"/>
    <w:qFormat/>
    <w:uiPriority w:val="0"/>
    <w:pPr>
      <w:adjustRightInd w:val="0"/>
      <w:spacing w:line="480" w:lineRule="exact"/>
      <w:jc w:val="center"/>
    </w:pPr>
    <w:rPr>
      <w:rFonts w:ascii="Times New Roman" w:hAnsi="Times New Roman" w:eastAsia="宋体" w:cs="Times New Roman"/>
      <w:b/>
      <w:bCs/>
      <w:sz w:val="24"/>
      <w:szCs w:val="24"/>
    </w:rPr>
  </w:style>
  <w:style w:type="paragraph" w:customStyle="1" w:styleId="337">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338">
    <w:name w:val="font31"/>
    <w:basedOn w:val="132"/>
    <w:qFormat/>
    <w:uiPriority w:val="0"/>
    <w:rPr>
      <w:rFonts w:hint="eastAsia" w:ascii="宋体" w:hAnsi="宋体" w:eastAsia="宋体"/>
      <w:color w:val="000000"/>
      <w:sz w:val="22"/>
      <w:szCs w:val="22"/>
      <w:u w:val="none"/>
      <w:vertAlign w:val="superscript"/>
    </w:rPr>
  </w:style>
  <w:style w:type="character" w:customStyle="1" w:styleId="339">
    <w:name w:val="font21"/>
    <w:basedOn w:val="132"/>
    <w:qFormat/>
    <w:uiPriority w:val="0"/>
    <w:rPr>
      <w:rFonts w:hint="eastAsia" w:ascii="宋体" w:hAnsi="宋体" w:eastAsia="宋体"/>
      <w:color w:val="000000"/>
      <w:sz w:val="22"/>
      <w:szCs w:val="22"/>
      <w:u w:val="none"/>
    </w:rPr>
  </w:style>
  <w:style w:type="character" w:customStyle="1" w:styleId="340">
    <w:name w:val="font41"/>
    <w:basedOn w:val="132"/>
    <w:qFormat/>
    <w:uiPriority w:val="0"/>
    <w:rPr>
      <w:rFonts w:hint="eastAsia" w:ascii="宋体" w:hAnsi="宋体" w:eastAsia="宋体"/>
      <w:color w:val="000000"/>
      <w:sz w:val="22"/>
      <w:szCs w:val="22"/>
      <w:u w:val="none"/>
      <w:vertAlign w:val="subscript"/>
    </w:rPr>
  </w:style>
  <w:style w:type="paragraph" w:customStyle="1" w:styleId="341">
    <w:name w:val="样式 样式 正文首行缩进 2 + 四号 首行缩进:  2 字符 + 首行缩进:  2 字符"/>
    <w:basedOn w:val="1"/>
    <w:qFormat/>
    <w:uiPriority w:val="0"/>
    <w:pPr>
      <w:adjustRightInd w:val="0"/>
      <w:spacing w:line="360" w:lineRule="auto"/>
      <w:ind w:firstLine="480" w:firstLineChars="200"/>
      <w:jc w:val="left"/>
    </w:pPr>
    <w:rPr>
      <w:rFonts w:ascii="宋体" w:hAnsi="宋体" w:eastAsia="宋体" w:cs="宋体"/>
      <w:kern w:val="0"/>
      <w:sz w:val="24"/>
      <w:szCs w:val="24"/>
    </w:rPr>
  </w:style>
  <w:style w:type="character" w:customStyle="1" w:styleId="342">
    <w:name w:val="font11"/>
    <w:basedOn w:val="132"/>
    <w:qFormat/>
    <w:uiPriority w:val="0"/>
    <w:rPr>
      <w:rFonts w:hint="default" w:ascii="Times New Roman" w:hAnsi="Times New Roman" w:cs="Times New Roman"/>
      <w:color w:val="000000"/>
      <w:sz w:val="22"/>
      <w:szCs w:val="22"/>
      <w:u w:val="none"/>
      <w:vertAlign w:val="superscript"/>
    </w:rPr>
  </w:style>
  <w:style w:type="character" w:customStyle="1" w:styleId="343">
    <w:name w:val="font51"/>
    <w:basedOn w:val="132"/>
    <w:qFormat/>
    <w:uiPriority w:val="0"/>
    <w:rPr>
      <w:rFonts w:hint="default" w:ascii="Times New Roman" w:hAnsi="Times New Roman" w:cs="Times New Roman"/>
      <w:color w:val="000000"/>
      <w:sz w:val="22"/>
      <w:szCs w:val="22"/>
      <w:u w:val="none"/>
    </w:rPr>
  </w:style>
  <w:style w:type="paragraph" w:customStyle="1" w:styleId="344">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345">
    <w:name w:val="表头"/>
    <w:basedOn w:val="1"/>
    <w:link w:val="411"/>
    <w:qFormat/>
    <w:uiPriority w:val="0"/>
    <w:pPr>
      <w:overflowPunct w:val="0"/>
      <w:autoSpaceDE w:val="0"/>
      <w:autoSpaceDN w:val="0"/>
      <w:adjustRightInd w:val="0"/>
      <w:spacing w:before="60" w:after="60" w:line="360" w:lineRule="auto"/>
      <w:ind w:firstLine="539"/>
      <w:jc w:val="center"/>
      <w:textAlignment w:val="baseline"/>
    </w:pPr>
    <w:rPr>
      <w:rFonts w:ascii="宋体" w:hAnsi="宋体" w:eastAsia="黑体" w:cs="宋体"/>
      <w:kern w:val="0"/>
      <w:sz w:val="28"/>
      <w:szCs w:val="28"/>
    </w:rPr>
  </w:style>
  <w:style w:type="character" w:customStyle="1" w:styleId="346">
    <w:name w:val="font01"/>
    <w:basedOn w:val="132"/>
    <w:qFormat/>
    <w:uiPriority w:val="0"/>
    <w:rPr>
      <w:rFonts w:hint="default" w:ascii="Times New Roman" w:hAnsi="Times New Roman" w:cs="Times New Roman"/>
      <w:color w:val="000000"/>
      <w:sz w:val="21"/>
      <w:szCs w:val="21"/>
      <w:u w:val="none"/>
      <w:vertAlign w:val="subscript"/>
    </w:rPr>
  </w:style>
  <w:style w:type="paragraph" w:customStyle="1" w:styleId="347">
    <w:name w:val="正文5"/>
    <w:qFormat/>
    <w:uiPriority w:val="0"/>
    <w:pPr>
      <w:jc w:val="both"/>
    </w:pPr>
    <w:rPr>
      <w:rFonts w:ascii="Calibri" w:hAnsi="Calibri" w:eastAsia="宋体" w:cs="Calibri"/>
      <w:kern w:val="2"/>
      <w:sz w:val="21"/>
      <w:szCs w:val="21"/>
      <w:lang w:val="en-US" w:eastAsia="zh-CN" w:bidi="ar-SA"/>
    </w:rPr>
  </w:style>
  <w:style w:type="paragraph" w:customStyle="1" w:styleId="348">
    <w:name w:val="表格名称"/>
    <w:basedOn w:val="1"/>
    <w:next w:val="1"/>
    <w:link w:val="2521"/>
    <w:qFormat/>
    <w:uiPriority w:val="0"/>
    <w:pPr>
      <w:spacing w:beforeLines="50" w:after="100" w:afterAutospacing="1"/>
      <w:contextualSpacing/>
      <w:jc w:val="center"/>
    </w:pPr>
    <w:rPr>
      <w:rFonts w:ascii="Calibri" w:hAnsi="Calibri" w:eastAsia="宋体" w:cs="Calibri"/>
      <w:b/>
      <w:bCs/>
      <w:kern w:val="0"/>
    </w:rPr>
  </w:style>
  <w:style w:type="paragraph" w:customStyle="1" w:styleId="349">
    <w:name w:val="表内字体"/>
    <w:basedOn w:val="1"/>
    <w:link w:val="839"/>
    <w:qFormat/>
    <w:uiPriority w:val="0"/>
    <w:pPr>
      <w:spacing w:after="100" w:afterAutospacing="1"/>
      <w:jc w:val="center"/>
    </w:pPr>
    <w:rPr>
      <w:rFonts w:ascii="宋体" w:hAnsi="宋体" w:eastAsia="宋体" w:cs="宋体"/>
      <w:sz w:val="18"/>
      <w:szCs w:val="18"/>
    </w:rPr>
  </w:style>
  <w:style w:type="paragraph" w:customStyle="1" w:styleId="350">
    <w:name w:val="样式19"/>
    <w:basedOn w:val="1"/>
    <w:link w:val="933"/>
    <w:qFormat/>
    <w:uiPriority w:val="0"/>
    <w:pPr>
      <w:widowControl/>
      <w:adjustRightInd w:val="0"/>
      <w:spacing w:line="360" w:lineRule="auto"/>
      <w:ind w:firstLine="520" w:firstLineChars="200"/>
      <w:jc w:val="left"/>
    </w:pPr>
    <w:rPr>
      <w:rFonts w:ascii="宋体" w:hAnsi="宋体" w:eastAsia="宋体" w:cs="宋体"/>
      <w:kern w:val="0"/>
      <w:sz w:val="24"/>
      <w:szCs w:val="26"/>
    </w:rPr>
  </w:style>
  <w:style w:type="paragraph" w:customStyle="1" w:styleId="351">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352">
    <w:name w:val="1"/>
    <w:basedOn w:val="1"/>
    <w:next w:val="31"/>
    <w:qFormat/>
    <w:uiPriority w:val="0"/>
    <w:pPr>
      <w:spacing w:line="200" w:lineRule="exact"/>
      <w:jc w:val="left"/>
    </w:pPr>
    <w:rPr>
      <w:rFonts w:ascii="Times New Roman" w:hAnsi="Times New Roman" w:eastAsia="宋体" w:cs="Times New Roman"/>
      <w:sz w:val="18"/>
      <w:szCs w:val="18"/>
    </w:rPr>
  </w:style>
  <w:style w:type="character" w:customStyle="1" w:styleId="353">
    <w:name w:val="正文文本 3 Char"/>
    <w:basedOn w:val="132"/>
    <w:link w:val="31"/>
    <w:qFormat/>
    <w:uiPriority w:val="0"/>
    <w:rPr>
      <w:rFonts w:ascii="Times New Roman" w:hAnsi="Times New Roman" w:eastAsia="宋体" w:cs="Times New Roman"/>
      <w:sz w:val="16"/>
      <w:szCs w:val="16"/>
    </w:rPr>
  </w:style>
  <w:style w:type="paragraph" w:customStyle="1" w:styleId="354">
    <w:name w:val="样式22"/>
    <w:basedOn w:val="1"/>
    <w:qFormat/>
    <w:uiPriority w:val="0"/>
    <w:pPr>
      <w:widowControl/>
      <w:spacing w:line="360" w:lineRule="auto"/>
      <w:ind w:firstLine="480" w:firstLineChars="200"/>
      <w:jc w:val="left"/>
    </w:pPr>
    <w:rPr>
      <w:rFonts w:ascii="宋体" w:hAnsi="宋体" w:eastAsia="宋体" w:cs="宋体"/>
      <w:kern w:val="0"/>
      <w:sz w:val="24"/>
      <w:szCs w:val="24"/>
    </w:rPr>
  </w:style>
  <w:style w:type="paragraph" w:customStyle="1" w:styleId="355">
    <w:name w:val="图表标题"/>
    <w:basedOn w:val="1"/>
    <w:qFormat/>
    <w:uiPriority w:val="0"/>
    <w:pPr>
      <w:adjustRightInd w:val="0"/>
      <w:spacing w:beforeLines="10" w:line="460" w:lineRule="atLeast"/>
      <w:ind w:firstLine="200" w:firstLineChars="200"/>
      <w:jc w:val="left"/>
    </w:pPr>
    <w:rPr>
      <w:rFonts w:ascii="Times New Roman" w:hAnsi="Times New Roman" w:cs="Times New Roman"/>
      <w:b/>
      <w:snapToGrid w:val="0"/>
      <w:kern w:val="0"/>
      <w:sz w:val="24"/>
      <w:szCs w:val="24"/>
    </w:rPr>
  </w:style>
  <w:style w:type="paragraph" w:customStyle="1" w:styleId="356">
    <w:name w:val="PSPSPSPS"/>
    <w:basedOn w:val="1"/>
    <w:qFormat/>
    <w:uiPriority w:val="0"/>
    <w:pPr>
      <w:adjustRightInd w:val="0"/>
      <w:spacing w:line="600" w:lineRule="atLeast"/>
      <w:jc w:val="left"/>
      <w:textAlignment w:val="baseline"/>
    </w:pPr>
    <w:rPr>
      <w:rFonts w:ascii="Times New Roman" w:hAnsi="Times New Roman" w:cs="Times New Roman"/>
      <w:kern w:val="0"/>
      <w:sz w:val="28"/>
      <w:szCs w:val="20"/>
    </w:rPr>
  </w:style>
  <w:style w:type="character" w:customStyle="1" w:styleId="357">
    <w:name w:val="正文文本缩进 3 Char"/>
    <w:basedOn w:val="132"/>
    <w:link w:val="70"/>
    <w:qFormat/>
    <w:uiPriority w:val="0"/>
    <w:rPr>
      <w:rFonts w:ascii="Times New Roman" w:hAnsi="Times New Roman" w:cs="Times New Roman"/>
      <w:snapToGrid w:val="0"/>
      <w:kern w:val="0"/>
      <w:sz w:val="24"/>
      <w:szCs w:val="24"/>
    </w:rPr>
  </w:style>
  <w:style w:type="character" w:customStyle="1" w:styleId="358">
    <w:name w:val="日期 Char"/>
    <w:basedOn w:val="132"/>
    <w:link w:val="50"/>
    <w:qFormat/>
    <w:uiPriority w:val="0"/>
    <w:rPr>
      <w:rFonts w:ascii="Times New Roman" w:hAnsi="Times New Roman" w:cs="Times New Roman"/>
      <w:snapToGrid w:val="0"/>
      <w:kern w:val="0"/>
      <w:sz w:val="24"/>
      <w:szCs w:val="26"/>
    </w:rPr>
  </w:style>
  <w:style w:type="paragraph" w:customStyle="1" w:styleId="359">
    <w:name w:val="xl48"/>
    <w:basedOn w:val="1"/>
    <w:qFormat/>
    <w:uiPriority w:val="0"/>
    <w:pPr>
      <w:widowControl/>
      <w:pBdr>
        <w:left w:val="single" w:color="auto" w:sz="4" w:space="0"/>
        <w:bottom w:val="single" w:color="auto" w:sz="4" w:space="0"/>
        <w:right w:val="single" w:color="auto" w:sz="4" w:space="0"/>
      </w:pBdr>
      <w:spacing w:beforeAutospacing="1" w:after="100" w:afterAutospacing="1"/>
      <w:jc w:val="center"/>
      <w:textAlignment w:val="center"/>
    </w:pPr>
    <w:rPr>
      <w:rFonts w:ascii="Arial Unicode MS" w:hAnsi="Arial Unicode MS" w:eastAsia="Arial Unicode MS" w:cs="Arial Unicode MS"/>
      <w:kern w:val="0"/>
    </w:rPr>
  </w:style>
  <w:style w:type="paragraph" w:customStyle="1" w:styleId="360">
    <w:name w:val="zw1"/>
    <w:basedOn w:val="1"/>
    <w:qFormat/>
    <w:uiPriority w:val="0"/>
    <w:pPr>
      <w:widowControl/>
      <w:spacing w:beforeAutospacing="1" w:after="100" w:afterAutospacing="1" w:line="375" w:lineRule="atLeast"/>
      <w:jc w:val="left"/>
    </w:pPr>
    <w:rPr>
      <w:rFonts w:ascii="宋体" w:hAnsi="宋体" w:cs="Times New Roman"/>
      <w:color w:val="000000"/>
      <w:kern w:val="0"/>
    </w:rPr>
  </w:style>
  <w:style w:type="paragraph" w:customStyle="1" w:styleId="361">
    <w:name w:val="样式 (符号) 宋体 首行缩进:  0.93 厘米 段前: 6 磅 段后: 6 磅 行距: 固定值 18 磅1"/>
    <w:basedOn w:val="1"/>
    <w:qFormat/>
    <w:uiPriority w:val="0"/>
    <w:pPr>
      <w:spacing w:after="160" w:line="320" w:lineRule="exact"/>
      <w:ind w:firstLine="527"/>
      <w:jc w:val="left"/>
    </w:pPr>
    <w:rPr>
      <w:rFonts w:ascii="Times New Roman" w:hAnsi="宋体" w:cs="Times New Roman"/>
      <w:sz w:val="24"/>
      <w:szCs w:val="20"/>
    </w:rPr>
  </w:style>
  <w:style w:type="paragraph" w:customStyle="1" w:styleId="362">
    <w:name w:val="表中文字"/>
    <w:basedOn w:val="1"/>
    <w:qFormat/>
    <w:uiPriority w:val="0"/>
    <w:pPr>
      <w:tabs>
        <w:tab w:val="left" w:pos="3286"/>
        <w:tab w:val="left" w:pos="8362"/>
      </w:tabs>
      <w:spacing w:line="340" w:lineRule="exact"/>
      <w:jc w:val="center"/>
    </w:pPr>
    <w:rPr>
      <w:rFonts w:ascii="Arial" w:hAnsi="Arial" w:eastAsia="楷体_GB2312" w:cs="Times New Roman"/>
      <w:shd w:val="clear" w:color="auto" w:fill="FFFFFF"/>
    </w:rPr>
  </w:style>
  <w:style w:type="paragraph" w:customStyle="1" w:styleId="363">
    <w:name w:val="表名"/>
    <w:basedOn w:val="1"/>
    <w:qFormat/>
    <w:uiPriority w:val="0"/>
    <w:pPr>
      <w:tabs>
        <w:tab w:val="left" w:pos="1350"/>
      </w:tabs>
      <w:autoSpaceDE w:val="0"/>
      <w:autoSpaceDN w:val="0"/>
      <w:adjustRightInd w:val="0"/>
      <w:spacing w:after="78" w:line="320" w:lineRule="exact"/>
      <w:ind w:firstLine="241" w:firstLineChars="100"/>
      <w:jc w:val="center"/>
    </w:pPr>
    <w:rPr>
      <w:rFonts w:ascii="Arial" w:hAnsi="Arial" w:eastAsia="楷体_GB2312" w:cs="Arial"/>
      <w:b/>
      <w:sz w:val="24"/>
      <w:szCs w:val="24"/>
      <w:shd w:val="clear" w:color="auto" w:fill="FFFFFF"/>
    </w:rPr>
  </w:style>
  <w:style w:type="paragraph" w:customStyle="1" w:styleId="364">
    <w:name w:val="样式 表中文字 + 两端对齐"/>
    <w:basedOn w:val="362"/>
    <w:qFormat/>
    <w:uiPriority w:val="0"/>
    <w:pPr>
      <w:spacing w:line="320" w:lineRule="exact"/>
      <w:jc w:val="both"/>
    </w:pPr>
    <w:rPr>
      <w:rFonts w:cs="宋体"/>
    </w:rPr>
  </w:style>
  <w:style w:type="paragraph" w:customStyle="1" w:styleId="365">
    <w:name w:val="正文版本"/>
    <w:basedOn w:val="1"/>
    <w:qFormat/>
    <w:uiPriority w:val="0"/>
    <w:pPr>
      <w:autoSpaceDE w:val="0"/>
      <w:autoSpaceDN w:val="0"/>
      <w:adjustRightInd w:val="0"/>
      <w:spacing w:line="400" w:lineRule="exact"/>
      <w:jc w:val="center"/>
    </w:pPr>
    <w:rPr>
      <w:rFonts w:ascii="宋体" w:hAnsi="宋体" w:cs="Times New Roman"/>
      <w:sz w:val="22"/>
      <w:lang w:val="zh-CN"/>
    </w:rPr>
  </w:style>
  <w:style w:type="paragraph" w:customStyle="1" w:styleId="366">
    <w:name w:val="图名"/>
    <w:basedOn w:val="1"/>
    <w:link w:val="2999"/>
    <w:qFormat/>
    <w:uiPriority w:val="0"/>
    <w:pPr>
      <w:spacing w:beforeLines="20" w:afterLines="20" w:line="300" w:lineRule="auto"/>
      <w:ind w:firstLine="480" w:firstLineChars="200"/>
      <w:jc w:val="center"/>
    </w:pPr>
    <w:rPr>
      <w:rFonts w:ascii="Arial" w:hAnsi="Arial" w:eastAsia="楷体_GB2312" w:cs="Times New Roman"/>
      <w:b/>
      <w:bCs/>
      <w:sz w:val="24"/>
      <w:szCs w:val="24"/>
    </w:rPr>
  </w:style>
  <w:style w:type="paragraph" w:customStyle="1" w:styleId="367">
    <w:name w:val="Char Char Char Char Char Char Char Char Char Char Char Char Char"/>
    <w:basedOn w:val="1"/>
    <w:qFormat/>
    <w:uiPriority w:val="0"/>
    <w:pPr>
      <w:spacing w:line="360" w:lineRule="auto"/>
      <w:ind w:firstLine="200" w:firstLineChars="200"/>
      <w:jc w:val="left"/>
    </w:pPr>
    <w:rPr>
      <w:rFonts w:ascii="Times New Roman" w:hAnsi="Times New Roman" w:eastAsia="仿宋_GB2312" w:cs="Times New Roman"/>
      <w:sz w:val="24"/>
      <w:szCs w:val="24"/>
    </w:rPr>
  </w:style>
  <w:style w:type="paragraph" w:customStyle="1" w:styleId="368">
    <w:name w:val="环正文"/>
    <w:basedOn w:val="1"/>
    <w:qFormat/>
    <w:uiPriority w:val="0"/>
    <w:pPr>
      <w:widowControl/>
      <w:suppressAutoHyphens/>
      <w:adjustRightInd w:val="0"/>
      <w:spacing w:line="360" w:lineRule="auto"/>
      <w:ind w:firstLine="549" w:firstLineChars="200"/>
      <w:jc w:val="left"/>
      <w:textAlignment w:val="baseline"/>
    </w:pPr>
    <w:rPr>
      <w:rFonts w:ascii="Times New Roman" w:hAnsi="Times New Roman" w:eastAsia="仿宋_GB2312" w:cs="Times New Roman"/>
      <w:kern w:val="0"/>
      <w:sz w:val="24"/>
      <w:szCs w:val="20"/>
    </w:rPr>
  </w:style>
  <w:style w:type="character" w:customStyle="1" w:styleId="369">
    <w:name w:val="Char Char1"/>
    <w:qFormat/>
    <w:uiPriority w:val="0"/>
    <w:rPr>
      <w:rFonts w:eastAsia="宋体"/>
      <w:snapToGrid w:val="0"/>
      <w:color w:val="000000"/>
      <w:sz w:val="26"/>
      <w:szCs w:val="26"/>
      <w:lang w:val="en-US" w:eastAsia="zh-CN" w:bidi="ar-SA"/>
    </w:rPr>
  </w:style>
  <w:style w:type="paragraph" w:customStyle="1" w:styleId="370">
    <w:name w:val="haha"/>
    <w:basedOn w:val="1"/>
    <w:qFormat/>
    <w:uiPriority w:val="0"/>
    <w:pPr>
      <w:spacing w:beforeLines="20" w:afterLines="20" w:line="360" w:lineRule="auto"/>
      <w:ind w:firstLine="200" w:firstLineChars="200"/>
      <w:jc w:val="left"/>
    </w:pPr>
    <w:rPr>
      <w:rFonts w:ascii="Times New Roman" w:hAnsi="Times New Roman" w:eastAsia="仿宋_GB2312" w:cs="Times New Roman"/>
      <w:sz w:val="24"/>
      <w:szCs w:val="24"/>
    </w:rPr>
  </w:style>
  <w:style w:type="character" w:customStyle="1" w:styleId="371">
    <w:name w:val="HTML 地址 Char"/>
    <w:basedOn w:val="132"/>
    <w:link w:val="41"/>
    <w:qFormat/>
    <w:uiPriority w:val="0"/>
    <w:rPr>
      <w:rFonts w:ascii="Times New Roman" w:hAnsi="Times New Roman" w:cs="Times New Roman"/>
      <w:i/>
      <w:iCs/>
      <w:snapToGrid w:val="0"/>
      <w:kern w:val="0"/>
      <w:sz w:val="24"/>
      <w:szCs w:val="24"/>
    </w:rPr>
  </w:style>
  <w:style w:type="character" w:customStyle="1" w:styleId="372">
    <w:name w:val="称呼 Char"/>
    <w:basedOn w:val="132"/>
    <w:link w:val="30"/>
    <w:qFormat/>
    <w:uiPriority w:val="0"/>
    <w:rPr>
      <w:rFonts w:ascii="Times New Roman" w:hAnsi="Times New Roman" w:cs="Times New Roman"/>
      <w:snapToGrid w:val="0"/>
      <w:kern w:val="0"/>
      <w:sz w:val="24"/>
      <w:szCs w:val="24"/>
    </w:rPr>
  </w:style>
  <w:style w:type="character" w:customStyle="1" w:styleId="373">
    <w:name w:val="电子邮件签名 Char"/>
    <w:basedOn w:val="132"/>
    <w:link w:val="19"/>
    <w:qFormat/>
    <w:uiPriority w:val="0"/>
    <w:rPr>
      <w:rFonts w:ascii="Times New Roman" w:hAnsi="Times New Roman" w:cs="Times New Roman"/>
      <w:snapToGrid w:val="0"/>
      <w:kern w:val="0"/>
      <w:sz w:val="24"/>
      <w:szCs w:val="24"/>
    </w:rPr>
  </w:style>
  <w:style w:type="character" w:customStyle="1" w:styleId="374">
    <w:name w:val="结束语 Char"/>
    <w:basedOn w:val="132"/>
    <w:link w:val="32"/>
    <w:qFormat/>
    <w:uiPriority w:val="0"/>
    <w:rPr>
      <w:rFonts w:ascii="Times New Roman" w:hAnsi="Times New Roman" w:cs="Times New Roman"/>
      <w:snapToGrid w:val="0"/>
      <w:kern w:val="0"/>
      <w:sz w:val="24"/>
      <w:szCs w:val="24"/>
    </w:rPr>
  </w:style>
  <w:style w:type="character" w:customStyle="1" w:styleId="375">
    <w:name w:val="签名 Char"/>
    <w:basedOn w:val="132"/>
    <w:link w:val="58"/>
    <w:qFormat/>
    <w:uiPriority w:val="0"/>
    <w:rPr>
      <w:rFonts w:ascii="Times New Roman" w:hAnsi="Times New Roman" w:cs="Times New Roman"/>
      <w:snapToGrid w:val="0"/>
      <w:kern w:val="0"/>
      <w:sz w:val="24"/>
      <w:szCs w:val="24"/>
    </w:rPr>
  </w:style>
  <w:style w:type="character" w:customStyle="1" w:styleId="376">
    <w:name w:val="信息标题 Char"/>
    <w:basedOn w:val="132"/>
    <w:link w:val="79"/>
    <w:qFormat/>
    <w:uiPriority w:val="0"/>
    <w:rPr>
      <w:rFonts w:ascii="Arial" w:hAnsi="Arial" w:cs="Times New Roman"/>
      <w:snapToGrid w:val="0"/>
      <w:kern w:val="0"/>
      <w:sz w:val="24"/>
      <w:szCs w:val="24"/>
      <w:shd w:val="pct20" w:color="auto" w:fill="auto"/>
    </w:rPr>
  </w:style>
  <w:style w:type="paragraph" w:customStyle="1" w:styleId="377">
    <w:name w:val="Char Char Char Char Char Char Char Char Char"/>
    <w:basedOn w:val="1"/>
    <w:qFormat/>
    <w:uiPriority w:val="0"/>
    <w:pPr>
      <w:spacing w:line="360" w:lineRule="auto"/>
      <w:ind w:firstLine="200" w:firstLineChars="200"/>
      <w:jc w:val="left"/>
    </w:pPr>
    <w:rPr>
      <w:rFonts w:ascii="宋体" w:hAnsi="宋体" w:eastAsia="仿宋_GB2312" w:cs="Times New Roman"/>
      <w:sz w:val="24"/>
    </w:rPr>
  </w:style>
  <w:style w:type="paragraph" w:customStyle="1" w:styleId="378">
    <w:name w:val="默认段落字体 Para Char"/>
    <w:basedOn w:val="1"/>
    <w:next w:val="1"/>
    <w:qFormat/>
    <w:uiPriority w:val="0"/>
    <w:pPr>
      <w:spacing w:line="360" w:lineRule="auto"/>
      <w:ind w:firstLine="200" w:firstLineChars="200"/>
      <w:jc w:val="left"/>
    </w:pPr>
    <w:rPr>
      <w:rFonts w:ascii="宋体" w:hAnsi="宋体" w:eastAsia="汉鼎简书宋" w:cs="宋体"/>
      <w:sz w:val="24"/>
      <w:szCs w:val="24"/>
    </w:rPr>
  </w:style>
  <w:style w:type="paragraph" w:customStyle="1" w:styleId="379">
    <w:name w:val="大纲正文"/>
    <w:basedOn w:val="1"/>
    <w:link w:val="380"/>
    <w:qFormat/>
    <w:uiPriority w:val="0"/>
    <w:pPr>
      <w:widowControl/>
      <w:adjustRightInd w:val="0"/>
      <w:spacing w:afterLines="50" w:line="300" w:lineRule="auto"/>
      <w:ind w:firstLine="480" w:firstLineChars="200"/>
      <w:jc w:val="left"/>
    </w:pPr>
    <w:rPr>
      <w:rFonts w:ascii="Times New Roman" w:hAnsi="Times New Roman" w:cs="Times New Roman"/>
      <w:sz w:val="24"/>
      <w:szCs w:val="20"/>
    </w:rPr>
  </w:style>
  <w:style w:type="character" w:customStyle="1" w:styleId="380">
    <w:name w:val="大纲正文 Char"/>
    <w:link w:val="379"/>
    <w:qFormat/>
    <w:uiPriority w:val="0"/>
    <w:rPr>
      <w:rFonts w:ascii="Times New Roman" w:hAnsi="Times New Roman" w:cs="Times New Roman"/>
      <w:sz w:val="24"/>
      <w:szCs w:val="20"/>
    </w:rPr>
  </w:style>
  <w:style w:type="character" w:customStyle="1" w:styleId="381">
    <w:name w:val="表格内容 Char"/>
    <w:qFormat/>
    <w:uiPriority w:val="0"/>
    <w:rPr>
      <w:rFonts w:eastAsiaTheme="minorEastAsia"/>
      <w:snapToGrid w:val="0"/>
      <w:sz w:val="22"/>
      <w:szCs w:val="24"/>
    </w:rPr>
  </w:style>
  <w:style w:type="paragraph" w:customStyle="1" w:styleId="382">
    <w:name w:val="Char Char Char Char Char Char Char Char Char Char Char Char Char1"/>
    <w:basedOn w:val="1"/>
    <w:qFormat/>
    <w:uiPriority w:val="0"/>
    <w:pPr>
      <w:spacing w:line="360" w:lineRule="auto"/>
      <w:ind w:firstLine="200" w:firstLineChars="200"/>
      <w:jc w:val="left"/>
    </w:pPr>
    <w:rPr>
      <w:rFonts w:ascii="Times New Roman" w:hAnsi="Times New Roman" w:eastAsia="仿宋_GB2312" w:cs="Times New Roman"/>
      <w:sz w:val="24"/>
      <w:szCs w:val="24"/>
    </w:rPr>
  </w:style>
  <w:style w:type="character" w:customStyle="1" w:styleId="383">
    <w:name w:val="Char Char11"/>
    <w:link w:val="384"/>
    <w:qFormat/>
    <w:uiPriority w:val="0"/>
    <w:rPr>
      <w:snapToGrid w:val="0"/>
      <w:color w:val="000000"/>
      <w:sz w:val="26"/>
      <w:szCs w:val="26"/>
    </w:rPr>
  </w:style>
  <w:style w:type="paragraph" w:customStyle="1" w:styleId="384">
    <w:name w:val="标题 81"/>
    <w:basedOn w:val="1"/>
    <w:next w:val="1"/>
    <w:link w:val="383"/>
    <w:qFormat/>
    <w:uiPriority w:val="0"/>
    <w:pPr>
      <w:keepNext/>
      <w:keepLines/>
      <w:tabs>
        <w:tab w:val="left" w:pos="1440"/>
      </w:tabs>
      <w:spacing w:after="64" w:line="319" w:lineRule="auto"/>
      <w:ind w:left="1440" w:hanging="1440"/>
      <w:jc w:val="left"/>
      <w:textAlignment w:val="baseline"/>
      <w:outlineLvl w:val="7"/>
    </w:pPr>
    <w:rPr>
      <w:snapToGrid w:val="0"/>
      <w:color w:val="000000"/>
      <w:sz w:val="26"/>
      <w:szCs w:val="26"/>
    </w:rPr>
  </w:style>
  <w:style w:type="paragraph" w:customStyle="1" w:styleId="385">
    <w:name w:val="样式 宋体 小四 首行缩进:  2 字符"/>
    <w:basedOn w:val="1"/>
    <w:qFormat/>
    <w:uiPriority w:val="0"/>
    <w:pPr>
      <w:spacing w:line="360" w:lineRule="exact"/>
      <w:ind w:firstLine="480" w:firstLineChars="200"/>
      <w:jc w:val="left"/>
    </w:pPr>
    <w:rPr>
      <w:rFonts w:ascii="宋体" w:hAnsi="宋体" w:cs="Times New Roman"/>
      <w:sz w:val="24"/>
      <w:szCs w:val="20"/>
    </w:rPr>
  </w:style>
  <w:style w:type="paragraph" w:customStyle="1" w:styleId="386">
    <w:name w:val="样式 标题3 + 段前: 4 磅 段后: 4 磅"/>
    <w:basedOn w:val="1"/>
    <w:qFormat/>
    <w:uiPriority w:val="0"/>
    <w:pPr>
      <w:spacing w:after="80" w:line="360" w:lineRule="exact"/>
      <w:jc w:val="left"/>
      <w:outlineLvl w:val="2"/>
    </w:pPr>
    <w:rPr>
      <w:rFonts w:ascii="宋体" w:hAnsi="宋体" w:cs="宋体"/>
      <w:sz w:val="24"/>
      <w:szCs w:val="20"/>
    </w:rPr>
  </w:style>
  <w:style w:type="paragraph" w:customStyle="1" w:styleId="387">
    <w:name w:val="Char Char Char1 Char Char Char Char Char Char Char Char Char Char"/>
    <w:basedOn w:val="1"/>
    <w:qFormat/>
    <w:uiPriority w:val="0"/>
    <w:pPr>
      <w:adjustRightInd w:val="0"/>
      <w:spacing w:line="360" w:lineRule="auto"/>
      <w:ind w:firstLine="200" w:firstLineChars="200"/>
      <w:jc w:val="left"/>
    </w:pPr>
    <w:rPr>
      <w:rFonts w:ascii="宋体" w:hAnsi="宋体" w:cs="宋体"/>
      <w:sz w:val="24"/>
      <w:szCs w:val="26"/>
    </w:rPr>
  </w:style>
  <w:style w:type="character" w:customStyle="1" w:styleId="388">
    <w:name w:val="detail1"/>
    <w:qFormat/>
    <w:uiPriority w:val="0"/>
    <w:rPr>
      <w:rFonts w:hint="default" w:ascii="ˎ̥" w:hAnsi="ˎ̥"/>
      <w:sz w:val="21"/>
      <w:szCs w:val="21"/>
      <w:u w:val="none"/>
    </w:rPr>
  </w:style>
  <w:style w:type="character" w:customStyle="1" w:styleId="389">
    <w:name w:val="正文 Char"/>
    <w:link w:val="309"/>
    <w:qFormat/>
    <w:uiPriority w:val="0"/>
    <w:rPr>
      <w:rFonts w:ascii="Times New Roman" w:hAnsi="Times New Roman" w:eastAsia="宋体" w:cs="Times New Roman"/>
      <w:szCs w:val="21"/>
    </w:rPr>
  </w:style>
  <w:style w:type="paragraph" w:customStyle="1" w:styleId="390">
    <w:name w:val="样式 标题 3标题 3 Char1标题 3 Char CharH3Heading 3 - old标题 3 Char C...7"/>
    <w:basedOn w:val="5"/>
    <w:qFormat/>
    <w:uiPriority w:val="0"/>
    <w:pPr>
      <w:keepNext w:val="0"/>
      <w:keepLines w:val="0"/>
      <w:tabs>
        <w:tab w:val="left" w:pos="1620"/>
      </w:tabs>
      <w:adjustRightInd w:val="0"/>
      <w:spacing w:beforeLines="10" w:line="480" w:lineRule="atLeast"/>
      <w:ind w:left="600" w:leftChars="600" w:hanging="360" w:hangingChars="200"/>
    </w:pPr>
    <w:rPr>
      <w:rFonts w:cs="宋体" w:eastAsiaTheme="minorEastAsia"/>
      <w:bCs w:val="0"/>
      <w:snapToGrid w:val="0"/>
      <w:kern w:val="0"/>
      <w:szCs w:val="20"/>
    </w:rPr>
  </w:style>
  <w:style w:type="paragraph" w:customStyle="1" w:styleId="391">
    <w:name w:val="样式 样式 标题 3标题 3 Char1标题 3 Char CharH3Heading 3 - old标题 3 Char C.....1"/>
    <w:basedOn w:val="1"/>
    <w:qFormat/>
    <w:uiPriority w:val="0"/>
    <w:pPr>
      <w:adjustRightInd w:val="0"/>
      <w:spacing w:beforeLines="10" w:line="480" w:lineRule="atLeast"/>
      <w:jc w:val="left"/>
      <w:outlineLvl w:val="2"/>
    </w:pPr>
    <w:rPr>
      <w:rFonts w:ascii="Times New Roman" w:hAnsi="Times New Roman" w:cs="宋体"/>
      <w:snapToGrid w:val="0"/>
      <w:kern w:val="0"/>
      <w:sz w:val="24"/>
      <w:szCs w:val="20"/>
    </w:rPr>
  </w:style>
  <w:style w:type="paragraph" w:customStyle="1" w:styleId="392">
    <w:name w:val="样式 标题 3标题 3 Char1标题 3 Char CharH3Heading 3 - old标题 3 Char C...8"/>
    <w:basedOn w:val="5"/>
    <w:qFormat/>
    <w:uiPriority w:val="0"/>
    <w:pPr>
      <w:keepNext w:val="0"/>
      <w:keepLines w:val="0"/>
      <w:tabs>
        <w:tab w:val="left" w:pos="1620"/>
      </w:tabs>
      <w:adjustRightInd w:val="0"/>
      <w:spacing w:beforeLines="10" w:line="470" w:lineRule="exact"/>
      <w:ind w:left="600" w:leftChars="600" w:hanging="360" w:hangingChars="200"/>
    </w:pPr>
    <w:rPr>
      <w:rFonts w:cs="宋体" w:eastAsiaTheme="minorEastAsia"/>
      <w:bCs w:val="0"/>
      <w:snapToGrid w:val="0"/>
      <w:kern w:val="0"/>
      <w:szCs w:val="20"/>
    </w:rPr>
  </w:style>
  <w:style w:type="paragraph" w:customStyle="1" w:styleId="393">
    <w:name w:val="xl24"/>
    <w:basedOn w:val="1"/>
    <w:qFormat/>
    <w:uiPriority w:val="0"/>
    <w:pPr>
      <w:widowControl/>
      <w:spacing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394">
    <w:name w:val="图题"/>
    <w:basedOn w:val="1"/>
    <w:next w:val="379"/>
    <w:link w:val="395"/>
    <w:qFormat/>
    <w:uiPriority w:val="0"/>
    <w:pPr>
      <w:spacing w:beforeLines="50" w:line="400" w:lineRule="atLeast"/>
      <w:jc w:val="center"/>
    </w:pPr>
    <w:rPr>
      <w:rFonts w:ascii="黑体" w:hAnsi="Times New Roman" w:eastAsia="黑体" w:cs="Times New Roman"/>
    </w:rPr>
  </w:style>
  <w:style w:type="character" w:customStyle="1" w:styleId="395">
    <w:name w:val="图题 Char"/>
    <w:link w:val="394"/>
    <w:qFormat/>
    <w:uiPriority w:val="0"/>
    <w:rPr>
      <w:rFonts w:ascii="黑体" w:hAnsi="Times New Roman" w:eastAsia="黑体" w:cs="Times New Roman"/>
      <w:szCs w:val="21"/>
    </w:rPr>
  </w:style>
  <w:style w:type="paragraph" w:customStyle="1" w:styleId="396">
    <w:name w:val="表题"/>
    <w:basedOn w:val="1"/>
    <w:link w:val="397"/>
    <w:qFormat/>
    <w:uiPriority w:val="0"/>
    <w:pPr>
      <w:spacing w:beforeLines="50" w:afterLines="50" w:line="400" w:lineRule="atLeast"/>
      <w:jc w:val="center"/>
    </w:pPr>
    <w:rPr>
      <w:rFonts w:ascii="黑体" w:hAnsi="Times New Roman" w:eastAsia="黑体" w:cs="Times New Roman"/>
    </w:rPr>
  </w:style>
  <w:style w:type="character" w:customStyle="1" w:styleId="397">
    <w:name w:val="表题 Char"/>
    <w:link w:val="396"/>
    <w:qFormat/>
    <w:uiPriority w:val="0"/>
    <w:rPr>
      <w:rFonts w:ascii="黑体" w:hAnsi="Times New Roman" w:eastAsia="黑体" w:cs="Times New Roman"/>
      <w:szCs w:val="21"/>
    </w:rPr>
  </w:style>
  <w:style w:type="paragraph" w:customStyle="1" w:styleId="398">
    <w:name w:val="Char Char Char Char Char2 Char"/>
    <w:basedOn w:val="1"/>
    <w:qFormat/>
    <w:uiPriority w:val="0"/>
    <w:pPr>
      <w:adjustRightInd w:val="0"/>
      <w:spacing w:line="360" w:lineRule="auto"/>
      <w:ind w:firstLine="200" w:firstLineChars="200"/>
      <w:jc w:val="left"/>
    </w:pPr>
    <w:rPr>
      <w:rFonts w:ascii="宋体" w:hAnsi="宋体" w:cs="宋体"/>
      <w:sz w:val="24"/>
      <w:szCs w:val="26"/>
    </w:rPr>
  </w:style>
  <w:style w:type="paragraph" w:customStyle="1" w:styleId="399">
    <w:name w:val="样式 样式 环评正文 + (西文) 仿宋_GB2312 (中文) 宋体 10.5 磅 首行缩进:  2 字符 + 首行缩进:  ..."/>
    <w:basedOn w:val="1"/>
    <w:qFormat/>
    <w:uiPriority w:val="0"/>
    <w:pPr>
      <w:spacing w:line="400" w:lineRule="exact"/>
      <w:ind w:firstLine="200" w:firstLineChars="200"/>
      <w:jc w:val="left"/>
    </w:pPr>
    <w:rPr>
      <w:rFonts w:ascii="仿宋_GB2312" w:hAnsi="仿宋_GB2312" w:cs="Times New Roman"/>
      <w:sz w:val="24"/>
      <w:szCs w:val="20"/>
    </w:rPr>
  </w:style>
  <w:style w:type="paragraph" w:customStyle="1" w:styleId="400">
    <w:name w:val="Char Char Char Char Char2 Char1"/>
    <w:basedOn w:val="1"/>
    <w:semiHidden/>
    <w:qFormat/>
    <w:uiPriority w:val="0"/>
    <w:pPr>
      <w:adjustRightInd w:val="0"/>
      <w:spacing w:line="360" w:lineRule="auto"/>
      <w:ind w:firstLine="200" w:firstLineChars="200"/>
      <w:jc w:val="left"/>
    </w:pPr>
    <w:rPr>
      <w:rFonts w:ascii="宋体" w:hAnsi="宋体" w:cs="宋体"/>
      <w:sz w:val="24"/>
      <w:szCs w:val="26"/>
    </w:rPr>
  </w:style>
  <w:style w:type="paragraph" w:customStyle="1" w:styleId="401">
    <w:name w:val="Char Char Char Char Char2 Char2"/>
    <w:basedOn w:val="1"/>
    <w:semiHidden/>
    <w:qFormat/>
    <w:uiPriority w:val="0"/>
    <w:pPr>
      <w:adjustRightInd w:val="0"/>
      <w:spacing w:line="360" w:lineRule="auto"/>
      <w:ind w:firstLine="200" w:firstLineChars="200"/>
      <w:jc w:val="left"/>
    </w:pPr>
    <w:rPr>
      <w:rFonts w:ascii="宋体" w:hAnsi="宋体" w:cs="宋体"/>
      <w:sz w:val="24"/>
      <w:szCs w:val="26"/>
    </w:rPr>
  </w:style>
  <w:style w:type="paragraph" w:customStyle="1" w:styleId="402">
    <w:name w:val="Char Char Char Char Char Char Char"/>
    <w:basedOn w:val="1"/>
    <w:qFormat/>
    <w:uiPriority w:val="0"/>
    <w:pPr>
      <w:widowControl/>
      <w:adjustRightInd w:val="0"/>
      <w:spacing w:after="160" w:line="240" w:lineRule="exact"/>
      <w:jc w:val="left"/>
    </w:pPr>
    <w:rPr>
      <w:rFonts w:ascii="Times New Roman" w:hAnsi="Times New Roman" w:cs="Times New Roman"/>
      <w:szCs w:val="20"/>
    </w:rPr>
  </w:style>
  <w:style w:type="character" w:customStyle="1" w:styleId="403">
    <w:name w:val="02表格标题 Char"/>
    <w:link w:val="304"/>
    <w:qFormat/>
    <w:uiPriority w:val="0"/>
    <w:rPr>
      <w:rFonts w:ascii="Times New Roman" w:hAnsi="Times New Roman" w:eastAsia="宋体" w:cs="Times New Roman"/>
      <w:sz w:val="24"/>
      <w:szCs w:val="26"/>
    </w:rPr>
  </w:style>
  <w:style w:type="paragraph" w:customStyle="1" w:styleId="404">
    <w:name w:val="03表格文字"/>
    <w:basedOn w:val="172"/>
    <w:link w:val="406"/>
    <w:qFormat/>
    <w:uiPriority w:val="0"/>
    <w:pPr>
      <w:spacing w:beforeLines="10" w:line="360" w:lineRule="exact"/>
      <w:ind w:firstLine="0" w:firstLineChars="0"/>
      <w:jc w:val="center"/>
    </w:pPr>
    <w:rPr>
      <w:rFonts w:eastAsiaTheme="minorEastAsia"/>
      <w:snapToGrid w:val="0"/>
      <w:kern w:val="0"/>
      <w:sz w:val="22"/>
      <w:szCs w:val="22"/>
    </w:rPr>
  </w:style>
  <w:style w:type="paragraph" w:customStyle="1" w:styleId="405">
    <w:name w:val="04表格结尾"/>
    <w:basedOn w:val="1"/>
    <w:qFormat/>
    <w:uiPriority w:val="0"/>
    <w:pPr>
      <w:adjustRightInd w:val="0"/>
      <w:ind w:firstLine="420" w:firstLineChars="200"/>
      <w:jc w:val="left"/>
    </w:pPr>
    <w:rPr>
      <w:rFonts w:ascii="Times New Roman" w:hAnsi="Times New Roman" w:cs="Times New Roman"/>
      <w:szCs w:val="24"/>
    </w:rPr>
  </w:style>
  <w:style w:type="character" w:customStyle="1" w:styleId="406">
    <w:name w:val="03表格文字 Char"/>
    <w:link w:val="404"/>
    <w:qFormat/>
    <w:uiPriority w:val="0"/>
    <w:rPr>
      <w:rFonts w:ascii="Times New Roman" w:hAnsi="Times New Roman" w:cs="Times New Roman"/>
      <w:snapToGrid w:val="0"/>
      <w:kern w:val="0"/>
      <w:sz w:val="22"/>
    </w:rPr>
  </w:style>
  <w:style w:type="paragraph" w:customStyle="1" w:styleId="407">
    <w:name w:val="Char Char Char Char Char2 Char Char Char Char"/>
    <w:basedOn w:val="1"/>
    <w:next w:val="1"/>
    <w:semiHidden/>
    <w:qFormat/>
    <w:uiPriority w:val="0"/>
    <w:pPr>
      <w:adjustRightInd w:val="0"/>
      <w:spacing w:line="360" w:lineRule="auto"/>
      <w:ind w:firstLine="200" w:firstLineChars="200"/>
      <w:jc w:val="left"/>
    </w:pPr>
    <w:rPr>
      <w:rFonts w:ascii="宋体" w:hAnsi="宋体" w:cs="宋体"/>
      <w:sz w:val="24"/>
      <w:szCs w:val="26"/>
    </w:rPr>
  </w:style>
  <w:style w:type="paragraph" w:customStyle="1" w:styleId="408">
    <w:name w:val="排版正文"/>
    <w:basedOn w:val="1"/>
    <w:next w:val="1"/>
    <w:link w:val="409"/>
    <w:qFormat/>
    <w:uiPriority w:val="0"/>
    <w:pPr>
      <w:spacing w:line="480" w:lineRule="atLeast"/>
      <w:ind w:firstLine="510"/>
      <w:jc w:val="left"/>
    </w:pPr>
    <w:rPr>
      <w:rFonts w:ascii="Times New Roman" w:hAnsi="Times New Roman" w:cs="Times New Roman"/>
      <w:sz w:val="24"/>
    </w:rPr>
  </w:style>
  <w:style w:type="character" w:customStyle="1" w:styleId="409">
    <w:name w:val="排版正文 Char"/>
    <w:link w:val="408"/>
    <w:qFormat/>
    <w:uiPriority w:val="0"/>
    <w:rPr>
      <w:rFonts w:ascii="Times New Roman" w:hAnsi="Times New Roman" w:cs="Times New Roman"/>
      <w:sz w:val="24"/>
    </w:rPr>
  </w:style>
  <w:style w:type="paragraph" w:customStyle="1" w:styleId="410">
    <w:name w:val="01"/>
    <w:basedOn w:val="1"/>
    <w:qFormat/>
    <w:uiPriority w:val="0"/>
    <w:pPr>
      <w:adjustRightInd w:val="0"/>
      <w:spacing w:line="360" w:lineRule="auto"/>
      <w:ind w:firstLine="200" w:firstLineChars="200"/>
      <w:jc w:val="left"/>
    </w:pPr>
    <w:rPr>
      <w:rFonts w:ascii="宋体" w:hAnsi="宋体" w:cs="宋体"/>
      <w:sz w:val="24"/>
      <w:szCs w:val="26"/>
    </w:rPr>
  </w:style>
  <w:style w:type="character" w:customStyle="1" w:styleId="411">
    <w:name w:val="表头 Char"/>
    <w:link w:val="345"/>
    <w:qFormat/>
    <w:uiPriority w:val="0"/>
    <w:rPr>
      <w:rFonts w:ascii="宋体" w:hAnsi="宋体" w:eastAsia="黑体" w:cs="宋体"/>
      <w:kern w:val="0"/>
      <w:sz w:val="28"/>
      <w:szCs w:val="28"/>
    </w:rPr>
  </w:style>
  <w:style w:type="paragraph" w:customStyle="1" w:styleId="412">
    <w:name w:val="font5"/>
    <w:basedOn w:val="1"/>
    <w:qFormat/>
    <w:uiPriority w:val="0"/>
    <w:pPr>
      <w:widowControl/>
      <w:spacing w:beforeAutospacing="1" w:after="100" w:afterAutospacing="1"/>
      <w:jc w:val="left"/>
    </w:pPr>
    <w:rPr>
      <w:rFonts w:ascii="宋体" w:hAnsi="宋体" w:cs="宋体"/>
      <w:kern w:val="0"/>
      <w:sz w:val="18"/>
      <w:szCs w:val="18"/>
    </w:rPr>
  </w:style>
  <w:style w:type="paragraph" w:customStyle="1" w:styleId="413">
    <w:name w:val="font6"/>
    <w:basedOn w:val="1"/>
    <w:qFormat/>
    <w:uiPriority w:val="0"/>
    <w:pPr>
      <w:widowControl/>
      <w:spacing w:beforeAutospacing="1" w:after="100" w:afterAutospacing="1"/>
      <w:jc w:val="left"/>
    </w:pPr>
    <w:rPr>
      <w:rFonts w:ascii="宋体" w:hAnsi="宋体" w:cs="宋体"/>
      <w:kern w:val="0"/>
      <w:sz w:val="18"/>
      <w:szCs w:val="18"/>
    </w:rPr>
  </w:style>
  <w:style w:type="paragraph" w:customStyle="1" w:styleId="414">
    <w:name w:val="font7"/>
    <w:basedOn w:val="1"/>
    <w:qFormat/>
    <w:uiPriority w:val="0"/>
    <w:pPr>
      <w:widowControl/>
      <w:spacing w:beforeAutospacing="1" w:after="100" w:afterAutospacing="1"/>
      <w:jc w:val="left"/>
    </w:pPr>
    <w:rPr>
      <w:rFonts w:ascii="Tahoma" w:hAnsi="Tahoma" w:cs="Tahoma"/>
      <w:b/>
      <w:bCs/>
      <w:color w:val="000000"/>
      <w:kern w:val="0"/>
      <w:sz w:val="20"/>
      <w:szCs w:val="20"/>
    </w:rPr>
  </w:style>
  <w:style w:type="paragraph" w:customStyle="1" w:styleId="415">
    <w:name w:val="font8"/>
    <w:basedOn w:val="1"/>
    <w:qFormat/>
    <w:uiPriority w:val="0"/>
    <w:pPr>
      <w:widowControl/>
      <w:spacing w:beforeAutospacing="1" w:after="100" w:afterAutospacing="1"/>
      <w:jc w:val="left"/>
    </w:pPr>
    <w:rPr>
      <w:rFonts w:ascii="Tahoma" w:hAnsi="Tahoma" w:cs="Tahoma"/>
      <w:color w:val="000000"/>
      <w:kern w:val="0"/>
      <w:sz w:val="20"/>
      <w:szCs w:val="20"/>
    </w:rPr>
  </w:style>
  <w:style w:type="paragraph" w:customStyle="1" w:styleId="416">
    <w:name w:val="font9"/>
    <w:basedOn w:val="1"/>
    <w:qFormat/>
    <w:uiPriority w:val="0"/>
    <w:pPr>
      <w:widowControl/>
      <w:spacing w:beforeAutospacing="1" w:after="100" w:afterAutospacing="1"/>
      <w:jc w:val="left"/>
    </w:pPr>
    <w:rPr>
      <w:rFonts w:ascii="宋体" w:hAnsi="宋体" w:cs="宋体"/>
      <w:color w:val="000000"/>
      <w:kern w:val="0"/>
      <w:sz w:val="20"/>
      <w:szCs w:val="20"/>
    </w:rPr>
  </w:style>
  <w:style w:type="paragraph" w:customStyle="1" w:styleId="417">
    <w:name w:val="font10"/>
    <w:basedOn w:val="1"/>
    <w:qFormat/>
    <w:uiPriority w:val="0"/>
    <w:pPr>
      <w:widowControl/>
      <w:spacing w:beforeAutospacing="1" w:after="100" w:afterAutospacing="1"/>
      <w:jc w:val="left"/>
    </w:pPr>
    <w:rPr>
      <w:rFonts w:ascii="宋体" w:hAnsi="宋体" w:cs="宋体"/>
      <w:b/>
      <w:bCs/>
      <w:color w:val="000000"/>
      <w:kern w:val="0"/>
      <w:sz w:val="20"/>
      <w:szCs w:val="20"/>
    </w:rPr>
  </w:style>
  <w:style w:type="paragraph" w:customStyle="1" w:styleId="418">
    <w:name w:val="font12"/>
    <w:basedOn w:val="1"/>
    <w:qFormat/>
    <w:uiPriority w:val="0"/>
    <w:pPr>
      <w:widowControl/>
      <w:spacing w:beforeAutospacing="1" w:after="100" w:afterAutospacing="1"/>
      <w:jc w:val="left"/>
    </w:pPr>
    <w:rPr>
      <w:rFonts w:ascii="Times New Roman" w:hAnsi="Times New Roman" w:cs="Times New Roman"/>
      <w:kern w:val="0"/>
      <w:sz w:val="20"/>
      <w:szCs w:val="20"/>
    </w:rPr>
  </w:style>
  <w:style w:type="paragraph" w:customStyle="1" w:styleId="419">
    <w:name w:val="font13"/>
    <w:basedOn w:val="1"/>
    <w:qFormat/>
    <w:uiPriority w:val="0"/>
    <w:pPr>
      <w:widowControl/>
      <w:spacing w:beforeAutospacing="1" w:after="100" w:afterAutospacing="1"/>
      <w:jc w:val="left"/>
    </w:pPr>
    <w:rPr>
      <w:rFonts w:ascii="宋体" w:hAnsi="宋体" w:cs="宋体"/>
      <w:color w:val="000000"/>
      <w:kern w:val="0"/>
      <w:sz w:val="20"/>
      <w:szCs w:val="20"/>
    </w:rPr>
  </w:style>
  <w:style w:type="paragraph" w:customStyle="1" w:styleId="420">
    <w:name w:val="font14"/>
    <w:basedOn w:val="1"/>
    <w:qFormat/>
    <w:uiPriority w:val="0"/>
    <w:pPr>
      <w:widowControl/>
      <w:spacing w:beforeAutospacing="1" w:after="100" w:afterAutospacing="1"/>
      <w:jc w:val="left"/>
    </w:pPr>
    <w:rPr>
      <w:rFonts w:ascii="Times New Roman" w:hAnsi="Times New Roman" w:cs="Times New Roman"/>
      <w:kern w:val="0"/>
      <w:sz w:val="20"/>
      <w:szCs w:val="20"/>
    </w:rPr>
  </w:style>
  <w:style w:type="paragraph" w:customStyle="1" w:styleId="421">
    <w:name w:val="font15"/>
    <w:basedOn w:val="1"/>
    <w:qFormat/>
    <w:uiPriority w:val="0"/>
    <w:pPr>
      <w:widowControl/>
      <w:spacing w:beforeAutospacing="1" w:after="100" w:afterAutospacing="1"/>
      <w:jc w:val="left"/>
    </w:pPr>
    <w:rPr>
      <w:rFonts w:ascii="Times New Roman" w:hAnsi="Times New Roman" w:cs="Times New Roman"/>
      <w:color w:val="000000"/>
      <w:kern w:val="0"/>
      <w:sz w:val="20"/>
      <w:szCs w:val="20"/>
    </w:rPr>
  </w:style>
  <w:style w:type="paragraph" w:customStyle="1" w:styleId="422">
    <w:name w:val="font16"/>
    <w:basedOn w:val="1"/>
    <w:qFormat/>
    <w:uiPriority w:val="0"/>
    <w:pPr>
      <w:widowControl/>
      <w:spacing w:beforeAutospacing="1" w:after="100" w:afterAutospacing="1"/>
      <w:jc w:val="left"/>
    </w:pPr>
    <w:rPr>
      <w:rFonts w:ascii="宋体" w:hAnsi="宋体" w:cs="宋体"/>
      <w:kern w:val="0"/>
      <w:sz w:val="20"/>
      <w:szCs w:val="20"/>
    </w:rPr>
  </w:style>
  <w:style w:type="paragraph" w:customStyle="1" w:styleId="423">
    <w:name w:val="font17"/>
    <w:basedOn w:val="1"/>
    <w:qFormat/>
    <w:uiPriority w:val="0"/>
    <w:pPr>
      <w:widowControl/>
      <w:spacing w:beforeAutospacing="1" w:after="100" w:afterAutospacing="1"/>
      <w:jc w:val="left"/>
    </w:pPr>
    <w:rPr>
      <w:rFonts w:ascii="宋体" w:hAnsi="宋体" w:cs="宋体"/>
      <w:color w:val="000000"/>
      <w:kern w:val="0"/>
      <w:sz w:val="20"/>
      <w:szCs w:val="20"/>
    </w:rPr>
  </w:style>
  <w:style w:type="paragraph" w:customStyle="1" w:styleId="424">
    <w:name w:val="xl66"/>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425">
    <w:name w:val="xl67"/>
    <w:basedOn w:val="1"/>
    <w:qFormat/>
    <w:uiPriority w:val="0"/>
    <w:pPr>
      <w:widowControl/>
      <w:pBdr>
        <w:top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426">
    <w:name w:val="xl68"/>
    <w:basedOn w:val="1"/>
    <w:qFormat/>
    <w:uiPriority w:val="0"/>
    <w:pPr>
      <w:widowControl/>
      <w:spacing w:beforeAutospacing="1" w:after="100" w:afterAutospacing="1"/>
      <w:jc w:val="left"/>
    </w:pPr>
    <w:rPr>
      <w:rFonts w:ascii="Times New Roman" w:hAnsi="Times New Roman" w:cs="Times New Roman"/>
      <w:kern w:val="0"/>
      <w:sz w:val="20"/>
      <w:szCs w:val="20"/>
    </w:rPr>
  </w:style>
  <w:style w:type="paragraph" w:customStyle="1" w:styleId="427">
    <w:name w:val="xl69"/>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textAlignment w:val="center"/>
    </w:pPr>
    <w:rPr>
      <w:rFonts w:ascii="Times New Roman" w:hAnsi="Times New Roman" w:cs="Times New Roman"/>
      <w:kern w:val="0"/>
      <w:sz w:val="20"/>
      <w:szCs w:val="20"/>
    </w:rPr>
  </w:style>
  <w:style w:type="paragraph" w:customStyle="1" w:styleId="428">
    <w:name w:val="xl7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textAlignment w:val="center"/>
    </w:pPr>
    <w:rPr>
      <w:rFonts w:ascii="Times New Roman" w:hAnsi="Times New Roman" w:cs="Times New Roman"/>
      <w:kern w:val="0"/>
      <w:sz w:val="20"/>
      <w:szCs w:val="20"/>
    </w:rPr>
  </w:style>
  <w:style w:type="paragraph" w:customStyle="1" w:styleId="429">
    <w:name w:val="xl71"/>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430">
    <w:name w:val="xl72"/>
    <w:basedOn w:val="1"/>
    <w:qFormat/>
    <w:uiPriority w:val="0"/>
    <w:pPr>
      <w:widowControl/>
      <w:spacing w:beforeAutospacing="1" w:after="100" w:afterAutospacing="1"/>
      <w:jc w:val="left"/>
      <w:textAlignment w:val="center"/>
    </w:pPr>
    <w:rPr>
      <w:rFonts w:ascii="Times New Roman" w:hAnsi="Times New Roman" w:cs="Times New Roman"/>
      <w:kern w:val="0"/>
      <w:sz w:val="20"/>
      <w:szCs w:val="20"/>
    </w:rPr>
  </w:style>
  <w:style w:type="paragraph" w:customStyle="1" w:styleId="431">
    <w:name w:val="xl73"/>
    <w:basedOn w:val="1"/>
    <w:qFormat/>
    <w:uiPriority w:val="0"/>
    <w:pPr>
      <w:widowControl/>
      <w:shd w:val="clear" w:color="000000" w:fill="00B0F0"/>
      <w:spacing w:beforeAutospacing="1" w:after="100" w:afterAutospacing="1"/>
      <w:jc w:val="left"/>
    </w:pPr>
    <w:rPr>
      <w:rFonts w:ascii="Times New Roman" w:hAnsi="Times New Roman" w:cs="Times New Roman"/>
      <w:kern w:val="0"/>
      <w:sz w:val="20"/>
      <w:szCs w:val="20"/>
    </w:rPr>
  </w:style>
  <w:style w:type="paragraph" w:customStyle="1" w:styleId="432">
    <w:name w:val="xl74"/>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cs="Times New Roman"/>
      <w:kern w:val="0"/>
      <w:sz w:val="20"/>
      <w:szCs w:val="20"/>
    </w:rPr>
  </w:style>
  <w:style w:type="paragraph" w:customStyle="1" w:styleId="433">
    <w:name w:val="xl75"/>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textAlignment w:val="center"/>
    </w:pPr>
    <w:rPr>
      <w:rFonts w:ascii="Times New Roman" w:hAnsi="Times New Roman" w:cs="Times New Roman"/>
      <w:kern w:val="0"/>
      <w:sz w:val="20"/>
      <w:szCs w:val="20"/>
    </w:rPr>
  </w:style>
  <w:style w:type="paragraph" w:customStyle="1" w:styleId="434">
    <w:name w:val="xl76"/>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cs="Times New Roman"/>
      <w:kern w:val="0"/>
      <w:sz w:val="20"/>
      <w:szCs w:val="20"/>
    </w:rPr>
  </w:style>
  <w:style w:type="paragraph" w:customStyle="1" w:styleId="435">
    <w:name w:val="xl77"/>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cs="Times New Roman"/>
      <w:kern w:val="0"/>
      <w:sz w:val="20"/>
      <w:szCs w:val="20"/>
    </w:rPr>
  </w:style>
  <w:style w:type="paragraph" w:customStyle="1" w:styleId="436">
    <w:name w:val="xl78"/>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437">
    <w:name w:val="xl79"/>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Times New Roman" w:hAnsi="Times New Roman" w:cs="Times New Roman"/>
      <w:kern w:val="0"/>
      <w:sz w:val="20"/>
      <w:szCs w:val="20"/>
    </w:rPr>
  </w:style>
  <w:style w:type="paragraph" w:customStyle="1" w:styleId="438">
    <w:name w:val="xl8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cs="Times New Roman"/>
      <w:kern w:val="0"/>
      <w:sz w:val="20"/>
      <w:szCs w:val="20"/>
    </w:rPr>
  </w:style>
  <w:style w:type="paragraph" w:customStyle="1" w:styleId="439">
    <w:name w:val="xl81"/>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textAlignment w:val="center"/>
    </w:pPr>
    <w:rPr>
      <w:rFonts w:ascii="Times New Roman" w:hAnsi="Times New Roman" w:cs="Times New Roman"/>
      <w:kern w:val="0"/>
      <w:sz w:val="20"/>
      <w:szCs w:val="20"/>
    </w:rPr>
  </w:style>
  <w:style w:type="paragraph" w:customStyle="1" w:styleId="440">
    <w:name w:val="xl82"/>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441">
    <w:name w:val="xl83"/>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442">
    <w:name w:val="xl84"/>
    <w:basedOn w:val="1"/>
    <w:qFormat/>
    <w:uiPriority w:val="0"/>
    <w:pPr>
      <w:widowControl/>
      <w:spacing w:beforeAutospacing="1" w:after="100" w:afterAutospacing="1"/>
      <w:jc w:val="center"/>
      <w:textAlignment w:val="center"/>
    </w:pPr>
    <w:rPr>
      <w:rFonts w:ascii="Times New Roman" w:hAnsi="Times New Roman" w:cs="Times New Roman"/>
      <w:kern w:val="0"/>
      <w:sz w:val="20"/>
      <w:szCs w:val="20"/>
    </w:rPr>
  </w:style>
  <w:style w:type="paragraph" w:customStyle="1" w:styleId="443">
    <w:name w:val="xl85"/>
    <w:basedOn w:val="1"/>
    <w:qFormat/>
    <w:uiPriority w:val="0"/>
    <w:pPr>
      <w:widowControl/>
      <w:spacing w:beforeAutospacing="1" w:after="100" w:afterAutospacing="1"/>
      <w:jc w:val="center"/>
      <w:textAlignment w:val="center"/>
    </w:pPr>
    <w:rPr>
      <w:rFonts w:ascii="Times New Roman" w:hAnsi="Times New Roman" w:cs="Times New Roman"/>
      <w:kern w:val="0"/>
      <w:sz w:val="20"/>
      <w:szCs w:val="20"/>
    </w:rPr>
  </w:style>
  <w:style w:type="paragraph" w:customStyle="1" w:styleId="444">
    <w:name w:val="xl86"/>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textAlignment w:val="center"/>
    </w:pPr>
    <w:rPr>
      <w:rFonts w:ascii="宋体" w:hAnsi="宋体" w:cs="宋体"/>
      <w:kern w:val="0"/>
      <w:sz w:val="20"/>
      <w:szCs w:val="20"/>
    </w:rPr>
  </w:style>
  <w:style w:type="paragraph" w:customStyle="1" w:styleId="445">
    <w:name w:val="样式2"/>
    <w:basedOn w:val="169"/>
    <w:link w:val="446"/>
    <w:qFormat/>
    <w:uiPriority w:val="0"/>
    <w:pPr>
      <w:spacing w:beforeLines="50" w:line="480" w:lineRule="exact"/>
      <w:ind w:firstLine="0" w:firstLineChars="0"/>
      <w:jc w:val="center"/>
      <w:outlineLvl w:val="4"/>
    </w:pPr>
    <w:rPr>
      <w:rFonts w:eastAsiaTheme="minorEastAsia"/>
      <w:snapToGrid w:val="0"/>
      <w:kern w:val="0"/>
    </w:rPr>
  </w:style>
  <w:style w:type="character" w:customStyle="1" w:styleId="446">
    <w:name w:val="样式2 Char Char"/>
    <w:link w:val="445"/>
    <w:qFormat/>
    <w:uiPriority w:val="0"/>
    <w:rPr>
      <w:rFonts w:ascii="Times New Roman" w:hAnsi="Times New Roman" w:cs="Times New Roman"/>
      <w:snapToGrid w:val="0"/>
      <w:kern w:val="0"/>
      <w:sz w:val="24"/>
      <w:szCs w:val="26"/>
    </w:rPr>
  </w:style>
  <w:style w:type="character" w:customStyle="1" w:styleId="447">
    <w:name w:val="样式4 Char Char"/>
    <w:qFormat/>
    <w:uiPriority w:val="0"/>
    <w:rPr>
      <w:rFonts w:eastAsiaTheme="minorEastAsia"/>
      <w:kern w:val="2"/>
      <w:sz w:val="22"/>
      <w:szCs w:val="22"/>
    </w:rPr>
  </w:style>
  <w:style w:type="paragraph" w:customStyle="1" w:styleId="448">
    <w:name w:val="样式 首行缩进:  2 字符"/>
    <w:basedOn w:val="1"/>
    <w:link w:val="451"/>
    <w:qFormat/>
    <w:uiPriority w:val="0"/>
    <w:pPr>
      <w:ind w:firstLine="420" w:firstLineChars="200"/>
      <w:jc w:val="left"/>
    </w:pPr>
    <w:rPr>
      <w:rFonts w:ascii="Times New Roman" w:hAnsi="Times New Roman" w:cs="Times New Roman"/>
      <w:szCs w:val="20"/>
    </w:rPr>
  </w:style>
  <w:style w:type="paragraph" w:customStyle="1" w:styleId="449">
    <w:name w:val="样式8"/>
    <w:basedOn w:val="1"/>
    <w:link w:val="450"/>
    <w:qFormat/>
    <w:uiPriority w:val="0"/>
    <w:pPr>
      <w:adjustRightInd w:val="0"/>
      <w:spacing w:line="320" w:lineRule="exact"/>
      <w:jc w:val="center"/>
    </w:pPr>
    <w:rPr>
      <w:rFonts w:ascii="Times New Roman" w:hAnsi="宋体" w:cs="Times New Roman"/>
      <w:sz w:val="22"/>
    </w:rPr>
  </w:style>
  <w:style w:type="character" w:customStyle="1" w:styleId="450">
    <w:name w:val="样式8 Char"/>
    <w:link w:val="449"/>
    <w:qFormat/>
    <w:uiPriority w:val="0"/>
    <w:rPr>
      <w:rFonts w:ascii="Times New Roman" w:hAnsi="宋体" w:cs="Times New Roman"/>
      <w:sz w:val="22"/>
    </w:rPr>
  </w:style>
  <w:style w:type="character" w:customStyle="1" w:styleId="451">
    <w:name w:val="样式 首行缩进:  2 字符 Char"/>
    <w:link w:val="448"/>
    <w:qFormat/>
    <w:uiPriority w:val="0"/>
    <w:rPr>
      <w:rFonts w:ascii="Times New Roman" w:hAnsi="Times New Roman" w:cs="Times New Roman"/>
      <w:szCs w:val="20"/>
    </w:rPr>
  </w:style>
  <w:style w:type="paragraph" w:customStyle="1" w:styleId="452">
    <w:name w:val="xl52"/>
    <w:basedOn w:val="1"/>
    <w:qFormat/>
    <w:uiPriority w:val="0"/>
    <w:pPr>
      <w:widowControl/>
      <w:pBdr>
        <w:left w:val="single" w:color="auto" w:sz="8" w:space="0"/>
      </w:pBdr>
      <w:spacing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53">
    <w:name w:val="xl87"/>
    <w:basedOn w:val="1"/>
    <w:qFormat/>
    <w:uiPriority w:val="0"/>
    <w:pPr>
      <w:widowControl/>
      <w:pBdr>
        <w:top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454">
    <w:name w:val="xl88"/>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20"/>
      <w:szCs w:val="20"/>
    </w:rPr>
  </w:style>
  <w:style w:type="paragraph" w:customStyle="1" w:styleId="455">
    <w:name w:val="xl89"/>
    <w:basedOn w:val="1"/>
    <w:qFormat/>
    <w:uiPriority w:val="0"/>
    <w:pPr>
      <w:widowControl/>
      <w:pBdr>
        <w:top w:val="single" w:color="auto" w:sz="4" w:space="0"/>
        <w:left w:val="single" w:color="auto" w:sz="4" w:space="0"/>
        <w:right w:val="single" w:color="auto" w:sz="4" w:space="0"/>
      </w:pBdr>
      <w:spacing w:beforeAutospacing="1" w:after="100" w:afterAutospacing="1"/>
      <w:jc w:val="center"/>
      <w:textAlignment w:val="center"/>
    </w:pPr>
    <w:rPr>
      <w:rFonts w:ascii="宋体" w:hAnsi="宋体" w:cs="宋体"/>
      <w:kern w:val="0"/>
      <w:sz w:val="20"/>
      <w:szCs w:val="20"/>
    </w:rPr>
  </w:style>
  <w:style w:type="paragraph" w:customStyle="1" w:styleId="456">
    <w:name w:val="xl90"/>
    <w:basedOn w:val="1"/>
    <w:qFormat/>
    <w:uiPriority w:val="0"/>
    <w:pPr>
      <w:widowControl/>
      <w:pBdr>
        <w:left w:val="single" w:color="auto" w:sz="4" w:space="0"/>
        <w:right w:val="single" w:color="auto" w:sz="4" w:space="0"/>
      </w:pBdr>
      <w:spacing w:beforeAutospacing="1" w:after="100" w:afterAutospacing="1"/>
      <w:jc w:val="center"/>
      <w:textAlignment w:val="center"/>
    </w:pPr>
    <w:rPr>
      <w:rFonts w:ascii="宋体" w:hAnsi="宋体" w:cs="宋体"/>
      <w:kern w:val="0"/>
      <w:sz w:val="20"/>
      <w:szCs w:val="20"/>
    </w:rPr>
  </w:style>
  <w:style w:type="paragraph" w:customStyle="1" w:styleId="457">
    <w:name w:val="xl91"/>
    <w:basedOn w:val="1"/>
    <w:qFormat/>
    <w:uiPriority w:val="0"/>
    <w:pPr>
      <w:widowControl/>
      <w:pBdr>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20"/>
      <w:szCs w:val="20"/>
    </w:rPr>
  </w:style>
  <w:style w:type="paragraph" w:customStyle="1" w:styleId="458">
    <w:name w:val="xl92"/>
    <w:basedOn w:val="1"/>
    <w:qFormat/>
    <w:uiPriority w:val="0"/>
    <w:pPr>
      <w:widowControl/>
      <w:pBdr>
        <w:top w:val="single" w:color="auto" w:sz="4" w:space="0"/>
        <w:left w:val="single" w:color="auto" w:sz="4" w:space="0"/>
        <w:right w:val="single" w:color="auto" w:sz="4" w:space="0"/>
      </w:pBdr>
      <w:spacing w:beforeAutospacing="1" w:after="100" w:afterAutospacing="1"/>
      <w:jc w:val="center"/>
      <w:textAlignment w:val="center"/>
    </w:pPr>
    <w:rPr>
      <w:rFonts w:ascii="宋体" w:hAnsi="宋体" w:cs="宋体"/>
      <w:kern w:val="0"/>
      <w:sz w:val="20"/>
      <w:szCs w:val="20"/>
    </w:rPr>
  </w:style>
  <w:style w:type="paragraph" w:customStyle="1" w:styleId="459">
    <w:name w:val="xl93"/>
    <w:basedOn w:val="1"/>
    <w:qFormat/>
    <w:uiPriority w:val="0"/>
    <w:pPr>
      <w:widowControl/>
      <w:pBdr>
        <w:left w:val="single" w:color="auto" w:sz="4" w:space="0"/>
        <w:right w:val="single" w:color="auto" w:sz="4" w:space="0"/>
      </w:pBdr>
      <w:spacing w:beforeAutospacing="1" w:after="100" w:afterAutospacing="1"/>
      <w:jc w:val="center"/>
      <w:textAlignment w:val="center"/>
    </w:pPr>
    <w:rPr>
      <w:rFonts w:ascii="宋体" w:hAnsi="宋体" w:cs="宋体"/>
      <w:kern w:val="0"/>
      <w:sz w:val="20"/>
      <w:szCs w:val="20"/>
    </w:rPr>
  </w:style>
  <w:style w:type="paragraph" w:customStyle="1" w:styleId="460">
    <w:name w:val="xl94"/>
    <w:basedOn w:val="1"/>
    <w:qFormat/>
    <w:uiPriority w:val="0"/>
    <w:pPr>
      <w:widowControl/>
      <w:pBdr>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20"/>
      <w:szCs w:val="20"/>
    </w:rPr>
  </w:style>
  <w:style w:type="paragraph" w:customStyle="1" w:styleId="461">
    <w:name w:val="xl95"/>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Times New Roman" w:hAnsi="Times New Roman" w:cs="Times New Roman"/>
      <w:kern w:val="0"/>
      <w:sz w:val="20"/>
      <w:szCs w:val="20"/>
    </w:rPr>
  </w:style>
  <w:style w:type="paragraph" w:customStyle="1" w:styleId="462">
    <w:name w:val="xl96"/>
    <w:basedOn w:val="1"/>
    <w:qFormat/>
    <w:uiPriority w:val="0"/>
    <w:pPr>
      <w:widowControl/>
      <w:spacing w:beforeAutospacing="1" w:after="100" w:afterAutospacing="1"/>
      <w:jc w:val="center"/>
    </w:pPr>
    <w:rPr>
      <w:rFonts w:ascii="Times New Roman" w:hAnsi="Times New Roman" w:cs="Times New Roman"/>
      <w:kern w:val="0"/>
      <w:sz w:val="20"/>
      <w:szCs w:val="20"/>
    </w:rPr>
  </w:style>
  <w:style w:type="character" w:customStyle="1" w:styleId="463">
    <w:name w:val="访问过的超链接1"/>
    <w:semiHidden/>
    <w:qFormat/>
    <w:uiPriority w:val="0"/>
    <w:rPr>
      <w:color w:val="800080"/>
      <w:u w:val="single"/>
    </w:rPr>
  </w:style>
  <w:style w:type="table" w:customStyle="1" w:styleId="464">
    <w:name w:val="网格型2"/>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65">
    <w:name w:val="Char Char1 Char Char Char"/>
    <w:basedOn w:val="1"/>
    <w:qFormat/>
    <w:uiPriority w:val="0"/>
    <w:pPr>
      <w:jc w:val="left"/>
    </w:pPr>
    <w:rPr>
      <w:rFonts w:ascii="Times New Roman" w:hAnsi="Times New Roman" w:cs="Times New Roman"/>
      <w:kern w:val="0"/>
      <w:sz w:val="20"/>
      <w:szCs w:val="20"/>
    </w:rPr>
  </w:style>
  <w:style w:type="paragraph" w:customStyle="1" w:styleId="466">
    <w:name w:val="font3"/>
    <w:basedOn w:val="1"/>
    <w:qFormat/>
    <w:uiPriority w:val="0"/>
    <w:pPr>
      <w:widowControl/>
      <w:spacing w:beforeAutospacing="1" w:after="100" w:afterAutospacing="1"/>
      <w:jc w:val="left"/>
    </w:pPr>
    <w:rPr>
      <w:rFonts w:ascii="Times New Roman" w:hAnsi="Times New Roman" w:cs="Times New Roman"/>
      <w:color w:val="000000"/>
      <w:kern w:val="0"/>
    </w:rPr>
  </w:style>
  <w:style w:type="paragraph" w:customStyle="1" w:styleId="467">
    <w:name w:val="font4"/>
    <w:basedOn w:val="1"/>
    <w:qFormat/>
    <w:uiPriority w:val="0"/>
    <w:pPr>
      <w:widowControl/>
      <w:spacing w:beforeAutospacing="1" w:after="100" w:afterAutospacing="1"/>
      <w:jc w:val="left"/>
    </w:pPr>
    <w:rPr>
      <w:rFonts w:ascii="宋体" w:hAnsi="宋体" w:cs="宋体"/>
      <w:color w:val="000000"/>
      <w:kern w:val="0"/>
    </w:rPr>
  </w:style>
  <w:style w:type="paragraph" w:customStyle="1" w:styleId="468">
    <w:name w:val="et17"/>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69">
    <w:name w:val="et18"/>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70">
    <w:name w:val="et19"/>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71">
    <w:name w:val="et23"/>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72">
    <w:name w:val="et24"/>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73">
    <w:name w:val="et25"/>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74">
    <w:name w:val="et26"/>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75">
    <w:name w:val="et28"/>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76">
    <w:name w:val="et29"/>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77">
    <w:name w:val="et30"/>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78">
    <w:name w:val="et32"/>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79">
    <w:name w:val="xl65"/>
    <w:basedOn w:val="1"/>
    <w:qFormat/>
    <w:uiPriority w:val="0"/>
    <w:pPr>
      <w:widowControl/>
      <w:pBdr>
        <w:bottom w:val="single" w:color="000000" w:sz="8" w:space="0"/>
        <w:right w:val="single" w:color="000000" w:sz="8" w:space="0"/>
      </w:pBdr>
      <w:spacing w:beforeAutospacing="1" w:after="100" w:afterAutospacing="1"/>
      <w:jc w:val="center"/>
    </w:pPr>
    <w:rPr>
      <w:rFonts w:ascii="宋体" w:hAnsi="宋体" w:cs="宋体"/>
      <w:color w:val="000000"/>
      <w:kern w:val="0"/>
      <w:sz w:val="24"/>
      <w:szCs w:val="24"/>
    </w:rPr>
  </w:style>
  <w:style w:type="paragraph" w:customStyle="1" w:styleId="480">
    <w:name w:val="Char Char Char Char Char Char Char Char Char Char"/>
    <w:basedOn w:val="1"/>
    <w:qFormat/>
    <w:uiPriority w:val="0"/>
    <w:pPr>
      <w:spacing w:after="300" w:line="560" w:lineRule="exact"/>
      <w:jc w:val="left"/>
    </w:pPr>
    <w:rPr>
      <w:rFonts w:ascii="Times New Roman" w:hAnsi="Times New Roman" w:eastAsia="黑体" w:cs="Times New Roman"/>
      <w:sz w:val="36"/>
      <w:szCs w:val="36"/>
    </w:rPr>
  </w:style>
  <w:style w:type="paragraph" w:customStyle="1" w:styleId="481">
    <w:name w:val="font1"/>
    <w:basedOn w:val="1"/>
    <w:qFormat/>
    <w:uiPriority w:val="0"/>
    <w:pPr>
      <w:widowControl/>
      <w:spacing w:beforeAutospacing="1" w:after="100" w:afterAutospacing="1"/>
      <w:jc w:val="left"/>
    </w:pPr>
    <w:rPr>
      <w:rFonts w:ascii="宋体" w:hAnsi="宋体" w:cs="宋体"/>
      <w:color w:val="000000"/>
      <w:kern w:val="0"/>
    </w:rPr>
  </w:style>
  <w:style w:type="paragraph" w:customStyle="1" w:styleId="482">
    <w:name w:val="font2"/>
    <w:basedOn w:val="1"/>
    <w:qFormat/>
    <w:uiPriority w:val="0"/>
    <w:pPr>
      <w:widowControl/>
      <w:spacing w:beforeAutospacing="1" w:after="100" w:afterAutospacing="1"/>
      <w:jc w:val="left"/>
    </w:pPr>
    <w:rPr>
      <w:rFonts w:ascii="Times New Roman" w:hAnsi="Times New Roman" w:cs="Times New Roman"/>
      <w:color w:val="000000"/>
      <w:kern w:val="0"/>
      <w:vertAlign w:val="subscript"/>
    </w:rPr>
  </w:style>
  <w:style w:type="paragraph" w:customStyle="1" w:styleId="483">
    <w:name w:val="et2"/>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84">
    <w:name w:val="et3"/>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85">
    <w:name w:val="et4"/>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86">
    <w:name w:val="et5"/>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87">
    <w:name w:val="et6"/>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88">
    <w:name w:val="et7"/>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paragraph" w:customStyle="1" w:styleId="489">
    <w:name w:val="et8"/>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90">
    <w:name w:val="et9"/>
    <w:basedOn w:val="1"/>
    <w:qFormat/>
    <w:uiPriority w:val="0"/>
    <w:pPr>
      <w:widowControl/>
      <w:spacing w:beforeAutospacing="1" w:after="100" w:afterAutospacing="1"/>
      <w:jc w:val="left"/>
      <w:textAlignment w:val="center"/>
    </w:pPr>
    <w:rPr>
      <w:rFonts w:ascii="宋体" w:hAnsi="宋体" w:cs="宋体"/>
      <w:color w:val="000000"/>
      <w:kern w:val="0"/>
      <w:sz w:val="22"/>
    </w:rPr>
  </w:style>
  <w:style w:type="paragraph" w:customStyle="1" w:styleId="491">
    <w:name w:val="et11"/>
    <w:basedOn w:val="1"/>
    <w:qFormat/>
    <w:uiPriority w:val="0"/>
    <w:pPr>
      <w:widowControl/>
      <w:spacing w:beforeAutospacing="1" w:after="100" w:afterAutospacing="1"/>
      <w:jc w:val="left"/>
      <w:textAlignment w:val="center"/>
    </w:pPr>
    <w:rPr>
      <w:rFonts w:ascii="Times New Roman" w:hAnsi="Times New Roman" w:cs="Times New Roman"/>
      <w:color w:val="000000"/>
      <w:kern w:val="0"/>
      <w:sz w:val="22"/>
    </w:rPr>
  </w:style>
  <w:style w:type="table" w:customStyle="1" w:styleId="492">
    <w:name w:val="网格型3"/>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93">
    <w:name w:val="网格型4"/>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94">
    <w:name w:val="图像"/>
    <w:basedOn w:val="366"/>
    <w:qFormat/>
    <w:uiPriority w:val="0"/>
    <w:pPr>
      <w:adjustRightInd w:val="0"/>
      <w:snapToGrid w:val="0"/>
      <w:spacing w:beforeLines="100" w:afterLines="0" w:line="240" w:lineRule="auto"/>
      <w:ind w:firstLine="0" w:firstLineChars="0"/>
    </w:pPr>
    <w:rPr>
      <w:rFonts w:ascii="Times New Roman" w:hAnsi="Times New Roman" w:eastAsia="宋体"/>
      <w:bCs w:val="0"/>
      <w:sz w:val="22"/>
      <w:szCs w:val="22"/>
    </w:rPr>
  </w:style>
  <w:style w:type="character" w:styleId="495">
    <w:name w:val="Placeholder Text"/>
    <w:qFormat/>
    <w:uiPriority w:val="99"/>
    <w:rPr>
      <w:color w:val="808080"/>
    </w:rPr>
  </w:style>
  <w:style w:type="paragraph" w:customStyle="1" w:styleId="496">
    <w:name w:val="正文 小四 行距: 1.5 倍行距"/>
    <w:basedOn w:val="1"/>
    <w:qFormat/>
    <w:uiPriority w:val="0"/>
    <w:pPr>
      <w:spacing w:line="360" w:lineRule="auto"/>
      <w:ind w:firstLine="480" w:firstLineChars="200"/>
      <w:jc w:val="left"/>
    </w:pPr>
    <w:rPr>
      <w:rFonts w:ascii="Times New Roman" w:hAnsi="Times New Roman" w:cs="宋体"/>
      <w:sz w:val="24"/>
      <w:szCs w:val="20"/>
    </w:rPr>
  </w:style>
  <w:style w:type="table" w:customStyle="1" w:styleId="497">
    <w:name w:val="网格型5"/>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98">
    <w:name w:val="reader-word-layer"/>
    <w:basedOn w:val="1"/>
    <w:qFormat/>
    <w:uiPriority w:val="0"/>
    <w:pPr>
      <w:widowControl/>
      <w:spacing w:beforeAutospacing="1" w:after="100" w:afterAutospacing="1"/>
      <w:jc w:val="left"/>
    </w:pPr>
    <w:rPr>
      <w:rFonts w:ascii="宋体" w:hAnsi="宋体" w:cs="宋体"/>
      <w:kern w:val="0"/>
      <w:sz w:val="24"/>
      <w:szCs w:val="24"/>
    </w:rPr>
  </w:style>
  <w:style w:type="character" w:customStyle="1" w:styleId="499">
    <w:name w:val="@他1"/>
    <w:semiHidden/>
    <w:unhideWhenUsed/>
    <w:qFormat/>
    <w:uiPriority w:val="99"/>
    <w:rPr>
      <w:color w:val="2B579A"/>
      <w:shd w:val="clear" w:color="auto" w:fill="E6E6E6"/>
    </w:rPr>
  </w:style>
  <w:style w:type="character" w:customStyle="1" w:styleId="500">
    <w:name w:val="font401"/>
    <w:qFormat/>
    <w:uiPriority w:val="0"/>
    <w:rPr>
      <w:rFonts w:hint="default" w:ascii="Times New Roman" w:hAnsi="Times New Roman" w:cs="Times New Roman"/>
      <w:color w:val="000000"/>
      <w:sz w:val="21"/>
      <w:szCs w:val="21"/>
      <w:u w:val="none"/>
    </w:rPr>
  </w:style>
  <w:style w:type="character" w:customStyle="1" w:styleId="501">
    <w:name w:val="font411"/>
    <w:qFormat/>
    <w:uiPriority w:val="0"/>
    <w:rPr>
      <w:rFonts w:hint="default" w:ascii="Times New Roman" w:hAnsi="Times New Roman" w:cs="Times New Roman"/>
      <w:color w:val="000000"/>
      <w:sz w:val="21"/>
      <w:szCs w:val="21"/>
      <w:u w:val="none"/>
    </w:rPr>
  </w:style>
  <w:style w:type="character" w:customStyle="1" w:styleId="502">
    <w:name w:val="表内字体111 Char"/>
    <w:link w:val="503"/>
    <w:qFormat/>
    <w:uiPriority w:val="0"/>
    <w:rPr>
      <w:sz w:val="22"/>
      <w:szCs w:val="24"/>
    </w:rPr>
  </w:style>
  <w:style w:type="paragraph" w:customStyle="1" w:styleId="503">
    <w:name w:val="表内字体111"/>
    <w:basedOn w:val="1"/>
    <w:link w:val="502"/>
    <w:qFormat/>
    <w:uiPriority w:val="0"/>
    <w:pPr>
      <w:adjustRightInd w:val="0"/>
      <w:jc w:val="center"/>
    </w:pPr>
    <w:rPr>
      <w:sz w:val="22"/>
      <w:szCs w:val="24"/>
    </w:rPr>
  </w:style>
  <w:style w:type="character" w:customStyle="1" w:styleId="504">
    <w:name w:val="表头11 Char"/>
    <w:link w:val="505"/>
    <w:qFormat/>
    <w:uiPriority w:val="0"/>
    <w:rPr>
      <w:b/>
      <w:sz w:val="24"/>
      <w:szCs w:val="24"/>
    </w:rPr>
  </w:style>
  <w:style w:type="paragraph" w:customStyle="1" w:styleId="505">
    <w:name w:val="表头11"/>
    <w:basedOn w:val="1"/>
    <w:link w:val="504"/>
    <w:qFormat/>
    <w:uiPriority w:val="0"/>
    <w:pPr>
      <w:adjustRightInd w:val="0"/>
      <w:spacing w:beforeLines="30" w:line="480" w:lineRule="atLeast"/>
      <w:jc w:val="center"/>
    </w:pPr>
    <w:rPr>
      <w:b/>
      <w:sz w:val="24"/>
      <w:szCs w:val="24"/>
    </w:rPr>
  </w:style>
  <w:style w:type="paragraph" w:customStyle="1" w:styleId="506">
    <w:name w:val="前言、引言标题"/>
    <w:next w:val="1"/>
    <w:qFormat/>
    <w:uiPriority w:val="0"/>
    <w:pPr>
      <w:shd w:val="clear" w:color="FFFFFF" w:fill="FFFFFF"/>
      <w:tabs>
        <w:tab w:val="left" w:pos="1200"/>
      </w:tabs>
      <w:spacing w:before="640" w:after="560"/>
      <w:ind w:left="1200" w:hanging="1200"/>
      <w:jc w:val="center"/>
      <w:outlineLvl w:val="0"/>
    </w:pPr>
    <w:rPr>
      <w:rFonts w:ascii="黑体" w:hAnsi="Times New Roman" w:eastAsia="黑体" w:cs="Times New Roman"/>
      <w:sz w:val="32"/>
      <w:lang w:val="en-US" w:eastAsia="zh-CN" w:bidi="ar-SA"/>
    </w:rPr>
  </w:style>
  <w:style w:type="character" w:customStyle="1" w:styleId="507">
    <w:name w:val="大一点 Char"/>
    <w:qFormat/>
    <w:uiPriority w:val="9"/>
    <w:rPr>
      <w:rFonts w:eastAsia="宋体"/>
      <w:b/>
      <w:bCs/>
      <w:kern w:val="2"/>
      <w:sz w:val="32"/>
      <w:szCs w:val="32"/>
      <w:lang w:val="en-US" w:eastAsia="zh-CN" w:bidi="ar-SA"/>
    </w:rPr>
  </w:style>
  <w:style w:type="character" w:customStyle="1" w:styleId="508">
    <w:name w:val="（一） Char1"/>
    <w:qFormat/>
    <w:uiPriority w:val="0"/>
    <w:rPr>
      <w:rFonts w:ascii="Arial" w:hAnsi="Arial" w:eastAsia="黑体"/>
      <w:b/>
      <w:bCs/>
      <w:kern w:val="2"/>
      <w:sz w:val="28"/>
      <w:szCs w:val="28"/>
      <w:lang w:val="en-US" w:eastAsia="zh-CN" w:bidi="ar-SA"/>
    </w:rPr>
  </w:style>
  <w:style w:type="paragraph" w:customStyle="1" w:styleId="509">
    <w:name w:val="xl25"/>
    <w:basedOn w:val="1"/>
    <w:qFormat/>
    <w:uiPriority w:val="0"/>
    <w:pPr>
      <w:widowControl/>
      <w:pBdr>
        <w:left w:val="single" w:color="auto" w:sz="4" w:space="0"/>
        <w:bottom w:val="single" w:color="auto" w:sz="4" w:space="0"/>
        <w:right w:val="single" w:color="auto" w:sz="4" w:space="0"/>
      </w:pBdr>
      <w:spacing w:beforeAutospacing="1" w:after="100" w:afterAutospacing="1"/>
      <w:jc w:val="left"/>
      <w:textAlignment w:val="top"/>
    </w:pPr>
    <w:rPr>
      <w:rFonts w:ascii="宋体" w:hAnsi="Times New Roman" w:cs="Times New Roman"/>
      <w:kern w:val="0"/>
    </w:rPr>
  </w:style>
  <w:style w:type="paragraph" w:customStyle="1" w:styleId="510">
    <w:name w:val="xl31"/>
    <w:basedOn w:val="1"/>
    <w:qFormat/>
    <w:uiPriority w:val="0"/>
    <w:pPr>
      <w:widowControl/>
      <w:pBdr>
        <w:left w:val="single" w:color="auto" w:sz="4" w:space="0"/>
        <w:bottom w:val="single" w:color="auto" w:sz="4" w:space="0"/>
        <w:right w:val="single" w:color="auto" w:sz="4" w:space="0"/>
      </w:pBdr>
      <w:spacing w:beforeAutospacing="1" w:after="100" w:afterAutospacing="1"/>
      <w:jc w:val="left"/>
      <w:textAlignment w:val="top"/>
    </w:pPr>
    <w:rPr>
      <w:rFonts w:ascii="Times New Roman" w:hAnsi="Times New Roman" w:cs="Times New Roman"/>
      <w:kern w:val="0"/>
      <w:sz w:val="28"/>
      <w:szCs w:val="28"/>
    </w:rPr>
  </w:style>
  <w:style w:type="character" w:customStyle="1" w:styleId="511">
    <w:name w:val="aspmaker"/>
    <w:qFormat/>
    <w:uiPriority w:val="0"/>
  </w:style>
  <w:style w:type="character" w:customStyle="1" w:styleId="512">
    <w:name w:val="ee1"/>
    <w:qFormat/>
    <w:uiPriority w:val="0"/>
    <w:rPr>
      <w:rFonts w:hint="eastAsia" w:ascii="宋体" w:hAnsi="宋体" w:eastAsia="宋体"/>
      <w:sz w:val="24"/>
      <w:szCs w:val="24"/>
    </w:rPr>
  </w:style>
  <w:style w:type="paragraph" w:customStyle="1" w:styleId="513">
    <w:name w:val="xl28"/>
    <w:basedOn w:val="1"/>
    <w:qFormat/>
    <w:uiPriority w:val="0"/>
    <w:pPr>
      <w:widowControl/>
      <w:spacing w:beforeAutospacing="1" w:after="100" w:afterAutospacing="1"/>
      <w:jc w:val="center"/>
    </w:pPr>
    <w:rPr>
      <w:rFonts w:ascii="Arial Unicode MS" w:hAnsi="Arial Unicode MS" w:eastAsia="Arial Unicode MS" w:cs="Times New Roman"/>
      <w:kern w:val="0"/>
      <w:sz w:val="24"/>
      <w:szCs w:val="24"/>
    </w:rPr>
  </w:style>
  <w:style w:type="character" w:customStyle="1" w:styleId="514">
    <w:name w:val="newstxt"/>
    <w:qFormat/>
    <w:uiPriority w:val="0"/>
  </w:style>
  <w:style w:type="paragraph" w:customStyle="1" w:styleId="515">
    <w:name w:val="xl53"/>
    <w:basedOn w:val="1"/>
    <w:qFormat/>
    <w:uiPriority w:val="0"/>
    <w:pPr>
      <w:widowControl/>
      <w:pBdr>
        <w:left w:val="single" w:color="auto" w:sz="4" w:space="0"/>
        <w:bottom w:val="single" w:color="auto" w:sz="4" w:space="0"/>
        <w:right w:val="single" w:color="auto" w:sz="4" w:space="0"/>
      </w:pBdr>
      <w:spacing w:beforeAutospacing="1" w:after="100" w:afterAutospacing="1"/>
      <w:jc w:val="center"/>
    </w:pPr>
    <w:rPr>
      <w:rFonts w:ascii="Times New Roman" w:hAnsi="Times New Roman" w:eastAsia="Arial Unicode MS" w:cs="Times New Roman"/>
      <w:kern w:val="0"/>
    </w:rPr>
  </w:style>
  <w:style w:type="table" w:customStyle="1" w:styleId="516">
    <w:name w:val="网格型21"/>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17">
    <w:name w:val="脚注文本 Char"/>
    <w:basedOn w:val="132"/>
    <w:link w:val="67"/>
    <w:qFormat/>
    <w:uiPriority w:val="0"/>
    <w:rPr>
      <w:rFonts w:ascii="Times New Roman" w:hAnsi="Times New Roman" w:cs="Times New Roman"/>
      <w:sz w:val="18"/>
      <w:szCs w:val="18"/>
    </w:rPr>
  </w:style>
  <w:style w:type="paragraph" w:customStyle="1" w:styleId="518">
    <w:name w:val="gao 1"/>
    <w:basedOn w:val="1"/>
    <w:qFormat/>
    <w:uiPriority w:val="0"/>
    <w:pPr>
      <w:jc w:val="left"/>
    </w:pPr>
    <w:rPr>
      <w:rFonts w:ascii="Times New Roman" w:hAnsi="Times New Roman" w:eastAsia="方正大标宋简体" w:cs="Times New Roman"/>
      <w:sz w:val="28"/>
      <w:szCs w:val="24"/>
    </w:rPr>
  </w:style>
  <w:style w:type="character" w:customStyle="1" w:styleId="519">
    <w:name w:val="textcontents"/>
    <w:qFormat/>
    <w:uiPriority w:val="0"/>
  </w:style>
  <w:style w:type="paragraph" w:customStyle="1" w:styleId="520">
    <w:name w:val="正文+1"/>
    <w:basedOn w:val="251"/>
    <w:next w:val="251"/>
    <w:qFormat/>
    <w:uiPriority w:val="0"/>
    <w:rPr>
      <w:rFonts w:ascii="Times New Roman" w:cs="Times New Roman"/>
      <w:color w:val="auto"/>
      <w:sz w:val="20"/>
    </w:rPr>
  </w:style>
  <w:style w:type="table" w:customStyle="1" w:styleId="521">
    <w:name w:val="简明型 1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character" w:customStyle="1" w:styleId="522">
    <w:name w:val="pt101"/>
    <w:qFormat/>
    <w:uiPriority w:val="0"/>
    <w:rPr>
      <w:color w:val="000000"/>
      <w:sz w:val="21"/>
      <w:szCs w:val="21"/>
    </w:rPr>
  </w:style>
  <w:style w:type="character" w:customStyle="1" w:styleId="523">
    <w:name w:val="style101"/>
    <w:qFormat/>
    <w:uiPriority w:val="0"/>
    <w:rPr>
      <w:sz w:val="21"/>
      <w:szCs w:val="21"/>
    </w:rPr>
  </w:style>
  <w:style w:type="paragraph" w:customStyle="1" w:styleId="524">
    <w:name w:val="样式 Times New Roman 三号 加粗"/>
    <w:basedOn w:val="1"/>
    <w:qFormat/>
    <w:uiPriority w:val="0"/>
    <w:pPr>
      <w:tabs>
        <w:tab w:val="right" w:leader="dot" w:pos="8931"/>
      </w:tabs>
      <w:spacing w:beforeLines="50" w:afterLines="100" w:line="500" w:lineRule="exact"/>
      <w:jc w:val="center"/>
      <w:outlineLvl w:val="0"/>
    </w:pPr>
    <w:rPr>
      <w:rFonts w:ascii="Times New Roman" w:hAnsi="Times New Roman" w:cs="Times New Roman"/>
      <w:b/>
      <w:bCs/>
      <w:kern w:val="44"/>
      <w:sz w:val="32"/>
      <w:szCs w:val="32"/>
    </w:rPr>
  </w:style>
  <w:style w:type="paragraph" w:customStyle="1" w:styleId="525">
    <w:name w:val="f16"/>
    <w:basedOn w:val="1"/>
    <w:qFormat/>
    <w:uiPriority w:val="0"/>
    <w:pPr>
      <w:widowControl/>
      <w:spacing w:beforeAutospacing="1" w:after="100" w:afterAutospacing="1"/>
      <w:jc w:val="left"/>
    </w:pPr>
    <w:rPr>
      <w:rFonts w:ascii="宋体" w:hAnsi="宋体" w:cs="宋体"/>
      <w:color w:val="000000"/>
      <w:kern w:val="0"/>
      <w:sz w:val="24"/>
      <w:szCs w:val="24"/>
    </w:rPr>
  </w:style>
  <w:style w:type="character" w:customStyle="1" w:styleId="526">
    <w:name w:val="highlight1"/>
    <w:qFormat/>
    <w:uiPriority w:val="0"/>
    <w:rPr>
      <w:sz w:val="21"/>
      <w:szCs w:val="21"/>
    </w:rPr>
  </w:style>
  <w:style w:type="table" w:customStyle="1" w:styleId="527">
    <w:name w:val="表格主题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28">
    <w:name w:val="style51"/>
    <w:qFormat/>
    <w:uiPriority w:val="0"/>
    <w:rPr>
      <w:b/>
      <w:bCs/>
      <w:color w:val="000066"/>
      <w:sz w:val="36"/>
      <w:szCs w:val="36"/>
    </w:rPr>
  </w:style>
  <w:style w:type="character" w:customStyle="1" w:styleId="529">
    <w:name w:val="hei141"/>
    <w:qFormat/>
    <w:uiPriority w:val="0"/>
    <w:rPr>
      <w:color w:val="000000"/>
      <w:sz w:val="21"/>
      <w:szCs w:val="21"/>
    </w:rPr>
  </w:style>
  <w:style w:type="paragraph" w:customStyle="1" w:styleId="530">
    <w:name w:val="样式 样式2 + 段前: 0 磅 段后: 0 磅"/>
    <w:basedOn w:val="4"/>
    <w:qFormat/>
    <w:uiPriority w:val="0"/>
    <w:pPr>
      <w:spacing w:before="10" w:line="240" w:lineRule="auto"/>
    </w:pPr>
    <w:rPr>
      <w:rFonts w:ascii="Arial" w:hAnsi="Arial" w:cs="宋体" w:eastAsiaTheme="minorEastAsia"/>
      <w:color w:val="000000" w:themeColor="text1"/>
      <w:sz w:val="30"/>
      <w:szCs w:val="20"/>
      <w14:textFill>
        <w14:solidFill>
          <w14:schemeClr w14:val="tx1"/>
        </w14:solidFill>
      </w14:textFill>
    </w:rPr>
  </w:style>
  <w:style w:type="paragraph" w:customStyle="1" w:styleId="531">
    <w:name w:val="样式7"/>
    <w:basedOn w:val="1"/>
    <w:link w:val="532"/>
    <w:qFormat/>
    <w:uiPriority w:val="0"/>
    <w:pPr>
      <w:widowControl/>
      <w:spacing w:line="600" w:lineRule="exact"/>
      <w:ind w:firstLine="600" w:firstLineChars="200"/>
      <w:jc w:val="left"/>
    </w:pPr>
    <w:rPr>
      <w:rFonts w:ascii="宋体" w:hAnsi="宋体" w:cs="Times New Roman"/>
      <w:kern w:val="0"/>
      <w:sz w:val="30"/>
      <w:szCs w:val="20"/>
    </w:rPr>
  </w:style>
  <w:style w:type="character" w:customStyle="1" w:styleId="532">
    <w:name w:val="样式7 Char"/>
    <w:link w:val="531"/>
    <w:qFormat/>
    <w:uiPriority w:val="0"/>
    <w:rPr>
      <w:rFonts w:ascii="宋体" w:hAnsi="宋体" w:cs="Times New Roman"/>
      <w:kern w:val="0"/>
      <w:sz w:val="30"/>
      <w:szCs w:val="20"/>
    </w:rPr>
  </w:style>
  <w:style w:type="paragraph" w:customStyle="1" w:styleId="533">
    <w:name w:val="正文文字缩进"/>
    <w:basedOn w:val="1"/>
    <w:qFormat/>
    <w:uiPriority w:val="0"/>
    <w:pPr>
      <w:widowControl/>
      <w:spacing w:line="2074" w:lineRule="atLeast"/>
      <w:ind w:firstLine="629"/>
      <w:jc w:val="left"/>
      <w:textAlignment w:val="baseline"/>
    </w:pPr>
    <w:rPr>
      <w:rFonts w:ascii="Times New Roman" w:hAnsi="Times New Roman" w:cs="Times New Roman"/>
      <w:color w:val="000000"/>
      <w:kern w:val="0"/>
      <w:szCs w:val="20"/>
      <w:u w:color="000000"/>
    </w:rPr>
  </w:style>
  <w:style w:type="character" w:customStyle="1" w:styleId="534">
    <w:name w:val="尾注文本 Char"/>
    <w:basedOn w:val="132"/>
    <w:link w:val="52"/>
    <w:qFormat/>
    <w:uiPriority w:val="0"/>
    <w:rPr>
      <w:rFonts w:ascii="Times New Roman" w:hAnsi="Times New Roman" w:cs="Times New Roman"/>
      <w:szCs w:val="24"/>
    </w:rPr>
  </w:style>
  <w:style w:type="paragraph" w:customStyle="1" w:styleId="535">
    <w:name w:val="列项——（一级）"/>
    <w:qFormat/>
    <w:uiPriority w:val="0"/>
    <w:pPr>
      <w:widowControl w:val="0"/>
      <w:tabs>
        <w:tab w:val="left" w:pos="555"/>
      </w:tabs>
      <w:ind w:left="555" w:hanging="555"/>
      <w:jc w:val="both"/>
    </w:pPr>
    <w:rPr>
      <w:rFonts w:ascii="宋体" w:hAnsi="Times New Roman" w:eastAsia="宋体" w:cs="Times New Roman"/>
      <w:sz w:val="21"/>
      <w:lang w:val="en-US" w:eastAsia="zh-CN" w:bidi="ar-SA"/>
    </w:rPr>
  </w:style>
  <w:style w:type="paragraph" w:customStyle="1" w:styleId="53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37">
    <w:name w:val="Char1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538">
    <w:name w:val="规划正文"/>
    <w:basedOn w:val="1"/>
    <w:link w:val="539"/>
    <w:qFormat/>
    <w:uiPriority w:val="0"/>
    <w:pPr>
      <w:spacing w:line="400" w:lineRule="atLeast"/>
      <w:ind w:firstLine="480" w:firstLineChars="200"/>
      <w:jc w:val="left"/>
    </w:pPr>
    <w:rPr>
      <w:rFonts w:ascii="宋体" w:hAnsi="宋体" w:cs="Times New Roman"/>
      <w:sz w:val="24"/>
      <w:szCs w:val="24"/>
    </w:rPr>
  </w:style>
  <w:style w:type="character" w:customStyle="1" w:styleId="539">
    <w:name w:val="规划正文 Char"/>
    <w:link w:val="538"/>
    <w:qFormat/>
    <w:uiPriority w:val="0"/>
    <w:rPr>
      <w:rFonts w:ascii="宋体" w:hAnsi="宋体" w:cs="Times New Roman"/>
      <w:sz w:val="24"/>
      <w:szCs w:val="24"/>
    </w:rPr>
  </w:style>
  <w:style w:type="paragraph" w:customStyle="1" w:styleId="540">
    <w:name w:val="p0"/>
    <w:basedOn w:val="1"/>
    <w:qFormat/>
    <w:uiPriority w:val="0"/>
    <w:pPr>
      <w:widowControl/>
      <w:jc w:val="left"/>
    </w:pPr>
    <w:rPr>
      <w:rFonts w:ascii="Times New Roman" w:hAnsi="Times New Roman" w:cs="Times New Roman"/>
      <w:kern w:val="0"/>
    </w:rPr>
  </w:style>
  <w:style w:type="paragraph" w:customStyle="1" w:styleId="541">
    <w:name w:val="p16"/>
    <w:basedOn w:val="1"/>
    <w:qFormat/>
    <w:uiPriority w:val="0"/>
    <w:pPr>
      <w:widowControl/>
      <w:ind w:right="44" w:firstLine="570"/>
      <w:jc w:val="left"/>
    </w:pPr>
    <w:rPr>
      <w:rFonts w:ascii="Times New Roman" w:hAnsi="Times New Roman" w:cs="Times New Roman"/>
      <w:kern w:val="0"/>
      <w:sz w:val="28"/>
      <w:szCs w:val="28"/>
    </w:rPr>
  </w:style>
  <w:style w:type="paragraph" w:customStyle="1" w:styleId="542">
    <w:name w:val="文字"/>
    <w:basedOn w:val="1"/>
    <w:qFormat/>
    <w:uiPriority w:val="0"/>
    <w:pPr>
      <w:widowControl/>
      <w:spacing w:afterLines="50" w:line="360" w:lineRule="auto"/>
      <w:ind w:firstLine="420"/>
      <w:jc w:val="left"/>
    </w:pPr>
    <w:rPr>
      <w:rFonts w:ascii="Times New Roman" w:hAnsi="Times New Roman" w:cs="Times New Roman"/>
      <w:kern w:val="0"/>
      <w:sz w:val="24"/>
      <w:szCs w:val="24"/>
    </w:rPr>
  </w:style>
  <w:style w:type="paragraph" w:customStyle="1" w:styleId="543">
    <w:name w:val="Char1 Char Char Char Char Char Char Char Char Char1"/>
    <w:basedOn w:val="1"/>
    <w:qFormat/>
    <w:uiPriority w:val="0"/>
    <w:pPr>
      <w:spacing w:line="360" w:lineRule="auto"/>
      <w:ind w:firstLine="200" w:firstLineChars="200"/>
      <w:jc w:val="left"/>
    </w:pPr>
    <w:rPr>
      <w:rFonts w:ascii="宋体" w:hAnsi="宋体" w:cs="宋体"/>
      <w:sz w:val="24"/>
      <w:szCs w:val="24"/>
    </w:rPr>
  </w:style>
  <w:style w:type="character" w:customStyle="1" w:styleId="544">
    <w:name w:val="level51"/>
    <w:qFormat/>
    <w:uiPriority w:val="0"/>
    <w:rPr>
      <w:rFonts w:hint="default" w:ascii="ˎ̥" w:hAnsi="ˎ̥"/>
      <w:color w:val="256E16"/>
      <w:spacing w:val="120"/>
    </w:rPr>
  </w:style>
  <w:style w:type="character" w:customStyle="1" w:styleId="545">
    <w:name w:val="answer_time"/>
    <w:qFormat/>
    <w:uiPriority w:val="0"/>
  </w:style>
  <w:style w:type="paragraph" w:customStyle="1" w:styleId="546">
    <w:name w:val="样式 样式 样式 首行缩进:  2 字符 + 首行缩进:  2 字符 段后: 0.5 行 + 首行缩进:  2 字符"/>
    <w:basedOn w:val="1"/>
    <w:qFormat/>
    <w:uiPriority w:val="0"/>
    <w:pPr>
      <w:spacing w:line="360" w:lineRule="auto"/>
      <w:ind w:firstLine="420" w:firstLineChars="200"/>
      <w:jc w:val="left"/>
    </w:pPr>
    <w:rPr>
      <w:rFonts w:ascii="Times New Roman" w:hAnsi="Times New Roman" w:cs="宋体"/>
      <w:sz w:val="24"/>
      <w:szCs w:val="20"/>
    </w:rPr>
  </w:style>
  <w:style w:type="character" w:customStyle="1" w:styleId="547">
    <w:name w:val="itm"/>
    <w:qFormat/>
    <w:uiPriority w:val="0"/>
  </w:style>
  <w:style w:type="paragraph" w:customStyle="1" w:styleId="548">
    <w:name w:val="规划三级标题"/>
    <w:basedOn w:val="1"/>
    <w:link w:val="549"/>
    <w:qFormat/>
    <w:uiPriority w:val="0"/>
    <w:pPr>
      <w:spacing w:beforeLines="50" w:afterLines="50" w:line="400" w:lineRule="atLeast"/>
      <w:ind w:firstLine="561" w:firstLineChars="200"/>
      <w:jc w:val="left"/>
    </w:pPr>
    <w:rPr>
      <w:rFonts w:ascii="宋体" w:hAnsi="宋体" w:cs="Times New Roman"/>
      <w:b/>
      <w:bCs/>
      <w:kern w:val="0"/>
      <w:sz w:val="24"/>
      <w:szCs w:val="28"/>
    </w:rPr>
  </w:style>
  <w:style w:type="character" w:customStyle="1" w:styleId="549">
    <w:name w:val="规划三级标题 Char"/>
    <w:link w:val="548"/>
    <w:qFormat/>
    <w:uiPriority w:val="0"/>
    <w:rPr>
      <w:rFonts w:ascii="宋体" w:hAnsi="宋体" w:cs="Times New Roman"/>
      <w:b/>
      <w:bCs/>
      <w:kern w:val="0"/>
      <w:sz w:val="24"/>
      <w:szCs w:val="28"/>
    </w:rPr>
  </w:style>
  <w:style w:type="paragraph" w:customStyle="1" w:styleId="550">
    <w:name w:val="规划表格标题"/>
    <w:basedOn w:val="1"/>
    <w:link w:val="551"/>
    <w:qFormat/>
    <w:uiPriority w:val="0"/>
    <w:pPr>
      <w:adjustRightInd w:val="0"/>
      <w:spacing w:line="360" w:lineRule="auto"/>
      <w:jc w:val="center"/>
    </w:pPr>
    <w:rPr>
      <w:rFonts w:ascii="黑体" w:hAnsi="Times New Roman" w:eastAsia="黑体" w:cs="Times New Roman"/>
      <w:b/>
      <w:sz w:val="28"/>
      <w:szCs w:val="28"/>
    </w:rPr>
  </w:style>
  <w:style w:type="character" w:customStyle="1" w:styleId="551">
    <w:name w:val="规划表格标题 Char"/>
    <w:link w:val="550"/>
    <w:qFormat/>
    <w:uiPriority w:val="0"/>
    <w:rPr>
      <w:rFonts w:ascii="黑体" w:hAnsi="Times New Roman" w:eastAsia="黑体" w:cs="Times New Roman"/>
      <w:b/>
      <w:sz w:val="28"/>
      <w:szCs w:val="28"/>
    </w:rPr>
  </w:style>
  <w:style w:type="paragraph" w:customStyle="1" w:styleId="552">
    <w:name w:val="规划表格内容"/>
    <w:basedOn w:val="1"/>
    <w:link w:val="553"/>
    <w:qFormat/>
    <w:uiPriority w:val="0"/>
    <w:pPr>
      <w:jc w:val="center"/>
    </w:pPr>
    <w:rPr>
      <w:rFonts w:ascii="宋体" w:hAnsi="宋体" w:cs="Times New Roman"/>
      <w:szCs w:val="20"/>
    </w:rPr>
  </w:style>
  <w:style w:type="character" w:customStyle="1" w:styleId="553">
    <w:name w:val="规划表格内容 Char"/>
    <w:link w:val="552"/>
    <w:qFormat/>
    <w:uiPriority w:val="0"/>
    <w:rPr>
      <w:rFonts w:ascii="宋体" w:hAnsi="宋体" w:cs="Times New Roman"/>
      <w:szCs w:val="20"/>
    </w:rPr>
  </w:style>
  <w:style w:type="paragraph" w:customStyle="1" w:styleId="554">
    <w:name w:val="列出段落1"/>
    <w:basedOn w:val="1"/>
    <w:link w:val="555"/>
    <w:qFormat/>
    <w:uiPriority w:val="99"/>
    <w:pPr>
      <w:ind w:left="720"/>
      <w:jc w:val="left"/>
    </w:pPr>
    <w:rPr>
      <w:rFonts w:ascii="Times New Roman" w:hAnsi="Times New Roman" w:cs="Times New Roman"/>
    </w:rPr>
  </w:style>
  <w:style w:type="character" w:customStyle="1" w:styleId="555">
    <w:name w:val="List Paragraph Char"/>
    <w:link w:val="554"/>
    <w:qFormat/>
    <w:locked/>
    <w:uiPriority w:val="0"/>
    <w:rPr>
      <w:rFonts w:ascii="Times New Roman" w:hAnsi="Times New Roman" w:cs="Times New Roman"/>
      <w:szCs w:val="21"/>
    </w:rPr>
  </w:style>
  <w:style w:type="character" w:customStyle="1" w:styleId="556">
    <w:name w:val="样式四 Char1"/>
    <w:qFormat/>
    <w:uiPriority w:val="0"/>
    <w:rPr>
      <w:rFonts w:ascii="Arial" w:hAnsi="Arial" w:eastAsia="黑体"/>
      <w:b/>
      <w:bCs/>
      <w:kern w:val="2"/>
      <w:sz w:val="32"/>
      <w:szCs w:val="32"/>
      <w:lang w:val="en-US" w:eastAsia="zh-CN" w:bidi="ar-SA"/>
    </w:rPr>
  </w:style>
  <w:style w:type="character" w:customStyle="1" w:styleId="557">
    <w:name w:val="Heading 1 Char Char"/>
    <w:qFormat/>
    <w:uiPriority w:val="0"/>
    <w:rPr>
      <w:rFonts w:eastAsia="宋体" w:cs="Times New Roman"/>
      <w:b/>
      <w:bCs/>
      <w:kern w:val="44"/>
      <w:sz w:val="44"/>
      <w:szCs w:val="44"/>
      <w:lang w:val="en-US" w:eastAsia="zh-CN" w:bidi="ar-SA"/>
    </w:rPr>
  </w:style>
  <w:style w:type="paragraph" w:customStyle="1" w:styleId="558">
    <w:name w:val="无间隔2"/>
    <w:qFormat/>
    <w:uiPriority w:val="0"/>
    <w:rPr>
      <w:rFonts w:ascii="Calibri" w:hAnsi="Calibri" w:eastAsia="宋体" w:cs="Times New Roman"/>
      <w:sz w:val="22"/>
      <w:szCs w:val="21"/>
      <w:lang w:val="en-US" w:eastAsia="en-US" w:bidi="ar-SA"/>
    </w:rPr>
  </w:style>
  <w:style w:type="paragraph" w:customStyle="1" w:styleId="559">
    <w:name w:val="引用1"/>
    <w:basedOn w:val="1"/>
    <w:next w:val="1"/>
    <w:link w:val="560"/>
    <w:qFormat/>
    <w:uiPriority w:val="0"/>
    <w:pPr>
      <w:jc w:val="left"/>
    </w:pPr>
    <w:rPr>
      <w:rFonts w:ascii="Times New Roman" w:hAnsi="Times New Roman" w:cs="Times New Roman"/>
      <w:i/>
      <w:iCs/>
      <w:color w:val="000000"/>
      <w:szCs w:val="24"/>
    </w:rPr>
  </w:style>
  <w:style w:type="character" w:customStyle="1" w:styleId="560">
    <w:name w:val="Quote Char1"/>
    <w:link w:val="559"/>
    <w:qFormat/>
    <w:locked/>
    <w:uiPriority w:val="0"/>
    <w:rPr>
      <w:rFonts w:ascii="Times New Roman" w:hAnsi="Times New Roman" w:cs="Times New Roman"/>
      <w:i/>
      <w:iCs/>
      <w:color w:val="000000"/>
      <w:szCs w:val="24"/>
    </w:rPr>
  </w:style>
  <w:style w:type="character" w:customStyle="1" w:styleId="561">
    <w:name w:val="Quote Char"/>
    <w:link w:val="562"/>
    <w:qFormat/>
    <w:locked/>
    <w:uiPriority w:val="0"/>
    <w:rPr>
      <w:i/>
      <w:iCs/>
      <w:color w:val="000000"/>
      <w:szCs w:val="21"/>
    </w:rPr>
  </w:style>
  <w:style w:type="paragraph" w:customStyle="1" w:styleId="562">
    <w:name w:val="引用11"/>
    <w:basedOn w:val="1"/>
    <w:next w:val="1"/>
    <w:link w:val="561"/>
    <w:qFormat/>
    <w:uiPriority w:val="0"/>
    <w:pPr>
      <w:jc w:val="left"/>
    </w:pPr>
    <w:rPr>
      <w:i/>
      <w:iCs/>
      <w:color w:val="000000"/>
    </w:rPr>
  </w:style>
  <w:style w:type="paragraph" w:customStyle="1" w:styleId="563">
    <w:name w:val="明显引用1"/>
    <w:basedOn w:val="1"/>
    <w:next w:val="1"/>
    <w:link w:val="564"/>
    <w:qFormat/>
    <w:uiPriority w:val="0"/>
    <w:pPr>
      <w:pBdr>
        <w:bottom w:val="single" w:color="4F81BD" w:sz="4" w:space="4"/>
      </w:pBdr>
      <w:spacing w:after="280"/>
      <w:ind w:left="936" w:right="936"/>
      <w:jc w:val="left"/>
    </w:pPr>
    <w:rPr>
      <w:rFonts w:ascii="Times New Roman" w:hAnsi="Times New Roman" w:cs="Times New Roman"/>
      <w:b/>
      <w:bCs/>
      <w:i/>
      <w:iCs/>
      <w:color w:val="4F81BD"/>
      <w:szCs w:val="24"/>
    </w:rPr>
  </w:style>
  <w:style w:type="character" w:customStyle="1" w:styleId="564">
    <w:name w:val="Intense Quote Char1"/>
    <w:link w:val="563"/>
    <w:qFormat/>
    <w:locked/>
    <w:uiPriority w:val="0"/>
    <w:rPr>
      <w:rFonts w:ascii="Times New Roman" w:hAnsi="Times New Roman" w:cs="Times New Roman"/>
      <w:b/>
      <w:bCs/>
      <w:i/>
      <w:iCs/>
      <w:color w:val="4F81BD"/>
      <w:szCs w:val="24"/>
    </w:rPr>
  </w:style>
  <w:style w:type="character" w:customStyle="1" w:styleId="565">
    <w:name w:val="Intense Quote Char"/>
    <w:link w:val="566"/>
    <w:qFormat/>
    <w:locked/>
    <w:uiPriority w:val="0"/>
    <w:rPr>
      <w:b/>
      <w:bCs/>
      <w:i/>
      <w:iCs/>
      <w:color w:val="4F81BD"/>
      <w:szCs w:val="21"/>
    </w:rPr>
  </w:style>
  <w:style w:type="paragraph" w:customStyle="1" w:styleId="566">
    <w:name w:val="明显引用11"/>
    <w:basedOn w:val="1"/>
    <w:next w:val="1"/>
    <w:link w:val="565"/>
    <w:qFormat/>
    <w:uiPriority w:val="0"/>
    <w:pPr>
      <w:pBdr>
        <w:bottom w:val="single" w:color="4F81BD" w:sz="4" w:space="4"/>
      </w:pBdr>
      <w:spacing w:after="280"/>
      <w:ind w:left="936" w:right="936"/>
      <w:jc w:val="left"/>
    </w:pPr>
    <w:rPr>
      <w:b/>
      <w:bCs/>
      <w:i/>
      <w:iCs/>
      <w:color w:val="4F81BD"/>
    </w:rPr>
  </w:style>
  <w:style w:type="character" w:customStyle="1" w:styleId="567">
    <w:name w:val="不明显强调111"/>
    <w:qFormat/>
    <w:uiPriority w:val="0"/>
    <w:rPr>
      <w:rFonts w:cs="Times New Roman"/>
      <w:i/>
      <w:iCs/>
      <w:color w:val="808080"/>
    </w:rPr>
  </w:style>
  <w:style w:type="character" w:customStyle="1" w:styleId="568">
    <w:name w:val="明显强调111"/>
    <w:qFormat/>
    <w:uiPriority w:val="0"/>
    <w:rPr>
      <w:rFonts w:cs="Times New Roman"/>
      <w:b/>
      <w:bCs/>
      <w:i/>
      <w:iCs/>
      <w:color w:val="4F81BD"/>
    </w:rPr>
  </w:style>
  <w:style w:type="character" w:customStyle="1" w:styleId="569">
    <w:name w:val="不明显参考111"/>
    <w:qFormat/>
    <w:uiPriority w:val="0"/>
    <w:rPr>
      <w:rFonts w:cs="Times New Roman"/>
      <w:smallCaps/>
      <w:color w:val="C0504D"/>
      <w:u w:val="single"/>
    </w:rPr>
  </w:style>
  <w:style w:type="character" w:customStyle="1" w:styleId="570">
    <w:name w:val="明显参考111"/>
    <w:qFormat/>
    <w:uiPriority w:val="0"/>
    <w:rPr>
      <w:rFonts w:cs="Times New Roman"/>
      <w:b/>
      <w:bCs/>
      <w:smallCaps/>
      <w:color w:val="C0504D"/>
      <w:spacing w:val="5"/>
      <w:u w:val="single"/>
    </w:rPr>
  </w:style>
  <w:style w:type="character" w:customStyle="1" w:styleId="571">
    <w:name w:val="书籍标题111"/>
    <w:qFormat/>
    <w:uiPriority w:val="0"/>
    <w:rPr>
      <w:rFonts w:cs="Times New Roman"/>
      <w:b/>
      <w:bCs/>
      <w:smallCaps/>
      <w:spacing w:val="5"/>
    </w:rPr>
  </w:style>
  <w:style w:type="paragraph" w:customStyle="1" w:styleId="572">
    <w:name w:val="TOC 标题12"/>
    <w:basedOn w:val="3"/>
    <w:next w:val="1"/>
    <w:qFormat/>
    <w:uiPriority w:val="0"/>
    <w:pPr>
      <w:widowControl w:val="0"/>
      <w:jc w:val="both"/>
      <w:outlineLvl w:val="9"/>
    </w:pPr>
    <w:rPr>
      <w:rFonts w:ascii="Cambria" w:hAnsi="Cambria" w:cs="Times New Roman"/>
      <w:color w:val="365F91"/>
      <w:kern w:val="2"/>
      <w:szCs w:val="28"/>
    </w:rPr>
  </w:style>
  <w:style w:type="paragraph" w:customStyle="1" w:styleId="573">
    <w:name w:val="样式 标题 1 + 居中"/>
    <w:basedOn w:val="3"/>
    <w:qFormat/>
    <w:uiPriority w:val="0"/>
    <w:pPr>
      <w:widowControl w:val="0"/>
      <w:spacing w:beforeLines="20" w:afterLines="20"/>
    </w:pPr>
    <w:rPr>
      <w:rFonts w:cs="宋体"/>
      <w:color w:val="000000" w:themeColor="text1"/>
      <w:szCs w:val="20"/>
      <w14:textFill>
        <w14:solidFill>
          <w14:schemeClr w14:val="tx1"/>
        </w14:solidFill>
      </w14:textFill>
    </w:rPr>
  </w:style>
  <w:style w:type="paragraph" w:customStyle="1" w:styleId="574">
    <w:name w:val="样式 标题 3 + 左侧:  2 字符 右侧:  2 字符 段前: 0.25 行 段后: 0.25 行"/>
    <w:basedOn w:val="5"/>
    <w:qFormat/>
    <w:uiPriority w:val="0"/>
    <w:pPr>
      <w:spacing w:beforeLines="25" w:afterLines="25" w:line="240" w:lineRule="auto"/>
      <w:ind w:left="200" w:leftChars="200" w:right="200" w:rightChars="200"/>
    </w:pPr>
    <w:rPr>
      <w:rFonts w:cs="宋体" w:eastAsiaTheme="minorEastAsia"/>
      <w:sz w:val="30"/>
      <w:szCs w:val="20"/>
    </w:rPr>
  </w:style>
  <w:style w:type="paragraph" w:customStyle="1" w:styleId="575">
    <w:name w:val="样式 标题 2 + 居中"/>
    <w:basedOn w:val="4"/>
    <w:qFormat/>
    <w:uiPriority w:val="0"/>
    <w:pPr>
      <w:spacing w:beforeLines="50" w:afterLines="50" w:line="240" w:lineRule="auto"/>
      <w:jc w:val="center"/>
    </w:pPr>
    <w:rPr>
      <w:rFonts w:ascii="Arial" w:hAnsi="Arial" w:cs="宋体"/>
      <w:color w:val="000000" w:themeColor="text1"/>
      <w:sz w:val="32"/>
      <w:szCs w:val="20"/>
      <w14:textFill>
        <w14:solidFill>
          <w14:schemeClr w14:val="tx1"/>
        </w14:solidFill>
      </w14:textFill>
    </w:rPr>
  </w:style>
  <w:style w:type="paragraph" w:customStyle="1" w:styleId="576">
    <w:name w:val="列出段落11"/>
    <w:basedOn w:val="1"/>
    <w:qFormat/>
    <w:uiPriority w:val="0"/>
    <w:pPr>
      <w:ind w:left="720"/>
      <w:jc w:val="left"/>
    </w:pPr>
    <w:rPr>
      <w:rFonts w:ascii="Times New Roman" w:hAnsi="Times New Roman" w:cs="Times New Roman"/>
    </w:rPr>
  </w:style>
  <w:style w:type="paragraph" w:customStyle="1" w:styleId="577">
    <w:name w:val="样式 样式 小四 加粗 行距: 1.5 倍行距 首行缩进:  2 字符 + 左侧:  2 字符 首行缩进:  2 字符 右侧..."/>
    <w:basedOn w:val="1"/>
    <w:qFormat/>
    <w:uiPriority w:val="0"/>
    <w:pPr>
      <w:spacing w:beforeLines="50" w:afterLines="50"/>
      <w:ind w:left="200" w:leftChars="200" w:right="200" w:rightChars="200"/>
      <w:jc w:val="left"/>
    </w:pPr>
    <w:rPr>
      <w:rFonts w:ascii="Times New Roman" w:hAnsi="Times New Roman" w:cs="Times New Roman"/>
      <w:b/>
      <w:bCs/>
      <w:sz w:val="28"/>
      <w:szCs w:val="28"/>
    </w:rPr>
  </w:style>
  <w:style w:type="paragraph" w:customStyle="1" w:styleId="578">
    <w:name w:val="标题3"/>
    <w:basedOn w:val="1"/>
    <w:qFormat/>
    <w:uiPriority w:val="0"/>
    <w:pPr>
      <w:spacing w:beforeLines="50" w:line="360" w:lineRule="auto"/>
      <w:jc w:val="left"/>
      <w:outlineLvl w:val="2"/>
    </w:pPr>
    <w:rPr>
      <w:rFonts w:ascii="Times New Roman" w:hAnsi="Times New Roman" w:cs="Times New Roman"/>
      <w:b/>
      <w:bCs/>
      <w:sz w:val="24"/>
      <w:szCs w:val="24"/>
    </w:rPr>
  </w:style>
  <w:style w:type="paragraph" w:customStyle="1" w:styleId="579">
    <w:name w:val="样式 小四 加粗 行距: 1.5 倍行距 首行缩进:  2 字符"/>
    <w:basedOn w:val="1"/>
    <w:qFormat/>
    <w:uiPriority w:val="0"/>
    <w:pPr>
      <w:spacing w:beforeLines="50" w:afterLines="50"/>
      <w:ind w:left="200" w:leftChars="200" w:right="200" w:rightChars="200" w:firstLine="200" w:firstLineChars="200"/>
      <w:jc w:val="left"/>
    </w:pPr>
    <w:rPr>
      <w:rFonts w:ascii="Times New Roman" w:hAnsi="Times New Roman" w:cs="Times New Roman"/>
      <w:b/>
      <w:bCs/>
      <w:sz w:val="28"/>
      <w:szCs w:val="28"/>
    </w:rPr>
  </w:style>
  <w:style w:type="character" w:customStyle="1" w:styleId="580">
    <w:name w:val="rs"/>
    <w:qFormat/>
    <w:uiPriority w:val="0"/>
    <w:rPr>
      <w:rFonts w:cs="Times New Roman"/>
    </w:rPr>
  </w:style>
  <w:style w:type="paragraph" w:customStyle="1" w:styleId="581">
    <w:name w:val="p22"/>
    <w:basedOn w:val="1"/>
    <w:qFormat/>
    <w:uiPriority w:val="0"/>
    <w:pPr>
      <w:widowControl/>
      <w:spacing w:line="360" w:lineRule="auto"/>
      <w:ind w:firstLine="420"/>
      <w:jc w:val="left"/>
    </w:pPr>
    <w:rPr>
      <w:rFonts w:ascii="宋体" w:hAnsi="宋体" w:cs="宋体"/>
      <w:kern w:val="0"/>
      <w:sz w:val="24"/>
      <w:szCs w:val="24"/>
    </w:rPr>
  </w:style>
  <w:style w:type="character" w:customStyle="1" w:styleId="582">
    <w:name w:val="节 Char Char"/>
    <w:qFormat/>
    <w:uiPriority w:val="0"/>
    <w:rPr>
      <w:rFonts w:ascii="Arial" w:hAnsi="Arial" w:eastAsia="黑体" w:cs="Times New Roman"/>
      <w:b/>
      <w:bCs/>
      <w:kern w:val="2"/>
      <w:sz w:val="32"/>
      <w:szCs w:val="32"/>
      <w:lang w:val="en-US" w:eastAsia="zh-CN" w:bidi="ar-SA"/>
    </w:rPr>
  </w:style>
  <w:style w:type="character" w:customStyle="1" w:styleId="583">
    <w:name w:val="大一点 Char Char1"/>
    <w:qFormat/>
    <w:uiPriority w:val="0"/>
    <w:rPr>
      <w:rFonts w:ascii="宋体" w:hAnsi="宋体" w:eastAsia="宋体" w:cs="宋体"/>
      <w:b/>
      <w:bCs/>
      <w:color w:val="CC0000"/>
      <w:sz w:val="24"/>
      <w:szCs w:val="24"/>
      <w:lang w:val="en-US" w:eastAsia="zh-CN" w:bidi="ar-SA"/>
    </w:rPr>
  </w:style>
  <w:style w:type="character" w:customStyle="1" w:styleId="584">
    <w:name w:val="1 Char Char"/>
    <w:qFormat/>
    <w:uiPriority w:val="0"/>
    <w:rPr>
      <w:rFonts w:eastAsia="宋体" w:cs="Times New Roman"/>
      <w:b/>
      <w:bCs/>
      <w:kern w:val="2"/>
      <w:sz w:val="28"/>
      <w:szCs w:val="28"/>
      <w:lang w:val="en-US" w:eastAsia="zh-CN" w:bidi="ar-SA"/>
    </w:rPr>
  </w:style>
  <w:style w:type="character" w:customStyle="1" w:styleId="585">
    <w:name w:val="Char Char17"/>
    <w:qFormat/>
    <w:uiPriority w:val="0"/>
    <w:rPr>
      <w:rFonts w:ascii="Arial" w:hAnsi="Arial" w:eastAsia="宋体" w:cs="Times New Roman"/>
      <w:bCs/>
      <w:kern w:val="2"/>
      <w:sz w:val="24"/>
      <w:szCs w:val="24"/>
      <w:lang w:val="en-US" w:eastAsia="zh-CN" w:bidi="ar-SA"/>
    </w:rPr>
  </w:style>
  <w:style w:type="character" w:customStyle="1" w:styleId="586">
    <w:name w:val="fwriter1"/>
    <w:qFormat/>
    <w:uiPriority w:val="0"/>
    <w:rPr>
      <w:rFonts w:cs="Times New Roman"/>
      <w:color w:val="A50010"/>
    </w:rPr>
  </w:style>
  <w:style w:type="character" w:customStyle="1" w:styleId="587">
    <w:name w:val="short_text1"/>
    <w:qFormat/>
    <w:uiPriority w:val="0"/>
    <w:rPr>
      <w:rFonts w:cs="Times New Roman"/>
      <w:sz w:val="29"/>
      <w:szCs w:val="29"/>
    </w:rPr>
  </w:style>
  <w:style w:type="character" w:customStyle="1" w:styleId="588">
    <w:name w:val="long_text1"/>
    <w:qFormat/>
    <w:uiPriority w:val="0"/>
    <w:rPr>
      <w:rFonts w:cs="Times New Roman"/>
      <w:sz w:val="20"/>
      <w:szCs w:val="20"/>
    </w:rPr>
  </w:style>
  <w:style w:type="character" w:customStyle="1" w:styleId="589">
    <w:name w:val="medium_text1"/>
    <w:qFormat/>
    <w:uiPriority w:val="0"/>
    <w:rPr>
      <w:rFonts w:cs="Times New Roman"/>
      <w:sz w:val="24"/>
      <w:szCs w:val="24"/>
    </w:rPr>
  </w:style>
  <w:style w:type="paragraph" w:customStyle="1" w:styleId="590">
    <w:name w:val="样式 仿宋_GB2312 四号"/>
    <w:basedOn w:val="1"/>
    <w:qFormat/>
    <w:uiPriority w:val="0"/>
    <w:pPr>
      <w:tabs>
        <w:tab w:val="left" w:pos="3780"/>
      </w:tabs>
      <w:adjustRightInd w:val="0"/>
      <w:spacing w:line="360" w:lineRule="auto"/>
      <w:ind w:firstLine="520" w:firstLineChars="200"/>
      <w:jc w:val="left"/>
      <w:textAlignment w:val="baseline"/>
    </w:pPr>
    <w:rPr>
      <w:rFonts w:ascii="宋体" w:hAnsi="宋体" w:cs="宋体"/>
      <w:sz w:val="24"/>
      <w:szCs w:val="24"/>
    </w:rPr>
  </w:style>
  <w:style w:type="paragraph" w:customStyle="1" w:styleId="591">
    <w:name w:val="Char Char Char Char Char Char Char Char2"/>
    <w:basedOn w:val="1"/>
    <w:qFormat/>
    <w:uiPriority w:val="0"/>
    <w:pPr>
      <w:spacing w:line="520" w:lineRule="exact"/>
      <w:ind w:firstLine="560" w:firstLineChars="200"/>
      <w:jc w:val="left"/>
    </w:pPr>
    <w:rPr>
      <w:rFonts w:ascii="宋体" w:hAnsi="Times New Roman" w:cs="Times New Roman"/>
      <w:color w:val="FF0000"/>
      <w:sz w:val="28"/>
      <w:szCs w:val="28"/>
      <w:lang w:val="en-GB"/>
    </w:rPr>
  </w:style>
  <w:style w:type="paragraph" w:customStyle="1" w:styleId="592">
    <w:name w:val="样式 样式 样式 标题 4标题 4 Char + 段前: 0.5 行 段后: 0.25 行 + 右侧:  1 字符 + 右侧: ..."/>
    <w:basedOn w:val="1"/>
    <w:qFormat/>
    <w:uiPriority w:val="0"/>
    <w:pPr>
      <w:tabs>
        <w:tab w:val="left" w:pos="2100"/>
      </w:tabs>
      <w:spacing w:beforeLines="50" w:afterLines="50"/>
      <w:ind w:left="200" w:leftChars="200" w:right="200" w:rightChars="200" w:hanging="840"/>
      <w:jc w:val="left"/>
      <w:outlineLvl w:val="3"/>
    </w:pPr>
    <w:rPr>
      <w:rFonts w:ascii="宋体" w:hAnsi="宋体" w:cs="宋体"/>
      <w:b/>
      <w:bCs/>
      <w:sz w:val="28"/>
      <w:szCs w:val="20"/>
    </w:rPr>
  </w:style>
  <w:style w:type="paragraph" w:customStyle="1" w:styleId="593">
    <w:name w:val="样式 标题 5 + 段前: 0.5 行 段后: 0.5 行"/>
    <w:basedOn w:val="7"/>
    <w:qFormat/>
    <w:uiPriority w:val="0"/>
    <w:pPr>
      <w:spacing w:beforeLines="50" w:afterLines="50" w:line="240" w:lineRule="auto"/>
      <w:ind w:left="360"/>
      <w:jc w:val="left"/>
    </w:pPr>
    <w:rPr>
      <w:rFonts w:ascii="Times New Roman" w:hAnsi="Times New Roman" w:cs="宋体"/>
      <w:snapToGrid w:val="0"/>
      <w:kern w:val="0"/>
      <w:sz w:val="24"/>
      <w:szCs w:val="20"/>
    </w:rPr>
  </w:style>
  <w:style w:type="paragraph" w:customStyle="1" w:styleId="594">
    <w:name w:val="样式3"/>
    <w:basedOn w:val="3"/>
    <w:link w:val="853"/>
    <w:qFormat/>
    <w:uiPriority w:val="0"/>
    <w:pPr>
      <w:widowControl w:val="0"/>
      <w:spacing w:line="200" w:lineRule="exact"/>
      <w:jc w:val="both"/>
    </w:pPr>
    <w:rPr>
      <w:rFonts w:cs="Times New Roman"/>
      <w:color w:val="000000" w:themeColor="text1"/>
      <w:sz w:val="32"/>
      <w:szCs w:val="32"/>
      <w14:textFill>
        <w14:solidFill>
          <w14:schemeClr w14:val="tx1"/>
        </w14:solidFill>
      </w14:textFill>
    </w:rPr>
  </w:style>
  <w:style w:type="paragraph" w:customStyle="1" w:styleId="595">
    <w:name w:val="样式 标题 3 + 深红"/>
    <w:basedOn w:val="5"/>
    <w:link w:val="596"/>
    <w:qFormat/>
    <w:uiPriority w:val="0"/>
    <w:pPr>
      <w:spacing w:beforeLines="25" w:afterLines="25" w:line="415" w:lineRule="auto"/>
      <w:ind w:left="200" w:leftChars="200" w:right="200" w:rightChars="200"/>
    </w:pPr>
    <w:rPr>
      <w:rFonts w:cs="Times New Roman" w:eastAsiaTheme="minorEastAsia"/>
      <w:color w:val="800000"/>
      <w:sz w:val="30"/>
      <w:szCs w:val="28"/>
    </w:rPr>
  </w:style>
  <w:style w:type="character" w:customStyle="1" w:styleId="596">
    <w:name w:val="样式 标题 3 + 深红 Char"/>
    <w:link w:val="595"/>
    <w:qFormat/>
    <w:locked/>
    <w:uiPriority w:val="0"/>
    <w:rPr>
      <w:rFonts w:ascii="Times New Roman" w:hAnsi="Times New Roman" w:cs="Times New Roman"/>
      <w:b/>
      <w:bCs/>
      <w:color w:val="800000"/>
      <w:sz w:val="30"/>
      <w:szCs w:val="28"/>
    </w:rPr>
  </w:style>
  <w:style w:type="paragraph" w:customStyle="1" w:styleId="597">
    <w:name w:val="样式 标题 3 + 黑色"/>
    <w:basedOn w:val="5"/>
    <w:link w:val="598"/>
    <w:qFormat/>
    <w:uiPriority w:val="0"/>
    <w:pPr>
      <w:spacing w:beforeLines="25" w:afterLines="25" w:line="415" w:lineRule="auto"/>
      <w:ind w:left="200" w:leftChars="200" w:right="200" w:rightChars="200"/>
    </w:pPr>
    <w:rPr>
      <w:rFonts w:cs="Times New Roman" w:eastAsiaTheme="minorEastAsia"/>
      <w:color w:val="000000"/>
      <w:sz w:val="30"/>
      <w:szCs w:val="28"/>
    </w:rPr>
  </w:style>
  <w:style w:type="character" w:customStyle="1" w:styleId="598">
    <w:name w:val="样式 标题 3 + 黑色 Char"/>
    <w:link w:val="597"/>
    <w:qFormat/>
    <w:locked/>
    <w:uiPriority w:val="0"/>
    <w:rPr>
      <w:rFonts w:ascii="Times New Roman" w:hAnsi="Times New Roman" w:cs="Times New Roman"/>
      <w:b/>
      <w:bCs/>
      <w:color w:val="000000"/>
      <w:sz w:val="30"/>
      <w:szCs w:val="28"/>
    </w:rPr>
  </w:style>
  <w:style w:type="paragraph" w:customStyle="1" w:styleId="599">
    <w:name w:val="样式 样式 样式 样式 样式 标题 3 + 段前: 0.25 行 段后: 0.25 行 + 段前: 0.25 行 段后: 0.2..."/>
    <w:basedOn w:val="1"/>
    <w:qFormat/>
    <w:uiPriority w:val="0"/>
    <w:pPr>
      <w:tabs>
        <w:tab w:val="left" w:pos="1200"/>
      </w:tabs>
      <w:spacing w:beforeLines="25" w:afterLines="25"/>
      <w:ind w:left="200" w:leftChars="200" w:right="200" w:rightChars="200" w:hanging="360"/>
      <w:jc w:val="left"/>
      <w:outlineLvl w:val="2"/>
    </w:pPr>
    <w:rPr>
      <w:rFonts w:ascii="Times New Roman" w:hAnsi="Times New Roman" w:cs="宋体"/>
      <w:b/>
      <w:bCs/>
      <w:sz w:val="30"/>
      <w:szCs w:val="20"/>
    </w:rPr>
  </w:style>
  <w:style w:type="character" w:customStyle="1" w:styleId="600">
    <w:name w:val="txt_281"/>
    <w:qFormat/>
    <w:uiPriority w:val="0"/>
    <w:rPr>
      <w:rFonts w:cs="Times New Roman"/>
    </w:rPr>
  </w:style>
  <w:style w:type="character" w:customStyle="1" w:styleId="601">
    <w:name w:val="大一点 Char Char"/>
    <w:qFormat/>
    <w:uiPriority w:val="0"/>
    <w:rPr>
      <w:rFonts w:ascii="Times New Roman" w:hAnsi="Times New Roman" w:cs="Times New Roman"/>
      <w:b/>
      <w:bCs/>
      <w:kern w:val="2"/>
      <w:sz w:val="32"/>
      <w:szCs w:val="32"/>
    </w:rPr>
  </w:style>
  <w:style w:type="paragraph" w:customStyle="1" w:styleId="602">
    <w:name w:val="Char2 Char Char Char"/>
    <w:basedOn w:val="1"/>
    <w:qFormat/>
    <w:uiPriority w:val="0"/>
    <w:pPr>
      <w:spacing w:line="276" w:lineRule="auto"/>
      <w:jc w:val="left"/>
    </w:pPr>
    <w:rPr>
      <w:rFonts w:ascii="仿宋_GB2312" w:hAnsi="Times New Roman" w:cs="Times New Roman"/>
      <w:b/>
      <w:sz w:val="30"/>
      <w:szCs w:val="32"/>
    </w:rPr>
  </w:style>
  <w:style w:type="paragraph" w:customStyle="1" w:styleId="603">
    <w:name w:val="样式 样式 标题 3 + 左侧:  2 字符 右侧:  2 字符 段前: 0.25 行 段后: 0.25 行 + 右侧:  2 ..."/>
    <w:basedOn w:val="574"/>
    <w:qFormat/>
    <w:uiPriority w:val="0"/>
    <w:pPr>
      <w:ind w:left="0" w:leftChars="0" w:right="0" w:rightChars="0"/>
      <w:jc w:val="left"/>
    </w:pPr>
  </w:style>
  <w:style w:type="paragraph" w:customStyle="1" w:styleId="604">
    <w:name w:val="样式 样式 样式 标题 3 + 左侧:  2 字符 右侧:  2 字符 段前: 0.25 行 段后: 0.25 行 + 右侧: ..."/>
    <w:basedOn w:val="603"/>
    <w:qFormat/>
    <w:uiPriority w:val="0"/>
    <w:pPr>
      <w:spacing w:before="87" w:after="87"/>
    </w:pPr>
  </w:style>
  <w:style w:type="paragraph" w:customStyle="1" w:styleId="605">
    <w:name w:val="样式 标题 3大一点 + 段前: 0.25 行 段后: 0.25 行 行距: 多倍行距 1.15 字行"/>
    <w:basedOn w:val="5"/>
    <w:qFormat/>
    <w:uiPriority w:val="0"/>
    <w:pPr>
      <w:spacing w:beforeLines="25" w:afterLines="25" w:line="276" w:lineRule="auto"/>
    </w:pPr>
    <w:rPr>
      <w:rFonts w:cs="宋体" w:eastAsiaTheme="minorEastAsia"/>
      <w:sz w:val="30"/>
      <w:szCs w:val="20"/>
    </w:rPr>
  </w:style>
  <w:style w:type="paragraph" w:customStyle="1" w:styleId="606">
    <w:name w:val="样式 样式 标题 3 + 左侧:  2 字符 右侧:  2 字符 段前: 0.25 行 段后: 0.25 行 + 左侧:  2 ..."/>
    <w:basedOn w:val="574"/>
    <w:qFormat/>
    <w:uiPriority w:val="0"/>
    <w:pPr>
      <w:ind w:left="0" w:leftChars="0" w:right="0" w:rightChars="0"/>
      <w:jc w:val="left"/>
    </w:pPr>
  </w:style>
  <w:style w:type="paragraph" w:customStyle="1" w:styleId="607">
    <w:name w:val="样式 样式 标题 3 + 左侧:  2 字符 右侧:  2 字符 段前: 0.25 行 段后: 0.25 行 + 左侧:  2 ...1"/>
    <w:basedOn w:val="574"/>
    <w:qFormat/>
    <w:uiPriority w:val="0"/>
    <w:pPr>
      <w:ind w:left="0" w:leftChars="0" w:right="0" w:rightChars="0"/>
      <w:jc w:val="left"/>
    </w:pPr>
    <w:rPr>
      <w:kern w:val="0"/>
    </w:rPr>
  </w:style>
  <w:style w:type="paragraph" w:customStyle="1" w:styleId="608">
    <w:name w:val="样式 样式 标题 3 + 左侧:  2 字符 右侧:  2 字符 段前: 0.25 行 段后: 0.25 行 + 右侧:  2 ...1"/>
    <w:basedOn w:val="574"/>
    <w:qFormat/>
    <w:uiPriority w:val="0"/>
    <w:pPr>
      <w:spacing w:line="500" w:lineRule="exact"/>
      <w:ind w:left="0" w:leftChars="0" w:right="0" w:rightChars="0"/>
      <w:jc w:val="left"/>
    </w:pPr>
  </w:style>
  <w:style w:type="character" w:customStyle="1" w:styleId="609">
    <w:name w:val="t_tag"/>
    <w:qFormat/>
    <w:uiPriority w:val="0"/>
    <w:rPr>
      <w:rFonts w:cs="Times New Roman"/>
    </w:rPr>
  </w:style>
  <w:style w:type="character" w:customStyle="1" w:styleId="610">
    <w:name w:val="partialdisplay"/>
    <w:qFormat/>
    <w:uiPriority w:val="0"/>
    <w:rPr>
      <w:rFonts w:cs="Times New Roman"/>
    </w:rPr>
  </w:style>
  <w:style w:type="character" w:customStyle="1" w:styleId="611">
    <w:name w:val="Char Char16"/>
    <w:qFormat/>
    <w:uiPriority w:val="0"/>
    <w:rPr>
      <w:rFonts w:ascii="Times New Roman" w:hAnsi="Times New Roman" w:eastAsia="宋体" w:cs="Times New Roman"/>
      <w:b/>
      <w:bCs/>
      <w:kern w:val="44"/>
      <w:sz w:val="44"/>
      <w:szCs w:val="44"/>
    </w:rPr>
  </w:style>
  <w:style w:type="character" w:customStyle="1" w:styleId="612">
    <w:name w:val="Char Char15"/>
    <w:qFormat/>
    <w:uiPriority w:val="0"/>
    <w:rPr>
      <w:rFonts w:ascii="Cambria" w:hAnsi="Cambria" w:eastAsia="宋体" w:cs="Times New Roman"/>
      <w:b/>
      <w:bCs/>
      <w:sz w:val="32"/>
      <w:szCs w:val="32"/>
    </w:rPr>
  </w:style>
  <w:style w:type="character" w:customStyle="1" w:styleId="613">
    <w:name w:val="Char Char14"/>
    <w:qFormat/>
    <w:uiPriority w:val="0"/>
    <w:rPr>
      <w:rFonts w:ascii="Times New Roman" w:hAnsi="Times New Roman" w:eastAsia="宋体" w:cs="Times New Roman"/>
      <w:b/>
      <w:bCs/>
      <w:sz w:val="32"/>
      <w:szCs w:val="32"/>
    </w:rPr>
  </w:style>
  <w:style w:type="character" w:customStyle="1" w:styleId="614">
    <w:name w:val="Char Char13"/>
    <w:link w:val="615"/>
    <w:qFormat/>
    <w:uiPriority w:val="0"/>
    <w:rPr>
      <w:rFonts w:ascii="Cambria" w:hAnsi="Cambria"/>
      <w:b/>
      <w:bCs/>
      <w:sz w:val="28"/>
      <w:szCs w:val="28"/>
    </w:rPr>
  </w:style>
  <w:style w:type="paragraph" w:customStyle="1" w:styleId="615">
    <w:name w:val="标题 61"/>
    <w:basedOn w:val="1"/>
    <w:next w:val="1"/>
    <w:link w:val="614"/>
    <w:qFormat/>
    <w:uiPriority w:val="0"/>
    <w:pPr>
      <w:keepNext/>
      <w:keepLines/>
      <w:tabs>
        <w:tab w:val="left" w:pos="1152"/>
      </w:tabs>
      <w:spacing w:after="64" w:line="319" w:lineRule="auto"/>
      <w:ind w:left="1152" w:hanging="1152"/>
      <w:jc w:val="left"/>
      <w:textAlignment w:val="baseline"/>
      <w:outlineLvl w:val="5"/>
    </w:pPr>
    <w:rPr>
      <w:rFonts w:ascii="Cambria" w:hAnsi="Cambria"/>
      <w:b/>
      <w:bCs/>
      <w:sz w:val="28"/>
      <w:szCs w:val="28"/>
    </w:rPr>
  </w:style>
  <w:style w:type="paragraph" w:customStyle="1" w:styleId="616">
    <w:name w:val="样式 样式 标题 3 + 段前: 0.25 行 段后: 0.25 行 + 段前: 0.25 行 段后: 0.25 行"/>
    <w:basedOn w:val="1"/>
    <w:qFormat/>
    <w:uiPriority w:val="0"/>
    <w:pPr>
      <w:spacing w:beforeLines="25" w:afterLines="25"/>
      <w:ind w:hanging="360"/>
      <w:jc w:val="left"/>
      <w:outlineLvl w:val="2"/>
    </w:pPr>
    <w:rPr>
      <w:rFonts w:ascii="Times New Roman" w:hAnsi="Times New Roman" w:cs="宋体"/>
      <w:b/>
      <w:bCs/>
      <w:sz w:val="30"/>
      <w:szCs w:val="20"/>
    </w:rPr>
  </w:style>
  <w:style w:type="paragraph" w:customStyle="1" w:styleId="617">
    <w:name w:val="样式 样式 标题 2 + 段前: 0.5 行 段后: 0.5 行 + 段前: 0.5 行 段后: 0.5 行1"/>
    <w:basedOn w:val="1"/>
    <w:qFormat/>
    <w:uiPriority w:val="0"/>
    <w:pPr>
      <w:spacing w:beforeLines="50" w:afterLines="50"/>
      <w:ind w:hanging="885"/>
      <w:jc w:val="center"/>
      <w:outlineLvl w:val="1"/>
    </w:pPr>
    <w:rPr>
      <w:rFonts w:ascii="Arial" w:hAnsi="Arial" w:eastAsia="黑体" w:cs="宋体"/>
      <w:b/>
      <w:bCs/>
      <w:sz w:val="32"/>
      <w:szCs w:val="20"/>
    </w:rPr>
  </w:style>
  <w:style w:type="paragraph" w:customStyle="1" w:styleId="618">
    <w:name w:val="xl63"/>
    <w:basedOn w:val="1"/>
    <w:qFormat/>
    <w:uiPriority w:val="0"/>
    <w:pPr>
      <w:widowControl/>
      <w:spacing w:beforeAutospacing="1" w:after="100" w:afterAutospacing="1"/>
      <w:jc w:val="left"/>
    </w:pPr>
    <w:rPr>
      <w:rFonts w:ascii="Times New Roman" w:hAnsi="Times New Roman" w:cs="Times New Roman"/>
      <w:kern w:val="0"/>
      <w:sz w:val="24"/>
      <w:szCs w:val="24"/>
    </w:rPr>
  </w:style>
  <w:style w:type="paragraph" w:customStyle="1" w:styleId="619">
    <w:name w:val="nilo_正文 Char Char Char Char Char"/>
    <w:basedOn w:val="1"/>
    <w:link w:val="620"/>
    <w:qFormat/>
    <w:uiPriority w:val="0"/>
    <w:pPr>
      <w:tabs>
        <w:tab w:val="left" w:pos="1320"/>
      </w:tabs>
      <w:spacing w:line="360" w:lineRule="auto"/>
      <w:ind w:left="1211" w:hanging="851"/>
      <w:jc w:val="left"/>
    </w:pPr>
    <w:rPr>
      <w:rFonts w:ascii="Arial" w:hAnsi="Arial" w:cs="Times New Roman"/>
    </w:rPr>
  </w:style>
  <w:style w:type="character" w:customStyle="1" w:styleId="620">
    <w:name w:val="nilo_正文 Char Char Char Char Char Char"/>
    <w:link w:val="619"/>
    <w:qFormat/>
    <w:locked/>
    <w:uiPriority w:val="0"/>
    <w:rPr>
      <w:rFonts w:ascii="Arial" w:hAnsi="Arial" w:cs="Times New Roman"/>
      <w:szCs w:val="21"/>
    </w:rPr>
  </w:style>
  <w:style w:type="paragraph" w:customStyle="1" w:styleId="621">
    <w:name w:val="0"/>
    <w:basedOn w:val="1"/>
    <w:qFormat/>
    <w:uiPriority w:val="0"/>
    <w:pPr>
      <w:widowControl/>
      <w:spacing w:beforeAutospacing="1" w:after="100" w:afterAutospacing="1"/>
      <w:jc w:val="left"/>
    </w:pPr>
    <w:rPr>
      <w:rFonts w:ascii="宋体" w:hAnsi="宋体" w:cs="宋体"/>
      <w:kern w:val="0"/>
      <w:sz w:val="24"/>
      <w:szCs w:val="24"/>
    </w:rPr>
  </w:style>
  <w:style w:type="character" w:customStyle="1" w:styleId="622">
    <w:name w:val="latinname1"/>
    <w:qFormat/>
    <w:uiPriority w:val="0"/>
    <w:rPr>
      <w:rFonts w:cs="Times New Roman"/>
      <w:i/>
      <w:iCs/>
    </w:rPr>
  </w:style>
  <w:style w:type="character" w:customStyle="1" w:styleId="623">
    <w:name w:val="splatinnamesauthor1"/>
    <w:qFormat/>
    <w:uiPriority w:val="0"/>
    <w:rPr>
      <w:rFonts w:cs="Times New Roman"/>
      <w:b/>
      <w:bCs/>
      <w:color w:val="CC3300"/>
    </w:rPr>
  </w:style>
  <w:style w:type="paragraph" w:customStyle="1" w:styleId="624">
    <w:name w:val="p18"/>
    <w:basedOn w:val="1"/>
    <w:qFormat/>
    <w:uiPriority w:val="0"/>
    <w:pPr>
      <w:widowControl/>
      <w:spacing w:after="312"/>
      <w:ind w:left="420" w:right="420"/>
      <w:jc w:val="left"/>
    </w:pPr>
    <w:rPr>
      <w:rFonts w:ascii="Times New Roman" w:hAnsi="Times New Roman" w:cs="Times New Roman"/>
      <w:b/>
      <w:bCs/>
      <w:kern w:val="0"/>
      <w:sz w:val="30"/>
      <w:szCs w:val="30"/>
    </w:rPr>
  </w:style>
  <w:style w:type="character" w:customStyle="1" w:styleId="625">
    <w:name w:val="样式5 Char"/>
    <w:link w:val="298"/>
    <w:qFormat/>
    <w:locked/>
    <w:uiPriority w:val="0"/>
    <w:rPr>
      <w:rFonts w:ascii="Times New Roman" w:hAnsi="Times New Roman" w:eastAsia="宋体" w:cs="Times New Roman"/>
      <w:color w:val="000000"/>
      <w:sz w:val="24"/>
      <w:szCs w:val="26"/>
    </w:rPr>
  </w:style>
  <w:style w:type="character" w:customStyle="1" w:styleId="626">
    <w:name w:val="apple-style-span"/>
    <w:qFormat/>
    <w:uiPriority w:val="0"/>
    <w:rPr>
      <w:rFonts w:cs="Times New Roman"/>
    </w:rPr>
  </w:style>
  <w:style w:type="character" w:customStyle="1" w:styleId="627">
    <w:name w:val="bititle"/>
    <w:qFormat/>
    <w:uiPriority w:val="0"/>
  </w:style>
  <w:style w:type="character" w:customStyle="1" w:styleId="628">
    <w:name w:val="电脑标志 Char1"/>
    <w:qFormat/>
    <w:uiPriority w:val="0"/>
    <w:rPr>
      <w:rFonts w:ascii="Times New Roman" w:hAnsi="Times New Roman" w:eastAsia="黑体"/>
      <w:b/>
      <w:sz w:val="28"/>
      <w:szCs w:val="32"/>
    </w:rPr>
  </w:style>
  <w:style w:type="character" w:customStyle="1" w:styleId="629">
    <w:name w:val="正文文本 Char1"/>
    <w:qFormat/>
    <w:uiPriority w:val="99"/>
    <w:rPr>
      <w:rFonts w:ascii="Times New Roman" w:hAnsi="Times New Roman"/>
      <w:kern w:val="2"/>
      <w:sz w:val="28"/>
    </w:rPr>
  </w:style>
  <w:style w:type="table" w:customStyle="1" w:styleId="630">
    <w:name w:val="网格型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31">
    <w:name w:val="浅色底纹1"/>
    <w:basedOn w:val="88"/>
    <w:qFormat/>
    <w:uiPriority w:val="0"/>
    <w:rPr>
      <w:rFonts w:ascii="Calibri" w:hAnsi="Calibri"/>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632">
    <w:name w:val="family"/>
    <w:qFormat/>
    <w:uiPriority w:val="0"/>
  </w:style>
  <w:style w:type="paragraph" w:customStyle="1" w:styleId="633">
    <w:name w:val="样式 样式 正文首行缩进 2 + 首行缩进:  2 字符 + 首行缩进:  2 字符"/>
    <w:basedOn w:val="1"/>
    <w:qFormat/>
    <w:uiPriority w:val="0"/>
    <w:pPr>
      <w:spacing w:line="400" w:lineRule="exact"/>
      <w:ind w:firstLine="200" w:firstLineChars="200"/>
      <w:jc w:val="left"/>
    </w:pPr>
    <w:rPr>
      <w:rFonts w:ascii="Times New Roman" w:hAnsi="Times New Roman" w:cs="宋体"/>
      <w:sz w:val="24"/>
      <w:szCs w:val="20"/>
    </w:rPr>
  </w:style>
  <w:style w:type="paragraph" w:customStyle="1" w:styleId="634">
    <w:name w:val="xl64"/>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宋体" w:hAnsi="宋体" w:cs="宋体"/>
      <w:kern w:val="0"/>
      <w:sz w:val="18"/>
      <w:szCs w:val="18"/>
    </w:rPr>
  </w:style>
  <w:style w:type="paragraph" w:customStyle="1" w:styleId="635">
    <w:name w:val="Char Char Char Char4"/>
    <w:basedOn w:val="1"/>
    <w:qFormat/>
    <w:uiPriority w:val="0"/>
    <w:pPr>
      <w:jc w:val="left"/>
    </w:pPr>
    <w:rPr>
      <w:rFonts w:ascii="Times New Roman" w:hAnsi="Times New Roman" w:cs="Times New Roman"/>
      <w:szCs w:val="24"/>
    </w:rPr>
  </w:style>
  <w:style w:type="paragraph" w:customStyle="1" w:styleId="636">
    <w:name w:val="xl97"/>
    <w:basedOn w:val="1"/>
    <w:qFormat/>
    <w:uiPriority w:val="0"/>
    <w:pPr>
      <w:widowControl/>
      <w:spacing w:beforeAutospacing="1" w:after="100" w:afterAutospacing="1"/>
      <w:jc w:val="left"/>
    </w:pPr>
    <w:rPr>
      <w:rFonts w:ascii="宋体" w:hAnsi="宋体" w:cs="宋体"/>
      <w:kern w:val="0"/>
      <w:sz w:val="18"/>
      <w:szCs w:val="18"/>
    </w:rPr>
  </w:style>
  <w:style w:type="paragraph" w:customStyle="1" w:styleId="637">
    <w:name w:val="xl98"/>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宋体" w:hAnsi="宋体" w:cs="宋体"/>
      <w:b/>
      <w:bCs/>
      <w:kern w:val="0"/>
      <w:sz w:val="18"/>
      <w:szCs w:val="18"/>
    </w:rPr>
  </w:style>
  <w:style w:type="paragraph" w:customStyle="1" w:styleId="638">
    <w:name w:val="xl99"/>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宋体" w:hAnsi="宋体" w:cs="宋体"/>
      <w:kern w:val="0"/>
      <w:sz w:val="18"/>
      <w:szCs w:val="18"/>
    </w:rPr>
  </w:style>
  <w:style w:type="paragraph" w:customStyle="1" w:styleId="639">
    <w:name w:val="xl10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cs="Times New Roman"/>
      <w:kern w:val="0"/>
      <w:sz w:val="18"/>
      <w:szCs w:val="18"/>
    </w:rPr>
  </w:style>
  <w:style w:type="paragraph" w:customStyle="1" w:styleId="640">
    <w:name w:val="xl101"/>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宋体" w:hAnsi="宋体" w:cs="宋体"/>
      <w:kern w:val="0"/>
      <w:sz w:val="18"/>
      <w:szCs w:val="18"/>
    </w:rPr>
  </w:style>
  <w:style w:type="paragraph" w:customStyle="1" w:styleId="641">
    <w:name w:val="xl102"/>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textAlignment w:val="top"/>
    </w:pPr>
    <w:rPr>
      <w:rFonts w:ascii="宋体" w:hAnsi="宋体" w:cs="宋体"/>
      <w:kern w:val="0"/>
      <w:sz w:val="18"/>
      <w:szCs w:val="18"/>
    </w:rPr>
  </w:style>
  <w:style w:type="paragraph" w:customStyle="1" w:styleId="642">
    <w:name w:val="xl103"/>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cs="Times New Roman"/>
      <w:b/>
      <w:bCs/>
      <w:kern w:val="0"/>
      <w:sz w:val="18"/>
      <w:szCs w:val="18"/>
    </w:rPr>
  </w:style>
  <w:style w:type="paragraph" w:customStyle="1" w:styleId="643">
    <w:name w:val="xl104"/>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cs="Times New Roman"/>
      <w:color w:val="FF0000"/>
      <w:kern w:val="0"/>
      <w:sz w:val="18"/>
      <w:szCs w:val="18"/>
    </w:rPr>
  </w:style>
  <w:style w:type="paragraph" w:customStyle="1" w:styleId="644">
    <w:name w:val="缩进2字符文字"/>
    <w:basedOn w:val="1"/>
    <w:qFormat/>
    <w:uiPriority w:val="0"/>
    <w:pPr>
      <w:spacing w:line="300" w:lineRule="auto"/>
      <w:ind w:firstLine="420" w:firstLineChars="200"/>
      <w:jc w:val="left"/>
    </w:pPr>
    <w:rPr>
      <w:rFonts w:ascii="Times New Roman" w:hAnsi="Times New Roman" w:cs="Times New Roman"/>
      <w:szCs w:val="24"/>
    </w:rPr>
  </w:style>
  <w:style w:type="paragraph" w:customStyle="1" w:styleId="645">
    <w:name w:val="Char Char Char5"/>
    <w:basedOn w:val="1"/>
    <w:qFormat/>
    <w:uiPriority w:val="0"/>
    <w:pPr>
      <w:adjustRightInd w:val="0"/>
      <w:spacing w:line="360" w:lineRule="atLeast"/>
      <w:jc w:val="left"/>
      <w:textAlignment w:val="baseline"/>
    </w:pPr>
    <w:rPr>
      <w:rFonts w:ascii="Times New Roman" w:hAnsi="Times New Roman" w:cs="Times New Roman"/>
      <w:szCs w:val="24"/>
    </w:rPr>
  </w:style>
  <w:style w:type="character" w:customStyle="1" w:styleId="646">
    <w:name w:val="Char Char172"/>
    <w:qFormat/>
    <w:uiPriority w:val="0"/>
    <w:rPr>
      <w:rFonts w:eastAsia="宋体"/>
      <w:b/>
      <w:kern w:val="2"/>
      <w:sz w:val="28"/>
      <w:lang w:val="en-US" w:eastAsia="zh-CN" w:bidi="ar-SA"/>
    </w:rPr>
  </w:style>
  <w:style w:type="paragraph" w:customStyle="1" w:styleId="647">
    <w:name w:val="样式 宋体 加粗1"/>
    <w:basedOn w:val="1"/>
    <w:qFormat/>
    <w:uiPriority w:val="0"/>
    <w:pPr>
      <w:ind w:firstLine="100" w:firstLineChars="100"/>
      <w:jc w:val="left"/>
    </w:pPr>
    <w:rPr>
      <w:rFonts w:ascii="宋体" w:hAnsi="宋体" w:cs="宋体"/>
      <w:b/>
      <w:bCs/>
      <w:szCs w:val="20"/>
    </w:rPr>
  </w:style>
  <w:style w:type="character" w:customStyle="1" w:styleId="648">
    <w:name w:val="highlight"/>
    <w:qFormat/>
    <w:uiPriority w:val="0"/>
  </w:style>
  <w:style w:type="character" w:customStyle="1" w:styleId="649">
    <w:name w:val="电脑标志 Char Char"/>
    <w:qFormat/>
    <w:uiPriority w:val="0"/>
    <w:rPr>
      <w:rFonts w:ascii="宋体" w:hAnsi="宋体" w:eastAsia="宋体"/>
      <w:b/>
      <w:kern w:val="2"/>
      <w:sz w:val="24"/>
      <w:lang w:val="en-US" w:eastAsia="zh-CN" w:bidi="ar-SA"/>
    </w:rPr>
  </w:style>
  <w:style w:type="character" w:customStyle="1" w:styleId="650">
    <w:name w:val="font_gray_121"/>
    <w:qFormat/>
    <w:uiPriority w:val="0"/>
    <w:rPr>
      <w:color w:val="808080"/>
      <w:sz w:val="18"/>
      <w:szCs w:val="18"/>
    </w:rPr>
  </w:style>
  <w:style w:type="character" w:customStyle="1" w:styleId="651">
    <w:name w:val="文本 Char Char"/>
    <w:qFormat/>
    <w:uiPriority w:val="0"/>
    <w:rPr>
      <w:rFonts w:ascii="宋体" w:eastAsia="宋体"/>
      <w:kern w:val="2"/>
      <w:sz w:val="21"/>
      <w:lang w:val="en-US" w:eastAsia="zh-CN" w:bidi="ar-SA"/>
    </w:rPr>
  </w:style>
  <w:style w:type="character" w:customStyle="1" w:styleId="652">
    <w:name w:val="正文文本 Char Char"/>
    <w:qFormat/>
    <w:uiPriority w:val="0"/>
    <w:rPr>
      <w:rFonts w:ascii="宋体" w:hAnsi="宋体" w:eastAsia="宋体"/>
      <w:kern w:val="2"/>
      <w:sz w:val="24"/>
      <w:lang w:val="en-US" w:eastAsia="zh-CN" w:bidi="ar-SA"/>
    </w:rPr>
  </w:style>
  <w:style w:type="paragraph" w:customStyle="1" w:styleId="653">
    <w:name w:val="font0"/>
    <w:basedOn w:val="1"/>
    <w:qFormat/>
    <w:uiPriority w:val="0"/>
    <w:pPr>
      <w:widowControl/>
      <w:spacing w:beforeAutospacing="1" w:after="100" w:afterAutospacing="1"/>
      <w:jc w:val="left"/>
    </w:pPr>
    <w:rPr>
      <w:rFonts w:ascii="宋体" w:hAnsi="宋体" w:cs="宋体"/>
      <w:kern w:val="0"/>
      <w:sz w:val="24"/>
      <w:szCs w:val="20"/>
    </w:rPr>
  </w:style>
  <w:style w:type="paragraph" w:customStyle="1" w:styleId="654">
    <w:name w:val="样式 标题 1 + Times New Roman 四号 段前: 1 行 段后: 1 行 行距: 单倍行距"/>
    <w:basedOn w:val="3"/>
    <w:qFormat/>
    <w:uiPriority w:val="0"/>
    <w:pPr>
      <w:widowControl w:val="0"/>
    </w:pPr>
    <w:rPr>
      <w:rFonts w:cs="宋体"/>
      <w:color w:val="000000" w:themeColor="text1"/>
      <w:sz w:val="32"/>
      <w:szCs w:val="20"/>
      <w14:textFill>
        <w14:solidFill>
          <w14:schemeClr w14:val="tx1"/>
        </w14:solidFill>
      </w14:textFill>
    </w:rPr>
  </w:style>
  <w:style w:type="paragraph" w:customStyle="1" w:styleId="655">
    <w:name w:val="样式6"/>
    <w:basedOn w:val="5"/>
    <w:link w:val="842"/>
    <w:qFormat/>
    <w:uiPriority w:val="0"/>
    <w:pPr>
      <w:spacing w:beforeLines="100" w:line="240" w:lineRule="auto"/>
      <w:ind w:firstLine="562" w:firstLineChars="200"/>
    </w:pPr>
    <w:rPr>
      <w:rFonts w:cs="Times New Roman" w:eastAsiaTheme="minorEastAsia"/>
      <w:b w:val="0"/>
      <w:szCs w:val="28"/>
    </w:rPr>
  </w:style>
  <w:style w:type="paragraph" w:customStyle="1" w:styleId="656">
    <w:name w:val="reader-word-layer reader-word-s1-4"/>
    <w:basedOn w:val="1"/>
    <w:qFormat/>
    <w:uiPriority w:val="0"/>
    <w:pPr>
      <w:widowControl/>
      <w:spacing w:beforeAutospacing="1" w:after="100" w:afterAutospacing="1"/>
      <w:jc w:val="left"/>
    </w:pPr>
    <w:rPr>
      <w:rFonts w:ascii="宋体" w:hAnsi="宋体" w:cs="宋体"/>
      <w:kern w:val="0"/>
      <w:sz w:val="24"/>
      <w:szCs w:val="24"/>
    </w:rPr>
  </w:style>
  <w:style w:type="paragraph" w:customStyle="1" w:styleId="657">
    <w:name w:val="album-div2"/>
    <w:basedOn w:val="1"/>
    <w:qFormat/>
    <w:uiPriority w:val="0"/>
    <w:pPr>
      <w:widowControl/>
      <w:shd w:val="clear" w:color="auto" w:fill="FFFFFF"/>
      <w:spacing w:beforeAutospacing="1" w:after="100" w:afterAutospacing="1"/>
      <w:jc w:val="left"/>
    </w:pPr>
    <w:rPr>
      <w:rFonts w:ascii="宋体" w:hAnsi="宋体" w:cs="宋体"/>
      <w:kern w:val="0"/>
      <w:sz w:val="24"/>
      <w:szCs w:val="24"/>
    </w:rPr>
  </w:style>
  <w:style w:type="paragraph" w:customStyle="1" w:styleId="658">
    <w:name w:val="reader-word-layer reader-word-s3-3"/>
    <w:basedOn w:val="1"/>
    <w:qFormat/>
    <w:uiPriority w:val="0"/>
    <w:pPr>
      <w:widowControl/>
      <w:spacing w:beforeAutospacing="1" w:after="100" w:afterAutospacing="1"/>
      <w:jc w:val="left"/>
    </w:pPr>
    <w:rPr>
      <w:rFonts w:ascii="宋体" w:hAnsi="宋体" w:cs="宋体"/>
      <w:kern w:val="0"/>
      <w:sz w:val="24"/>
      <w:szCs w:val="24"/>
    </w:rPr>
  </w:style>
  <w:style w:type="paragraph" w:customStyle="1" w:styleId="659">
    <w:name w:val="reader-word-layer reader-word-s3-1"/>
    <w:basedOn w:val="1"/>
    <w:qFormat/>
    <w:uiPriority w:val="0"/>
    <w:pPr>
      <w:widowControl/>
      <w:spacing w:beforeAutospacing="1" w:after="100" w:afterAutospacing="1"/>
      <w:jc w:val="left"/>
    </w:pPr>
    <w:rPr>
      <w:rFonts w:ascii="宋体" w:hAnsi="宋体" w:cs="宋体"/>
      <w:kern w:val="0"/>
      <w:sz w:val="24"/>
      <w:szCs w:val="24"/>
    </w:rPr>
  </w:style>
  <w:style w:type="paragraph" w:customStyle="1" w:styleId="660">
    <w:name w:val="reader-word-layer reader-word-s3-2"/>
    <w:basedOn w:val="1"/>
    <w:qFormat/>
    <w:uiPriority w:val="0"/>
    <w:pPr>
      <w:widowControl/>
      <w:spacing w:beforeAutospacing="1" w:after="100" w:afterAutospacing="1"/>
      <w:jc w:val="left"/>
    </w:pPr>
    <w:rPr>
      <w:rFonts w:ascii="宋体" w:hAnsi="宋体" w:cs="宋体"/>
      <w:kern w:val="0"/>
      <w:sz w:val="24"/>
      <w:szCs w:val="24"/>
    </w:rPr>
  </w:style>
  <w:style w:type="paragraph" w:customStyle="1" w:styleId="661">
    <w:name w:val="reader-word-layer reader-word-s3-9"/>
    <w:basedOn w:val="1"/>
    <w:qFormat/>
    <w:uiPriority w:val="0"/>
    <w:pPr>
      <w:widowControl/>
      <w:spacing w:beforeAutospacing="1" w:after="100" w:afterAutospacing="1"/>
      <w:jc w:val="left"/>
    </w:pPr>
    <w:rPr>
      <w:rFonts w:ascii="宋体" w:hAnsi="宋体" w:cs="宋体"/>
      <w:kern w:val="0"/>
      <w:sz w:val="24"/>
      <w:szCs w:val="24"/>
    </w:rPr>
  </w:style>
  <w:style w:type="character" w:customStyle="1" w:styleId="662">
    <w:name w:val="Char Char21"/>
    <w:qFormat/>
    <w:uiPriority w:val="0"/>
    <w:rPr>
      <w:rFonts w:ascii="黑体" w:hAnsi="Calibri" w:eastAsia="黑体" w:cs="Times New Roman"/>
      <w:color w:val="000000"/>
      <w:kern w:val="0"/>
      <w:sz w:val="32"/>
      <w:szCs w:val="32"/>
    </w:rPr>
  </w:style>
  <w:style w:type="character" w:customStyle="1" w:styleId="663">
    <w:name w:val="Char Char20"/>
    <w:qFormat/>
    <w:uiPriority w:val="0"/>
    <w:rPr>
      <w:rFonts w:ascii="仿宋" w:hAnsi="仿宋" w:eastAsia="仿宋" w:cs="Times New Roman"/>
      <w:b/>
      <w:kern w:val="0"/>
      <w:sz w:val="28"/>
      <w:szCs w:val="32"/>
    </w:rPr>
  </w:style>
  <w:style w:type="character" w:customStyle="1" w:styleId="664">
    <w:name w:val="Char Char19"/>
    <w:qFormat/>
    <w:uiPriority w:val="0"/>
    <w:rPr>
      <w:rFonts w:ascii="宋体" w:hAnsi="宋体" w:eastAsia="宋体" w:cs="Times New Roman"/>
      <w:b/>
      <w:bCs/>
      <w:kern w:val="0"/>
      <w:sz w:val="28"/>
      <w:szCs w:val="28"/>
    </w:rPr>
  </w:style>
  <w:style w:type="character" w:customStyle="1" w:styleId="665">
    <w:name w:val="Char Char18"/>
    <w:qFormat/>
    <w:uiPriority w:val="0"/>
    <w:rPr>
      <w:rFonts w:ascii="Calibri" w:hAnsi="Calibri" w:eastAsia="楷体_GB2312" w:cs="Times New Roman"/>
      <w:kern w:val="0"/>
      <w:sz w:val="28"/>
      <w:szCs w:val="28"/>
    </w:rPr>
  </w:style>
  <w:style w:type="character" w:customStyle="1" w:styleId="666">
    <w:name w:val="不明显强调11"/>
    <w:qFormat/>
    <w:uiPriority w:val="0"/>
    <w:rPr>
      <w:rFonts w:cs="Times New Roman"/>
      <w:i/>
      <w:iCs/>
      <w:color w:val="808080"/>
    </w:rPr>
  </w:style>
  <w:style w:type="character" w:customStyle="1" w:styleId="667">
    <w:name w:val="Heading 1 Char"/>
    <w:qFormat/>
    <w:locked/>
    <w:uiPriority w:val="0"/>
    <w:rPr>
      <w:rFonts w:ascii="Calibri" w:hAnsi="Calibri" w:eastAsia="宋体"/>
      <w:b/>
      <w:bCs/>
      <w:kern w:val="44"/>
      <w:sz w:val="44"/>
      <w:szCs w:val="44"/>
      <w:lang w:val="en-US" w:eastAsia="zh-CN" w:bidi="ar-SA"/>
    </w:rPr>
  </w:style>
  <w:style w:type="character" w:customStyle="1" w:styleId="668">
    <w:name w:val="Heading 2 Char"/>
    <w:qFormat/>
    <w:locked/>
    <w:uiPriority w:val="0"/>
    <w:rPr>
      <w:rFonts w:ascii="Arial" w:hAnsi="Arial" w:eastAsia="黑体"/>
      <w:b/>
      <w:bCs/>
      <w:kern w:val="2"/>
      <w:sz w:val="32"/>
      <w:szCs w:val="32"/>
      <w:lang w:val="en-US" w:eastAsia="zh-CN" w:bidi="ar-SA"/>
    </w:rPr>
  </w:style>
  <w:style w:type="character" w:customStyle="1" w:styleId="669">
    <w:name w:val="Heading 3 Char"/>
    <w:qFormat/>
    <w:locked/>
    <w:uiPriority w:val="0"/>
    <w:rPr>
      <w:rFonts w:eastAsia="宋体"/>
      <w:b/>
      <w:bCs/>
      <w:kern w:val="2"/>
      <w:sz w:val="32"/>
      <w:szCs w:val="32"/>
      <w:lang w:val="en-US" w:eastAsia="zh-CN" w:bidi="ar-SA"/>
    </w:rPr>
  </w:style>
  <w:style w:type="character" w:customStyle="1" w:styleId="670">
    <w:name w:val="Heading 4 Char"/>
    <w:qFormat/>
    <w:locked/>
    <w:uiPriority w:val="0"/>
    <w:rPr>
      <w:rFonts w:ascii="Cambria" w:hAnsi="Cambria" w:eastAsia="宋体"/>
      <w:b/>
      <w:bCs/>
      <w:kern w:val="2"/>
      <w:sz w:val="28"/>
      <w:szCs w:val="28"/>
      <w:lang w:val="en-US" w:eastAsia="zh-CN" w:bidi="ar-SA"/>
    </w:rPr>
  </w:style>
  <w:style w:type="character" w:customStyle="1" w:styleId="671">
    <w:name w:val="Header Char"/>
    <w:qFormat/>
    <w:locked/>
    <w:uiPriority w:val="0"/>
    <w:rPr>
      <w:rFonts w:ascii="Calibri" w:hAnsi="Calibri" w:eastAsia="宋体"/>
      <w:kern w:val="2"/>
      <w:sz w:val="18"/>
      <w:szCs w:val="18"/>
      <w:lang w:val="en-US" w:eastAsia="zh-CN" w:bidi="ar-SA"/>
    </w:rPr>
  </w:style>
  <w:style w:type="character" w:customStyle="1" w:styleId="672">
    <w:name w:val="Footer Char"/>
    <w:qFormat/>
    <w:locked/>
    <w:uiPriority w:val="0"/>
    <w:rPr>
      <w:rFonts w:ascii="Calibri" w:hAnsi="Calibri" w:eastAsia="宋体"/>
      <w:kern w:val="2"/>
      <w:sz w:val="18"/>
      <w:szCs w:val="18"/>
      <w:lang w:val="en-US" w:eastAsia="zh-CN" w:bidi="ar-SA"/>
    </w:rPr>
  </w:style>
  <w:style w:type="character" w:customStyle="1" w:styleId="673">
    <w:name w:val="Balloon Text Char"/>
    <w:qFormat/>
    <w:locked/>
    <w:uiPriority w:val="0"/>
    <w:rPr>
      <w:rFonts w:ascii="Calibri" w:hAnsi="Calibri" w:eastAsia="宋体"/>
      <w:kern w:val="2"/>
      <w:sz w:val="18"/>
      <w:szCs w:val="18"/>
      <w:lang w:val="en-US" w:eastAsia="zh-CN" w:bidi="ar-SA"/>
    </w:rPr>
  </w:style>
  <w:style w:type="character" w:customStyle="1" w:styleId="674">
    <w:name w:val="Comment Text Char"/>
    <w:semiHidden/>
    <w:qFormat/>
    <w:locked/>
    <w:uiPriority w:val="0"/>
    <w:rPr>
      <w:rFonts w:ascii="Calibri" w:hAnsi="Calibri" w:eastAsia="宋体"/>
      <w:kern w:val="2"/>
      <w:sz w:val="21"/>
      <w:szCs w:val="22"/>
      <w:lang w:val="en-US" w:eastAsia="zh-CN" w:bidi="ar-SA"/>
    </w:rPr>
  </w:style>
  <w:style w:type="character" w:customStyle="1" w:styleId="675">
    <w:name w:val="批注主题 Char1"/>
    <w:qFormat/>
    <w:locked/>
    <w:uiPriority w:val="0"/>
    <w:rPr>
      <w:rFonts w:ascii="Calibri" w:hAnsi="Calibri" w:eastAsia="宋体"/>
      <w:b/>
      <w:bCs/>
      <w:kern w:val="2"/>
      <w:sz w:val="21"/>
      <w:szCs w:val="24"/>
      <w:lang w:bidi="ar-SA"/>
    </w:rPr>
  </w:style>
  <w:style w:type="character" w:customStyle="1" w:styleId="676">
    <w:name w:val="Document Map Char"/>
    <w:semiHidden/>
    <w:qFormat/>
    <w:locked/>
    <w:uiPriority w:val="0"/>
    <w:rPr>
      <w:rFonts w:ascii="宋体" w:hAnsi="Calibri" w:eastAsia="宋体"/>
      <w:kern w:val="2"/>
      <w:sz w:val="18"/>
      <w:szCs w:val="18"/>
      <w:lang w:val="en-US" w:eastAsia="zh-CN" w:bidi="ar-SA"/>
    </w:rPr>
  </w:style>
  <w:style w:type="character" w:customStyle="1" w:styleId="677">
    <w:name w:val="Date Char"/>
    <w:qFormat/>
    <w:locked/>
    <w:uiPriority w:val="0"/>
    <w:rPr>
      <w:rFonts w:ascii="Calibri" w:hAnsi="Calibri" w:eastAsia="宋体"/>
      <w:kern w:val="2"/>
      <w:sz w:val="21"/>
      <w:szCs w:val="22"/>
      <w:lang w:val="en-US" w:eastAsia="zh-CN" w:bidi="ar-SA"/>
    </w:rPr>
  </w:style>
  <w:style w:type="paragraph" w:customStyle="1" w:styleId="678">
    <w:name w:val="a正文"/>
    <w:basedOn w:val="1"/>
    <w:qFormat/>
    <w:uiPriority w:val="0"/>
    <w:pPr>
      <w:spacing w:line="400" w:lineRule="exact"/>
      <w:ind w:firstLine="420" w:firstLineChars="200"/>
      <w:jc w:val="left"/>
    </w:pPr>
    <w:rPr>
      <w:rFonts w:ascii="Times New Roman" w:hAnsi="Times New Roman" w:cs="Times New Roman"/>
      <w:szCs w:val="20"/>
    </w:rPr>
  </w:style>
  <w:style w:type="character" w:customStyle="1" w:styleId="679">
    <w:name w:val="Footnote Text Char"/>
    <w:qFormat/>
    <w:locked/>
    <w:uiPriority w:val="0"/>
    <w:rPr>
      <w:rFonts w:ascii="Calibri" w:hAnsi="Calibri" w:eastAsia="宋体"/>
      <w:lang w:bidi="ar-SA"/>
    </w:rPr>
  </w:style>
  <w:style w:type="paragraph" w:customStyle="1" w:styleId="680">
    <w:name w:val="tgt2"/>
    <w:basedOn w:val="1"/>
    <w:qFormat/>
    <w:uiPriority w:val="0"/>
    <w:pPr>
      <w:widowControl/>
      <w:spacing w:after="150" w:line="360" w:lineRule="auto"/>
      <w:jc w:val="left"/>
    </w:pPr>
    <w:rPr>
      <w:rFonts w:ascii="宋体" w:hAnsi="宋体" w:cs="宋体"/>
      <w:b/>
      <w:bCs/>
      <w:kern w:val="0"/>
      <w:sz w:val="36"/>
      <w:szCs w:val="36"/>
    </w:rPr>
  </w:style>
  <w:style w:type="paragraph" w:customStyle="1" w:styleId="681">
    <w:name w:val="段落"/>
    <w:basedOn w:val="1"/>
    <w:link w:val="2503"/>
    <w:qFormat/>
    <w:uiPriority w:val="0"/>
    <w:pPr>
      <w:spacing w:line="360" w:lineRule="auto"/>
      <w:ind w:firstLine="200" w:firstLineChars="200"/>
      <w:jc w:val="left"/>
    </w:pPr>
    <w:rPr>
      <w:rFonts w:ascii="Times New Roman" w:hAnsi="宋体" w:cs="Times New Roman"/>
      <w:bCs/>
      <w:kern w:val="0"/>
      <w:sz w:val="24"/>
      <w:szCs w:val="24"/>
    </w:rPr>
  </w:style>
  <w:style w:type="paragraph" w:customStyle="1" w:styleId="682">
    <w:name w:val="Decimal Aligned"/>
    <w:basedOn w:val="1"/>
    <w:qFormat/>
    <w:uiPriority w:val="0"/>
    <w:pPr>
      <w:widowControl/>
      <w:tabs>
        <w:tab w:val="decimal" w:pos="360"/>
      </w:tabs>
      <w:spacing w:after="200" w:line="276" w:lineRule="auto"/>
      <w:jc w:val="left"/>
    </w:pPr>
    <w:rPr>
      <w:rFonts w:ascii="Calibri" w:hAnsi="Calibri" w:cs="Times New Roman"/>
      <w:kern w:val="0"/>
      <w:sz w:val="22"/>
    </w:rPr>
  </w:style>
  <w:style w:type="character" w:customStyle="1" w:styleId="683">
    <w:name w:val="Body Text Char"/>
    <w:qFormat/>
    <w:locked/>
    <w:uiPriority w:val="0"/>
    <w:rPr>
      <w:rFonts w:ascii="Times New Roman" w:hAnsi="Times New Roman" w:eastAsia="宋体" w:cs="Times New Roman"/>
      <w:sz w:val="24"/>
      <w:szCs w:val="24"/>
    </w:rPr>
  </w:style>
  <w:style w:type="paragraph" w:customStyle="1" w:styleId="684">
    <w:name w:val="CM122"/>
    <w:basedOn w:val="1"/>
    <w:next w:val="1"/>
    <w:qFormat/>
    <w:uiPriority w:val="0"/>
    <w:pPr>
      <w:autoSpaceDE w:val="0"/>
      <w:autoSpaceDN w:val="0"/>
      <w:adjustRightInd w:val="0"/>
      <w:jc w:val="left"/>
    </w:pPr>
    <w:rPr>
      <w:rFonts w:ascii="黑体" w:hAnsi="Times New Roman" w:eastAsia="黑体" w:cs="Times New Roman"/>
      <w:kern w:val="0"/>
      <w:sz w:val="24"/>
      <w:szCs w:val="24"/>
    </w:rPr>
  </w:style>
  <w:style w:type="paragraph" w:customStyle="1" w:styleId="685">
    <w:name w:val="xl105"/>
    <w:basedOn w:val="1"/>
    <w:qFormat/>
    <w:uiPriority w:val="0"/>
    <w:pPr>
      <w:widowControl/>
      <w:pBdr>
        <w:bottom w:val="single" w:color="auto" w:sz="8" w:space="0"/>
        <w:right w:val="single" w:color="auto" w:sz="12" w:space="0"/>
      </w:pBdr>
      <w:spacing w:beforeAutospacing="1" w:after="100" w:afterAutospacing="1"/>
      <w:jc w:val="center"/>
    </w:pPr>
    <w:rPr>
      <w:rFonts w:ascii="楷体_GB2312" w:hAnsi="宋体" w:eastAsia="楷体_GB2312" w:cs="宋体"/>
      <w:kern w:val="0"/>
    </w:rPr>
  </w:style>
  <w:style w:type="paragraph" w:customStyle="1" w:styleId="686">
    <w:name w:val="xl106"/>
    <w:basedOn w:val="1"/>
    <w:qFormat/>
    <w:uiPriority w:val="0"/>
    <w:pPr>
      <w:widowControl/>
      <w:pBdr>
        <w:bottom w:val="single" w:color="auto" w:sz="8" w:space="0"/>
        <w:right w:val="single" w:color="auto" w:sz="8" w:space="0"/>
      </w:pBdr>
      <w:spacing w:beforeAutospacing="1" w:after="100" w:afterAutospacing="1"/>
      <w:jc w:val="center"/>
      <w:textAlignment w:val="bottom"/>
    </w:pPr>
    <w:rPr>
      <w:rFonts w:ascii="楷体_GB2312" w:hAnsi="宋体" w:eastAsia="楷体_GB2312" w:cs="宋体"/>
      <w:kern w:val="0"/>
    </w:rPr>
  </w:style>
  <w:style w:type="paragraph" w:customStyle="1" w:styleId="687">
    <w:name w:val="xl107"/>
    <w:basedOn w:val="1"/>
    <w:qFormat/>
    <w:uiPriority w:val="0"/>
    <w:pPr>
      <w:widowControl/>
      <w:pBdr>
        <w:bottom w:val="single" w:color="auto" w:sz="8" w:space="0"/>
      </w:pBdr>
      <w:spacing w:beforeAutospacing="1" w:after="100" w:afterAutospacing="1"/>
      <w:jc w:val="center"/>
    </w:pPr>
    <w:rPr>
      <w:rFonts w:ascii="楷体_GB2312" w:hAnsi="宋体" w:eastAsia="楷体_GB2312" w:cs="宋体"/>
      <w:kern w:val="0"/>
    </w:rPr>
  </w:style>
  <w:style w:type="paragraph" w:customStyle="1" w:styleId="688">
    <w:name w:val="xl108"/>
    <w:basedOn w:val="1"/>
    <w:qFormat/>
    <w:uiPriority w:val="0"/>
    <w:pPr>
      <w:widowControl/>
      <w:pBdr>
        <w:bottom w:val="single" w:color="auto" w:sz="8" w:space="0"/>
        <w:right w:val="single" w:color="auto" w:sz="12" w:space="0"/>
      </w:pBdr>
      <w:spacing w:beforeAutospacing="1" w:after="100" w:afterAutospacing="1"/>
      <w:jc w:val="center"/>
    </w:pPr>
    <w:rPr>
      <w:rFonts w:ascii="楷体_GB2312" w:hAnsi="宋体" w:eastAsia="楷体_GB2312" w:cs="宋体"/>
      <w:b/>
      <w:bCs/>
      <w:kern w:val="0"/>
    </w:rPr>
  </w:style>
  <w:style w:type="paragraph" w:customStyle="1" w:styleId="689">
    <w:name w:val="xl109"/>
    <w:basedOn w:val="1"/>
    <w:qFormat/>
    <w:uiPriority w:val="0"/>
    <w:pPr>
      <w:widowControl/>
      <w:pBdr>
        <w:bottom w:val="single" w:color="auto" w:sz="8" w:space="0"/>
        <w:right w:val="single" w:color="auto" w:sz="8" w:space="0"/>
      </w:pBdr>
      <w:spacing w:beforeAutospacing="1" w:after="100" w:afterAutospacing="1"/>
      <w:jc w:val="center"/>
    </w:pPr>
    <w:rPr>
      <w:rFonts w:ascii="楷体_GB2312" w:hAnsi="宋体" w:eastAsia="楷体_GB2312" w:cs="宋体"/>
      <w:kern w:val="0"/>
    </w:rPr>
  </w:style>
  <w:style w:type="paragraph" w:customStyle="1" w:styleId="690">
    <w:name w:val="xl110"/>
    <w:basedOn w:val="1"/>
    <w:qFormat/>
    <w:uiPriority w:val="0"/>
    <w:pPr>
      <w:widowControl/>
      <w:pBdr>
        <w:bottom w:val="single" w:color="auto" w:sz="8" w:space="0"/>
        <w:right w:val="single" w:color="auto" w:sz="8" w:space="0"/>
      </w:pBdr>
      <w:spacing w:beforeAutospacing="1" w:after="100" w:afterAutospacing="1"/>
      <w:jc w:val="center"/>
    </w:pPr>
    <w:rPr>
      <w:rFonts w:ascii="楷体_GB2312" w:hAnsi="宋体" w:eastAsia="楷体_GB2312" w:cs="宋体"/>
      <w:b/>
      <w:bCs/>
      <w:kern w:val="0"/>
    </w:rPr>
  </w:style>
  <w:style w:type="paragraph" w:customStyle="1" w:styleId="691">
    <w:name w:val="xl111"/>
    <w:basedOn w:val="1"/>
    <w:qFormat/>
    <w:uiPriority w:val="0"/>
    <w:pPr>
      <w:widowControl/>
      <w:pBdr>
        <w:bottom w:val="single" w:color="auto" w:sz="12" w:space="0"/>
        <w:right w:val="single" w:color="auto" w:sz="8" w:space="0"/>
      </w:pBdr>
      <w:spacing w:beforeAutospacing="1" w:after="100" w:afterAutospacing="1"/>
      <w:jc w:val="center"/>
    </w:pPr>
    <w:rPr>
      <w:rFonts w:ascii="楷体_GB2312" w:hAnsi="宋体" w:eastAsia="楷体_GB2312" w:cs="宋体"/>
      <w:b/>
      <w:bCs/>
      <w:kern w:val="0"/>
    </w:rPr>
  </w:style>
  <w:style w:type="character" w:customStyle="1" w:styleId="692">
    <w:name w:val="Char Char211"/>
    <w:qFormat/>
    <w:uiPriority w:val="0"/>
    <w:rPr>
      <w:rFonts w:ascii="黑体" w:hAnsi="Calibri" w:eastAsia="黑体" w:cs="Times New Roman"/>
      <w:color w:val="000000"/>
      <w:kern w:val="0"/>
      <w:sz w:val="32"/>
      <w:szCs w:val="32"/>
    </w:rPr>
  </w:style>
  <w:style w:type="character" w:customStyle="1" w:styleId="693">
    <w:name w:val="Char Char202"/>
    <w:qFormat/>
    <w:uiPriority w:val="0"/>
    <w:rPr>
      <w:rFonts w:ascii="仿宋" w:hAnsi="仿宋" w:eastAsia="仿宋" w:cs="Times New Roman"/>
      <w:b/>
      <w:kern w:val="0"/>
      <w:sz w:val="28"/>
      <w:szCs w:val="32"/>
    </w:rPr>
  </w:style>
  <w:style w:type="character" w:customStyle="1" w:styleId="694">
    <w:name w:val="Char Char192"/>
    <w:qFormat/>
    <w:uiPriority w:val="0"/>
    <w:rPr>
      <w:rFonts w:ascii="宋体" w:hAnsi="宋体" w:eastAsia="宋体" w:cs="Times New Roman"/>
      <w:b/>
      <w:bCs/>
      <w:kern w:val="0"/>
      <w:sz w:val="28"/>
      <w:szCs w:val="28"/>
    </w:rPr>
  </w:style>
  <w:style w:type="character" w:customStyle="1" w:styleId="695">
    <w:name w:val="Char Char182"/>
    <w:qFormat/>
    <w:uiPriority w:val="0"/>
    <w:rPr>
      <w:rFonts w:ascii="Calibri" w:hAnsi="Calibri" w:eastAsia="楷体_GB2312" w:cs="Times New Roman"/>
      <w:kern w:val="0"/>
      <w:sz w:val="28"/>
      <w:szCs w:val="28"/>
    </w:rPr>
  </w:style>
  <w:style w:type="character" w:customStyle="1" w:styleId="696">
    <w:name w:val="description"/>
    <w:qFormat/>
    <w:uiPriority w:val="0"/>
  </w:style>
  <w:style w:type="character" w:customStyle="1" w:styleId="697">
    <w:name w:val="未处理的提及1"/>
    <w:semiHidden/>
    <w:unhideWhenUsed/>
    <w:qFormat/>
    <w:uiPriority w:val="99"/>
    <w:rPr>
      <w:color w:val="808080"/>
      <w:shd w:val="clear" w:color="auto" w:fill="E6E6E6"/>
    </w:rPr>
  </w:style>
  <w:style w:type="character" w:customStyle="1" w:styleId="698">
    <w:name w:val="font311"/>
    <w:qFormat/>
    <w:uiPriority w:val="0"/>
    <w:rPr>
      <w:rFonts w:hint="eastAsia" w:ascii="宋体" w:hAnsi="宋体" w:eastAsia="宋体"/>
      <w:color w:val="auto"/>
      <w:sz w:val="24"/>
      <w:szCs w:val="24"/>
      <w:u w:val="none"/>
    </w:rPr>
  </w:style>
  <w:style w:type="paragraph" w:customStyle="1" w:styleId="699">
    <w:name w:val="环评"/>
    <w:basedOn w:val="1"/>
    <w:qFormat/>
    <w:uiPriority w:val="0"/>
    <w:pPr>
      <w:tabs>
        <w:tab w:val="left" w:pos="662"/>
      </w:tabs>
      <w:jc w:val="left"/>
    </w:pPr>
    <w:rPr>
      <w:rFonts w:ascii="Times New Roman" w:hAnsi="Times New Roman" w:cs="Times New Roman"/>
      <w:sz w:val="28"/>
      <w:szCs w:val="20"/>
    </w:rPr>
  </w:style>
  <w:style w:type="paragraph" w:customStyle="1" w:styleId="700">
    <w:name w:val="样式 样式 纯文本 + (符号) 宋体 小四 段后: 0.5 行 行距: 1.5 倍行距 + 首行缩进:  1.5 字符"/>
    <w:basedOn w:val="1"/>
    <w:qFormat/>
    <w:uiPriority w:val="0"/>
    <w:pPr>
      <w:spacing w:beforeLines="30" w:afterLines="30"/>
      <w:ind w:firstLine="200" w:firstLineChars="200"/>
      <w:jc w:val="left"/>
    </w:pPr>
    <w:rPr>
      <w:rFonts w:ascii="新宋体" w:hAnsi="宋体" w:eastAsia="新宋体" w:cs="宋体"/>
      <w:w w:val="90"/>
      <w:kern w:val="0"/>
      <w:sz w:val="22"/>
    </w:rPr>
  </w:style>
  <w:style w:type="character" w:customStyle="1" w:styleId="701">
    <w:name w:val="我的正文 Char"/>
    <w:link w:val="702"/>
    <w:qFormat/>
    <w:uiPriority w:val="0"/>
    <w:rPr>
      <w:color w:val="000000"/>
      <w:sz w:val="28"/>
      <w:szCs w:val="24"/>
    </w:rPr>
  </w:style>
  <w:style w:type="paragraph" w:customStyle="1" w:styleId="702">
    <w:name w:val="我的正文"/>
    <w:basedOn w:val="1"/>
    <w:link w:val="701"/>
    <w:qFormat/>
    <w:uiPriority w:val="0"/>
    <w:pPr>
      <w:ind w:firstLine="538" w:firstLineChars="192"/>
      <w:jc w:val="left"/>
    </w:pPr>
    <w:rPr>
      <w:color w:val="000000"/>
      <w:sz w:val="28"/>
      <w:szCs w:val="24"/>
    </w:rPr>
  </w:style>
  <w:style w:type="character" w:customStyle="1" w:styleId="703">
    <w:name w:val="标题 1 字符1"/>
    <w:qFormat/>
    <w:locked/>
    <w:uiPriority w:val="0"/>
    <w:rPr>
      <w:rFonts w:eastAsia="黑体"/>
      <w:b/>
      <w:bCs/>
      <w:sz w:val="30"/>
      <w:szCs w:val="32"/>
    </w:rPr>
  </w:style>
  <w:style w:type="character" w:customStyle="1" w:styleId="704">
    <w:name w:val="标题 2 字符1"/>
    <w:semiHidden/>
    <w:qFormat/>
    <w:locked/>
    <w:uiPriority w:val="0"/>
    <w:rPr>
      <w:b/>
      <w:sz w:val="24"/>
      <w:szCs w:val="24"/>
    </w:rPr>
  </w:style>
  <w:style w:type="character" w:customStyle="1" w:styleId="705">
    <w:name w:val="标题 4 字符1"/>
    <w:semiHidden/>
    <w:qFormat/>
    <w:locked/>
    <w:uiPriority w:val="0"/>
    <w:rPr>
      <w:bCs/>
      <w:sz w:val="24"/>
      <w:szCs w:val="26"/>
    </w:rPr>
  </w:style>
  <w:style w:type="character" w:customStyle="1" w:styleId="706">
    <w:name w:val="标题 5 字符1"/>
    <w:semiHidden/>
    <w:qFormat/>
    <w:locked/>
    <w:uiPriority w:val="0"/>
    <w:rPr>
      <w:bCs/>
      <w:sz w:val="24"/>
      <w:szCs w:val="28"/>
    </w:rPr>
  </w:style>
  <w:style w:type="character" w:customStyle="1" w:styleId="707">
    <w:name w:val="标题 6 字符1"/>
    <w:semiHidden/>
    <w:qFormat/>
    <w:locked/>
    <w:uiPriority w:val="0"/>
    <w:rPr>
      <w:rFonts w:ascii="ˎ̥" w:hAnsi="ˎ̥" w:cs="宋体"/>
      <w:color w:val="000000"/>
      <w:sz w:val="24"/>
      <w:szCs w:val="26"/>
    </w:rPr>
  </w:style>
  <w:style w:type="character" w:customStyle="1" w:styleId="708">
    <w:name w:val="标题 7 字符1"/>
    <w:semiHidden/>
    <w:qFormat/>
    <w:locked/>
    <w:uiPriority w:val="0"/>
    <w:rPr>
      <w:spacing w:val="4"/>
      <w:sz w:val="28"/>
    </w:rPr>
  </w:style>
  <w:style w:type="character" w:customStyle="1" w:styleId="709">
    <w:name w:val="标题 8 字符1"/>
    <w:semiHidden/>
    <w:qFormat/>
    <w:locked/>
    <w:uiPriority w:val="0"/>
    <w:rPr>
      <w:rFonts w:ascii="Arial" w:hAnsi="Arial" w:eastAsia="黑体"/>
      <w:sz w:val="24"/>
      <w:szCs w:val="24"/>
    </w:rPr>
  </w:style>
  <w:style w:type="character" w:customStyle="1" w:styleId="710">
    <w:name w:val="标题 9 字符2"/>
    <w:semiHidden/>
    <w:qFormat/>
    <w:locked/>
    <w:uiPriority w:val="0"/>
    <w:rPr>
      <w:rFonts w:ascii="等线 Light" w:hAnsi="等线 Light" w:eastAsia="等线 Light" w:cs="Times New Roman"/>
      <w:sz w:val="21"/>
      <w:szCs w:val="21"/>
    </w:rPr>
  </w:style>
  <w:style w:type="character" w:customStyle="1" w:styleId="711">
    <w:name w:val="脚注文本 字符2"/>
    <w:semiHidden/>
    <w:qFormat/>
    <w:locked/>
    <w:uiPriority w:val="0"/>
    <w:rPr>
      <w:kern w:val="2"/>
      <w:sz w:val="18"/>
      <w:szCs w:val="18"/>
    </w:rPr>
  </w:style>
  <w:style w:type="character" w:customStyle="1" w:styleId="712">
    <w:name w:val="批注文字 字符1"/>
    <w:semiHidden/>
    <w:qFormat/>
    <w:locked/>
    <w:uiPriority w:val="0"/>
    <w:rPr>
      <w:sz w:val="24"/>
      <w:szCs w:val="24"/>
    </w:rPr>
  </w:style>
  <w:style w:type="character" w:customStyle="1" w:styleId="713">
    <w:name w:val="页眉 字符1"/>
    <w:semiHidden/>
    <w:qFormat/>
    <w:locked/>
    <w:uiPriority w:val="0"/>
    <w:rPr>
      <w:sz w:val="18"/>
      <w:szCs w:val="18"/>
    </w:rPr>
  </w:style>
  <w:style w:type="character" w:customStyle="1" w:styleId="714">
    <w:name w:val="页脚 字符1"/>
    <w:qFormat/>
    <w:locked/>
    <w:uiPriority w:val="99"/>
    <w:rPr>
      <w:sz w:val="18"/>
      <w:szCs w:val="18"/>
    </w:rPr>
  </w:style>
  <w:style w:type="character" w:customStyle="1" w:styleId="715">
    <w:name w:val="尾注文本 字符2"/>
    <w:semiHidden/>
    <w:qFormat/>
    <w:locked/>
    <w:uiPriority w:val="0"/>
    <w:rPr>
      <w:kern w:val="2"/>
      <w:sz w:val="21"/>
      <w:szCs w:val="24"/>
    </w:rPr>
  </w:style>
  <w:style w:type="character" w:customStyle="1" w:styleId="716">
    <w:name w:val="标题 字符2"/>
    <w:qFormat/>
    <w:locked/>
    <w:uiPriority w:val="0"/>
    <w:rPr>
      <w:rFonts w:ascii="Arial" w:hAnsi="Arial" w:cs="Arial"/>
      <w:b/>
      <w:bCs/>
      <w:sz w:val="32"/>
      <w:szCs w:val="32"/>
    </w:rPr>
  </w:style>
  <w:style w:type="character" w:customStyle="1" w:styleId="717">
    <w:name w:val="正文文本 字符1"/>
    <w:semiHidden/>
    <w:qFormat/>
    <w:locked/>
    <w:uiPriority w:val="0"/>
    <w:rPr>
      <w:sz w:val="24"/>
      <w:szCs w:val="24"/>
    </w:rPr>
  </w:style>
  <w:style w:type="character" w:customStyle="1" w:styleId="718">
    <w:name w:val="正文文本缩进 字符2"/>
    <w:semiHidden/>
    <w:qFormat/>
    <w:locked/>
    <w:uiPriority w:val="0"/>
    <w:rPr>
      <w:sz w:val="24"/>
      <w:szCs w:val="26"/>
    </w:rPr>
  </w:style>
  <w:style w:type="character" w:customStyle="1" w:styleId="719">
    <w:name w:val="副标题 字符2"/>
    <w:qFormat/>
    <w:locked/>
    <w:uiPriority w:val="0"/>
    <w:rPr>
      <w:rFonts w:ascii="Arial" w:hAnsi="Arial" w:cs="Arial"/>
      <w:b/>
      <w:bCs/>
      <w:kern w:val="28"/>
      <w:sz w:val="32"/>
      <w:szCs w:val="32"/>
    </w:rPr>
  </w:style>
  <w:style w:type="character" w:customStyle="1" w:styleId="720">
    <w:name w:val="日期 字符2"/>
    <w:semiHidden/>
    <w:qFormat/>
    <w:locked/>
    <w:uiPriority w:val="0"/>
    <w:rPr>
      <w:sz w:val="24"/>
      <w:szCs w:val="26"/>
    </w:rPr>
  </w:style>
  <w:style w:type="character" w:customStyle="1" w:styleId="721">
    <w:name w:val="正文首行缩进 字符2"/>
    <w:semiHidden/>
    <w:qFormat/>
    <w:locked/>
    <w:uiPriority w:val="0"/>
    <w:rPr>
      <w:sz w:val="24"/>
      <w:szCs w:val="24"/>
    </w:rPr>
  </w:style>
  <w:style w:type="character" w:customStyle="1" w:styleId="722">
    <w:name w:val="正文首行缩进 2 字符"/>
    <w:semiHidden/>
    <w:qFormat/>
    <w:locked/>
    <w:uiPriority w:val="0"/>
    <w:rPr>
      <w:snapToGrid w:val="0"/>
      <w:sz w:val="24"/>
      <w:szCs w:val="24"/>
    </w:rPr>
  </w:style>
  <w:style w:type="character" w:customStyle="1" w:styleId="723">
    <w:name w:val="正文文本 2 字符2"/>
    <w:semiHidden/>
    <w:qFormat/>
    <w:locked/>
    <w:uiPriority w:val="0"/>
    <w:rPr>
      <w:b/>
      <w:bCs/>
      <w:sz w:val="22"/>
      <w:szCs w:val="24"/>
    </w:rPr>
  </w:style>
  <w:style w:type="character" w:customStyle="1" w:styleId="724">
    <w:name w:val="正文文本 3 字符2"/>
    <w:semiHidden/>
    <w:qFormat/>
    <w:locked/>
    <w:uiPriority w:val="0"/>
    <w:rPr>
      <w:sz w:val="16"/>
      <w:szCs w:val="16"/>
    </w:rPr>
  </w:style>
  <w:style w:type="character" w:customStyle="1" w:styleId="725">
    <w:name w:val="正文文本缩进 2 字符2"/>
    <w:semiHidden/>
    <w:qFormat/>
    <w:locked/>
    <w:uiPriority w:val="0"/>
    <w:rPr>
      <w:color w:val="000000"/>
      <w:sz w:val="24"/>
      <w:szCs w:val="24"/>
    </w:rPr>
  </w:style>
  <w:style w:type="character" w:customStyle="1" w:styleId="726">
    <w:name w:val="正文文本缩进 3 字符2"/>
    <w:semiHidden/>
    <w:qFormat/>
    <w:locked/>
    <w:uiPriority w:val="0"/>
    <w:rPr>
      <w:sz w:val="24"/>
      <w:szCs w:val="24"/>
    </w:rPr>
  </w:style>
  <w:style w:type="character" w:customStyle="1" w:styleId="727">
    <w:name w:val="文档结构图 字符2"/>
    <w:semiHidden/>
    <w:qFormat/>
    <w:locked/>
    <w:uiPriority w:val="0"/>
    <w:rPr>
      <w:sz w:val="24"/>
      <w:szCs w:val="24"/>
    </w:rPr>
  </w:style>
  <w:style w:type="character" w:customStyle="1" w:styleId="728">
    <w:name w:val="纯文本 字符1"/>
    <w:semiHidden/>
    <w:qFormat/>
    <w:locked/>
    <w:uiPriority w:val="0"/>
    <w:rPr>
      <w:rFonts w:ascii="宋体" w:hAnsi="Courier New"/>
      <w:kern w:val="2"/>
      <w:sz w:val="21"/>
      <w:szCs w:val="21"/>
    </w:rPr>
  </w:style>
  <w:style w:type="character" w:customStyle="1" w:styleId="729">
    <w:name w:val="批注主题 字符2"/>
    <w:semiHidden/>
    <w:qFormat/>
    <w:locked/>
    <w:uiPriority w:val="0"/>
    <w:rPr>
      <w:b/>
      <w:bCs/>
      <w:sz w:val="24"/>
      <w:szCs w:val="24"/>
    </w:rPr>
  </w:style>
  <w:style w:type="character" w:customStyle="1" w:styleId="730">
    <w:name w:val="批注框文本 字符2"/>
    <w:semiHidden/>
    <w:qFormat/>
    <w:locked/>
    <w:uiPriority w:val="0"/>
    <w:rPr>
      <w:sz w:val="18"/>
      <w:szCs w:val="18"/>
    </w:rPr>
  </w:style>
  <w:style w:type="character" w:customStyle="1" w:styleId="731">
    <w:name w:val="称呼 字符1"/>
    <w:semiHidden/>
    <w:qFormat/>
    <w:uiPriority w:val="0"/>
    <w:rPr>
      <w:sz w:val="24"/>
      <w:szCs w:val="24"/>
    </w:rPr>
  </w:style>
  <w:style w:type="character" w:customStyle="1" w:styleId="732">
    <w:name w:val="电子邮件签名 字符1"/>
    <w:semiHidden/>
    <w:qFormat/>
    <w:uiPriority w:val="0"/>
    <w:rPr>
      <w:sz w:val="24"/>
      <w:szCs w:val="24"/>
    </w:rPr>
  </w:style>
  <w:style w:type="character" w:customStyle="1" w:styleId="733">
    <w:name w:val="结束语 字符1"/>
    <w:semiHidden/>
    <w:qFormat/>
    <w:uiPriority w:val="0"/>
    <w:rPr>
      <w:sz w:val="24"/>
      <w:szCs w:val="24"/>
    </w:rPr>
  </w:style>
  <w:style w:type="character" w:customStyle="1" w:styleId="734">
    <w:name w:val="签名 字符1"/>
    <w:semiHidden/>
    <w:qFormat/>
    <w:uiPriority w:val="0"/>
    <w:rPr>
      <w:sz w:val="24"/>
      <w:szCs w:val="24"/>
    </w:rPr>
  </w:style>
  <w:style w:type="character" w:customStyle="1" w:styleId="735">
    <w:name w:val="信息标题 字符1"/>
    <w:semiHidden/>
    <w:qFormat/>
    <w:uiPriority w:val="0"/>
    <w:rPr>
      <w:rFonts w:ascii="等线 Light" w:hAnsi="等线 Light" w:eastAsia="等线 Light" w:cs="Times New Roman"/>
      <w:sz w:val="24"/>
      <w:szCs w:val="24"/>
      <w:shd w:val="pct20" w:color="auto" w:fill="auto"/>
    </w:rPr>
  </w:style>
  <w:style w:type="character" w:customStyle="1" w:styleId="736">
    <w:name w:val="正文首行缩进 字符"/>
    <w:semiHidden/>
    <w:qFormat/>
    <w:uiPriority w:val="0"/>
    <w:rPr>
      <w:snapToGrid/>
      <w:sz w:val="24"/>
      <w:szCs w:val="24"/>
    </w:rPr>
  </w:style>
  <w:style w:type="character" w:customStyle="1" w:styleId="737">
    <w:name w:val="正文首行缩进 2 字符1"/>
    <w:semiHidden/>
    <w:qFormat/>
    <w:uiPriority w:val="0"/>
  </w:style>
  <w:style w:type="character" w:customStyle="1" w:styleId="738">
    <w:name w:val="正文文本缩进 字符1"/>
    <w:semiHidden/>
    <w:qFormat/>
    <w:uiPriority w:val="0"/>
    <w:rPr>
      <w:sz w:val="24"/>
      <w:szCs w:val="24"/>
    </w:rPr>
  </w:style>
  <w:style w:type="character" w:customStyle="1" w:styleId="739">
    <w:name w:val="批注主题 字符1"/>
    <w:semiHidden/>
    <w:qFormat/>
    <w:uiPriority w:val="0"/>
    <w:rPr>
      <w:b/>
      <w:bCs/>
      <w:sz w:val="24"/>
      <w:szCs w:val="24"/>
    </w:rPr>
  </w:style>
  <w:style w:type="character" w:customStyle="1" w:styleId="740">
    <w:name w:val="式样b Char1"/>
    <w:qFormat/>
    <w:uiPriority w:val="0"/>
    <w:rPr>
      <w:i/>
      <w:iCs/>
      <w:kern w:val="2"/>
      <w:sz w:val="21"/>
      <w:szCs w:val="24"/>
    </w:rPr>
  </w:style>
  <w:style w:type="character" w:customStyle="1" w:styleId="741">
    <w:name w:val="标题 9 字符1"/>
    <w:semiHidden/>
    <w:qFormat/>
    <w:uiPriority w:val="0"/>
    <w:rPr>
      <w:rFonts w:ascii="等线 Light" w:hAnsi="等线 Light" w:eastAsia="等线 Light" w:cs="Times New Roman"/>
      <w:sz w:val="21"/>
      <w:szCs w:val="21"/>
    </w:rPr>
  </w:style>
  <w:style w:type="character" w:customStyle="1" w:styleId="742">
    <w:name w:val="正文文本 2 字符1"/>
    <w:semiHidden/>
    <w:qFormat/>
    <w:uiPriority w:val="0"/>
    <w:rPr>
      <w:sz w:val="24"/>
      <w:szCs w:val="24"/>
    </w:rPr>
  </w:style>
  <w:style w:type="character" w:customStyle="1" w:styleId="743">
    <w:name w:val="正文文本缩进 2 字符1"/>
    <w:semiHidden/>
    <w:qFormat/>
    <w:uiPriority w:val="0"/>
    <w:rPr>
      <w:sz w:val="24"/>
      <w:szCs w:val="24"/>
    </w:rPr>
  </w:style>
  <w:style w:type="character" w:customStyle="1" w:styleId="744">
    <w:name w:val="正文文本缩进 3 字符1"/>
    <w:semiHidden/>
    <w:qFormat/>
    <w:uiPriority w:val="0"/>
    <w:rPr>
      <w:sz w:val="16"/>
      <w:szCs w:val="16"/>
    </w:rPr>
  </w:style>
  <w:style w:type="character" w:customStyle="1" w:styleId="745">
    <w:name w:val="日期 字符1"/>
    <w:qFormat/>
    <w:uiPriority w:val="0"/>
    <w:rPr>
      <w:sz w:val="24"/>
      <w:szCs w:val="24"/>
    </w:rPr>
  </w:style>
  <w:style w:type="character" w:customStyle="1" w:styleId="746">
    <w:name w:val="正文文本 3 字符1"/>
    <w:semiHidden/>
    <w:qFormat/>
    <w:uiPriority w:val="0"/>
    <w:rPr>
      <w:sz w:val="16"/>
      <w:szCs w:val="16"/>
    </w:rPr>
  </w:style>
  <w:style w:type="character" w:customStyle="1" w:styleId="747">
    <w:name w:val="文档结构图 字符1"/>
    <w:semiHidden/>
    <w:qFormat/>
    <w:uiPriority w:val="0"/>
    <w:rPr>
      <w:rFonts w:ascii="Microsoft YaHei UI" w:eastAsia="Microsoft YaHei UI"/>
      <w:sz w:val="18"/>
      <w:szCs w:val="18"/>
    </w:rPr>
  </w:style>
  <w:style w:type="character" w:customStyle="1" w:styleId="748">
    <w:name w:val="批注框文本 字符1"/>
    <w:semiHidden/>
    <w:qFormat/>
    <w:uiPriority w:val="0"/>
    <w:rPr>
      <w:sz w:val="18"/>
      <w:szCs w:val="18"/>
    </w:rPr>
  </w:style>
  <w:style w:type="character" w:customStyle="1" w:styleId="749">
    <w:name w:val="正文首行缩进 字符1"/>
    <w:semiHidden/>
    <w:qFormat/>
    <w:uiPriority w:val="0"/>
  </w:style>
  <w:style w:type="character" w:customStyle="1" w:styleId="750">
    <w:name w:val="脚注文本 字符1"/>
    <w:semiHidden/>
    <w:qFormat/>
    <w:uiPriority w:val="0"/>
    <w:rPr>
      <w:sz w:val="18"/>
      <w:szCs w:val="18"/>
    </w:rPr>
  </w:style>
  <w:style w:type="character" w:customStyle="1" w:styleId="751">
    <w:name w:val="尾注文本 字符1"/>
    <w:semiHidden/>
    <w:qFormat/>
    <w:uiPriority w:val="0"/>
    <w:rPr>
      <w:sz w:val="24"/>
      <w:szCs w:val="24"/>
    </w:rPr>
  </w:style>
  <w:style w:type="character" w:customStyle="1" w:styleId="752">
    <w:name w:val="HTML 预设格式 字符1"/>
    <w:semiHidden/>
    <w:qFormat/>
    <w:locked/>
    <w:uiPriority w:val="0"/>
    <w:rPr>
      <w:rFonts w:ascii="Courier New" w:hAnsi="Courier New" w:cs="Courier New"/>
    </w:rPr>
  </w:style>
  <w:style w:type="character" w:customStyle="1" w:styleId="753">
    <w:name w:val="标题 字符1"/>
    <w:qFormat/>
    <w:uiPriority w:val="0"/>
    <w:rPr>
      <w:rFonts w:ascii="等线 Light" w:hAnsi="等线 Light" w:eastAsia="等线 Light" w:cs="Times New Roman"/>
      <w:b/>
      <w:bCs/>
      <w:sz w:val="32"/>
      <w:szCs w:val="32"/>
    </w:rPr>
  </w:style>
  <w:style w:type="character" w:customStyle="1" w:styleId="754">
    <w:name w:val="副标题 字符1"/>
    <w:qFormat/>
    <w:uiPriority w:val="0"/>
    <w:rPr>
      <w:rFonts w:ascii="等线" w:hAnsi="等线" w:eastAsia="等线" w:cs="Times New Roman"/>
      <w:b/>
      <w:bCs/>
      <w:kern w:val="28"/>
      <w:sz w:val="32"/>
      <w:szCs w:val="32"/>
    </w:rPr>
  </w:style>
  <w:style w:type="table" w:customStyle="1" w:styleId="755">
    <w:name w:val="简明型 12"/>
    <w:basedOn w:val="88"/>
    <w:semiHidden/>
    <w:unhideWhenUsed/>
    <w:qFormat/>
    <w:uiPriority w:val="0"/>
    <w:pPr>
      <w:widowControl w:val="0"/>
      <w:adjustRightInd w:val="0"/>
      <w:snapToGrid w:val="0"/>
      <w:spacing w:beforeLines="10" w:line="460" w:lineRule="exact"/>
      <w:ind w:firstLine="200" w:firstLineChars="200"/>
      <w:jc w:val="both"/>
    </w:pPr>
    <w:tblPr>
      <w:tblBorders>
        <w:top w:val="single" w:color="008000" w:sz="12" w:space="0"/>
        <w:bottom w:val="single" w:color="008000" w:sz="12" w:space="0"/>
      </w:tblBorders>
      <w:tblLayout w:type="fixed"/>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56">
    <w:name w:val="简明型 2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757">
    <w:name w:val="简明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bCs/>
        <w:color w:val="FFFFFF"/>
      </w:rPr>
      <w:tcPr>
        <w:tcBorders>
          <w:tl2br w:val="nil"/>
          <w:tr2bl w:val="nil"/>
        </w:tcBorders>
        <w:shd w:val="solid" w:color="000000" w:fill="FFFFFF"/>
      </w:tcPr>
    </w:tblStylePr>
  </w:style>
  <w:style w:type="table" w:customStyle="1" w:styleId="758">
    <w:name w:val="古典型 1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759">
    <w:name w:val="古典型 2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760">
    <w:name w:val="古典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761">
    <w:name w:val="古典型 4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762">
    <w:name w:val="彩色型 2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763">
    <w:name w:val="彩色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764">
    <w:name w:val="竖列型 1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765">
    <w:name w:val="竖列型 2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Layout w:type="fixed"/>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766">
    <w:name w:val="竖列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767">
    <w:name w:val="竖列型 4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768">
    <w:name w:val="竖列型 5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769">
    <w:name w:val="网格型 1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770">
    <w:name w:val="网格型 2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771">
    <w:name w:val="网格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772">
    <w:name w:val="网格型 4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773">
    <w:name w:val="网格型 5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774">
    <w:name w:val="网格型 6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775">
    <w:name w:val="网格型 7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776">
    <w:name w:val="网格型 8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777">
    <w:name w:val="列表型 1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778">
    <w:name w:val="列表型 2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bottom w:val="single" w:color="808080" w:sz="12" w:space="0"/>
      </w:tblBorders>
      <w:tblLayout w:type="fixed"/>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779">
    <w:name w:val="列表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780">
    <w:name w:val="列表型 4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blStylePr w:type="firstRow">
      <w:rPr>
        <w:b/>
        <w:bCs/>
        <w:color w:val="FFFFFF"/>
      </w:rPr>
      <w:tcPr>
        <w:tcBorders>
          <w:bottom w:val="single" w:color="000000" w:sz="12" w:space="0"/>
          <w:tl2br w:val="nil"/>
          <w:tr2bl w:val="nil"/>
        </w:tcBorders>
        <w:shd w:val="solid" w:color="808080" w:fill="FFFFFF"/>
      </w:tcPr>
    </w:tblStylePr>
  </w:style>
  <w:style w:type="table" w:customStyle="1" w:styleId="781">
    <w:name w:val="列表型 5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782">
    <w:name w:val="列表型 7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783">
    <w:name w:val="列表型 8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784">
    <w:name w:val="立体型 1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785">
    <w:name w:val="立体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786">
    <w:name w:val="流行型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787">
    <w:name w:val="典雅型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788">
    <w:name w:val="网页型 1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789">
    <w:name w:val="网页型 2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790">
    <w:name w:val="网页型 31"/>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791">
    <w:name w:val="简明型 11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92">
    <w:name w:val="浅色底纹11"/>
    <w:basedOn w:val="88"/>
    <w:qFormat/>
    <w:uiPriority w:val="0"/>
    <w:rPr>
      <w:rFonts w:ascii="Calibri" w:hAnsi="Calibri"/>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793">
    <w:name w:val="标题 3 字符1"/>
    <w:qFormat/>
    <w:uiPriority w:val="0"/>
    <w:rPr>
      <w:b/>
      <w:bCs/>
      <w:sz w:val="32"/>
      <w:szCs w:val="32"/>
    </w:rPr>
  </w:style>
  <w:style w:type="table" w:customStyle="1" w:styleId="794">
    <w:name w:val="简明型 13"/>
    <w:basedOn w:val="88"/>
    <w:semiHidden/>
    <w:unhideWhenUsed/>
    <w:qFormat/>
    <w:uiPriority w:val="0"/>
    <w:pPr>
      <w:widowControl w:val="0"/>
      <w:adjustRightInd w:val="0"/>
      <w:snapToGrid w:val="0"/>
      <w:spacing w:beforeLines="10" w:line="460" w:lineRule="exact"/>
      <w:ind w:firstLine="200" w:firstLineChars="200"/>
      <w:jc w:val="both"/>
    </w:pPr>
    <w:tblPr>
      <w:tblBorders>
        <w:top w:val="single" w:color="008000" w:sz="12" w:space="0"/>
        <w:bottom w:val="single" w:color="008000" w:sz="12" w:space="0"/>
      </w:tblBorders>
      <w:tblLayout w:type="fixed"/>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795">
    <w:name w:val="简明型 2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796">
    <w:name w:val="简明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bCs/>
        <w:color w:val="FFFFFF"/>
      </w:rPr>
      <w:tcPr>
        <w:tcBorders>
          <w:tl2br w:val="nil"/>
          <w:tr2bl w:val="nil"/>
        </w:tcBorders>
        <w:shd w:val="solid" w:color="000000" w:fill="FFFFFF"/>
      </w:tcPr>
    </w:tblStylePr>
  </w:style>
  <w:style w:type="table" w:customStyle="1" w:styleId="797">
    <w:name w:val="古典型 1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798">
    <w:name w:val="古典型 2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799">
    <w:name w:val="古典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800">
    <w:name w:val="古典型 4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801">
    <w:name w:val="彩色型 2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802">
    <w:name w:val="彩色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803">
    <w:name w:val="竖列型 1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804">
    <w:name w:val="竖列型 2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Layout w:type="fixed"/>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805">
    <w:name w:val="竖列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806">
    <w:name w:val="竖列型 4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807">
    <w:name w:val="竖列型 5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808">
    <w:name w:val="网格型 1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809">
    <w:name w:val="网格型 2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810">
    <w:name w:val="网格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811">
    <w:name w:val="网格型 4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812">
    <w:name w:val="网格型 5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813">
    <w:name w:val="网格型 6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814">
    <w:name w:val="网格型 7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815">
    <w:name w:val="网格型 8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816">
    <w:name w:val="列表型 1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817">
    <w:name w:val="列表型 2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bottom w:val="single" w:color="808080" w:sz="12" w:space="0"/>
      </w:tblBorders>
      <w:tblLayout w:type="fixed"/>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818">
    <w:name w:val="列表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819">
    <w:name w:val="列表型 4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blStylePr w:type="firstRow">
      <w:rPr>
        <w:b/>
        <w:bCs/>
        <w:color w:val="FFFFFF"/>
      </w:rPr>
      <w:tcPr>
        <w:tcBorders>
          <w:bottom w:val="single" w:color="000000" w:sz="12" w:space="0"/>
          <w:tl2br w:val="nil"/>
          <w:tr2bl w:val="nil"/>
        </w:tcBorders>
        <w:shd w:val="solid" w:color="808080" w:fill="FFFFFF"/>
      </w:tcPr>
    </w:tblStylePr>
  </w:style>
  <w:style w:type="table" w:customStyle="1" w:styleId="820">
    <w:name w:val="列表型 5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821">
    <w:name w:val="列表型 7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822">
    <w:name w:val="列表型 8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823">
    <w:name w:val="立体型 1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824">
    <w:name w:val="立体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825">
    <w:name w:val="流行型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826">
    <w:name w:val="典雅型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827">
    <w:name w:val="网页型 1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828">
    <w:name w:val="网页型 2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829">
    <w:name w:val="网页型 32"/>
    <w:basedOn w:val="88"/>
    <w:semiHidden/>
    <w:unhideWhenUsed/>
    <w:qFormat/>
    <w:uiPriority w:val="0"/>
    <w:pPr>
      <w:widowControl w:val="0"/>
      <w:adjustRightInd w:val="0"/>
      <w:snapToGrid w:val="0"/>
      <w:spacing w:beforeLines="10" w:line="46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blStylePr w:type="firstRow">
      <w:rPr>
        <w:color w:val="auto"/>
      </w:rPr>
      <w:tcPr>
        <w:tcBorders>
          <w:tl2br w:val="nil"/>
          <w:tr2bl w:val="nil"/>
        </w:tcBorders>
      </w:tcPr>
    </w:tblStylePr>
  </w:style>
  <w:style w:type="table" w:customStyle="1" w:styleId="830">
    <w:name w:val="简明型 112"/>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831">
    <w:name w:val="浅色底纹12"/>
    <w:basedOn w:val="88"/>
    <w:qFormat/>
    <w:uiPriority w:val="0"/>
    <w:rPr>
      <w:rFonts w:ascii="Calibri" w:hAnsi="Calibri"/>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Lines="0" w:beforeAutospacing="0" w:afterLines="0" w:afterAutospacing="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832">
    <w:name w:val="一级标题"/>
    <w:basedOn w:val="1"/>
    <w:qFormat/>
    <w:uiPriority w:val="1"/>
    <w:pPr>
      <w:pageBreakBefore/>
      <w:spacing w:afterLines="100" w:line="480" w:lineRule="exact"/>
      <w:ind w:left="1701"/>
      <w:jc w:val="center"/>
      <w:outlineLvl w:val="0"/>
    </w:pPr>
    <w:rPr>
      <w:rFonts w:ascii="Times New Roman" w:hAnsi="Times New Roman" w:eastAsia="等线" w:cs="Times New Roman"/>
      <w:b/>
      <w:sz w:val="30"/>
    </w:rPr>
  </w:style>
  <w:style w:type="paragraph" w:customStyle="1" w:styleId="833">
    <w:name w:val="环评正文"/>
    <w:basedOn w:val="1"/>
    <w:link w:val="837"/>
    <w:qFormat/>
    <w:uiPriority w:val="0"/>
    <w:pPr>
      <w:spacing w:line="480" w:lineRule="exact"/>
      <w:ind w:firstLine="520" w:firstLineChars="200"/>
      <w:jc w:val="left"/>
    </w:pPr>
    <w:rPr>
      <w:rFonts w:ascii="Times New Roman" w:hAnsi="Times New Roman" w:eastAsia="等线" w:cs="Times New Roman"/>
      <w:sz w:val="24"/>
    </w:rPr>
  </w:style>
  <w:style w:type="paragraph" w:customStyle="1" w:styleId="834">
    <w:name w:val="二级标题"/>
    <w:basedOn w:val="832"/>
    <w:next w:val="833"/>
    <w:link w:val="835"/>
    <w:qFormat/>
    <w:uiPriority w:val="0"/>
    <w:pPr>
      <w:pageBreakBefore w:val="0"/>
      <w:spacing w:afterLines="0"/>
      <w:ind w:left="0"/>
      <w:jc w:val="left"/>
      <w:outlineLvl w:val="1"/>
    </w:pPr>
    <w:rPr>
      <w:rFonts w:eastAsia="宋体"/>
      <w:sz w:val="26"/>
    </w:rPr>
  </w:style>
  <w:style w:type="character" w:customStyle="1" w:styleId="835">
    <w:name w:val="二级标题 字符"/>
    <w:link w:val="834"/>
    <w:qFormat/>
    <w:uiPriority w:val="0"/>
    <w:rPr>
      <w:rFonts w:ascii="Times New Roman" w:hAnsi="Times New Roman" w:eastAsia="宋体" w:cs="Times New Roman"/>
      <w:b/>
      <w:sz w:val="26"/>
    </w:rPr>
  </w:style>
  <w:style w:type="paragraph" w:customStyle="1" w:styleId="836">
    <w:name w:val="四级标题"/>
    <w:basedOn w:val="5"/>
    <w:next w:val="833"/>
    <w:qFormat/>
    <w:uiPriority w:val="0"/>
    <w:pPr>
      <w:keepNext w:val="0"/>
      <w:keepLines w:val="0"/>
      <w:spacing w:before="10" w:line="480" w:lineRule="exact"/>
      <w:ind w:firstLine="522"/>
      <w:outlineLvl w:val="3"/>
    </w:pPr>
    <w:rPr>
      <w:rFonts w:cs="Times New Roman" w:eastAsiaTheme="minorEastAsia"/>
      <w:bCs w:val="0"/>
      <w:szCs w:val="22"/>
    </w:rPr>
  </w:style>
  <w:style w:type="character" w:customStyle="1" w:styleId="837">
    <w:name w:val="环评正文 字符"/>
    <w:link w:val="833"/>
    <w:qFormat/>
    <w:uiPriority w:val="0"/>
    <w:rPr>
      <w:rFonts w:ascii="Times New Roman" w:hAnsi="Times New Roman" w:eastAsia="等线" w:cs="Times New Roman"/>
      <w:sz w:val="24"/>
    </w:rPr>
  </w:style>
  <w:style w:type="paragraph" w:customStyle="1" w:styleId="838">
    <w:name w:val="正文文本缩进1"/>
    <w:basedOn w:val="1"/>
    <w:qFormat/>
    <w:uiPriority w:val="99"/>
    <w:pPr>
      <w:widowControl/>
      <w:spacing w:after="120" w:line="360" w:lineRule="auto"/>
      <w:ind w:left="420" w:leftChars="200" w:firstLine="200" w:firstLineChars="200"/>
      <w:jc w:val="left"/>
    </w:pPr>
    <w:rPr>
      <w:rFonts w:ascii="Calibri" w:hAnsi="Calibri" w:cs="Times New Roman"/>
      <w:kern w:val="0"/>
      <w:sz w:val="24"/>
      <w:szCs w:val="24"/>
    </w:rPr>
  </w:style>
  <w:style w:type="character" w:customStyle="1" w:styleId="839">
    <w:name w:val="表内字体 Char"/>
    <w:link w:val="349"/>
    <w:qFormat/>
    <w:uiPriority w:val="0"/>
    <w:rPr>
      <w:rFonts w:ascii="宋体" w:hAnsi="宋体" w:eastAsia="宋体" w:cs="宋体"/>
      <w:sz w:val="18"/>
      <w:szCs w:val="18"/>
    </w:rPr>
  </w:style>
  <w:style w:type="paragraph" w:customStyle="1" w:styleId="840">
    <w:name w:val="表名/图名"/>
    <w:basedOn w:val="1"/>
    <w:qFormat/>
    <w:uiPriority w:val="0"/>
    <w:pPr>
      <w:adjustRightInd w:val="0"/>
      <w:spacing w:line="240" w:lineRule="atLeast"/>
      <w:ind w:firstLine="210"/>
      <w:jc w:val="center"/>
      <w:textAlignment w:val="baseline"/>
    </w:pPr>
    <w:rPr>
      <w:rFonts w:ascii="宋体" w:hAnsi="宋体" w:cs="Times New Roman"/>
      <w:b/>
      <w:kern w:val="0"/>
      <w:lang w:bidi="en-US"/>
    </w:rPr>
  </w:style>
  <w:style w:type="paragraph" w:customStyle="1" w:styleId="841">
    <w:name w:val="页脚X"/>
    <w:basedOn w:val="1"/>
    <w:qFormat/>
    <w:uiPriority w:val="0"/>
    <w:pPr>
      <w:adjustRightInd w:val="0"/>
      <w:jc w:val="center"/>
    </w:pPr>
    <w:rPr>
      <w:rFonts w:ascii="Times New Roman" w:hAnsi="Times New Roman" w:cs="Times New Roman"/>
      <w:szCs w:val="36"/>
    </w:rPr>
  </w:style>
  <w:style w:type="character" w:customStyle="1" w:styleId="842">
    <w:name w:val="样式6 Char Char"/>
    <w:link w:val="655"/>
    <w:qFormat/>
    <w:uiPriority w:val="0"/>
    <w:rPr>
      <w:rFonts w:ascii="Times New Roman" w:hAnsi="Times New Roman" w:cs="Times New Roman"/>
      <w:bCs/>
      <w:sz w:val="24"/>
      <w:szCs w:val="28"/>
    </w:rPr>
  </w:style>
  <w:style w:type="character" w:customStyle="1" w:styleId="843">
    <w:name w:val="HTML 打字机1"/>
    <w:qFormat/>
    <w:uiPriority w:val="0"/>
    <w:rPr>
      <w:rFonts w:ascii="Courier New" w:hAnsi="Courier New" w:cs="Courier New"/>
      <w:sz w:val="20"/>
      <w:szCs w:val="20"/>
    </w:rPr>
  </w:style>
  <w:style w:type="character" w:customStyle="1" w:styleId="844">
    <w:name w:val="样式21 Char Char"/>
    <w:link w:val="845"/>
    <w:qFormat/>
    <w:uiPriority w:val="0"/>
    <w:rPr>
      <w:sz w:val="26"/>
      <w:szCs w:val="26"/>
    </w:rPr>
  </w:style>
  <w:style w:type="paragraph" w:customStyle="1" w:styleId="845">
    <w:name w:val="样式21"/>
    <w:basedOn w:val="1"/>
    <w:link w:val="844"/>
    <w:qFormat/>
    <w:uiPriority w:val="0"/>
    <w:pPr>
      <w:adjustRightInd w:val="0"/>
      <w:spacing w:line="480" w:lineRule="exact"/>
      <w:ind w:firstLine="520" w:firstLineChars="200"/>
      <w:jc w:val="left"/>
    </w:pPr>
    <w:rPr>
      <w:sz w:val="26"/>
      <w:szCs w:val="26"/>
    </w:rPr>
  </w:style>
  <w:style w:type="character" w:customStyle="1" w:styleId="846">
    <w:name w:val="样式16 Char Char"/>
    <w:link w:val="847"/>
    <w:qFormat/>
    <w:uiPriority w:val="0"/>
    <w:rPr>
      <w:rFonts w:hAnsi="宋体" w:eastAsia="黑体"/>
      <w:b/>
      <w:bCs/>
      <w:snapToGrid w:val="0"/>
      <w:sz w:val="28"/>
      <w:szCs w:val="32"/>
    </w:rPr>
  </w:style>
  <w:style w:type="paragraph" w:customStyle="1" w:styleId="847">
    <w:name w:val="样式16"/>
    <w:basedOn w:val="4"/>
    <w:link w:val="846"/>
    <w:qFormat/>
    <w:uiPriority w:val="0"/>
    <w:pPr>
      <w:keepNext w:val="0"/>
      <w:keepLines w:val="0"/>
      <w:adjustRightInd w:val="0"/>
      <w:spacing w:beforeLines="10" w:line="480" w:lineRule="atLeast"/>
      <w:ind w:left="840" w:hanging="420"/>
    </w:pPr>
    <w:rPr>
      <w:rFonts w:hAnsi="宋体" w:eastAsia="黑体" w:asciiTheme="minorHAnsi" w:cstheme="minorBidi"/>
      <w:snapToGrid w:val="0"/>
      <w:sz w:val="28"/>
    </w:rPr>
  </w:style>
  <w:style w:type="character" w:customStyle="1" w:styleId="848">
    <w:name w:val="样式 正文首行缩进 + Times New Roman Char Char Char"/>
    <w:link w:val="849"/>
    <w:qFormat/>
    <w:uiPriority w:val="0"/>
    <w:rPr>
      <w:rFonts w:ascii="Book Antiqua" w:hAnsi="Book Antiqua"/>
      <w:sz w:val="24"/>
      <w:szCs w:val="24"/>
    </w:rPr>
  </w:style>
  <w:style w:type="paragraph" w:customStyle="1" w:styleId="849">
    <w:name w:val="样式 正文首行缩进 + Times New Roman Char"/>
    <w:link w:val="848"/>
    <w:qFormat/>
    <w:uiPriority w:val="0"/>
    <w:pPr>
      <w:spacing w:line="360" w:lineRule="auto"/>
      <w:ind w:firstLine="200" w:firstLineChars="200"/>
    </w:pPr>
    <w:rPr>
      <w:rFonts w:ascii="Book Antiqua" w:hAnsi="Book Antiqua" w:eastAsia="宋体" w:cstheme="minorBidi"/>
      <w:kern w:val="2"/>
      <w:sz w:val="24"/>
      <w:lang w:val="en-US" w:eastAsia="zh-CN" w:bidi="ar-SA"/>
    </w:rPr>
  </w:style>
  <w:style w:type="paragraph" w:customStyle="1" w:styleId="850">
    <w:name w:val="正文首行缩进1"/>
    <w:basedOn w:val="34"/>
    <w:qFormat/>
    <w:uiPriority w:val="99"/>
    <w:pPr>
      <w:spacing w:beforeLines="0" w:after="120" w:line="480" w:lineRule="exact"/>
      <w:ind w:firstLine="420" w:firstLineChars="100"/>
    </w:pPr>
    <w:rPr>
      <w:rFonts w:ascii="Calibri" w:hAnsi="Calibri" w:eastAsiaTheme="minorEastAsia"/>
      <w:snapToGrid/>
      <w:sz w:val="26"/>
    </w:rPr>
  </w:style>
  <w:style w:type="character" w:customStyle="1" w:styleId="851">
    <w:name w:val="表文字 Char1"/>
    <w:link w:val="852"/>
    <w:qFormat/>
    <w:uiPriority w:val="0"/>
    <w:rPr>
      <w:rFonts w:eastAsia="Times New Roman"/>
      <w:szCs w:val="21"/>
    </w:rPr>
  </w:style>
  <w:style w:type="paragraph" w:customStyle="1" w:styleId="852">
    <w:name w:val="表文字"/>
    <w:link w:val="851"/>
    <w:qFormat/>
    <w:uiPriority w:val="0"/>
    <w:pPr>
      <w:widowControl w:val="0"/>
      <w:adjustRightInd w:val="0"/>
      <w:spacing w:line="240" w:lineRule="exact"/>
      <w:jc w:val="center"/>
      <w:textAlignment w:val="baseline"/>
    </w:pPr>
    <w:rPr>
      <w:rFonts w:eastAsia="Times New Roman" w:asciiTheme="minorHAnsi" w:hAnsiTheme="minorHAnsi" w:cstheme="minorBidi"/>
      <w:kern w:val="2"/>
      <w:sz w:val="21"/>
      <w:szCs w:val="21"/>
      <w:lang w:val="en-US" w:eastAsia="zh-CN" w:bidi="ar-SA"/>
    </w:rPr>
  </w:style>
  <w:style w:type="character" w:customStyle="1" w:styleId="853">
    <w:name w:val="样式3 Char Char"/>
    <w:link w:val="594"/>
    <w:qFormat/>
    <w:uiPriority w:val="0"/>
    <w:rPr>
      <w:rFonts w:ascii="Times New Roman" w:hAnsi="Times New Roman" w:eastAsia="宋体" w:cs="Times New Roman"/>
      <w:b/>
      <w:bCs/>
      <w:color w:val="000000" w:themeColor="text1"/>
      <w:kern w:val="44"/>
      <w:sz w:val="32"/>
      <w:szCs w:val="32"/>
      <w14:textFill>
        <w14:solidFill>
          <w14:schemeClr w14:val="tx1"/>
        </w14:solidFill>
      </w14:textFill>
    </w:rPr>
  </w:style>
  <w:style w:type="character" w:customStyle="1" w:styleId="854">
    <w:name w:val="hang2"/>
    <w:qFormat/>
    <w:uiPriority w:val="0"/>
    <w:rPr>
      <w:rFonts w:hint="default" w:ascii="??" w:hAnsi="??"/>
      <w:color w:val="000000"/>
      <w:sz w:val="18"/>
      <w:szCs w:val="18"/>
      <w:u w:val="none"/>
    </w:rPr>
  </w:style>
  <w:style w:type="character" w:customStyle="1" w:styleId="855">
    <w:name w:val="HTML 键盘1"/>
    <w:qFormat/>
    <w:uiPriority w:val="0"/>
    <w:rPr>
      <w:rFonts w:ascii="Courier New" w:hAnsi="Courier New" w:cs="Courier New"/>
      <w:sz w:val="20"/>
      <w:szCs w:val="20"/>
    </w:rPr>
  </w:style>
  <w:style w:type="character" w:customStyle="1" w:styleId="856">
    <w:name w:val="样式12 Char Char"/>
    <w:link w:val="857"/>
    <w:qFormat/>
    <w:uiPriority w:val="0"/>
    <w:rPr>
      <w:szCs w:val="21"/>
    </w:rPr>
  </w:style>
  <w:style w:type="paragraph" w:customStyle="1" w:styleId="857">
    <w:name w:val="样式12"/>
    <w:link w:val="856"/>
    <w:qFormat/>
    <w:uiPriority w:val="0"/>
    <w:rPr>
      <w:rFonts w:asciiTheme="minorHAnsi" w:hAnsiTheme="minorHAnsi" w:eastAsiaTheme="minorEastAsia" w:cstheme="minorBidi"/>
      <w:kern w:val="2"/>
      <w:sz w:val="21"/>
      <w:szCs w:val="21"/>
      <w:lang w:val="en-US" w:eastAsia="zh-CN" w:bidi="ar-SA"/>
    </w:rPr>
  </w:style>
  <w:style w:type="paragraph" w:customStyle="1" w:styleId="858">
    <w:name w:val="样式11"/>
    <w:basedOn w:val="1"/>
    <w:link w:val="876"/>
    <w:qFormat/>
    <w:uiPriority w:val="0"/>
    <w:pPr>
      <w:adjustRightInd w:val="0"/>
      <w:spacing w:line="240" w:lineRule="atLeast"/>
      <w:jc w:val="left"/>
    </w:pPr>
    <w:rPr>
      <w:rFonts w:ascii="Calibri" w:hAnsi="Calibri" w:eastAsia="宋体" w:cs="Times New Roman"/>
      <w:kern w:val="0"/>
      <w:sz w:val="24"/>
      <w:szCs w:val="24"/>
    </w:rPr>
  </w:style>
  <w:style w:type="character" w:customStyle="1" w:styleId="859">
    <w:name w:val="样式 样式 公正文 + 首行缩进:  2 字符1 + 首行缩进:  2 字符 Char Char"/>
    <w:link w:val="860"/>
    <w:qFormat/>
    <w:uiPriority w:val="0"/>
    <w:rPr>
      <w:rFonts w:ascii="宋体" w:hAnsi="宋体" w:eastAsia="仿宋_GB2312"/>
      <w:sz w:val="28"/>
      <w:szCs w:val="28"/>
    </w:rPr>
  </w:style>
  <w:style w:type="paragraph" w:customStyle="1" w:styleId="860">
    <w:name w:val="样式 样式 公正文 + 首行缩进:  2 字符1 + 首行缩进:  2 字符"/>
    <w:basedOn w:val="1"/>
    <w:link w:val="859"/>
    <w:qFormat/>
    <w:uiPriority w:val="0"/>
    <w:pPr>
      <w:adjustRightInd w:val="0"/>
      <w:spacing w:line="355" w:lineRule="auto"/>
      <w:ind w:firstLine="200" w:firstLineChars="200"/>
      <w:jc w:val="left"/>
    </w:pPr>
    <w:rPr>
      <w:rFonts w:ascii="宋体" w:hAnsi="宋体" w:eastAsia="仿宋_GB2312"/>
      <w:sz w:val="28"/>
      <w:szCs w:val="28"/>
    </w:rPr>
  </w:style>
  <w:style w:type="character" w:customStyle="1" w:styleId="861">
    <w:name w:val="样式10 Char Char"/>
    <w:link w:val="306"/>
    <w:qFormat/>
    <w:uiPriority w:val="0"/>
    <w:rPr>
      <w:rFonts w:ascii="Times New Roman" w:hAnsi="宋体" w:eastAsia="宋体" w:cs="Times New Roman"/>
      <w:sz w:val="24"/>
      <w:szCs w:val="26"/>
    </w:rPr>
  </w:style>
  <w:style w:type="character" w:customStyle="1" w:styleId="862">
    <w:name w:val="g Char Char"/>
    <w:qFormat/>
    <w:uiPriority w:val="0"/>
    <w:rPr>
      <w:rFonts w:eastAsia="宋体"/>
      <w:kern w:val="2"/>
      <w:sz w:val="18"/>
      <w:szCs w:val="18"/>
      <w:lang w:val="en-US" w:eastAsia="zh-CN"/>
    </w:rPr>
  </w:style>
  <w:style w:type="character" w:customStyle="1" w:styleId="863">
    <w:name w:val="批注引用1"/>
    <w:qFormat/>
    <w:uiPriority w:val="0"/>
    <w:rPr>
      <w:sz w:val="21"/>
      <w:szCs w:val="21"/>
    </w:rPr>
  </w:style>
  <w:style w:type="character" w:customStyle="1" w:styleId="864">
    <w:name w:val="!表标题(alt+h) Char Char"/>
    <w:link w:val="865"/>
    <w:qFormat/>
    <w:uiPriority w:val="0"/>
    <w:rPr>
      <w:rFonts w:eastAsia="黑体"/>
      <w:sz w:val="24"/>
      <w:szCs w:val="24"/>
    </w:rPr>
  </w:style>
  <w:style w:type="paragraph" w:customStyle="1" w:styleId="865">
    <w:name w:val="!表标题(alt+h)"/>
    <w:next w:val="1"/>
    <w:link w:val="864"/>
    <w:qFormat/>
    <w:uiPriority w:val="0"/>
    <w:pPr>
      <w:spacing w:beforeLines="50" w:line="260" w:lineRule="exact"/>
      <w:ind w:firstLine="482"/>
      <w:jc w:val="center"/>
      <w:outlineLvl w:val="4"/>
    </w:pPr>
    <w:rPr>
      <w:rFonts w:eastAsia="黑体" w:asciiTheme="minorHAnsi" w:hAnsiTheme="minorHAnsi" w:cstheme="minorBidi"/>
      <w:kern w:val="2"/>
      <w:sz w:val="24"/>
      <w:szCs w:val="24"/>
      <w:lang w:val="en-US" w:eastAsia="zh-CN" w:bidi="ar-SA"/>
    </w:rPr>
  </w:style>
  <w:style w:type="character" w:customStyle="1" w:styleId="866">
    <w:name w:val="表格标题1 Char Char"/>
    <w:link w:val="867"/>
    <w:qFormat/>
    <w:uiPriority w:val="0"/>
    <w:rPr>
      <w:rFonts w:eastAsia="黑体"/>
      <w:kern w:val="28"/>
      <w:sz w:val="24"/>
      <w:szCs w:val="24"/>
    </w:rPr>
  </w:style>
  <w:style w:type="paragraph" w:customStyle="1" w:styleId="867">
    <w:name w:val="表格标题1"/>
    <w:link w:val="866"/>
    <w:qFormat/>
    <w:uiPriority w:val="0"/>
    <w:pPr>
      <w:jc w:val="center"/>
    </w:pPr>
    <w:rPr>
      <w:rFonts w:eastAsia="黑体" w:asciiTheme="minorHAnsi" w:hAnsiTheme="minorHAnsi" w:cstheme="minorBidi"/>
      <w:kern w:val="28"/>
      <w:szCs w:val="24"/>
      <w:lang w:val="en-US" w:eastAsia="zh-CN" w:bidi="ar-SA"/>
    </w:rPr>
  </w:style>
  <w:style w:type="paragraph" w:customStyle="1" w:styleId="868">
    <w:name w:val="列表1"/>
    <w:basedOn w:val="1"/>
    <w:qFormat/>
    <w:uiPriority w:val="0"/>
    <w:pPr>
      <w:adjustRightInd w:val="0"/>
      <w:ind w:left="200" w:hanging="200" w:hangingChars="200"/>
      <w:jc w:val="left"/>
    </w:pPr>
    <w:rPr>
      <w:rFonts w:ascii="Times New Roman" w:hAnsi="Times New Roman" w:cs="Times New Roman"/>
      <w:sz w:val="24"/>
    </w:rPr>
  </w:style>
  <w:style w:type="character" w:customStyle="1" w:styleId="869">
    <w:name w:val="行号1"/>
    <w:qFormat/>
    <w:uiPriority w:val="0"/>
  </w:style>
  <w:style w:type="character" w:customStyle="1" w:styleId="870">
    <w:name w:val="HTML 样本1"/>
    <w:qFormat/>
    <w:uiPriority w:val="0"/>
    <w:rPr>
      <w:rFonts w:ascii="Courier New" w:hAnsi="Courier New" w:cs="Courier New"/>
    </w:rPr>
  </w:style>
  <w:style w:type="character" w:customStyle="1" w:styleId="871">
    <w:name w:val="样式 宋体 四号 行距: 1.5 倍行距 Char Char"/>
    <w:link w:val="872"/>
    <w:qFormat/>
    <w:uiPriority w:val="0"/>
    <w:rPr>
      <w:rFonts w:ascii="宋体" w:hAnsi="宋体" w:cs="宋体"/>
      <w:sz w:val="28"/>
    </w:rPr>
  </w:style>
  <w:style w:type="paragraph" w:customStyle="1" w:styleId="872">
    <w:name w:val="样式 宋体 四号 行距: 1.5 倍行距"/>
    <w:basedOn w:val="1"/>
    <w:link w:val="871"/>
    <w:qFormat/>
    <w:uiPriority w:val="0"/>
    <w:pPr>
      <w:adjustRightInd w:val="0"/>
      <w:spacing w:afterLines="50" w:line="360" w:lineRule="auto"/>
      <w:ind w:firstLine="560" w:firstLineChars="200"/>
      <w:jc w:val="left"/>
    </w:pPr>
    <w:rPr>
      <w:rFonts w:ascii="宋体" w:hAnsi="宋体" w:cs="宋体"/>
      <w:sz w:val="28"/>
    </w:rPr>
  </w:style>
  <w:style w:type="character" w:customStyle="1" w:styleId="873">
    <w:name w:val="样式35 Char Char"/>
    <w:link w:val="874"/>
    <w:qFormat/>
    <w:uiPriority w:val="0"/>
    <w:rPr>
      <w:rFonts w:ascii="新宋体" w:hAnsi="新宋体" w:eastAsia="新宋体"/>
      <w:sz w:val="26"/>
      <w:szCs w:val="26"/>
    </w:rPr>
  </w:style>
  <w:style w:type="paragraph" w:customStyle="1" w:styleId="874">
    <w:name w:val="样式35"/>
    <w:basedOn w:val="1"/>
    <w:link w:val="873"/>
    <w:qFormat/>
    <w:uiPriority w:val="0"/>
    <w:pPr>
      <w:adjustRightInd w:val="0"/>
      <w:spacing w:line="480" w:lineRule="exact"/>
      <w:ind w:firstLine="520" w:firstLineChars="200"/>
      <w:jc w:val="center"/>
    </w:pPr>
    <w:rPr>
      <w:rFonts w:ascii="新宋体" w:hAnsi="新宋体" w:eastAsia="新宋体"/>
      <w:sz w:val="26"/>
      <w:szCs w:val="26"/>
    </w:rPr>
  </w:style>
  <w:style w:type="character" w:customStyle="1" w:styleId="875">
    <w:name w:val="正文四号 Char Char"/>
    <w:qFormat/>
    <w:uiPriority w:val="0"/>
    <w:rPr>
      <w:rFonts w:cs="宋体"/>
      <w:sz w:val="24"/>
      <w:szCs w:val="24"/>
    </w:rPr>
  </w:style>
  <w:style w:type="character" w:customStyle="1" w:styleId="876">
    <w:name w:val="样式11 Char Char"/>
    <w:link w:val="858"/>
    <w:qFormat/>
    <w:uiPriority w:val="0"/>
    <w:rPr>
      <w:rFonts w:ascii="Calibri" w:hAnsi="Calibri" w:eastAsia="宋体" w:cs="Times New Roman"/>
      <w:kern w:val="0"/>
      <w:sz w:val="24"/>
      <w:szCs w:val="24"/>
    </w:rPr>
  </w:style>
  <w:style w:type="character" w:customStyle="1" w:styleId="877">
    <w:name w:val="插图标题 Char Char"/>
    <w:qFormat/>
    <w:uiPriority w:val="0"/>
    <w:rPr>
      <w:rFonts w:eastAsia="宋体"/>
      <w:b/>
      <w:snapToGrid w:val="0"/>
      <w:sz w:val="24"/>
      <w:szCs w:val="24"/>
    </w:rPr>
  </w:style>
  <w:style w:type="character" w:customStyle="1" w:styleId="878">
    <w:name w:val="排版正文 Char Char"/>
    <w:qFormat/>
    <w:uiPriority w:val="0"/>
    <w:rPr>
      <w:szCs w:val="24"/>
    </w:rPr>
  </w:style>
  <w:style w:type="character" w:customStyle="1" w:styleId="879">
    <w:name w:val="公正文 Char Char"/>
    <w:link w:val="880"/>
    <w:qFormat/>
    <w:uiPriority w:val="0"/>
    <w:rPr>
      <w:rFonts w:ascii="宋体" w:hAnsi="宋体" w:eastAsia="仿宋_GB2312"/>
      <w:sz w:val="28"/>
      <w:szCs w:val="24"/>
    </w:rPr>
  </w:style>
  <w:style w:type="paragraph" w:customStyle="1" w:styleId="880">
    <w:name w:val="公正文"/>
    <w:basedOn w:val="1"/>
    <w:link w:val="879"/>
    <w:qFormat/>
    <w:uiPriority w:val="0"/>
    <w:pPr>
      <w:adjustRightInd w:val="0"/>
      <w:spacing w:line="355" w:lineRule="auto"/>
      <w:ind w:firstLine="200" w:firstLineChars="200"/>
      <w:jc w:val="left"/>
    </w:pPr>
    <w:rPr>
      <w:rFonts w:ascii="宋体" w:hAnsi="宋体" w:eastAsia="仿宋_GB2312"/>
      <w:sz w:val="28"/>
      <w:szCs w:val="24"/>
    </w:rPr>
  </w:style>
  <w:style w:type="character" w:customStyle="1" w:styleId="881">
    <w:name w:val="表格内容 Char Char"/>
    <w:qFormat/>
    <w:uiPriority w:val="0"/>
    <w:rPr>
      <w:rFonts w:eastAsia="宋体"/>
      <w:snapToGrid w:val="0"/>
      <w:sz w:val="22"/>
      <w:szCs w:val="24"/>
    </w:rPr>
  </w:style>
  <w:style w:type="character" w:customStyle="1" w:styleId="882">
    <w:name w:val="表格 7 Char Char"/>
    <w:link w:val="883"/>
    <w:qFormat/>
    <w:uiPriority w:val="0"/>
    <w:rPr>
      <w:rFonts w:ascii="Century Gothic" w:hAnsi="Century Gothic"/>
      <w:sz w:val="26"/>
      <w:szCs w:val="26"/>
    </w:rPr>
  </w:style>
  <w:style w:type="paragraph" w:customStyle="1" w:styleId="883">
    <w:name w:val="表格 7"/>
    <w:link w:val="882"/>
    <w:qFormat/>
    <w:uiPriority w:val="0"/>
    <w:pPr>
      <w:ind w:firstLine="520"/>
    </w:pPr>
    <w:rPr>
      <w:rFonts w:ascii="Times New Roman" w:hAnsi="Times New Roman" w:eastAsiaTheme="minorEastAsia" w:cstheme="minorBidi"/>
      <w:lang w:val="en-US" w:eastAsia="zh-CN" w:bidi="ar-SA"/>
    </w:rPr>
  </w:style>
  <w:style w:type="paragraph" w:customStyle="1" w:styleId="884">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character" w:customStyle="1" w:styleId="885">
    <w:name w:val="样式5 Char Char"/>
    <w:qFormat/>
    <w:uiPriority w:val="0"/>
    <w:rPr>
      <w:rFonts w:ascii="宋体" w:hAnsi="宋体" w:eastAsia="宋体" w:cs="宋体"/>
      <w:sz w:val="26"/>
      <w:szCs w:val="26"/>
      <w:lang w:val="en-US"/>
    </w:rPr>
  </w:style>
  <w:style w:type="character" w:customStyle="1" w:styleId="886">
    <w:name w:val="图题 Char Char"/>
    <w:qFormat/>
    <w:uiPriority w:val="0"/>
    <w:rPr>
      <w:rFonts w:ascii="黑体" w:eastAsia="黑体"/>
      <w:szCs w:val="21"/>
    </w:rPr>
  </w:style>
  <w:style w:type="character" w:customStyle="1" w:styleId="887">
    <w:name w:val="样式28 Char Char"/>
    <w:link w:val="888"/>
    <w:qFormat/>
    <w:uiPriority w:val="0"/>
    <w:rPr>
      <w:rFonts w:hAnsi="宋体"/>
      <w:b/>
      <w:snapToGrid w:val="0"/>
      <w:sz w:val="26"/>
      <w:szCs w:val="28"/>
    </w:rPr>
  </w:style>
  <w:style w:type="paragraph" w:customStyle="1" w:styleId="888">
    <w:name w:val="样式28"/>
    <w:basedOn w:val="655"/>
    <w:link w:val="887"/>
    <w:qFormat/>
    <w:uiPriority w:val="0"/>
    <w:pPr>
      <w:keepNext w:val="0"/>
      <w:keepLines w:val="0"/>
      <w:widowControl/>
      <w:adjustRightInd w:val="0"/>
      <w:snapToGrid w:val="0"/>
      <w:spacing w:beforeLines="0" w:line="480" w:lineRule="exact"/>
      <w:ind w:firstLine="520"/>
      <w:outlineLvl w:val="9"/>
    </w:pPr>
    <w:rPr>
      <w:rFonts w:hAnsi="宋体" w:asciiTheme="minorHAnsi" w:cstheme="minorBidi"/>
      <w:b/>
      <w:bCs w:val="0"/>
      <w:snapToGrid w:val="0"/>
      <w:sz w:val="26"/>
    </w:rPr>
  </w:style>
  <w:style w:type="character" w:customStyle="1" w:styleId="889">
    <w:name w:val="样式8 Char Char"/>
    <w:qFormat/>
    <w:uiPriority w:val="0"/>
    <w:rPr>
      <w:rFonts w:hAnsi="宋体" w:eastAsia="宋体"/>
      <w:sz w:val="26"/>
      <w:szCs w:val="26"/>
    </w:rPr>
  </w:style>
  <w:style w:type="character" w:customStyle="1" w:styleId="890">
    <w:name w:val="HTML 引文1"/>
    <w:qFormat/>
    <w:uiPriority w:val="0"/>
    <w:rPr>
      <w:i/>
      <w:iCs/>
    </w:rPr>
  </w:style>
  <w:style w:type="character" w:customStyle="1" w:styleId="891">
    <w:name w:val="页码1"/>
    <w:qFormat/>
    <w:uiPriority w:val="0"/>
    <w:rPr>
      <w:rFonts w:eastAsia="宋体"/>
      <w:sz w:val="18"/>
    </w:rPr>
  </w:style>
  <w:style w:type="character" w:customStyle="1" w:styleId="892">
    <w:name w:val="样式32 Char Char"/>
    <w:link w:val="893"/>
    <w:qFormat/>
    <w:uiPriority w:val="0"/>
    <w:rPr>
      <w:rFonts w:ascii="宋体" w:hAnsi="宋体" w:cs="宋体"/>
      <w:sz w:val="26"/>
      <w:szCs w:val="26"/>
    </w:rPr>
  </w:style>
  <w:style w:type="paragraph" w:customStyle="1" w:styleId="893">
    <w:name w:val="样式32"/>
    <w:basedOn w:val="1"/>
    <w:link w:val="892"/>
    <w:qFormat/>
    <w:uiPriority w:val="0"/>
    <w:pPr>
      <w:adjustRightInd w:val="0"/>
      <w:spacing w:line="480" w:lineRule="exact"/>
      <w:ind w:firstLine="560"/>
      <w:jc w:val="left"/>
    </w:pPr>
    <w:rPr>
      <w:rFonts w:ascii="宋体" w:hAnsi="宋体" w:cs="宋体"/>
      <w:sz w:val="26"/>
      <w:szCs w:val="26"/>
    </w:rPr>
  </w:style>
  <w:style w:type="character" w:customStyle="1" w:styleId="894">
    <w:name w:val="书籍标题11"/>
    <w:qFormat/>
    <w:uiPriority w:val="0"/>
    <w:rPr>
      <w:b/>
      <w:bCs/>
      <w:smallCaps/>
      <w:spacing w:val="5"/>
    </w:rPr>
  </w:style>
  <w:style w:type="character" w:customStyle="1" w:styleId="895">
    <w:name w:val="列表项目符号 2 Char"/>
    <w:link w:val="40"/>
    <w:qFormat/>
    <w:uiPriority w:val="0"/>
    <w:rPr>
      <w:rFonts w:eastAsiaTheme="minorEastAsia"/>
      <w:snapToGrid w:val="0"/>
      <w:sz w:val="24"/>
      <w:szCs w:val="24"/>
    </w:rPr>
  </w:style>
  <w:style w:type="character" w:customStyle="1" w:styleId="896">
    <w:name w:val="大纲正文 Char Char"/>
    <w:qFormat/>
    <w:uiPriority w:val="0"/>
    <w:rPr>
      <w:rFonts w:eastAsia="宋体" w:cs="宋体"/>
      <w:sz w:val="24"/>
    </w:rPr>
  </w:style>
  <w:style w:type="character" w:customStyle="1" w:styleId="897">
    <w:name w:val="样式 左 首行缩进:  1.01 厘米 Char Char"/>
    <w:qFormat/>
    <w:uiPriority w:val="0"/>
    <w:rPr>
      <w:rFonts w:cs="宋体"/>
      <w:sz w:val="26"/>
      <w:szCs w:val="26"/>
    </w:rPr>
  </w:style>
  <w:style w:type="character" w:customStyle="1" w:styleId="898">
    <w:name w:val="样式7 Char Char"/>
    <w:qFormat/>
    <w:uiPriority w:val="0"/>
    <w:rPr>
      <w:rFonts w:ascii="黑体" w:eastAsia="黑体"/>
      <w:b/>
      <w:sz w:val="28"/>
      <w:szCs w:val="28"/>
    </w:rPr>
  </w:style>
  <w:style w:type="character" w:customStyle="1" w:styleId="899">
    <w:name w:val="HTML 缩写1"/>
    <w:qFormat/>
    <w:uiPriority w:val="0"/>
  </w:style>
  <w:style w:type="character" w:customStyle="1" w:styleId="900">
    <w:name w:val="表头 Char Char"/>
    <w:qFormat/>
    <w:uiPriority w:val="0"/>
    <w:rPr>
      <w:rFonts w:eastAsia="黑体"/>
      <w:snapToGrid w:val="0"/>
      <w:sz w:val="24"/>
      <w:szCs w:val="24"/>
      <w:lang w:val="en-US" w:eastAsia="zh-CN"/>
    </w:rPr>
  </w:style>
  <w:style w:type="character" w:customStyle="1" w:styleId="901">
    <w:name w:val="样式37 Char Char"/>
    <w:link w:val="902"/>
    <w:qFormat/>
    <w:uiPriority w:val="0"/>
    <w:rPr>
      <w:rFonts w:ascii="黑体" w:eastAsia="黑体"/>
      <w:sz w:val="24"/>
      <w:szCs w:val="24"/>
    </w:rPr>
  </w:style>
  <w:style w:type="paragraph" w:customStyle="1" w:styleId="902">
    <w:name w:val="样式37"/>
    <w:basedOn w:val="1"/>
    <w:link w:val="901"/>
    <w:qFormat/>
    <w:uiPriority w:val="0"/>
    <w:pPr>
      <w:adjustRightInd w:val="0"/>
      <w:jc w:val="center"/>
    </w:pPr>
    <w:rPr>
      <w:rFonts w:ascii="黑体" w:eastAsia="黑体"/>
      <w:sz w:val="24"/>
      <w:szCs w:val="24"/>
    </w:rPr>
  </w:style>
  <w:style w:type="character" w:customStyle="1" w:styleId="903">
    <w:name w:val="表格内容 Char Char Char1 Char Char Char"/>
    <w:link w:val="904"/>
    <w:qFormat/>
    <w:uiPriority w:val="0"/>
    <w:rPr>
      <w:color w:val="000000"/>
      <w:szCs w:val="16"/>
      <w:lang w:val="zh-CN"/>
    </w:rPr>
  </w:style>
  <w:style w:type="paragraph" w:customStyle="1" w:styleId="904">
    <w:name w:val="表格内容 Char Char Char1 Char"/>
    <w:basedOn w:val="1"/>
    <w:link w:val="903"/>
    <w:qFormat/>
    <w:uiPriority w:val="0"/>
    <w:pPr>
      <w:tabs>
        <w:tab w:val="left" w:pos="1535"/>
        <w:tab w:val="left" w:pos="3105"/>
        <w:tab w:val="left" w:pos="4676"/>
        <w:tab w:val="left" w:pos="6247"/>
        <w:tab w:val="left" w:pos="7740"/>
        <w:tab w:val="left" w:pos="9288"/>
      </w:tabs>
      <w:adjustRightInd w:val="0"/>
      <w:spacing w:line="240" w:lineRule="exact"/>
      <w:jc w:val="center"/>
      <w:textAlignment w:val="baseline"/>
    </w:pPr>
    <w:rPr>
      <w:color w:val="000000"/>
      <w:szCs w:val="16"/>
      <w:lang w:val="zh-CN"/>
    </w:rPr>
  </w:style>
  <w:style w:type="character" w:customStyle="1" w:styleId="905">
    <w:name w:val="HTML 变量1"/>
    <w:qFormat/>
    <w:uiPriority w:val="0"/>
    <w:rPr>
      <w:i/>
      <w:iCs/>
    </w:rPr>
  </w:style>
  <w:style w:type="character" w:customStyle="1" w:styleId="906">
    <w:name w:val="样式47 Char Char"/>
    <w:link w:val="907"/>
    <w:qFormat/>
    <w:uiPriority w:val="0"/>
    <w:rPr>
      <w:rFonts w:ascii="宋体" w:hAnsi="宋体"/>
      <w:sz w:val="26"/>
      <w:szCs w:val="26"/>
    </w:rPr>
  </w:style>
  <w:style w:type="paragraph" w:customStyle="1" w:styleId="907">
    <w:name w:val="样式47"/>
    <w:basedOn w:val="1"/>
    <w:link w:val="906"/>
    <w:qFormat/>
    <w:uiPriority w:val="0"/>
    <w:pPr>
      <w:adjustRightInd w:val="0"/>
      <w:spacing w:line="480" w:lineRule="exact"/>
      <w:ind w:firstLine="520" w:firstLineChars="200"/>
      <w:jc w:val="left"/>
    </w:pPr>
    <w:rPr>
      <w:rFonts w:ascii="宋体" w:hAnsi="宋体"/>
      <w:sz w:val="26"/>
      <w:szCs w:val="26"/>
    </w:rPr>
  </w:style>
  <w:style w:type="character" w:customStyle="1" w:styleId="908">
    <w:name w:val="javascript1"/>
    <w:qFormat/>
    <w:uiPriority w:val="0"/>
    <w:rPr>
      <w:rFonts w:hint="default" w:ascii="Tahoma" w:hAnsi="Tahoma" w:cs="Tahoma"/>
      <w:spacing w:val="320"/>
      <w:sz w:val="24"/>
      <w:szCs w:val="24"/>
    </w:rPr>
  </w:style>
  <w:style w:type="character" w:customStyle="1" w:styleId="909">
    <w:name w:val="样式14 Char Char"/>
    <w:link w:val="910"/>
    <w:qFormat/>
    <w:uiPriority w:val="0"/>
    <w:rPr>
      <w:b/>
      <w:snapToGrid w:val="0"/>
      <w:sz w:val="26"/>
      <w:szCs w:val="26"/>
    </w:rPr>
  </w:style>
  <w:style w:type="paragraph" w:customStyle="1" w:styleId="910">
    <w:name w:val="样式14"/>
    <w:basedOn w:val="655"/>
    <w:link w:val="909"/>
    <w:qFormat/>
    <w:uiPriority w:val="0"/>
    <w:pPr>
      <w:keepNext w:val="0"/>
      <w:keepLines w:val="0"/>
      <w:adjustRightInd w:val="0"/>
      <w:snapToGrid w:val="0"/>
      <w:spacing w:beforeLines="0" w:line="480" w:lineRule="exact"/>
      <w:ind w:firstLine="0" w:firstLineChars="0"/>
    </w:pPr>
    <w:rPr>
      <w:rFonts w:asciiTheme="minorHAnsi" w:hAnsiTheme="minorHAnsi" w:cstheme="minorBidi"/>
      <w:b/>
      <w:bCs w:val="0"/>
      <w:snapToGrid w:val="0"/>
      <w:sz w:val="26"/>
      <w:szCs w:val="26"/>
    </w:rPr>
  </w:style>
  <w:style w:type="character" w:customStyle="1" w:styleId="911">
    <w:name w:val="样式 公正文 + 首行缩进:  2 字符4 Char Char"/>
    <w:link w:val="912"/>
    <w:qFormat/>
    <w:uiPriority w:val="0"/>
    <w:rPr>
      <w:rFonts w:ascii="宋体" w:hAnsi="宋体" w:eastAsia="仿宋_GB2312" w:cs="宋体"/>
      <w:sz w:val="28"/>
      <w:szCs w:val="24"/>
    </w:rPr>
  </w:style>
  <w:style w:type="paragraph" w:customStyle="1" w:styleId="912">
    <w:name w:val="样式 公正文 + 首行缩进:  2 字符4"/>
    <w:basedOn w:val="880"/>
    <w:link w:val="911"/>
    <w:qFormat/>
    <w:uiPriority w:val="0"/>
    <w:pPr>
      <w:ind w:firstLine="560"/>
    </w:pPr>
    <w:rPr>
      <w:rFonts w:cs="宋体"/>
    </w:rPr>
  </w:style>
  <w:style w:type="character" w:customStyle="1" w:styleId="913">
    <w:name w:val="样式20 Char Char"/>
    <w:link w:val="286"/>
    <w:qFormat/>
    <w:uiPriority w:val="0"/>
    <w:rPr>
      <w:rFonts w:ascii="宋体" w:hAnsi="宋体" w:eastAsia="宋体" w:cs="Times New Roman"/>
      <w:sz w:val="22"/>
    </w:rPr>
  </w:style>
  <w:style w:type="character" w:customStyle="1" w:styleId="914">
    <w:name w:val="样式 样式5 + 图案: 清除 (白色) Char Char"/>
    <w:link w:val="915"/>
    <w:qFormat/>
    <w:uiPriority w:val="0"/>
    <w:rPr>
      <w:rFonts w:ascii="宋体" w:hAnsi="宋体" w:cs="宋体"/>
      <w:sz w:val="26"/>
      <w:szCs w:val="26"/>
    </w:rPr>
  </w:style>
  <w:style w:type="paragraph" w:customStyle="1" w:styleId="915">
    <w:name w:val="样式 样式5 + 图案: 清除 (白色)"/>
    <w:basedOn w:val="298"/>
    <w:link w:val="914"/>
    <w:qFormat/>
    <w:uiPriority w:val="0"/>
    <w:pPr>
      <w:spacing w:beforeLines="0" w:line="480" w:lineRule="exact"/>
      <w:ind w:firstLine="560"/>
      <w:jc w:val="both"/>
      <w:outlineLvl w:val="9"/>
    </w:pPr>
    <w:rPr>
      <w:rFonts w:ascii="宋体" w:hAnsi="宋体" w:cs="宋体" w:eastAsiaTheme="minorEastAsia"/>
      <w:color w:val="auto"/>
      <w:sz w:val="26"/>
      <w:shd w:val="clear" w:color="auto" w:fill="FFFFFF"/>
    </w:rPr>
  </w:style>
  <w:style w:type="character" w:customStyle="1" w:styleId="916">
    <w:name w:val="表头样式 Char Char"/>
    <w:link w:val="917"/>
    <w:qFormat/>
    <w:uiPriority w:val="0"/>
    <w:rPr>
      <w:sz w:val="26"/>
      <w:szCs w:val="26"/>
    </w:rPr>
  </w:style>
  <w:style w:type="paragraph" w:customStyle="1" w:styleId="917">
    <w:name w:val="表头样式"/>
    <w:basedOn w:val="1"/>
    <w:next w:val="1"/>
    <w:link w:val="916"/>
    <w:qFormat/>
    <w:uiPriority w:val="0"/>
    <w:pPr>
      <w:widowControl/>
      <w:adjustRightInd w:val="0"/>
      <w:spacing w:beforeAutospacing="1" w:line="480" w:lineRule="atLeast"/>
      <w:ind w:firstLine="200" w:firstLineChars="200"/>
      <w:jc w:val="center"/>
    </w:pPr>
    <w:rPr>
      <w:sz w:val="26"/>
      <w:szCs w:val="26"/>
    </w:rPr>
  </w:style>
  <w:style w:type="character" w:customStyle="1" w:styleId="918">
    <w:name w:val="正文部分 Char Char"/>
    <w:link w:val="919"/>
    <w:qFormat/>
    <w:uiPriority w:val="0"/>
    <w:rPr>
      <w:rFonts w:ascii="宋体" w:hAnsi="宋体" w:cs="宋体"/>
      <w:bCs/>
      <w:sz w:val="28"/>
      <w:szCs w:val="32"/>
    </w:rPr>
  </w:style>
  <w:style w:type="paragraph" w:customStyle="1" w:styleId="919">
    <w:name w:val="正文部分"/>
    <w:basedOn w:val="1"/>
    <w:link w:val="918"/>
    <w:qFormat/>
    <w:uiPriority w:val="0"/>
    <w:pPr>
      <w:adjustRightInd w:val="0"/>
      <w:spacing w:line="500" w:lineRule="exact"/>
      <w:ind w:firstLine="200" w:firstLineChars="200"/>
      <w:jc w:val="left"/>
    </w:pPr>
    <w:rPr>
      <w:rFonts w:ascii="宋体" w:hAnsi="宋体" w:cs="宋体"/>
      <w:bCs/>
      <w:sz w:val="28"/>
      <w:szCs w:val="32"/>
    </w:rPr>
  </w:style>
  <w:style w:type="character" w:customStyle="1" w:styleId="920">
    <w:name w:val="表格内容 Char Char Char Char Char"/>
    <w:link w:val="921"/>
    <w:qFormat/>
    <w:uiPriority w:val="0"/>
    <w:rPr>
      <w:color w:val="000000"/>
      <w:szCs w:val="16"/>
      <w:lang w:val="zh-CN"/>
    </w:rPr>
  </w:style>
  <w:style w:type="paragraph" w:customStyle="1" w:styleId="921">
    <w:name w:val="表格内容 Char Char Char"/>
    <w:basedOn w:val="1"/>
    <w:link w:val="920"/>
    <w:qFormat/>
    <w:uiPriority w:val="0"/>
    <w:pPr>
      <w:tabs>
        <w:tab w:val="left" w:pos="1535"/>
        <w:tab w:val="left" w:pos="3105"/>
        <w:tab w:val="left" w:pos="4676"/>
        <w:tab w:val="left" w:pos="6247"/>
        <w:tab w:val="left" w:pos="7740"/>
        <w:tab w:val="left" w:pos="9288"/>
      </w:tabs>
      <w:adjustRightInd w:val="0"/>
      <w:jc w:val="center"/>
      <w:textAlignment w:val="baseline"/>
    </w:pPr>
    <w:rPr>
      <w:color w:val="000000"/>
      <w:szCs w:val="16"/>
      <w:lang w:val="zh-CN"/>
    </w:rPr>
  </w:style>
  <w:style w:type="character" w:customStyle="1" w:styleId="922">
    <w:name w:val="样式5 Char Char Char"/>
    <w:qFormat/>
    <w:uiPriority w:val="0"/>
    <w:rPr>
      <w:rFonts w:ascii="宋体" w:hAnsi="宋体" w:eastAsia="宋体" w:cs="宋体"/>
      <w:sz w:val="26"/>
      <w:szCs w:val="26"/>
      <w:lang w:val="en-US" w:eastAsia="zh-CN"/>
    </w:rPr>
  </w:style>
  <w:style w:type="character" w:customStyle="1" w:styleId="923">
    <w:name w:val="HTML 代码1"/>
    <w:qFormat/>
    <w:uiPriority w:val="0"/>
    <w:rPr>
      <w:rFonts w:ascii="Courier New" w:hAnsi="Courier New" w:cs="Courier New"/>
      <w:sz w:val="20"/>
      <w:szCs w:val="20"/>
    </w:rPr>
  </w:style>
  <w:style w:type="character" w:customStyle="1" w:styleId="924">
    <w:name w:val="样式1 Char Char"/>
    <w:qFormat/>
    <w:uiPriority w:val="0"/>
    <w:rPr>
      <w:rFonts w:eastAsia="宋体"/>
      <w:sz w:val="26"/>
      <w:szCs w:val="26"/>
    </w:rPr>
  </w:style>
  <w:style w:type="character" w:customStyle="1" w:styleId="925">
    <w:name w:val="样式43 Char Char"/>
    <w:link w:val="926"/>
    <w:qFormat/>
    <w:uiPriority w:val="0"/>
    <w:rPr>
      <w:rFonts w:ascii="宋体" w:hAnsi="宋体"/>
      <w:sz w:val="26"/>
      <w:szCs w:val="26"/>
    </w:rPr>
  </w:style>
  <w:style w:type="paragraph" w:customStyle="1" w:styleId="926">
    <w:name w:val="样式43"/>
    <w:link w:val="925"/>
    <w:qFormat/>
    <w:uiPriority w:val="0"/>
    <w:pPr>
      <w:spacing w:line="480" w:lineRule="exact"/>
      <w:ind w:firstLine="520" w:firstLineChars="200"/>
      <w:jc w:val="both"/>
    </w:pPr>
    <w:rPr>
      <w:rFonts w:ascii="Times New Roman" w:hAnsi="Times New Roman" w:eastAsiaTheme="minorEastAsia" w:cstheme="minorBidi"/>
      <w:kern w:val="2"/>
      <w:sz w:val="26"/>
      <w:szCs w:val="26"/>
      <w:lang w:val="en-US" w:eastAsia="zh-CN" w:bidi="ar-SA"/>
    </w:rPr>
  </w:style>
  <w:style w:type="paragraph" w:customStyle="1" w:styleId="927">
    <w:name w:val="样式39"/>
    <w:basedOn w:val="1"/>
    <w:qFormat/>
    <w:uiPriority w:val="0"/>
    <w:pPr>
      <w:adjustRightInd w:val="0"/>
      <w:spacing w:beforeLines="20" w:afterLines="20"/>
      <w:jc w:val="center"/>
    </w:pPr>
    <w:rPr>
      <w:rFonts w:ascii="宋体" w:hAnsi="宋体" w:eastAsia="楷体_GB2312" w:cs="Times New Roman"/>
      <w:snapToGrid w:val="0"/>
      <w:kern w:val="24"/>
    </w:rPr>
  </w:style>
  <w:style w:type="character" w:customStyle="1" w:styleId="928">
    <w:name w:val="!正文(alt+c) Char4"/>
    <w:link w:val="929"/>
    <w:qFormat/>
    <w:uiPriority w:val="0"/>
    <w:rPr>
      <w:sz w:val="24"/>
      <w:szCs w:val="24"/>
    </w:rPr>
  </w:style>
  <w:style w:type="paragraph" w:customStyle="1" w:styleId="929">
    <w:name w:val="!正文(alt+c)"/>
    <w:link w:val="928"/>
    <w:qFormat/>
    <w:uiPriority w:val="0"/>
    <w:pPr>
      <w:spacing w:line="420" w:lineRule="exact"/>
      <w:ind w:firstLine="480" w:firstLineChars="200"/>
    </w:pPr>
    <w:rPr>
      <w:rFonts w:asciiTheme="minorHAnsi" w:hAnsiTheme="minorHAnsi" w:eastAsiaTheme="minorEastAsia" w:cstheme="minorBidi"/>
      <w:kern w:val="2"/>
      <w:sz w:val="24"/>
      <w:szCs w:val="24"/>
      <w:lang w:val="en-US" w:eastAsia="zh-CN" w:bidi="ar-SA"/>
    </w:rPr>
  </w:style>
  <w:style w:type="character" w:customStyle="1" w:styleId="930">
    <w:name w:val="样式 左 Char Char"/>
    <w:link w:val="931"/>
    <w:qFormat/>
    <w:uiPriority w:val="0"/>
    <w:rPr>
      <w:rFonts w:cs="宋体"/>
    </w:rPr>
  </w:style>
  <w:style w:type="paragraph" w:customStyle="1" w:styleId="931">
    <w:name w:val="样式 左"/>
    <w:basedOn w:val="1"/>
    <w:link w:val="930"/>
    <w:qFormat/>
    <w:uiPriority w:val="0"/>
    <w:pPr>
      <w:adjustRightInd w:val="0"/>
      <w:ind w:firstLine="420" w:firstLineChars="200"/>
      <w:jc w:val="left"/>
    </w:pPr>
    <w:rPr>
      <w:rFonts w:cs="宋体"/>
    </w:rPr>
  </w:style>
  <w:style w:type="character" w:customStyle="1" w:styleId="932">
    <w:name w:val="要点1"/>
    <w:qFormat/>
    <w:uiPriority w:val="0"/>
    <w:rPr>
      <w:rFonts w:ascii="宋体" w:hAnsi="宋体" w:eastAsia="宋体"/>
      <w:b/>
    </w:rPr>
  </w:style>
  <w:style w:type="character" w:customStyle="1" w:styleId="933">
    <w:name w:val="样式19 Char Char"/>
    <w:link w:val="350"/>
    <w:qFormat/>
    <w:uiPriority w:val="0"/>
    <w:rPr>
      <w:rFonts w:ascii="宋体" w:hAnsi="宋体" w:eastAsia="宋体" w:cs="宋体"/>
      <w:kern w:val="0"/>
      <w:sz w:val="24"/>
      <w:szCs w:val="26"/>
    </w:rPr>
  </w:style>
  <w:style w:type="character" w:customStyle="1" w:styleId="934">
    <w:name w:val="表文字 Char Char"/>
    <w:qFormat/>
    <w:uiPriority w:val="0"/>
    <w:rPr>
      <w:rFonts w:eastAsia="汉鼎简书宋"/>
      <w:kern w:val="2"/>
      <w:sz w:val="21"/>
      <w:lang w:val="en-US" w:eastAsia="zh-CN"/>
    </w:rPr>
  </w:style>
  <w:style w:type="character" w:customStyle="1" w:styleId="935">
    <w:name w:val="HTML 定义1"/>
    <w:qFormat/>
    <w:uiPriority w:val="0"/>
    <w:rPr>
      <w:i/>
      <w:iCs/>
    </w:rPr>
  </w:style>
  <w:style w:type="character" w:customStyle="1" w:styleId="936">
    <w:name w:val="正文 Char Char"/>
    <w:qFormat/>
    <w:uiPriority w:val="0"/>
    <w:rPr>
      <w:rFonts w:ascii="宋体" w:eastAsia="宋体"/>
      <w:sz w:val="24"/>
    </w:rPr>
  </w:style>
  <w:style w:type="character" w:customStyle="1" w:styleId="937">
    <w:name w:val="表格标题 Char Char"/>
    <w:qFormat/>
    <w:uiPriority w:val="0"/>
    <w:rPr>
      <w:rFonts w:eastAsia="宋体"/>
      <w:b/>
      <w:snapToGrid w:val="0"/>
      <w:sz w:val="24"/>
      <w:szCs w:val="24"/>
    </w:rPr>
  </w:style>
  <w:style w:type="paragraph" w:customStyle="1" w:styleId="938">
    <w:name w:val="WPS Plain"/>
    <w:qFormat/>
    <w:uiPriority w:val="0"/>
    <w:rPr>
      <w:rFonts w:ascii="Times New Roman" w:hAnsi="Times New Roman" w:eastAsia="宋体" w:cs="Times New Roman"/>
      <w:lang w:val="en-US" w:eastAsia="zh-CN" w:bidi="ar-SA"/>
    </w:rPr>
  </w:style>
  <w:style w:type="paragraph" w:customStyle="1" w:styleId="939">
    <w:name w:val="样式38"/>
    <w:basedOn w:val="1"/>
    <w:qFormat/>
    <w:uiPriority w:val="0"/>
    <w:pPr>
      <w:adjustRightInd w:val="0"/>
      <w:spacing w:line="480" w:lineRule="exact"/>
      <w:ind w:firstLine="520" w:firstLineChars="200"/>
      <w:jc w:val="center"/>
    </w:pPr>
    <w:rPr>
      <w:rFonts w:ascii="新宋体" w:hAnsi="新宋体" w:eastAsia="新宋体" w:cs="Times New Roman"/>
      <w:sz w:val="24"/>
      <w:szCs w:val="26"/>
    </w:rPr>
  </w:style>
  <w:style w:type="paragraph" w:customStyle="1" w:styleId="940">
    <w:name w:val="结束语1"/>
    <w:basedOn w:val="1"/>
    <w:qFormat/>
    <w:uiPriority w:val="0"/>
    <w:pPr>
      <w:adjustRightInd w:val="0"/>
      <w:spacing w:beforeLines="10" w:line="480" w:lineRule="atLeast"/>
      <w:ind w:left="100" w:leftChars="2100" w:firstLine="200" w:firstLineChars="200"/>
      <w:jc w:val="left"/>
    </w:pPr>
    <w:rPr>
      <w:rFonts w:ascii="Calibri" w:hAnsi="Calibri" w:cs="Times New Roman"/>
      <w:snapToGrid w:val="0"/>
      <w:kern w:val="0"/>
      <w:sz w:val="24"/>
      <w:szCs w:val="24"/>
    </w:rPr>
  </w:style>
  <w:style w:type="paragraph" w:customStyle="1" w:styleId="941">
    <w:name w:val="列表接续 21"/>
    <w:basedOn w:val="1"/>
    <w:qFormat/>
    <w:uiPriority w:val="0"/>
    <w:pPr>
      <w:adjustRightInd w:val="0"/>
      <w:spacing w:beforeLines="10" w:after="120" w:line="480" w:lineRule="atLeast"/>
      <w:ind w:left="840" w:leftChars="400" w:firstLine="200" w:firstLineChars="200"/>
      <w:jc w:val="left"/>
    </w:pPr>
    <w:rPr>
      <w:rFonts w:ascii="Times New Roman" w:hAnsi="Times New Roman" w:cs="Times New Roman"/>
      <w:snapToGrid w:val="0"/>
      <w:kern w:val="0"/>
      <w:sz w:val="24"/>
    </w:rPr>
  </w:style>
  <w:style w:type="paragraph" w:customStyle="1" w:styleId="942">
    <w:name w:val="文档结构图1"/>
    <w:basedOn w:val="1"/>
    <w:qFormat/>
    <w:uiPriority w:val="0"/>
    <w:pPr>
      <w:shd w:val="clear" w:color="auto" w:fill="000080"/>
      <w:adjustRightInd w:val="0"/>
      <w:spacing w:line="480" w:lineRule="exact"/>
      <w:ind w:firstLine="200" w:firstLineChars="200"/>
      <w:jc w:val="left"/>
    </w:pPr>
    <w:rPr>
      <w:rFonts w:ascii="Times New Roman" w:hAnsi="Times New Roman" w:cs="Times New Roman"/>
      <w:sz w:val="24"/>
      <w:szCs w:val="24"/>
    </w:rPr>
  </w:style>
  <w:style w:type="paragraph" w:customStyle="1" w:styleId="943">
    <w:name w:val="HTML 地址1"/>
    <w:basedOn w:val="1"/>
    <w:qFormat/>
    <w:uiPriority w:val="0"/>
    <w:pPr>
      <w:adjustRightInd w:val="0"/>
      <w:spacing w:beforeLines="10" w:line="480" w:lineRule="atLeast"/>
      <w:ind w:firstLine="200" w:firstLineChars="200"/>
      <w:jc w:val="left"/>
    </w:pPr>
    <w:rPr>
      <w:rFonts w:ascii="Calibri" w:hAnsi="Calibri" w:cs="Times New Roman"/>
      <w:i/>
      <w:iCs/>
      <w:snapToGrid w:val="0"/>
      <w:kern w:val="0"/>
      <w:sz w:val="24"/>
      <w:szCs w:val="24"/>
    </w:rPr>
  </w:style>
  <w:style w:type="paragraph" w:customStyle="1" w:styleId="944">
    <w:name w:val="正文文本缩进 31"/>
    <w:basedOn w:val="1"/>
    <w:qFormat/>
    <w:uiPriority w:val="0"/>
    <w:pPr>
      <w:adjustRightInd w:val="0"/>
      <w:spacing w:beforeLines="10" w:line="480" w:lineRule="atLeast"/>
      <w:ind w:firstLine="520" w:firstLineChars="200"/>
      <w:jc w:val="left"/>
    </w:pPr>
    <w:rPr>
      <w:rFonts w:ascii="Calibri" w:hAnsi="Calibri" w:cs="Times New Roman"/>
      <w:snapToGrid w:val="0"/>
      <w:kern w:val="0"/>
      <w:sz w:val="24"/>
      <w:szCs w:val="24"/>
    </w:rPr>
  </w:style>
  <w:style w:type="paragraph" w:customStyle="1" w:styleId="945">
    <w:name w:val="正文文本缩进 21"/>
    <w:basedOn w:val="1"/>
    <w:qFormat/>
    <w:uiPriority w:val="0"/>
    <w:pPr>
      <w:adjustRightInd w:val="0"/>
      <w:spacing w:beforeLines="10" w:line="480" w:lineRule="atLeast"/>
      <w:ind w:firstLine="520" w:firstLineChars="200"/>
      <w:jc w:val="left"/>
    </w:pPr>
    <w:rPr>
      <w:rFonts w:ascii="Calibri" w:hAnsi="Calibri" w:cs="Times New Roman"/>
      <w:snapToGrid w:val="0"/>
      <w:color w:val="000000"/>
      <w:kern w:val="0"/>
      <w:sz w:val="24"/>
      <w:szCs w:val="24"/>
    </w:rPr>
  </w:style>
  <w:style w:type="paragraph" w:customStyle="1" w:styleId="946">
    <w:name w:val="样式30"/>
    <w:basedOn w:val="850"/>
    <w:qFormat/>
    <w:uiPriority w:val="0"/>
    <w:pPr>
      <w:spacing w:after="0" w:line="240" w:lineRule="exact"/>
      <w:ind w:firstLine="0" w:firstLineChars="0"/>
    </w:pPr>
    <w:rPr>
      <w:szCs w:val="26"/>
    </w:rPr>
  </w:style>
  <w:style w:type="paragraph" w:customStyle="1" w:styleId="947">
    <w:name w:val="寄信人地址1"/>
    <w:basedOn w:val="1"/>
    <w:qFormat/>
    <w:uiPriority w:val="0"/>
    <w:pPr>
      <w:adjustRightInd w:val="0"/>
      <w:spacing w:beforeLines="10" w:line="480" w:lineRule="atLeast"/>
      <w:ind w:firstLine="200" w:firstLineChars="200"/>
      <w:jc w:val="left"/>
    </w:pPr>
    <w:rPr>
      <w:rFonts w:ascii="Arial" w:hAnsi="Arial" w:cs="Arial"/>
      <w:snapToGrid w:val="0"/>
      <w:kern w:val="0"/>
      <w:sz w:val="24"/>
    </w:rPr>
  </w:style>
  <w:style w:type="paragraph" w:customStyle="1" w:styleId="948">
    <w:name w:val="正文首行缩进 21"/>
    <w:basedOn w:val="838"/>
    <w:qFormat/>
    <w:uiPriority w:val="0"/>
    <w:pPr>
      <w:widowControl w:val="0"/>
      <w:adjustRightInd w:val="0"/>
      <w:snapToGrid w:val="0"/>
      <w:spacing w:beforeLines="10" w:line="460" w:lineRule="exact"/>
      <w:ind w:firstLine="420"/>
    </w:pPr>
    <w:rPr>
      <w:snapToGrid w:val="0"/>
    </w:rPr>
  </w:style>
  <w:style w:type="paragraph" w:customStyle="1" w:styleId="949">
    <w:name w:val="称呼1"/>
    <w:basedOn w:val="1"/>
    <w:next w:val="1"/>
    <w:qFormat/>
    <w:uiPriority w:val="0"/>
    <w:pPr>
      <w:adjustRightInd w:val="0"/>
      <w:spacing w:beforeLines="10" w:line="480" w:lineRule="atLeast"/>
      <w:ind w:firstLine="200" w:firstLineChars="200"/>
      <w:jc w:val="left"/>
    </w:pPr>
    <w:rPr>
      <w:rFonts w:ascii="Calibri" w:hAnsi="Calibri" w:cs="Times New Roman"/>
      <w:snapToGrid w:val="0"/>
      <w:kern w:val="0"/>
      <w:sz w:val="24"/>
      <w:szCs w:val="24"/>
    </w:rPr>
  </w:style>
  <w:style w:type="paragraph" w:customStyle="1" w:styleId="950">
    <w:name w:val="收信人地址1"/>
    <w:basedOn w:val="1"/>
    <w:qFormat/>
    <w:uiPriority w:val="0"/>
    <w:pPr>
      <w:adjustRightInd w:val="0"/>
      <w:spacing w:beforeLines="10" w:line="480" w:lineRule="atLeast"/>
      <w:ind w:left="100" w:leftChars="1400" w:firstLine="200" w:firstLineChars="200"/>
      <w:jc w:val="left"/>
    </w:pPr>
    <w:rPr>
      <w:rFonts w:ascii="Arial" w:hAnsi="Arial" w:cs="Arial"/>
      <w:snapToGrid w:val="0"/>
      <w:kern w:val="0"/>
      <w:sz w:val="24"/>
    </w:rPr>
  </w:style>
  <w:style w:type="paragraph" w:customStyle="1" w:styleId="951">
    <w:name w:val="列表接续 31"/>
    <w:basedOn w:val="1"/>
    <w:qFormat/>
    <w:uiPriority w:val="0"/>
    <w:pPr>
      <w:adjustRightInd w:val="0"/>
      <w:spacing w:beforeLines="10" w:after="120" w:line="480" w:lineRule="atLeast"/>
      <w:ind w:left="1260" w:leftChars="600" w:firstLine="200" w:firstLineChars="200"/>
      <w:jc w:val="left"/>
    </w:pPr>
    <w:rPr>
      <w:rFonts w:ascii="Times New Roman" w:hAnsi="Times New Roman" w:cs="Times New Roman"/>
      <w:snapToGrid w:val="0"/>
      <w:kern w:val="0"/>
      <w:sz w:val="24"/>
    </w:rPr>
  </w:style>
  <w:style w:type="paragraph" w:customStyle="1" w:styleId="952">
    <w:name w:val="列表编号 31"/>
    <w:basedOn w:val="1"/>
    <w:qFormat/>
    <w:uiPriority w:val="0"/>
    <w:pPr>
      <w:tabs>
        <w:tab w:val="left" w:pos="1200"/>
      </w:tabs>
      <w:adjustRightInd w:val="0"/>
      <w:spacing w:beforeLines="10" w:line="480" w:lineRule="atLeast"/>
      <w:ind w:left="1200" w:hanging="360" w:firstLineChars="200"/>
      <w:jc w:val="left"/>
    </w:pPr>
    <w:rPr>
      <w:rFonts w:ascii="Times New Roman" w:hAnsi="Times New Roman" w:cs="Times New Roman"/>
      <w:snapToGrid w:val="0"/>
      <w:kern w:val="0"/>
      <w:sz w:val="24"/>
    </w:rPr>
  </w:style>
  <w:style w:type="paragraph" w:customStyle="1" w:styleId="953">
    <w:name w:val="日期1"/>
    <w:basedOn w:val="1"/>
    <w:next w:val="1"/>
    <w:qFormat/>
    <w:uiPriority w:val="0"/>
    <w:pPr>
      <w:adjustRightInd w:val="0"/>
      <w:spacing w:beforeLines="10" w:line="480" w:lineRule="atLeast"/>
      <w:ind w:left="100" w:leftChars="2500" w:firstLine="200" w:firstLineChars="200"/>
      <w:jc w:val="left"/>
    </w:pPr>
    <w:rPr>
      <w:rFonts w:ascii="Calibri" w:hAnsi="Calibri" w:cs="Times New Roman"/>
      <w:snapToGrid w:val="0"/>
      <w:kern w:val="0"/>
      <w:sz w:val="24"/>
      <w:szCs w:val="26"/>
    </w:rPr>
  </w:style>
  <w:style w:type="paragraph" w:customStyle="1" w:styleId="954">
    <w:name w:val="默认段落"/>
    <w:basedOn w:val="1"/>
    <w:qFormat/>
    <w:uiPriority w:val="0"/>
    <w:pPr>
      <w:adjustRightInd w:val="0"/>
      <w:ind w:firstLine="480"/>
      <w:jc w:val="left"/>
    </w:pPr>
    <w:rPr>
      <w:rFonts w:ascii="Times New Roman" w:hAnsi="Times New Roman" w:cs="黑体"/>
      <w:szCs w:val="20"/>
    </w:rPr>
  </w:style>
  <w:style w:type="paragraph" w:customStyle="1" w:styleId="955">
    <w:name w:val="样式 样式 样式 公表文 + 段前: 0.2 行 段后: 0.2 行 + 左侧:  -0.2 字符 右侧:  -0.2 字符 段..."/>
    <w:basedOn w:val="1"/>
    <w:qFormat/>
    <w:uiPriority w:val="0"/>
    <w:pPr>
      <w:adjustRightInd w:val="0"/>
      <w:spacing w:beforeLines="20" w:afterLines="20"/>
      <w:ind w:left="-56" w:leftChars="-20" w:right="-56" w:rightChars="-20"/>
      <w:jc w:val="center"/>
    </w:pPr>
    <w:rPr>
      <w:rFonts w:ascii="宋体" w:hAnsi="宋体" w:eastAsia="楷体_GB2312" w:cs="宋体"/>
      <w:szCs w:val="20"/>
    </w:rPr>
  </w:style>
  <w:style w:type="paragraph" w:customStyle="1" w:styleId="956">
    <w:name w:val="正文文本 21"/>
    <w:basedOn w:val="1"/>
    <w:qFormat/>
    <w:uiPriority w:val="0"/>
    <w:pPr>
      <w:adjustRightInd w:val="0"/>
      <w:spacing w:beforeLines="10" w:line="480" w:lineRule="atLeast"/>
      <w:ind w:firstLine="480" w:firstLineChars="200"/>
      <w:jc w:val="left"/>
    </w:pPr>
    <w:rPr>
      <w:rFonts w:ascii="Calibri" w:hAnsi="Calibri" w:cs="Times New Roman"/>
      <w:snapToGrid w:val="0"/>
      <w:kern w:val="0"/>
      <w:sz w:val="24"/>
      <w:szCs w:val="24"/>
    </w:rPr>
  </w:style>
  <w:style w:type="paragraph" w:customStyle="1" w:styleId="957">
    <w:name w:val="签名1"/>
    <w:basedOn w:val="1"/>
    <w:qFormat/>
    <w:uiPriority w:val="0"/>
    <w:pPr>
      <w:adjustRightInd w:val="0"/>
      <w:spacing w:beforeLines="10" w:line="480" w:lineRule="atLeast"/>
      <w:ind w:left="100" w:leftChars="2100" w:firstLine="200" w:firstLineChars="200"/>
      <w:jc w:val="left"/>
    </w:pPr>
    <w:rPr>
      <w:rFonts w:ascii="Calibri" w:hAnsi="Calibri" w:cs="Times New Roman"/>
      <w:snapToGrid w:val="0"/>
      <w:kern w:val="0"/>
      <w:sz w:val="24"/>
      <w:szCs w:val="24"/>
    </w:rPr>
  </w:style>
  <w:style w:type="paragraph" w:customStyle="1" w:styleId="958">
    <w:name w:val="样式34"/>
    <w:basedOn w:val="531"/>
    <w:qFormat/>
    <w:uiPriority w:val="0"/>
    <w:pPr>
      <w:widowControl w:val="0"/>
      <w:adjustRightInd w:val="0"/>
      <w:snapToGrid w:val="0"/>
      <w:spacing w:line="480" w:lineRule="exact"/>
      <w:ind w:firstLine="0" w:firstLineChars="0"/>
      <w:outlineLvl w:val="1"/>
    </w:pPr>
    <w:rPr>
      <w:rFonts w:ascii="Times New Roman"/>
      <w:b/>
      <w:sz w:val="28"/>
      <w:szCs w:val="28"/>
    </w:rPr>
  </w:style>
  <w:style w:type="paragraph" w:customStyle="1" w:styleId="959">
    <w:name w:val="表文居中"/>
    <w:basedOn w:val="1"/>
    <w:qFormat/>
    <w:uiPriority w:val="0"/>
    <w:pPr>
      <w:autoSpaceDE w:val="0"/>
      <w:autoSpaceDN w:val="0"/>
      <w:adjustRightInd w:val="0"/>
      <w:jc w:val="center"/>
      <w:textAlignment w:val="baseline"/>
    </w:pPr>
    <w:rPr>
      <w:rFonts w:ascii="Times New Roman" w:hAnsi="Times New Roman" w:cs="Times New Roman"/>
      <w:kern w:val="0"/>
      <w:szCs w:val="20"/>
    </w:rPr>
  </w:style>
  <w:style w:type="paragraph" w:customStyle="1" w:styleId="960">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character" w:customStyle="1" w:styleId="961">
    <w:name w:val="批注文字 Char1"/>
    <w:qFormat/>
    <w:uiPriority w:val="0"/>
    <w:rPr>
      <w:rFonts w:ascii="Times New Roman" w:hAnsi="Times New Roman" w:eastAsia="宋体" w:cs="Times New Roman"/>
      <w:sz w:val="26"/>
    </w:rPr>
  </w:style>
  <w:style w:type="paragraph" w:customStyle="1" w:styleId="962">
    <w:name w:val="电子邮件签名1"/>
    <w:basedOn w:val="1"/>
    <w:qFormat/>
    <w:uiPriority w:val="0"/>
    <w:pPr>
      <w:adjustRightInd w:val="0"/>
      <w:spacing w:beforeLines="10" w:line="480" w:lineRule="atLeast"/>
      <w:ind w:firstLine="200" w:firstLineChars="200"/>
      <w:jc w:val="left"/>
    </w:pPr>
    <w:rPr>
      <w:rFonts w:ascii="Calibri" w:hAnsi="Calibri" w:cs="Times New Roman"/>
      <w:snapToGrid w:val="0"/>
      <w:kern w:val="0"/>
      <w:sz w:val="24"/>
      <w:szCs w:val="24"/>
    </w:rPr>
  </w:style>
  <w:style w:type="paragraph" w:customStyle="1" w:styleId="963">
    <w:name w:val="样式 (西文) 宋体 (中文) 仿宋_GB2312 四号 黑色 行距: 多倍行距 1.48 字行"/>
    <w:basedOn w:val="1"/>
    <w:qFormat/>
    <w:uiPriority w:val="0"/>
    <w:pPr>
      <w:adjustRightInd w:val="0"/>
      <w:spacing w:line="355" w:lineRule="auto"/>
      <w:ind w:firstLine="560" w:firstLineChars="200"/>
      <w:jc w:val="left"/>
    </w:pPr>
    <w:rPr>
      <w:rFonts w:ascii="宋体" w:hAnsi="宋体" w:eastAsia="仿宋_GB2312" w:cs="宋体"/>
      <w:color w:val="000000"/>
      <w:sz w:val="28"/>
      <w:szCs w:val="20"/>
    </w:rPr>
  </w:style>
  <w:style w:type="paragraph" w:customStyle="1" w:styleId="964">
    <w:name w:val="列表编号 51"/>
    <w:basedOn w:val="1"/>
    <w:qFormat/>
    <w:uiPriority w:val="0"/>
    <w:pPr>
      <w:tabs>
        <w:tab w:val="left" w:pos="2040"/>
      </w:tabs>
      <w:adjustRightInd w:val="0"/>
      <w:spacing w:beforeLines="10" w:line="480" w:lineRule="atLeast"/>
      <w:ind w:left="2040" w:hanging="360" w:firstLineChars="200"/>
      <w:jc w:val="left"/>
    </w:pPr>
    <w:rPr>
      <w:rFonts w:ascii="Times New Roman" w:hAnsi="Times New Roman" w:cs="Times New Roman"/>
      <w:snapToGrid w:val="0"/>
      <w:kern w:val="0"/>
      <w:sz w:val="24"/>
    </w:rPr>
  </w:style>
  <w:style w:type="paragraph" w:customStyle="1" w:styleId="965">
    <w:name w:val="批注主题1"/>
    <w:basedOn w:val="28"/>
    <w:next w:val="28"/>
    <w:qFormat/>
    <w:uiPriority w:val="99"/>
    <w:pPr>
      <w:spacing w:beforeLines="10" w:line="480" w:lineRule="atLeast"/>
    </w:pPr>
    <w:rPr>
      <w:rFonts w:ascii="Calibri" w:hAnsi="Calibri" w:eastAsiaTheme="minorEastAsia"/>
      <w:b/>
      <w:bCs/>
      <w:snapToGrid w:val="0"/>
      <w:kern w:val="0"/>
      <w:szCs w:val="24"/>
    </w:rPr>
  </w:style>
  <w:style w:type="paragraph" w:customStyle="1" w:styleId="966">
    <w:name w:val="HTML 预设格式1"/>
    <w:basedOn w:val="1"/>
    <w:qFormat/>
    <w:uiPriority w:val="0"/>
    <w:pPr>
      <w:adjustRightInd w:val="0"/>
      <w:spacing w:beforeLines="10" w:line="480" w:lineRule="atLeast"/>
      <w:ind w:firstLine="200" w:firstLineChars="200"/>
      <w:jc w:val="left"/>
    </w:pPr>
    <w:rPr>
      <w:rFonts w:ascii="Courier New" w:hAnsi="Courier New" w:cs="Times New Roman"/>
      <w:snapToGrid w:val="0"/>
      <w:kern w:val="0"/>
      <w:sz w:val="20"/>
      <w:szCs w:val="20"/>
    </w:rPr>
  </w:style>
  <w:style w:type="character" w:customStyle="1" w:styleId="967">
    <w:name w:val="批注框文本 Char1"/>
    <w:semiHidden/>
    <w:qFormat/>
    <w:uiPriority w:val="0"/>
    <w:rPr>
      <w:rFonts w:ascii="Times New Roman" w:hAnsi="Times New Roman" w:eastAsia="宋体" w:cs="Times New Roman"/>
      <w:sz w:val="18"/>
      <w:szCs w:val="18"/>
    </w:rPr>
  </w:style>
  <w:style w:type="paragraph" w:customStyle="1" w:styleId="968">
    <w:name w:val="正文文本 31"/>
    <w:basedOn w:val="1"/>
    <w:qFormat/>
    <w:uiPriority w:val="0"/>
    <w:pPr>
      <w:adjustRightInd w:val="0"/>
      <w:spacing w:beforeLines="10" w:after="120" w:line="480" w:lineRule="atLeast"/>
      <w:ind w:firstLine="200" w:firstLineChars="200"/>
      <w:jc w:val="left"/>
    </w:pPr>
    <w:rPr>
      <w:rFonts w:ascii="Calibri" w:hAnsi="Calibri" w:cs="Times New Roman"/>
      <w:snapToGrid w:val="0"/>
      <w:kern w:val="0"/>
      <w:sz w:val="16"/>
      <w:szCs w:val="16"/>
    </w:rPr>
  </w:style>
  <w:style w:type="paragraph" w:customStyle="1" w:styleId="969">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spacing w:beforeLines="10" w:line="480" w:lineRule="atLeast"/>
      <w:ind w:left="1080" w:leftChars="500" w:hanging="1080" w:hangingChars="500"/>
      <w:jc w:val="left"/>
    </w:pPr>
    <w:rPr>
      <w:rFonts w:ascii="Arial" w:hAnsi="Arial" w:cs="Times New Roman"/>
      <w:snapToGrid w:val="0"/>
      <w:kern w:val="0"/>
      <w:sz w:val="24"/>
      <w:szCs w:val="24"/>
    </w:rPr>
  </w:style>
  <w:style w:type="paragraph" w:customStyle="1" w:styleId="970">
    <w:name w:val="表尾"/>
    <w:basedOn w:val="1"/>
    <w:link w:val="3218"/>
    <w:qFormat/>
    <w:uiPriority w:val="0"/>
    <w:pPr>
      <w:tabs>
        <w:tab w:val="left" w:pos="1021"/>
      </w:tabs>
      <w:adjustRightInd w:val="0"/>
      <w:spacing w:line="160" w:lineRule="exact"/>
      <w:jc w:val="left"/>
    </w:pPr>
    <w:rPr>
      <w:rFonts w:ascii="Times New Roman" w:hAnsi="Times New Roman" w:cs="Times New Roman"/>
      <w:sz w:val="10"/>
      <w:szCs w:val="20"/>
    </w:rPr>
  </w:style>
  <w:style w:type="paragraph" w:customStyle="1" w:styleId="971">
    <w:name w:val="样式 样式 样式24 + 左侧:  -0.25 字符 右侧:  -0.25 字符 段前: 0.2 行 段后: 0.2 行 + 段...1"/>
    <w:basedOn w:val="1"/>
    <w:qFormat/>
    <w:uiPriority w:val="0"/>
    <w:pPr>
      <w:adjustRightInd w:val="0"/>
      <w:spacing w:line="0" w:lineRule="atLeast"/>
      <w:jc w:val="center"/>
    </w:pPr>
    <w:rPr>
      <w:rFonts w:ascii="楷体_GB2312" w:hAnsi="宋体" w:eastAsia="楷体_GB2312" w:cs="宋体"/>
      <w:kern w:val="0"/>
      <w:szCs w:val="20"/>
    </w:rPr>
  </w:style>
  <w:style w:type="paragraph" w:customStyle="1" w:styleId="972">
    <w:name w:val="样式1.1.1"/>
    <w:basedOn w:val="1"/>
    <w:qFormat/>
    <w:uiPriority w:val="0"/>
    <w:pPr>
      <w:adjustRightInd w:val="0"/>
      <w:spacing w:line="360" w:lineRule="auto"/>
      <w:jc w:val="left"/>
    </w:pPr>
    <w:rPr>
      <w:rFonts w:ascii="Times New Roman" w:hAnsi="宋体" w:cs="Times New Roman"/>
      <w:b/>
      <w:sz w:val="28"/>
      <w:szCs w:val="20"/>
    </w:rPr>
  </w:style>
  <w:style w:type="paragraph" w:customStyle="1" w:styleId="973">
    <w:name w:val="Char Char Char Char Char Char1 Char Char Char1 Char Char Char Char Char Char Char Char Char"/>
    <w:basedOn w:val="1"/>
    <w:qFormat/>
    <w:uiPriority w:val="0"/>
    <w:pPr>
      <w:adjustRightInd w:val="0"/>
      <w:spacing w:line="360" w:lineRule="auto"/>
      <w:ind w:firstLine="200" w:firstLineChars="200"/>
      <w:jc w:val="left"/>
    </w:pPr>
    <w:rPr>
      <w:rFonts w:ascii="宋体" w:hAnsi="宋体" w:cs="宋体"/>
      <w:sz w:val="24"/>
    </w:rPr>
  </w:style>
  <w:style w:type="paragraph" w:customStyle="1" w:styleId="974">
    <w:name w:val="样式9表格"/>
    <w:next w:val="1"/>
    <w:qFormat/>
    <w:uiPriority w:val="0"/>
    <w:pPr>
      <w:spacing w:before="120" w:line="300" w:lineRule="auto"/>
      <w:jc w:val="center"/>
    </w:pPr>
    <w:rPr>
      <w:rFonts w:ascii="Times New Roman" w:hAnsi="Times New Roman" w:eastAsia="宋体" w:cs="Times New Roman"/>
      <w:lang w:val="en-US" w:eastAsia="zh-CN" w:bidi="ar-SA"/>
    </w:rPr>
  </w:style>
  <w:style w:type="paragraph" w:customStyle="1" w:styleId="975">
    <w:name w:val="表号"/>
    <w:qFormat/>
    <w:uiPriority w:val="0"/>
    <w:pPr>
      <w:adjustRightInd w:val="0"/>
      <w:snapToGrid w:val="0"/>
      <w:jc w:val="both"/>
      <w:outlineLvl w:val="4"/>
    </w:pPr>
    <w:rPr>
      <w:rFonts w:ascii="Times New Roman" w:hAnsi="Times New Roman" w:eastAsia="宋体" w:cs="Times New Roman"/>
      <w:sz w:val="24"/>
      <w:szCs w:val="24"/>
      <w:lang w:val="en-US" w:eastAsia="zh-CN" w:bidi="ar-SA"/>
    </w:rPr>
  </w:style>
  <w:style w:type="paragraph" w:customStyle="1" w:styleId="976">
    <w:name w:val="MTDisplayEquation"/>
    <w:basedOn w:val="1"/>
    <w:next w:val="1"/>
    <w:qFormat/>
    <w:uiPriority w:val="0"/>
    <w:pPr>
      <w:tabs>
        <w:tab w:val="center" w:pos="4160"/>
        <w:tab w:val="right" w:pos="8300"/>
      </w:tabs>
      <w:adjustRightInd w:val="0"/>
      <w:spacing w:line="480" w:lineRule="atLeast"/>
      <w:ind w:firstLine="480" w:firstLineChars="200"/>
      <w:jc w:val="left"/>
    </w:pPr>
    <w:rPr>
      <w:rFonts w:ascii="Times New Roman" w:hAnsi="Times New Roman" w:cs="Times New Roman"/>
      <w:sz w:val="24"/>
    </w:rPr>
  </w:style>
  <w:style w:type="paragraph" w:customStyle="1" w:styleId="977">
    <w:name w:val="样式13"/>
    <w:basedOn w:val="306"/>
    <w:qFormat/>
    <w:uiPriority w:val="0"/>
    <w:pPr>
      <w:spacing w:beforeLines="10" w:line="240" w:lineRule="auto"/>
      <w:jc w:val="center"/>
    </w:pPr>
    <w:rPr>
      <w:rFonts w:hAnsi="Times New Roman" w:eastAsiaTheme="minorEastAsia"/>
      <w:snapToGrid w:val="0"/>
      <w:kern w:val="0"/>
    </w:rPr>
  </w:style>
  <w:style w:type="paragraph" w:customStyle="1" w:styleId="978">
    <w:name w:val="!标题1(alt+1)"/>
    <w:basedOn w:val="1"/>
    <w:next w:val="1"/>
    <w:qFormat/>
    <w:uiPriority w:val="0"/>
    <w:pPr>
      <w:widowControl/>
      <w:adjustRightInd w:val="0"/>
      <w:spacing w:beforeAutospacing="1" w:afterLines="50" w:line="600" w:lineRule="exact"/>
      <w:jc w:val="center"/>
      <w:outlineLvl w:val="0"/>
    </w:pPr>
    <w:rPr>
      <w:rFonts w:ascii="Arial" w:hAnsi="Arial" w:eastAsia="黑体" w:cs="Times New Roman"/>
      <w:spacing w:val="-5"/>
      <w:kern w:val="0"/>
      <w:sz w:val="44"/>
      <w:szCs w:val="30"/>
    </w:rPr>
  </w:style>
  <w:style w:type="paragraph" w:customStyle="1" w:styleId="979">
    <w:name w:val="pic-info"/>
    <w:basedOn w:val="1"/>
    <w:qFormat/>
    <w:uiPriority w:val="0"/>
    <w:pPr>
      <w:widowControl/>
      <w:adjustRightInd w:val="0"/>
      <w:spacing w:beforeAutospacing="1" w:after="100" w:afterAutospacing="1"/>
      <w:jc w:val="left"/>
    </w:pPr>
    <w:rPr>
      <w:rFonts w:ascii="宋体" w:hAnsi="宋体" w:cs="宋体"/>
      <w:kern w:val="0"/>
      <w:sz w:val="24"/>
    </w:rPr>
  </w:style>
  <w:style w:type="paragraph" w:customStyle="1" w:styleId="980">
    <w:name w:val="black12"/>
    <w:basedOn w:val="1"/>
    <w:qFormat/>
    <w:uiPriority w:val="0"/>
    <w:pPr>
      <w:widowControl/>
      <w:adjustRightInd w:val="0"/>
      <w:spacing w:beforeAutospacing="1" w:after="100" w:afterAutospacing="1" w:line="240" w:lineRule="atLeast"/>
      <w:jc w:val="left"/>
    </w:pPr>
    <w:rPr>
      <w:rFonts w:ascii="ˎ̥" w:hAnsi="ˎ̥" w:cs="宋体"/>
      <w:color w:val="333333"/>
      <w:kern w:val="0"/>
      <w:sz w:val="18"/>
      <w:szCs w:val="18"/>
    </w:rPr>
  </w:style>
  <w:style w:type="paragraph" w:customStyle="1" w:styleId="981">
    <w:name w:val="样式36"/>
    <w:basedOn w:val="1"/>
    <w:qFormat/>
    <w:uiPriority w:val="0"/>
    <w:pPr>
      <w:adjustRightInd w:val="0"/>
      <w:spacing w:line="360" w:lineRule="auto"/>
      <w:ind w:firstLine="560" w:firstLineChars="200"/>
      <w:jc w:val="left"/>
    </w:pPr>
    <w:rPr>
      <w:rFonts w:ascii="宋体" w:hAnsi="宋体" w:eastAsia="仿宋_GB2312" w:cs="Times New Roman"/>
      <w:snapToGrid w:val="0"/>
      <w:kern w:val="0"/>
      <w:sz w:val="28"/>
      <w:szCs w:val="28"/>
    </w:rPr>
  </w:style>
  <w:style w:type="paragraph" w:customStyle="1" w:styleId="982">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adjustRightInd w:val="0"/>
      <w:spacing w:line="360" w:lineRule="auto"/>
      <w:ind w:firstLine="200" w:firstLineChars="200"/>
      <w:jc w:val="left"/>
    </w:pPr>
    <w:rPr>
      <w:rFonts w:ascii="宋体" w:hAnsi="宋体" w:cs="Times New Roman"/>
      <w:sz w:val="24"/>
      <w:szCs w:val="20"/>
    </w:rPr>
  </w:style>
  <w:style w:type="paragraph" w:customStyle="1" w:styleId="983">
    <w:name w:val="普通(网站)1"/>
    <w:basedOn w:val="1"/>
    <w:qFormat/>
    <w:uiPriority w:val="0"/>
    <w:pPr>
      <w:widowControl/>
      <w:adjustRightInd w:val="0"/>
      <w:spacing w:beforeAutospacing="1" w:after="100" w:afterAutospacing="1"/>
      <w:jc w:val="left"/>
    </w:pPr>
    <w:rPr>
      <w:rFonts w:ascii="宋体" w:hAnsi="宋体" w:cs="Times New Roman"/>
      <w:color w:val="000000"/>
      <w:kern w:val="0"/>
      <w:sz w:val="24"/>
    </w:rPr>
  </w:style>
  <w:style w:type="paragraph" w:customStyle="1" w:styleId="984">
    <w:name w:val="列表 51"/>
    <w:basedOn w:val="1"/>
    <w:qFormat/>
    <w:uiPriority w:val="0"/>
    <w:pPr>
      <w:adjustRightInd w:val="0"/>
      <w:spacing w:beforeLines="10" w:line="480" w:lineRule="atLeast"/>
      <w:ind w:left="100" w:leftChars="800" w:hanging="200" w:hangingChars="200"/>
      <w:jc w:val="left"/>
    </w:pPr>
    <w:rPr>
      <w:rFonts w:ascii="Times New Roman" w:hAnsi="Times New Roman" w:cs="Times New Roman"/>
      <w:snapToGrid w:val="0"/>
      <w:kern w:val="0"/>
      <w:sz w:val="24"/>
    </w:rPr>
  </w:style>
  <w:style w:type="paragraph" w:customStyle="1" w:styleId="985">
    <w:name w:val="样式 样式 样式 (中文) 仿宋_GB2312 四号 行距: 1.5 倍行距 + 首行缩进:  2 字符 + 首行缩进:  2 ..."/>
    <w:basedOn w:val="1"/>
    <w:qFormat/>
    <w:uiPriority w:val="0"/>
    <w:pPr>
      <w:adjustRightInd w:val="0"/>
      <w:spacing w:line="360" w:lineRule="auto"/>
      <w:ind w:firstLine="560" w:firstLineChars="200"/>
      <w:jc w:val="left"/>
    </w:pPr>
    <w:rPr>
      <w:rFonts w:ascii="Times New Roman" w:hAnsi="Times New Roman" w:eastAsia="仿宋_GB2312" w:cs="宋体"/>
      <w:sz w:val="28"/>
      <w:szCs w:val="20"/>
    </w:rPr>
  </w:style>
  <w:style w:type="paragraph" w:customStyle="1" w:styleId="986">
    <w:name w:val="gg_body"/>
    <w:basedOn w:val="1"/>
    <w:qFormat/>
    <w:uiPriority w:val="0"/>
    <w:pPr>
      <w:adjustRightInd w:val="0"/>
      <w:spacing w:line="480" w:lineRule="atLeast"/>
      <w:ind w:firstLine="200" w:firstLineChars="200"/>
      <w:jc w:val="left"/>
    </w:pPr>
    <w:rPr>
      <w:rFonts w:ascii="宋体" w:hAnsi="宋体" w:cs="Times New Roman"/>
      <w:sz w:val="24"/>
      <w:u w:color="000000"/>
    </w:rPr>
  </w:style>
  <w:style w:type="paragraph" w:customStyle="1" w:styleId="987">
    <w:name w:val="样式 表文 + 首行缩进:  2 字符"/>
    <w:basedOn w:val="1"/>
    <w:qFormat/>
    <w:uiPriority w:val="0"/>
    <w:pPr>
      <w:overflowPunct w:val="0"/>
      <w:adjustRightInd w:val="0"/>
      <w:jc w:val="center"/>
      <w:textAlignment w:val="baseline"/>
    </w:pPr>
    <w:rPr>
      <w:rFonts w:ascii="Times New Roman" w:hAnsi="Times New Roman" w:cs="Times New Roman"/>
      <w:color w:val="000000"/>
      <w:szCs w:val="20"/>
    </w:rPr>
  </w:style>
  <w:style w:type="paragraph" w:customStyle="1" w:styleId="988">
    <w:name w:val="样式51"/>
    <w:basedOn w:val="981"/>
    <w:qFormat/>
    <w:uiPriority w:val="0"/>
    <w:pPr>
      <w:widowControl/>
      <w:adjustRightInd/>
      <w:spacing w:line="320" w:lineRule="exact"/>
      <w:ind w:firstLine="0" w:firstLineChars="0"/>
      <w:jc w:val="center"/>
    </w:pPr>
    <w:rPr>
      <w:rFonts w:ascii="Times New Roman" w:hAnsi="Times New Roman" w:eastAsia="宋体"/>
      <w:snapToGrid/>
      <w:sz w:val="22"/>
      <w:szCs w:val="22"/>
    </w:rPr>
  </w:style>
  <w:style w:type="paragraph" w:customStyle="1" w:styleId="989">
    <w:name w:val="列表编号 21"/>
    <w:basedOn w:val="1"/>
    <w:qFormat/>
    <w:uiPriority w:val="0"/>
    <w:pPr>
      <w:tabs>
        <w:tab w:val="left" w:pos="780"/>
      </w:tabs>
      <w:adjustRightInd w:val="0"/>
      <w:spacing w:beforeLines="10" w:line="480" w:lineRule="atLeast"/>
      <w:ind w:left="780" w:hanging="360" w:firstLineChars="200"/>
      <w:jc w:val="left"/>
    </w:pPr>
    <w:rPr>
      <w:rFonts w:ascii="Times New Roman" w:hAnsi="Times New Roman" w:cs="Times New Roman"/>
      <w:snapToGrid w:val="0"/>
      <w:kern w:val="0"/>
      <w:sz w:val="24"/>
    </w:rPr>
  </w:style>
  <w:style w:type="paragraph" w:customStyle="1" w:styleId="990">
    <w:name w:val="图表正文"/>
    <w:basedOn w:val="1"/>
    <w:qFormat/>
    <w:uiPriority w:val="0"/>
    <w:pPr>
      <w:adjustRightInd w:val="0"/>
      <w:spacing w:beforeLines="2" w:afterLines="2" w:line="320" w:lineRule="exact"/>
      <w:jc w:val="center"/>
    </w:pPr>
    <w:rPr>
      <w:rFonts w:ascii="宋体" w:hAnsi="宋体" w:cs="Times New Roman"/>
    </w:rPr>
  </w:style>
  <w:style w:type="paragraph" w:customStyle="1" w:styleId="991">
    <w:name w:val="列表 41"/>
    <w:basedOn w:val="1"/>
    <w:qFormat/>
    <w:uiPriority w:val="0"/>
    <w:pPr>
      <w:adjustRightInd w:val="0"/>
      <w:spacing w:beforeLines="10" w:line="480" w:lineRule="atLeast"/>
      <w:ind w:left="100" w:leftChars="600" w:hanging="200" w:hangingChars="200"/>
      <w:jc w:val="left"/>
    </w:pPr>
    <w:rPr>
      <w:rFonts w:ascii="Times New Roman" w:hAnsi="Times New Roman" w:cs="Times New Roman"/>
      <w:snapToGrid w:val="0"/>
      <w:kern w:val="0"/>
      <w:sz w:val="24"/>
    </w:rPr>
  </w:style>
  <w:style w:type="paragraph" w:customStyle="1" w:styleId="992">
    <w:name w:val="标题12"/>
    <w:basedOn w:val="838"/>
    <w:qFormat/>
    <w:uiPriority w:val="0"/>
    <w:pPr>
      <w:adjustRightInd w:val="0"/>
      <w:snapToGrid w:val="0"/>
      <w:spacing w:beforeLines="50" w:afterLines="50" w:line="360" w:lineRule="exact"/>
      <w:ind w:left="0" w:leftChars="0" w:firstLine="0" w:firstLineChars="0"/>
      <w:jc w:val="center"/>
    </w:pPr>
    <w:rPr>
      <w:rFonts w:eastAsia="仿宋_GB2312"/>
      <w:b/>
      <w:bCs/>
      <w:sz w:val="32"/>
      <w:szCs w:val="20"/>
    </w:rPr>
  </w:style>
  <w:style w:type="paragraph" w:customStyle="1" w:styleId="993">
    <w:name w:val="文本块1"/>
    <w:basedOn w:val="1"/>
    <w:qFormat/>
    <w:uiPriority w:val="0"/>
    <w:pPr>
      <w:adjustRightInd w:val="0"/>
      <w:spacing w:beforeLines="10" w:after="120" w:line="480" w:lineRule="atLeast"/>
      <w:ind w:left="1440" w:leftChars="700" w:right="1440" w:rightChars="700" w:firstLine="200" w:firstLineChars="200"/>
      <w:jc w:val="left"/>
    </w:pPr>
    <w:rPr>
      <w:rFonts w:ascii="Times New Roman" w:hAnsi="Times New Roman" w:cs="Times New Roman"/>
      <w:snapToGrid w:val="0"/>
      <w:kern w:val="0"/>
      <w:sz w:val="24"/>
    </w:rPr>
  </w:style>
  <w:style w:type="paragraph" w:customStyle="1" w:styleId="994">
    <w:name w:val="图表目录1"/>
    <w:basedOn w:val="1"/>
    <w:next w:val="1"/>
    <w:qFormat/>
    <w:uiPriority w:val="0"/>
    <w:pPr>
      <w:adjustRightInd w:val="0"/>
      <w:spacing w:beforeLines="10" w:line="480" w:lineRule="atLeast"/>
      <w:ind w:left="520" w:hanging="520" w:firstLineChars="200"/>
      <w:jc w:val="left"/>
    </w:pPr>
    <w:rPr>
      <w:rFonts w:ascii="Times New Roman" w:hAnsi="Times New Roman" w:cs="Times New Roman"/>
      <w:caps/>
      <w:snapToGrid w:val="0"/>
      <w:kern w:val="0"/>
      <w:sz w:val="24"/>
    </w:rPr>
  </w:style>
  <w:style w:type="paragraph" w:customStyle="1" w:styleId="995">
    <w:name w:val="文本框内文字"/>
    <w:basedOn w:val="1"/>
    <w:qFormat/>
    <w:uiPriority w:val="0"/>
    <w:pPr>
      <w:adjustRightInd w:val="0"/>
      <w:spacing w:line="240" w:lineRule="exact"/>
      <w:ind w:left="-120" w:leftChars="-50" w:right="-120" w:rightChars="-50"/>
      <w:jc w:val="center"/>
    </w:pPr>
    <w:rPr>
      <w:rFonts w:ascii="仿宋_GB2312" w:hAnsi="Times New Roman" w:eastAsia="仿宋_GB2312" w:cs="Times New Roman"/>
      <w:sz w:val="24"/>
    </w:rPr>
  </w:style>
  <w:style w:type="paragraph" w:customStyle="1" w:styleId="996">
    <w:name w:val="Body Text First Indent3"/>
    <w:basedOn w:val="34"/>
    <w:qFormat/>
    <w:uiPriority w:val="0"/>
    <w:pPr>
      <w:tabs>
        <w:tab w:val="left" w:pos="7840"/>
      </w:tabs>
      <w:spacing w:beforeLines="0" w:after="120"/>
      <w:ind w:firstLine="567"/>
      <w:textAlignment w:val="baseline"/>
    </w:pPr>
    <w:rPr>
      <w:rFonts w:ascii="Calibri" w:hAnsi="Calibri" w:eastAsiaTheme="minorEastAsia"/>
      <w:snapToGrid/>
      <w:kern w:val="28"/>
      <w:sz w:val="28"/>
      <w:szCs w:val="20"/>
    </w:rPr>
  </w:style>
  <w:style w:type="paragraph" w:customStyle="1" w:styleId="997">
    <w:name w:val="样式15"/>
    <w:basedOn w:val="6"/>
    <w:qFormat/>
    <w:uiPriority w:val="0"/>
    <w:pPr>
      <w:keepNext w:val="0"/>
      <w:keepLines w:val="0"/>
      <w:tabs>
        <w:tab w:val="left" w:pos="0"/>
      </w:tabs>
      <w:spacing w:line="480" w:lineRule="exact"/>
      <w:ind w:left="1680" w:hanging="420"/>
      <w:jc w:val="both"/>
    </w:pPr>
    <w:rPr>
      <w:rFonts w:cs="Times New Roman" w:eastAsiaTheme="minorEastAsia"/>
      <w:b w:val="0"/>
      <w:bCs w:val="0"/>
      <w:snapToGrid w:val="0"/>
    </w:rPr>
  </w:style>
  <w:style w:type="paragraph" w:customStyle="1" w:styleId="998">
    <w:name w:val="Char Char Char1 Char1 Char Char Char"/>
    <w:basedOn w:val="1"/>
    <w:qFormat/>
    <w:uiPriority w:val="0"/>
    <w:pPr>
      <w:adjustRightInd w:val="0"/>
      <w:jc w:val="left"/>
    </w:pPr>
    <w:rPr>
      <w:rFonts w:ascii="Times New Roman" w:hAnsi="Times New Roman" w:cs="Times New Roman"/>
    </w:rPr>
  </w:style>
  <w:style w:type="paragraph" w:customStyle="1" w:styleId="999">
    <w:name w:val="Char1 Char Char Char Char Char Char Char Char Char Char Char"/>
    <w:basedOn w:val="1"/>
    <w:qFormat/>
    <w:uiPriority w:val="0"/>
    <w:pPr>
      <w:widowControl/>
      <w:adjustRightInd w:val="0"/>
      <w:spacing w:line="360" w:lineRule="auto"/>
      <w:ind w:firstLine="200" w:firstLineChars="200"/>
      <w:jc w:val="left"/>
    </w:pPr>
    <w:rPr>
      <w:rFonts w:ascii="宋体" w:hAnsi="宋体" w:cs="宋体"/>
      <w:kern w:val="0"/>
      <w:sz w:val="24"/>
      <w:szCs w:val="26"/>
    </w:rPr>
  </w:style>
  <w:style w:type="paragraph" w:customStyle="1" w:styleId="1000">
    <w:name w:val="索引 11"/>
    <w:basedOn w:val="1"/>
    <w:next w:val="1"/>
    <w:qFormat/>
    <w:uiPriority w:val="0"/>
    <w:pPr>
      <w:adjustRightInd w:val="0"/>
      <w:spacing w:line="400" w:lineRule="exact"/>
      <w:jc w:val="left"/>
    </w:pPr>
    <w:rPr>
      <w:rFonts w:ascii="Times New Roman" w:hAnsi="Times New Roman" w:cs="Times New Roman"/>
    </w:rPr>
  </w:style>
  <w:style w:type="paragraph" w:customStyle="1" w:styleId="1001">
    <w:name w:val="样式 haydonli + 首行缩进:  2 字符"/>
    <w:basedOn w:val="1"/>
    <w:qFormat/>
    <w:uiPriority w:val="0"/>
    <w:pPr>
      <w:adjustRightInd w:val="0"/>
      <w:spacing w:line="400" w:lineRule="exact"/>
      <w:ind w:firstLine="420"/>
      <w:jc w:val="left"/>
    </w:pPr>
    <w:rPr>
      <w:rFonts w:ascii="宋体" w:hAnsi="宋体" w:cs="宋体"/>
      <w:snapToGrid w:val="0"/>
      <w:kern w:val="0"/>
      <w:sz w:val="24"/>
    </w:rPr>
  </w:style>
  <w:style w:type="paragraph" w:customStyle="1" w:styleId="1002">
    <w:name w:val="样式 (西文) 宋体 (中文) 仿宋_GB2312 四号 行距: 多倍行距 1.48 字行"/>
    <w:basedOn w:val="1"/>
    <w:qFormat/>
    <w:uiPriority w:val="0"/>
    <w:pPr>
      <w:adjustRightInd w:val="0"/>
      <w:spacing w:line="355" w:lineRule="auto"/>
      <w:ind w:firstLine="560" w:firstLineChars="200"/>
      <w:jc w:val="left"/>
    </w:pPr>
    <w:rPr>
      <w:rFonts w:ascii="宋体" w:hAnsi="宋体" w:eastAsia="仿宋_GB2312" w:cs="宋体"/>
      <w:sz w:val="28"/>
      <w:szCs w:val="20"/>
    </w:rPr>
  </w:style>
  <w:style w:type="paragraph" w:customStyle="1" w:styleId="1003">
    <w:name w:val="Char3 Char Char Char"/>
    <w:basedOn w:val="1"/>
    <w:qFormat/>
    <w:uiPriority w:val="0"/>
    <w:pPr>
      <w:adjustRightInd w:val="0"/>
      <w:jc w:val="left"/>
    </w:pPr>
    <w:rPr>
      <w:rFonts w:ascii="宋体" w:hAnsi="宋体" w:cs="宋体"/>
      <w:sz w:val="24"/>
    </w:rPr>
  </w:style>
  <w:style w:type="paragraph" w:customStyle="1" w:styleId="1004">
    <w:name w:val="表格1"/>
    <w:basedOn w:val="1"/>
    <w:link w:val="3079"/>
    <w:qFormat/>
    <w:uiPriority w:val="0"/>
    <w:pPr>
      <w:adjustRightInd w:val="0"/>
      <w:spacing w:line="20" w:lineRule="atLeast"/>
      <w:jc w:val="center"/>
      <w:textAlignment w:val="center"/>
    </w:pPr>
    <w:rPr>
      <w:rFonts w:ascii="宋体" w:hAnsi="Times New Roman" w:cs="Times New Roman"/>
      <w:kern w:val="0"/>
      <w:szCs w:val="20"/>
    </w:rPr>
  </w:style>
  <w:style w:type="paragraph" w:customStyle="1" w:styleId="1005">
    <w:name w:val="附注"/>
    <w:basedOn w:val="1"/>
    <w:qFormat/>
    <w:uiPriority w:val="0"/>
    <w:pPr>
      <w:widowControl/>
      <w:autoSpaceDE w:val="0"/>
      <w:autoSpaceDN w:val="0"/>
      <w:adjustRightInd w:val="0"/>
      <w:ind w:left="1077" w:right="1514" w:hanging="510"/>
      <w:jc w:val="left"/>
      <w:textAlignment w:val="bottom"/>
    </w:pPr>
    <w:rPr>
      <w:rFonts w:ascii="宋体" w:hAnsi="Times New Roman" w:cs="Times New Roman"/>
      <w:spacing w:val="60"/>
      <w:sz w:val="24"/>
      <w:szCs w:val="26"/>
    </w:rPr>
  </w:style>
  <w:style w:type="paragraph" w:customStyle="1" w:styleId="1006">
    <w:name w:val="水保2级"/>
    <w:basedOn w:val="4"/>
    <w:qFormat/>
    <w:uiPriority w:val="0"/>
    <w:pPr>
      <w:keepNext w:val="0"/>
      <w:keepLines w:val="0"/>
      <w:spacing w:before="260" w:after="260" w:line="413" w:lineRule="auto"/>
      <w:ind w:left="840" w:hanging="420"/>
    </w:pPr>
    <w:rPr>
      <w:rFonts w:ascii="Arial" w:hAnsi="Arial" w:cs="Times New Roman" w:eastAsiaTheme="minorEastAsia"/>
      <w:b w:val="0"/>
      <w:bCs w:val="0"/>
      <w:snapToGrid w:val="0"/>
      <w:color w:val="000000" w:themeColor="text1"/>
      <w:kern w:val="0"/>
      <w:szCs w:val="24"/>
      <w14:textFill>
        <w14:solidFill>
          <w14:schemeClr w14:val="tx1"/>
        </w14:solidFill>
      </w14:textFill>
    </w:rPr>
  </w:style>
  <w:style w:type="paragraph" w:customStyle="1" w:styleId="1007">
    <w:name w:val="列表接续 41"/>
    <w:basedOn w:val="1"/>
    <w:qFormat/>
    <w:uiPriority w:val="0"/>
    <w:pPr>
      <w:adjustRightInd w:val="0"/>
      <w:spacing w:beforeLines="10" w:after="120" w:line="480" w:lineRule="atLeast"/>
      <w:ind w:left="1680" w:leftChars="800" w:firstLine="200" w:firstLineChars="200"/>
      <w:jc w:val="left"/>
    </w:pPr>
    <w:rPr>
      <w:rFonts w:ascii="Times New Roman" w:hAnsi="Times New Roman" w:cs="Times New Roman"/>
      <w:snapToGrid w:val="0"/>
      <w:kern w:val="0"/>
      <w:sz w:val="24"/>
    </w:rPr>
  </w:style>
  <w:style w:type="paragraph" w:customStyle="1" w:styleId="1008">
    <w:name w:val="图形中文字"/>
    <w:basedOn w:val="1"/>
    <w:qFormat/>
    <w:uiPriority w:val="0"/>
    <w:pPr>
      <w:autoSpaceDE w:val="0"/>
      <w:autoSpaceDN w:val="0"/>
      <w:adjustRightInd w:val="0"/>
      <w:jc w:val="center"/>
    </w:pPr>
    <w:rPr>
      <w:rFonts w:ascii="宋体" w:hAnsi="Tms Rmn" w:cs="Times New Roman"/>
      <w:kern w:val="0"/>
      <w:sz w:val="24"/>
      <w:szCs w:val="20"/>
    </w:rPr>
  </w:style>
  <w:style w:type="paragraph" w:customStyle="1" w:styleId="1009">
    <w:name w:val="Char Char Char Char Char Char Char Char Char1 Char Char Char Char"/>
    <w:basedOn w:val="1"/>
    <w:qFormat/>
    <w:uiPriority w:val="0"/>
    <w:pPr>
      <w:adjustRightInd w:val="0"/>
      <w:spacing w:line="360" w:lineRule="auto"/>
      <w:ind w:firstLine="200" w:firstLineChars="200"/>
      <w:jc w:val="left"/>
    </w:pPr>
    <w:rPr>
      <w:rFonts w:ascii="宋体" w:hAnsi="宋体" w:cs="宋体"/>
      <w:sz w:val="24"/>
      <w:szCs w:val="26"/>
    </w:rPr>
  </w:style>
  <w:style w:type="paragraph" w:customStyle="1" w:styleId="1010">
    <w:name w:val="列表接续1"/>
    <w:basedOn w:val="1"/>
    <w:qFormat/>
    <w:uiPriority w:val="0"/>
    <w:pPr>
      <w:adjustRightInd w:val="0"/>
      <w:spacing w:beforeLines="10" w:after="120" w:line="480" w:lineRule="atLeast"/>
      <w:ind w:left="420" w:leftChars="200" w:firstLine="200" w:firstLineChars="200"/>
      <w:jc w:val="left"/>
    </w:pPr>
    <w:rPr>
      <w:rFonts w:ascii="Times New Roman" w:hAnsi="Times New Roman" w:cs="Times New Roman"/>
      <w:snapToGrid w:val="0"/>
      <w:kern w:val="0"/>
      <w:sz w:val="24"/>
    </w:rPr>
  </w:style>
  <w:style w:type="paragraph" w:customStyle="1" w:styleId="1011">
    <w:name w:val="5"/>
    <w:basedOn w:val="1"/>
    <w:next w:val="983"/>
    <w:qFormat/>
    <w:uiPriority w:val="0"/>
    <w:pPr>
      <w:widowControl/>
      <w:adjustRightInd w:val="0"/>
      <w:spacing w:beforeAutospacing="1" w:after="100" w:afterAutospacing="1"/>
      <w:jc w:val="left"/>
    </w:pPr>
    <w:rPr>
      <w:rFonts w:ascii="宋体" w:hAnsi="宋体" w:cs="宋体"/>
      <w:kern w:val="0"/>
      <w:sz w:val="24"/>
    </w:rPr>
  </w:style>
  <w:style w:type="paragraph" w:customStyle="1" w:styleId="1012">
    <w:name w:val="正1"/>
    <w:basedOn w:val="1"/>
    <w:qFormat/>
    <w:uiPriority w:val="0"/>
    <w:pPr>
      <w:adjustRightInd w:val="0"/>
      <w:spacing w:after="60" w:line="400" w:lineRule="exact"/>
      <w:ind w:right="32" w:firstLine="612"/>
      <w:jc w:val="left"/>
    </w:pPr>
    <w:rPr>
      <w:rFonts w:ascii="宋体" w:hAnsi="Times New Roman" w:cs="Times New Roman"/>
      <w:sz w:val="28"/>
      <w:szCs w:val="20"/>
    </w:rPr>
  </w:style>
  <w:style w:type="paragraph" w:customStyle="1" w:styleId="1013">
    <w:name w:val="列表 31"/>
    <w:basedOn w:val="1"/>
    <w:qFormat/>
    <w:uiPriority w:val="0"/>
    <w:pPr>
      <w:adjustRightInd w:val="0"/>
      <w:spacing w:beforeLines="10" w:line="480" w:lineRule="atLeast"/>
      <w:ind w:left="100" w:leftChars="400" w:hanging="200" w:hangingChars="200"/>
      <w:jc w:val="left"/>
    </w:pPr>
    <w:rPr>
      <w:rFonts w:ascii="Times New Roman" w:hAnsi="Times New Roman" w:cs="Times New Roman"/>
      <w:snapToGrid w:val="0"/>
      <w:kern w:val="0"/>
      <w:sz w:val="24"/>
    </w:rPr>
  </w:style>
  <w:style w:type="paragraph" w:customStyle="1" w:styleId="1014">
    <w:name w:val="xl23"/>
    <w:basedOn w:val="1"/>
    <w:qFormat/>
    <w:uiPriority w:val="0"/>
    <w:pPr>
      <w:widowControl/>
      <w:adjustRightInd w:val="0"/>
      <w:spacing w:beforeAutospacing="1" w:after="100" w:afterAutospacing="1"/>
      <w:jc w:val="center"/>
    </w:pPr>
    <w:rPr>
      <w:rFonts w:ascii="宋体" w:hAnsi="宋体" w:cs="Times New Roman"/>
      <w:kern w:val="0"/>
      <w:sz w:val="20"/>
      <w:szCs w:val="20"/>
    </w:rPr>
  </w:style>
  <w:style w:type="paragraph" w:customStyle="1" w:styleId="1015">
    <w:name w:val="表格文字"/>
    <w:basedOn w:val="1"/>
    <w:link w:val="2518"/>
    <w:qFormat/>
    <w:uiPriority w:val="0"/>
    <w:pPr>
      <w:adjustRightInd w:val="0"/>
      <w:jc w:val="center"/>
    </w:pPr>
    <w:rPr>
      <w:rFonts w:ascii="仿宋_GB2312" w:hAnsi="Arial Black" w:eastAsia="仿宋_GB2312" w:cs="Times New Roman"/>
      <w:kern w:val="44"/>
      <w:sz w:val="24"/>
      <w:szCs w:val="20"/>
    </w:rPr>
  </w:style>
  <w:style w:type="paragraph" w:customStyle="1" w:styleId="1016">
    <w:name w:val="样式6 正文"/>
    <w:qFormat/>
    <w:uiPriority w:val="0"/>
    <w:pPr>
      <w:spacing w:line="360" w:lineRule="auto"/>
      <w:ind w:firstLine="510"/>
      <w:jc w:val="both"/>
    </w:pPr>
    <w:rPr>
      <w:rFonts w:ascii="Times New Roman" w:hAnsi="Times New Roman" w:eastAsia="宋体" w:cs="Times New Roman"/>
      <w:sz w:val="24"/>
      <w:lang w:val="en-US" w:eastAsia="zh-CN" w:bidi="ar-SA"/>
    </w:rPr>
  </w:style>
  <w:style w:type="paragraph" w:customStyle="1" w:styleId="1017">
    <w:name w:val="表格式"/>
    <w:basedOn w:val="868"/>
    <w:qFormat/>
    <w:uiPriority w:val="0"/>
    <w:pPr>
      <w:spacing w:line="360" w:lineRule="auto"/>
      <w:ind w:left="0" w:firstLine="0" w:firstLineChars="0"/>
      <w:jc w:val="center"/>
    </w:pPr>
    <w:rPr>
      <w:color w:val="000000"/>
      <w:sz w:val="21"/>
    </w:rPr>
  </w:style>
  <w:style w:type="paragraph" w:customStyle="1" w:styleId="1018">
    <w:name w:val="样式1."/>
    <w:basedOn w:val="1"/>
    <w:qFormat/>
    <w:uiPriority w:val="0"/>
    <w:pPr>
      <w:adjustRightInd w:val="0"/>
      <w:spacing w:line="480" w:lineRule="atLeast"/>
      <w:jc w:val="left"/>
    </w:pPr>
    <w:rPr>
      <w:rFonts w:ascii="黑体" w:hAnsi="Times New Roman" w:eastAsia="黑体" w:cs="Times New Roman"/>
      <w:b/>
      <w:sz w:val="30"/>
      <w:szCs w:val="20"/>
    </w:rPr>
  </w:style>
  <w:style w:type="paragraph" w:customStyle="1" w:styleId="1019">
    <w:name w:val="!标题3(alt+3)"/>
    <w:next w:val="1"/>
    <w:qFormat/>
    <w:uiPriority w:val="0"/>
    <w:pPr>
      <w:spacing w:before="120" w:after="80" w:line="500" w:lineRule="exact"/>
      <w:outlineLvl w:val="2"/>
    </w:pPr>
    <w:rPr>
      <w:rFonts w:ascii="黑体" w:hAnsi="Times New Roman" w:eastAsia="黑体" w:cs="Times New Roman"/>
      <w:kern w:val="2"/>
      <w:sz w:val="24"/>
      <w:szCs w:val="24"/>
      <w:lang w:val="en-US" w:eastAsia="zh-CN" w:bidi="ar-SA"/>
    </w:rPr>
  </w:style>
  <w:style w:type="paragraph" w:customStyle="1" w:styleId="1020">
    <w:name w:val="水泥厂正文"/>
    <w:basedOn w:val="1"/>
    <w:qFormat/>
    <w:uiPriority w:val="0"/>
    <w:pPr>
      <w:adjustRightInd w:val="0"/>
      <w:spacing w:line="480" w:lineRule="atLeast"/>
      <w:ind w:firstLine="480" w:firstLineChars="200"/>
      <w:jc w:val="left"/>
    </w:pPr>
    <w:rPr>
      <w:rFonts w:ascii="宋体" w:hAnsi="宋体" w:cs="Times New Roman"/>
      <w:sz w:val="24"/>
      <w:szCs w:val="20"/>
    </w:rPr>
  </w:style>
  <w:style w:type="paragraph" w:customStyle="1" w:styleId="1021">
    <w:name w:val="编号1"/>
    <w:basedOn w:val="1"/>
    <w:next w:val="1"/>
    <w:qFormat/>
    <w:uiPriority w:val="0"/>
    <w:pPr>
      <w:tabs>
        <w:tab w:val="left" w:pos="0"/>
      </w:tabs>
      <w:adjustRightInd w:val="0"/>
      <w:spacing w:line="360" w:lineRule="auto"/>
      <w:jc w:val="left"/>
    </w:pPr>
    <w:rPr>
      <w:rFonts w:ascii="Times New Roman" w:hAnsi="Times New Roman" w:cs="Times New Roman"/>
      <w:color w:val="000000"/>
      <w:lang w:val="zh-CN"/>
    </w:rPr>
  </w:style>
  <w:style w:type="paragraph" w:customStyle="1" w:styleId="1022">
    <w:name w:val="责任表文"/>
    <w:basedOn w:val="1"/>
    <w:qFormat/>
    <w:uiPriority w:val="0"/>
    <w:pPr>
      <w:adjustRightInd w:val="0"/>
      <w:jc w:val="center"/>
      <w:textAlignment w:val="baseline"/>
    </w:pPr>
    <w:rPr>
      <w:rFonts w:ascii="隶书" w:hAnsi="Times New Roman" w:eastAsia="隶书" w:cs="Times New Roman"/>
      <w:b/>
      <w:snapToGrid w:val="0"/>
      <w:kern w:val="24"/>
      <w:sz w:val="36"/>
      <w:szCs w:val="20"/>
    </w:rPr>
  </w:style>
  <w:style w:type="paragraph" w:customStyle="1" w:styleId="1023">
    <w:name w:val="样式18"/>
    <w:basedOn w:val="298"/>
    <w:qFormat/>
    <w:uiPriority w:val="0"/>
    <w:pPr>
      <w:spacing w:beforeLines="0" w:line="480" w:lineRule="exact"/>
      <w:ind w:firstLine="200" w:firstLineChars="200"/>
      <w:jc w:val="both"/>
      <w:outlineLvl w:val="9"/>
    </w:pPr>
    <w:rPr>
      <w:rFonts w:ascii="宋体" w:hAnsi="宋体" w:eastAsiaTheme="minorEastAsia"/>
      <w:snapToGrid w:val="0"/>
      <w:color w:val="auto"/>
      <w:kern w:val="0"/>
    </w:rPr>
  </w:style>
  <w:style w:type="paragraph" w:customStyle="1" w:styleId="1024">
    <w:name w:val="表文"/>
    <w:basedOn w:val="1"/>
    <w:link w:val="1274"/>
    <w:qFormat/>
    <w:uiPriority w:val="0"/>
    <w:pPr>
      <w:adjustRightInd w:val="0"/>
      <w:spacing w:beforeLines="20" w:afterLines="20" w:line="280" w:lineRule="exact"/>
      <w:jc w:val="center"/>
    </w:pPr>
    <w:rPr>
      <w:rFonts w:ascii="黑体" w:hAnsi="宋体" w:cs="Times New Roman"/>
      <w:szCs w:val="20"/>
    </w:rPr>
  </w:style>
  <w:style w:type="paragraph" w:customStyle="1" w:styleId="1025">
    <w:name w:val="a"/>
    <w:basedOn w:val="3"/>
    <w:qFormat/>
    <w:uiPriority w:val="0"/>
    <w:pPr>
      <w:keepNext w:val="0"/>
      <w:keepLines w:val="0"/>
      <w:widowControl w:val="0"/>
      <w:adjustRightInd w:val="0"/>
      <w:ind w:left="620" w:hanging="420"/>
      <w:jc w:val="both"/>
      <w:textAlignment w:val="baseline"/>
    </w:pPr>
    <w:rPr>
      <w:rFonts w:cs="Times New Roman"/>
      <w:bCs w:val="0"/>
      <w:snapToGrid w:val="0"/>
      <w:color w:val="000000" w:themeColor="text1"/>
      <w:kern w:val="0"/>
      <w:sz w:val="30"/>
      <w:szCs w:val="20"/>
      <w14:textFill>
        <w14:solidFill>
          <w14:schemeClr w14:val="tx1"/>
        </w14:solidFill>
      </w14:textFill>
    </w:rPr>
  </w:style>
  <w:style w:type="paragraph" w:customStyle="1" w:styleId="1026">
    <w:name w:val="样式 水保2级 + Times New Roman"/>
    <w:basedOn w:val="1006"/>
    <w:qFormat/>
    <w:uiPriority w:val="0"/>
    <w:rPr>
      <w:rFonts w:ascii="Times New Roman" w:hAnsi="Times New Roman"/>
      <w:bCs/>
    </w:rPr>
  </w:style>
  <w:style w:type="paragraph" w:customStyle="1" w:styleId="1027">
    <w:name w:val="xl22"/>
    <w:basedOn w:val="1"/>
    <w:qFormat/>
    <w:uiPriority w:val="0"/>
    <w:pPr>
      <w:widowControl/>
      <w:adjustRightInd w:val="0"/>
      <w:spacing w:beforeAutospacing="1" w:after="100" w:afterAutospacing="1"/>
      <w:jc w:val="center"/>
    </w:pPr>
    <w:rPr>
      <w:rFonts w:ascii="宋体" w:hAnsi="宋体" w:cs="Times New Roman"/>
      <w:kern w:val="0"/>
      <w:sz w:val="24"/>
    </w:rPr>
  </w:style>
  <w:style w:type="paragraph" w:customStyle="1" w:styleId="1028">
    <w:name w:val="样式 首行缩进:  2 字符4"/>
    <w:basedOn w:val="1"/>
    <w:link w:val="3910"/>
    <w:qFormat/>
    <w:uiPriority w:val="0"/>
    <w:pPr>
      <w:keepNext/>
      <w:adjustRightInd w:val="0"/>
      <w:spacing w:line="360" w:lineRule="auto"/>
      <w:ind w:firstLine="200" w:firstLineChars="200"/>
      <w:jc w:val="left"/>
    </w:pPr>
    <w:rPr>
      <w:rFonts w:ascii="宋体" w:hAnsi="Times New Roman" w:cs="Times New Roman"/>
      <w:snapToGrid w:val="0"/>
      <w:kern w:val="0"/>
      <w:sz w:val="28"/>
      <w:szCs w:val="20"/>
    </w:rPr>
  </w:style>
  <w:style w:type="paragraph" w:customStyle="1" w:styleId="1029">
    <w:name w:val="样式17"/>
    <w:basedOn w:val="3"/>
    <w:link w:val="1065"/>
    <w:qFormat/>
    <w:uiPriority w:val="0"/>
    <w:pPr>
      <w:keepNext w:val="0"/>
      <w:keepLines w:val="0"/>
      <w:widowControl w:val="0"/>
      <w:adjustRightInd w:val="0"/>
      <w:ind w:left="620" w:hanging="420"/>
    </w:pPr>
    <w:rPr>
      <w:rFonts w:cs="Times New Roman"/>
      <w:snapToGrid w:val="0"/>
      <w:color w:val="000000" w:themeColor="text1"/>
      <w:kern w:val="0"/>
      <w:sz w:val="30"/>
      <w:szCs w:val="32"/>
      <w14:textFill>
        <w14:solidFill>
          <w14:schemeClr w14:val="tx1"/>
        </w14:solidFill>
      </w14:textFill>
    </w:rPr>
  </w:style>
  <w:style w:type="paragraph" w:customStyle="1" w:styleId="1030">
    <w:name w:val="td1"/>
    <w:basedOn w:val="1"/>
    <w:qFormat/>
    <w:uiPriority w:val="0"/>
    <w:pPr>
      <w:widowControl/>
      <w:adjustRightInd w:val="0"/>
      <w:spacing w:beforeAutospacing="1" w:after="100" w:afterAutospacing="1" w:line="300" w:lineRule="atLeast"/>
      <w:jc w:val="left"/>
    </w:pPr>
    <w:rPr>
      <w:rFonts w:ascii="Times New Roman" w:hAnsi="Times New Roman" w:cs="Times New Roman"/>
      <w:color w:val="000000"/>
      <w:kern w:val="0"/>
      <w:sz w:val="18"/>
      <w:szCs w:val="18"/>
    </w:rPr>
  </w:style>
  <w:style w:type="paragraph" w:customStyle="1" w:styleId="1031">
    <w:name w:val="黑宋体"/>
    <w:basedOn w:val="6"/>
    <w:qFormat/>
    <w:uiPriority w:val="0"/>
    <w:pPr>
      <w:keepNext w:val="0"/>
      <w:keepLines w:val="0"/>
      <w:tabs>
        <w:tab w:val="left" w:pos="0"/>
      </w:tabs>
      <w:ind w:left="1680" w:firstLine="482" w:firstLineChars="50"/>
      <w:jc w:val="both"/>
      <w:textAlignment w:val="baseline"/>
      <w:outlineLvl w:val="9"/>
    </w:pPr>
    <w:rPr>
      <w:rFonts w:cs="Times New Roman" w:eastAsiaTheme="minorEastAsia"/>
      <w:b w:val="0"/>
      <w:bCs w:val="0"/>
      <w:snapToGrid w:val="0"/>
      <w:color w:val="000000"/>
      <w:sz w:val="21"/>
      <w:lang w:val="zh-CN"/>
    </w:rPr>
  </w:style>
  <w:style w:type="paragraph" w:customStyle="1" w:styleId="1032">
    <w:name w:val="列表接续 51"/>
    <w:basedOn w:val="1"/>
    <w:qFormat/>
    <w:uiPriority w:val="0"/>
    <w:pPr>
      <w:adjustRightInd w:val="0"/>
      <w:spacing w:beforeLines="10" w:after="120" w:line="480" w:lineRule="atLeast"/>
      <w:ind w:left="2100" w:leftChars="1000" w:firstLine="200" w:firstLineChars="200"/>
      <w:jc w:val="left"/>
    </w:pPr>
    <w:rPr>
      <w:rFonts w:ascii="Times New Roman" w:hAnsi="Times New Roman" w:cs="Times New Roman"/>
      <w:snapToGrid w:val="0"/>
      <w:kern w:val="0"/>
      <w:sz w:val="24"/>
    </w:rPr>
  </w:style>
  <w:style w:type="paragraph" w:customStyle="1" w:styleId="1033">
    <w:name w:val="Char Char Char3 Char"/>
    <w:basedOn w:val="1"/>
    <w:qFormat/>
    <w:uiPriority w:val="0"/>
    <w:pPr>
      <w:adjustRightInd w:val="0"/>
      <w:spacing w:line="360" w:lineRule="auto"/>
      <w:ind w:firstLine="200" w:firstLineChars="200"/>
      <w:jc w:val="left"/>
    </w:pPr>
    <w:rPr>
      <w:rFonts w:ascii="宋体" w:hAnsi="宋体" w:cs="宋体"/>
      <w:sz w:val="24"/>
    </w:rPr>
  </w:style>
  <w:style w:type="paragraph" w:customStyle="1" w:styleId="1034">
    <w:name w:val="水保1级"/>
    <w:basedOn w:val="3"/>
    <w:qFormat/>
    <w:uiPriority w:val="0"/>
    <w:pPr>
      <w:keepNext w:val="0"/>
      <w:keepLines w:val="0"/>
      <w:widowControl w:val="0"/>
      <w:adjustRightInd w:val="0"/>
      <w:spacing w:line="576" w:lineRule="auto"/>
      <w:ind w:left="620" w:hanging="420"/>
    </w:pPr>
    <w:rPr>
      <w:rFonts w:cs="Times New Roman"/>
      <w:snapToGrid w:val="0"/>
      <w:color w:val="000000" w:themeColor="text1"/>
      <w:kern w:val="0"/>
      <w:sz w:val="30"/>
      <w:szCs w:val="32"/>
      <w14:textFill>
        <w14:solidFill>
          <w14:schemeClr w14:val="tx1"/>
        </w14:solidFill>
      </w14:textFill>
    </w:rPr>
  </w:style>
  <w:style w:type="paragraph" w:customStyle="1" w:styleId="1035">
    <w:name w:val="样式 公正文 + 首行缩进:  2 字符1"/>
    <w:basedOn w:val="1"/>
    <w:qFormat/>
    <w:uiPriority w:val="0"/>
    <w:pPr>
      <w:adjustRightInd w:val="0"/>
      <w:spacing w:line="355" w:lineRule="auto"/>
      <w:ind w:firstLine="560" w:firstLineChars="200"/>
      <w:jc w:val="left"/>
    </w:pPr>
    <w:rPr>
      <w:rFonts w:ascii="宋体" w:hAnsi="宋体" w:eastAsia="仿宋_GB2312" w:cs="宋体"/>
      <w:sz w:val="28"/>
      <w:szCs w:val="20"/>
    </w:rPr>
  </w:style>
  <w:style w:type="paragraph" w:customStyle="1" w:styleId="1036">
    <w:name w:val="3 Char Char Char Char"/>
    <w:basedOn w:val="1"/>
    <w:qFormat/>
    <w:uiPriority w:val="0"/>
    <w:pPr>
      <w:adjustRightInd w:val="0"/>
      <w:spacing w:beforeLines="50" w:afterLines="50"/>
      <w:ind w:firstLine="200" w:firstLineChars="200"/>
      <w:jc w:val="left"/>
    </w:pPr>
    <w:rPr>
      <w:rFonts w:ascii="Times New Roman" w:hAnsi="Times New Roman" w:cs="Times New Roman"/>
      <w:szCs w:val="20"/>
    </w:rPr>
  </w:style>
  <w:style w:type="paragraph" w:customStyle="1" w:styleId="1037">
    <w:name w:val="样式9"/>
    <w:basedOn w:val="40"/>
    <w:link w:val="3812"/>
    <w:qFormat/>
    <w:uiPriority w:val="0"/>
    <w:pPr>
      <w:spacing w:beforeLines="0" w:line="320" w:lineRule="exact"/>
      <w:ind w:left="0" w:leftChars="0" w:firstLine="0" w:firstLineChars="0"/>
      <w:jc w:val="center"/>
      <w:textAlignment w:val="baseline"/>
    </w:pPr>
    <w:rPr>
      <w:rFonts w:ascii="Calibri" w:hAnsi="Calibri"/>
      <w:snapToGrid/>
      <w:sz w:val="22"/>
      <w:szCs w:val="20"/>
    </w:rPr>
  </w:style>
  <w:style w:type="paragraph" w:customStyle="1" w:styleId="1038">
    <w:name w:val="封面"/>
    <w:basedOn w:val="3"/>
    <w:qFormat/>
    <w:uiPriority w:val="0"/>
    <w:pPr>
      <w:keepNext w:val="0"/>
      <w:keepLines w:val="0"/>
      <w:widowControl w:val="0"/>
      <w:adjustRightInd w:val="0"/>
      <w:ind w:left="620" w:hanging="420"/>
      <w:textAlignment w:val="baseline"/>
    </w:pPr>
    <w:rPr>
      <w:rFonts w:cs="Times New Roman"/>
      <w:bCs w:val="0"/>
      <w:snapToGrid w:val="0"/>
      <w:color w:val="000000" w:themeColor="text1"/>
      <w:kern w:val="0"/>
      <w:sz w:val="52"/>
      <w:szCs w:val="20"/>
      <w14:textFill>
        <w14:solidFill>
          <w14:schemeClr w14:val="tx1"/>
        </w14:solidFill>
      </w14:textFill>
    </w:rPr>
  </w:style>
  <w:style w:type="paragraph" w:customStyle="1" w:styleId="1039">
    <w:name w:val="环评标题三级"/>
    <w:basedOn w:val="4"/>
    <w:qFormat/>
    <w:uiPriority w:val="0"/>
    <w:pPr>
      <w:keepNext w:val="0"/>
      <w:keepLines w:val="0"/>
      <w:spacing w:beforeLines="10" w:after="156" w:line="360" w:lineRule="exact"/>
      <w:ind w:left="840" w:hanging="420"/>
      <w:outlineLvl w:val="2"/>
    </w:pPr>
    <w:rPr>
      <w:rFonts w:cs="Times New Roman" w:eastAsiaTheme="minorEastAsia"/>
      <w:bCs w:val="0"/>
      <w:snapToGrid w:val="0"/>
      <w:color w:val="000000" w:themeColor="text1"/>
      <w:kern w:val="0"/>
      <w:szCs w:val="24"/>
      <w14:textFill>
        <w14:solidFill>
          <w14:schemeClr w14:val="tx1"/>
        </w14:solidFill>
      </w14:textFill>
    </w:rPr>
  </w:style>
  <w:style w:type="paragraph" w:customStyle="1" w:styleId="1040">
    <w:name w:val="环评标题一级"/>
    <w:basedOn w:val="3"/>
    <w:qFormat/>
    <w:uiPriority w:val="0"/>
    <w:pPr>
      <w:keepNext w:val="0"/>
      <w:keepLines w:val="0"/>
      <w:widowControl w:val="0"/>
      <w:adjustRightInd w:val="0"/>
      <w:spacing w:beforeLines="50" w:afterLines="50" w:line="360" w:lineRule="exact"/>
      <w:ind w:left="620" w:hanging="420"/>
    </w:pPr>
    <w:rPr>
      <w:rFonts w:cs="Times New Roman"/>
      <w:snapToGrid w:val="0"/>
      <w:color w:val="000000" w:themeColor="text1"/>
      <w:kern w:val="0"/>
      <w:sz w:val="32"/>
      <w:szCs w:val="32"/>
      <w14:textFill>
        <w14:solidFill>
          <w14:schemeClr w14:val="tx1"/>
        </w14:solidFill>
      </w14:textFill>
    </w:rPr>
  </w:style>
  <w:style w:type="paragraph" w:customStyle="1" w:styleId="1041">
    <w:name w:val="样式 宋体 小四 黑色 首行缩进:  2字符 行距: 1.5 倍行距1"/>
    <w:basedOn w:val="1"/>
    <w:qFormat/>
    <w:uiPriority w:val="0"/>
    <w:pPr>
      <w:adjustRightInd w:val="0"/>
      <w:spacing w:line="360" w:lineRule="auto"/>
      <w:ind w:firstLine="200" w:firstLineChars="200"/>
      <w:jc w:val="left"/>
    </w:pPr>
    <w:rPr>
      <w:rFonts w:ascii="宋体" w:hAnsi="宋体" w:cs="Times New Roman"/>
      <w:color w:val="000000"/>
      <w:sz w:val="24"/>
      <w:szCs w:val="20"/>
    </w:rPr>
  </w:style>
  <w:style w:type="paragraph" w:customStyle="1" w:styleId="1042">
    <w:name w:val="样式 宋体 小四 红色 全部大写 居中 段前: 2.4 磅 段后: 2.4 磅"/>
    <w:basedOn w:val="1"/>
    <w:qFormat/>
    <w:uiPriority w:val="0"/>
    <w:pPr>
      <w:adjustRightInd w:val="0"/>
      <w:spacing w:after="48"/>
      <w:ind w:firstLine="228" w:firstLineChars="95"/>
      <w:jc w:val="center"/>
    </w:pPr>
    <w:rPr>
      <w:rFonts w:ascii="宋体" w:hAnsi="宋体" w:eastAsia="楷体_GB2312" w:cs="宋体"/>
      <w:caps/>
      <w:kern w:val="0"/>
    </w:rPr>
  </w:style>
  <w:style w:type="paragraph" w:customStyle="1" w:styleId="1043">
    <w:name w:val="表下注释"/>
    <w:basedOn w:val="833"/>
    <w:qFormat/>
    <w:uiPriority w:val="0"/>
    <w:pPr>
      <w:keepNext/>
      <w:keepLines/>
      <w:adjustRightInd w:val="0"/>
      <w:snapToGrid w:val="0"/>
      <w:spacing w:before="60" w:after="60" w:line="240" w:lineRule="exact"/>
      <w:ind w:left="620" w:firstLine="200" w:firstLineChars="0"/>
      <w:jc w:val="center"/>
    </w:pPr>
    <w:rPr>
      <w:rFonts w:eastAsia="仿宋_GB2312"/>
      <w:bCs/>
      <w:snapToGrid w:val="0"/>
      <w:kern w:val="0"/>
      <w:sz w:val="21"/>
      <w:szCs w:val="44"/>
    </w:rPr>
  </w:style>
  <w:style w:type="paragraph" w:customStyle="1" w:styleId="1044">
    <w:name w:val="环评标题二级"/>
    <w:basedOn w:val="3"/>
    <w:qFormat/>
    <w:uiPriority w:val="0"/>
    <w:pPr>
      <w:keepNext w:val="0"/>
      <w:keepLines w:val="0"/>
      <w:widowControl w:val="0"/>
      <w:adjustRightInd w:val="0"/>
      <w:spacing w:beforeLines="50" w:afterLines="50" w:line="360" w:lineRule="exact"/>
      <w:ind w:left="620" w:hanging="420"/>
      <w:jc w:val="left"/>
    </w:pPr>
    <w:rPr>
      <w:rFonts w:cs="Times New Roman"/>
      <w:snapToGrid w:val="0"/>
      <w:color w:val="000000" w:themeColor="text1"/>
      <w:kern w:val="0"/>
      <w:sz w:val="30"/>
      <w:szCs w:val="32"/>
      <w14:textFill>
        <w14:solidFill>
          <w14:schemeClr w14:val="tx1"/>
        </w14:solidFill>
      </w14:textFill>
    </w:rPr>
  </w:style>
  <w:style w:type="paragraph" w:customStyle="1" w:styleId="1045">
    <w:name w:val="样式 表名 + 首行缩进:  0.74 厘米"/>
    <w:basedOn w:val="1"/>
    <w:qFormat/>
    <w:uiPriority w:val="0"/>
    <w:pPr>
      <w:overflowPunct w:val="0"/>
      <w:adjustRightInd w:val="0"/>
      <w:spacing w:line="360" w:lineRule="auto"/>
      <w:jc w:val="center"/>
      <w:textAlignment w:val="baseline"/>
    </w:pPr>
    <w:rPr>
      <w:rFonts w:ascii="Arial" w:hAnsi="Arial" w:eastAsia="黑体" w:cs="Times New Roman"/>
      <w:color w:val="000000"/>
      <w:szCs w:val="20"/>
    </w:rPr>
  </w:style>
  <w:style w:type="paragraph" w:customStyle="1" w:styleId="1046">
    <w:name w:val="图表1"/>
    <w:next w:val="1"/>
    <w:qFormat/>
    <w:uiPriority w:val="0"/>
    <w:pPr>
      <w:spacing w:line="240" w:lineRule="atLeast"/>
      <w:jc w:val="center"/>
    </w:pPr>
    <w:rPr>
      <w:rFonts w:ascii="楷体_GB2312" w:hAnsi="Times New Roman" w:eastAsia="楷体_GB2312" w:cs="Times New Roman"/>
      <w:sz w:val="21"/>
      <w:lang w:val="en-US" w:eastAsia="zh-CN" w:bidi="ar-SA"/>
    </w:rPr>
  </w:style>
  <w:style w:type="paragraph" w:customStyle="1" w:styleId="1047">
    <w:name w:val="正"/>
    <w:basedOn w:val="1"/>
    <w:qFormat/>
    <w:uiPriority w:val="0"/>
    <w:pPr>
      <w:adjustRightInd w:val="0"/>
      <w:spacing w:line="480" w:lineRule="exact"/>
      <w:ind w:firstLine="560" w:firstLineChars="200"/>
      <w:jc w:val="left"/>
    </w:pPr>
    <w:rPr>
      <w:rFonts w:ascii="Times New Roman" w:hAnsi="Times New Roman" w:cs="Times New Roman"/>
      <w:sz w:val="28"/>
      <w:szCs w:val="28"/>
    </w:rPr>
  </w:style>
  <w:style w:type="paragraph" w:customStyle="1" w:styleId="1048">
    <w:name w:val="样式8表号"/>
    <w:next w:val="974"/>
    <w:qFormat/>
    <w:uiPriority w:val="0"/>
    <w:pPr>
      <w:spacing w:line="360" w:lineRule="auto"/>
      <w:ind w:firstLine="510"/>
      <w:jc w:val="both"/>
    </w:pPr>
    <w:rPr>
      <w:rFonts w:ascii="Times New Roman" w:hAnsi="Times New Roman" w:eastAsia="宋体" w:cs="Times New Roman"/>
      <w:lang w:val="en-US" w:eastAsia="zh-CN" w:bidi="ar-SA"/>
    </w:rPr>
  </w:style>
  <w:style w:type="paragraph" w:customStyle="1" w:styleId="1049">
    <w:name w:val="图表名"/>
    <w:basedOn w:val="1"/>
    <w:link w:val="2504"/>
    <w:qFormat/>
    <w:uiPriority w:val="0"/>
    <w:pPr>
      <w:adjustRightInd w:val="0"/>
      <w:spacing w:beforeLines="30" w:afterLines="30" w:line="440" w:lineRule="exact"/>
      <w:jc w:val="left"/>
    </w:pPr>
    <w:rPr>
      <w:rFonts w:ascii="Times New Roman" w:hAnsi="Times New Roman" w:eastAsia="黑体" w:cs="Times New Roman"/>
      <w:color w:val="000000"/>
      <w:sz w:val="24"/>
    </w:rPr>
  </w:style>
  <w:style w:type="paragraph" w:customStyle="1" w:styleId="1050">
    <w:name w:val="文本框"/>
    <w:basedOn w:val="1"/>
    <w:qFormat/>
    <w:uiPriority w:val="0"/>
    <w:pPr>
      <w:adjustRightInd w:val="0"/>
      <w:spacing w:after="6"/>
      <w:jc w:val="center"/>
    </w:pPr>
    <w:rPr>
      <w:rFonts w:ascii="Times New Roman" w:hAnsi="Times New Roman" w:eastAsia="仿宋_GB2312" w:cs="Times New Roman"/>
    </w:rPr>
  </w:style>
  <w:style w:type="paragraph" w:customStyle="1" w:styleId="1051">
    <w:name w:val="引文目录1"/>
    <w:basedOn w:val="1"/>
    <w:next w:val="1"/>
    <w:qFormat/>
    <w:uiPriority w:val="0"/>
    <w:pPr>
      <w:adjustRightInd w:val="0"/>
      <w:jc w:val="left"/>
    </w:pPr>
    <w:rPr>
      <w:rFonts w:ascii="宋体" w:hAnsi="Times New Roman" w:cs="Times New Roman"/>
      <w:sz w:val="28"/>
      <w:szCs w:val="20"/>
    </w:rPr>
  </w:style>
  <w:style w:type="paragraph" w:customStyle="1" w:styleId="1052">
    <w:name w:val="默认段落字体 Para Char Char Char Char Char Char Char Char Char Char Char Char Char1 Char"/>
    <w:basedOn w:val="942"/>
    <w:qFormat/>
    <w:uiPriority w:val="0"/>
    <w:pPr>
      <w:spacing w:line="240" w:lineRule="auto"/>
      <w:ind w:firstLine="0" w:firstLineChars="0"/>
    </w:pPr>
    <w:rPr>
      <w:rFonts w:ascii="Tahoma" w:hAnsi="Tahoma"/>
    </w:rPr>
  </w:style>
  <w:style w:type="paragraph" w:customStyle="1" w:styleId="1053">
    <w:name w:val="列表 21"/>
    <w:basedOn w:val="1"/>
    <w:qFormat/>
    <w:uiPriority w:val="0"/>
    <w:pPr>
      <w:adjustRightInd w:val="0"/>
      <w:spacing w:beforeLines="10" w:line="480" w:lineRule="atLeast"/>
      <w:ind w:left="100" w:leftChars="200" w:hanging="200" w:hangingChars="200"/>
      <w:jc w:val="left"/>
    </w:pPr>
    <w:rPr>
      <w:rFonts w:ascii="Times New Roman" w:hAnsi="Times New Roman" w:cs="Times New Roman"/>
      <w:snapToGrid w:val="0"/>
      <w:kern w:val="0"/>
      <w:sz w:val="24"/>
    </w:rPr>
  </w:style>
  <w:style w:type="paragraph" w:customStyle="1" w:styleId="1054">
    <w:name w:val="简单回函地址"/>
    <w:basedOn w:val="1"/>
    <w:qFormat/>
    <w:uiPriority w:val="0"/>
    <w:pPr>
      <w:adjustRightInd w:val="0"/>
      <w:jc w:val="left"/>
    </w:pPr>
    <w:rPr>
      <w:rFonts w:ascii="宋体" w:hAnsi="宋体" w:cs="Times New Roman"/>
      <w:sz w:val="24"/>
      <w:szCs w:val="32"/>
    </w:rPr>
  </w:style>
  <w:style w:type="paragraph" w:customStyle="1" w:styleId="1055">
    <w:name w:val="Char Char Char Char1"/>
    <w:basedOn w:val="1"/>
    <w:qFormat/>
    <w:uiPriority w:val="0"/>
    <w:pPr>
      <w:adjustRightInd w:val="0"/>
      <w:spacing w:line="360" w:lineRule="auto"/>
      <w:jc w:val="left"/>
    </w:pPr>
    <w:rPr>
      <w:rFonts w:ascii="Times New Roman" w:hAnsi="Times New Roman" w:cs="Times New Roman"/>
      <w:spacing w:val="6"/>
      <w:sz w:val="28"/>
    </w:rPr>
  </w:style>
  <w:style w:type="paragraph" w:customStyle="1" w:styleId="1056">
    <w:name w:val="b"/>
    <w:basedOn w:val="4"/>
    <w:qFormat/>
    <w:uiPriority w:val="0"/>
    <w:pPr>
      <w:keepNext w:val="0"/>
      <w:keepLines w:val="0"/>
      <w:adjustRightInd w:val="0"/>
      <w:spacing w:beforeLines="10" w:after="156" w:line="240" w:lineRule="auto"/>
      <w:ind w:left="840" w:hanging="420"/>
      <w:textAlignment w:val="baseline"/>
    </w:pPr>
    <w:rPr>
      <w:rFonts w:eastAsia="仿宋_GB2312" w:cs="Times New Roman"/>
      <w:snapToGrid w:val="0"/>
      <w:color w:val="000000"/>
      <w:kern w:val="0"/>
      <w:sz w:val="32"/>
      <w:szCs w:val="20"/>
    </w:rPr>
  </w:style>
  <w:style w:type="paragraph" w:customStyle="1" w:styleId="1057">
    <w:name w:val="列表编号 41"/>
    <w:basedOn w:val="1"/>
    <w:qFormat/>
    <w:uiPriority w:val="0"/>
    <w:pPr>
      <w:tabs>
        <w:tab w:val="left" w:pos="1620"/>
      </w:tabs>
      <w:adjustRightInd w:val="0"/>
      <w:spacing w:beforeLines="10" w:line="480" w:lineRule="atLeast"/>
      <w:ind w:left="1620" w:hanging="360" w:firstLineChars="200"/>
      <w:jc w:val="left"/>
    </w:pPr>
    <w:rPr>
      <w:rFonts w:ascii="Times New Roman" w:hAnsi="Times New Roman" w:cs="Times New Roman"/>
      <w:snapToGrid w:val="0"/>
      <w:kern w:val="0"/>
      <w:sz w:val="24"/>
    </w:rPr>
  </w:style>
  <w:style w:type="paragraph" w:customStyle="1" w:styleId="1058">
    <w:name w:val="表格内容1"/>
    <w:basedOn w:val="921"/>
    <w:qFormat/>
    <w:uiPriority w:val="0"/>
    <w:pPr>
      <w:spacing w:line="240" w:lineRule="exact"/>
    </w:pPr>
  </w:style>
  <w:style w:type="paragraph" w:customStyle="1" w:styleId="1059">
    <w:name w:val="Char1 Char Char Char Char Char Char Char Char"/>
    <w:basedOn w:val="1"/>
    <w:qFormat/>
    <w:uiPriority w:val="0"/>
    <w:pPr>
      <w:widowControl/>
      <w:adjustRightInd w:val="0"/>
      <w:spacing w:line="360" w:lineRule="auto"/>
      <w:ind w:firstLine="200" w:firstLineChars="200"/>
      <w:jc w:val="left"/>
    </w:pPr>
    <w:rPr>
      <w:rFonts w:ascii="宋体" w:hAnsi="宋体" w:cs="宋体"/>
      <w:kern w:val="0"/>
      <w:sz w:val="24"/>
      <w:szCs w:val="26"/>
    </w:rPr>
  </w:style>
  <w:style w:type="paragraph" w:customStyle="1" w:styleId="1060">
    <w:name w:val="Char Char Char Char Char Char"/>
    <w:basedOn w:val="1"/>
    <w:qFormat/>
    <w:uiPriority w:val="0"/>
    <w:pPr>
      <w:adjustRightInd w:val="0"/>
      <w:jc w:val="left"/>
    </w:pPr>
    <w:rPr>
      <w:rFonts w:ascii="Times New Roman" w:hAnsi="Times New Roman" w:cs="Times New Roman"/>
    </w:rPr>
  </w:style>
  <w:style w:type="character" w:customStyle="1" w:styleId="1061">
    <w:name w:val="标准样式 Char Char"/>
    <w:link w:val="1062"/>
    <w:qFormat/>
    <w:uiPriority w:val="0"/>
    <w:rPr>
      <w:sz w:val="28"/>
    </w:rPr>
  </w:style>
  <w:style w:type="paragraph" w:customStyle="1" w:styleId="1062">
    <w:name w:val="标准样式"/>
    <w:link w:val="1061"/>
    <w:qFormat/>
    <w:uiPriority w:val="0"/>
    <w:pPr>
      <w:widowControl w:val="0"/>
      <w:spacing w:line="600" w:lineRule="exact"/>
      <w:ind w:firstLine="200" w:firstLineChars="200"/>
      <w:jc w:val="both"/>
    </w:pPr>
    <w:rPr>
      <w:rFonts w:asciiTheme="minorHAnsi" w:hAnsiTheme="minorHAnsi" w:eastAsiaTheme="minorEastAsia" w:cstheme="minorBidi"/>
      <w:kern w:val="2"/>
      <w:sz w:val="28"/>
      <w:szCs w:val="21"/>
      <w:lang w:val="en-US" w:eastAsia="zh-CN" w:bidi="ar-SA"/>
    </w:rPr>
  </w:style>
  <w:style w:type="character" w:customStyle="1" w:styleId="1063">
    <w:name w:val="Char Char32"/>
    <w:qFormat/>
    <w:uiPriority w:val="0"/>
    <w:rPr>
      <w:rFonts w:eastAsia="宋体"/>
      <w:b/>
      <w:bCs/>
      <w:kern w:val="2"/>
      <w:sz w:val="26"/>
      <w:szCs w:val="32"/>
      <w:lang w:val="en-US" w:eastAsia="zh-CN" w:bidi="ar-SA"/>
    </w:rPr>
  </w:style>
  <w:style w:type="character" w:customStyle="1" w:styleId="1064">
    <w:name w:val="正文首行缩进 Char1"/>
    <w:qFormat/>
    <w:uiPriority w:val="0"/>
    <w:rPr>
      <w:rFonts w:ascii="Times New Roman" w:hAnsi="Times New Roman" w:eastAsia="宋体" w:cs="Times New Roman"/>
      <w:sz w:val="26"/>
    </w:rPr>
  </w:style>
  <w:style w:type="character" w:customStyle="1" w:styleId="1065">
    <w:name w:val="样式17 Char"/>
    <w:link w:val="1029"/>
    <w:qFormat/>
    <w:uiPriority w:val="0"/>
    <w:rPr>
      <w:rFonts w:ascii="Times New Roman" w:hAnsi="Times New Roman" w:eastAsia="宋体" w:cs="Times New Roman"/>
      <w:b/>
      <w:bCs/>
      <w:snapToGrid w:val="0"/>
      <w:color w:val="000000" w:themeColor="text1"/>
      <w:kern w:val="0"/>
      <w:sz w:val="30"/>
      <w:szCs w:val="32"/>
      <w14:textFill>
        <w14:solidFill>
          <w14:schemeClr w14:val="tx1"/>
        </w14:solidFill>
      </w14:textFill>
    </w:rPr>
  </w:style>
  <w:style w:type="character" w:customStyle="1" w:styleId="1066">
    <w:name w:val="样式21 Char"/>
    <w:qFormat/>
    <w:uiPriority w:val="0"/>
    <w:rPr>
      <w:rFonts w:ascii="Swis721 BT" w:hAnsi="Swis721 BT" w:eastAsia="黑体" w:cs="黑体"/>
      <w:b/>
      <w:bCs/>
      <w:kern w:val="2"/>
      <w:sz w:val="28"/>
      <w:szCs w:val="28"/>
      <w:lang w:val="en-US" w:eastAsia="zh-CN" w:bidi="ar-SA"/>
    </w:rPr>
  </w:style>
  <w:style w:type="paragraph" w:customStyle="1" w:styleId="1067">
    <w:name w:val="样式24"/>
    <w:basedOn w:val="845"/>
    <w:link w:val="1068"/>
    <w:qFormat/>
    <w:uiPriority w:val="0"/>
    <w:pPr>
      <w:keepNext/>
      <w:keepLines/>
      <w:spacing w:line="355" w:lineRule="auto"/>
      <w:ind w:firstLine="0" w:firstLineChars="0"/>
      <w:outlineLvl w:val="3"/>
    </w:pPr>
    <w:rPr>
      <w:rFonts w:ascii="Swis721 Lt BT" w:hAnsi="Swis721 Lt BT" w:eastAsia="方正细黑一简体"/>
      <w:bCs/>
      <w:sz w:val="28"/>
      <w:szCs w:val="28"/>
    </w:rPr>
  </w:style>
  <w:style w:type="character" w:customStyle="1" w:styleId="1068">
    <w:name w:val="样式24 Char"/>
    <w:link w:val="1067"/>
    <w:qFormat/>
    <w:uiPriority w:val="0"/>
    <w:rPr>
      <w:rFonts w:ascii="Swis721 Lt BT" w:hAnsi="Swis721 Lt BT" w:eastAsia="方正细黑一简体"/>
      <w:bCs/>
      <w:sz w:val="28"/>
      <w:szCs w:val="28"/>
    </w:rPr>
  </w:style>
  <w:style w:type="paragraph" w:customStyle="1" w:styleId="1069">
    <w:name w:val="样式23"/>
    <w:basedOn w:val="1"/>
    <w:link w:val="1070"/>
    <w:qFormat/>
    <w:uiPriority w:val="0"/>
    <w:pPr>
      <w:adjustRightInd w:val="0"/>
      <w:spacing w:line="300" w:lineRule="auto"/>
      <w:ind w:firstLine="240" w:firstLineChars="100"/>
      <w:jc w:val="left"/>
    </w:pPr>
    <w:rPr>
      <w:rFonts w:ascii="黑体" w:hAnsi="Times New Roman" w:eastAsia="黑体" w:cs="Times New Roman"/>
      <w:kern w:val="0"/>
      <w:sz w:val="24"/>
      <w:szCs w:val="24"/>
    </w:rPr>
  </w:style>
  <w:style w:type="character" w:customStyle="1" w:styleId="1070">
    <w:name w:val="样式23 Char"/>
    <w:link w:val="1069"/>
    <w:qFormat/>
    <w:uiPriority w:val="0"/>
    <w:rPr>
      <w:rFonts w:ascii="黑体" w:hAnsi="Times New Roman" w:eastAsia="黑体" w:cs="Times New Roman"/>
      <w:kern w:val="0"/>
      <w:sz w:val="24"/>
      <w:szCs w:val="24"/>
    </w:rPr>
  </w:style>
  <w:style w:type="paragraph" w:customStyle="1" w:styleId="1071">
    <w:name w:val="表内-文字"/>
    <w:basedOn w:val="1"/>
    <w:qFormat/>
    <w:uiPriority w:val="0"/>
    <w:pPr>
      <w:spacing w:line="320" w:lineRule="exact"/>
      <w:jc w:val="center"/>
    </w:pPr>
    <w:rPr>
      <w:rFonts w:ascii="Times New Roman" w:hAnsi="Times New Roman" w:eastAsia="楷体_GB2312" w:cs="宋体"/>
      <w:bCs/>
      <w:color w:val="000000"/>
    </w:rPr>
  </w:style>
  <w:style w:type="paragraph" w:customStyle="1" w:styleId="1072">
    <w:name w:val="Char Char Char3 Char1"/>
    <w:basedOn w:val="1"/>
    <w:qFormat/>
    <w:uiPriority w:val="0"/>
    <w:pPr>
      <w:spacing w:line="360" w:lineRule="auto"/>
      <w:ind w:firstLine="200" w:firstLineChars="200"/>
      <w:jc w:val="left"/>
    </w:pPr>
    <w:rPr>
      <w:rFonts w:ascii="宋体" w:hAnsi="宋体" w:cs="宋体"/>
      <w:sz w:val="24"/>
      <w:szCs w:val="24"/>
    </w:rPr>
  </w:style>
  <w:style w:type="paragraph" w:customStyle="1" w:styleId="1073">
    <w:name w:val="Char Char Char4"/>
    <w:basedOn w:val="1"/>
    <w:semiHidden/>
    <w:qFormat/>
    <w:uiPriority w:val="0"/>
    <w:pPr>
      <w:jc w:val="left"/>
    </w:pPr>
    <w:rPr>
      <w:rFonts w:ascii="Times New Roman" w:hAnsi="Times New Roman" w:cs="Times New Roman"/>
      <w:szCs w:val="24"/>
    </w:rPr>
  </w:style>
  <w:style w:type="paragraph" w:customStyle="1" w:styleId="1074">
    <w:name w:val="Char Char Char3"/>
    <w:basedOn w:val="1"/>
    <w:qFormat/>
    <w:uiPriority w:val="0"/>
    <w:pPr>
      <w:jc w:val="left"/>
    </w:pPr>
    <w:rPr>
      <w:rFonts w:ascii="Times New Roman" w:hAnsi="Times New Roman" w:cs="Times New Roman"/>
      <w:szCs w:val="24"/>
    </w:rPr>
  </w:style>
  <w:style w:type="paragraph" w:customStyle="1" w:styleId="1075">
    <w:name w:val="20"/>
    <w:basedOn w:val="1"/>
    <w:qFormat/>
    <w:uiPriority w:val="0"/>
    <w:pPr>
      <w:widowControl/>
      <w:spacing w:after="160" w:line="240" w:lineRule="exact"/>
      <w:jc w:val="left"/>
    </w:pPr>
    <w:rPr>
      <w:rFonts w:ascii="Times New Roman" w:hAnsi="Times New Roman" w:cs="Times New Roman"/>
      <w:b/>
      <w:sz w:val="28"/>
      <w:szCs w:val="24"/>
    </w:rPr>
  </w:style>
  <w:style w:type="character" w:customStyle="1" w:styleId="1076">
    <w:name w:val="标题 2 Char3"/>
    <w:qFormat/>
    <w:uiPriority w:val="0"/>
    <w:rPr>
      <w:rFonts w:ascii="Arial" w:hAnsi="Arial" w:eastAsia="宋体" w:cs="Times New Roman"/>
      <w:b/>
      <w:bCs/>
      <w:sz w:val="28"/>
      <w:szCs w:val="32"/>
    </w:rPr>
  </w:style>
  <w:style w:type="character" w:customStyle="1" w:styleId="1077">
    <w:name w:val="标题 5 Char1"/>
    <w:qFormat/>
    <w:uiPriority w:val="0"/>
    <w:rPr>
      <w:rFonts w:ascii="Times New Roman" w:hAnsi="Times New Roman" w:eastAsia="宋体" w:cs="Times New Roman"/>
      <w:b/>
      <w:bCs/>
      <w:sz w:val="28"/>
      <w:szCs w:val="28"/>
    </w:rPr>
  </w:style>
  <w:style w:type="character" w:customStyle="1" w:styleId="1078">
    <w:name w:val="标题 6 Char1"/>
    <w:qFormat/>
    <w:uiPriority w:val="0"/>
    <w:rPr>
      <w:rFonts w:ascii="Arial" w:hAnsi="Arial" w:eastAsia="黑体" w:cs="Times New Roman"/>
      <w:b/>
      <w:bCs/>
      <w:sz w:val="24"/>
      <w:szCs w:val="24"/>
    </w:rPr>
  </w:style>
  <w:style w:type="character" w:customStyle="1" w:styleId="1079">
    <w:name w:val="标题 8 Char1"/>
    <w:qFormat/>
    <w:uiPriority w:val="0"/>
    <w:rPr>
      <w:rFonts w:ascii="Arial" w:hAnsi="Arial" w:eastAsia="黑体" w:cs="Times New Roman"/>
      <w:b/>
      <w:sz w:val="24"/>
      <w:szCs w:val="24"/>
    </w:rPr>
  </w:style>
  <w:style w:type="character" w:customStyle="1" w:styleId="1080">
    <w:name w:val="标题 9 Char1"/>
    <w:qFormat/>
    <w:uiPriority w:val="0"/>
    <w:rPr>
      <w:rFonts w:ascii="Arial" w:hAnsi="Arial" w:eastAsia="黑体" w:cs="Times New Roman"/>
      <w:b/>
      <w:sz w:val="28"/>
      <w:szCs w:val="21"/>
    </w:rPr>
  </w:style>
  <w:style w:type="character" w:customStyle="1" w:styleId="1081">
    <w:name w:val="！表标题 Char1"/>
    <w:qFormat/>
    <w:uiPriority w:val="0"/>
    <w:rPr>
      <w:rFonts w:ascii="黑体" w:hAnsi="宋体" w:eastAsia="黑体" w:cs="宋体"/>
      <w:b/>
      <w:color w:val="000000"/>
      <w:kern w:val="2"/>
      <w:sz w:val="24"/>
      <w:szCs w:val="24"/>
      <w:u w:color="000000"/>
      <w:lang w:val="en-US" w:eastAsia="zh-CN" w:bidi="ar-SA"/>
    </w:rPr>
  </w:style>
  <w:style w:type="character" w:customStyle="1" w:styleId="1082">
    <w:name w:val="unnamed6"/>
    <w:qFormat/>
    <w:uiPriority w:val="0"/>
  </w:style>
  <w:style w:type="character" w:customStyle="1" w:styleId="1083">
    <w:name w:val="报告书正文 Char Char Char Char Char Char"/>
    <w:qFormat/>
    <w:uiPriority w:val="0"/>
    <w:rPr>
      <w:rFonts w:eastAsia="宋体"/>
      <w:color w:val="000000"/>
      <w:kern w:val="2"/>
      <w:sz w:val="24"/>
      <w:szCs w:val="24"/>
      <w:lang w:val="en-US" w:eastAsia="zh-CN" w:bidi="ar-SA"/>
    </w:rPr>
  </w:style>
  <w:style w:type="character" w:customStyle="1" w:styleId="1084">
    <w:name w:val="表文 Char Char Char Char Char Char Char Char Char"/>
    <w:qFormat/>
    <w:uiPriority w:val="0"/>
    <w:rPr>
      <w:rFonts w:eastAsia="宋体"/>
      <w:kern w:val="2"/>
      <w:sz w:val="18"/>
      <w:szCs w:val="18"/>
      <w:lang w:val="en-US" w:eastAsia="zh-CN" w:bidi="ar-SA"/>
    </w:rPr>
  </w:style>
  <w:style w:type="character" w:customStyle="1" w:styleId="1085">
    <w:name w:val="标题3 Char Char1 Char"/>
    <w:qFormat/>
    <w:uiPriority w:val="0"/>
    <w:rPr>
      <w:rFonts w:ascii="黑体" w:hAnsi="宋体" w:eastAsia="黑体"/>
      <w:b/>
      <w:bCs/>
      <w:sz w:val="24"/>
      <w:szCs w:val="32"/>
      <w:lang w:val="en-US" w:eastAsia="zh-CN" w:bidi="ar-SA"/>
    </w:rPr>
  </w:style>
  <w:style w:type="character" w:customStyle="1" w:styleId="1086">
    <w:name w:val="9正文 Char Char"/>
    <w:link w:val="1087"/>
    <w:qFormat/>
    <w:uiPriority w:val="0"/>
    <w:rPr>
      <w:rFonts w:ascii="宋体"/>
      <w:sz w:val="24"/>
    </w:rPr>
  </w:style>
  <w:style w:type="paragraph" w:customStyle="1" w:styleId="1087">
    <w:name w:val="9正文"/>
    <w:basedOn w:val="1"/>
    <w:link w:val="1086"/>
    <w:qFormat/>
    <w:uiPriority w:val="0"/>
    <w:pPr>
      <w:spacing w:afterLines="50" w:line="360" w:lineRule="auto"/>
      <w:ind w:firstLine="480" w:firstLineChars="200"/>
      <w:jc w:val="left"/>
      <w:textAlignment w:val="center"/>
    </w:pPr>
    <w:rPr>
      <w:rFonts w:ascii="宋体"/>
      <w:sz w:val="24"/>
    </w:rPr>
  </w:style>
  <w:style w:type="character" w:customStyle="1" w:styleId="1088">
    <w:name w:val="表头 Char1"/>
    <w:qFormat/>
    <w:uiPriority w:val="0"/>
    <w:rPr>
      <w:rFonts w:eastAsia="黑体"/>
      <w:kern w:val="2"/>
      <w:sz w:val="24"/>
      <w:szCs w:val="24"/>
      <w:lang w:val="en-US" w:eastAsia="zh-CN" w:bidi="ar-SA"/>
    </w:rPr>
  </w:style>
  <w:style w:type="character" w:customStyle="1" w:styleId="1089">
    <w:name w:val="big1"/>
    <w:qFormat/>
    <w:uiPriority w:val="0"/>
    <w:rPr>
      <w:rFonts w:ascii="Times New Roman" w:eastAsia="宋体"/>
      <w:b/>
      <w:color w:val="000000"/>
      <w:spacing w:val="0"/>
      <w:w w:val="100"/>
      <w:sz w:val="22"/>
      <w:u w:val="none" w:color="000000"/>
      <w:vertAlign w:val="baseline"/>
      <w:lang w:val="en-US" w:eastAsia="zh-CN"/>
    </w:rPr>
  </w:style>
  <w:style w:type="character" w:customStyle="1" w:styleId="1090">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1091">
    <w:name w:val="特点标题 Char Char Char Char Char Char Char Char Char Char Char Char"/>
    <w:link w:val="1092"/>
    <w:qFormat/>
    <w:uiPriority w:val="0"/>
    <w:rPr>
      <w:rFonts w:ascii="宋体"/>
      <w:sz w:val="24"/>
    </w:rPr>
  </w:style>
  <w:style w:type="paragraph" w:customStyle="1" w:styleId="1092">
    <w:name w:val="正文文本缩进2"/>
    <w:basedOn w:val="1"/>
    <w:link w:val="1091"/>
    <w:qFormat/>
    <w:uiPriority w:val="0"/>
    <w:pPr>
      <w:spacing w:after="120" w:line="360" w:lineRule="atLeast"/>
      <w:ind w:left="420" w:leftChars="200"/>
      <w:jc w:val="left"/>
      <w:textAlignment w:val="baseline"/>
    </w:pPr>
    <w:rPr>
      <w:rFonts w:ascii="宋体"/>
      <w:sz w:val="24"/>
    </w:rPr>
  </w:style>
  <w:style w:type="character" w:customStyle="1" w:styleId="1093">
    <w:name w:val="!表格标题（alt+h） Char Char"/>
    <w:link w:val="1094"/>
    <w:qFormat/>
    <w:uiPriority w:val="0"/>
    <w:rPr>
      <w:rFonts w:hAnsi="宋体" w:eastAsia="黑体"/>
      <w:sz w:val="24"/>
      <w:szCs w:val="24"/>
    </w:rPr>
  </w:style>
  <w:style w:type="paragraph" w:customStyle="1" w:styleId="1094">
    <w:name w:val="!表格标题（alt+h） Char"/>
    <w:basedOn w:val="1"/>
    <w:link w:val="1093"/>
    <w:qFormat/>
    <w:uiPriority w:val="0"/>
    <w:pPr>
      <w:spacing w:beforeLines="50" w:afterLines="25" w:line="300" w:lineRule="auto"/>
      <w:jc w:val="center"/>
      <w:outlineLvl w:val="4"/>
    </w:pPr>
    <w:rPr>
      <w:rFonts w:hAnsi="宋体" w:eastAsia="黑体"/>
      <w:sz w:val="24"/>
      <w:szCs w:val="24"/>
    </w:rPr>
  </w:style>
  <w:style w:type="paragraph" w:customStyle="1" w:styleId="1095">
    <w:name w:val="!表格（alt+t) Char"/>
    <w:basedOn w:val="1"/>
    <w:link w:val="1395"/>
    <w:qFormat/>
    <w:uiPriority w:val="0"/>
    <w:pPr>
      <w:spacing w:line="240" w:lineRule="atLeast"/>
      <w:jc w:val="center"/>
    </w:pPr>
    <w:rPr>
      <w:rFonts w:ascii="Calibri" w:hAnsi="宋体" w:eastAsia="宋体" w:cs="Times New Roman"/>
      <w:kern w:val="0"/>
      <w:sz w:val="20"/>
      <w:szCs w:val="24"/>
    </w:rPr>
  </w:style>
  <w:style w:type="character" w:customStyle="1" w:styleId="1096">
    <w:name w:val="纯文本3"/>
    <w:qFormat/>
    <w:uiPriority w:val="0"/>
    <w:rPr>
      <w:rFonts w:ascii="宋体" w:hAnsi="Courier New" w:eastAsia="宋体" w:cs="Courier New"/>
      <w:sz w:val="21"/>
      <w:szCs w:val="21"/>
      <w:lang w:val="en-US" w:eastAsia="zh-CN" w:bidi="ar-SA"/>
    </w:rPr>
  </w:style>
  <w:style w:type="character" w:customStyle="1" w:styleId="1097">
    <w:name w:val="blue1"/>
    <w:qFormat/>
    <w:uiPriority w:val="0"/>
    <w:rPr>
      <w:color w:val="0000FF"/>
    </w:rPr>
  </w:style>
  <w:style w:type="character" w:customStyle="1" w:styleId="1098">
    <w:name w:val="Char Char22"/>
    <w:qFormat/>
    <w:uiPriority w:val="0"/>
    <w:rPr>
      <w:rFonts w:ascii="宋体" w:eastAsia="宋体"/>
      <w:kern w:val="2"/>
      <w:sz w:val="26"/>
      <w:lang w:val="en-US" w:eastAsia="zh-CN" w:bidi="ar-SA"/>
    </w:rPr>
  </w:style>
  <w:style w:type="character" w:customStyle="1" w:styleId="1099">
    <w:name w:val="样式 (西文) ˎ̥ 四号"/>
    <w:qFormat/>
    <w:uiPriority w:val="0"/>
    <w:rPr>
      <w:rFonts w:ascii="ˎ̥" w:hAnsi="ˎ̥" w:eastAsia="宋体"/>
      <w:spacing w:val="6"/>
      <w:kern w:val="0"/>
      <w:sz w:val="24"/>
      <w:szCs w:val="24"/>
      <w:lang w:val="en-US" w:eastAsia="zh-CN" w:bidi="ar-SA"/>
    </w:rPr>
  </w:style>
  <w:style w:type="character" w:customStyle="1" w:styleId="1100">
    <w:name w:val="正文文字缩进 3 Char2"/>
    <w:qFormat/>
    <w:uiPriority w:val="0"/>
    <w:rPr>
      <w:rFonts w:eastAsia="宋体"/>
      <w:b/>
      <w:kern w:val="2"/>
      <w:sz w:val="16"/>
      <w:szCs w:val="16"/>
      <w:lang w:val="en-US" w:eastAsia="zh-CN" w:bidi="ar-SA"/>
    </w:rPr>
  </w:style>
  <w:style w:type="character" w:customStyle="1" w:styleId="1101">
    <w:name w:val="表号 Char Char Char Char Char Char"/>
    <w:qFormat/>
    <w:uiPriority w:val="0"/>
    <w:rPr>
      <w:rFonts w:eastAsia="宋体"/>
      <w:spacing w:val="6"/>
      <w:sz w:val="21"/>
      <w:szCs w:val="24"/>
      <w:lang w:val="en-US" w:eastAsia="zh-CN" w:bidi="ar-SA"/>
    </w:rPr>
  </w:style>
  <w:style w:type="character" w:customStyle="1" w:styleId="1102">
    <w:name w:val="Char Char10"/>
    <w:qFormat/>
    <w:uiPriority w:val="0"/>
    <w:rPr>
      <w:rFonts w:ascii="宋体" w:eastAsia="宋体"/>
      <w:kern w:val="2"/>
      <w:sz w:val="28"/>
      <w:lang w:val="en-US" w:eastAsia="zh-CN" w:bidi="ar-SA"/>
    </w:rPr>
  </w:style>
  <w:style w:type="character" w:customStyle="1" w:styleId="1103">
    <w:name w:val="text1"/>
    <w:qFormat/>
    <w:uiPriority w:val="0"/>
    <w:rPr>
      <w:sz w:val="21"/>
      <w:szCs w:val="21"/>
    </w:rPr>
  </w:style>
  <w:style w:type="character" w:customStyle="1" w:styleId="1104">
    <w:name w:val="样式1 Char Char Char Char Char Char Char Char"/>
    <w:link w:val="1105"/>
    <w:qFormat/>
    <w:uiPriority w:val="0"/>
    <w:rPr>
      <w:rFonts w:ascii="宋体" w:hAnsi="宋体"/>
      <w:sz w:val="24"/>
      <w:szCs w:val="24"/>
    </w:rPr>
  </w:style>
  <w:style w:type="paragraph" w:customStyle="1" w:styleId="1105">
    <w:name w:val="样式1 Char Char Char Char Char"/>
    <w:basedOn w:val="1"/>
    <w:link w:val="1104"/>
    <w:qFormat/>
    <w:uiPriority w:val="0"/>
    <w:pPr>
      <w:spacing w:line="560" w:lineRule="atLeast"/>
      <w:ind w:firstLine="480" w:firstLineChars="200"/>
      <w:jc w:val="left"/>
    </w:pPr>
    <w:rPr>
      <w:rFonts w:ascii="宋体" w:hAnsi="宋体"/>
      <w:sz w:val="24"/>
      <w:szCs w:val="24"/>
    </w:rPr>
  </w:style>
  <w:style w:type="character" w:customStyle="1" w:styleId="1106">
    <w:name w:val="normal1"/>
    <w:qFormat/>
    <w:uiPriority w:val="0"/>
    <w:rPr>
      <w:color w:val="000000"/>
      <w:spacing w:val="0"/>
      <w:sz w:val="12"/>
      <w:szCs w:val="12"/>
    </w:rPr>
  </w:style>
  <w:style w:type="character" w:customStyle="1" w:styleId="1107">
    <w:name w:val="正文小四 Char1"/>
    <w:link w:val="1108"/>
    <w:qFormat/>
    <w:uiPriority w:val="0"/>
    <w:rPr>
      <w:rFonts w:ascii="宋体" w:hAnsi="宋体" w:cs="宋体"/>
      <w:sz w:val="24"/>
    </w:rPr>
  </w:style>
  <w:style w:type="paragraph" w:customStyle="1" w:styleId="1108">
    <w:name w:val="正文小四"/>
    <w:basedOn w:val="1"/>
    <w:link w:val="1107"/>
    <w:qFormat/>
    <w:uiPriority w:val="0"/>
    <w:pPr>
      <w:spacing w:line="453" w:lineRule="atLeast"/>
      <w:ind w:firstLine="481"/>
      <w:jc w:val="left"/>
    </w:pPr>
    <w:rPr>
      <w:rFonts w:ascii="宋体" w:hAnsi="宋体" w:cs="宋体"/>
      <w:sz w:val="24"/>
    </w:rPr>
  </w:style>
  <w:style w:type="character" w:customStyle="1" w:styleId="1109">
    <w:name w:val="表名 Char Char Char Char Char1"/>
    <w:qFormat/>
    <w:uiPriority w:val="0"/>
    <w:rPr>
      <w:rFonts w:eastAsia="黑体"/>
      <w:kern w:val="2"/>
      <w:sz w:val="24"/>
      <w:szCs w:val="24"/>
      <w:lang w:val="en-US" w:eastAsia="zh-CN" w:bidi="ar-SA"/>
    </w:rPr>
  </w:style>
  <w:style w:type="character" w:customStyle="1" w:styleId="1110">
    <w:name w:val="!正文(alt+c) Char3"/>
    <w:qFormat/>
    <w:uiPriority w:val="0"/>
    <w:rPr>
      <w:rFonts w:eastAsia="宋体"/>
      <w:sz w:val="24"/>
      <w:lang w:val="en-US" w:eastAsia="zh-CN"/>
    </w:rPr>
  </w:style>
  <w:style w:type="character" w:customStyle="1" w:styleId="1111">
    <w:name w:val="标4 Char Char Char Char Char"/>
    <w:qFormat/>
    <w:uiPriority w:val="0"/>
    <w:rPr>
      <w:rFonts w:ascii="宋体" w:hAnsi="宋体" w:eastAsia="宋体"/>
      <w:kern w:val="2"/>
      <w:sz w:val="24"/>
      <w:szCs w:val="30"/>
      <w:lang w:val="en-US" w:eastAsia="zh-CN" w:bidi="ar-SA"/>
    </w:rPr>
  </w:style>
  <w:style w:type="character" w:customStyle="1" w:styleId="1112">
    <w:name w:val="正文文本缩进 2 Char Char Char"/>
    <w:qFormat/>
    <w:uiPriority w:val="0"/>
    <w:rPr>
      <w:rFonts w:ascii="宋体" w:hAnsi="宋体" w:eastAsia="宋体"/>
      <w:spacing w:val="20"/>
      <w:kern w:val="2"/>
      <w:sz w:val="28"/>
      <w:szCs w:val="24"/>
      <w:lang w:val="en-US" w:eastAsia="zh-CN" w:bidi="ar-SA"/>
    </w:rPr>
  </w:style>
  <w:style w:type="character" w:customStyle="1" w:styleId="1113">
    <w:name w:val="标题 1.11"/>
    <w:qFormat/>
    <w:uiPriority w:val="0"/>
    <w:rPr>
      <w:rFonts w:ascii="黑体" w:hAnsi="宋体" w:eastAsia="黑体" w:cs="Arial"/>
      <w:b/>
      <w:sz w:val="28"/>
      <w:szCs w:val="24"/>
      <w:lang w:val="en-US" w:eastAsia="zh-CN" w:bidi="ar-SA"/>
    </w:rPr>
  </w:style>
  <w:style w:type="character" w:customStyle="1" w:styleId="1114">
    <w:name w:val="unnamed61"/>
    <w:qFormat/>
    <w:uiPriority w:val="0"/>
    <w:rPr>
      <w:color w:val="000000"/>
      <w:sz w:val="20"/>
      <w:szCs w:val="20"/>
    </w:rPr>
  </w:style>
  <w:style w:type="character" w:customStyle="1" w:styleId="1115">
    <w:name w:val="text1-11"/>
    <w:qFormat/>
    <w:uiPriority w:val="0"/>
    <w:rPr>
      <w:rFonts w:hint="default" w:ascii="ˎ̥" w:hAnsi="ˎ̥"/>
      <w:color w:val="FF0000"/>
      <w:sz w:val="20"/>
      <w:szCs w:val="20"/>
    </w:rPr>
  </w:style>
  <w:style w:type="character" w:customStyle="1" w:styleId="1116">
    <w:name w:val="style421"/>
    <w:qFormat/>
    <w:uiPriority w:val="0"/>
    <w:rPr>
      <w:sz w:val="22"/>
      <w:szCs w:val="22"/>
    </w:rPr>
  </w:style>
  <w:style w:type="character" w:customStyle="1" w:styleId="1117">
    <w:name w:val="报告书正文 Char Char Char Char Char Char Char Char Char Char Char Char"/>
    <w:link w:val="1118"/>
    <w:qFormat/>
    <w:uiPriority w:val="0"/>
    <w:rPr>
      <w:color w:val="000000"/>
      <w:sz w:val="24"/>
      <w:szCs w:val="24"/>
    </w:rPr>
  </w:style>
  <w:style w:type="paragraph" w:customStyle="1" w:styleId="1118">
    <w:name w:val="报告书正文 Char Char Char Char Char Char Char Char Char"/>
    <w:basedOn w:val="1"/>
    <w:link w:val="1117"/>
    <w:qFormat/>
    <w:uiPriority w:val="0"/>
    <w:pPr>
      <w:spacing w:line="300" w:lineRule="auto"/>
      <w:ind w:firstLine="480" w:firstLineChars="200"/>
      <w:jc w:val="left"/>
    </w:pPr>
    <w:rPr>
      <w:color w:val="000000"/>
      <w:sz w:val="24"/>
      <w:szCs w:val="24"/>
    </w:rPr>
  </w:style>
  <w:style w:type="character" w:customStyle="1" w:styleId="1119">
    <w:name w:val="样式 (符号) 宋体 小五"/>
    <w:qFormat/>
    <w:uiPriority w:val="0"/>
    <w:rPr>
      <w:rFonts w:ascii="Times New Roman" w:hAnsi="Times New Roman" w:eastAsia="宋体"/>
      <w:sz w:val="18"/>
    </w:rPr>
  </w:style>
  <w:style w:type="character" w:customStyle="1" w:styleId="1120">
    <w:name w:val="+标题2 Char Char"/>
    <w:link w:val="1121"/>
    <w:qFormat/>
    <w:uiPriority w:val="0"/>
    <w:rPr>
      <w:rFonts w:ascii="宋体" w:hAnsi="宋体"/>
      <w:b/>
      <w:bCs/>
      <w:sz w:val="28"/>
      <w:szCs w:val="28"/>
    </w:rPr>
  </w:style>
  <w:style w:type="paragraph" w:customStyle="1" w:styleId="1121">
    <w:name w:val="+标题2"/>
    <w:basedOn w:val="4"/>
    <w:link w:val="1120"/>
    <w:qFormat/>
    <w:uiPriority w:val="0"/>
    <w:pPr>
      <w:spacing w:after="120"/>
      <w:jc w:val="both"/>
    </w:pPr>
    <w:rPr>
      <w:rFonts w:ascii="宋体" w:hAnsi="宋体" w:eastAsiaTheme="minorEastAsia" w:cstheme="minorBidi"/>
      <w:sz w:val="28"/>
      <w:szCs w:val="28"/>
    </w:rPr>
  </w:style>
  <w:style w:type="character" w:customStyle="1" w:styleId="1122">
    <w:name w:val="cn1"/>
    <w:qFormat/>
    <w:uiPriority w:val="0"/>
    <w:rPr>
      <w:sz w:val="21"/>
      <w:szCs w:val="21"/>
    </w:rPr>
  </w:style>
  <w:style w:type="character" w:customStyle="1" w:styleId="1123">
    <w:name w:val="样式 标题 1 + 红色 Char Char Char Char Char Char Char Char"/>
    <w:link w:val="1124"/>
    <w:qFormat/>
    <w:uiPriority w:val="0"/>
    <w:rPr>
      <w:rFonts w:eastAsia="黑体"/>
      <w:bCs/>
      <w:color w:val="FF0000"/>
      <w:kern w:val="44"/>
      <w:sz w:val="32"/>
      <w:szCs w:val="44"/>
    </w:rPr>
  </w:style>
  <w:style w:type="paragraph" w:customStyle="1" w:styleId="1124">
    <w:name w:val="样式 标题 1 + 红色 Char Char"/>
    <w:basedOn w:val="3"/>
    <w:link w:val="1123"/>
    <w:qFormat/>
    <w:uiPriority w:val="0"/>
    <w:pPr>
      <w:widowControl w:val="0"/>
      <w:spacing w:line="578" w:lineRule="auto"/>
      <w:jc w:val="both"/>
    </w:pPr>
    <w:rPr>
      <w:rFonts w:eastAsia="黑体" w:asciiTheme="minorHAnsi" w:hAnsiTheme="minorHAnsi"/>
      <w:b w:val="0"/>
      <w:color w:val="FF0000"/>
      <w:sz w:val="32"/>
    </w:rPr>
  </w:style>
  <w:style w:type="character" w:customStyle="1" w:styleId="1125">
    <w:name w:val="Char Char Char8"/>
    <w:qFormat/>
    <w:uiPriority w:val="0"/>
    <w:rPr>
      <w:rFonts w:eastAsia="宋体"/>
      <w:kern w:val="2"/>
      <w:sz w:val="18"/>
      <w:szCs w:val="18"/>
      <w:lang w:val="en-US" w:eastAsia="zh-CN" w:bidi="ar-SA"/>
    </w:rPr>
  </w:style>
  <w:style w:type="character" w:customStyle="1" w:styleId="1126">
    <w:name w:val="尾注文本 Char Char"/>
    <w:qFormat/>
    <w:uiPriority w:val="0"/>
    <w:rPr>
      <w:rFonts w:hAnsi="宋体"/>
      <w:sz w:val="24"/>
      <w:lang w:val="en-US" w:eastAsia="zh-CN"/>
    </w:rPr>
  </w:style>
  <w:style w:type="character" w:customStyle="1" w:styleId="1127">
    <w:name w:val="heading 3 Char Char"/>
    <w:link w:val="1128"/>
    <w:qFormat/>
    <w:uiPriority w:val="0"/>
    <w:rPr>
      <w:rFonts w:ascii="宋体"/>
      <w:b/>
      <w:sz w:val="32"/>
    </w:rPr>
  </w:style>
  <w:style w:type="paragraph" w:customStyle="1" w:styleId="1128">
    <w:name w:val="标题 31"/>
    <w:basedOn w:val="1"/>
    <w:next w:val="1"/>
    <w:link w:val="1127"/>
    <w:qFormat/>
    <w:uiPriority w:val="0"/>
    <w:pPr>
      <w:keepNext/>
      <w:keepLines/>
      <w:spacing w:after="260" w:line="415" w:lineRule="auto"/>
      <w:jc w:val="left"/>
      <w:textAlignment w:val="baseline"/>
      <w:outlineLvl w:val="2"/>
    </w:pPr>
    <w:rPr>
      <w:rFonts w:ascii="宋体"/>
      <w:b/>
      <w:sz w:val="32"/>
    </w:rPr>
  </w:style>
  <w:style w:type="character" w:customStyle="1" w:styleId="1129">
    <w:name w:val="！表标题 Char Char"/>
    <w:link w:val="1130"/>
    <w:qFormat/>
    <w:uiPriority w:val="0"/>
    <w:rPr>
      <w:rFonts w:ascii="黑体" w:eastAsia="黑体"/>
      <w:color w:val="000000"/>
      <w:sz w:val="24"/>
      <w:szCs w:val="24"/>
      <w:u w:color="000000"/>
    </w:rPr>
  </w:style>
  <w:style w:type="paragraph" w:customStyle="1" w:styleId="1130">
    <w:name w:val="！表标题"/>
    <w:basedOn w:val="1"/>
    <w:link w:val="1129"/>
    <w:qFormat/>
    <w:uiPriority w:val="0"/>
    <w:pPr>
      <w:spacing w:beforeLines="50" w:afterLines="50" w:line="336" w:lineRule="auto"/>
      <w:jc w:val="center"/>
      <w:textAlignment w:val="baseline"/>
      <w:outlineLvl w:val="4"/>
    </w:pPr>
    <w:rPr>
      <w:rFonts w:ascii="黑体" w:eastAsia="黑体"/>
      <w:color w:val="000000"/>
      <w:sz w:val="24"/>
      <w:szCs w:val="24"/>
      <w:u w:color="000000"/>
    </w:rPr>
  </w:style>
  <w:style w:type="character" w:customStyle="1" w:styleId="1131">
    <w:name w:val="Char Char8"/>
    <w:qFormat/>
    <w:uiPriority w:val="0"/>
    <w:rPr>
      <w:rFonts w:ascii="宋体" w:hAnsi="宋体" w:eastAsia="宋体"/>
      <w:snapToGrid w:val="0"/>
      <w:sz w:val="24"/>
      <w:lang w:val="en-US" w:eastAsia="zh-CN" w:bidi="ar-SA"/>
    </w:rPr>
  </w:style>
  <w:style w:type="character" w:customStyle="1" w:styleId="1132">
    <w:name w:val="表名 Char1 Char Char Char1"/>
    <w:qFormat/>
    <w:uiPriority w:val="0"/>
    <w:rPr>
      <w:rFonts w:ascii="Arial" w:hAnsi="Arial" w:eastAsia="黑体"/>
      <w:kern w:val="2"/>
      <w:sz w:val="21"/>
      <w:szCs w:val="24"/>
      <w:lang w:val="en-US" w:eastAsia="zh-CN" w:bidi="ar-SA"/>
    </w:rPr>
  </w:style>
  <w:style w:type="character" w:customStyle="1" w:styleId="1133">
    <w:name w:val="XCHG论文正文 Char Char Char Char Char"/>
    <w:link w:val="1134"/>
    <w:qFormat/>
    <w:uiPriority w:val="0"/>
    <w:rPr>
      <w:color w:val="000000"/>
      <w:sz w:val="24"/>
      <w:szCs w:val="24"/>
    </w:rPr>
  </w:style>
  <w:style w:type="paragraph" w:customStyle="1" w:styleId="1134">
    <w:name w:val="XCHG论文正文 Char Char Char"/>
    <w:basedOn w:val="1"/>
    <w:link w:val="1133"/>
    <w:qFormat/>
    <w:uiPriority w:val="0"/>
    <w:pPr>
      <w:spacing w:line="288" w:lineRule="auto"/>
      <w:ind w:firstLine="480" w:firstLineChars="200"/>
      <w:jc w:val="left"/>
    </w:pPr>
    <w:rPr>
      <w:color w:val="000000"/>
      <w:sz w:val="24"/>
      <w:szCs w:val="24"/>
    </w:rPr>
  </w:style>
  <w:style w:type="character" w:customStyle="1" w:styleId="1135">
    <w:name w:val="rightword1"/>
    <w:qFormat/>
    <w:uiPriority w:val="0"/>
    <w:rPr>
      <w:rFonts w:hint="eastAsia" w:ascii="宋体" w:hAnsi="宋体" w:eastAsia="宋体"/>
      <w:color w:val="595E00"/>
    </w:rPr>
  </w:style>
  <w:style w:type="character" w:customStyle="1" w:styleId="1136">
    <w:name w:val="style151"/>
    <w:qFormat/>
    <w:uiPriority w:val="0"/>
    <w:rPr>
      <w:sz w:val="16"/>
      <w:szCs w:val="16"/>
    </w:rPr>
  </w:style>
  <w:style w:type="character" w:customStyle="1" w:styleId="1137">
    <w:name w:val="链接"/>
    <w:qFormat/>
    <w:uiPriority w:val="0"/>
    <w:rPr>
      <w:rFonts w:ascii="Times New Roman" w:eastAsia="宋体"/>
      <w:color w:val="0000FF"/>
      <w:sz w:val="21"/>
      <w:u w:val="single" w:color="0000FF"/>
      <w:vertAlign w:val="baseline"/>
      <w:lang w:val="en-US" w:eastAsia="zh-CN"/>
    </w:rPr>
  </w:style>
  <w:style w:type="character" w:customStyle="1" w:styleId="1138">
    <w:name w:val="脚注文本 Char Char"/>
    <w:qFormat/>
    <w:uiPriority w:val="0"/>
    <w:rPr>
      <w:rFonts w:hAnsi="宋体"/>
      <w:sz w:val="18"/>
      <w:lang w:val="en-US" w:eastAsia="zh-CN"/>
    </w:rPr>
  </w:style>
  <w:style w:type="character" w:customStyle="1" w:styleId="1139">
    <w:name w:val="Char Char12"/>
    <w:link w:val="1140"/>
    <w:qFormat/>
    <w:uiPriority w:val="0"/>
    <w:rPr>
      <w:rFonts w:ascii="Arial" w:hAnsi="Arial" w:eastAsia="黑体"/>
      <w:sz w:val="24"/>
    </w:rPr>
  </w:style>
  <w:style w:type="paragraph" w:customStyle="1" w:styleId="1140">
    <w:name w:val="标题 71"/>
    <w:basedOn w:val="1"/>
    <w:next w:val="1"/>
    <w:link w:val="1139"/>
    <w:qFormat/>
    <w:uiPriority w:val="0"/>
    <w:pPr>
      <w:keepNext/>
      <w:keepLines/>
      <w:tabs>
        <w:tab w:val="left" w:pos="1296"/>
      </w:tabs>
      <w:spacing w:after="64" w:line="319" w:lineRule="auto"/>
      <w:ind w:left="1296" w:hanging="1296"/>
      <w:jc w:val="left"/>
      <w:textAlignment w:val="baseline"/>
      <w:outlineLvl w:val="6"/>
    </w:pPr>
    <w:rPr>
      <w:rFonts w:ascii="Arial" w:hAnsi="Arial" w:eastAsia="黑体"/>
      <w:sz w:val="24"/>
    </w:rPr>
  </w:style>
  <w:style w:type="character" w:customStyle="1" w:styleId="1141">
    <w:name w:val="报告书正文 Char Char Char Char Char Char Char Char Char Char Char Char Char Char Char Char"/>
    <w:qFormat/>
    <w:uiPriority w:val="0"/>
    <w:rPr>
      <w:rFonts w:eastAsia="宋体"/>
      <w:color w:val="000000"/>
      <w:kern w:val="2"/>
      <w:sz w:val="24"/>
      <w:szCs w:val="24"/>
      <w:lang w:val="en-US" w:eastAsia="zh-CN" w:bidi="ar-SA"/>
    </w:rPr>
  </w:style>
  <w:style w:type="character" w:customStyle="1" w:styleId="1142">
    <w:name w:val="style41"/>
    <w:qFormat/>
    <w:uiPriority w:val="0"/>
    <w:rPr>
      <w:sz w:val="18"/>
      <w:szCs w:val="18"/>
    </w:rPr>
  </w:style>
  <w:style w:type="character" w:customStyle="1" w:styleId="1143">
    <w:name w:val="表名 Char Char1"/>
    <w:qFormat/>
    <w:uiPriority w:val="0"/>
    <w:rPr>
      <w:rFonts w:ascii="Arial" w:hAnsi="Arial" w:eastAsia="黑体"/>
      <w:kern w:val="2"/>
      <w:sz w:val="24"/>
      <w:szCs w:val="24"/>
      <w:lang w:val="en-US" w:eastAsia="zh-CN" w:bidi="ar-SA"/>
    </w:rPr>
  </w:style>
  <w:style w:type="character" w:customStyle="1" w:styleId="1144">
    <w:name w:val="!注_字符(alt+p)"/>
    <w:qFormat/>
    <w:uiPriority w:val="0"/>
    <w:rPr>
      <w:rFonts w:eastAsia="宋体"/>
      <w:sz w:val="21"/>
    </w:rPr>
  </w:style>
  <w:style w:type="character" w:customStyle="1" w:styleId="1145">
    <w:name w:val="p2"/>
    <w:qFormat/>
    <w:uiPriority w:val="0"/>
  </w:style>
  <w:style w:type="character" w:customStyle="1" w:styleId="1146">
    <w:name w:val="123YJ Char1"/>
    <w:link w:val="1147"/>
    <w:qFormat/>
    <w:uiPriority w:val="0"/>
    <w:rPr>
      <w:sz w:val="18"/>
    </w:rPr>
  </w:style>
  <w:style w:type="paragraph" w:customStyle="1" w:styleId="1147">
    <w:name w:val="页脚1"/>
    <w:basedOn w:val="1"/>
    <w:link w:val="1146"/>
    <w:qFormat/>
    <w:uiPriority w:val="0"/>
    <w:pPr>
      <w:pBdr>
        <w:top w:val="single" w:color="auto" w:sz="4" w:space="2"/>
      </w:pBdr>
      <w:tabs>
        <w:tab w:val="center" w:pos="4153"/>
        <w:tab w:val="right" w:pos="8306"/>
      </w:tabs>
      <w:spacing w:line="360" w:lineRule="atLeast"/>
      <w:jc w:val="center"/>
      <w:textAlignment w:val="baseline"/>
    </w:pPr>
    <w:rPr>
      <w:sz w:val="18"/>
    </w:rPr>
  </w:style>
  <w:style w:type="character" w:customStyle="1" w:styleId="1148">
    <w:name w:val="px14"/>
    <w:qFormat/>
    <w:uiPriority w:val="0"/>
  </w:style>
  <w:style w:type="character" w:customStyle="1" w:styleId="1149">
    <w:name w:val="!标题3 Char Char"/>
    <w:link w:val="1150"/>
    <w:qFormat/>
    <w:uiPriority w:val="0"/>
    <w:rPr>
      <w:rFonts w:ascii="Arial" w:hAnsi="Arial" w:eastAsia="黑体"/>
      <w:b/>
      <w:color w:val="000000"/>
      <w:sz w:val="28"/>
      <w:szCs w:val="28"/>
      <w:u w:color="000000"/>
    </w:rPr>
  </w:style>
  <w:style w:type="paragraph" w:customStyle="1" w:styleId="1150">
    <w:name w:val="!标题3"/>
    <w:basedOn w:val="5"/>
    <w:link w:val="1149"/>
    <w:qFormat/>
    <w:uiPriority w:val="0"/>
    <w:pPr>
      <w:spacing w:beforeLines="10"/>
      <w:ind w:left="720" w:hanging="432"/>
    </w:pPr>
    <w:rPr>
      <w:rFonts w:ascii="Arial" w:hAnsi="Arial" w:eastAsia="黑体"/>
      <w:bCs w:val="0"/>
      <w:color w:val="000000"/>
      <w:sz w:val="28"/>
      <w:szCs w:val="28"/>
      <w:u w:color="000000"/>
    </w:rPr>
  </w:style>
  <w:style w:type="paragraph" w:customStyle="1" w:styleId="1151">
    <w:name w:val="!正文"/>
    <w:basedOn w:val="1"/>
    <w:link w:val="1153"/>
    <w:qFormat/>
    <w:uiPriority w:val="0"/>
    <w:pPr>
      <w:spacing w:line="336" w:lineRule="auto"/>
      <w:ind w:firstLine="200" w:firstLineChars="200"/>
      <w:jc w:val="left"/>
      <w:textAlignment w:val="baseline"/>
    </w:pPr>
    <w:rPr>
      <w:rFonts w:ascii="Times New Roman" w:hAnsi="Times New Roman" w:cs="Times New Roman"/>
      <w:color w:val="000000"/>
      <w:sz w:val="24"/>
      <w:szCs w:val="24"/>
      <w:u w:color="000000"/>
    </w:rPr>
  </w:style>
  <w:style w:type="character" w:customStyle="1" w:styleId="1152">
    <w:name w:val="标题 31 Char1"/>
    <w:qFormat/>
    <w:uiPriority w:val="0"/>
    <w:rPr>
      <w:rFonts w:eastAsia="宋体"/>
      <w:color w:val="000000"/>
      <w:sz w:val="28"/>
      <w:u w:color="000000"/>
      <w:lang w:val="en-US" w:eastAsia="zh-CN" w:bidi="ar-SA"/>
    </w:rPr>
  </w:style>
  <w:style w:type="character" w:customStyle="1" w:styleId="1153">
    <w:name w:val="!正文 Char Char"/>
    <w:link w:val="1151"/>
    <w:qFormat/>
    <w:uiPriority w:val="0"/>
    <w:rPr>
      <w:rFonts w:ascii="Times New Roman" w:hAnsi="Times New Roman" w:cs="Times New Roman"/>
      <w:color w:val="000000"/>
      <w:sz w:val="24"/>
      <w:szCs w:val="24"/>
      <w:u w:color="000000"/>
    </w:rPr>
  </w:style>
  <w:style w:type="character" w:customStyle="1" w:styleId="1154">
    <w:name w:val="c lh15"/>
    <w:qFormat/>
    <w:uiPriority w:val="0"/>
  </w:style>
  <w:style w:type="character" w:customStyle="1" w:styleId="1155">
    <w:name w:val="段前: 8 磅2 Char C"/>
    <w:qFormat/>
    <w:uiPriority w:val="0"/>
    <w:rPr>
      <w:rFonts w:ascii="黑体" w:hAnsi="宋体" w:eastAsia="黑体"/>
      <w:b/>
      <w:bCs/>
      <w:spacing w:val="5"/>
      <w:sz w:val="24"/>
      <w:szCs w:val="28"/>
      <w:lang w:val="en-US" w:eastAsia="zh-CN" w:bidi="ar-SA"/>
    </w:rPr>
  </w:style>
  <w:style w:type="character" w:customStyle="1" w:styleId="1156">
    <w:name w:val="批注主题 Char Char"/>
    <w:qFormat/>
    <w:uiPriority w:val="0"/>
    <w:rPr>
      <w:rFonts w:hAnsi="宋体"/>
      <w:b/>
      <w:sz w:val="24"/>
      <w:lang w:val="en-US" w:eastAsia="zh-CN"/>
    </w:rPr>
  </w:style>
  <w:style w:type="character" w:customStyle="1" w:styleId="1157">
    <w:name w:val="批注文字 Char Char"/>
    <w:qFormat/>
    <w:uiPriority w:val="0"/>
    <w:rPr>
      <w:rFonts w:hAnsi="宋体"/>
      <w:sz w:val="24"/>
      <w:lang w:val="en-US" w:eastAsia="zh-CN"/>
    </w:rPr>
  </w:style>
  <w:style w:type="character" w:customStyle="1" w:styleId="1158">
    <w:name w:val="!正文 Char1"/>
    <w:qFormat/>
    <w:uiPriority w:val="0"/>
    <w:rPr>
      <w:rFonts w:ascii="宋体" w:hAnsi="宋体" w:eastAsia="宋体" w:cs="宋体"/>
      <w:color w:val="000000"/>
      <w:kern w:val="2"/>
      <w:sz w:val="24"/>
      <w:szCs w:val="24"/>
      <w:u w:color="000000"/>
      <w:lang w:val="en-US" w:eastAsia="zh-CN" w:bidi="ar-SA"/>
    </w:rPr>
  </w:style>
  <w:style w:type="character" w:customStyle="1" w:styleId="1159">
    <w:name w:val="表名 Char2"/>
    <w:qFormat/>
    <w:uiPriority w:val="0"/>
    <w:rPr>
      <w:rFonts w:ascii="Arial" w:hAnsi="Arial" w:eastAsia="黑体"/>
      <w:kern w:val="2"/>
      <w:sz w:val="24"/>
      <w:szCs w:val="24"/>
      <w:lang w:val="en-US" w:eastAsia="zh-CN" w:bidi="ar-SA"/>
    </w:rPr>
  </w:style>
  <w:style w:type="character" w:customStyle="1" w:styleId="1160">
    <w:name w:val="!表标题(alt+h) Char1"/>
    <w:qFormat/>
    <w:uiPriority w:val="0"/>
    <w:rPr>
      <w:rFonts w:eastAsia="黑体"/>
      <w:sz w:val="24"/>
      <w:u w:color="3366FF"/>
      <w:lang w:val="en-US" w:eastAsia="zh-CN"/>
    </w:rPr>
  </w:style>
  <w:style w:type="character" w:customStyle="1" w:styleId="1161">
    <w:name w:val="main_141"/>
    <w:qFormat/>
    <w:uiPriority w:val="0"/>
    <w:rPr>
      <w:rFonts w:hint="default" w:ascii="Verdana" w:hAnsi="Verdana"/>
      <w:color w:val="333333"/>
      <w:sz w:val="21"/>
      <w:szCs w:val="21"/>
    </w:rPr>
  </w:style>
  <w:style w:type="character" w:customStyle="1" w:styleId="1162">
    <w:name w:val="表文 Char Char Char Char Char Char Char Char1"/>
    <w:qFormat/>
    <w:uiPriority w:val="0"/>
    <w:rPr>
      <w:rFonts w:eastAsia="宋体"/>
      <w:kern w:val="2"/>
      <w:sz w:val="18"/>
      <w:szCs w:val="18"/>
      <w:lang w:val="en-US" w:eastAsia="zh-CN" w:bidi="ar-SA"/>
    </w:rPr>
  </w:style>
  <w:style w:type="character" w:customStyle="1" w:styleId="1163">
    <w:name w:val="样式 正文 + Char Char"/>
    <w:qFormat/>
    <w:uiPriority w:val="0"/>
    <w:rPr>
      <w:rFonts w:eastAsia="宋体"/>
      <w:kern w:val="2"/>
      <w:sz w:val="24"/>
      <w:szCs w:val="24"/>
      <w:lang w:val="en-US" w:eastAsia="zh-CN" w:bidi="ar-SA"/>
    </w:rPr>
  </w:style>
  <w:style w:type="character" w:customStyle="1" w:styleId="1164">
    <w:name w:val="xl51 Char Char"/>
    <w:qFormat/>
    <w:uiPriority w:val="0"/>
    <w:rPr>
      <w:rFonts w:ascii="Arial Unicode MS" w:hAnsi="Arial Unicode MS" w:eastAsia="宋体"/>
      <w:b/>
      <w:bCs/>
      <w:sz w:val="24"/>
      <w:szCs w:val="24"/>
      <w:lang w:val="en-US" w:eastAsia="zh-CN" w:bidi="ar-SA"/>
    </w:rPr>
  </w:style>
  <w:style w:type="character" w:customStyle="1" w:styleId="1165">
    <w:name w:val="小四黑 Char Char"/>
    <w:qFormat/>
    <w:uiPriority w:val="0"/>
    <w:rPr>
      <w:rFonts w:eastAsia="黑体"/>
      <w:spacing w:val="6"/>
      <w:sz w:val="21"/>
      <w:lang w:val="en-US" w:eastAsia="zh-CN" w:bidi="ar-SA"/>
    </w:rPr>
  </w:style>
  <w:style w:type="character" w:customStyle="1" w:styleId="1166">
    <w:name w:val="样式 样式 四号 首行缩进:  1.1 厘米 + 首行缩进:  2 字符 Char Char"/>
    <w:link w:val="1167"/>
    <w:qFormat/>
    <w:uiPriority w:val="0"/>
    <w:rPr>
      <w:rFonts w:cs="宋体"/>
      <w:sz w:val="24"/>
    </w:rPr>
  </w:style>
  <w:style w:type="paragraph" w:customStyle="1" w:styleId="1167">
    <w:name w:val="样式 样式 四号 首行缩进:  1.1 厘米 + 首行缩进:  2 字符"/>
    <w:basedOn w:val="1"/>
    <w:link w:val="1166"/>
    <w:qFormat/>
    <w:uiPriority w:val="0"/>
    <w:pPr>
      <w:spacing w:line="360" w:lineRule="auto"/>
      <w:ind w:firstLine="200" w:firstLineChars="200"/>
      <w:jc w:val="left"/>
    </w:pPr>
    <w:rPr>
      <w:rFonts w:cs="宋体"/>
      <w:sz w:val="24"/>
    </w:rPr>
  </w:style>
  <w:style w:type="character" w:customStyle="1" w:styleId="1168">
    <w:name w:val="txtbreak"/>
    <w:qFormat/>
    <w:uiPriority w:val="0"/>
  </w:style>
  <w:style w:type="character" w:customStyle="1" w:styleId="1169">
    <w:name w:val="orange1"/>
    <w:qFormat/>
    <w:uiPriority w:val="0"/>
    <w:rPr>
      <w:b/>
      <w:bCs/>
      <w:color w:val="FF3300"/>
      <w:sz w:val="21"/>
      <w:szCs w:val="21"/>
      <w:u w:val="none"/>
    </w:rPr>
  </w:style>
  <w:style w:type="character" w:customStyle="1" w:styleId="1170">
    <w:name w:val="样式 宋体 五号 蓝色 居中 行距: 单倍行距 Char Char"/>
    <w:qFormat/>
    <w:uiPriority w:val="0"/>
    <w:rPr>
      <w:rFonts w:ascii="宋体" w:hAnsi="宋体" w:eastAsia="宋体" w:cs="宋体"/>
      <w:color w:val="0000FF"/>
      <w:sz w:val="21"/>
      <w:lang w:val="en-US" w:eastAsia="zh-CN" w:bidi="ar-SA"/>
    </w:rPr>
  </w:style>
  <w:style w:type="character" w:customStyle="1" w:styleId="1171">
    <w:name w:val="wdjh"/>
    <w:qFormat/>
    <w:uiPriority w:val="0"/>
  </w:style>
  <w:style w:type="character" w:customStyle="1" w:styleId="1172">
    <w:name w:val="正文文字缩进 2 Char Char1"/>
    <w:qFormat/>
    <w:uiPriority w:val="0"/>
    <w:rPr>
      <w:rFonts w:ascii="宋体" w:eastAsia="宋体"/>
      <w:kern w:val="2"/>
      <w:sz w:val="24"/>
      <w:lang w:val="en-US" w:eastAsia="zh-CN" w:bidi="ar-SA"/>
    </w:rPr>
  </w:style>
  <w:style w:type="character" w:customStyle="1" w:styleId="1173">
    <w:name w:val="正文 + Times New Roman Char"/>
    <w:qFormat/>
    <w:uiPriority w:val="0"/>
    <w:rPr>
      <w:rFonts w:ascii="宋体" w:hAnsi="宋体" w:eastAsia="宋体" w:cs="宋体"/>
      <w:kern w:val="2"/>
      <w:sz w:val="24"/>
      <w:szCs w:val="24"/>
      <w:lang w:val="en-US" w:eastAsia="zh-CN" w:bidi="ar-SA"/>
    </w:rPr>
  </w:style>
  <w:style w:type="character" w:customStyle="1" w:styleId="1174">
    <w:name w:val="title_span3"/>
    <w:qFormat/>
    <w:uiPriority w:val="0"/>
    <w:rPr>
      <w:rFonts w:hint="default"/>
      <w:sz w:val="24"/>
      <w:szCs w:val="24"/>
    </w:rPr>
  </w:style>
  <w:style w:type="character" w:customStyle="1" w:styleId="1175">
    <w:name w:val="正文+加粗 Char Char"/>
    <w:link w:val="1176"/>
    <w:qFormat/>
    <w:uiPriority w:val="0"/>
    <w:rPr>
      <w:b/>
      <w:sz w:val="24"/>
      <w:szCs w:val="24"/>
    </w:rPr>
  </w:style>
  <w:style w:type="paragraph" w:customStyle="1" w:styleId="1176">
    <w:name w:val="正文+加粗"/>
    <w:basedOn w:val="1"/>
    <w:link w:val="1175"/>
    <w:qFormat/>
    <w:uiPriority w:val="0"/>
    <w:pPr>
      <w:spacing w:line="500" w:lineRule="exact"/>
      <w:jc w:val="left"/>
    </w:pPr>
    <w:rPr>
      <w:b/>
      <w:sz w:val="24"/>
      <w:szCs w:val="24"/>
    </w:rPr>
  </w:style>
  <w:style w:type="character" w:customStyle="1" w:styleId="1177">
    <w:name w:val="表名 Char1 Char Char Char Char Char Char"/>
    <w:qFormat/>
    <w:uiPriority w:val="0"/>
    <w:rPr>
      <w:rFonts w:ascii="Arial" w:hAnsi="Arial" w:eastAsia="黑体"/>
      <w:kern w:val="2"/>
      <w:sz w:val="21"/>
      <w:szCs w:val="24"/>
      <w:lang w:val="en-US" w:eastAsia="zh-CN" w:bidi="ar-SA"/>
    </w:rPr>
  </w:style>
  <w:style w:type="character" w:customStyle="1" w:styleId="1178">
    <w:name w:val="样式 表格文字 + 自动设置 Char Char"/>
    <w:link w:val="1179"/>
    <w:qFormat/>
    <w:uiPriority w:val="0"/>
    <w:rPr>
      <w:color w:val="0000FF"/>
      <w:u w:color="000000"/>
    </w:rPr>
  </w:style>
  <w:style w:type="paragraph" w:customStyle="1" w:styleId="1179">
    <w:name w:val="样式 表格文字 + 自动设置"/>
    <w:basedOn w:val="1015"/>
    <w:link w:val="1178"/>
    <w:qFormat/>
    <w:uiPriority w:val="0"/>
    <w:pPr>
      <w:widowControl/>
      <w:tabs>
        <w:tab w:val="left" w:pos="-24"/>
      </w:tabs>
      <w:adjustRightInd/>
      <w:spacing w:line="0" w:lineRule="atLeast"/>
      <w:textAlignment w:val="baseline"/>
    </w:pPr>
    <w:rPr>
      <w:rFonts w:asciiTheme="minorHAnsi" w:hAnsiTheme="minorHAnsi" w:eastAsiaTheme="minorEastAsia" w:cstheme="minorBidi"/>
      <w:color w:val="0000FF"/>
      <w:kern w:val="2"/>
      <w:sz w:val="21"/>
      <w:szCs w:val="22"/>
      <w:u w:color="000000"/>
    </w:rPr>
  </w:style>
  <w:style w:type="character" w:customStyle="1" w:styleId="1180">
    <w:name w:val="样式 正文1 + 首行缩进:  2 字符 Char3"/>
    <w:link w:val="1181"/>
    <w:qFormat/>
    <w:uiPriority w:val="0"/>
    <w:rPr>
      <w:rFonts w:ascii="宋体" w:cs="宋体"/>
      <w:sz w:val="24"/>
      <w:szCs w:val="24"/>
    </w:rPr>
  </w:style>
  <w:style w:type="paragraph" w:customStyle="1" w:styleId="1181">
    <w:name w:val="样式 正文1 + 首行缩进:  2 字符"/>
    <w:basedOn w:val="1"/>
    <w:link w:val="1180"/>
    <w:qFormat/>
    <w:uiPriority w:val="0"/>
    <w:pPr>
      <w:spacing w:line="360" w:lineRule="auto"/>
      <w:ind w:firstLine="200" w:firstLineChars="200"/>
      <w:jc w:val="left"/>
    </w:pPr>
    <w:rPr>
      <w:rFonts w:ascii="宋体" w:cs="宋体"/>
      <w:sz w:val="24"/>
      <w:szCs w:val="24"/>
    </w:rPr>
  </w:style>
  <w:style w:type="character" w:customStyle="1" w:styleId="1182">
    <w:name w:val="表格文字 Char Char"/>
    <w:qFormat/>
    <w:uiPriority w:val="0"/>
    <w:rPr>
      <w:rFonts w:ascii="宋体" w:hAnsi="宋体" w:eastAsia="宋体"/>
      <w:snapToGrid w:val="0"/>
      <w:color w:val="000000"/>
      <w:kern w:val="21"/>
      <w:sz w:val="21"/>
      <w:lang w:val="en-US" w:eastAsia="zh-CN" w:bidi="ar-SA"/>
    </w:rPr>
  </w:style>
  <w:style w:type="character" w:customStyle="1" w:styleId="1183">
    <w:name w:val="二章正文 Char Char Char Char Char Char"/>
    <w:qFormat/>
    <w:uiPriority w:val="0"/>
    <w:rPr>
      <w:rFonts w:hAnsi="宋体" w:eastAsia="宋体"/>
      <w:color w:val="0000FF"/>
      <w:kern w:val="2"/>
      <w:sz w:val="24"/>
      <w:szCs w:val="24"/>
      <w:lang w:val="en-US" w:eastAsia="zh-CN" w:bidi="ar-SA"/>
    </w:rPr>
  </w:style>
  <w:style w:type="character" w:customStyle="1" w:styleId="1184">
    <w:name w:val="样式 样式 标题 2 + 段后: 12 磅 Char Char"/>
    <w:link w:val="1185"/>
    <w:qFormat/>
    <w:uiPriority w:val="0"/>
    <w:rPr>
      <w:rFonts w:ascii="Arial" w:hAnsi="Arial" w:eastAsia="黑体"/>
      <w:b/>
      <w:spacing w:val="5"/>
      <w:sz w:val="28"/>
    </w:rPr>
  </w:style>
  <w:style w:type="paragraph" w:customStyle="1" w:styleId="1185">
    <w:name w:val="样式 样式 标题 2 + 段后: 12 磅"/>
    <w:basedOn w:val="1"/>
    <w:link w:val="1184"/>
    <w:qFormat/>
    <w:uiPriority w:val="0"/>
    <w:pPr>
      <w:keepNext/>
      <w:keepLines/>
      <w:spacing w:after="240" w:line="360" w:lineRule="auto"/>
      <w:jc w:val="left"/>
      <w:textAlignment w:val="baseline"/>
      <w:outlineLvl w:val="1"/>
    </w:pPr>
    <w:rPr>
      <w:rFonts w:ascii="Arial" w:hAnsi="Arial" w:eastAsia="黑体"/>
      <w:b/>
      <w:spacing w:val="5"/>
      <w:sz w:val="28"/>
    </w:rPr>
  </w:style>
  <w:style w:type="character" w:customStyle="1" w:styleId="1186">
    <w:name w:val="表头 Char Char Char"/>
    <w:qFormat/>
    <w:uiPriority w:val="0"/>
    <w:rPr>
      <w:rFonts w:eastAsia="黑体"/>
      <w:kern w:val="2"/>
      <w:sz w:val="24"/>
      <w:szCs w:val="24"/>
      <w:lang w:val="en-US" w:eastAsia="zh-CN" w:bidi="ar-SA"/>
    </w:rPr>
  </w:style>
  <w:style w:type="character" w:customStyle="1" w:styleId="1187">
    <w:name w:val="p1"/>
    <w:qFormat/>
    <w:uiPriority w:val="0"/>
  </w:style>
  <w:style w:type="character" w:customStyle="1" w:styleId="1188">
    <w:name w:val="文件正文 Char Char"/>
    <w:link w:val="1189"/>
    <w:qFormat/>
    <w:uiPriority w:val="0"/>
    <w:rPr>
      <w:rFonts w:eastAsia="仿宋_GB2312"/>
      <w:sz w:val="32"/>
      <w:szCs w:val="24"/>
    </w:rPr>
  </w:style>
  <w:style w:type="paragraph" w:customStyle="1" w:styleId="1189">
    <w:name w:val="文件正文"/>
    <w:basedOn w:val="1"/>
    <w:link w:val="1188"/>
    <w:qFormat/>
    <w:uiPriority w:val="0"/>
    <w:pPr>
      <w:ind w:firstLine="200" w:firstLineChars="200"/>
      <w:jc w:val="left"/>
    </w:pPr>
    <w:rPr>
      <w:rFonts w:eastAsia="仿宋_GB2312"/>
      <w:sz w:val="32"/>
      <w:szCs w:val="24"/>
    </w:rPr>
  </w:style>
  <w:style w:type="character" w:customStyle="1" w:styleId="1190">
    <w:name w:val="样式 正文首行缩进 + 首行缩进:  1 字符 Char Char"/>
    <w:link w:val="1191"/>
    <w:qFormat/>
    <w:uiPriority w:val="0"/>
    <w:rPr>
      <w:rFonts w:hAnsi="宋体"/>
      <w:sz w:val="24"/>
      <w:szCs w:val="21"/>
    </w:rPr>
  </w:style>
  <w:style w:type="paragraph" w:customStyle="1" w:styleId="1191">
    <w:name w:val="样式 正文首行缩进 + 首行缩进:  1 字符"/>
    <w:basedOn w:val="86"/>
    <w:link w:val="1190"/>
    <w:qFormat/>
    <w:uiPriority w:val="0"/>
    <w:pPr>
      <w:adjustRightInd/>
      <w:spacing w:beforeLines="0" w:after="0"/>
      <w:ind w:firstLine="200" w:firstLineChars="200"/>
    </w:pPr>
    <w:rPr>
      <w:rFonts w:hAnsi="宋体" w:asciiTheme="minorHAnsi" w:cstheme="minorBidi"/>
      <w:kern w:val="2"/>
      <w:sz w:val="24"/>
      <w:szCs w:val="21"/>
    </w:rPr>
  </w:style>
  <w:style w:type="character" w:customStyle="1" w:styleId="1192">
    <w:name w:val="正文首行缩进 Char Char"/>
    <w:qFormat/>
    <w:uiPriority w:val="0"/>
    <w:rPr>
      <w:rFonts w:eastAsia="宋体"/>
      <w:kern w:val="2"/>
      <w:sz w:val="24"/>
      <w:szCs w:val="21"/>
      <w:lang w:val="en-US" w:eastAsia="zh-CN" w:bidi="ar-SA"/>
    </w:rPr>
  </w:style>
  <w:style w:type="character" w:customStyle="1" w:styleId="1193">
    <w:name w:val="正文文字缩进 3 Char Char"/>
    <w:qFormat/>
    <w:uiPriority w:val="0"/>
    <w:rPr>
      <w:rFonts w:ascii="宋体" w:hAnsi="宋体" w:eastAsia="宋体"/>
      <w:snapToGrid w:val="0"/>
      <w:sz w:val="24"/>
      <w:lang w:val="en-US" w:eastAsia="zh-CN" w:bidi="ar-SA"/>
    </w:rPr>
  </w:style>
  <w:style w:type="character" w:customStyle="1" w:styleId="1194">
    <w:name w:val="标题5 Char"/>
    <w:link w:val="1195"/>
    <w:qFormat/>
    <w:uiPriority w:val="0"/>
    <w:rPr>
      <w:rFonts w:ascii="宋体" w:hAnsi="宋体"/>
      <w:bCs/>
      <w:snapToGrid w:val="0"/>
      <w:kern w:val="28"/>
      <w:sz w:val="24"/>
      <w:szCs w:val="36"/>
    </w:rPr>
  </w:style>
  <w:style w:type="paragraph" w:customStyle="1" w:styleId="1195">
    <w:name w:val="标题5"/>
    <w:link w:val="1194"/>
    <w:qFormat/>
    <w:uiPriority w:val="0"/>
    <w:pPr>
      <w:spacing w:line="480" w:lineRule="exact"/>
      <w:ind w:firstLine="560" w:firstLineChars="200"/>
      <w:jc w:val="center"/>
    </w:pPr>
    <w:rPr>
      <w:rFonts w:ascii="宋体" w:hAnsi="宋体" w:eastAsia="宋体" w:cstheme="minorBidi"/>
      <w:bCs/>
      <w:snapToGrid w:val="0"/>
      <w:kern w:val="28"/>
      <w:sz w:val="24"/>
      <w:szCs w:val="36"/>
      <w:lang w:val="en-US" w:eastAsia="zh-CN" w:bidi="ar-SA"/>
    </w:rPr>
  </w:style>
  <w:style w:type="paragraph" w:customStyle="1" w:styleId="1196">
    <w:name w:val="正文文字"/>
    <w:basedOn w:val="1"/>
    <w:qFormat/>
    <w:uiPriority w:val="0"/>
    <w:pPr>
      <w:jc w:val="left"/>
    </w:pPr>
    <w:rPr>
      <w:rFonts w:ascii="Times New Roman" w:hAnsi="Times New Roman" w:cs="Times New Roman"/>
      <w:sz w:val="18"/>
      <w:szCs w:val="18"/>
    </w:rPr>
  </w:style>
  <w:style w:type="character" w:customStyle="1" w:styleId="1197">
    <w:name w:val="Char Char4"/>
    <w:qFormat/>
    <w:uiPriority w:val="0"/>
    <w:rPr>
      <w:rFonts w:eastAsia="宋体"/>
      <w:kern w:val="2"/>
      <w:sz w:val="18"/>
      <w:szCs w:val="18"/>
      <w:lang w:val="en-US" w:eastAsia="zh-CN" w:bidi="ar-SA"/>
    </w:rPr>
  </w:style>
  <w:style w:type="character" w:customStyle="1" w:styleId="1198">
    <w:name w:val="正文文本 3 Char1"/>
    <w:qFormat/>
    <w:uiPriority w:val="0"/>
    <w:rPr>
      <w:rFonts w:ascii="宋体" w:hAnsi="宋体" w:eastAsia="宋体"/>
      <w:sz w:val="24"/>
      <w:lang w:val="en-US" w:eastAsia="zh-CN" w:bidi="ar-SA"/>
    </w:rPr>
  </w:style>
  <w:style w:type="character" w:customStyle="1" w:styleId="1199">
    <w:name w:val="正文文字110 Char Char"/>
    <w:link w:val="1200"/>
    <w:qFormat/>
    <w:uiPriority w:val="0"/>
    <w:rPr>
      <w:rFonts w:cs="宋体"/>
      <w:sz w:val="24"/>
    </w:rPr>
  </w:style>
  <w:style w:type="paragraph" w:customStyle="1" w:styleId="1200">
    <w:name w:val="正文文字110"/>
    <w:basedOn w:val="1"/>
    <w:link w:val="1199"/>
    <w:qFormat/>
    <w:uiPriority w:val="0"/>
    <w:pPr>
      <w:spacing w:line="480" w:lineRule="atLeast"/>
      <w:ind w:firstLine="200" w:firstLineChars="200"/>
      <w:jc w:val="left"/>
    </w:pPr>
    <w:rPr>
      <w:rFonts w:cs="宋体"/>
      <w:sz w:val="24"/>
    </w:rPr>
  </w:style>
  <w:style w:type="character" w:customStyle="1" w:styleId="1201">
    <w:name w:val="样式 标题 2 + 红色 Char Char"/>
    <w:qFormat/>
    <w:uiPriority w:val="0"/>
    <w:rPr>
      <w:rFonts w:ascii="Arial" w:hAnsi="Arial" w:eastAsia="黑体"/>
      <w:b/>
      <w:bCs/>
      <w:color w:val="FF0000"/>
      <w:spacing w:val="-8"/>
      <w:w w:val="100"/>
      <w:kern w:val="2"/>
      <w:sz w:val="28"/>
      <w:szCs w:val="32"/>
      <w:u w:val="none" w:color="000000"/>
      <w:vertAlign w:val="baseline"/>
      <w:lang w:val="en-US" w:eastAsia="zh-CN" w:bidi="ar-SA"/>
    </w:rPr>
  </w:style>
  <w:style w:type="character" w:customStyle="1" w:styleId="1202">
    <w:name w:val="datatitle1"/>
    <w:qFormat/>
    <w:uiPriority w:val="0"/>
    <w:rPr>
      <w:b/>
      <w:bCs/>
      <w:color w:val="10619F"/>
      <w:sz w:val="19"/>
      <w:szCs w:val="19"/>
    </w:rPr>
  </w:style>
  <w:style w:type="character" w:customStyle="1" w:styleId="1203">
    <w:name w:val="表头 Char Char Char Char"/>
    <w:qFormat/>
    <w:uiPriority w:val="0"/>
    <w:rPr>
      <w:rFonts w:ascii="Arial" w:hAnsi="Arial" w:eastAsia="宋体"/>
      <w:b/>
      <w:kern w:val="2"/>
      <w:sz w:val="24"/>
      <w:szCs w:val="28"/>
      <w:lang w:val="en-US" w:eastAsia="zh-CN" w:bidi="ar-SA"/>
    </w:rPr>
  </w:style>
  <w:style w:type="character" w:customStyle="1" w:styleId="1204">
    <w:name w:val="txt1"/>
    <w:qFormat/>
    <w:uiPriority w:val="0"/>
    <w:rPr>
      <w:rFonts w:hint="eastAsia" w:ascii="宋体" w:hAnsi="宋体" w:eastAsia="宋体"/>
      <w:color w:val="003300"/>
      <w:sz w:val="20"/>
      <w:szCs w:val="20"/>
      <w:u w:val="none"/>
    </w:rPr>
  </w:style>
  <w:style w:type="character" w:customStyle="1" w:styleId="1205">
    <w:name w:val="样式 !正文(alt+c) + 首行缩进:  2 字符 Char Char"/>
    <w:link w:val="1206"/>
    <w:qFormat/>
    <w:uiPriority w:val="0"/>
    <w:rPr>
      <w:color w:val="000000"/>
      <w:sz w:val="24"/>
    </w:rPr>
  </w:style>
  <w:style w:type="paragraph" w:customStyle="1" w:styleId="1206">
    <w:name w:val="样式 !正文(alt+c) + 首行缩进:  2 字符 Char"/>
    <w:basedOn w:val="1"/>
    <w:link w:val="1205"/>
    <w:qFormat/>
    <w:uiPriority w:val="0"/>
    <w:pPr>
      <w:widowControl/>
      <w:spacing w:line="440" w:lineRule="exact"/>
      <w:ind w:firstLine="480" w:firstLineChars="200"/>
      <w:jc w:val="left"/>
    </w:pPr>
    <w:rPr>
      <w:color w:val="000000"/>
      <w:sz w:val="24"/>
    </w:rPr>
  </w:style>
  <w:style w:type="character" w:customStyle="1" w:styleId="1207">
    <w:name w:val="标题41 Char Char"/>
    <w:qFormat/>
    <w:uiPriority w:val="0"/>
    <w:rPr>
      <w:rFonts w:ascii="黑体" w:hAnsi="宋体" w:eastAsia="黑体"/>
      <w:b/>
      <w:bCs/>
      <w:sz w:val="24"/>
      <w:szCs w:val="32"/>
      <w:lang w:val="en-US" w:eastAsia="zh-CN" w:bidi="ar-SA"/>
    </w:rPr>
  </w:style>
  <w:style w:type="character" w:customStyle="1" w:styleId="1208">
    <w:name w:val="表文 Char Char Char Char"/>
    <w:qFormat/>
    <w:uiPriority w:val="0"/>
    <w:rPr>
      <w:rFonts w:eastAsia="宋体"/>
      <w:kern w:val="2"/>
      <w:sz w:val="18"/>
      <w:szCs w:val="24"/>
      <w:lang w:val="en-US" w:eastAsia="zh-CN" w:bidi="ar-SA"/>
    </w:rPr>
  </w:style>
  <w:style w:type="character" w:customStyle="1" w:styleId="1209">
    <w:name w:val="正文小四 Char Char"/>
    <w:qFormat/>
    <w:uiPriority w:val="0"/>
    <w:rPr>
      <w:rFonts w:ascii="宋体" w:hAnsi="宋体" w:eastAsia="宋体"/>
      <w:spacing w:val="30"/>
      <w:kern w:val="24"/>
      <w:sz w:val="24"/>
      <w:szCs w:val="24"/>
      <w:lang w:val="en-US" w:eastAsia="zh-CN" w:bidi="ar-SA"/>
    </w:rPr>
  </w:style>
  <w:style w:type="character" w:customStyle="1" w:styleId="1210">
    <w:name w:val="特点标题 Char Char Char"/>
    <w:qFormat/>
    <w:uiPriority w:val="0"/>
    <w:rPr>
      <w:rFonts w:hint="default" w:eastAsia="宋体"/>
      <w:kern w:val="2"/>
      <w:sz w:val="24"/>
      <w:lang w:val="en-US" w:eastAsia="zh-CN"/>
    </w:rPr>
  </w:style>
  <w:style w:type="character" w:customStyle="1" w:styleId="1211">
    <w:name w:val="表名 Char Char Char Char Char2"/>
    <w:qFormat/>
    <w:uiPriority w:val="0"/>
    <w:rPr>
      <w:rFonts w:eastAsia="黑体"/>
      <w:sz w:val="24"/>
      <w:szCs w:val="24"/>
      <w:lang w:val="en-US" w:eastAsia="zh-CN" w:bidi="ar-SA"/>
    </w:rPr>
  </w:style>
  <w:style w:type="character" w:customStyle="1" w:styleId="1212">
    <w:name w:val="正文首行缩进 Char Char Char Char"/>
    <w:qFormat/>
    <w:uiPriority w:val="0"/>
    <w:rPr>
      <w:rFonts w:eastAsia="宋体"/>
      <w:kern w:val="2"/>
      <w:sz w:val="24"/>
      <w:lang w:val="en-US" w:eastAsia="zh-CN" w:bidi="ar-SA"/>
    </w:rPr>
  </w:style>
  <w:style w:type="character" w:customStyle="1" w:styleId="1213">
    <w:name w:val="标题 33 Char Char"/>
    <w:qFormat/>
    <w:uiPriority w:val="0"/>
    <w:rPr>
      <w:rFonts w:ascii="黑体" w:hAnsi="Times New Roman" w:eastAsia="黑体" w:cs="Times New Roman"/>
      <w:kern w:val="0"/>
      <w:sz w:val="24"/>
      <w:szCs w:val="20"/>
    </w:rPr>
  </w:style>
  <w:style w:type="character" w:customStyle="1" w:styleId="1214">
    <w:name w:val="表内左齐 Char Char"/>
    <w:qFormat/>
    <w:uiPriority w:val="0"/>
    <w:rPr>
      <w:rFonts w:eastAsia="宋体"/>
      <w:kern w:val="2"/>
      <w:sz w:val="21"/>
      <w:szCs w:val="24"/>
      <w:lang w:val="en-US" w:eastAsia="zh-CN" w:bidi="ar-SA"/>
    </w:rPr>
  </w:style>
  <w:style w:type="character" w:customStyle="1" w:styleId="1215">
    <w:name w:val="123YJ Char Char"/>
    <w:qFormat/>
    <w:uiPriority w:val="0"/>
    <w:rPr>
      <w:rFonts w:eastAsia="宋体"/>
      <w:kern w:val="2"/>
      <w:sz w:val="18"/>
      <w:lang w:val="en-US" w:eastAsia="zh-CN" w:bidi="ar-SA"/>
    </w:rPr>
  </w:style>
  <w:style w:type="character" w:customStyle="1" w:styleId="1216">
    <w:name w:val="tit2"/>
    <w:qFormat/>
    <w:uiPriority w:val="0"/>
    <w:rPr>
      <w:b/>
      <w:bCs/>
      <w:sz w:val="48"/>
      <w:szCs w:val="48"/>
    </w:rPr>
  </w:style>
  <w:style w:type="character" w:customStyle="1" w:styleId="1217">
    <w:name w:val="正文-xu Char Char"/>
    <w:link w:val="1218"/>
    <w:qFormat/>
    <w:uiPriority w:val="0"/>
    <w:rPr>
      <w:rFonts w:ascii="宋体" w:hAnsi="宋体"/>
      <w:color w:val="000000"/>
      <w:sz w:val="24"/>
    </w:rPr>
  </w:style>
  <w:style w:type="paragraph" w:customStyle="1" w:styleId="1218">
    <w:name w:val="正文-xu"/>
    <w:basedOn w:val="1"/>
    <w:link w:val="1217"/>
    <w:qFormat/>
    <w:uiPriority w:val="0"/>
    <w:pPr>
      <w:spacing w:line="360" w:lineRule="auto"/>
      <w:ind w:firstLine="480" w:firstLineChars="200"/>
      <w:jc w:val="left"/>
      <w:textAlignment w:val="baseline"/>
    </w:pPr>
    <w:rPr>
      <w:rFonts w:ascii="宋体" w:hAnsi="宋体"/>
      <w:color w:val="000000"/>
      <w:sz w:val="24"/>
    </w:rPr>
  </w:style>
  <w:style w:type="character" w:customStyle="1" w:styleId="1219">
    <w:name w:val="落款 Char Char"/>
    <w:qFormat/>
    <w:uiPriority w:val="0"/>
    <w:rPr>
      <w:rFonts w:ascii="Times New Roman" w:hAnsi="Times New Roman" w:eastAsia="宋体" w:cs="Times New Roman"/>
      <w:b/>
      <w:sz w:val="28"/>
      <w:szCs w:val="24"/>
    </w:rPr>
  </w:style>
  <w:style w:type="character" w:customStyle="1" w:styleId="1220">
    <w:name w:val="标题 4 Char Char Char2"/>
    <w:qFormat/>
    <w:uiPriority w:val="0"/>
    <w:rPr>
      <w:rFonts w:eastAsia="宋体"/>
      <w:b/>
      <w:bCs/>
      <w:color w:val="000000"/>
      <w:kern w:val="2"/>
      <w:sz w:val="24"/>
      <w:szCs w:val="28"/>
      <w:lang w:val="en-US" w:eastAsia="zh-CN" w:bidi="ar-SA"/>
    </w:rPr>
  </w:style>
  <w:style w:type="character" w:customStyle="1" w:styleId="1221">
    <w:name w:val="正文文本 3 Char2"/>
    <w:semiHidden/>
    <w:qFormat/>
    <w:uiPriority w:val="99"/>
    <w:rPr>
      <w:rFonts w:ascii="Times New Roman" w:hAnsi="Times New Roman"/>
      <w:kern w:val="2"/>
      <w:sz w:val="16"/>
      <w:szCs w:val="16"/>
    </w:rPr>
  </w:style>
  <w:style w:type="character" w:customStyle="1" w:styleId="1222">
    <w:name w:val="ourfont2"/>
    <w:qFormat/>
    <w:uiPriority w:val="0"/>
  </w:style>
  <w:style w:type="character" w:customStyle="1" w:styleId="1223">
    <w:name w:val="标题 42"/>
    <w:qFormat/>
    <w:uiPriority w:val="0"/>
    <w:rPr>
      <w:rFonts w:ascii="黑体" w:hAnsi="宋体" w:eastAsia="黑体"/>
      <w:b/>
      <w:bCs/>
      <w:spacing w:val="5"/>
      <w:sz w:val="24"/>
      <w:szCs w:val="28"/>
      <w:lang w:val="en-US" w:eastAsia="zh-CN" w:bidi="ar-SA"/>
    </w:rPr>
  </w:style>
  <w:style w:type="character" w:customStyle="1" w:styleId="1224">
    <w:name w:val="样式 标题 5标题 5 Char + 宋体 Char Char Char Char"/>
    <w:qFormat/>
    <w:uiPriority w:val="0"/>
    <w:rPr>
      <w:rFonts w:ascii="宋体" w:hAnsi="宋体" w:eastAsia="宋体"/>
      <w:snapToGrid w:val="0"/>
      <w:sz w:val="24"/>
      <w:szCs w:val="24"/>
      <w:lang w:val="en-US" w:eastAsia="zh-CN" w:bidi="ar-SA"/>
    </w:rPr>
  </w:style>
  <w:style w:type="character" w:customStyle="1" w:styleId="1225">
    <w:name w:val="ca-21"/>
    <w:qFormat/>
    <w:uiPriority w:val="0"/>
    <w:rPr>
      <w:rFonts w:hint="eastAsia" w:ascii="宋体" w:hAnsi="宋体" w:eastAsia="宋体" w:cs="宋体"/>
      <w:b/>
      <w:bCs/>
      <w:spacing w:val="-20"/>
      <w:kern w:val="2"/>
      <w:sz w:val="28"/>
      <w:szCs w:val="28"/>
      <w:lang w:val="en-US" w:eastAsia="zh-CN" w:bidi="ar-SA"/>
    </w:rPr>
  </w:style>
  <w:style w:type="character" w:customStyle="1" w:styleId="1226">
    <w:name w:val="样式 报告书正文 + Times New Roman Char Char"/>
    <w:link w:val="1227"/>
    <w:qFormat/>
    <w:uiPriority w:val="0"/>
    <w:rPr>
      <w:rFonts w:ascii="黑体" w:hAnsi="宋体"/>
      <w:sz w:val="24"/>
    </w:rPr>
  </w:style>
  <w:style w:type="paragraph" w:customStyle="1" w:styleId="1227">
    <w:name w:val="样式 报告书正文 + Times New Roman"/>
    <w:link w:val="1226"/>
    <w:qFormat/>
    <w:uiPriority w:val="0"/>
    <w:pPr>
      <w:tabs>
        <w:tab w:val="left" w:pos="180"/>
      </w:tabs>
      <w:snapToGrid w:val="0"/>
      <w:spacing w:line="360" w:lineRule="auto"/>
      <w:ind w:firstLine="200" w:firstLineChars="200"/>
      <w:textAlignment w:val="baseline"/>
    </w:pPr>
    <w:rPr>
      <w:rFonts w:ascii="黑体" w:hAnsi="Times New Roman" w:eastAsia="宋体" w:cstheme="minorBidi"/>
      <w:kern w:val="2"/>
      <w:sz w:val="24"/>
      <w:szCs w:val="22"/>
      <w:lang w:val="en-US" w:eastAsia="zh-CN" w:bidi="ar-SA"/>
    </w:rPr>
  </w:style>
  <w:style w:type="paragraph" w:customStyle="1" w:styleId="1228">
    <w:name w:val="报告书正文"/>
    <w:basedOn w:val="1"/>
    <w:qFormat/>
    <w:uiPriority w:val="0"/>
    <w:pPr>
      <w:adjustRightInd w:val="0"/>
      <w:ind w:left="-17" w:leftChars="-19" w:hanging="23" w:hangingChars="11"/>
      <w:jc w:val="left"/>
    </w:pPr>
    <w:rPr>
      <w:rFonts w:ascii="宋体" w:hAnsi="宋体" w:cs="Times New Roman"/>
      <w:snapToGrid w:val="0"/>
      <w:kern w:val="0"/>
    </w:rPr>
  </w:style>
  <w:style w:type="character" w:customStyle="1" w:styleId="1229">
    <w:name w:val="！表格 Char Char"/>
    <w:link w:val="1230"/>
    <w:qFormat/>
    <w:uiPriority w:val="0"/>
    <w:rPr>
      <w:rFonts w:ascii="宋体" w:hAnsi="宋体"/>
      <w:color w:val="000000"/>
      <w:szCs w:val="21"/>
      <w:u w:color="000000"/>
    </w:rPr>
  </w:style>
  <w:style w:type="paragraph" w:customStyle="1" w:styleId="1230">
    <w:name w:val="！表格"/>
    <w:basedOn w:val="1"/>
    <w:next w:val="1"/>
    <w:link w:val="1229"/>
    <w:qFormat/>
    <w:uiPriority w:val="0"/>
    <w:pPr>
      <w:widowControl/>
      <w:spacing w:line="180" w:lineRule="atLeast"/>
      <w:jc w:val="center"/>
      <w:textAlignment w:val="baseline"/>
    </w:pPr>
    <w:rPr>
      <w:rFonts w:ascii="宋体" w:hAnsi="宋体"/>
      <w:color w:val="000000"/>
      <w:u w:color="000000"/>
    </w:rPr>
  </w:style>
  <w:style w:type="character" w:customStyle="1" w:styleId="1231">
    <w:name w:val="表头 Char Char1"/>
    <w:qFormat/>
    <w:uiPriority w:val="0"/>
    <w:rPr>
      <w:rFonts w:eastAsia="黑体"/>
      <w:kern w:val="2"/>
      <w:sz w:val="24"/>
      <w:szCs w:val="24"/>
      <w:lang w:val="en-US" w:eastAsia="zh-CN" w:bidi="ar-SA"/>
    </w:rPr>
  </w:style>
  <w:style w:type="character" w:customStyle="1" w:styleId="1232">
    <w:name w:val="样式 样式 样式 行距: 固定值 22 磅 + 首行缩进:  2 字符 + 首行缩进:  2 字符 Char Char"/>
    <w:qFormat/>
    <w:uiPriority w:val="0"/>
    <w:rPr>
      <w:rFonts w:eastAsia="华文中宋"/>
      <w:kern w:val="2"/>
      <w:sz w:val="24"/>
      <w:lang w:val="en-US" w:eastAsia="zh-CN" w:bidi="ar-SA"/>
    </w:rPr>
  </w:style>
  <w:style w:type="character" w:customStyle="1" w:styleId="1233">
    <w:name w:val="表号 Char Char Char Char Char Char Char"/>
    <w:qFormat/>
    <w:uiPriority w:val="0"/>
    <w:rPr>
      <w:rFonts w:eastAsia="宋体"/>
      <w:spacing w:val="6"/>
      <w:sz w:val="21"/>
      <w:szCs w:val="24"/>
      <w:lang w:val="en-US" w:eastAsia="zh-CN" w:bidi="ar-SA"/>
    </w:rPr>
  </w:style>
  <w:style w:type="character" w:customStyle="1" w:styleId="1234">
    <w:name w:val="line-height"/>
    <w:qFormat/>
    <w:uiPriority w:val="0"/>
  </w:style>
  <w:style w:type="character" w:customStyle="1" w:styleId="1235">
    <w:name w:val="bg Char Char Char Char"/>
    <w:qFormat/>
    <w:uiPriority w:val="0"/>
    <w:rPr>
      <w:rFonts w:eastAsia="宋体" w:cs="宋体"/>
      <w:kern w:val="2"/>
      <w:sz w:val="21"/>
      <w:szCs w:val="21"/>
      <w:lang w:val="en-US" w:eastAsia="zh-CN" w:bidi="ar-SA"/>
    </w:rPr>
  </w:style>
  <w:style w:type="character" w:customStyle="1" w:styleId="1236">
    <w:name w:val="表格内容 Char Char Char Char"/>
    <w:qFormat/>
    <w:uiPriority w:val="0"/>
    <w:rPr>
      <w:rFonts w:ascii="宋体" w:hAnsi="宋体" w:eastAsia="宋体"/>
      <w:sz w:val="21"/>
      <w:szCs w:val="21"/>
      <w:lang w:val="en-US" w:eastAsia="zh-CN" w:bidi="ar-SA"/>
    </w:rPr>
  </w:style>
  <w:style w:type="character" w:customStyle="1" w:styleId="1237">
    <w:name w:val="5表标题 Char Char"/>
    <w:link w:val="1238"/>
    <w:qFormat/>
    <w:uiPriority w:val="0"/>
    <w:rPr>
      <w:rFonts w:cs="宋体"/>
      <w:b/>
      <w:bCs/>
    </w:rPr>
  </w:style>
  <w:style w:type="paragraph" w:customStyle="1" w:styleId="1238">
    <w:name w:val="5表标题"/>
    <w:link w:val="1237"/>
    <w:qFormat/>
    <w:uiPriority w:val="0"/>
    <w:pPr>
      <w:jc w:val="center"/>
    </w:pPr>
    <w:rPr>
      <w:rFonts w:cs="宋体" w:asciiTheme="minorHAnsi" w:hAnsiTheme="minorHAnsi" w:eastAsiaTheme="minorEastAsia"/>
      <w:b/>
      <w:bCs/>
      <w:kern w:val="2"/>
      <w:sz w:val="21"/>
      <w:szCs w:val="21"/>
      <w:lang w:val="en-US" w:eastAsia="zh-CN" w:bidi="ar-SA"/>
    </w:rPr>
  </w:style>
  <w:style w:type="character" w:customStyle="1" w:styleId="1239">
    <w:name w:val="正文文字缩进 3 Char Char1"/>
    <w:qFormat/>
    <w:uiPriority w:val="0"/>
    <w:rPr>
      <w:rFonts w:eastAsia="宋体"/>
      <w:kern w:val="2"/>
      <w:sz w:val="16"/>
      <w:szCs w:val="16"/>
      <w:lang w:val="en-US" w:eastAsia="zh-CN" w:bidi="ar-SA"/>
    </w:rPr>
  </w:style>
  <w:style w:type="character" w:customStyle="1" w:styleId="1240">
    <w:name w:val="文本条款 Char Char Char Char Char Char Char Char"/>
    <w:qFormat/>
    <w:uiPriority w:val="0"/>
    <w:rPr>
      <w:rFonts w:eastAsia="仿宋_GB2312"/>
      <w:kern w:val="2"/>
      <w:sz w:val="28"/>
      <w:szCs w:val="24"/>
      <w:lang w:val="en-US" w:eastAsia="zh-CN" w:bidi="ar-SA"/>
    </w:rPr>
  </w:style>
  <w:style w:type="character" w:customStyle="1" w:styleId="1241">
    <w:name w:val="样式 标题 1 + 红色 Char Char Char Char Char Char Char"/>
    <w:link w:val="1242"/>
    <w:qFormat/>
    <w:uiPriority w:val="0"/>
    <w:rPr>
      <w:rFonts w:eastAsia="黑体"/>
      <w:bCs/>
      <w:color w:val="FF0000"/>
      <w:kern w:val="44"/>
      <w:sz w:val="30"/>
      <w:szCs w:val="44"/>
    </w:rPr>
  </w:style>
  <w:style w:type="paragraph" w:customStyle="1" w:styleId="1242">
    <w:name w:val="样式 标题 1 + 红色 Char Char Char Char"/>
    <w:basedOn w:val="3"/>
    <w:link w:val="1241"/>
    <w:qFormat/>
    <w:uiPriority w:val="0"/>
    <w:pPr>
      <w:widowControl w:val="0"/>
      <w:spacing w:line="578" w:lineRule="auto"/>
      <w:jc w:val="both"/>
    </w:pPr>
    <w:rPr>
      <w:rFonts w:eastAsia="黑体" w:asciiTheme="minorHAnsi" w:hAnsiTheme="minorHAnsi"/>
      <w:b w:val="0"/>
      <w:color w:val="FF0000"/>
      <w:sz w:val="30"/>
    </w:rPr>
  </w:style>
  <w:style w:type="character" w:customStyle="1" w:styleId="1243">
    <w:name w:val="word"/>
    <w:qFormat/>
    <w:uiPriority w:val="0"/>
  </w:style>
  <w:style w:type="character" w:customStyle="1" w:styleId="1244">
    <w:name w:val="条，(一) Char"/>
    <w:qFormat/>
    <w:uiPriority w:val="0"/>
    <w:rPr>
      <w:rFonts w:eastAsia="宋体"/>
      <w:b/>
      <w:bCs/>
      <w:color w:val="000000"/>
      <w:kern w:val="2"/>
      <w:sz w:val="24"/>
      <w:szCs w:val="28"/>
      <w:lang w:val="en-US" w:eastAsia="zh-CN" w:bidi="ar-SA"/>
    </w:rPr>
  </w:style>
  <w:style w:type="character" w:customStyle="1" w:styleId="1245">
    <w:name w:val="报告书正文 Char Char Char Char1"/>
    <w:qFormat/>
    <w:uiPriority w:val="0"/>
    <w:rPr>
      <w:rFonts w:eastAsia="宋体"/>
      <w:kern w:val="2"/>
      <w:sz w:val="24"/>
      <w:szCs w:val="24"/>
      <w:lang w:val="en-US" w:eastAsia="zh-CN" w:bidi="ar-SA"/>
    </w:rPr>
  </w:style>
  <w:style w:type="character" w:customStyle="1" w:styleId="1246">
    <w:name w:val="Char Char Char Char Char1"/>
    <w:link w:val="329"/>
    <w:qFormat/>
    <w:uiPriority w:val="0"/>
    <w:rPr>
      <w:rFonts w:ascii="Times New Roman" w:hAnsi="Times New Roman" w:eastAsia="宋体" w:cs="Times New Roman"/>
      <w:szCs w:val="24"/>
    </w:rPr>
  </w:style>
  <w:style w:type="character" w:customStyle="1" w:styleId="1247">
    <w:name w:val="123YJ Char Char1"/>
    <w:qFormat/>
    <w:uiPriority w:val="0"/>
    <w:rPr>
      <w:rFonts w:eastAsia="宋体"/>
      <w:kern w:val="2"/>
      <w:sz w:val="18"/>
      <w:szCs w:val="18"/>
      <w:lang w:val="en-US" w:eastAsia="zh-CN" w:bidi="ar-SA"/>
    </w:rPr>
  </w:style>
  <w:style w:type="character" w:customStyle="1" w:styleId="1248">
    <w:name w:val="ca-31"/>
    <w:qFormat/>
    <w:uiPriority w:val="0"/>
    <w:rPr>
      <w:rFonts w:hint="default" w:ascii="Times New Roman" w:hAnsi="Times New Roman" w:eastAsia="宋体" w:cs="Times New Roman"/>
      <w:kern w:val="2"/>
      <w:sz w:val="24"/>
      <w:szCs w:val="24"/>
      <w:lang w:val="en-US" w:eastAsia="zh-CN" w:bidi="ar-SA"/>
    </w:rPr>
  </w:style>
  <w:style w:type="character" w:customStyle="1" w:styleId="1249">
    <w:name w:val="xyb自建表格名称 Char Char1"/>
    <w:qFormat/>
    <w:uiPriority w:val="0"/>
    <w:rPr>
      <w:rFonts w:hint="eastAsia" w:ascii="宋体" w:hAnsi="宋体" w:eastAsia="宋体"/>
      <w:kern w:val="2"/>
      <w:sz w:val="24"/>
      <w:lang w:val="en-US" w:eastAsia="zh-CN"/>
    </w:rPr>
  </w:style>
  <w:style w:type="character" w:customStyle="1" w:styleId="1250">
    <w:name w:val="Char Char23"/>
    <w:qFormat/>
    <w:uiPriority w:val="0"/>
    <w:rPr>
      <w:rFonts w:eastAsia="宋体"/>
      <w:b/>
      <w:kern w:val="2"/>
      <w:sz w:val="16"/>
      <w:szCs w:val="16"/>
      <w:lang w:val="en-US" w:eastAsia="zh-CN" w:bidi="ar-SA"/>
    </w:rPr>
  </w:style>
  <w:style w:type="character" w:customStyle="1" w:styleId="1251">
    <w:name w:val="style2471"/>
    <w:qFormat/>
    <w:uiPriority w:val="0"/>
    <w:rPr>
      <w:color w:val="666666"/>
      <w:sz w:val="18"/>
      <w:szCs w:val="18"/>
    </w:rPr>
  </w:style>
  <w:style w:type="character" w:customStyle="1" w:styleId="1252">
    <w:name w:val="普通文字 Char Char4"/>
    <w:qFormat/>
    <w:uiPriority w:val="0"/>
    <w:rPr>
      <w:rFonts w:ascii="宋体" w:hAnsi="Courier New" w:cs="Courier New"/>
      <w:b/>
      <w:szCs w:val="21"/>
    </w:rPr>
  </w:style>
  <w:style w:type="character" w:customStyle="1" w:styleId="1253">
    <w:name w:val="样式 标题 3标题 3 CharH3B Head + 宋体 小三 Char Char Char Char Char"/>
    <w:link w:val="1254"/>
    <w:qFormat/>
    <w:uiPriority w:val="0"/>
    <w:rPr>
      <w:rFonts w:ascii="宋体" w:hAnsi="宋体" w:eastAsia="黑体"/>
      <w:bCs/>
      <w:sz w:val="30"/>
      <w:szCs w:val="28"/>
    </w:rPr>
  </w:style>
  <w:style w:type="paragraph" w:customStyle="1" w:styleId="1254">
    <w:name w:val="样式 标题 3标题 3 CharH3B Head + 宋体 小三 Char Char Char"/>
    <w:basedOn w:val="5"/>
    <w:link w:val="1253"/>
    <w:qFormat/>
    <w:uiPriority w:val="0"/>
    <w:pPr>
      <w:spacing w:beforeLines="10"/>
      <w:ind w:left="720" w:hanging="432"/>
    </w:pPr>
    <w:rPr>
      <w:rFonts w:ascii="宋体" w:hAnsi="宋体" w:eastAsia="黑体"/>
      <w:b w:val="0"/>
      <w:sz w:val="30"/>
      <w:szCs w:val="28"/>
    </w:rPr>
  </w:style>
  <w:style w:type="character" w:customStyle="1" w:styleId="1255">
    <w:name w:val="!标题2 Char Char"/>
    <w:link w:val="1256"/>
    <w:qFormat/>
    <w:uiPriority w:val="0"/>
    <w:rPr>
      <w:rFonts w:ascii="Arial" w:hAnsi="Arial" w:eastAsia="黑体"/>
      <w:b/>
      <w:color w:val="000000"/>
      <w:sz w:val="32"/>
      <w:szCs w:val="32"/>
      <w:u w:color="000000"/>
    </w:rPr>
  </w:style>
  <w:style w:type="paragraph" w:customStyle="1" w:styleId="1256">
    <w:name w:val="!标题2"/>
    <w:basedOn w:val="4"/>
    <w:next w:val="1150"/>
    <w:link w:val="1255"/>
    <w:qFormat/>
    <w:uiPriority w:val="0"/>
    <w:pPr>
      <w:spacing w:after="120"/>
      <w:jc w:val="both"/>
    </w:pPr>
    <w:rPr>
      <w:rFonts w:ascii="Arial" w:hAnsi="Arial" w:eastAsia="黑体" w:cstheme="minorBidi"/>
      <w:bCs w:val="0"/>
      <w:color w:val="000000"/>
      <w:sz w:val="32"/>
      <w:u w:color="000000"/>
    </w:rPr>
  </w:style>
  <w:style w:type="character" w:customStyle="1" w:styleId="1257">
    <w:name w:val="正文文字缩进 2 Char Char Char Char"/>
    <w:qFormat/>
    <w:uiPriority w:val="0"/>
    <w:rPr>
      <w:rFonts w:hint="eastAsia" w:ascii="宋体" w:hAnsi="Times New Roman" w:eastAsia="宋体"/>
      <w:spacing w:val="5"/>
      <w:sz w:val="24"/>
    </w:rPr>
  </w:style>
  <w:style w:type="character" w:customStyle="1" w:styleId="1258">
    <w:name w:val="段中 Char Char"/>
    <w:link w:val="1259"/>
    <w:qFormat/>
    <w:uiPriority w:val="0"/>
    <w:rPr>
      <w:rFonts w:ascii="宋体"/>
      <w:sz w:val="24"/>
      <w:szCs w:val="24"/>
    </w:rPr>
  </w:style>
  <w:style w:type="paragraph" w:customStyle="1" w:styleId="1259">
    <w:name w:val="段中"/>
    <w:link w:val="1258"/>
    <w:qFormat/>
    <w:uiPriority w:val="0"/>
    <w:pPr>
      <w:widowControl w:val="0"/>
      <w:adjustRightInd w:val="0"/>
      <w:snapToGrid w:val="0"/>
      <w:spacing w:beforeLines="30" w:line="460" w:lineRule="exact"/>
      <w:ind w:firstLine="480" w:firstLineChars="200"/>
      <w:jc w:val="both"/>
    </w:pPr>
    <w:rPr>
      <w:rFonts w:ascii="宋体" w:hAnsiTheme="minorHAnsi" w:eastAsiaTheme="minorEastAsia" w:cstheme="minorBidi"/>
      <w:kern w:val="2"/>
      <w:sz w:val="24"/>
      <w:szCs w:val="24"/>
      <w:lang w:val="en-US" w:eastAsia="zh-CN" w:bidi="ar-SA"/>
    </w:rPr>
  </w:style>
  <w:style w:type="character" w:customStyle="1" w:styleId="1260">
    <w:name w:val="样式 正文小四 + Char Char"/>
    <w:link w:val="1261"/>
    <w:qFormat/>
    <w:uiPriority w:val="0"/>
    <w:rPr>
      <w:rFonts w:ascii="宋体" w:hAnsi="宋体" w:cs="宋体"/>
      <w:sz w:val="24"/>
      <w:u w:color="000000"/>
    </w:rPr>
  </w:style>
  <w:style w:type="paragraph" w:customStyle="1" w:styleId="1261">
    <w:name w:val="样式 正文小四 +"/>
    <w:basedOn w:val="1108"/>
    <w:link w:val="1260"/>
    <w:qFormat/>
    <w:uiPriority w:val="0"/>
    <w:rPr>
      <w:u w:color="000000"/>
    </w:rPr>
  </w:style>
  <w:style w:type="character" w:customStyle="1" w:styleId="1262">
    <w:name w:val="正文文本 2 Char Char"/>
    <w:qFormat/>
    <w:uiPriority w:val="0"/>
    <w:rPr>
      <w:rFonts w:hAnsi="宋体"/>
      <w:sz w:val="24"/>
      <w:lang w:val="en-US" w:eastAsia="zh-CN"/>
    </w:rPr>
  </w:style>
  <w:style w:type="character" w:customStyle="1" w:styleId="1263">
    <w:name w:val="样式 标题 2 + 小四 Char Char"/>
    <w:link w:val="1264"/>
    <w:qFormat/>
    <w:uiPriority w:val="0"/>
    <w:rPr>
      <w:rFonts w:ascii="Arial" w:hAnsi="Arial"/>
      <w:bCs/>
      <w:sz w:val="24"/>
      <w:szCs w:val="32"/>
    </w:rPr>
  </w:style>
  <w:style w:type="paragraph" w:customStyle="1" w:styleId="1264">
    <w:name w:val="样式 标题 2 + 小四"/>
    <w:basedOn w:val="4"/>
    <w:link w:val="1263"/>
    <w:qFormat/>
    <w:uiPriority w:val="0"/>
    <w:pPr>
      <w:spacing w:after="120"/>
      <w:jc w:val="both"/>
    </w:pPr>
    <w:rPr>
      <w:rFonts w:ascii="Arial" w:hAnsi="Arial" w:eastAsiaTheme="minorEastAsia" w:cstheme="minorBidi"/>
      <w:b w:val="0"/>
    </w:rPr>
  </w:style>
  <w:style w:type="character" w:customStyle="1" w:styleId="1265">
    <w:name w:val="样式 表标题 + 加粗 Char Char"/>
    <w:link w:val="1266"/>
    <w:qFormat/>
    <w:uiPriority w:val="0"/>
    <w:rPr>
      <w:rFonts w:ascii="黑体" w:hAnsi="宋体" w:eastAsia="黑体"/>
      <w:bCs/>
      <w:spacing w:val="21"/>
      <w:sz w:val="24"/>
      <w:szCs w:val="24"/>
      <w:lang w:val="zh-CN"/>
    </w:rPr>
  </w:style>
  <w:style w:type="paragraph" w:customStyle="1" w:styleId="1266">
    <w:name w:val="样式 表标题 + 加粗"/>
    <w:basedOn w:val="316"/>
    <w:link w:val="1265"/>
    <w:qFormat/>
    <w:uiPriority w:val="0"/>
    <w:pPr>
      <w:spacing w:beforeLines="10" w:line="360" w:lineRule="auto"/>
      <w:ind w:firstLine="960" w:firstLineChars="400"/>
      <w:jc w:val="both"/>
      <w:textAlignment w:val="baseline"/>
    </w:pPr>
    <w:rPr>
      <w:rFonts w:ascii="黑体" w:eastAsia="黑体"/>
      <w:bCs/>
      <w:sz w:val="24"/>
      <w:szCs w:val="24"/>
      <w:lang w:val="zh-CN"/>
    </w:rPr>
  </w:style>
  <w:style w:type="character" w:customStyle="1" w:styleId="1267">
    <w:name w:val="表标题 Char Char"/>
    <w:qFormat/>
    <w:uiPriority w:val="0"/>
    <w:rPr>
      <w:rFonts w:ascii="仿宋_GB2312" w:hAnsi="宋体"/>
      <w:spacing w:val="21"/>
      <w:sz w:val="28"/>
    </w:rPr>
  </w:style>
  <w:style w:type="paragraph" w:customStyle="1" w:styleId="1268">
    <w:name w:val="岳阳用"/>
    <w:basedOn w:val="1"/>
    <w:qFormat/>
    <w:uiPriority w:val="0"/>
    <w:pPr>
      <w:adjustRightInd w:val="0"/>
      <w:spacing w:line="400" w:lineRule="atLeast"/>
      <w:ind w:firstLine="644"/>
      <w:jc w:val="left"/>
      <w:textAlignment w:val="baseline"/>
    </w:pPr>
    <w:rPr>
      <w:rFonts w:ascii="仿宋_GB2312" w:hAnsi="宋体" w:cs="Times New Roman"/>
      <w:spacing w:val="21"/>
      <w:kern w:val="0"/>
      <w:sz w:val="28"/>
      <w:szCs w:val="20"/>
    </w:rPr>
  </w:style>
  <w:style w:type="character" w:customStyle="1" w:styleId="1269">
    <w:name w:val="booktitletextsy1"/>
    <w:qFormat/>
    <w:uiPriority w:val="0"/>
    <w:rPr>
      <w:b/>
      <w:bCs/>
      <w:color w:val="000000"/>
      <w:sz w:val="30"/>
      <w:szCs w:val="30"/>
    </w:rPr>
  </w:style>
  <w:style w:type="character" w:customStyle="1" w:styleId="1270">
    <w:name w:val="样式 标题 1 + 红色 Char Char1"/>
    <w:link w:val="1271"/>
    <w:qFormat/>
    <w:uiPriority w:val="0"/>
    <w:rPr>
      <w:rFonts w:ascii="宋体" w:hAnsi="宋体" w:eastAsia="黑体"/>
      <w:b/>
      <w:bCs/>
      <w:color w:val="FF0000"/>
      <w:kern w:val="44"/>
      <w:sz w:val="32"/>
      <w:szCs w:val="44"/>
    </w:rPr>
  </w:style>
  <w:style w:type="paragraph" w:customStyle="1" w:styleId="1271">
    <w:name w:val="样式 标题 1 + 红色 Char"/>
    <w:basedOn w:val="3"/>
    <w:link w:val="1270"/>
    <w:qFormat/>
    <w:uiPriority w:val="0"/>
    <w:pPr>
      <w:widowControl w:val="0"/>
      <w:spacing w:line="578" w:lineRule="auto"/>
      <w:jc w:val="both"/>
    </w:pPr>
    <w:rPr>
      <w:rFonts w:ascii="宋体" w:hAnsi="宋体" w:eastAsia="黑体"/>
      <w:color w:val="FF0000"/>
      <w:sz w:val="32"/>
    </w:rPr>
  </w:style>
  <w:style w:type="character" w:customStyle="1" w:styleId="1272">
    <w:name w:val="ca-41"/>
    <w:qFormat/>
    <w:uiPriority w:val="0"/>
    <w:rPr>
      <w:rFonts w:hint="eastAsia" w:ascii="宋体" w:hAnsi="宋体" w:eastAsia="宋体" w:cs="宋体"/>
      <w:kern w:val="2"/>
      <w:sz w:val="24"/>
      <w:szCs w:val="24"/>
      <w:lang w:val="en-US" w:eastAsia="zh-CN" w:bidi="ar-SA"/>
    </w:rPr>
  </w:style>
  <w:style w:type="character" w:customStyle="1" w:styleId="1273">
    <w:name w:val="报告 Char Char Char Char"/>
    <w:qFormat/>
    <w:uiPriority w:val="0"/>
    <w:rPr>
      <w:rFonts w:eastAsia="宋体"/>
      <w:kern w:val="2"/>
      <w:sz w:val="24"/>
      <w:szCs w:val="24"/>
      <w:lang w:val="en-US" w:eastAsia="zh-CN" w:bidi="ar-SA"/>
    </w:rPr>
  </w:style>
  <w:style w:type="character" w:customStyle="1" w:styleId="1274">
    <w:name w:val="表文 Char1"/>
    <w:link w:val="1024"/>
    <w:qFormat/>
    <w:uiPriority w:val="0"/>
    <w:rPr>
      <w:rFonts w:ascii="黑体" w:hAnsi="宋体" w:cs="Times New Roman"/>
      <w:szCs w:val="20"/>
    </w:rPr>
  </w:style>
  <w:style w:type="character" w:customStyle="1" w:styleId="1275">
    <w:name w:val="dfgdfg Char Char"/>
    <w:link w:val="1276"/>
    <w:qFormat/>
    <w:uiPriority w:val="0"/>
    <w:rPr>
      <w:rFonts w:ascii="Arial" w:hAnsi="Arial" w:eastAsia="黑体"/>
      <w:szCs w:val="21"/>
    </w:rPr>
  </w:style>
  <w:style w:type="paragraph" w:customStyle="1" w:styleId="1276">
    <w:name w:val="标题 91"/>
    <w:basedOn w:val="1"/>
    <w:next w:val="1"/>
    <w:link w:val="1275"/>
    <w:qFormat/>
    <w:uiPriority w:val="0"/>
    <w:pPr>
      <w:keepNext/>
      <w:keepLines/>
      <w:tabs>
        <w:tab w:val="left" w:pos="1584"/>
      </w:tabs>
      <w:spacing w:after="64" w:line="319" w:lineRule="auto"/>
      <w:ind w:left="1584" w:hanging="1584"/>
      <w:jc w:val="left"/>
      <w:textAlignment w:val="baseline"/>
      <w:outlineLvl w:val="8"/>
    </w:pPr>
    <w:rPr>
      <w:rFonts w:ascii="Arial" w:hAnsi="Arial" w:eastAsia="黑体"/>
    </w:rPr>
  </w:style>
  <w:style w:type="character" w:customStyle="1" w:styleId="1277">
    <w:name w:val="样式17 Char Char Char Char Char Char"/>
    <w:qFormat/>
    <w:uiPriority w:val="0"/>
    <w:rPr>
      <w:rFonts w:eastAsia="华文中宋"/>
      <w:kern w:val="2"/>
      <w:sz w:val="24"/>
      <w:szCs w:val="24"/>
      <w:lang w:val="en-US" w:eastAsia="zh-CN"/>
    </w:rPr>
  </w:style>
  <w:style w:type="character" w:customStyle="1" w:styleId="1278">
    <w:name w:val="ed11"/>
    <w:qFormat/>
    <w:uiPriority w:val="0"/>
    <w:rPr>
      <w:color w:val="CC0000"/>
      <w:sz w:val="21"/>
      <w:szCs w:val="21"/>
    </w:rPr>
  </w:style>
  <w:style w:type="character" w:customStyle="1" w:styleId="1279">
    <w:name w:val="表格名称 Char Char"/>
    <w:qFormat/>
    <w:uiPriority w:val="0"/>
    <w:rPr>
      <w:rFonts w:ascii="宋体" w:hAnsi="宋体" w:eastAsia="宋体"/>
      <w:b/>
      <w:bCs/>
      <w:sz w:val="24"/>
      <w:szCs w:val="24"/>
      <w:u w:color="000000"/>
      <w:lang w:val="en-US" w:eastAsia="zh-CN" w:bidi="ar-SA"/>
    </w:rPr>
  </w:style>
  <w:style w:type="character" w:customStyle="1" w:styleId="1280">
    <w:name w:val="normaltext1"/>
    <w:qFormat/>
    <w:uiPriority w:val="0"/>
    <w:rPr>
      <w:color w:val="000000"/>
      <w:sz w:val="24"/>
      <w:szCs w:val="24"/>
    </w:rPr>
  </w:style>
  <w:style w:type="character" w:customStyle="1" w:styleId="1281">
    <w:name w:val="下标"/>
    <w:qFormat/>
    <w:uiPriority w:val="0"/>
    <w:rPr>
      <w:vertAlign w:val="subscript"/>
      <w:lang w:val="en-US" w:eastAsia="zh-CN"/>
    </w:rPr>
  </w:style>
  <w:style w:type="character" w:customStyle="1" w:styleId="1282">
    <w:name w:val="样式 报告书正文 + Times New Roman1 Char Char"/>
    <w:link w:val="1283"/>
    <w:qFormat/>
    <w:uiPriority w:val="0"/>
    <w:rPr>
      <w:rFonts w:ascii="黑体" w:hAnsi="宋体"/>
      <w:sz w:val="24"/>
    </w:rPr>
  </w:style>
  <w:style w:type="paragraph" w:customStyle="1" w:styleId="1283">
    <w:name w:val="样式 报告书正文 + Times New Roman1"/>
    <w:basedOn w:val="1228"/>
    <w:link w:val="1282"/>
    <w:qFormat/>
    <w:uiPriority w:val="0"/>
    <w:pPr>
      <w:tabs>
        <w:tab w:val="left" w:pos="180"/>
      </w:tabs>
      <w:adjustRightInd/>
      <w:spacing w:line="360" w:lineRule="auto"/>
      <w:ind w:left="0" w:leftChars="0" w:firstLine="200" w:firstLineChars="200"/>
      <w:textAlignment w:val="baseline"/>
    </w:pPr>
    <w:rPr>
      <w:rFonts w:ascii="黑体" w:cstheme="minorBidi"/>
      <w:snapToGrid/>
      <w:kern w:val="2"/>
      <w:sz w:val="24"/>
      <w:szCs w:val="22"/>
    </w:rPr>
  </w:style>
  <w:style w:type="character" w:customStyle="1" w:styleId="1284">
    <w:name w:val="特点标题 Char Char"/>
    <w:qFormat/>
    <w:uiPriority w:val="0"/>
    <w:rPr>
      <w:rFonts w:eastAsia="宋体"/>
      <w:kern w:val="2"/>
      <w:sz w:val="21"/>
      <w:szCs w:val="21"/>
      <w:lang w:val="en-US" w:eastAsia="zh-CN" w:bidi="ar-SA"/>
    </w:rPr>
  </w:style>
  <w:style w:type="character" w:customStyle="1" w:styleId="1285">
    <w:name w:val="样式 样式 标题 2 + 红色 + 自动设置 Char Char1"/>
    <w:link w:val="1286"/>
    <w:qFormat/>
    <w:uiPriority w:val="0"/>
    <w:rPr>
      <w:rFonts w:ascii="Arial" w:hAnsi="Arial" w:eastAsia="新宋体"/>
      <w:b/>
      <w:bCs/>
      <w:color w:val="FF0000"/>
      <w:spacing w:val="-8"/>
      <w:sz w:val="28"/>
      <w:szCs w:val="32"/>
      <w:u w:color="000000"/>
    </w:rPr>
  </w:style>
  <w:style w:type="paragraph" w:customStyle="1" w:styleId="1286">
    <w:name w:val="样式 样式 标题 2 + 红色 + 自动设置 Char"/>
    <w:link w:val="1285"/>
    <w:qFormat/>
    <w:uiPriority w:val="0"/>
    <w:pPr>
      <w:spacing w:after="260" w:line="416" w:lineRule="auto"/>
    </w:pPr>
    <w:rPr>
      <w:rFonts w:ascii="Times New Roman" w:hAnsi="Times New Roman" w:eastAsia="新宋体" w:cstheme="minorBidi"/>
      <w:bCs/>
      <w:color w:val="FF0000"/>
      <w:spacing w:val="-8"/>
      <w:sz w:val="28"/>
      <w:szCs w:val="32"/>
      <w:u w:color="000000"/>
      <w:lang w:val="en-US" w:eastAsia="zh-CN" w:bidi="ar-SA"/>
    </w:rPr>
  </w:style>
  <w:style w:type="paragraph" w:customStyle="1" w:styleId="1287">
    <w:name w:val="样式 标题 2 + 红色"/>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character" w:customStyle="1" w:styleId="1288">
    <w:name w:val="gg_body Char Char"/>
    <w:qFormat/>
    <w:uiPriority w:val="0"/>
    <w:rPr>
      <w:rFonts w:ascii="宋体" w:hAnsi="宋体" w:eastAsia="宋体"/>
      <w:kern w:val="2"/>
      <w:sz w:val="24"/>
      <w:szCs w:val="24"/>
      <w:lang w:val="en-US" w:eastAsia="zh-CN" w:bidi="ar-SA"/>
    </w:rPr>
  </w:style>
  <w:style w:type="character" w:customStyle="1" w:styleId="1289">
    <w:name w:val="表格正文 Char Char"/>
    <w:qFormat/>
    <w:uiPriority w:val="0"/>
    <w:rPr>
      <w:rFonts w:eastAsia="楷体_GB2312"/>
      <w:kern w:val="2"/>
      <w:sz w:val="21"/>
      <w:szCs w:val="21"/>
      <w:lang w:val="en-US" w:eastAsia="zh-CN" w:bidi="ar-SA"/>
    </w:rPr>
  </w:style>
  <w:style w:type="character" w:customStyle="1" w:styleId="1290">
    <w:name w:val="ca-51"/>
    <w:qFormat/>
    <w:uiPriority w:val="0"/>
    <w:rPr>
      <w:rFonts w:hint="eastAsia" w:ascii="宋体" w:hAnsi="宋体" w:eastAsia="宋体" w:cs="宋体"/>
      <w:kern w:val="2"/>
      <w:sz w:val="21"/>
      <w:szCs w:val="21"/>
      <w:lang w:val="en-US" w:eastAsia="zh-CN" w:bidi="ar-SA"/>
    </w:rPr>
  </w:style>
  <w:style w:type="character" w:customStyle="1" w:styleId="1291">
    <w:name w:val="报告书正文 Char Char1"/>
    <w:qFormat/>
    <w:uiPriority w:val="0"/>
    <w:rPr>
      <w:rFonts w:hint="default" w:eastAsia="宋体"/>
      <w:kern w:val="2"/>
      <w:sz w:val="24"/>
      <w:lang w:val="en-US" w:eastAsia="zh-CN"/>
    </w:rPr>
  </w:style>
  <w:style w:type="character" w:customStyle="1" w:styleId="1292">
    <w:name w:val="文本正文 + 红色 Char Char"/>
    <w:link w:val="1293"/>
    <w:qFormat/>
    <w:uiPriority w:val="0"/>
    <w:rPr>
      <w:rFonts w:cs="宋体"/>
      <w:bCs/>
      <w:color w:val="FF0000"/>
      <w:sz w:val="24"/>
      <w:szCs w:val="24"/>
    </w:rPr>
  </w:style>
  <w:style w:type="paragraph" w:customStyle="1" w:styleId="1293">
    <w:name w:val="文本正文 + 红色"/>
    <w:basedOn w:val="1"/>
    <w:link w:val="1292"/>
    <w:qFormat/>
    <w:uiPriority w:val="0"/>
    <w:pPr>
      <w:spacing w:line="360" w:lineRule="auto"/>
      <w:ind w:firstLine="480" w:firstLineChars="200"/>
      <w:jc w:val="left"/>
    </w:pPr>
    <w:rPr>
      <w:rFonts w:cs="宋体"/>
      <w:bCs/>
      <w:color w:val="FF0000"/>
      <w:sz w:val="24"/>
      <w:szCs w:val="24"/>
    </w:rPr>
  </w:style>
  <w:style w:type="character" w:customStyle="1" w:styleId="1294">
    <w:name w:val="tpc_content"/>
    <w:qFormat/>
    <w:uiPriority w:val="0"/>
  </w:style>
  <w:style w:type="character" w:customStyle="1" w:styleId="1295">
    <w:name w:val="样式 正文编号（1） + Char Char Char"/>
    <w:qFormat/>
    <w:uiPriority w:val="0"/>
    <w:rPr>
      <w:rFonts w:eastAsia="宋体"/>
      <w:color w:val="000000"/>
      <w:kern w:val="2"/>
      <w:sz w:val="28"/>
      <w:szCs w:val="24"/>
      <w:u w:color="000000"/>
      <w:lang w:val="en-US" w:eastAsia="zh-CN" w:bidi="ar-SA"/>
    </w:rPr>
  </w:style>
  <w:style w:type="character" w:customStyle="1" w:styleId="1296">
    <w:name w:val="正文编号（1） Char"/>
    <w:qFormat/>
    <w:uiPriority w:val="0"/>
    <w:rPr>
      <w:rFonts w:eastAsia="宋体"/>
      <w:kern w:val="2"/>
      <w:sz w:val="28"/>
      <w:szCs w:val="24"/>
      <w:lang w:val="en-US" w:eastAsia="zh-CN" w:bidi="ar-SA"/>
    </w:rPr>
  </w:style>
  <w:style w:type="character" w:customStyle="1" w:styleId="1297">
    <w:name w:val="xyb自建正文 Char Char"/>
    <w:qFormat/>
    <w:uiPriority w:val="0"/>
    <w:rPr>
      <w:rFonts w:ascii="宋体" w:hAnsi="宋体" w:eastAsia="宋体"/>
      <w:kern w:val="2"/>
      <w:sz w:val="24"/>
      <w:szCs w:val="24"/>
      <w:lang w:val="en-US" w:eastAsia="zh-CN" w:bidi="ar-SA"/>
    </w:rPr>
  </w:style>
  <w:style w:type="character" w:customStyle="1" w:styleId="1298">
    <w:name w:val="一般正文 + 首行缩进:  2 字符 Char Char Char Char"/>
    <w:link w:val="1299"/>
    <w:qFormat/>
    <w:uiPriority w:val="0"/>
    <w:rPr>
      <w:rFonts w:cs="宋体"/>
      <w:color w:val="000000"/>
      <w:sz w:val="26"/>
      <w:szCs w:val="24"/>
    </w:rPr>
  </w:style>
  <w:style w:type="paragraph" w:customStyle="1" w:styleId="1299">
    <w:name w:val="一般正文 + 首行缩进:  2 字符 Char Char"/>
    <w:basedOn w:val="1"/>
    <w:link w:val="1298"/>
    <w:qFormat/>
    <w:uiPriority w:val="0"/>
    <w:pPr>
      <w:adjustRightInd w:val="0"/>
      <w:spacing w:beforeLines="20" w:line="324" w:lineRule="auto"/>
      <w:ind w:firstLine="200" w:firstLineChars="200"/>
      <w:jc w:val="left"/>
    </w:pPr>
    <w:rPr>
      <w:rFonts w:cs="宋体"/>
      <w:color w:val="000000"/>
      <w:sz w:val="26"/>
      <w:szCs w:val="24"/>
    </w:rPr>
  </w:style>
  <w:style w:type="character" w:customStyle="1" w:styleId="1300">
    <w:name w:val="样式 表文 + 五号 Char Char"/>
    <w:link w:val="1301"/>
    <w:qFormat/>
    <w:uiPriority w:val="0"/>
    <w:rPr>
      <w:szCs w:val="18"/>
    </w:rPr>
  </w:style>
  <w:style w:type="paragraph" w:customStyle="1" w:styleId="1301">
    <w:name w:val="样式 表文 + 五号"/>
    <w:basedOn w:val="1"/>
    <w:link w:val="1300"/>
    <w:qFormat/>
    <w:uiPriority w:val="0"/>
    <w:pPr>
      <w:autoSpaceDE w:val="0"/>
      <w:autoSpaceDN w:val="0"/>
      <w:adjustRightInd w:val="0"/>
      <w:jc w:val="center"/>
      <w:textAlignment w:val="baseline"/>
    </w:pPr>
    <w:rPr>
      <w:szCs w:val="18"/>
    </w:rPr>
  </w:style>
  <w:style w:type="character" w:customStyle="1" w:styleId="1302">
    <w:name w:val="pt91"/>
    <w:qFormat/>
    <w:uiPriority w:val="0"/>
    <w:rPr>
      <w:sz w:val="18"/>
      <w:szCs w:val="18"/>
    </w:rPr>
  </w:style>
  <w:style w:type="character" w:customStyle="1" w:styleId="1303">
    <w:name w:val="11朔神 Char Char"/>
    <w:link w:val="1304"/>
    <w:qFormat/>
    <w:uiPriority w:val="0"/>
    <w:rPr>
      <w:sz w:val="24"/>
      <w:szCs w:val="24"/>
    </w:rPr>
  </w:style>
  <w:style w:type="paragraph" w:customStyle="1" w:styleId="1304">
    <w:name w:val="11朔神"/>
    <w:basedOn w:val="1"/>
    <w:link w:val="1303"/>
    <w:qFormat/>
    <w:uiPriority w:val="0"/>
    <w:pPr>
      <w:spacing w:line="360" w:lineRule="auto"/>
      <w:ind w:firstLine="480" w:firstLineChars="200"/>
      <w:jc w:val="left"/>
    </w:pPr>
    <w:rPr>
      <w:sz w:val="24"/>
      <w:szCs w:val="24"/>
    </w:rPr>
  </w:style>
  <w:style w:type="character" w:customStyle="1" w:styleId="1305">
    <w:name w:val="样式 报告书正文 + 宋体 Char Char"/>
    <w:link w:val="1306"/>
    <w:qFormat/>
    <w:uiPriority w:val="0"/>
    <w:rPr>
      <w:rFonts w:ascii="黑体" w:hAnsi="宋体"/>
      <w:spacing w:val="-10"/>
      <w:sz w:val="24"/>
    </w:rPr>
  </w:style>
  <w:style w:type="paragraph" w:customStyle="1" w:styleId="1306">
    <w:name w:val="样式 报告书正文 + 宋体"/>
    <w:basedOn w:val="1228"/>
    <w:link w:val="1305"/>
    <w:qFormat/>
    <w:uiPriority w:val="0"/>
    <w:pPr>
      <w:tabs>
        <w:tab w:val="left" w:pos="180"/>
      </w:tabs>
      <w:adjustRightInd/>
      <w:snapToGrid w:val="0"/>
      <w:spacing w:line="360" w:lineRule="auto"/>
      <w:ind w:left="0" w:leftChars="0" w:firstLine="440" w:firstLineChars="200"/>
      <w:textAlignment w:val="baseline"/>
    </w:pPr>
    <w:rPr>
      <w:rFonts w:ascii="黑体" w:cstheme="minorBidi"/>
      <w:snapToGrid/>
      <w:spacing w:val="-10"/>
      <w:kern w:val="2"/>
      <w:sz w:val="24"/>
      <w:szCs w:val="22"/>
    </w:rPr>
  </w:style>
  <w:style w:type="character" w:customStyle="1" w:styleId="1307">
    <w:name w:val="已访问的超级链接"/>
    <w:qFormat/>
    <w:uiPriority w:val="0"/>
    <w:rPr>
      <w:rFonts w:ascii="Times New Roman" w:eastAsia="宋体"/>
      <w:color w:val="800080"/>
      <w:spacing w:val="0"/>
      <w:w w:val="100"/>
      <w:sz w:val="21"/>
      <w:u w:val="single" w:color="800080"/>
      <w:vertAlign w:val="baseline"/>
      <w:lang w:val="en-US" w:eastAsia="zh-CN"/>
    </w:rPr>
  </w:style>
  <w:style w:type="character" w:customStyle="1" w:styleId="1308">
    <w:name w:val="正文首行缩进 Char Char Char1"/>
    <w:qFormat/>
    <w:uiPriority w:val="0"/>
    <w:rPr>
      <w:rFonts w:eastAsia="宋体"/>
      <w:kern w:val="2"/>
      <w:sz w:val="24"/>
      <w:szCs w:val="24"/>
      <w:lang w:val="en-US" w:eastAsia="zh-CN" w:bidi="ar-SA"/>
    </w:rPr>
  </w:style>
  <w:style w:type="character" w:customStyle="1" w:styleId="1309">
    <w:name w:val="sytle11"/>
    <w:qFormat/>
    <w:uiPriority w:val="0"/>
    <w:rPr>
      <w:rFonts w:hint="default" w:ascii="ˎ̥" w:hAnsi="ˎ̥" w:eastAsia="宋体" w:cs="宋体"/>
      <w:color w:val="000000"/>
      <w:kern w:val="2"/>
      <w:sz w:val="24"/>
      <w:szCs w:val="24"/>
      <w:u w:val="none"/>
      <w:lang w:val="en-US" w:eastAsia="zh-CN" w:bidi="ar-SA"/>
    </w:rPr>
  </w:style>
  <w:style w:type="character" w:customStyle="1" w:styleId="1310">
    <w:name w:val="!正文(alt+c) Char2"/>
    <w:qFormat/>
    <w:uiPriority w:val="0"/>
    <w:rPr>
      <w:rFonts w:eastAsia="宋体"/>
      <w:sz w:val="24"/>
      <w:lang w:val="en-US" w:eastAsia="zh-CN"/>
    </w:rPr>
  </w:style>
  <w:style w:type="character" w:customStyle="1" w:styleId="1311">
    <w:name w:val="cn41"/>
    <w:qFormat/>
    <w:uiPriority w:val="0"/>
    <w:rPr>
      <w:color w:val="000000"/>
      <w:sz w:val="18"/>
      <w:szCs w:val="18"/>
      <w:u w:val="none"/>
    </w:rPr>
  </w:style>
  <w:style w:type="character" w:customStyle="1" w:styleId="1312">
    <w:name w:val="样式 标题 3 Char Char"/>
    <w:qFormat/>
    <w:uiPriority w:val="0"/>
    <w:rPr>
      <w:rFonts w:ascii="宋体" w:hAnsi="宋体" w:eastAsia="宋体" w:cs="宋体"/>
      <w:bCs/>
      <w:kern w:val="2"/>
      <w:sz w:val="24"/>
      <w:szCs w:val="24"/>
      <w:lang w:val="en-US" w:eastAsia="zh-CN" w:bidi="ar-SA"/>
    </w:rPr>
  </w:style>
  <w:style w:type="character" w:customStyle="1" w:styleId="1313">
    <w:name w:val="ca-61"/>
    <w:qFormat/>
    <w:uiPriority w:val="0"/>
    <w:rPr>
      <w:rFonts w:hint="default" w:ascii="Times New Roman" w:hAnsi="Times New Roman" w:eastAsia="宋体" w:cs="Times New Roman"/>
      <w:kern w:val="2"/>
      <w:sz w:val="12"/>
      <w:szCs w:val="12"/>
      <w:lang w:val="en-US" w:eastAsia="zh-CN" w:bidi="ar-SA"/>
    </w:rPr>
  </w:style>
  <w:style w:type="character" w:customStyle="1" w:styleId="1314">
    <w:name w:val="报告书正文 Char Char Char Char Char Char1"/>
    <w:link w:val="1315"/>
    <w:qFormat/>
    <w:uiPriority w:val="0"/>
    <w:rPr>
      <w:color w:val="000000"/>
      <w:sz w:val="24"/>
      <w:szCs w:val="24"/>
    </w:rPr>
  </w:style>
  <w:style w:type="paragraph" w:customStyle="1" w:styleId="1315">
    <w:name w:val="报告书正文 Char Char Char Char Char1"/>
    <w:basedOn w:val="1"/>
    <w:link w:val="1314"/>
    <w:qFormat/>
    <w:uiPriority w:val="0"/>
    <w:pPr>
      <w:spacing w:line="300" w:lineRule="auto"/>
      <w:ind w:firstLine="480" w:firstLineChars="200"/>
      <w:jc w:val="left"/>
    </w:pPr>
    <w:rPr>
      <w:color w:val="000000"/>
      <w:sz w:val="24"/>
      <w:szCs w:val="24"/>
    </w:rPr>
  </w:style>
  <w:style w:type="character" w:customStyle="1" w:styleId="1316">
    <w:name w:val="样式 !正文(alt+c) + 黑色 Char"/>
    <w:qFormat/>
    <w:uiPriority w:val="0"/>
    <w:rPr>
      <w:rFonts w:eastAsia="宋体"/>
      <w:color w:val="000000"/>
      <w:sz w:val="24"/>
      <w:szCs w:val="24"/>
      <w:lang w:val="en-US" w:eastAsia="zh-CN" w:bidi="ar-SA"/>
    </w:rPr>
  </w:style>
  <w:style w:type="character" w:customStyle="1" w:styleId="1317">
    <w:name w:val="样式5 Char Char Char Char Char"/>
    <w:qFormat/>
    <w:uiPriority w:val="0"/>
    <w:rPr>
      <w:rFonts w:eastAsia="宋体"/>
      <w:sz w:val="24"/>
      <w:szCs w:val="24"/>
    </w:rPr>
  </w:style>
  <w:style w:type="character" w:customStyle="1" w:styleId="1318">
    <w:name w:val="图表头 Char1"/>
    <w:qFormat/>
    <w:uiPriority w:val="0"/>
    <w:rPr>
      <w:rFonts w:ascii="宋体" w:hAnsi="宋体" w:eastAsia="宋体" w:cs="宋体"/>
      <w:b/>
      <w:bCs/>
      <w:kern w:val="2"/>
      <w:sz w:val="24"/>
      <w:szCs w:val="24"/>
      <w:lang w:val="en-US" w:eastAsia="zh-CN"/>
    </w:rPr>
  </w:style>
  <w:style w:type="character" w:customStyle="1" w:styleId="1319">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uiPriority w:val="0"/>
    <w:rPr>
      <w:rFonts w:ascii="宋体" w:hAnsi="宋体" w:eastAsia="仿宋_GB2312"/>
      <w:b/>
      <w:bCs/>
      <w:kern w:val="2"/>
      <w:sz w:val="24"/>
      <w:szCs w:val="24"/>
      <w:lang w:val="en-US" w:eastAsia="zh-CN" w:bidi="ar-SA"/>
    </w:rPr>
  </w:style>
  <w:style w:type="character" w:customStyle="1" w:styleId="1320">
    <w:name w:val="表格正文 Char Char Char Char Char Char"/>
    <w:qFormat/>
    <w:uiPriority w:val="0"/>
    <w:rPr>
      <w:rFonts w:eastAsia="宋体"/>
      <w:kern w:val="2"/>
      <w:sz w:val="21"/>
      <w:lang w:val="en-US" w:eastAsia="zh-CN" w:bidi="ar-SA"/>
    </w:rPr>
  </w:style>
  <w:style w:type="character" w:customStyle="1" w:styleId="1321">
    <w:name w:val="普通文字 Char Char1 Char Char"/>
    <w:qFormat/>
    <w:uiPriority w:val="0"/>
    <w:rPr>
      <w:rFonts w:ascii="宋体" w:hAnsi="Courier New" w:eastAsia="宋体"/>
      <w:kern w:val="2"/>
      <w:sz w:val="21"/>
      <w:szCs w:val="24"/>
      <w:lang w:val="en-US" w:eastAsia="zh-CN" w:bidi="ar-SA"/>
    </w:rPr>
  </w:style>
  <w:style w:type="character" w:customStyle="1" w:styleId="1322">
    <w:name w:val="正文文字缩进 2 Char2"/>
    <w:qFormat/>
    <w:uiPriority w:val="0"/>
    <w:rPr>
      <w:rFonts w:eastAsia="宋体"/>
      <w:b/>
      <w:kern w:val="2"/>
      <w:sz w:val="28"/>
      <w:szCs w:val="24"/>
      <w:lang w:val="en-US" w:eastAsia="zh-CN" w:bidi="ar-SA"/>
    </w:rPr>
  </w:style>
  <w:style w:type="character" w:customStyle="1" w:styleId="1323">
    <w:name w:val="newscontent1"/>
    <w:qFormat/>
    <w:uiPriority w:val="0"/>
    <w:rPr>
      <w:rFonts w:hint="default"/>
    </w:rPr>
  </w:style>
  <w:style w:type="character" w:customStyle="1" w:styleId="1324">
    <w:name w:val="3dfont"/>
    <w:qFormat/>
    <w:uiPriority w:val="0"/>
  </w:style>
  <w:style w:type="character" w:customStyle="1" w:styleId="1325">
    <w:name w:val="ca-01"/>
    <w:qFormat/>
    <w:uiPriority w:val="0"/>
    <w:rPr>
      <w:rFonts w:hint="eastAsia" w:ascii="宋体" w:hAnsi="宋体" w:eastAsia="宋体" w:cs="宋体"/>
      <w:b/>
      <w:bCs/>
      <w:color w:val="000000"/>
      <w:spacing w:val="-20"/>
      <w:kern w:val="2"/>
      <w:sz w:val="32"/>
      <w:szCs w:val="32"/>
      <w:lang w:val="en-US" w:eastAsia="zh-CN" w:bidi="ar-SA"/>
    </w:rPr>
  </w:style>
  <w:style w:type="character" w:customStyle="1" w:styleId="1326">
    <w:name w:val="样式 标题 3小节 + Times New Roman Char Char"/>
    <w:link w:val="1327"/>
    <w:qFormat/>
    <w:uiPriority w:val="0"/>
    <w:rPr>
      <w:rFonts w:ascii="Arial" w:hAnsi="Arial" w:eastAsia="黑体"/>
      <w:sz w:val="24"/>
    </w:rPr>
  </w:style>
  <w:style w:type="paragraph" w:customStyle="1" w:styleId="1327">
    <w:name w:val="样式 标题 3小节 + Times New Roman"/>
    <w:basedOn w:val="1128"/>
    <w:link w:val="1326"/>
    <w:qFormat/>
    <w:uiPriority w:val="0"/>
    <w:pPr>
      <w:spacing w:line="360" w:lineRule="auto"/>
    </w:pPr>
    <w:rPr>
      <w:rFonts w:ascii="Arial" w:hAnsi="Arial" w:eastAsia="黑体"/>
      <w:b w:val="0"/>
      <w:sz w:val="24"/>
    </w:rPr>
  </w:style>
  <w:style w:type="paragraph" w:customStyle="1" w:styleId="1328">
    <w:name w:val="Char1 Char Char Char Char Char Char"/>
    <w:basedOn w:val="1"/>
    <w:qFormat/>
    <w:uiPriority w:val="0"/>
    <w:pPr>
      <w:spacing w:line="360" w:lineRule="auto"/>
      <w:ind w:firstLine="200" w:firstLineChars="200"/>
      <w:jc w:val="left"/>
    </w:pPr>
    <w:rPr>
      <w:rFonts w:ascii="宋体" w:hAnsi="宋体" w:cs="Times New Roman"/>
      <w:kern w:val="0"/>
      <w:sz w:val="24"/>
      <w:szCs w:val="24"/>
    </w:rPr>
  </w:style>
  <w:style w:type="character" w:customStyle="1" w:styleId="1329">
    <w:name w:val="正文文本缩进2字符 Char Char"/>
    <w:link w:val="1330"/>
    <w:qFormat/>
    <w:uiPriority w:val="0"/>
    <w:rPr>
      <w:rFonts w:cs="宋体"/>
      <w:sz w:val="24"/>
      <w:szCs w:val="24"/>
    </w:rPr>
  </w:style>
  <w:style w:type="paragraph" w:customStyle="1" w:styleId="1330">
    <w:name w:val="正文文本缩进2字符"/>
    <w:basedOn w:val="35"/>
    <w:link w:val="1329"/>
    <w:qFormat/>
    <w:uiPriority w:val="0"/>
    <w:pPr>
      <w:adjustRightInd w:val="0"/>
      <w:snapToGrid w:val="0"/>
      <w:spacing w:beforeLines="10" w:after="0"/>
      <w:ind w:left="0" w:leftChars="0"/>
    </w:pPr>
    <w:rPr>
      <w:rFonts w:cs="宋体" w:asciiTheme="minorHAnsi" w:hAnsiTheme="minorHAnsi" w:eastAsiaTheme="minorEastAsia"/>
      <w:szCs w:val="24"/>
    </w:rPr>
  </w:style>
  <w:style w:type="character" w:customStyle="1" w:styleId="1331">
    <w:name w:val="aspmaker1"/>
    <w:qFormat/>
    <w:uiPriority w:val="0"/>
    <w:rPr>
      <w:rFonts w:hint="default" w:ascii="Verdana" w:hAnsi="Verdana"/>
      <w:sz w:val="20"/>
      <w:szCs w:val="20"/>
    </w:rPr>
  </w:style>
  <w:style w:type="character" w:customStyle="1" w:styleId="1332">
    <w:name w:val="样式26 Char Char"/>
    <w:link w:val="1333"/>
    <w:semiHidden/>
    <w:qFormat/>
    <w:uiPriority w:val="0"/>
    <w:rPr>
      <w:rFonts w:cs="宋体"/>
      <w:snapToGrid w:val="0"/>
      <w:spacing w:val="26"/>
      <w:sz w:val="32"/>
      <w:szCs w:val="28"/>
      <w:u w:color="000000"/>
    </w:rPr>
  </w:style>
  <w:style w:type="paragraph" w:customStyle="1" w:styleId="1333">
    <w:name w:val="样式26 Char"/>
    <w:basedOn w:val="1"/>
    <w:link w:val="1332"/>
    <w:semiHidden/>
    <w:qFormat/>
    <w:uiPriority w:val="0"/>
    <w:pPr>
      <w:widowControl/>
      <w:adjustRightInd w:val="0"/>
      <w:spacing w:line="440" w:lineRule="atLeast"/>
      <w:ind w:firstLine="200" w:firstLineChars="200"/>
      <w:jc w:val="left"/>
      <w:textAlignment w:val="baseline"/>
      <w:outlineLvl w:val="3"/>
    </w:pPr>
    <w:rPr>
      <w:rFonts w:cs="宋体"/>
      <w:snapToGrid w:val="0"/>
      <w:spacing w:val="26"/>
      <w:sz w:val="32"/>
      <w:szCs w:val="28"/>
      <w:u w:color="000000"/>
    </w:rPr>
  </w:style>
  <w:style w:type="character" w:customStyle="1" w:styleId="1334">
    <w:name w:val="正文文本缩进 2 Char2"/>
    <w:qFormat/>
    <w:uiPriority w:val="0"/>
    <w:rPr>
      <w:b/>
      <w:sz w:val="28"/>
      <w:szCs w:val="24"/>
    </w:rPr>
  </w:style>
  <w:style w:type="character" w:customStyle="1" w:styleId="1335">
    <w:name w:val="正文文本缩进 2 Char1"/>
    <w:qFormat/>
    <w:uiPriority w:val="0"/>
    <w:rPr>
      <w:rFonts w:ascii="Times New Roman" w:hAnsi="Times New Roman"/>
      <w:kern w:val="2"/>
      <w:sz w:val="26"/>
      <w:szCs w:val="22"/>
    </w:rPr>
  </w:style>
  <w:style w:type="character" w:customStyle="1" w:styleId="1336">
    <w:name w:val="正文首行缩进 Char Char Char Char Char Char"/>
    <w:qFormat/>
    <w:uiPriority w:val="0"/>
    <w:rPr>
      <w:rFonts w:eastAsia="宋体"/>
      <w:kern w:val="2"/>
      <w:sz w:val="24"/>
      <w:szCs w:val="21"/>
      <w:lang w:val="en-US" w:eastAsia="zh-CN" w:bidi="ar-SA"/>
    </w:rPr>
  </w:style>
  <w:style w:type="character" w:customStyle="1" w:styleId="1337">
    <w:name w:val="even Char Char"/>
    <w:qFormat/>
    <w:uiPriority w:val="0"/>
    <w:rPr>
      <w:rFonts w:eastAsia="宋体"/>
      <w:kern w:val="2"/>
      <w:sz w:val="18"/>
      <w:lang w:val="en-US" w:eastAsia="zh-CN" w:bidi="ar-SA"/>
    </w:rPr>
  </w:style>
  <w:style w:type="character" w:customStyle="1" w:styleId="1338">
    <w:name w:val="普通文字 Char Char Char Char Char Char"/>
    <w:qFormat/>
    <w:uiPriority w:val="0"/>
    <w:rPr>
      <w:rFonts w:ascii="宋体" w:eastAsia="宋体"/>
      <w:sz w:val="21"/>
      <w:lang w:val="en-US" w:eastAsia="zh-CN" w:bidi="ar-SA"/>
    </w:rPr>
  </w:style>
  <w:style w:type="character" w:customStyle="1" w:styleId="1339">
    <w:name w:val="f14"/>
    <w:qFormat/>
    <w:uiPriority w:val="0"/>
  </w:style>
  <w:style w:type="character" w:customStyle="1" w:styleId="1340">
    <w:name w:val="t11"/>
    <w:qFormat/>
    <w:uiPriority w:val="0"/>
    <w:rPr>
      <w:b/>
      <w:bCs/>
      <w:sz w:val="24"/>
      <w:szCs w:val="24"/>
      <w:shd w:val="clear" w:color="auto" w:fill="FFFFFF"/>
    </w:rPr>
  </w:style>
  <w:style w:type="character" w:customStyle="1" w:styleId="1341">
    <w:name w:val="p1481"/>
    <w:qFormat/>
    <w:uiPriority w:val="0"/>
    <w:rPr>
      <w:color w:val="515151"/>
      <w:sz w:val="22"/>
      <w:szCs w:val="22"/>
    </w:rPr>
  </w:style>
  <w:style w:type="character" w:customStyle="1" w:styleId="1342">
    <w:name w:val="样式 正文文本 + 自动设置 Char Char"/>
    <w:link w:val="1343"/>
    <w:qFormat/>
    <w:uiPriority w:val="0"/>
    <w:rPr>
      <w:rFonts w:ascii="宋体" w:hAnsi="宋体" w:cs="宋体"/>
      <w:bCs/>
      <w:color w:val="FF0000"/>
      <w:spacing w:val="-6"/>
      <w:w w:val="90"/>
      <w:sz w:val="24"/>
      <w:szCs w:val="21"/>
    </w:rPr>
  </w:style>
  <w:style w:type="paragraph" w:customStyle="1" w:styleId="1343">
    <w:name w:val="样式 正文文本 + 自动设置"/>
    <w:basedOn w:val="34"/>
    <w:link w:val="1342"/>
    <w:qFormat/>
    <w:uiPriority w:val="0"/>
    <w:pPr>
      <w:spacing w:beforeLines="0" w:after="120" w:line="240" w:lineRule="auto"/>
    </w:pPr>
    <w:rPr>
      <w:rFonts w:ascii="宋体" w:hAnsi="宋体" w:cs="宋体" w:eastAsiaTheme="minorEastAsia"/>
      <w:bCs/>
      <w:snapToGrid/>
      <w:color w:val="FF0000"/>
      <w:spacing w:val="-6"/>
      <w:w w:val="90"/>
      <w:kern w:val="2"/>
      <w:szCs w:val="21"/>
    </w:rPr>
  </w:style>
  <w:style w:type="character" w:customStyle="1" w:styleId="1344">
    <w:name w:val="Char Char25"/>
    <w:qFormat/>
    <w:uiPriority w:val="0"/>
    <w:rPr>
      <w:rFonts w:eastAsia="宋体"/>
      <w:b/>
      <w:kern w:val="2"/>
      <w:sz w:val="16"/>
      <w:szCs w:val="16"/>
      <w:lang w:val="en-US" w:eastAsia="zh-CN" w:bidi="ar-SA"/>
    </w:rPr>
  </w:style>
  <w:style w:type="character" w:customStyle="1" w:styleId="1345">
    <w:name w:val="正文首行缩进 Char Char Char Char Char Char Char Char Char Char"/>
    <w:qFormat/>
    <w:uiPriority w:val="0"/>
    <w:rPr>
      <w:rFonts w:eastAsia="宋体"/>
      <w:kern w:val="2"/>
      <w:sz w:val="24"/>
      <w:szCs w:val="21"/>
      <w:lang w:val="en-US" w:eastAsia="zh-CN" w:bidi="ar-SA"/>
    </w:rPr>
  </w:style>
  <w:style w:type="character" w:customStyle="1" w:styleId="1346">
    <w:name w:val="样式 样式 标题 2 + 首行缩进:  2 字符2 + 宋体 小四 灰色-80% Char Char"/>
    <w:link w:val="1347"/>
    <w:qFormat/>
    <w:uiPriority w:val="0"/>
    <w:rPr>
      <w:rFonts w:ascii="宋体" w:hAnsi="宋体"/>
      <w:bCs/>
      <w:color w:val="333333"/>
      <w:spacing w:val="24"/>
      <w:sz w:val="32"/>
      <w:szCs w:val="32"/>
    </w:rPr>
  </w:style>
  <w:style w:type="paragraph" w:customStyle="1" w:styleId="1347">
    <w:name w:val="样式 样式 标题 2 + 首行缩进:  2 字符2 + 宋体 小四 灰色-80%"/>
    <w:basedOn w:val="1264"/>
    <w:link w:val="1346"/>
    <w:qFormat/>
    <w:uiPriority w:val="0"/>
    <w:pPr>
      <w:spacing w:after="0"/>
    </w:pPr>
    <w:rPr>
      <w:rFonts w:ascii="宋体" w:hAnsi="宋体"/>
      <w:color w:val="333333"/>
      <w:spacing w:val="24"/>
      <w:sz w:val="32"/>
    </w:rPr>
  </w:style>
  <w:style w:type="character" w:customStyle="1" w:styleId="1348">
    <w:name w:val="默认段落 Char Char"/>
    <w:qFormat/>
    <w:uiPriority w:val="0"/>
    <w:rPr>
      <w:rFonts w:eastAsia="宋体" w:cs="黑体"/>
      <w:sz w:val="24"/>
      <w:lang w:val="en-US" w:eastAsia="zh-CN" w:bidi="ar-SA"/>
    </w:rPr>
  </w:style>
  <w:style w:type="character" w:customStyle="1" w:styleId="1349">
    <w:name w:val="宏文本 Char Char"/>
    <w:qFormat/>
    <w:uiPriority w:val="0"/>
    <w:rPr>
      <w:rFonts w:ascii="Courier New" w:hAnsi="Courier New"/>
      <w:sz w:val="24"/>
      <w:lang w:val="en-US" w:eastAsia="zh-CN"/>
    </w:rPr>
  </w:style>
  <w:style w:type="character" w:customStyle="1" w:styleId="1350">
    <w:name w:val="样式 !正文(alt+c) + 首行缩进:  2 字符 Char1"/>
    <w:qFormat/>
    <w:uiPriority w:val="0"/>
    <w:rPr>
      <w:rFonts w:ascii="宋体" w:hAnsi="宋体" w:eastAsia="宋体" w:cs="宋体"/>
      <w:color w:val="000000"/>
      <w:kern w:val="2"/>
      <w:sz w:val="24"/>
      <w:szCs w:val="24"/>
      <w:lang w:val="en-US" w:eastAsia="zh-CN" w:bidi="ar-SA"/>
    </w:rPr>
  </w:style>
  <w:style w:type="character" w:customStyle="1" w:styleId="1351">
    <w:name w:val="文档结构图 Char Char"/>
    <w:qFormat/>
    <w:uiPriority w:val="0"/>
    <w:rPr>
      <w:rFonts w:ascii="宋体" w:hAnsi="宋体"/>
      <w:sz w:val="18"/>
      <w:lang w:val="en-US" w:eastAsia="zh-CN"/>
    </w:rPr>
  </w:style>
  <w:style w:type="character" w:customStyle="1" w:styleId="1352">
    <w:name w:val="llyf141"/>
    <w:qFormat/>
    <w:uiPriority w:val="0"/>
    <w:rPr>
      <w:sz w:val="21"/>
      <w:szCs w:val="21"/>
    </w:rPr>
  </w:style>
  <w:style w:type="character" w:customStyle="1" w:styleId="1353">
    <w:name w:val="正文 lsp Char Char"/>
    <w:qFormat/>
    <w:uiPriority w:val="0"/>
    <w:rPr>
      <w:rFonts w:ascii="宋体" w:eastAsia="宋体"/>
      <w:kern w:val="2"/>
      <w:sz w:val="24"/>
      <w:szCs w:val="24"/>
      <w:lang w:val="en-US" w:eastAsia="zh-CN" w:bidi="ar-SA"/>
    </w:rPr>
  </w:style>
  <w:style w:type="character" w:customStyle="1" w:styleId="1354">
    <w:name w:val="样式 标题 3 + (中文) 黑体1 Char Char"/>
    <w:qFormat/>
    <w:uiPriority w:val="0"/>
    <w:rPr>
      <w:rFonts w:eastAsia="宋体"/>
      <w:sz w:val="24"/>
      <w:szCs w:val="28"/>
    </w:rPr>
  </w:style>
  <w:style w:type="character" w:customStyle="1" w:styleId="1355">
    <w:name w:val="xyb自建正文 Char Char1"/>
    <w:qFormat/>
    <w:uiPriority w:val="0"/>
    <w:rPr>
      <w:rFonts w:ascii="宋体" w:hAnsi="宋体" w:eastAsia="宋体" w:cs="宋体"/>
      <w:kern w:val="2"/>
      <w:sz w:val="24"/>
      <w:szCs w:val="24"/>
      <w:lang w:val="en-US" w:eastAsia="zh-CN" w:bidi="ar-SA"/>
    </w:rPr>
  </w:style>
  <w:style w:type="character" w:customStyle="1" w:styleId="1356">
    <w:name w:val="xyb自建表格名称 Char Char"/>
    <w:qFormat/>
    <w:uiPriority w:val="0"/>
    <w:rPr>
      <w:rFonts w:ascii="宋体" w:hAnsi="宋体" w:eastAsia="宋体"/>
      <w:kern w:val="2"/>
      <w:sz w:val="24"/>
      <w:szCs w:val="24"/>
      <w:lang w:val="en-US" w:eastAsia="zh-CN" w:bidi="ar-SA"/>
    </w:rPr>
  </w:style>
  <w:style w:type="character" w:customStyle="1" w:styleId="1357">
    <w:name w:val="arr1"/>
    <w:qFormat/>
    <w:uiPriority w:val="0"/>
  </w:style>
  <w:style w:type="character" w:customStyle="1" w:styleId="1358">
    <w:name w:val="!表格标题（alt+h） Char1"/>
    <w:link w:val="1359"/>
    <w:qFormat/>
    <w:uiPriority w:val="0"/>
    <w:rPr>
      <w:rFonts w:hAnsi="宋体" w:eastAsia="黑体"/>
      <w:sz w:val="24"/>
      <w:szCs w:val="24"/>
    </w:rPr>
  </w:style>
  <w:style w:type="paragraph" w:customStyle="1" w:styleId="1359">
    <w:name w:val="!表格标题（alt+h）"/>
    <w:basedOn w:val="1"/>
    <w:next w:val="1"/>
    <w:link w:val="1358"/>
    <w:qFormat/>
    <w:uiPriority w:val="0"/>
    <w:pPr>
      <w:spacing w:beforeLines="50" w:afterLines="25" w:line="300" w:lineRule="auto"/>
      <w:jc w:val="center"/>
      <w:outlineLvl w:val="4"/>
    </w:pPr>
    <w:rPr>
      <w:rFonts w:hAnsi="宋体" w:eastAsia="黑体"/>
      <w:sz w:val="24"/>
      <w:szCs w:val="24"/>
    </w:rPr>
  </w:style>
  <w:style w:type="character" w:customStyle="1" w:styleId="1360">
    <w:name w:val="日期 Char Char"/>
    <w:qFormat/>
    <w:uiPriority w:val="0"/>
    <w:rPr>
      <w:rFonts w:hAnsi="宋体"/>
      <w:sz w:val="24"/>
      <w:lang w:val="en-US" w:eastAsia="zh-CN"/>
    </w:rPr>
  </w:style>
  <w:style w:type="character" w:customStyle="1" w:styleId="1361">
    <w:name w:val="纯文 Char"/>
    <w:qFormat/>
    <w:uiPriority w:val="0"/>
    <w:rPr>
      <w:rFonts w:ascii="宋体" w:hAnsi="Courier New" w:eastAsia="宋体"/>
      <w:kern w:val="2"/>
      <w:sz w:val="28"/>
      <w:lang w:val="en-US" w:eastAsia="zh-CN" w:bidi="ar-SA"/>
    </w:rPr>
  </w:style>
  <w:style w:type="character" w:customStyle="1" w:styleId="1362">
    <w:name w:val="f13"/>
    <w:qFormat/>
    <w:uiPriority w:val="0"/>
  </w:style>
  <w:style w:type="character" w:customStyle="1" w:styleId="1363">
    <w:name w:val="样式 样式 正文首行缩进 + 首行缩进:  1 字符 + 宋体 Char Char"/>
    <w:link w:val="1364"/>
    <w:qFormat/>
    <w:uiPriority w:val="0"/>
    <w:rPr>
      <w:rFonts w:ascii="宋体" w:hAnsi="宋体"/>
      <w:color w:val="0000FF"/>
      <w:sz w:val="24"/>
    </w:rPr>
  </w:style>
  <w:style w:type="paragraph" w:customStyle="1" w:styleId="1364">
    <w:name w:val="样式 样式 正文首行缩进 + 首行缩进:  1 字符 + 宋体"/>
    <w:basedOn w:val="1191"/>
    <w:link w:val="1363"/>
    <w:qFormat/>
    <w:uiPriority w:val="0"/>
    <w:pPr>
      <w:ind w:firstLine="480"/>
    </w:pPr>
    <w:rPr>
      <w:rFonts w:ascii="宋体"/>
      <w:color w:val="0000FF"/>
      <w:szCs w:val="22"/>
    </w:rPr>
  </w:style>
  <w:style w:type="character" w:customStyle="1" w:styleId="1365">
    <w:name w:val="样式 标题 1 + 宋体 黑色 Char Char"/>
    <w:link w:val="1366"/>
    <w:qFormat/>
    <w:uiPriority w:val="0"/>
    <w:rPr>
      <w:rFonts w:ascii="宋体" w:hAnsi="宋体"/>
      <w:b/>
      <w:bCs/>
      <w:color w:val="000000"/>
      <w:sz w:val="32"/>
      <w:szCs w:val="44"/>
    </w:rPr>
  </w:style>
  <w:style w:type="paragraph" w:customStyle="1" w:styleId="1366">
    <w:name w:val="样式 标题 1 + 宋体 黑色"/>
    <w:basedOn w:val="3"/>
    <w:link w:val="1365"/>
    <w:qFormat/>
    <w:uiPriority w:val="0"/>
    <w:pPr>
      <w:widowControl w:val="0"/>
      <w:spacing w:line="578" w:lineRule="auto"/>
      <w:jc w:val="both"/>
    </w:pPr>
    <w:rPr>
      <w:rFonts w:ascii="宋体" w:hAnsi="宋体" w:eastAsiaTheme="minorEastAsia"/>
      <w:color w:val="000000"/>
      <w:kern w:val="2"/>
      <w:sz w:val="32"/>
    </w:rPr>
  </w:style>
  <w:style w:type="character" w:customStyle="1" w:styleId="1367">
    <w:name w:val="4级标题 Char"/>
    <w:qFormat/>
    <w:uiPriority w:val="0"/>
    <w:rPr>
      <w:rFonts w:eastAsia="黑体"/>
      <w:bCs/>
      <w:kern w:val="2"/>
      <w:sz w:val="24"/>
      <w:szCs w:val="21"/>
      <w:lang w:val="en-US" w:eastAsia="zh-CN" w:bidi="ar-SA"/>
    </w:rPr>
  </w:style>
  <w:style w:type="character" w:customStyle="1" w:styleId="1368">
    <w:name w:val="text21"/>
    <w:qFormat/>
    <w:uiPriority w:val="0"/>
    <w:rPr>
      <w:rFonts w:eastAsia="宋体"/>
      <w:color w:val="000000"/>
      <w:spacing w:val="0"/>
      <w:w w:val="100"/>
      <w:sz w:val="21"/>
      <w:u w:val="none" w:color="000000"/>
      <w:vertAlign w:val="baseline"/>
      <w:lang w:val="en-US" w:eastAsia="zh-CN"/>
    </w:rPr>
  </w:style>
  <w:style w:type="character" w:customStyle="1" w:styleId="1369">
    <w:name w:val="unnamed11"/>
    <w:qFormat/>
    <w:uiPriority w:val="0"/>
    <w:rPr>
      <w:rFonts w:hint="eastAsia" w:ascii="宋体" w:hAnsi="宋体" w:eastAsia="宋体"/>
      <w:b/>
      <w:bCs/>
      <w:sz w:val="18"/>
      <w:szCs w:val="18"/>
    </w:rPr>
  </w:style>
  <w:style w:type="character" w:customStyle="1" w:styleId="1370">
    <w:name w:val="标题6 Char"/>
    <w:qFormat/>
    <w:uiPriority w:val="0"/>
    <w:rPr>
      <w:rFonts w:ascii="黑体" w:hAnsi="宋体" w:eastAsia="黑体"/>
      <w:bCs/>
      <w:sz w:val="24"/>
      <w:szCs w:val="24"/>
      <w:lang w:val="en-US" w:eastAsia="zh-CN" w:bidi="ar-SA"/>
    </w:rPr>
  </w:style>
  <w:style w:type="character" w:customStyle="1" w:styleId="1371">
    <w:name w:val="zb_c1"/>
    <w:qFormat/>
    <w:uiPriority w:val="0"/>
    <w:rPr>
      <w:rFonts w:cs="Times New Roman"/>
    </w:rPr>
  </w:style>
  <w:style w:type="character" w:customStyle="1" w:styleId="1372">
    <w:name w:val="detail_style1"/>
    <w:qFormat/>
    <w:uiPriority w:val="0"/>
    <w:rPr>
      <w:sz w:val="21"/>
      <w:szCs w:val="21"/>
      <w:u w:val="none"/>
    </w:rPr>
  </w:style>
  <w:style w:type="character" w:customStyle="1" w:styleId="1373">
    <w:name w:val="news31"/>
    <w:qFormat/>
    <w:uiPriority w:val="0"/>
    <w:rPr>
      <w:rFonts w:ascii="宋体" w:hAnsi="宋体" w:eastAsia="宋体" w:cs="宋体"/>
      <w:kern w:val="2"/>
      <w:sz w:val="18"/>
      <w:szCs w:val="18"/>
      <w:lang w:val="en-US" w:eastAsia="zh-CN" w:bidi="ar-SA"/>
    </w:rPr>
  </w:style>
  <w:style w:type="character" w:customStyle="1" w:styleId="1374">
    <w:name w:val="zh正文 Char Char"/>
    <w:qFormat/>
    <w:uiPriority w:val="0"/>
    <w:rPr>
      <w:rFonts w:ascii="宋体" w:hAnsi="宋体" w:eastAsia="宋体"/>
      <w:kern w:val="2"/>
      <w:sz w:val="28"/>
      <w:lang w:val="en-US" w:eastAsia="zh-CN" w:bidi="ar-SA"/>
    </w:rPr>
  </w:style>
  <w:style w:type="character" w:customStyle="1" w:styleId="1375">
    <w:name w:val="样式 样式 正文小4 + 加粗 首行缩进:  2 字符 + Char Char"/>
    <w:link w:val="1376"/>
    <w:qFormat/>
    <w:uiPriority w:val="0"/>
    <w:rPr>
      <w:rFonts w:ascii="宋体" w:hAnsi="宋体"/>
      <w:b/>
      <w:bCs/>
      <w:spacing w:val="22"/>
      <w:kern w:val="24"/>
      <w:sz w:val="24"/>
      <w:szCs w:val="24"/>
    </w:rPr>
  </w:style>
  <w:style w:type="paragraph" w:customStyle="1" w:styleId="1376">
    <w:name w:val="样式 样式 正文小4 + 加粗 首行缩进:  2 字符 +"/>
    <w:link w:val="1375"/>
    <w:qFormat/>
    <w:uiPriority w:val="0"/>
    <w:rPr>
      <w:rFonts w:ascii="Times New Roman" w:hAnsi="Times New Roman" w:eastAsiaTheme="minorEastAsia" w:cstheme="minorBidi"/>
      <w:bCs/>
      <w:lang w:val="en-US" w:eastAsia="zh-CN" w:bidi="ar-SA"/>
    </w:rPr>
  </w:style>
  <w:style w:type="paragraph" w:customStyle="1" w:styleId="1377">
    <w:name w:val="样式 正文小4 + 加粗 首行缩进:  2 字符"/>
    <w:basedOn w:val="1"/>
    <w:link w:val="1378"/>
    <w:qFormat/>
    <w:uiPriority w:val="0"/>
    <w:pPr>
      <w:spacing w:line="480" w:lineRule="atLeast"/>
      <w:ind w:firstLine="570" w:firstLineChars="200"/>
      <w:jc w:val="left"/>
    </w:pPr>
    <w:rPr>
      <w:rFonts w:ascii="宋体" w:hAnsi="宋体" w:eastAsia="宋体" w:cs="Times New Roman"/>
      <w:b/>
      <w:spacing w:val="22"/>
      <w:kern w:val="24"/>
      <w:sz w:val="24"/>
      <w:szCs w:val="24"/>
    </w:rPr>
  </w:style>
  <w:style w:type="character" w:customStyle="1" w:styleId="1378">
    <w:name w:val="样式 正文小4 + 加粗 首行缩进:  2 字符 Char1"/>
    <w:link w:val="1377"/>
    <w:qFormat/>
    <w:uiPriority w:val="0"/>
    <w:rPr>
      <w:rFonts w:ascii="宋体" w:hAnsi="宋体" w:eastAsia="宋体" w:cs="Times New Roman"/>
      <w:b/>
      <w:spacing w:val="22"/>
      <w:kern w:val="24"/>
      <w:sz w:val="24"/>
      <w:szCs w:val="24"/>
    </w:rPr>
  </w:style>
  <w:style w:type="character" w:customStyle="1" w:styleId="1379">
    <w:name w:val="Balloon Text Char Char"/>
    <w:qFormat/>
    <w:uiPriority w:val="0"/>
    <w:rPr>
      <w:rFonts w:cs="Times New Roman"/>
      <w:kern w:val="2"/>
      <w:sz w:val="18"/>
      <w:szCs w:val="18"/>
    </w:rPr>
  </w:style>
  <w:style w:type="character" w:customStyle="1" w:styleId="1380">
    <w:name w:val="页眉 Char Char Char"/>
    <w:qFormat/>
    <w:uiPriority w:val="0"/>
    <w:rPr>
      <w:rFonts w:ascii="宋体" w:hAnsi="宋体" w:eastAsia="宋体"/>
      <w:sz w:val="18"/>
      <w:szCs w:val="18"/>
      <w:lang w:val="en-US" w:eastAsia="zh-CN" w:bidi="ar-SA"/>
    </w:rPr>
  </w:style>
  <w:style w:type="character" w:customStyle="1" w:styleId="1381">
    <w:name w:val="正文首行缩进 Char Char Char Char Char Char Char Char Char Char Char Char Char Char Char Char Char"/>
    <w:qFormat/>
    <w:uiPriority w:val="0"/>
    <w:rPr>
      <w:rFonts w:eastAsia="宋体"/>
      <w:kern w:val="2"/>
      <w:sz w:val="24"/>
      <w:szCs w:val="21"/>
      <w:lang w:val="en-US" w:eastAsia="zh-CN" w:bidi="ar-SA"/>
    </w:rPr>
  </w:style>
  <w:style w:type="character" w:customStyle="1" w:styleId="1382">
    <w:name w:val="!正文(alt+c) Char Char"/>
    <w:qFormat/>
    <w:uiPriority w:val="0"/>
    <w:rPr>
      <w:rFonts w:ascii="宋体" w:hAnsi="宋体" w:eastAsia="宋体"/>
      <w:color w:val="000000"/>
      <w:kern w:val="2"/>
      <w:sz w:val="24"/>
      <w:szCs w:val="24"/>
      <w:lang w:val="en-US" w:eastAsia="zh-CN" w:bidi="ar-SA"/>
    </w:rPr>
  </w:style>
  <w:style w:type="character" w:customStyle="1" w:styleId="1383">
    <w:name w:val="标题 7 Char Char Char Char Char Char Char Char"/>
    <w:qFormat/>
    <w:uiPriority w:val="0"/>
    <w:rPr>
      <w:rFonts w:ascii="华文细黑" w:eastAsia="华文细黑"/>
      <w:i/>
      <w:snapToGrid w:val="0"/>
      <w:spacing w:val="10"/>
      <w:kern w:val="28"/>
      <w:sz w:val="28"/>
      <w:lang w:val="en-US" w:eastAsia="zh-CN" w:bidi="ar-SA"/>
    </w:rPr>
  </w:style>
  <w:style w:type="character" w:customStyle="1" w:styleId="1384">
    <w:name w:val="Sottoparagrafo Char Char"/>
    <w:qFormat/>
    <w:uiPriority w:val="0"/>
    <w:rPr>
      <w:rFonts w:eastAsia="黑体"/>
      <w:b/>
      <w:bCs/>
      <w:kern w:val="2"/>
      <w:sz w:val="28"/>
      <w:szCs w:val="28"/>
      <w:lang w:val="en-US" w:eastAsia="zh-CN" w:bidi="ar-SA"/>
    </w:rPr>
  </w:style>
  <w:style w:type="character" w:customStyle="1" w:styleId="1385">
    <w:name w:val="样式1 Char Char Char Char Char Char Char Char Char"/>
    <w:qFormat/>
    <w:uiPriority w:val="0"/>
    <w:rPr>
      <w:rFonts w:ascii="宋体" w:hAnsi="宋体" w:eastAsia="宋体"/>
      <w:kern w:val="2"/>
      <w:sz w:val="24"/>
      <w:szCs w:val="24"/>
      <w:lang w:val="en-US" w:eastAsia="zh-CN" w:bidi="ar-SA"/>
    </w:rPr>
  </w:style>
  <w:style w:type="character" w:customStyle="1" w:styleId="1386">
    <w:name w:val="Char Char26"/>
    <w:qFormat/>
    <w:uiPriority w:val="0"/>
    <w:rPr>
      <w:rFonts w:eastAsia="宋体"/>
      <w:b/>
      <w:kern w:val="2"/>
      <w:sz w:val="28"/>
      <w:szCs w:val="24"/>
      <w:lang w:val="en-US" w:eastAsia="zh-CN" w:bidi="ar-SA"/>
    </w:rPr>
  </w:style>
  <w:style w:type="character" w:customStyle="1" w:styleId="1387">
    <w:name w:val="style21"/>
    <w:qFormat/>
    <w:uiPriority w:val="0"/>
    <w:rPr>
      <w:b/>
      <w:bCs/>
      <w:color w:val="CC0000"/>
    </w:rPr>
  </w:style>
  <w:style w:type="character" w:customStyle="1" w:styleId="1388">
    <w:name w:val="样式 标题 4 + 宋体 Char Char Char Char Char"/>
    <w:link w:val="1389"/>
    <w:qFormat/>
    <w:uiPriority w:val="0"/>
    <w:rPr>
      <w:rFonts w:ascii="宋体" w:hAnsi="宋体"/>
      <w:bCs/>
      <w:sz w:val="24"/>
      <w:szCs w:val="24"/>
    </w:rPr>
  </w:style>
  <w:style w:type="paragraph" w:customStyle="1" w:styleId="1389">
    <w:name w:val="样式 标题 4 + 宋体 Char Char Char"/>
    <w:basedOn w:val="6"/>
    <w:link w:val="1388"/>
    <w:qFormat/>
    <w:uiPriority w:val="0"/>
    <w:pPr>
      <w:tabs>
        <w:tab w:val="left" w:pos="0"/>
      </w:tabs>
      <w:ind w:left="864" w:hanging="144"/>
      <w:jc w:val="both"/>
    </w:pPr>
    <w:rPr>
      <w:rFonts w:ascii="宋体" w:hAnsi="宋体" w:eastAsiaTheme="minorEastAsia" w:cstheme="minorBidi"/>
      <w:b w:val="0"/>
      <w:szCs w:val="24"/>
    </w:rPr>
  </w:style>
  <w:style w:type="character" w:customStyle="1" w:styleId="1390">
    <w:name w:val="title1"/>
    <w:qFormat/>
    <w:uiPriority w:val="0"/>
  </w:style>
  <w:style w:type="character" w:customStyle="1" w:styleId="1391">
    <w:name w:val="spelle"/>
    <w:qFormat/>
    <w:uiPriority w:val="0"/>
  </w:style>
  <w:style w:type="character" w:customStyle="1" w:styleId="1392">
    <w:name w:val="标题 5 Char Char Char1"/>
    <w:qFormat/>
    <w:uiPriority w:val="0"/>
    <w:rPr>
      <w:rFonts w:eastAsia="宋体"/>
      <w:sz w:val="24"/>
      <w:szCs w:val="24"/>
      <w:lang w:val="en-US" w:eastAsia="zh-CN" w:bidi="ar-SA"/>
    </w:rPr>
  </w:style>
  <w:style w:type="character" w:customStyle="1" w:styleId="1393">
    <w:name w:val="正文文本缩进 Char Char"/>
    <w:qFormat/>
    <w:uiPriority w:val="0"/>
    <w:rPr>
      <w:rFonts w:hAnsi="宋体" w:eastAsia="宋体"/>
      <w:sz w:val="24"/>
      <w:szCs w:val="24"/>
      <w:lang w:val="en-US" w:eastAsia="zh-CN" w:bidi="ar-SA"/>
    </w:rPr>
  </w:style>
  <w:style w:type="character" w:customStyle="1" w:styleId="1394">
    <w:name w:val="表文 Char Char1"/>
    <w:qFormat/>
    <w:uiPriority w:val="0"/>
    <w:rPr>
      <w:rFonts w:eastAsia="宋体"/>
      <w:kern w:val="2"/>
      <w:sz w:val="18"/>
      <w:szCs w:val="18"/>
      <w:lang w:val="en-US" w:eastAsia="zh-CN" w:bidi="ar-SA"/>
    </w:rPr>
  </w:style>
  <w:style w:type="character" w:customStyle="1" w:styleId="1395">
    <w:name w:val="!表格（alt+t) Char Char Char Char"/>
    <w:link w:val="1095"/>
    <w:qFormat/>
    <w:uiPriority w:val="0"/>
    <w:rPr>
      <w:rFonts w:ascii="Calibri" w:hAnsi="宋体" w:eastAsia="宋体" w:cs="Times New Roman"/>
      <w:kern w:val="0"/>
      <w:sz w:val="20"/>
      <w:szCs w:val="24"/>
    </w:rPr>
  </w:style>
  <w:style w:type="character" w:customStyle="1" w:styleId="1396">
    <w:name w:val="样式 宋体 五号 蓝色 居中 行距: 单倍行距 Char1"/>
    <w:link w:val="1397"/>
    <w:qFormat/>
    <w:uiPriority w:val="0"/>
    <w:rPr>
      <w:rFonts w:ascii="宋体" w:hAnsi="宋体" w:cs="宋体"/>
      <w:color w:val="0000FF"/>
    </w:rPr>
  </w:style>
  <w:style w:type="paragraph" w:customStyle="1" w:styleId="1397">
    <w:name w:val="样式 宋体 五号 蓝色 居中 行距: 单倍行距"/>
    <w:basedOn w:val="1"/>
    <w:link w:val="1396"/>
    <w:qFormat/>
    <w:uiPriority w:val="0"/>
    <w:pPr>
      <w:jc w:val="center"/>
    </w:pPr>
    <w:rPr>
      <w:rFonts w:ascii="宋体" w:hAnsi="宋体" w:cs="宋体"/>
      <w:color w:val="0000FF"/>
    </w:rPr>
  </w:style>
  <w:style w:type="character" w:customStyle="1" w:styleId="1398">
    <w:name w:val="正文文字缩进 2 Char3"/>
    <w:qFormat/>
    <w:uiPriority w:val="0"/>
    <w:rPr>
      <w:rFonts w:eastAsia="宋体"/>
      <w:b/>
      <w:kern w:val="2"/>
      <w:sz w:val="28"/>
      <w:szCs w:val="24"/>
      <w:lang w:val="en-US" w:eastAsia="zh-CN" w:bidi="ar-SA"/>
    </w:rPr>
  </w:style>
  <w:style w:type="character" w:customStyle="1" w:styleId="1399">
    <w:name w:val="样式 样式 样式4 + 黑色 + 自动设置 Char Char"/>
    <w:qFormat/>
    <w:uiPriority w:val="0"/>
    <w:rPr>
      <w:rFonts w:eastAsia="华文中宋"/>
      <w:color w:val="000000"/>
      <w:kern w:val="2"/>
      <w:sz w:val="24"/>
      <w:szCs w:val="24"/>
      <w:lang w:val="en-US" w:eastAsia="zh-CN"/>
    </w:rPr>
  </w:style>
  <w:style w:type="character" w:customStyle="1" w:styleId="1400">
    <w:name w:val="hx"/>
    <w:qFormat/>
    <w:uiPriority w:val="0"/>
  </w:style>
  <w:style w:type="character" w:customStyle="1" w:styleId="1401">
    <w:name w:val="xyb自建正文 Char Char Char Char Char"/>
    <w:qFormat/>
    <w:uiPriority w:val="0"/>
    <w:rPr>
      <w:rFonts w:ascii="宋体" w:hAnsi="宋体" w:eastAsia="宋体" w:cs="宋体"/>
      <w:spacing w:val="-2"/>
      <w:kern w:val="2"/>
      <w:sz w:val="24"/>
      <w:szCs w:val="24"/>
      <w:lang w:val="en-US" w:eastAsia="zh-CN" w:bidi="ar-SA"/>
    </w:rPr>
  </w:style>
  <w:style w:type="character" w:customStyle="1" w:styleId="1402">
    <w:name w:val="样式 样式 标题 2 + 红色 + 自动设置 Char Char Char Char Char"/>
    <w:link w:val="1403"/>
    <w:qFormat/>
    <w:uiPriority w:val="0"/>
    <w:rPr>
      <w:rFonts w:ascii="Arial" w:hAnsi="Arial" w:eastAsia="新宋体"/>
      <w:b/>
      <w:bCs/>
      <w:color w:val="FF0000"/>
      <w:spacing w:val="-8"/>
      <w:sz w:val="24"/>
      <w:szCs w:val="32"/>
      <w:u w:color="000000"/>
    </w:rPr>
  </w:style>
  <w:style w:type="paragraph" w:customStyle="1" w:styleId="1403">
    <w:name w:val="样式 样式 标题 2 + 红色 + 自动设置 Char Char"/>
    <w:basedOn w:val="1287"/>
    <w:link w:val="1402"/>
    <w:qFormat/>
    <w:uiPriority w:val="0"/>
    <w:pPr>
      <w:spacing w:after="260" w:line="416" w:lineRule="auto"/>
    </w:pPr>
    <w:rPr>
      <w:rFonts w:eastAsia="新宋体" w:cstheme="minorBidi"/>
      <w:bCs/>
      <w:color w:val="FF0000"/>
      <w:spacing w:val="-8"/>
      <w:szCs w:val="32"/>
      <w:u w:color="000000"/>
    </w:rPr>
  </w:style>
  <w:style w:type="character" w:customStyle="1" w:styleId="1404">
    <w:name w:val="Char9"/>
    <w:qFormat/>
    <w:uiPriority w:val="0"/>
    <w:rPr>
      <w:rFonts w:ascii="Cambria" w:hAnsi="Cambria" w:eastAsia="宋体" w:cs="Times New Roman"/>
      <w:b/>
      <w:bCs/>
      <w:kern w:val="2"/>
      <w:sz w:val="32"/>
      <w:szCs w:val="32"/>
      <w:lang w:val="en-US" w:eastAsia="zh-CN" w:bidi="ar-SA"/>
    </w:rPr>
  </w:style>
  <w:style w:type="character" w:customStyle="1" w:styleId="1405">
    <w:name w:val="样式 标题 3 + Char Char"/>
    <w:link w:val="1406"/>
    <w:qFormat/>
    <w:uiPriority w:val="0"/>
    <w:rPr>
      <w:b/>
      <w:bCs/>
      <w:sz w:val="28"/>
      <w:szCs w:val="32"/>
    </w:rPr>
  </w:style>
  <w:style w:type="paragraph" w:customStyle="1" w:styleId="1406">
    <w:name w:val="样式 标题 3 +"/>
    <w:basedOn w:val="5"/>
    <w:link w:val="1405"/>
    <w:qFormat/>
    <w:uiPriority w:val="0"/>
    <w:pPr>
      <w:spacing w:beforeLines="10"/>
      <w:ind w:left="720" w:hanging="432"/>
    </w:pPr>
    <w:rPr>
      <w:rFonts w:asciiTheme="minorHAnsi" w:hAnsiTheme="minorHAnsi" w:eastAsiaTheme="minorEastAsia"/>
      <w:sz w:val="28"/>
    </w:rPr>
  </w:style>
  <w:style w:type="character" w:customStyle="1" w:styleId="1407">
    <w:name w:val="zi41"/>
    <w:qFormat/>
    <w:uiPriority w:val="0"/>
    <w:rPr>
      <w:rFonts w:ascii="???" w:eastAsia="宋体"/>
      <w:color w:val="FFFFFF"/>
      <w:spacing w:val="0"/>
      <w:w w:val="100"/>
      <w:sz w:val="24"/>
      <w:u w:val="none" w:color="000000"/>
      <w:vertAlign w:val="baseline"/>
      <w:lang w:val="en-US" w:eastAsia="zh-CN"/>
    </w:rPr>
  </w:style>
  <w:style w:type="character" w:customStyle="1" w:styleId="1408">
    <w:name w:val="表格内容 Char1"/>
    <w:qFormat/>
    <w:uiPriority w:val="0"/>
    <w:rPr>
      <w:rFonts w:ascii="宋体" w:hAnsi="宋体" w:eastAsia="宋体"/>
      <w:szCs w:val="21"/>
    </w:rPr>
  </w:style>
  <w:style w:type="character" w:customStyle="1" w:styleId="1409">
    <w:name w:val="Char Char27"/>
    <w:qFormat/>
    <w:uiPriority w:val="0"/>
    <w:rPr>
      <w:rFonts w:eastAsia="宋体"/>
      <w:b/>
      <w:kern w:val="2"/>
      <w:sz w:val="16"/>
      <w:szCs w:val="16"/>
      <w:lang w:val="en-US" w:eastAsia="zh-CN" w:bidi="ar-SA"/>
    </w:rPr>
  </w:style>
  <w:style w:type="character" w:customStyle="1" w:styleId="1410">
    <w:name w:val="infodetail1"/>
    <w:qFormat/>
    <w:uiPriority w:val="0"/>
    <w:rPr>
      <w:rFonts w:hint="default" w:ascii="ˎ̥" w:hAnsi="ˎ̥"/>
      <w:sz w:val="18"/>
      <w:szCs w:val="18"/>
    </w:rPr>
  </w:style>
  <w:style w:type="character" w:customStyle="1" w:styleId="1411">
    <w:name w:val="HZZH正文 Char Char"/>
    <w:qFormat/>
    <w:uiPriority w:val="0"/>
    <w:rPr>
      <w:rFonts w:ascii="宋体" w:hAnsi="宋体" w:eastAsia="宋体" w:cs="Courier New"/>
      <w:kern w:val="2"/>
      <w:sz w:val="24"/>
      <w:szCs w:val="21"/>
      <w:lang w:val="en-US" w:eastAsia="zh-CN" w:bidi="ar-SA"/>
    </w:rPr>
  </w:style>
  <w:style w:type="character" w:customStyle="1" w:styleId="1412">
    <w:name w:val="表文 Char2"/>
    <w:qFormat/>
    <w:uiPriority w:val="0"/>
    <w:rPr>
      <w:rFonts w:eastAsia="宋体"/>
      <w:sz w:val="18"/>
      <w:lang w:val="en-US" w:eastAsia="zh-CN" w:bidi="ar-SA"/>
    </w:rPr>
  </w:style>
  <w:style w:type="character" w:customStyle="1" w:styleId="1413">
    <w:name w:val="time style7"/>
    <w:qFormat/>
    <w:uiPriority w:val="0"/>
  </w:style>
  <w:style w:type="character" w:customStyle="1" w:styleId="1414">
    <w:name w:val="Char8"/>
    <w:qFormat/>
    <w:uiPriority w:val="0"/>
    <w:rPr>
      <w:rFonts w:ascii="宋体" w:hAnsi="宋体" w:eastAsia="宋体" w:cs="宋体"/>
      <w:b/>
      <w:bCs/>
      <w:kern w:val="2"/>
      <w:sz w:val="32"/>
      <w:szCs w:val="32"/>
      <w:lang w:val="en-US" w:eastAsia="zh-CN" w:bidi="ar-SA"/>
    </w:rPr>
  </w:style>
  <w:style w:type="character" w:customStyle="1" w:styleId="1415">
    <w:name w:val="textpt9"/>
    <w:qFormat/>
    <w:uiPriority w:val="0"/>
  </w:style>
  <w:style w:type="character" w:customStyle="1" w:styleId="1416">
    <w:name w:val="th_text"/>
    <w:qFormat/>
    <w:uiPriority w:val="0"/>
  </w:style>
  <w:style w:type="character" w:customStyle="1" w:styleId="1417">
    <w:name w:val="正文文字缩进 3 Char3"/>
    <w:qFormat/>
    <w:uiPriority w:val="0"/>
    <w:rPr>
      <w:rFonts w:eastAsia="宋体"/>
      <w:b/>
      <w:kern w:val="2"/>
      <w:sz w:val="16"/>
      <w:szCs w:val="16"/>
      <w:lang w:val="en-US" w:eastAsia="zh-CN" w:bidi="ar-SA"/>
    </w:rPr>
  </w:style>
  <w:style w:type="character" w:customStyle="1" w:styleId="1418">
    <w:name w:val="0标题3 Char Char"/>
    <w:qFormat/>
    <w:uiPriority w:val="0"/>
    <w:rPr>
      <w:rFonts w:eastAsia="宋体"/>
      <w:b/>
      <w:kern w:val="2"/>
      <w:sz w:val="26"/>
      <w:lang w:val="en-US" w:eastAsia="zh-CN" w:bidi="ar-SA"/>
    </w:rPr>
  </w:style>
  <w:style w:type="character" w:customStyle="1" w:styleId="1419">
    <w:name w:val="Char7"/>
    <w:qFormat/>
    <w:uiPriority w:val="0"/>
    <w:rPr>
      <w:rFonts w:ascii="Arial" w:hAnsi="Arial" w:eastAsia="黑体" w:cs="宋体"/>
      <w:b/>
      <w:bCs/>
      <w:kern w:val="2"/>
      <w:sz w:val="28"/>
      <w:szCs w:val="28"/>
      <w:lang w:val="en-US" w:eastAsia="zh-CN" w:bidi="ar-SA"/>
    </w:rPr>
  </w:style>
  <w:style w:type="character" w:customStyle="1" w:styleId="1420">
    <w:name w:val="style31"/>
    <w:qFormat/>
    <w:uiPriority w:val="0"/>
    <w:rPr>
      <w:sz w:val="21"/>
      <w:szCs w:val="21"/>
    </w:rPr>
  </w:style>
  <w:style w:type="character" w:customStyle="1" w:styleId="1421">
    <w:name w:val="首行缩进 Char Char Char Char Char"/>
    <w:qFormat/>
    <w:uiPriority w:val="0"/>
    <w:rPr>
      <w:rFonts w:ascii="宋体" w:eastAsia="宋体"/>
      <w:kern w:val="2"/>
      <w:sz w:val="28"/>
      <w:lang w:val="en-US" w:eastAsia="zh-CN" w:bidi="ar-SA"/>
    </w:rPr>
  </w:style>
  <w:style w:type="character" w:customStyle="1" w:styleId="1422">
    <w:name w:val="Char Char28"/>
    <w:qFormat/>
    <w:uiPriority w:val="0"/>
    <w:rPr>
      <w:rFonts w:eastAsia="宋体"/>
      <w:b/>
      <w:kern w:val="2"/>
      <w:sz w:val="28"/>
      <w:szCs w:val="24"/>
      <w:lang w:val="en-US" w:eastAsia="zh-CN" w:bidi="ar-SA"/>
    </w:rPr>
  </w:style>
  <w:style w:type="character" w:customStyle="1" w:styleId="1423">
    <w:name w:val="报告正文 Char Char"/>
    <w:link w:val="1424"/>
    <w:qFormat/>
    <w:uiPriority w:val="0"/>
    <w:rPr>
      <w:color w:val="000000"/>
      <w:szCs w:val="21"/>
    </w:rPr>
  </w:style>
  <w:style w:type="paragraph" w:customStyle="1" w:styleId="1424">
    <w:name w:val="报告正文 Char"/>
    <w:basedOn w:val="1"/>
    <w:link w:val="1423"/>
    <w:qFormat/>
    <w:uiPriority w:val="0"/>
    <w:pPr>
      <w:spacing w:line="360" w:lineRule="auto"/>
      <w:jc w:val="center"/>
    </w:pPr>
    <w:rPr>
      <w:color w:val="000000"/>
    </w:rPr>
  </w:style>
  <w:style w:type="character" w:customStyle="1" w:styleId="1425">
    <w:name w:val="报告书正文 Char Char Char Char Char Char Char Char Char Char Char Char Char Char Char"/>
    <w:qFormat/>
    <w:uiPriority w:val="0"/>
    <w:rPr>
      <w:rFonts w:eastAsia="宋体"/>
      <w:color w:val="000000"/>
      <w:kern w:val="2"/>
      <w:sz w:val="24"/>
      <w:szCs w:val="24"/>
      <w:lang w:val="en-US" w:eastAsia="zh-CN" w:bidi="ar-SA"/>
    </w:rPr>
  </w:style>
  <w:style w:type="character" w:customStyle="1" w:styleId="1426">
    <w:name w:val="正文文字 2 Char Char"/>
    <w:qFormat/>
    <w:uiPriority w:val="0"/>
    <w:rPr>
      <w:rFonts w:eastAsia="宋体"/>
      <w:color w:val="000000"/>
      <w:sz w:val="18"/>
      <w:szCs w:val="18"/>
      <w:lang w:val="zh-CN"/>
    </w:rPr>
  </w:style>
  <w:style w:type="character" w:customStyle="1" w:styleId="1427">
    <w:name w:val="正文文本 2 Char1"/>
    <w:qFormat/>
    <w:uiPriority w:val="0"/>
    <w:rPr>
      <w:rFonts w:ascii="Times New Roman" w:hAnsi="Times New Roman"/>
      <w:kern w:val="2"/>
      <w:sz w:val="26"/>
      <w:szCs w:val="22"/>
    </w:rPr>
  </w:style>
  <w:style w:type="character" w:customStyle="1" w:styleId="1428">
    <w:name w:val="r1"/>
    <w:qFormat/>
    <w:uiPriority w:val="0"/>
    <w:rPr>
      <w:sz w:val="20"/>
      <w:szCs w:val="20"/>
    </w:rPr>
  </w:style>
  <w:style w:type="character" w:customStyle="1" w:styleId="1429">
    <w:name w:val="haydonli Char Char"/>
    <w:link w:val="1430"/>
    <w:qFormat/>
    <w:uiPriority w:val="0"/>
    <w:rPr>
      <w:snapToGrid w:val="0"/>
      <w:sz w:val="24"/>
      <w:szCs w:val="24"/>
    </w:rPr>
  </w:style>
  <w:style w:type="paragraph" w:customStyle="1" w:styleId="1430">
    <w:name w:val="haydonli"/>
    <w:basedOn w:val="1"/>
    <w:link w:val="1429"/>
    <w:qFormat/>
    <w:uiPriority w:val="0"/>
    <w:pPr>
      <w:spacing w:line="400" w:lineRule="exact"/>
      <w:ind w:firstLine="451" w:firstLineChars="200"/>
      <w:jc w:val="left"/>
    </w:pPr>
    <w:rPr>
      <w:snapToGrid w:val="0"/>
      <w:sz w:val="24"/>
      <w:szCs w:val="24"/>
    </w:rPr>
  </w:style>
  <w:style w:type="character" w:customStyle="1" w:styleId="1431">
    <w:name w:val="表格标题 Char2"/>
    <w:qFormat/>
    <w:uiPriority w:val="0"/>
    <w:rPr>
      <w:rFonts w:hAnsi="宋体" w:eastAsia="宋体"/>
      <w:b/>
      <w:color w:val="0000FF"/>
      <w:sz w:val="24"/>
      <w:szCs w:val="24"/>
      <w:u w:color="FF0000"/>
      <w:lang w:val="en-US" w:eastAsia="zh-CN" w:bidi="ar-SA"/>
    </w:rPr>
  </w:style>
  <w:style w:type="character" w:customStyle="1" w:styleId="1432">
    <w:name w:val="oblog_text"/>
    <w:qFormat/>
    <w:uiPriority w:val="0"/>
  </w:style>
  <w:style w:type="character" w:customStyle="1" w:styleId="1433">
    <w:name w:val="正文文本缩进 3 Char Char"/>
    <w:qFormat/>
    <w:uiPriority w:val="0"/>
    <w:rPr>
      <w:rFonts w:hAnsi="宋体"/>
      <w:sz w:val="16"/>
      <w:lang w:val="en-US" w:eastAsia="zh-CN"/>
    </w:rPr>
  </w:style>
  <w:style w:type="character" w:customStyle="1" w:styleId="1434">
    <w:name w:val="样式 标题 3 + (中文) 黑体 Char Char"/>
    <w:qFormat/>
    <w:uiPriority w:val="0"/>
    <w:rPr>
      <w:rFonts w:eastAsia="黑体"/>
      <w:sz w:val="24"/>
      <w:szCs w:val="28"/>
    </w:rPr>
  </w:style>
  <w:style w:type="character" w:customStyle="1" w:styleId="1435">
    <w:name w:val="文本正文 Char Char"/>
    <w:link w:val="1436"/>
    <w:qFormat/>
    <w:uiPriority w:val="0"/>
    <w:rPr>
      <w:bCs/>
      <w:color w:val="000000"/>
      <w:sz w:val="28"/>
      <w:szCs w:val="28"/>
    </w:rPr>
  </w:style>
  <w:style w:type="paragraph" w:customStyle="1" w:styleId="1436">
    <w:name w:val="文本正文"/>
    <w:basedOn w:val="1"/>
    <w:link w:val="1435"/>
    <w:qFormat/>
    <w:uiPriority w:val="0"/>
    <w:pPr>
      <w:ind w:right="844"/>
      <w:jc w:val="right"/>
    </w:pPr>
    <w:rPr>
      <w:bCs/>
      <w:color w:val="000000"/>
      <w:sz w:val="28"/>
      <w:szCs w:val="28"/>
    </w:rPr>
  </w:style>
  <w:style w:type="character" w:customStyle="1" w:styleId="1437">
    <w:name w:val="f14b1"/>
    <w:qFormat/>
    <w:uiPriority w:val="0"/>
    <w:rPr>
      <w:b/>
      <w:bCs/>
      <w:sz w:val="21"/>
      <w:szCs w:val="21"/>
    </w:rPr>
  </w:style>
  <w:style w:type="character" w:customStyle="1" w:styleId="1438">
    <w:name w:val="正文文本缩进 2 Char Char"/>
    <w:qFormat/>
    <w:uiPriority w:val="0"/>
    <w:rPr>
      <w:rFonts w:ascii="宋体" w:hAnsi="宋体" w:eastAsia="宋体"/>
      <w:kern w:val="2"/>
      <w:sz w:val="21"/>
      <w:szCs w:val="24"/>
      <w:lang w:val="en-US" w:eastAsia="zh-CN" w:bidi="ar-SA"/>
    </w:rPr>
  </w:style>
  <w:style w:type="character" w:customStyle="1" w:styleId="1439">
    <w:name w:val="表格标题 Char1"/>
    <w:qFormat/>
    <w:uiPriority w:val="0"/>
    <w:rPr>
      <w:rFonts w:ascii="宋体" w:hAnsi="宋体" w:eastAsia="宋体"/>
      <w:b/>
      <w:color w:val="0000FF"/>
      <w:sz w:val="24"/>
      <w:szCs w:val="24"/>
      <w:u w:color="FF0000"/>
      <w:lang w:val="en-US" w:eastAsia="zh-CN" w:bidi="ar-SA"/>
    </w:rPr>
  </w:style>
  <w:style w:type="character" w:customStyle="1" w:styleId="1440">
    <w:name w:val="表名 Char Char Char Char Char Char"/>
    <w:link w:val="1441"/>
    <w:qFormat/>
    <w:uiPriority w:val="0"/>
    <w:rPr>
      <w:rFonts w:eastAsia="黑体"/>
      <w:sz w:val="24"/>
      <w:szCs w:val="24"/>
    </w:rPr>
  </w:style>
  <w:style w:type="paragraph" w:customStyle="1" w:styleId="1441">
    <w:name w:val="表名 Char Char Char Char"/>
    <w:basedOn w:val="1"/>
    <w:link w:val="1440"/>
    <w:qFormat/>
    <w:uiPriority w:val="0"/>
    <w:pPr>
      <w:autoSpaceDE w:val="0"/>
      <w:autoSpaceDN w:val="0"/>
      <w:adjustRightInd w:val="0"/>
      <w:jc w:val="center"/>
      <w:textAlignment w:val="baseline"/>
    </w:pPr>
    <w:rPr>
      <w:rFonts w:eastAsia="黑体"/>
      <w:sz w:val="24"/>
      <w:szCs w:val="24"/>
    </w:rPr>
  </w:style>
  <w:style w:type="character" w:customStyle="1" w:styleId="1442">
    <w:name w:val="文档结构图 Char1"/>
    <w:qFormat/>
    <w:uiPriority w:val="0"/>
    <w:rPr>
      <w:rFonts w:eastAsia="宋体"/>
      <w:b/>
      <w:sz w:val="28"/>
      <w:szCs w:val="24"/>
      <w:shd w:val="clear" w:color="auto" w:fill="000080"/>
    </w:rPr>
  </w:style>
  <w:style w:type="character" w:customStyle="1" w:styleId="1443">
    <w:name w:val="正文一 Char Char"/>
    <w:link w:val="1444"/>
    <w:qFormat/>
    <w:uiPriority w:val="0"/>
    <w:rPr>
      <w:snapToGrid w:val="0"/>
      <w:color w:val="000000"/>
      <w:sz w:val="28"/>
      <w:szCs w:val="28"/>
    </w:rPr>
  </w:style>
  <w:style w:type="paragraph" w:customStyle="1" w:styleId="1444">
    <w:name w:val="正文一"/>
    <w:basedOn w:val="1"/>
    <w:link w:val="1443"/>
    <w:qFormat/>
    <w:uiPriority w:val="0"/>
    <w:pPr>
      <w:adjustRightInd w:val="0"/>
      <w:spacing w:beforeLines="50" w:line="360" w:lineRule="auto"/>
      <w:ind w:firstLine="552" w:firstLineChars="200"/>
      <w:jc w:val="left"/>
    </w:pPr>
    <w:rPr>
      <w:snapToGrid w:val="0"/>
      <w:color w:val="000000"/>
      <w:sz w:val="28"/>
      <w:szCs w:val="28"/>
    </w:rPr>
  </w:style>
  <w:style w:type="character" w:customStyle="1" w:styleId="1445">
    <w:name w:val="tit"/>
    <w:qFormat/>
    <w:uiPriority w:val="0"/>
  </w:style>
  <w:style w:type="character" w:customStyle="1" w:styleId="1446">
    <w:name w:val="正文文本缩进 3 Char1"/>
    <w:qFormat/>
    <w:uiPriority w:val="0"/>
    <w:rPr>
      <w:b/>
      <w:sz w:val="16"/>
      <w:szCs w:val="16"/>
    </w:rPr>
  </w:style>
  <w:style w:type="character" w:customStyle="1" w:styleId="1447">
    <w:name w:val="正文文本缩进 3 Char2"/>
    <w:semiHidden/>
    <w:qFormat/>
    <w:uiPriority w:val="99"/>
    <w:rPr>
      <w:rFonts w:ascii="Times New Roman" w:hAnsi="Times New Roman"/>
      <w:kern w:val="2"/>
      <w:sz w:val="16"/>
      <w:szCs w:val="16"/>
    </w:rPr>
  </w:style>
  <w:style w:type="character" w:customStyle="1" w:styleId="1448">
    <w:name w:val="!标题2(alt+2) Char Char"/>
    <w:link w:val="1449"/>
    <w:qFormat/>
    <w:uiPriority w:val="0"/>
    <w:rPr>
      <w:sz w:val="28"/>
      <w:szCs w:val="30"/>
    </w:rPr>
  </w:style>
  <w:style w:type="paragraph" w:customStyle="1" w:styleId="1449">
    <w:name w:val="!标题2(alt+2)"/>
    <w:next w:val="1"/>
    <w:link w:val="1448"/>
    <w:qFormat/>
    <w:uiPriority w:val="0"/>
    <w:pPr>
      <w:spacing w:before="40" w:after="120" w:line="500" w:lineRule="exact"/>
      <w:outlineLvl w:val="1"/>
    </w:pPr>
    <w:rPr>
      <w:rFonts w:asciiTheme="minorHAnsi" w:hAnsiTheme="minorHAnsi" w:eastAsiaTheme="minorEastAsia" w:cstheme="minorBidi"/>
      <w:kern w:val="2"/>
      <w:sz w:val="28"/>
      <w:szCs w:val="30"/>
      <w:lang w:val="en-US" w:eastAsia="zh-CN" w:bidi="ar-SA"/>
    </w:rPr>
  </w:style>
  <w:style w:type="character" w:customStyle="1" w:styleId="1450">
    <w:name w:val="word1"/>
    <w:qFormat/>
    <w:uiPriority w:val="0"/>
    <w:rPr>
      <w:rFonts w:hint="default" w:ascii="ˎ̥" w:hAnsi="ˎ̥"/>
      <w:color w:val="000000"/>
      <w:sz w:val="23"/>
      <w:szCs w:val="23"/>
      <w:u w:val="none"/>
    </w:rPr>
  </w:style>
  <w:style w:type="character" w:customStyle="1" w:styleId="1451">
    <w:name w:val="!表标题(alt+h) Char2"/>
    <w:qFormat/>
    <w:uiPriority w:val="0"/>
    <w:rPr>
      <w:rFonts w:eastAsia="黑体"/>
      <w:sz w:val="24"/>
      <w:szCs w:val="24"/>
    </w:rPr>
  </w:style>
  <w:style w:type="character" w:customStyle="1" w:styleId="1452">
    <w:name w:val="tpc_content1"/>
    <w:qFormat/>
    <w:uiPriority w:val="0"/>
    <w:rPr>
      <w:sz w:val="21"/>
      <w:szCs w:val="21"/>
    </w:rPr>
  </w:style>
  <w:style w:type="character" w:customStyle="1" w:styleId="1453">
    <w:name w:val="表格标题 Char Char Char Char Char"/>
    <w:qFormat/>
    <w:uiPriority w:val="0"/>
    <w:rPr>
      <w:rFonts w:eastAsia="黑体"/>
      <w:kern w:val="2"/>
      <w:sz w:val="24"/>
      <w:szCs w:val="24"/>
      <w:lang w:val="en-US" w:eastAsia="zh-CN" w:bidi="ar-SA"/>
    </w:rPr>
  </w:style>
  <w:style w:type="character" w:customStyle="1" w:styleId="1454">
    <w:name w:val="doc1"/>
    <w:qFormat/>
    <w:uiPriority w:val="0"/>
    <w:rPr>
      <w:rFonts w:hint="eastAsia" w:ascii="宋体" w:hAnsi="宋体" w:eastAsia="宋体"/>
      <w:sz w:val="24"/>
      <w:szCs w:val="24"/>
      <w:u w:val="none"/>
    </w:rPr>
  </w:style>
  <w:style w:type="character" w:customStyle="1" w:styleId="1455">
    <w:name w:val="正文小4 Char Char"/>
    <w:link w:val="1456"/>
    <w:qFormat/>
    <w:uiPriority w:val="0"/>
    <w:rPr>
      <w:rFonts w:ascii="宋体" w:hAnsi="宋体" w:cs="宋体"/>
      <w:spacing w:val="22"/>
      <w:kern w:val="24"/>
      <w:sz w:val="24"/>
      <w:szCs w:val="24"/>
    </w:rPr>
  </w:style>
  <w:style w:type="paragraph" w:customStyle="1" w:styleId="1456">
    <w:name w:val="正文小4"/>
    <w:basedOn w:val="1"/>
    <w:link w:val="1455"/>
    <w:qFormat/>
    <w:uiPriority w:val="0"/>
    <w:pPr>
      <w:spacing w:line="480" w:lineRule="atLeast"/>
      <w:ind w:firstLine="568" w:firstLineChars="200"/>
      <w:jc w:val="left"/>
    </w:pPr>
    <w:rPr>
      <w:rFonts w:ascii="宋体" w:hAnsi="宋体" w:cs="宋体"/>
      <w:spacing w:val="22"/>
      <w:kern w:val="24"/>
      <w:sz w:val="24"/>
      <w:szCs w:val="24"/>
    </w:rPr>
  </w:style>
  <w:style w:type="character" w:customStyle="1" w:styleId="1457">
    <w:name w:val="!表格(alt+t) Char Char"/>
    <w:link w:val="1458"/>
    <w:qFormat/>
    <w:uiPriority w:val="0"/>
    <w:rPr>
      <w:szCs w:val="18"/>
    </w:rPr>
  </w:style>
  <w:style w:type="paragraph" w:customStyle="1" w:styleId="1458">
    <w:name w:val="!表格(alt+t)"/>
    <w:next w:val="1"/>
    <w:link w:val="1457"/>
    <w:qFormat/>
    <w:uiPriority w:val="0"/>
    <w:pPr>
      <w:adjustRightInd w:val="0"/>
      <w:spacing w:line="360" w:lineRule="exact"/>
      <w:jc w:val="center"/>
      <w:textAlignment w:val="center"/>
    </w:pPr>
    <w:rPr>
      <w:rFonts w:asciiTheme="minorHAnsi" w:hAnsiTheme="minorHAnsi" w:eastAsiaTheme="minorEastAsia" w:cstheme="minorBidi"/>
      <w:kern w:val="2"/>
      <w:sz w:val="21"/>
      <w:szCs w:val="18"/>
      <w:lang w:val="en-US" w:eastAsia="zh-CN" w:bidi="ar-SA"/>
    </w:rPr>
  </w:style>
  <w:style w:type="character" w:customStyle="1" w:styleId="1459">
    <w:name w:val="图表头 Char Char"/>
    <w:qFormat/>
    <w:uiPriority w:val="0"/>
    <w:rPr>
      <w:rFonts w:ascii="宋体" w:hAnsi="宋体" w:eastAsia="宋体"/>
      <w:b/>
      <w:kern w:val="2"/>
      <w:sz w:val="24"/>
      <w:lang w:val="en-US" w:eastAsia="zh-CN"/>
    </w:rPr>
  </w:style>
  <w:style w:type="character" w:customStyle="1" w:styleId="1460">
    <w:name w:val="页脚 Char1"/>
    <w:qFormat/>
    <w:uiPriority w:val="0"/>
    <w:rPr>
      <w:rFonts w:eastAsia="宋体"/>
      <w:b/>
      <w:sz w:val="18"/>
      <w:szCs w:val="18"/>
    </w:rPr>
  </w:style>
  <w:style w:type="character" w:customStyle="1" w:styleId="1461">
    <w:name w:val="报告书正文2 Char Char"/>
    <w:link w:val="1462"/>
    <w:qFormat/>
    <w:uiPriority w:val="0"/>
    <w:rPr>
      <w:rFonts w:hAnsi="宋体"/>
      <w:sz w:val="24"/>
      <w:szCs w:val="24"/>
    </w:rPr>
  </w:style>
  <w:style w:type="paragraph" w:customStyle="1" w:styleId="1462">
    <w:name w:val="报告书正文2 Char"/>
    <w:basedOn w:val="1"/>
    <w:link w:val="1461"/>
    <w:qFormat/>
    <w:uiPriority w:val="0"/>
    <w:pPr>
      <w:wordWrap w:val="0"/>
      <w:topLinePunct/>
      <w:spacing w:line="480" w:lineRule="exact"/>
      <w:ind w:firstLine="480" w:firstLineChars="200"/>
      <w:jc w:val="left"/>
    </w:pPr>
    <w:rPr>
      <w:rFonts w:hAnsi="宋体"/>
      <w:sz w:val="24"/>
      <w:szCs w:val="24"/>
    </w:rPr>
  </w:style>
  <w:style w:type="character" w:customStyle="1" w:styleId="1463">
    <w:name w:val="样式 标题 4 + 字符缩放: 80% Char Char Char Char Char Char Char Char Char Char Char Char Char Char Char Char Char Char Char Char Char Char Char Char Char Char Char Char Char Char Char Char Char Char Char Char Char Char Char Char Char Char Char Char"/>
    <w:qFormat/>
    <w:uiPriority w:val="0"/>
    <w:rPr>
      <w:rFonts w:ascii="Arial" w:hAnsi="Arial" w:eastAsia="黑体"/>
      <w:b/>
      <w:bCs/>
      <w:w w:val="80"/>
      <w:kern w:val="2"/>
      <w:sz w:val="28"/>
      <w:szCs w:val="28"/>
      <w:lang w:val="en-US" w:eastAsia="zh-CN" w:bidi="ar-SA"/>
    </w:rPr>
  </w:style>
  <w:style w:type="character" w:customStyle="1" w:styleId="1464">
    <w:name w:val="! 修改 Char Char"/>
    <w:qFormat/>
    <w:uiPriority w:val="0"/>
    <w:rPr>
      <w:rFonts w:ascii="宋体" w:eastAsia="宋体"/>
      <w:color w:val="FF0000"/>
      <w:sz w:val="24"/>
      <w:u w:color="000000"/>
      <w:lang w:val="en-US" w:eastAsia="zh-CN"/>
    </w:rPr>
  </w:style>
  <w:style w:type="character" w:customStyle="1" w:styleId="1465">
    <w:name w:val="标题 4 Char Char Char Char Char Char Char Char Char Ch"/>
    <w:qFormat/>
    <w:uiPriority w:val="0"/>
    <w:rPr>
      <w:rFonts w:ascii="黑体" w:hAnsi="宋体" w:eastAsia="黑体"/>
      <w:b/>
      <w:bCs/>
      <w:spacing w:val="5"/>
      <w:sz w:val="24"/>
      <w:szCs w:val="28"/>
      <w:lang w:val="en-US" w:eastAsia="zh-CN" w:bidi="ar-SA"/>
    </w:rPr>
  </w:style>
  <w:style w:type="character" w:customStyle="1" w:styleId="1466">
    <w:name w:val="样式 (符号) 宋体 四号 黑色 Char Char Char Char"/>
    <w:qFormat/>
    <w:uiPriority w:val="0"/>
    <w:rPr>
      <w:rFonts w:ascii="宋体" w:hAnsi="宋体" w:eastAsia="宋体" w:cs="宋体"/>
      <w:color w:val="000000"/>
      <w:kern w:val="2"/>
      <w:sz w:val="28"/>
      <w:szCs w:val="24"/>
      <w:lang w:val="en-US" w:eastAsia="zh-CN" w:bidi="ar-SA"/>
    </w:rPr>
  </w:style>
  <w:style w:type="character" w:customStyle="1" w:styleId="1467">
    <w:name w:val="正文文本 21 Char Char"/>
    <w:qFormat/>
    <w:uiPriority w:val="0"/>
    <w:rPr>
      <w:rFonts w:eastAsia="宋体"/>
      <w:sz w:val="24"/>
    </w:rPr>
  </w:style>
  <w:style w:type="character" w:customStyle="1" w:styleId="1468">
    <w:name w:val="我的正文 Char Char Char Char Char"/>
    <w:link w:val="1469"/>
    <w:qFormat/>
    <w:uiPriority w:val="0"/>
    <w:rPr>
      <w:sz w:val="24"/>
      <w:szCs w:val="24"/>
    </w:rPr>
  </w:style>
  <w:style w:type="paragraph" w:customStyle="1" w:styleId="1469">
    <w:name w:val="我的正文 Char Char"/>
    <w:basedOn w:val="1"/>
    <w:link w:val="1468"/>
    <w:qFormat/>
    <w:uiPriority w:val="0"/>
    <w:pPr>
      <w:spacing w:line="360" w:lineRule="auto"/>
      <w:ind w:firstLine="200" w:firstLineChars="200"/>
      <w:jc w:val="left"/>
    </w:pPr>
    <w:rPr>
      <w:sz w:val="24"/>
      <w:szCs w:val="24"/>
    </w:rPr>
  </w:style>
  <w:style w:type="character" w:customStyle="1" w:styleId="1470">
    <w:name w:val="表名 Char Char Char Char1"/>
    <w:qFormat/>
    <w:uiPriority w:val="0"/>
    <w:rPr>
      <w:rFonts w:eastAsia="黑体"/>
      <w:kern w:val="2"/>
      <w:sz w:val="24"/>
      <w:szCs w:val="24"/>
      <w:lang w:val="en-US" w:eastAsia="zh-CN" w:bidi="ar-SA"/>
    </w:rPr>
  </w:style>
  <w:style w:type="character" w:customStyle="1" w:styleId="1471">
    <w:name w:val="正文首行缩进 2 Char1"/>
    <w:semiHidden/>
    <w:qFormat/>
    <w:uiPriority w:val="0"/>
    <w:rPr>
      <w:rFonts w:ascii="Times New Roman" w:hAnsi="Times New Roman" w:eastAsia="宋体" w:cs="Times New Roman"/>
      <w:kern w:val="2"/>
      <w:sz w:val="26"/>
      <w:szCs w:val="22"/>
    </w:rPr>
  </w:style>
  <w:style w:type="character" w:customStyle="1" w:styleId="1472">
    <w:name w:val="二章正文 Char Char Char Char Char Char Char"/>
    <w:qFormat/>
    <w:uiPriority w:val="0"/>
    <w:rPr>
      <w:rFonts w:eastAsia="宋体"/>
      <w:kern w:val="2"/>
      <w:sz w:val="24"/>
      <w:szCs w:val="24"/>
      <w:lang w:val="en-US" w:eastAsia="zh-CN" w:bidi="ar-SA"/>
    </w:rPr>
  </w:style>
  <w:style w:type="character" w:customStyle="1" w:styleId="1473">
    <w:name w:val="样式 表格文字 + 小五 自动设置 Char Char"/>
    <w:qFormat/>
    <w:uiPriority w:val="0"/>
    <w:rPr>
      <w:rFonts w:ascii="宋体" w:hAnsi="宋体" w:eastAsia="宋体"/>
      <w:snapToGrid w:val="0"/>
      <w:color w:val="000000"/>
      <w:kern w:val="21"/>
      <w:sz w:val="18"/>
      <w:u w:color="000000"/>
      <w:lang w:val="en-US" w:eastAsia="zh-CN" w:bidi="ar-SA"/>
    </w:rPr>
  </w:style>
  <w:style w:type="character" w:customStyle="1" w:styleId="1474">
    <w:name w:val="表文 Char Char Char Char Char Char Char Char Char Char"/>
    <w:qFormat/>
    <w:uiPriority w:val="0"/>
    <w:rPr>
      <w:rFonts w:eastAsia="宋体"/>
      <w:kern w:val="2"/>
      <w:sz w:val="18"/>
      <w:szCs w:val="24"/>
      <w:lang w:val="en-US" w:eastAsia="zh-CN" w:bidi="ar-SA"/>
    </w:rPr>
  </w:style>
  <w:style w:type="character" w:customStyle="1" w:styleId="1475">
    <w:name w:val="xyb自建表格名称 Char Char Char Char Char"/>
    <w:qFormat/>
    <w:uiPriority w:val="0"/>
    <w:rPr>
      <w:rFonts w:ascii="宋体" w:hAnsi="宋体" w:eastAsia="宋体"/>
      <w:kern w:val="2"/>
      <w:sz w:val="24"/>
      <w:szCs w:val="24"/>
      <w:lang w:val="en-US" w:eastAsia="zh-CN" w:bidi="ar-SA"/>
    </w:rPr>
  </w:style>
  <w:style w:type="character" w:customStyle="1" w:styleId="1476">
    <w:name w:val="样式 表格名称 + 蓝色1 Char Char"/>
    <w:link w:val="1477"/>
    <w:qFormat/>
    <w:uiPriority w:val="0"/>
    <w:rPr>
      <w:rFonts w:ascii="宋体" w:hAnsi="宋体"/>
      <w:b/>
      <w:bCs/>
      <w:color w:val="0000FF"/>
      <w:sz w:val="24"/>
      <w:szCs w:val="24"/>
      <w:u w:color="000000"/>
    </w:rPr>
  </w:style>
  <w:style w:type="paragraph" w:customStyle="1" w:styleId="1477">
    <w:name w:val="样式 表格名称 + 蓝色1"/>
    <w:basedOn w:val="348"/>
    <w:link w:val="1476"/>
    <w:qFormat/>
    <w:uiPriority w:val="0"/>
    <w:pPr>
      <w:tabs>
        <w:tab w:val="left" w:pos="-24"/>
      </w:tabs>
      <w:spacing w:beforeLines="0" w:after="0" w:afterAutospacing="0" w:line="500" w:lineRule="exact"/>
      <w:contextualSpacing w:val="0"/>
      <w:textAlignment w:val="baseline"/>
      <w:outlineLvl w:val="4"/>
    </w:pPr>
    <w:rPr>
      <w:rFonts w:ascii="宋体" w:hAnsi="宋体" w:eastAsiaTheme="minorEastAsia" w:cstheme="minorBidi"/>
      <w:color w:val="0000FF"/>
      <w:kern w:val="2"/>
      <w:sz w:val="24"/>
      <w:szCs w:val="24"/>
      <w:u w:color="000000"/>
    </w:rPr>
  </w:style>
  <w:style w:type="character" w:customStyle="1" w:styleId="1478">
    <w:name w:val="日期 Char1"/>
    <w:semiHidden/>
    <w:qFormat/>
    <w:uiPriority w:val="0"/>
    <w:rPr>
      <w:rFonts w:ascii="Times New Roman" w:hAnsi="Times New Roman"/>
      <w:kern w:val="2"/>
      <w:sz w:val="26"/>
      <w:szCs w:val="22"/>
    </w:rPr>
  </w:style>
  <w:style w:type="character" w:customStyle="1" w:styleId="1479">
    <w:name w:val="样式 正文+ 首行缩进:  2 字符 + 宋体 Char Char"/>
    <w:qFormat/>
    <w:uiPriority w:val="0"/>
    <w:rPr>
      <w:rFonts w:ascii="宋体" w:hAnsi="宋体" w:eastAsia="宋体" w:cs="宋体"/>
      <w:sz w:val="24"/>
      <w:szCs w:val="24"/>
      <w:lang w:val="en-US" w:eastAsia="zh-CN" w:bidi="ar-SA"/>
    </w:rPr>
  </w:style>
  <w:style w:type="character" w:customStyle="1" w:styleId="1480">
    <w:name w:val="样式 !正文 + 首行缩进:  2 字符1 Char Char"/>
    <w:link w:val="1481"/>
    <w:qFormat/>
    <w:uiPriority w:val="0"/>
    <w:rPr>
      <w:rFonts w:cs="宋体"/>
      <w:color w:val="000000"/>
      <w:sz w:val="24"/>
      <w:szCs w:val="24"/>
      <w:u w:color="000000"/>
    </w:rPr>
  </w:style>
  <w:style w:type="paragraph" w:customStyle="1" w:styleId="1481">
    <w:name w:val="样式 !正文 + 首行缩进:  2 字符1"/>
    <w:basedOn w:val="1"/>
    <w:link w:val="1480"/>
    <w:qFormat/>
    <w:uiPriority w:val="0"/>
    <w:pPr>
      <w:spacing w:line="336" w:lineRule="auto"/>
      <w:ind w:firstLine="480" w:firstLineChars="200"/>
      <w:jc w:val="left"/>
      <w:textAlignment w:val="baseline"/>
    </w:pPr>
    <w:rPr>
      <w:rFonts w:cs="宋体"/>
      <w:color w:val="000000"/>
      <w:sz w:val="24"/>
      <w:szCs w:val="24"/>
      <w:u w:color="000000"/>
    </w:rPr>
  </w:style>
  <w:style w:type="character" w:customStyle="1" w:styleId="1482">
    <w:name w:val="正文文字缩进 2 Char1"/>
    <w:qFormat/>
    <w:uiPriority w:val="0"/>
    <w:rPr>
      <w:rFonts w:eastAsia="宋体"/>
      <w:b/>
      <w:kern w:val="2"/>
      <w:sz w:val="28"/>
      <w:szCs w:val="24"/>
      <w:lang w:val="en-US" w:eastAsia="zh-CN" w:bidi="ar-SA"/>
    </w:rPr>
  </w:style>
  <w:style w:type="character" w:customStyle="1" w:styleId="1483">
    <w:name w:val="我的正文 Char Char Char Char"/>
    <w:qFormat/>
    <w:uiPriority w:val="0"/>
    <w:rPr>
      <w:rFonts w:eastAsia="宋体"/>
      <w:kern w:val="2"/>
      <w:sz w:val="24"/>
      <w:szCs w:val="24"/>
      <w:lang w:val="en-US" w:eastAsia="zh-CN" w:bidi="ar-SA"/>
    </w:rPr>
  </w:style>
  <w:style w:type="character" w:customStyle="1" w:styleId="1484">
    <w:name w:val="批注框文本 Char Char Char Char"/>
    <w:qFormat/>
    <w:uiPriority w:val="0"/>
    <w:rPr>
      <w:rFonts w:hAnsi="宋体"/>
      <w:sz w:val="18"/>
      <w:lang w:val="en-US" w:eastAsia="zh-CN"/>
    </w:rPr>
  </w:style>
  <w:style w:type="character" w:customStyle="1" w:styleId="1485">
    <w:name w:val="样式 宋体 小四"/>
    <w:qFormat/>
    <w:uiPriority w:val="0"/>
    <w:rPr>
      <w:rFonts w:ascii="Times New Roman" w:hAnsi="Times New Roman" w:eastAsia="宋体"/>
      <w:sz w:val="24"/>
    </w:rPr>
  </w:style>
  <w:style w:type="character" w:customStyle="1" w:styleId="1486">
    <w:name w:val="样式 表格名称 + 蓝色 Char Char"/>
    <w:qFormat/>
    <w:uiPriority w:val="0"/>
    <w:rPr>
      <w:rFonts w:ascii="宋体" w:hAnsi="宋体" w:eastAsia="宋体"/>
      <w:b/>
      <w:bCs/>
      <w:color w:val="0000FF"/>
      <w:sz w:val="24"/>
      <w:szCs w:val="24"/>
      <w:u w:color="000000"/>
      <w:lang w:val="en-US" w:eastAsia="zh-CN" w:bidi="ar-SA"/>
    </w:rPr>
  </w:style>
  <w:style w:type="character" w:customStyle="1" w:styleId="1487">
    <w:name w:val="size13"/>
    <w:qFormat/>
    <w:uiPriority w:val="0"/>
  </w:style>
  <w:style w:type="character" w:customStyle="1" w:styleId="1488">
    <w:name w:val="报告 Char Char Char Char Char"/>
    <w:link w:val="1489"/>
    <w:qFormat/>
    <w:uiPriority w:val="0"/>
    <w:rPr>
      <w:sz w:val="24"/>
      <w:szCs w:val="24"/>
    </w:rPr>
  </w:style>
  <w:style w:type="paragraph" w:customStyle="1" w:styleId="1489">
    <w:name w:val="报告 Char Char"/>
    <w:basedOn w:val="1"/>
    <w:link w:val="1488"/>
    <w:qFormat/>
    <w:uiPriority w:val="0"/>
    <w:pPr>
      <w:spacing w:line="300" w:lineRule="auto"/>
      <w:ind w:firstLine="539"/>
      <w:jc w:val="left"/>
    </w:pPr>
    <w:rPr>
      <w:sz w:val="24"/>
      <w:szCs w:val="24"/>
    </w:rPr>
  </w:style>
  <w:style w:type="character" w:customStyle="1" w:styleId="1490">
    <w:name w:val="样式 样式 宋体 五号 蓝色 居中 行距: 单倍行距 + Times New Roman 自动设置 Char Char"/>
    <w:link w:val="1491"/>
    <w:qFormat/>
    <w:uiPriority w:val="0"/>
  </w:style>
  <w:style w:type="paragraph" w:customStyle="1" w:styleId="1491">
    <w:name w:val="样式 样式 宋体 五号 蓝色 居中 行距: 单倍行距 + Times New Roman 自动设置"/>
    <w:basedOn w:val="1397"/>
    <w:link w:val="1490"/>
    <w:qFormat/>
    <w:uiPriority w:val="0"/>
    <w:rPr>
      <w:rFonts w:asciiTheme="minorHAnsi" w:hAnsiTheme="minorHAnsi" w:cstheme="minorBidi"/>
      <w:color w:val="auto"/>
    </w:rPr>
  </w:style>
  <w:style w:type="character" w:customStyle="1" w:styleId="1492">
    <w:name w:val="纯文本 Char Char2"/>
    <w:qFormat/>
    <w:uiPriority w:val="0"/>
    <w:rPr>
      <w:rFonts w:ascii="宋体" w:hAnsi="Courier New"/>
      <w:sz w:val="21"/>
      <w:lang w:val="en-US" w:eastAsia="zh-CN"/>
    </w:rPr>
  </w:style>
  <w:style w:type="character" w:customStyle="1" w:styleId="1493">
    <w:name w:val="样式 首行缩进:  2 字符 Char Char"/>
    <w:qFormat/>
    <w:uiPriority w:val="0"/>
    <w:rPr>
      <w:rFonts w:eastAsia="宋体" w:cs="宋体"/>
      <w:sz w:val="24"/>
      <w:lang w:val="zh-CN" w:eastAsia="zh-CN" w:bidi="ar-SA"/>
    </w:rPr>
  </w:style>
  <w:style w:type="character" w:customStyle="1" w:styleId="1494">
    <w:name w:val="002 Char Char"/>
    <w:qFormat/>
    <w:uiPriority w:val="0"/>
    <w:rPr>
      <w:rFonts w:ascii="宋体" w:hAnsi="宋体" w:eastAsia="宋体" w:cs="宋体"/>
      <w:b/>
      <w:bCs/>
      <w:kern w:val="2"/>
      <w:sz w:val="28"/>
      <w:szCs w:val="30"/>
      <w:lang w:val="en-US" w:eastAsia="zh-CN" w:bidi="ar-SA"/>
    </w:rPr>
  </w:style>
  <w:style w:type="character" w:customStyle="1" w:styleId="1495">
    <w:name w:val="正文缩进3"/>
    <w:qFormat/>
    <w:uiPriority w:val="0"/>
    <w:rPr>
      <w:rFonts w:eastAsia="宋体"/>
      <w:kern w:val="2"/>
      <w:sz w:val="21"/>
      <w:szCs w:val="24"/>
      <w:lang w:val="en-US" w:eastAsia="zh-CN" w:bidi="ar-SA"/>
    </w:rPr>
  </w:style>
  <w:style w:type="character" w:customStyle="1" w:styleId="1496">
    <w:name w:val="003 Char Char"/>
    <w:qFormat/>
    <w:uiPriority w:val="0"/>
    <w:rPr>
      <w:rFonts w:ascii="宋体" w:hAnsi="宋体" w:eastAsia="宋体" w:cs="宋体"/>
      <w:b/>
      <w:bCs/>
      <w:kern w:val="2"/>
      <w:sz w:val="24"/>
      <w:szCs w:val="28"/>
      <w:lang w:val="en-US" w:eastAsia="zh-CN" w:bidi="ar-SA"/>
    </w:rPr>
  </w:style>
  <w:style w:type="character" w:customStyle="1" w:styleId="1497">
    <w:name w:val="!正文(alt+c) Char1"/>
    <w:qFormat/>
    <w:uiPriority w:val="0"/>
    <w:rPr>
      <w:rFonts w:eastAsia="宋体"/>
      <w:sz w:val="24"/>
      <w:lang w:val="en-US" w:eastAsia="zh-CN"/>
    </w:rPr>
  </w:style>
  <w:style w:type="character" w:customStyle="1" w:styleId="1498">
    <w:name w:val="标题 Char Char"/>
    <w:qFormat/>
    <w:uiPriority w:val="0"/>
    <w:rPr>
      <w:rFonts w:ascii="华文中宋" w:hAnsi="Arial" w:eastAsia="华文中宋"/>
      <w:kern w:val="2"/>
      <w:sz w:val="32"/>
      <w:lang w:val="en-US" w:eastAsia="zh-CN" w:bidi="ar-SA"/>
    </w:rPr>
  </w:style>
  <w:style w:type="character" w:customStyle="1" w:styleId="1499">
    <w:name w:val="content1"/>
    <w:qFormat/>
    <w:uiPriority w:val="0"/>
    <w:rPr>
      <w:spacing w:val="0"/>
      <w:sz w:val="14"/>
      <w:szCs w:val="14"/>
    </w:rPr>
  </w:style>
  <w:style w:type="character" w:customStyle="1" w:styleId="1500">
    <w:name w:val="large"/>
    <w:qFormat/>
    <w:uiPriority w:val="0"/>
  </w:style>
  <w:style w:type="character" w:customStyle="1" w:styleId="1501">
    <w:name w:val="正文文字缩进 2 Char"/>
    <w:qFormat/>
    <w:uiPriority w:val="0"/>
    <w:rPr>
      <w:rFonts w:eastAsia="宋体"/>
      <w:b/>
      <w:kern w:val="2"/>
      <w:sz w:val="28"/>
      <w:szCs w:val="24"/>
      <w:lang w:val="en-US" w:eastAsia="zh-CN" w:bidi="ar-SA"/>
    </w:rPr>
  </w:style>
  <w:style w:type="character" w:customStyle="1" w:styleId="1502">
    <w:name w:val="标准正文 Char Char"/>
    <w:qFormat/>
    <w:uiPriority w:val="0"/>
    <w:rPr>
      <w:rFonts w:ascii="宋体" w:hAnsi="宋体" w:eastAsia="宋体" w:cs="宋体"/>
      <w:snapToGrid w:val="0"/>
      <w:color w:val="000000"/>
      <w:kern w:val="2"/>
      <w:sz w:val="24"/>
      <w:szCs w:val="24"/>
      <w:lang w:val="en-US" w:eastAsia="zh-CN" w:bidi="ar-SA"/>
    </w:rPr>
  </w:style>
  <w:style w:type="character" w:customStyle="1" w:styleId="1503">
    <w:name w:val="样式 样式 样式 样式5 + 宋体 + 小四 + 段前: 0 磅 段后: 0 磅 Char Char"/>
    <w:link w:val="1504"/>
    <w:qFormat/>
    <w:uiPriority w:val="0"/>
    <w:rPr>
      <w:rFonts w:ascii="宋体" w:hAnsi="宋体"/>
      <w:b/>
      <w:bCs/>
      <w:sz w:val="24"/>
      <w:szCs w:val="28"/>
    </w:rPr>
  </w:style>
  <w:style w:type="paragraph" w:customStyle="1" w:styleId="1504">
    <w:name w:val="样式 样式 样式 样式5 + 宋体 + 小四 + 段前: 0 磅 段后: 0 磅"/>
    <w:basedOn w:val="1"/>
    <w:link w:val="1503"/>
    <w:qFormat/>
    <w:uiPriority w:val="0"/>
    <w:pPr>
      <w:keepNext/>
      <w:keepLines/>
      <w:widowControl/>
      <w:tabs>
        <w:tab w:val="left" w:pos="864"/>
        <w:tab w:val="left" w:pos="1080"/>
      </w:tabs>
      <w:spacing w:after="120"/>
      <w:ind w:left="862" w:hanging="862"/>
      <w:jc w:val="left"/>
      <w:outlineLvl w:val="3"/>
    </w:pPr>
    <w:rPr>
      <w:rFonts w:ascii="宋体" w:hAnsi="宋体"/>
      <w:b/>
      <w:bCs/>
      <w:sz w:val="24"/>
      <w:szCs w:val="28"/>
    </w:rPr>
  </w:style>
  <w:style w:type="character" w:customStyle="1" w:styleId="1505">
    <w:name w:val="样式 样式 样式 样式 样式 样式 样式 样式 样式 第节 小三 行距: 多倍行距 0.6 字行 + 首行缩进:  2 字符 +... Char Char"/>
    <w:qFormat/>
    <w:uiPriority w:val="0"/>
    <w:rPr>
      <w:rFonts w:eastAsia="仿宋_GB2312" w:cs="宋体"/>
      <w:kern w:val="2"/>
      <w:sz w:val="30"/>
      <w:lang w:val="en-US" w:eastAsia="zh-CN" w:bidi="ar-SA"/>
    </w:rPr>
  </w:style>
  <w:style w:type="character" w:customStyle="1" w:styleId="1506">
    <w:name w:val="表格标题采用 Char"/>
    <w:qFormat/>
    <w:uiPriority w:val="0"/>
    <w:rPr>
      <w:rFonts w:ascii="宋体" w:hAnsi="宋体" w:eastAsia="宋体" w:cs="宋体"/>
      <w:b/>
      <w:color w:val="000000"/>
      <w:kern w:val="2"/>
      <w:sz w:val="24"/>
      <w:szCs w:val="24"/>
      <w:lang w:val="en-US" w:eastAsia="zh-CN" w:bidi="ar-SA"/>
    </w:rPr>
  </w:style>
  <w:style w:type="character" w:customStyle="1" w:styleId="1507">
    <w:name w:val="正文首行缩进 Char Char Char Char Char Char Char Char Char Char Char Char Char Char Char Char Char Ch"/>
    <w:qFormat/>
    <w:uiPriority w:val="0"/>
    <w:rPr>
      <w:rFonts w:eastAsia="宋体"/>
      <w:kern w:val="2"/>
      <w:sz w:val="24"/>
      <w:szCs w:val="21"/>
      <w:lang w:val="en-US" w:eastAsia="zh-CN" w:bidi="ar-SA"/>
    </w:rPr>
  </w:style>
  <w:style w:type="character" w:customStyle="1" w:styleId="1508">
    <w:name w:val="表头 Char Char Char Char Char Char"/>
    <w:qFormat/>
    <w:uiPriority w:val="0"/>
    <w:rPr>
      <w:rFonts w:ascii="Arial" w:hAnsi="Arial" w:eastAsia="宋体"/>
      <w:b/>
      <w:kern w:val="2"/>
      <w:sz w:val="24"/>
      <w:szCs w:val="28"/>
      <w:lang w:val="en-US" w:eastAsia="zh-CN" w:bidi="ar-SA"/>
    </w:rPr>
  </w:style>
  <w:style w:type="character" w:customStyle="1" w:styleId="1509">
    <w:name w:val="无间隔 Char Char"/>
    <w:qFormat/>
    <w:uiPriority w:val="0"/>
    <w:rPr>
      <w:rFonts w:ascii="Calibri" w:hAnsi="Calibri"/>
      <w:sz w:val="22"/>
      <w:szCs w:val="22"/>
      <w:lang w:val="en-US" w:eastAsia="zh-CN" w:bidi="ar-SA"/>
    </w:rPr>
  </w:style>
  <w:style w:type="character" w:customStyle="1" w:styleId="1510">
    <w:name w:val="样式 表格标题 + 自动设置 Char Char"/>
    <w:qFormat/>
    <w:uiPriority w:val="0"/>
    <w:rPr>
      <w:rFonts w:ascii="宋体" w:hAnsi="宋体" w:eastAsia="宋体"/>
      <w:b/>
      <w:bCs/>
      <w:color w:val="0000FF"/>
      <w:sz w:val="24"/>
      <w:szCs w:val="24"/>
      <w:u w:color="FF0000"/>
      <w:lang w:val="en-US" w:eastAsia="zh-CN" w:bidi="ar-SA"/>
    </w:rPr>
  </w:style>
  <w:style w:type="character" w:customStyle="1" w:styleId="1511">
    <w:name w:val="!正文(alt+c) Char4 Char"/>
    <w:qFormat/>
    <w:uiPriority w:val="0"/>
    <w:rPr>
      <w:rFonts w:ascii="宋体" w:hAnsi="宋体" w:eastAsia="宋体"/>
      <w:color w:val="0000FF"/>
      <w:sz w:val="24"/>
      <w:szCs w:val="24"/>
      <w:lang w:val="en-US" w:eastAsia="zh-CN" w:bidi="ar-SA"/>
    </w:rPr>
  </w:style>
  <w:style w:type="character" w:customStyle="1" w:styleId="1512">
    <w:name w:val="HTML 地址 Char1"/>
    <w:semiHidden/>
    <w:qFormat/>
    <w:uiPriority w:val="99"/>
    <w:rPr>
      <w:rFonts w:ascii="Times New Roman" w:hAnsi="Times New Roman"/>
      <w:i/>
      <w:iCs/>
      <w:kern w:val="2"/>
      <w:sz w:val="26"/>
      <w:szCs w:val="22"/>
    </w:rPr>
  </w:style>
  <w:style w:type="character" w:customStyle="1" w:styleId="1513">
    <w:name w:val="HTML 预设格式 Char1"/>
    <w:semiHidden/>
    <w:qFormat/>
    <w:uiPriority w:val="0"/>
    <w:rPr>
      <w:rFonts w:ascii="Courier New" w:hAnsi="Courier New" w:cs="Courier New"/>
      <w:kern w:val="2"/>
    </w:rPr>
  </w:style>
  <w:style w:type="paragraph" w:customStyle="1" w:styleId="1514">
    <w:name w:val="样式 样式 样式 样式 样式 扉页标题 + 居中 左侧:  0 厘米 悬挂缩进: 2 字符 + 左侧:  0 厘米 悬挂缩进: ..."/>
    <w:basedOn w:val="1"/>
    <w:qFormat/>
    <w:uiPriority w:val="0"/>
    <w:pPr>
      <w:spacing w:line="500" w:lineRule="exact"/>
      <w:ind w:left="720" w:hanging="720" w:hangingChars="200"/>
      <w:jc w:val="center"/>
    </w:pPr>
    <w:rPr>
      <w:rFonts w:ascii="Times New Roman" w:hAnsi="Times New Roman" w:cs="宋体"/>
      <w:sz w:val="32"/>
      <w:szCs w:val="20"/>
    </w:rPr>
  </w:style>
  <w:style w:type="paragraph" w:customStyle="1" w:styleId="1515">
    <w:name w:val="正文加粗"/>
    <w:basedOn w:val="1"/>
    <w:qFormat/>
    <w:uiPriority w:val="0"/>
    <w:pPr>
      <w:spacing w:line="480" w:lineRule="exact"/>
      <w:jc w:val="left"/>
    </w:pPr>
    <w:rPr>
      <w:rFonts w:ascii="Calibri" w:hAnsi="Calibri" w:cs="Times New Roman"/>
      <w:b/>
      <w:color w:val="000000"/>
      <w:sz w:val="24"/>
      <w:szCs w:val="24"/>
    </w:rPr>
  </w:style>
  <w:style w:type="paragraph" w:customStyle="1" w:styleId="1516">
    <w:name w:val="样式 列表 2 + 左侧:  2 字符 悬挂缩进: 2 字符"/>
    <w:basedOn w:val="37"/>
    <w:qFormat/>
    <w:uiPriority w:val="0"/>
    <w:pPr>
      <w:adjustRightInd/>
      <w:spacing w:beforeLines="0"/>
      <w:ind w:left="200" w:leftChars="0"/>
    </w:pPr>
    <w:rPr>
      <w:rFonts w:hAnsi="宋体" w:cs="宋体"/>
      <w:snapToGrid/>
      <w:szCs w:val="20"/>
    </w:rPr>
  </w:style>
  <w:style w:type="paragraph" w:customStyle="1" w:styleId="1517">
    <w:name w:val="发文文号"/>
    <w:basedOn w:val="1"/>
    <w:qFormat/>
    <w:uiPriority w:val="0"/>
    <w:pPr>
      <w:jc w:val="left"/>
    </w:pPr>
    <w:rPr>
      <w:rFonts w:ascii="Times New Roman" w:hAnsi="Times New Roman" w:eastAsia="仿宋_GB2312" w:cs="Times New Roman"/>
      <w:sz w:val="32"/>
      <w:szCs w:val="20"/>
    </w:rPr>
  </w:style>
  <w:style w:type="paragraph" w:customStyle="1" w:styleId="1518">
    <w:name w:val="xl45"/>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Arial Unicode MS" w:hAnsi="Arial Unicode MS" w:eastAsia="Arial Unicode MS" w:cs="Times New Roman"/>
      <w:b/>
      <w:bCs/>
      <w:color w:val="000000"/>
      <w:kern w:val="0"/>
    </w:rPr>
  </w:style>
  <w:style w:type="paragraph" w:customStyle="1" w:styleId="1519">
    <w:name w:val="xl20"/>
    <w:basedOn w:val="1"/>
    <w:qFormat/>
    <w:uiPriority w:val="0"/>
    <w:pPr>
      <w:widowControl/>
      <w:pBdr>
        <w:top w:val="single" w:color="000000" w:sz="4" w:space="0"/>
        <w:left w:val="single" w:color="000000" w:sz="4" w:space="0"/>
        <w:bottom w:val="single" w:color="000000" w:sz="4" w:space="0"/>
        <w:right w:val="single" w:color="000000" w:sz="4" w:space="0"/>
      </w:pBdr>
      <w:spacing w:beforeAutospacing="1" w:after="100" w:afterAutospacing="1"/>
      <w:jc w:val="left"/>
      <w:textAlignment w:val="center"/>
    </w:pPr>
    <w:rPr>
      <w:rFonts w:ascii="Times New Roman" w:hAnsi="Times New Roman" w:cs="Times New Roman"/>
      <w:kern w:val="0"/>
      <w:sz w:val="20"/>
      <w:szCs w:val="20"/>
    </w:rPr>
  </w:style>
  <w:style w:type="paragraph" w:customStyle="1" w:styleId="1520">
    <w:name w:val="P"/>
    <w:basedOn w:val="1"/>
    <w:qFormat/>
    <w:uiPriority w:val="0"/>
    <w:pPr>
      <w:adjustRightInd w:val="0"/>
      <w:spacing w:line="420" w:lineRule="atLeast"/>
      <w:ind w:firstLine="567"/>
      <w:jc w:val="left"/>
      <w:textAlignment w:val="baseline"/>
    </w:pPr>
    <w:rPr>
      <w:rFonts w:ascii="宋体" w:hAnsi="Times New Roman" w:cs="Times New Roman"/>
      <w:spacing w:val="30"/>
      <w:kern w:val="0"/>
      <w:sz w:val="24"/>
      <w:szCs w:val="20"/>
    </w:rPr>
  </w:style>
  <w:style w:type="paragraph" w:customStyle="1" w:styleId="1521">
    <w:name w:val="题目"/>
    <w:basedOn w:val="3"/>
    <w:next w:val="1"/>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522">
    <w:name w:val="标题11"/>
    <w:basedOn w:val="1"/>
    <w:qFormat/>
    <w:uiPriority w:val="0"/>
    <w:pPr>
      <w:tabs>
        <w:tab w:val="left" w:pos="576"/>
      </w:tabs>
      <w:adjustRightInd w:val="0"/>
      <w:spacing w:line="360" w:lineRule="auto"/>
      <w:ind w:left="576" w:hanging="576"/>
      <w:jc w:val="left"/>
    </w:pPr>
    <w:rPr>
      <w:rFonts w:ascii="Times New Roman" w:hAnsi="Times New Roman" w:cs="Times New Roman"/>
      <w:sz w:val="28"/>
      <w:szCs w:val="20"/>
    </w:rPr>
  </w:style>
  <w:style w:type="paragraph" w:customStyle="1" w:styleId="1523">
    <w:name w:val="图表正文加粗"/>
    <w:next w:val="990"/>
    <w:qFormat/>
    <w:uiPriority w:val="0"/>
    <w:pPr>
      <w:jc w:val="both"/>
    </w:pPr>
    <w:rPr>
      <w:rFonts w:ascii="Times New Roman" w:hAnsi="Times New Roman" w:eastAsia="宋体" w:cs="Times New Roman"/>
      <w:b/>
      <w:szCs w:val="24"/>
      <w:lang w:val="en-US" w:eastAsia="zh-CN" w:bidi="ar-SA"/>
    </w:rPr>
  </w:style>
  <w:style w:type="paragraph" w:customStyle="1" w:styleId="1524">
    <w:name w:val="报告正文"/>
    <w:basedOn w:val="1"/>
    <w:qFormat/>
    <w:uiPriority w:val="0"/>
    <w:pPr>
      <w:spacing w:line="360" w:lineRule="auto"/>
      <w:jc w:val="center"/>
    </w:pPr>
    <w:rPr>
      <w:rFonts w:ascii="Times New Roman" w:hAnsi="Times New Roman" w:cs="Times New Roman"/>
      <w:color w:val="000000"/>
    </w:rPr>
  </w:style>
  <w:style w:type="paragraph" w:customStyle="1" w:styleId="1525">
    <w:name w:val="报告书正文 Char Char"/>
    <w:basedOn w:val="1"/>
    <w:qFormat/>
    <w:uiPriority w:val="0"/>
    <w:pPr>
      <w:spacing w:line="300" w:lineRule="auto"/>
      <w:ind w:firstLine="480" w:firstLineChars="200"/>
      <w:jc w:val="left"/>
    </w:pPr>
    <w:rPr>
      <w:rFonts w:ascii="Times New Roman" w:hAnsi="Times New Roman" w:cs="Times New Roman"/>
      <w:color w:val="000000"/>
      <w:sz w:val="24"/>
      <w:szCs w:val="24"/>
    </w:rPr>
  </w:style>
  <w:style w:type="paragraph" w:customStyle="1" w:styleId="1526">
    <w:name w:val="正文(a)"/>
    <w:basedOn w:val="34"/>
    <w:link w:val="2956"/>
    <w:qFormat/>
    <w:uiPriority w:val="0"/>
    <w:pPr>
      <w:widowControl/>
      <w:tabs>
        <w:tab w:val="left" w:pos="1230"/>
      </w:tabs>
      <w:spacing w:beforeLines="0" w:line="480" w:lineRule="exact"/>
      <w:ind w:left="56" w:firstLine="454"/>
      <w:textAlignment w:val="baseline"/>
    </w:pPr>
    <w:rPr>
      <w:rFonts w:ascii="宋体" w:hAnsi="Calibri" w:eastAsiaTheme="minorEastAsia"/>
      <w:snapToGrid/>
      <w:color w:val="000000"/>
      <w:spacing w:val="20"/>
      <w:kern w:val="24"/>
      <w:sz w:val="26"/>
      <w:szCs w:val="20"/>
      <w:u w:color="000000"/>
    </w:rPr>
  </w:style>
  <w:style w:type="paragraph" w:customStyle="1" w:styleId="1527">
    <w:name w:val="1.1.1.1.1"/>
    <w:basedOn w:val="1"/>
    <w:qFormat/>
    <w:uiPriority w:val="0"/>
    <w:pPr>
      <w:ind w:firstLine="482" w:firstLineChars="200"/>
      <w:jc w:val="left"/>
      <w:outlineLvl w:val="4"/>
    </w:pPr>
    <w:rPr>
      <w:rFonts w:ascii="Times New Roman" w:hAnsi="Times New Roman" w:cs="Times New Roman"/>
      <w:b/>
      <w:sz w:val="24"/>
      <w:szCs w:val="24"/>
    </w:rPr>
  </w:style>
  <w:style w:type="paragraph" w:customStyle="1" w:styleId="1528">
    <w:name w:val="样式 样式 样式 首行缩进:  2 字符 + 首行缩进:  2 字符7 + 首行缩进:  2 字符"/>
    <w:qFormat/>
    <w:uiPriority w:val="0"/>
    <w:pPr>
      <w:ind w:firstLine="600"/>
    </w:pPr>
    <w:rPr>
      <w:rFonts w:ascii="Times New Roman" w:hAnsi="Times New Roman" w:eastAsia="宋体" w:cs="Times New Roman"/>
      <w:spacing w:val="26"/>
      <w:szCs w:val="28"/>
      <w:lang w:val="en-US" w:eastAsia="zh-CN" w:bidi="ar-SA"/>
    </w:rPr>
  </w:style>
  <w:style w:type="paragraph" w:customStyle="1" w:styleId="1529">
    <w:name w:val="样式 样式 首行缩进:  2 字符 + 首行缩进:  2 字符7"/>
    <w:basedOn w:val="448"/>
    <w:qFormat/>
    <w:uiPriority w:val="0"/>
    <w:pPr>
      <w:widowControl/>
      <w:adjustRightInd w:val="0"/>
      <w:snapToGrid w:val="0"/>
      <w:spacing w:line="520" w:lineRule="exact"/>
      <w:ind w:firstLine="200"/>
      <w:textAlignment w:val="baseline"/>
    </w:pPr>
    <w:rPr>
      <w:rFonts w:cs="宋体"/>
      <w:snapToGrid w:val="0"/>
      <w:color w:val="000000"/>
      <w:kern w:val="0"/>
      <w:sz w:val="28"/>
      <w:u w:color="000000"/>
    </w:rPr>
  </w:style>
  <w:style w:type="paragraph" w:customStyle="1" w:styleId="1530">
    <w:name w:val="样式 样式 样式 首行缩进:  2 字符 + 首行缩进:  2 字符 + 首行缩进:  2 字符"/>
    <w:basedOn w:val="1"/>
    <w:qFormat/>
    <w:uiPriority w:val="0"/>
    <w:pPr>
      <w:widowControl/>
      <w:adjustRightInd w:val="0"/>
      <w:ind w:firstLine="200" w:firstLineChars="200"/>
      <w:jc w:val="left"/>
      <w:textAlignment w:val="baseline"/>
    </w:pPr>
    <w:rPr>
      <w:rFonts w:ascii="Times New Roman" w:hAnsi="Times New Roman" w:cs="宋体"/>
      <w:snapToGrid w:val="0"/>
      <w:color w:val="000000"/>
      <w:kern w:val="0"/>
      <w:sz w:val="28"/>
      <w:szCs w:val="24"/>
      <w:u w:color="000000"/>
    </w:rPr>
  </w:style>
  <w:style w:type="paragraph" w:customStyle="1" w:styleId="1531">
    <w:name w:val="样式 正文编号（1） +2"/>
    <w:basedOn w:val="1"/>
    <w:qFormat/>
    <w:uiPriority w:val="0"/>
    <w:pPr>
      <w:widowControl/>
      <w:tabs>
        <w:tab w:val="left" w:pos="572"/>
      </w:tabs>
      <w:adjustRightInd w:val="0"/>
      <w:spacing w:line="520" w:lineRule="exact"/>
      <w:ind w:firstLine="200" w:firstLineChars="200"/>
      <w:jc w:val="left"/>
      <w:textAlignment w:val="baseline"/>
    </w:pPr>
    <w:rPr>
      <w:rFonts w:ascii="Times New Roman" w:hAnsi="Times New Roman" w:cs="Times New Roman"/>
      <w:snapToGrid w:val="0"/>
      <w:color w:val="000000"/>
      <w:kern w:val="0"/>
      <w:sz w:val="28"/>
      <w:szCs w:val="24"/>
      <w:u w:color="000000"/>
    </w:rPr>
  </w:style>
  <w:style w:type="paragraph" w:customStyle="1" w:styleId="1532">
    <w:name w:val="样式 样式6 + (中文) 华文中宋 五号 行距: 固定值 15 磅"/>
    <w:basedOn w:val="655"/>
    <w:qFormat/>
    <w:uiPriority w:val="0"/>
    <w:pPr>
      <w:keepNext w:val="0"/>
      <w:keepLines w:val="0"/>
      <w:adjustRightInd w:val="0"/>
      <w:snapToGrid w:val="0"/>
      <w:spacing w:beforeLines="0"/>
      <w:ind w:firstLine="0" w:firstLineChars="0"/>
      <w:jc w:val="center"/>
      <w:outlineLvl w:val="9"/>
    </w:pPr>
    <w:rPr>
      <w:rFonts w:ascii="宋体" w:hAnsi="宋体"/>
      <w:bCs w:val="0"/>
      <w:sz w:val="18"/>
      <w:szCs w:val="18"/>
    </w:rPr>
  </w:style>
  <w:style w:type="paragraph" w:customStyle="1" w:styleId="1533">
    <w:name w:val="样式 小表文居中 +"/>
    <w:qFormat/>
    <w:uiPriority w:val="0"/>
    <w:pPr>
      <w:snapToGrid w:val="0"/>
    </w:pPr>
    <w:rPr>
      <w:rFonts w:ascii="Times New Roman" w:hAnsi="Times New Roman" w:eastAsia="宋体" w:cs="Times New Roman"/>
      <w:snapToGrid w:val="0"/>
      <w:lang w:val="en-US" w:eastAsia="zh-CN" w:bidi="ar-SA"/>
    </w:rPr>
  </w:style>
  <w:style w:type="paragraph" w:customStyle="1" w:styleId="1534">
    <w:name w:val="小表文居中"/>
    <w:qFormat/>
    <w:uiPriority w:val="0"/>
    <w:pPr>
      <w:jc w:val="center"/>
    </w:pPr>
    <w:rPr>
      <w:rFonts w:ascii="Times New Roman" w:hAnsi="Times New Roman" w:eastAsia="宋体" w:cs="Times New Roman"/>
      <w:lang w:val="en-US" w:eastAsia="zh-CN" w:bidi="ar-SA"/>
    </w:rPr>
  </w:style>
  <w:style w:type="paragraph" w:customStyle="1" w:styleId="1535">
    <w:name w:val="小表文"/>
    <w:basedOn w:val="1"/>
    <w:qFormat/>
    <w:uiPriority w:val="0"/>
    <w:pPr>
      <w:autoSpaceDE w:val="0"/>
      <w:autoSpaceDN w:val="0"/>
      <w:adjustRightInd w:val="0"/>
      <w:spacing w:line="312" w:lineRule="auto"/>
      <w:ind w:firstLine="482"/>
      <w:jc w:val="left"/>
      <w:textAlignment w:val="baseline"/>
    </w:pPr>
    <w:rPr>
      <w:rFonts w:ascii="Times New Roman" w:hAnsi="Times New Roman" w:cs="Times New Roman"/>
      <w:kern w:val="0"/>
      <w:sz w:val="18"/>
      <w:szCs w:val="20"/>
    </w:rPr>
  </w:style>
  <w:style w:type="paragraph" w:customStyle="1" w:styleId="1536">
    <w:name w:val="8.1.1b Char Char Char Char Char Char Char"/>
    <w:next w:val="1"/>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paragraph" w:customStyle="1" w:styleId="1537">
    <w:name w:val="表头6"/>
    <w:qFormat/>
    <w:uiPriority w:val="0"/>
    <w:pPr>
      <w:tabs>
        <w:tab w:val="left" w:pos="720"/>
        <w:tab w:val="left" w:pos="840"/>
        <w:tab w:val="left" w:pos="1080"/>
        <w:tab w:val="left" w:pos="1774"/>
      </w:tabs>
      <w:ind w:left="992" w:hanging="360"/>
    </w:pPr>
    <w:rPr>
      <w:rFonts w:ascii="Times New Roman" w:hAnsi="Times New Roman" w:eastAsia="宋体" w:cs="Times New Roman"/>
      <w:lang w:val="en-US" w:eastAsia="zh-CN" w:bidi="ar-SA"/>
    </w:rPr>
  </w:style>
  <w:style w:type="paragraph" w:customStyle="1" w:styleId="1538">
    <w:name w:val="表头5"/>
    <w:basedOn w:val="1"/>
    <w:qFormat/>
    <w:uiPriority w:val="0"/>
    <w:pPr>
      <w:tabs>
        <w:tab w:val="left" w:pos="1080"/>
      </w:tabs>
      <w:adjustRightInd w:val="0"/>
      <w:spacing w:beforeLines="100" w:afterLines="50" w:line="240" w:lineRule="atLeast"/>
      <w:ind w:left="950" w:leftChars="250" w:hanging="425"/>
      <w:jc w:val="left"/>
    </w:pPr>
    <w:rPr>
      <w:rFonts w:ascii="Times New Roman" w:hAnsi="Times New Roman" w:cs="Times New Roman"/>
      <w:b/>
      <w:sz w:val="24"/>
      <w:szCs w:val="24"/>
    </w:rPr>
  </w:style>
  <w:style w:type="paragraph" w:customStyle="1" w:styleId="1539">
    <w:name w:val="xl44"/>
    <w:basedOn w:val="1"/>
    <w:qFormat/>
    <w:uiPriority w:val="0"/>
    <w:pPr>
      <w:widowControl/>
      <w:pBdr>
        <w:right w:val="single" w:color="auto" w:sz="12" w:space="0"/>
      </w:pBdr>
      <w:spacing w:beforeAutospacing="1" w:after="100" w:afterAutospacing="1"/>
      <w:jc w:val="left"/>
    </w:pPr>
    <w:rPr>
      <w:rFonts w:ascii="Arial Unicode MS" w:hAnsi="Arial Unicode MS" w:eastAsia="Arial Unicode MS" w:cs="Times New Roman"/>
      <w:color w:val="000000"/>
      <w:kern w:val="0"/>
    </w:rPr>
  </w:style>
  <w:style w:type="paragraph" w:customStyle="1" w:styleId="1540">
    <w:name w:val="样式 正文编号（1） + Char"/>
    <w:basedOn w:val="1"/>
    <w:qFormat/>
    <w:uiPriority w:val="0"/>
    <w:pPr>
      <w:widowControl/>
      <w:tabs>
        <w:tab w:val="left" w:pos="572"/>
        <w:tab w:val="left" w:pos="1982"/>
      </w:tabs>
      <w:spacing w:line="520" w:lineRule="exact"/>
      <w:ind w:left="808" w:firstLine="454" w:firstLineChars="200"/>
      <w:jc w:val="left"/>
      <w:textAlignment w:val="baseline"/>
    </w:pPr>
    <w:rPr>
      <w:rFonts w:ascii="Times New Roman" w:hAnsi="Times New Roman" w:cs="Times New Roman"/>
      <w:color w:val="000000"/>
      <w:kern w:val="0"/>
      <w:sz w:val="28"/>
      <w:szCs w:val="20"/>
      <w:u w:color="000000"/>
    </w:rPr>
  </w:style>
  <w:style w:type="character" w:customStyle="1" w:styleId="1541">
    <w:name w:val="信息标题 Char1"/>
    <w:semiHidden/>
    <w:qFormat/>
    <w:uiPriority w:val="0"/>
    <w:rPr>
      <w:rFonts w:ascii="Cambria" w:hAnsi="Cambria" w:eastAsia="宋体" w:cs="Times New Roman"/>
      <w:kern w:val="2"/>
      <w:sz w:val="24"/>
      <w:szCs w:val="24"/>
      <w:shd w:val="pct20" w:color="auto" w:fill="auto"/>
    </w:rPr>
  </w:style>
  <w:style w:type="character" w:customStyle="1" w:styleId="1542">
    <w:name w:val="称呼 Char1"/>
    <w:semiHidden/>
    <w:qFormat/>
    <w:uiPriority w:val="0"/>
    <w:rPr>
      <w:rFonts w:ascii="Times New Roman" w:hAnsi="Times New Roman"/>
      <w:kern w:val="2"/>
      <w:sz w:val="26"/>
      <w:szCs w:val="22"/>
    </w:rPr>
  </w:style>
  <w:style w:type="character" w:customStyle="1" w:styleId="1543">
    <w:name w:val="电子邮件签名 Char1"/>
    <w:semiHidden/>
    <w:qFormat/>
    <w:uiPriority w:val="0"/>
    <w:rPr>
      <w:rFonts w:ascii="Times New Roman" w:hAnsi="Times New Roman"/>
      <w:kern w:val="2"/>
      <w:sz w:val="26"/>
      <w:szCs w:val="22"/>
    </w:rPr>
  </w:style>
  <w:style w:type="paragraph" w:customStyle="1" w:styleId="1544">
    <w:name w:val="表格正文 Char Char Char Char"/>
    <w:basedOn w:val="1"/>
    <w:qFormat/>
    <w:uiPriority w:val="0"/>
    <w:pPr>
      <w:jc w:val="left"/>
    </w:pPr>
    <w:rPr>
      <w:rFonts w:ascii="Times New Roman" w:hAnsi="Times New Roman" w:cs="Times New Roman"/>
      <w:szCs w:val="20"/>
    </w:rPr>
  </w:style>
  <w:style w:type="paragraph" w:customStyle="1" w:styleId="1545">
    <w:name w:val="标题3（自定义）"/>
    <w:basedOn w:val="1"/>
    <w:qFormat/>
    <w:uiPriority w:val="0"/>
    <w:pPr>
      <w:keepNext/>
      <w:keepLines/>
      <w:widowControl/>
      <w:spacing w:beforeLines="100" w:afterLines="100" w:line="360" w:lineRule="auto"/>
      <w:ind w:firstLine="200" w:firstLineChars="200"/>
      <w:jc w:val="left"/>
      <w:outlineLvl w:val="2"/>
    </w:pPr>
    <w:rPr>
      <w:rFonts w:ascii="Century Gothic" w:hAnsi="Century Gothic" w:eastAsia="黑体" w:cs="Times New Roman"/>
      <w:b/>
      <w:kern w:val="0"/>
      <w:sz w:val="24"/>
      <w:szCs w:val="24"/>
    </w:rPr>
  </w:style>
  <w:style w:type="paragraph" w:customStyle="1" w:styleId="1546">
    <w:name w:val="正文缩进（自定义）"/>
    <w:basedOn w:val="1"/>
    <w:qFormat/>
    <w:uiPriority w:val="0"/>
    <w:pPr>
      <w:spacing w:after="120" w:line="360" w:lineRule="auto"/>
      <w:ind w:firstLine="480" w:firstLineChars="200"/>
      <w:jc w:val="left"/>
    </w:pPr>
    <w:rPr>
      <w:rFonts w:ascii="Century Gothic" w:hAnsi="Century Gothic" w:cs="Times New Roman"/>
      <w:kern w:val="0"/>
      <w:sz w:val="24"/>
      <w:szCs w:val="24"/>
    </w:rPr>
  </w:style>
  <w:style w:type="paragraph" w:customStyle="1" w:styleId="1547">
    <w:name w:val="Char Char Char Char Char Char Char Char Char Char Char Char Char Char Char Char Char Char1 Char Char Char Char"/>
    <w:basedOn w:val="1"/>
    <w:qFormat/>
    <w:uiPriority w:val="0"/>
    <w:pPr>
      <w:jc w:val="left"/>
    </w:pPr>
    <w:rPr>
      <w:rFonts w:ascii="Times New Roman" w:hAnsi="Times New Roman" w:cs="Times New Roman"/>
      <w:szCs w:val="24"/>
    </w:rPr>
  </w:style>
  <w:style w:type="paragraph" w:customStyle="1" w:styleId="1548">
    <w:name w:val="Char Char Char Char Char Char Char Char1 Char Char Char Char"/>
    <w:basedOn w:val="1"/>
    <w:qFormat/>
    <w:uiPriority w:val="0"/>
    <w:pPr>
      <w:jc w:val="left"/>
    </w:pPr>
    <w:rPr>
      <w:rFonts w:ascii="Times New Roman" w:hAnsi="Times New Roman" w:cs="Times New Roman"/>
      <w:szCs w:val="24"/>
    </w:rPr>
  </w:style>
  <w:style w:type="paragraph" w:customStyle="1" w:styleId="1549">
    <w:name w:val="样式 样式 标题 2 + Times New Roman 段前: 12 磅 段后: 0 磅 + 段后: 0.5 行"/>
    <w:qFormat/>
    <w:uiPriority w:val="0"/>
    <w:pPr>
      <w:adjustRightInd w:val="0"/>
      <w:spacing w:before="240" w:afterLines="50" w:line="300" w:lineRule="auto"/>
      <w:textAlignment w:val="baseline"/>
    </w:pPr>
    <w:rPr>
      <w:rFonts w:ascii="Times New Roman" w:hAnsi="Times New Roman" w:eastAsia="黑体" w:cs="宋体"/>
      <w:lang w:val="en-US" w:eastAsia="zh-CN" w:bidi="ar-SA"/>
    </w:rPr>
  </w:style>
  <w:style w:type="paragraph" w:customStyle="1" w:styleId="1550">
    <w:name w:val="样式 标题 2 + Times New Roman 段前: 12 磅 段后: 0 磅"/>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551">
    <w:name w:val="w正文"/>
    <w:basedOn w:val="1"/>
    <w:qFormat/>
    <w:uiPriority w:val="0"/>
    <w:pPr>
      <w:spacing w:line="360" w:lineRule="auto"/>
      <w:ind w:firstLine="496" w:firstLineChars="200"/>
      <w:jc w:val="left"/>
    </w:pPr>
    <w:rPr>
      <w:rFonts w:ascii="Times New Roman" w:hAnsi="Times New Roman" w:cs="Times New Roman"/>
      <w:spacing w:val="4"/>
      <w:sz w:val="24"/>
      <w:szCs w:val="20"/>
    </w:rPr>
  </w:style>
  <w:style w:type="paragraph" w:customStyle="1" w:styleId="1552">
    <w:name w:val="报告书正文 Char Char Char Char Char Char Char Char Char Char Char Char Char"/>
    <w:basedOn w:val="1"/>
    <w:qFormat/>
    <w:uiPriority w:val="0"/>
    <w:pPr>
      <w:spacing w:line="300" w:lineRule="auto"/>
      <w:ind w:firstLine="480" w:firstLineChars="200"/>
      <w:jc w:val="left"/>
    </w:pPr>
    <w:rPr>
      <w:rFonts w:ascii="Times New Roman" w:hAnsi="Times New Roman" w:cs="Times New Roman"/>
      <w:color w:val="000000"/>
      <w:sz w:val="24"/>
      <w:szCs w:val="24"/>
    </w:rPr>
  </w:style>
  <w:style w:type="paragraph" w:customStyle="1" w:styleId="1553">
    <w:name w:val="BG5"/>
    <w:basedOn w:val="1"/>
    <w:qFormat/>
    <w:uiPriority w:val="0"/>
    <w:pPr>
      <w:autoSpaceDE w:val="0"/>
      <w:autoSpaceDN w:val="0"/>
      <w:adjustRightInd w:val="0"/>
      <w:spacing w:line="200" w:lineRule="atLeast"/>
      <w:jc w:val="center"/>
    </w:pPr>
    <w:rPr>
      <w:rFonts w:hint="eastAsia" w:ascii="@宋体" w:hAnsi="Times New Roman" w:cs="Times New Roman"/>
      <w:kern w:val="0"/>
      <w:szCs w:val="20"/>
    </w:rPr>
  </w:style>
  <w:style w:type="paragraph" w:customStyle="1" w:styleId="1554">
    <w:name w:val="图"/>
    <w:basedOn w:val="1"/>
    <w:qFormat/>
    <w:uiPriority w:val="0"/>
    <w:pPr>
      <w:spacing w:after="240"/>
      <w:jc w:val="center"/>
      <w:outlineLvl w:val="0"/>
    </w:pPr>
    <w:rPr>
      <w:rFonts w:ascii="Times New Roman" w:hAnsi="Times New Roman" w:cs="Times New Roman"/>
      <w:sz w:val="36"/>
      <w:szCs w:val="30"/>
    </w:rPr>
  </w:style>
  <w:style w:type="paragraph" w:customStyle="1" w:styleId="1555">
    <w:name w:val="样式 标题 2 + 段前: 0.5 行 段后: 0.5 行"/>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556">
    <w:name w:val="生物中文名"/>
    <w:basedOn w:val="1"/>
    <w:qFormat/>
    <w:uiPriority w:val="0"/>
    <w:pPr>
      <w:tabs>
        <w:tab w:val="left" w:pos="-120"/>
      </w:tabs>
      <w:overflowPunct w:val="0"/>
      <w:topLinePunct/>
      <w:autoSpaceDE w:val="0"/>
      <w:adjustRightInd w:val="0"/>
      <w:spacing w:afterLines="50" w:line="0" w:lineRule="atLeast"/>
      <w:ind w:firstLine="454"/>
      <w:jc w:val="left"/>
    </w:pPr>
    <w:rPr>
      <w:rFonts w:ascii="Times New Roman" w:hAnsi="Times New Roman" w:cs="Times New Roman"/>
      <w:spacing w:val="20"/>
      <w:sz w:val="24"/>
      <w:szCs w:val="20"/>
    </w:rPr>
  </w:style>
  <w:style w:type="paragraph" w:customStyle="1" w:styleId="1557">
    <w:name w:val="正文A"/>
    <w:qFormat/>
    <w:uiPriority w:val="0"/>
    <w:pPr>
      <w:widowControl w:val="0"/>
      <w:tabs>
        <w:tab w:val="left" w:pos="0"/>
      </w:tabs>
      <w:adjustRightInd w:val="0"/>
      <w:spacing w:line="360" w:lineRule="auto"/>
      <w:ind w:firstLine="200" w:firstLineChars="200"/>
      <w:jc w:val="both"/>
      <w:textAlignment w:val="baseline"/>
    </w:pPr>
    <w:rPr>
      <w:rFonts w:ascii="Times New Roman" w:hAnsi="Times New Roman" w:eastAsia="宋体" w:cs="Times New Roman"/>
      <w:snapToGrid w:val="0"/>
      <w:sz w:val="24"/>
      <w:lang w:val="en-US" w:eastAsia="zh-CN" w:bidi="ar-SA"/>
    </w:rPr>
  </w:style>
  <w:style w:type="paragraph" w:customStyle="1" w:styleId="1558">
    <w:name w:val="样式 表文 Char Char Char + 两端对齐1"/>
    <w:qFormat/>
    <w:uiPriority w:val="0"/>
    <w:pPr>
      <w:jc w:val="both"/>
    </w:pPr>
    <w:rPr>
      <w:rFonts w:ascii="Times New Roman" w:hAnsi="Times New Roman" w:eastAsia="宋体" w:cs="宋体"/>
      <w:lang w:val="en-US" w:eastAsia="zh-CN" w:bidi="ar-SA"/>
    </w:rPr>
  </w:style>
  <w:style w:type="paragraph" w:customStyle="1" w:styleId="1559">
    <w:name w:val="样式 样式 标题 4 + 段前: 0.5 行 段后: 0.5 行 + 段前: 7.8 磅 段后: 7.8 磅"/>
    <w:qFormat/>
    <w:uiPriority w:val="0"/>
    <w:pPr>
      <w:tabs>
        <w:tab w:val="left" w:pos="0"/>
      </w:tabs>
      <w:spacing w:line="440" w:lineRule="exact"/>
    </w:pPr>
    <w:rPr>
      <w:rFonts w:ascii="Times New Roman" w:hAnsi="Times New Roman" w:eastAsia="华文中宋" w:cs="Times New Roman"/>
      <w:lang w:val="en-US" w:eastAsia="zh-CN" w:bidi="ar-SA"/>
    </w:rPr>
  </w:style>
  <w:style w:type="paragraph" w:customStyle="1" w:styleId="1560">
    <w:name w:val="样式 标题 4 + 段前: 0.5 行 段后: 0.5 行"/>
    <w:basedOn w:val="6"/>
    <w:qFormat/>
    <w:uiPriority w:val="0"/>
    <w:pPr>
      <w:tabs>
        <w:tab w:val="left" w:pos="0"/>
      </w:tabs>
      <w:ind w:left="864" w:hanging="144"/>
      <w:jc w:val="both"/>
    </w:pPr>
    <w:rPr>
      <w:rFonts w:ascii="Arial" w:hAnsi="Arial" w:cs="Times New Roman" w:eastAsiaTheme="minorEastAsia"/>
      <w:bCs w:val="0"/>
      <w:i/>
    </w:rPr>
  </w:style>
  <w:style w:type="paragraph" w:customStyle="1" w:styleId="1561">
    <w:name w:val="小四号表"/>
    <w:basedOn w:val="1"/>
    <w:qFormat/>
    <w:uiPriority w:val="0"/>
    <w:pPr>
      <w:widowControl/>
      <w:spacing w:line="360" w:lineRule="auto"/>
      <w:jc w:val="center"/>
      <w:textAlignment w:val="baseline"/>
    </w:pPr>
    <w:rPr>
      <w:rFonts w:ascii="宋体" w:hAnsi="宋体" w:cs="宋体"/>
      <w:color w:val="000000"/>
      <w:kern w:val="0"/>
      <w:sz w:val="24"/>
      <w:szCs w:val="20"/>
      <w:u w:color="000000"/>
    </w:rPr>
  </w:style>
  <w:style w:type="paragraph" w:customStyle="1" w:styleId="1562">
    <w:name w:val="Char Char13 Char Char Char Char Char"/>
    <w:basedOn w:val="1"/>
    <w:next w:val="929"/>
    <w:qFormat/>
    <w:uiPriority w:val="0"/>
    <w:pPr>
      <w:spacing w:line="480" w:lineRule="atLeast"/>
      <w:ind w:firstLine="200" w:firstLineChars="200"/>
      <w:jc w:val="left"/>
      <w:outlineLvl w:val="3"/>
    </w:pPr>
    <w:rPr>
      <w:rFonts w:ascii="宋体" w:hAnsi="宋体" w:eastAsia="Times New Roman" w:cs="宋体"/>
      <w:sz w:val="24"/>
      <w:szCs w:val="24"/>
    </w:rPr>
  </w:style>
  <w:style w:type="paragraph" w:customStyle="1" w:styleId="1563">
    <w:name w:val="p3"/>
    <w:basedOn w:val="1"/>
    <w:qFormat/>
    <w:uiPriority w:val="0"/>
    <w:pPr>
      <w:widowControl/>
      <w:adjustRightInd w:val="0"/>
      <w:spacing w:beforeAutospacing="1" w:after="100" w:afterAutospacing="1" w:line="312" w:lineRule="atLeast"/>
      <w:jc w:val="left"/>
      <w:textAlignment w:val="baseline"/>
    </w:pPr>
    <w:rPr>
      <w:rFonts w:hint="eastAsia" w:ascii="宋体" w:hAnsi="宋体" w:cs="Times New Roman"/>
      <w:color w:val="039F4B"/>
      <w:kern w:val="0"/>
      <w:sz w:val="24"/>
      <w:szCs w:val="20"/>
    </w:rPr>
  </w:style>
  <w:style w:type="paragraph" w:customStyle="1" w:styleId="1564">
    <w:name w:val="表格后空行"/>
    <w:basedOn w:val="1"/>
    <w:next w:val="1"/>
    <w:qFormat/>
    <w:uiPriority w:val="0"/>
    <w:pPr>
      <w:adjustRightInd w:val="0"/>
      <w:spacing w:line="240" w:lineRule="atLeast"/>
      <w:jc w:val="left"/>
    </w:pPr>
    <w:rPr>
      <w:rFonts w:ascii="Garamond" w:hAnsi="Garamond" w:cs="Times New Roman"/>
      <w:spacing w:val="2"/>
      <w:sz w:val="18"/>
      <w:szCs w:val="20"/>
    </w:rPr>
  </w:style>
  <w:style w:type="paragraph" w:customStyle="1" w:styleId="1565">
    <w:name w:val="7"/>
    <w:basedOn w:val="1"/>
    <w:next w:val="45"/>
    <w:qFormat/>
    <w:uiPriority w:val="0"/>
    <w:pPr>
      <w:jc w:val="left"/>
    </w:pPr>
    <w:rPr>
      <w:rFonts w:ascii="宋体" w:hAnsi="Courier New" w:cs="Times New Roman"/>
      <w:szCs w:val="20"/>
    </w:rPr>
  </w:style>
  <w:style w:type="paragraph" w:customStyle="1" w:styleId="1566">
    <w:name w:val="文章总标题"/>
    <w:basedOn w:val="1"/>
    <w:qFormat/>
    <w:uiPriority w:val="0"/>
    <w:pPr>
      <w:widowControl/>
      <w:spacing w:after="544" w:line="566" w:lineRule="atLeast"/>
      <w:jc w:val="center"/>
      <w:textAlignment w:val="baseline"/>
    </w:pPr>
    <w:rPr>
      <w:rFonts w:ascii="Arial" w:hAnsi="Times New Roman" w:eastAsia="黑体" w:cs="Times New Roman"/>
      <w:color w:val="000000"/>
      <w:kern w:val="0"/>
      <w:sz w:val="54"/>
      <w:szCs w:val="20"/>
      <w:u w:color="000000"/>
    </w:rPr>
  </w:style>
  <w:style w:type="paragraph" w:customStyle="1" w:styleId="1567">
    <w:name w:val="文章副标题"/>
    <w:basedOn w:val="1"/>
    <w:next w:val="3"/>
    <w:qFormat/>
    <w:uiPriority w:val="0"/>
    <w:pPr>
      <w:widowControl/>
      <w:spacing w:after="175" w:line="374" w:lineRule="atLeast"/>
      <w:jc w:val="center"/>
      <w:textAlignment w:val="baseline"/>
    </w:pPr>
    <w:rPr>
      <w:rFonts w:ascii="Times New Roman" w:hAnsi="Times New Roman" w:cs="Times New Roman"/>
      <w:color w:val="000000"/>
      <w:kern w:val="0"/>
      <w:sz w:val="36"/>
      <w:szCs w:val="20"/>
      <w:u w:color="000000"/>
    </w:rPr>
  </w:style>
  <w:style w:type="paragraph" w:customStyle="1" w:styleId="1568">
    <w:name w:val="样式 标题 1 + 行距: 多倍行距 2.5 字行"/>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569">
    <w:name w:val="表格文字居中"/>
    <w:qFormat/>
    <w:uiPriority w:val="0"/>
    <w:pPr>
      <w:adjustRightInd w:val="0"/>
      <w:snapToGrid w:val="0"/>
      <w:spacing w:beforeLines="10" w:afterLines="10"/>
      <w:jc w:val="center"/>
    </w:pPr>
    <w:rPr>
      <w:rFonts w:ascii="宋体" w:hAnsi="宋体" w:eastAsia="宋体" w:cs="Times New Roman"/>
      <w:sz w:val="24"/>
      <w:lang w:val="en-US" w:eastAsia="zh-CN" w:bidi="ar-SA"/>
    </w:rPr>
  </w:style>
  <w:style w:type="paragraph" w:customStyle="1" w:styleId="1570">
    <w:name w:val="样式 小四 段前: 7.8 磅 段后: 7.8 磅 行距: 1.5 倍行距"/>
    <w:basedOn w:val="1"/>
    <w:qFormat/>
    <w:uiPriority w:val="0"/>
    <w:pPr>
      <w:spacing w:line="360" w:lineRule="auto"/>
      <w:ind w:firstLine="480" w:firstLineChars="200"/>
      <w:jc w:val="left"/>
    </w:pPr>
    <w:rPr>
      <w:rFonts w:ascii="Times New Roman" w:hAnsi="Times New Roman" w:cs="Times New Roman"/>
      <w:sz w:val="24"/>
      <w:szCs w:val="24"/>
    </w:rPr>
  </w:style>
  <w:style w:type="character" w:customStyle="1" w:styleId="1571">
    <w:name w:val="结束语 Char1"/>
    <w:semiHidden/>
    <w:qFormat/>
    <w:uiPriority w:val="0"/>
    <w:rPr>
      <w:rFonts w:ascii="Times New Roman" w:hAnsi="Times New Roman"/>
      <w:kern w:val="2"/>
      <w:sz w:val="26"/>
      <w:szCs w:val="22"/>
    </w:rPr>
  </w:style>
  <w:style w:type="paragraph" w:customStyle="1" w:styleId="1572">
    <w:name w:val="样式 表格名称 + 蓝色"/>
    <w:basedOn w:val="348"/>
    <w:link w:val="2658"/>
    <w:qFormat/>
    <w:uiPriority w:val="0"/>
    <w:pPr>
      <w:tabs>
        <w:tab w:val="left" w:pos="-24"/>
      </w:tabs>
      <w:spacing w:beforeLines="0" w:after="0" w:afterAutospacing="0" w:line="500" w:lineRule="exact"/>
      <w:contextualSpacing w:val="0"/>
      <w:textAlignment w:val="baseline"/>
      <w:outlineLvl w:val="4"/>
    </w:pPr>
    <w:rPr>
      <w:rFonts w:ascii="宋体" w:hAnsi="宋体" w:cs="Times New Roman"/>
      <w:color w:val="0000FF"/>
      <w:sz w:val="26"/>
      <w:szCs w:val="20"/>
      <w:u w:color="000000"/>
    </w:rPr>
  </w:style>
  <w:style w:type="paragraph" w:customStyle="1" w:styleId="1573">
    <w:name w:val="表格标题 Char Char Char"/>
    <w:basedOn w:val="1"/>
    <w:qFormat/>
    <w:uiPriority w:val="0"/>
    <w:pPr>
      <w:adjustRightInd w:val="0"/>
      <w:spacing w:line="360" w:lineRule="auto"/>
      <w:jc w:val="center"/>
    </w:pPr>
    <w:rPr>
      <w:rFonts w:ascii="Times New Roman" w:hAnsi="Times New Roman" w:eastAsia="黑体" w:cs="Times New Roman"/>
      <w:sz w:val="24"/>
      <w:szCs w:val="24"/>
    </w:rPr>
  </w:style>
  <w:style w:type="paragraph" w:customStyle="1" w:styleId="1574">
    <w:name w:val="Char Char Char Char Zchn Zchn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paragraph" w:customStyle="1" w:styleId="1575">
    <w:name w:val="样式 报告 + 首行缩进:  2 字符"/>
    <w:basedOn w:val="1"/>
    <w:qFormat/>
    <w:uiPriority w:val="0"/>
    <w:pPr>
      <w:adjustRightInd w:val="0"/>
      <w:spacing w:line="360" w:lineRule="auto"/>
      <w:ind w:firstLine="480" w:firstLineChars="200"/>
      <w:jc w:val="left"/>
    </w:pPr>
    <w:rPr>
      <w:rFonts w:ascii="宋体" w:hAnsi="宋体" w:cs="Times New Roman"/>
      <w:sz w:val="24"/>
      <w:szCs w:val="20"/>
    </w:rPr>
  </w:style>
  <w:style w:type="paragraph" w:customStyle="1" w:styleId="1576">
    <w:name w:val="样式46"/>
    <w:basedOn w:val="1"/>
    <w:qFormat/>
    <w:uiPriority w:val="0"/>
    <w:pPr>
      <w:jc w:val="center"/>
      <w:outlineLvl w:val="0"/>
    </w:pPr>
    <w:rPr>
      <w:rFonts w:ascii="Times New Roman" w:hAnsi="Times New Roman" w:eastAsia="黑体" w:cs="Times New Roman"/>
      <w:color w:val="000000"/>
      <w:sz w:val="24"/>
      <w:szCs w:val="24"/>
    </w:rPr>
  </w:style>
  <w:style w:type="paragraph" w:customStyle="1" w:styleId="1577">
    <w:name w:val="xl18"/>
    <w:basedOn w:val="1"/>
    <w:qFormat/>
    <w:uiPriority w:val="0"/>
    <w:pPr>
      <w:widowControl/>
      <w:pBdr>
        <w:top w:val="single" w:color="000000" w:sz="4" w:space="0"/>
        <w:left w:val="single" w:color="000000" w:sz="4" w:space="0"/>
        <w:bottom w:val="single" w:color="000000" w:sz="4" w:space="0"/>
        <w:right w:val="single" w:color="000000" w:sz="4" w:space="0"/>
      </w:pBdr>
      <w:spacing w:beforeAutospacing="1" w:after="100" w:afterAutospacing="1"/>
      <w:jc w:val="center"/>
      <w:textAlignment w:val="center"/>
    </w:pPr>
    <w:rPr>
      <w:rFonts w:ascii="楷体_GB2312" w:hAnsi="宋体" w:eastAsia="楷体_GB2312" w:cs="宋体"/>
      <w:kern w:val="0"/>
      <w:sz w:val="20"/>
      <w:szCs w:val="20"/>
    </w:rPr>
  </w:style>
  <w:style w:type="paragraph" w:customStyle="1" w:styleId="1578">
    <w:name w:val="HZZH正文"/>
    <w:basedOn w:val="1"/>
    <w:qFormat/>
    <w:uiPriority w:val="0"/>
    <w:pPr>
      <w:spacing w:line="500" w:lineRule="exact"/>
      <w:ind w:firstLine="480" w:firstLineChars="200"/>
      <w:jc w:val="left"/>
    </w:pPr>
    <w:rPr>
      <w:rFonts w:ascii="Times New Roman" w:hAnsi="Times New Roman" w:cs="Times New Roman"/>
      <w:bCs/>
      <w:color w:val="0000FF"/>
      <w:sz w:val="24"/>
      <w:szCs w:val="20"/>
    </w:rPr>
  </w:style>
  <w:style w:type="paragraph" w:customStyle="1" w:styleId="1579">
    <w:name w:val="Char Char Char Char Char Char1 Char Char Char Char Char Char Char Char Char Char Char Char Char"/>
    <w:basedOn w:val="1"/>
    <w:qFormat/>
    <w:uiPriority w:val="0"/>
    <w:pPr>
      <w:spacing w:line="360" w:lineRule="auto"/>
      <w:ind w:firstLine="200" w:firstLineChars="200"/>
      <w:jc w:val="left"/>
      <w:textAlignment w:val="baseline"/>
    </w:pPr>
    <w:rPr>
      <w:rFonts w:hint="eastAsia" w:ascii="宋体" w:hAnsi="宋体" w:cs="Times New Roman"/>
      <w:kern w:val="0"/>
      <w:sz w:val="24"/>
      <w:szCs w:val="20"/>
    </w:rPr>
  </w:style>
  <w:style w:type="paragraph" w:customStyle="1" w:styleId="1580">
    <w:name w:val="xl162"/>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Autospacing="1" w:after="100" w:afterAutospacing="1"/>
      <w:jc w:val="left"/>
    </w:pPr>
    <w:rPr>
      <w:rFonts w:ascii="宋体" w:hAnsi="宋体" w:cs="宋体"/>
      <w:kern w:val="0"/>
      <w:sz w:val="22"/>
    </w:rPr>
  </w:style>
  <w:style w:type="paragraph" w:customStyle="1" w:styleId="1581">
    <w:name w:val="图片名称"/>
    <w:qFormat/>
    <w:uiPriority w:val="0"/>
    <w:rPr>
      <w:rFonts w:ascii="Times New Roman" w:hAnsi="Times New Roman" w:eastAsia="宋体" w:cs="Times New Roman"/>
      <w:szCs w:val="21"/>
      <w:lang w:val="en-US" w:eastAsia="zh-CN" w:bidi="ar-SA"/>
    </w:rPr>
  </w:style>
  <w:style w:type="paragraph" w:customStyle="1" w:styleId="1582">
    <w:name w:val="图片"/>
    <w:basedOn w:val="1"/>
    <w:qFormat/>
    <w:uiPriority w:val="0"/>
    <w:pPr>
      <w:wordWrap w:val="0"/>
      <w:topLinePunct/>
      <w:spacing w:beforeLines="50" w:afterLines="50"/>
      <w:ind w:firstLine="400"/>
      <w:jc w:val="center"/>
    </w:pPr>
    <w:rPr>
      <w:rFonts w:ascii="Times New Roman" w:hAnsi="Times New Roman" w:eastAsia="黑体" w:cs="Times New Roman"/>
      <w:b/>
      <w:bCs/>
      <w:kern w:val="0"/>
      <w:sz w:val="24"/>
      <w:szCs w:val="24"/>
      <w:lang w:val="eu-ES"/>
    </w:rPr>
  </w:style>
  <w:style w:type="paragraph" w:customStyle="1" w:styleId="1583">
    <w:name w:val="图表名称"/>
    <w:basedOn w:val="1"/>
    <w:link w:val="3760"/>
    <w:qFormat/>
    <w:uiPriority w:val="0"/>
    <w:pPr>
      <w:spacing w:line="440" w:lineRule="exact"/>
      <w:jc w:val="center"/>
    </w:pPr>
    <w:rPr>
      <w:rFonts w:ascii="Times New Roman" w:hAnsi="Times New Roman" w:eastAsia="黑体" w:cs="Times New Roman"/>
      <w:szCs w:val="20"/>
    </w:rPr>
  </w:style>
  <w:style w:type="paragraph" w:customStyle="1" w:styleId="1584">
    <w:name w:val="表注"/>
    <w:basedOn w:val="1"/>
    <w:link w:val="3006"/>
    <w:qFormat/>
    <w:uiPriority w:val="0"/>
    <w:pPr>
      <w:tabs>
        <w:tab w:val="left" w:pos="425"/>
      </w:tabs>
      <w:overflowPunct w:val="0"/>
      <w:topLinePunct/>
      <w:autoSpaceDE w:val="0"/>
      <w:adjustRightInd w:val="0"/>
      <w:spacing w:afterLines="50" w:line="288" w:lineRule="auto"/>
      <w:ind w:left="425" w:hanging="425"/>
      <w:jc w:val="center"/>
      <w:textAlignment w:val="baseline"/>
    </w:pPr>
    <w:rPr>
      <w:rFonts w:ascii="Times New Roman" w:hAnsi="Times New Roman" w:cs="Times New Roman"/>
      <w:b/>
      <w:spacing w:val="20"/>
      <w:kern w:val="0"/>
      <w:sz w:val="28"/>
      <w:szCs w:val="20"/>
    </w:rPr>
  </w:style>
  <w:style w:type="paragraph" w:customStyle="1" w:styleId="1585">
    <w:name w:val="xl34"/>
    <w:basedOn w:val="1"/>
    <w:qFormat/>
    <w:uiPriority w:val="0"/>
    <w:pPr>
      <w:widowControl/>
      <w:pBdr>
        <w:top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eastAsia="Arial Unicode MS" w:cs="Times New Roman"/>
      <w:kern w:val="0"/>
      <w:sz w:val="24"/>
      <w:szCs w:val="24"/>
    </w:rPr>
  </w:style>
  <w:style w:type="paragraph" w:customStyle="1" w:styleId="1586">
    <w:name w:val="图表头2"/>
    <w:qFormat/>
    <w:uiPriority w:val="0"/>
    <w:pPr>
      <w:spacing w:beforeLines="50" w:line="360" w:lineRule="auto"/>
      <w:ind w:right="42" w:rightChars="20"/>
    </w:pPr>
    <w:rPr>
      <w:rFonts w:ascii="Times New Roman" w:hAnsi="Times New Roman" w:eastAsia="宋体" w:cs="Times New Roman"/>
      <w:iCs/>
      <w:spacing w:val="5"/>
      <w:lang w:val="en-US" w:eastAsia="zh-CN" w:bidi="ar-SA"/>
    </w:rPr>
  </w:style>
  <w:style w:type="paragraph" w:customStyle="1" w:styleId="1587">
    <w:name w:val="图表头"/>
    <w:basedOn w:val="1"/>
    <w:qFormat/>
    <w:uiPriority w:val="0"/>
    <w:pPr>
      <w:adjustRightInd w:val="0"/>
      <w:jc w:val="center"/>
      <w:textAlignment w:val="baseline"/>
    </w:pPr>
    <w:rPr>
      <w:rFonts w:ascii="Times New Roman" w:hAnsi="Times New Roman" w:cs="Times New Roman"/>
      <w:b/>
    </w:rPr>
  </w:style>
  <w:style w:type="paragraph" w:customStyle="1" w:styleId="1588">
    <w:name w:val="样式26"/>
    <w:basedOn w:val="45"/>
    <w:qFormat/>
    <w:uiPriority w:val="0"/>
    <w:pPr>
      <w:spacing w:beforeLines="10" w:line="360" w:lineRule="auto"/>
      <w:ind w:firstLine="470" w:firstLineChars="196"/>
    </w:pPr>
    <w:rPr>
      <w:rFonts w:eastAsiaTheme="minorEastAsia"/>
      <w:snapToGrid w:val="0"/>
      <w:kern w:val="0"/>
      <w:sz w:val="24"/>
      <w:szCs w:val="24"/>
    </w:rPr>
  </w:style>
  <w:style w:type="paragraph" w:customStyle="1" w:styleId="1589">
    <w:name w:val="表格（小）"/>
    <w:basedOn w:val="1"/>
    <w:qFormat/>
    <w:uiPriority w:val="0"/>
    <w:pPr>
      <w:adjustRightInd w:val="0"/>
      <w:jc w:val="left"/>
    </w:pPr>
    <w:rPr>
      <w:rFonts w:ascii="Times New Roman" w:hAnsi="Times New Roman" w:cs="Times New Roman"/>
      <w:snapToGrid w:val="0"/>
      <w:kern w:val="0"/>
      <w:szCs w:val="20"/>
    </w:rPr>
  </w:style>
  <w:style w:type="paragraph" w:customStyle="1" w:styleId="1590">
    <w:name w:val="矿化度0.2"/>
    <w:basedOn w:val="1"/>
    <w:qFormat/>
    <w:uiPriority w:val="0"/>
    <w:pPr>
      <w:ind w:firstLine="420" w:firstLineChars="200"/>
      <w:jc w:val="left"/>
    </w:pPr>
    <w:rPr>
      <w:rFonts w:ascii="Times New Roman" w:hAnsi="Times New Roman" w:cs="Times New Roman"/>
      <w:szCs w:val="24"/>
    </w:rPr>
  </w:style>
  <w:style w:type="paragraph" w:customStyle="1" w:styleId="1591">
    <w:name w:val="xl21"/>
    <w:basedOn w:val="1"/>
    <w:qFormat/>
    <w:uiPriority w:val="0"/>
    <w:pPr>
      <w:widowControl/>
      <w:pBdr>
        <w:top w:val="single" w:color="000000" w:sz="4" w:space="0"/>
        <w:left w:val="single" w:color="000000" w:sz="4" w:space="0"/>
        <w:bottom w:val="single" w:color="000000" w:sz="4" w:space="0"/>
        <w:right w:val="single" w:color="000000" w:sz="4" w:space="0"/>
      </w:pBdr>
      <w:spacing w:beforeAutospacing="1" w:after="100" w:afterAutospacing="1"/>
      <w:jc w:val="left"/>
      <w:textAlignment w:val="center"/>
    </w:pPr>
    <w:rPr>
      <w:rFonts w:ascii="宋体" w:hAnsi="宋体" w:cs="宋体"/>
      <w:kern w:val="0"/>
      <w:sz w:val="20"/>
      <w:szCs w:val="20"/>
    </w:rPr>
  </w:style>
  <w:style w:type="paragraph" w:customStyle="1" w:styleId="1592">
    <w:name w:val="1.1"/>
    <w:next w:val="1"/>
    <w:qFormat/>
    <w:uiPriority w:val="0"/>
    <w:pPr>
      <w:widowControl w:val="0"/>
      <w:adjustRightInd w:val="0"/>
      <w:snapToGrid w:val="0"/>
      <w:spacing w:beforeLines="100" w:afterLines="50" w:line="300" w:lineRule="auto"/>
      <w:jc w:val="both"/>
    </w:pPr>
    <w:rPr>
      <w:rFonts w:ascii="黑体" w:hAnsi="Times New Roman" w:eastAsia="黑体" w:cs="Times New Roman"/>
      <w:b/>
      <w:spacing w:val="10"/>
      <w:sz w:val="28"/>
      <w:lang w:val="en-US" w:eastAsia="zh-CN" w:bidi="ar-SA"/>
    </w:rPr>
  </w:style>
  <w:style w:type="paragraph" w:customStyle="1" w:styleId="1593">
    <w:name w:val="样式 样式 宋体 段前: 0.5 行 行距: 固定值 18 磅 + 首行缩进:  2 字符"/>
    <w:basedOn w:val="1"/>
    <w:qFormat/>
    <w:uiPriority w:val="0"/>
    <w:pPr>
      <w:spacing w:line="360" w:lineRule="auto"/>
      <w:ind w:firstLine="480" w:firstLineChars="200"/>
      <w:jc w:val="left"/>
    </w:pPr>
    <w:rPr>
      <w:rFonts w:ascii="宋体" w:hAnsi="宋体" w:cs="宋体"/>
      <w:snapToGrid w:val="0"/>
      <w:color w:val="000000"/>
      <w:sz w:val="24"/>
      <w:szCs w:val="24"/>
      <w:lang w:val="en-GB"/>
    </w:rPr>
  </w:style>
  <w:style w:type="paragraph" w:customStyle="1" w:styleId="1594">
    <w:name w:val="列表内容"/>
    <w:basedOn w:val="1"/>
    <w:qFormat/>
    <w:uiPriority w:val="0"/>
    <w:pPr>
      <w:keepNext/>
      <w:keepLines/>
      <w:adjustRightInd w:val="0"/>
      <w:jc w:val="center"/>
    </w:pPr>
    <w:rPr>
      <w:rFonts w:ascii="Times New Roman" w:hAnsi="Times New Roman" w:cs="Times New Roman"/>
      <w:snapToGrid w:val="0"/>
      <w:kern w:val="0"/>
      <w:sz w:val="24"/>
      <w:szCs w:val="28"/>
    </w:rPr>
  </w:style>
  <w:style w:type="paragraph" w:customStyle="1" w:styleId="1595">
    <w:name w:val="xl60"/>
    <w:basedOn w:val="1"/>
    <w:qFormat/>
    <w:uiPriority w:val="0"/>
    <w:pPr>
      <w:widowControl/>
      <w:pBdr>
        <w:left w:val="single" w:color="auto" w:sz="4" w:space="0"/>
        <w:right w:val="single" w:color="auto" w:sz="8" w:space="0"/>
      </w:pBdr>
      <w:adjustRightInd w:val="0"/>
      <w:spacing w:beforeAutospacing="1" w:after="100" w:afterAutospacing="1" w:line="312" w:lineRule="atLeast"/>
      <w:jc w:val="left"/>
      <w:textAlignment w:val="center"/>
    </w:pPr>
    <w:rPr>
      <w:rFonts w:ascii="Arial Unicode MS" w:hAnsi="Arial Unicode MS" w:eastAsia="Arial Unicode MS" w:cs="Arial Unicode MS"/>
      <w:kern w:val="0"/>
      <w:sz w:val="20"/>
      <w:szCs w:val="20"/>
    </w:rPr>
  </w:style>
  <w:style w:type="paragraph" w:customStyle="1" w:styleId="1596">
    <w:name w:val="样式 标题 2 + Times New Roman 段前: 0 磅 段后: 0 磅"/>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597">
    <w:name w:val="样式 标题 3标题 3XW标题 3XW Char标题 3XW Char Char Char Char标题 3XW Cha...2"/>
    <w:basedOn w:val="5"/>
    <w:qFormat/>
    <w:uiPriority w:val="0"/>
    <w:pPr>
      <w:spacing w:beforeLines="10"/>
      <w:ind w:left="720" w:hanging="432"/>
    </w:pPr>
    <w:rPr>
      <w:rFonts w:cs="Times New Roman" w:eastAsiaTheme="minorEastAsia"/>
      <w:bCs w:val="0"/>
      <w:szCs w:val="26"/>
    </w:rPr>
  </w:style>
  <w:style w:type="paragraph" w:customStyle="1" w:styleId="1598">
    <w:name w:val="样式 正文缩进正文缩进 Chars4 Chars4标题4表正文正文非缩进特点正文缩进 Char1 Char正文..."/>
    <w:basedOn w:val="1"/>
    <w:qFormat/>
    <w:uiPriority w:val="0"/>
    <w:pPr>
      <w:spacing w:afterLines="20" w:line="400" w:lineRule="exact"/>
      <w:ind w:firstLine="482"/>
      <w:jc w:val="left"/>
    </w:pPr>
    <w:rPr>
      <w:rFonts w:ascii="Calibri" w:hAnsi="Calibri" w:cs="宋体"/>
      <w:sz w:val="24"/>
      <w:szCs w:val="20"/>
    </w:rPr>
  </w:style>
  <w:style w:type="paragraph" w:customStyle="1" w:styleId="1599">
    <w:name w:val="目录标题"/>
    <w:basedOn w:val="1"/>
    <w:next w:val="1"/>
    <w:qFormat/>
    <w:uiPriority w:val="0"/>
    <w:pPr>
      <w:widowControl/>
      <w:spacing w:after="419" w:line="436" w:lineRule="atLeast"/>
      <w:ind w:firstLine="419"/>
      <w:jc w:val="center"/>
      <w:textAlignment w:val="baseline"/>
    </w:pPr>
    <w:rPr>
      <w:rFonts w:ascii="Arial" w:hAnsi="Times New Roman" w:eastAsia="黑体" w:cs="Times New Roman"/>
      <w:color w:val="000000"/>
      <w:spacing w:val="283"/>
      <w:kern w:val="0"/>
      <w:sz w:val="42"/>
      <w:szCs w:val="20"/>
      <w:u w:color="000000"/>
    </w:rPr>
  </w:style>
  <w:style w:type="paragraph" w:customStyle="1" w:styleId="1600">
    <w:name w:val="xl19"/>
    <w:basedOn w:val="1"/>
    <w:qFormat/>
    <w:uiPriority w:val="0"/>
    <w:pPr>
      <w:widowControl/>
      <w:pBdr>
        <w:top w:val="single" w:color="000000" w:sz="4" w:space="0"/>
        <w:left w:val="single" w:color="000000" w:sz="4" w:space="0"/>
        <w:bottom w:val="single" w:color="000000" w:sz="4" w:space="0"/>
        <w:right w:val="single" w:color="000000" w:sz="4" w:space="0"/>
      </w:pBdr>
      <w:spacing w:beforeAutospacing="1" w:after="100" w:afterAutospacing="1"/>
      <w:jc w:val="center"/>
      <w:textAlignment w:val="center"/>
    </w:pPr>
    <w:rPr>
      <w:rFonts w:ascii="Times New Roman" w:hAnsi="Times New Roman" w:cs="Times New Roman"/>
      <w:kern w:val="0"/>
      <w:sz w:val="20"/>
      <w:szCs w:val="20"/>
    </w:rPr>
  </w:style>
  <w:style w:type="paragraph" w:customStyle="1" w:styleId="1601">
    <w:name w:val="表格2"/>
    <w:link w:val="2482"/>
    <w:qFormat/>
    <w:uiPriority w:val="0"/>
    <w:pPr>
      <w:adjustRightInd w:val="0"/>
      <w:snapToGrid w:val="0"/>
      <w:jc w:val="center"/>
    </w:pPr>
    <w:rPr>
      <w:rFonts w:ascii="Times New Roman" w:hAnsi="Times New Roman" w:eastAsia="宋体" w:cs="Times New Roman"/>
      <w:b/>
      <w:bCs/>
      <w:sz w:val="21"/>
      <w:lang w:val="en-US" w:eastAsia="zh-CN" w:bidi="ar-SA"/>
    </w:rPr>
  </w:style>
  <w:style w:type="paragraph" w:customStyle="1" w:styleId="1602">
    <w:name w:val="3"/>
    <w:basedOn w:val="1"/>
    <w:qFormat/>
    <w:uiPriority w:val="0"/>
    <w:pPr>
      <w:spacing w:line="360" w:lineRule="auto"/>
      <w:ind w:firstLine="200" w:firstLineChars="200"/>
      <w:jc w:val="left"/>
    </w:pPr>
    <w:rPr>
      <w:rFonts w:ascii="宋体" w:hAnsi="宋体" w:cs="宋体"/>
      <w:sz w:val="24"/>
      <w:szCs w:val="24"/>
    </w:rPr>
  </w:style>
  <w:style w:type="paragraph" w:customStyle="1" w:styleId="1603">
    <w:name w:val="wtext"/>
    <w:basedOn w:val="1"/>
    <w:qFormat/>
    <w:uiPriority w:val="0"/>
    <w:pPr>
      <w:widowControl/>
      <w:adjustRightInd w:val="0"/>
      <w:spacing w:beforeAutospacing="1" w:after="100" w:afterAutospacing="1" w:line="312" w:lineRule="atLeast"/>
      <w:ind w:firstLine="480"/>
      <w:jc w:val="left"/>
      <w:textAlignment w:val="baseline"/>
    </w:pPr>
    <w:rPr>
      <w:rFonts w:ascii="Times New Roman" w:hAnsi="Times New Roman" w:cs="Times New Roman"/>
      <w:color w:val="000000"/>
      <w:kern w:val="0"/>
      <w:sz w:val="22"/>
    </w:rPr>
  </w:style>
  <w:style w:type="paragraph" w:customStyle="1" w:styleId="1604">
    <w:name w:val="font20"/>
    <w:basedOn w:val="1"/>
    <w:qFormat/>
    <w:uiPriority w:val="0"/>
    <w:pPr>
      <w:widowControl/>
      <w:spacing w:beforeAutospacing="1" w:after="100" w:afterAutospacing="1"/>
      <w:jc w:val="left"/>
    </w:pPr>
    <w:rPr>
      <w:rFonts w:ascii="黑体" w:hAnsi="宋体" w:eastAsia="黑体" w:cs="宋体"/>
      <w:kern w:val="0"/>
      <w:sz w:val="18"/>
      <w:szCs w:val="18"/>
    </w:rPr>
  </w:style>
  <w:style w:type="paragraph" w:customStyle="1" w:styleId="1605">
    <w:name w:val="样式 题注"/>
    <w:basedOn w:val="22"/>
    <w:qFormat/>
    <w:uiPriority w:val="0"/>
    <w:pPr>
      <w:adjustRightInd w:val="0"/>
      <w:spacing w:beforeLines="25" w:after="160"/>
      <w:jc w:val="center"/>
    </w:pPr>
    <w:rPr>
      <w:rFonts w:ascii="Arial" w:hAnsi="Arial" w:eastAsia="宋体" w:cs="Times New Roman"/>
      <w:b/>
      <w:snapToGrid w:val="0"/>
      <w:kern w:val="0"/>
      <w:sz w:val="24"/>
    </w:rPr>
  </w:style>
  <w:style w:type="paragraph" w:customStyle="1" w:styleId="1606">
    <w:name w:val="样式 正文文字缩进 + (西文) Times New Roman (中文) 黑体 左 首行缩进:  0.99 厘米"/>
    <w:basedOn w:val="35"/>
    <w:qFormat/>
    <w:uiPriority w:val="0"/>
    <w:pPr>
      <w:adjustRightInd w:val="0"/>
      <w:spacing w:beforeLines="10" w:after="0"/>
      <w:ind w:left="0" w:leftChars="0" w:firstLine="561" w:firstLineChars="0"/>
      <w:textAlignment w:val="baseline"/>
    </w:pPr>
    <w:rPr>
      <w:rFonts w:ascii="Calibri" w:hAnsi="Calibri" w:cs="宋体" w:eastAsiaTheme="minorEastAsia"/>
      <w:snapToGrid w:val="0"/>
      <w:spacing w:val="5"/>
      <w:kern w:val="0"/>
      <w:szCs w:val="20"/>
    </w:rPr>
  </w:style>
  <w:style w:type="paragraph" w:customStyle="1" w:styleId="1607">
    <w:name w:val="ML1"/>
    <w:basedOn w:val="59"/>
    <w:qFormat/>
    <w:uiPriority w:val="0"/>
    <w:pPr>
      <w:tabs>
        <w:tab w:val="right" w:leader="dot" w:pos="9174"/>
        <w:tab w:val="clear" w:pos="260"/>
        <w:tab w:val="clear" w:pos="520"/>
        <w:tab w:val="clear" w:pos="8494"/>
      </w:tabs>
      <w:adjustRightInd/>
      <w:spacing w:beforeLines="10" w:line="240" w:lineRule="auto"/>
    </w:pPr>
    <w:rPr>
      <w:rFonts w:ascii="黑体" w:hAnsi="宋体" w:eastAsia="黑体"/>
      <w:bCs/>
      <w:snapToGrid w:val="0"/>
      <w:kern w:val="0"/>
      <w:szCs w:val="44"/>
    </w:rPr>
  </w:style>
  <w:style w:type="paragraph" w:customStyle="1" w:styleId="1608">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8"/>
    <w:qFormat/>
    <w:uiPriority w:val="0"/>
    <w:pPr>
      <w:keepNext w:val="0"/>
      <w:keepLines w:val="0"/>
      <w:tabs>
        <w:tab w:val="left" w:pos="1152"/>
      </w:tabs>
      <w:adjustRightInd/>
      <w:spacing w:beforeLines="10" w:after="0" w:line="320" w:lineRule="auto"/>
      <w:ind w:left="1152" w:hanging="432"/>
    </w:pPr>
    <w:rPr>
      <w:rFonts w:ascii="Arial" w:hAnsi="Arial" w:eastAsia="黑体"/>
      <w:b w:val="0"/>
      <w:bCs w:val="0"/>
      <w:snapToGrid w:val="0"/>
      <w:color w:val="000000"/>
      <w:kern w:val="0"/>
      <w:sz w:val="26"/>
      <w:szCs w:val="24"/>
    </w:rPr>
  </w:style>
  <w:style w:type="paragraph" w:customStyle="1" w:styleId="1609">
    <w:name w:val="样式1 Char Char Char Char Char Char"/>
    <w:basedOn w:val="1"/>
    <w:qFormat/>
    <w:uiPriority w:val="0"/>
    <w:pPr>
      <w:spacing w:line="560" w:lineRule="atLeast"/>
      <w:ind w:firstLine="480" w:firstLineChars="200"/>
      <w:jc w:val="left"/>
    </w:pPr>
    <w:rPr>
      <w:rFonts w:ascii="宋体" w:hAnsi="宋体" w:cs="Times New Roman"/>
      <w:sz w:val="24"/>
      <w:szCs w:val="24"/>
    </w:rPr>
  </w:style>
  <w:style w:type="paragraph" w:customStyle="1" w:styleId="1610">
    <w:name w:val="报告书征文"/>
    <w:basedOn w:val="1"/>
    <w:qFormat/>
    <w:uiPriority w:val="0"/>
    <w:pPr>
      <w:spacing w:line="360" w:lineRule="auto"/>
      <w:jc w:val="left"/>
    </w:pPr>
    <w:rPr>
      <w:rFonts w:ascii="Times New Roman" w:hAnsi="Times New Roman" w:cs="Times New Roman"/>
      <w:sz w:val="24"/>
    </w:rPr>
  </w:style>
  <w:style w:type="paragraph" w:customStyle="1" w:styleId="1611">
    <w:name w:val="样式 正文文字缩进 + (符号) 宋体 首行缩进:  0.95 厘米"/>
    <w:basedOn w:val="35"/>
    <w:qFormat/>
    <w:uiPriority w:val="0"/>
    <w:pPr>
      <w:spacing w:beforeLines="10" w:after="0" w:line="300" w:lineRule="auto"/>
      <w:ind w:left="0" w:leftChars="0" w:firstLine="539" w:firstLineChars="0"/>
    </w:pPr>
    <w:rPr>
      <w:rFonts w:ascii="宋体" w:hAnsi="宋体" w:eastAsiaTheme="minorEastAsia"/>
      <w:snapToGrid w:val="0"/>
      <w:kern w:val="0"/>
      <w:szCs w:val="24"/>
    </w:rPr>
  </w:style>
  <w:style w:type="paragraph" w:customStyle="1" w:styleId="1612">
    <w:name w:val="Char Char3"/>
    <w:basedOn w:val="1"/>
    <w:qFormat/>
    <w:uiPriority w:val="0"/>
    <w:pPr>
      <w:spacing w:line="360" w:lineRule="auto"/>
      <w:ind w:firstLine="200" w:firstLineChars="200"/>
      <w:jc w:val="left"/>
    </w:pPr>
    <w:rPr>
      <w:rFonts w:ascii="宋体" w:hAnsi="宋体" w:cs="宋体"/>
      <w:sz w:val="24"/>
      <w:szCs w:val="24"/>
    </w:rPr>
  </w:style>
  <w:style w:type="paragraph" w:customStyle="1" w:styleId="1613">
    <w:name w:val="表格文字块"/>
    <w:basedOn w:val="1"/>
    <w:qFormat/>
    <w:uiPriority w:val="0"/>
    <w:pPr>
      <w:keepNext/>
      <w:ind w:firstLine="200" w:firstLineChars="200"/>
      <w:jc w:val="center"/>
    </w:pPr>
    <w:rPr>
      <w:rFonts w:ascii="Times New Roman" w:hAnsi="Times New Roman" w:eastAsia="楷体_GB2312" w:cs="Times New Roman"/>
      <w:snapToGrid w:val="0"/>
      <w:kern w:val="0"/>
      <w:sz w:val="24"/>
      <w:szCs w:val="20"/>
    </w:rPr>
  </w:style>
  <w:style w:type="paragraph" w:customStyle="1" w:styleId="1614">
    <w:name w:val="xl3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Times New Roman" w:hAnsi="Times New Roman" w:eastAsia="Arial Unicode MS" w:cs="Times New Roman"/>
      <w:kern w:val="0"/>
      <w:sz w:val="24"/>
      <w:szCs w:val="24"/>
    </w:rPr>
  </w:style>
  <w:style w:type="paragraph" w:customStyle="1" w:styleId="1615">
    <w:name w:val="表内容"/>
    <w:basedOn w:val="1"/>
    <w:link w:val="3262"/>
    <w:qFormat/>
    <w:uiPriority w:val="0"/>
    <w:pPr>
      <w:widowControl/>
      <w:tabs>
        <w:tab w:val="left" w:pos="8640"/>
      </w:tabs>
      <w:autoSpaceDE w:val="0"/>
      <w:autoSpaceDN w:val="0"/>
      <w:adjustRightInd w:val="0"/>
      <w:spacing w:line="324" w:lineRule="auto"/>
      <w:jc w:val="left"/>
      <w:textAlignment w:val="bottom"/>
    </w:pPr>
    <w:rPr>
      <w:rFonts w:ascii="Times New Roman" w:hAnsi="Times New Roman" w:eastAsia="仿宋_GB2312" w:cs="Times New Roman"/>
      <w:color w:val="000000"/>
      <w:sz w:val="24"/>
      <w:szCs w:val="20"/>
    </w:rPr>
  </w:style>
  <w:style w:type="paragraph" w:customStyle="1" w:styleId="1616">
    <w:name w:val="Char Char Char Char Char Char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617">
    <w:name w:val="正文2000"/>
    <w:basedOn w:val="1"/>
    <w:qFormat/>
    <w:uiPriority w:val="0"/>
    <w:pPr>
      <w:tabs>
        <w:tab w:val="left" w:pos="170"/>
      </w:tabs>
      <w:adjustRightInd w:val="0"/>
      <w:spacing w:beforeAutospacing="1" w:line="480" w:lineRule="atLeast"/>
      <w:ind w:firstLine="523" w:firstLineChars="218"/>
      <w:jc w:val="left"/>
    </w:pPr>
    <w:rPr>
      <w:rFonts w:ascii="宋体" w:hAnsi="宋体" w:cs="Times New Roman"/>
      <w:sz w:val="24"/>
      <w:szCs w:val="24"/>
    </w:rPr>
  </w:style>
  <w:style w:type="paragraph" w:customStyle="1" w:styleId="1618">
    <w:name w:val="模式说明 Char"/>
    <w:basedOn w:val="1"/>
    <w:qFormat/>
    <w:uiPriority w:val="0"/>
    <w:pPr>
      <w:tabs>
        <w:tab w:val="left" w:pos="840"/>
      </w:tabs>
      <w:spacing w:line="300" w:lineRule="auto"/>
      <w:ind w:firstLine="480" w:firstLineChars="200"/>
      <w:jc w:val="left"/>
    </w:pPr>
    <w:rPr>
      <w:rFonts w:ascii="Times New Roman" w:hAnsi="Times New Roman" w:cs="Times New Roman"/>
      <w:sz w:val="24"/>
      <w:szCs w:val="24"/>
    </w:rPr>
  </w:style>
  <w:style w:type="paragraph" w:customStyle="1" w:styleId="1619">
    <w:name w:val="列表延续 5"/>
    <w:basedOn w:val="1"/>
    <w:qFormat/>
    <w:uiPriority w:val="0"/>
    <w:pPr>
      <w:autoSpaceDE w:val="0"/>
      <w:autoSpaceDN w:val="0"/>
      <w:adjustRightInd w:val="0"/>
      <w:spacing w:after="120" w:line="400" w:lineRule="exact"/>
      <w:ind w:left="1260"/>
      <w:jc w:val="left"/>
    </w:pPr>
    <w:rPr>
      <w:rFonts w:ascii="宋体" w:hAnsi="Tms Rmn" w:cs="Times New Roman"/>
      <w:spacing w:val="-5"/>
      <w:kern w:val="0"/>
      <w:sz w:val="24"/>
      <w:szCs w:val="20"/>
    </w:rPr>
  </w:style>
  <w:style w:type="paragraph" w:customStyle="1" w:styleId="1620">
    <w:name w:val="xl27"/>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Arial Unicode MS" w:hAnsi="Arial Unicode MS" w:eastAsia="Arial Unicode MS" w:cs="Times New Roman"/>
      <w:kern w:val="0"/>
      <w:sz w:val="24"/>
      <w:szCs w:val="24"/>
    </w:rPr>
  </w:style>
  <w:style w:type="paragraph" w:customStyle="1" w:styleId="1621">
    <w:name w:val="关键词"/>
    <w:basedOn w:val="1"/>
    <w:qFormat/>
    <w:uiPriority w:val="0"/>
    <w:pPr>
      <w:adjustRightInd w:val="0"/>
      <w:spacing w:line="312" w:lineRule="atLeast"/>
      <w:jc w:val="left"/>
      <w:textAlignment w:val="baseline"/>
    </w:pPr>
    <w:rPr>
      <w:rFonts w:ascii="Times New Roman" w:hAnsi="Times New Roman" w:eastAsia="黑体" w:cs="Times New Roman"/>
      <w:kern w:val="0"/>
      <w:sz w:val="18"/>
      <w:szCs w:val="20"/>
    </w:rPr>
  </w:style>
  <w:style w:type="paragraph" w:customStyle="1" w:styleId="1622">
    <w:name w:val="font19"/>
    <w:basedOn w:val="1"/>
    <w:qFormat/>
    <w:uiPriority w:val="0"/>
    <w:pPr>
      <w:widowControl/>
      <w:spacing w:beforeAutospacing="1" w:after="100" w:afterAutospacing="1"/>
      <w:jc w:val="left"/>
    </w:pPr>
    <w:rPr>
      <w:rFonts w:ascii="黑体" w:hAnsi="宋体" w:eastAsia="黑体" w:cs="宋体"/>
      <w:color w:val="FF0000"/>
      <w:kern w:val="0"/>
      <w:sz w:val="18"/>
      <w:szCs w:val="18"/>
    </w:rPr>
  </w:style>
  <w:style w:type="paragraph" w:customStyle="1" w:styleId="1623">
    <w:name w:val="xl37"/>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Times New Roman" w:hAnsi="Times New Roman" w:eastAsia="Arial Unicode MS" w:cs="Times New Roman"/>
      <w:kern w:val="0"/>
      <w:sz w:val="24"/>
      <w:szCs w:val="24"/>
    </w:rPr>
  </w:style>
  <w:style w:type="paragraph" w:customStyle="1" w:styleId="1624">
    <w:name w:val="样式 标题 3标题 3XW标题 3XW Char标题 3XW Char Char Char Char标题 3XW Cha...1"/>
    <w:basedOn w:val="5"/>
    <w:qFormat/>
    <w:uiPriority w:val="0"/>
    <w:pPr>
      <w:spacing w:beforeLines="10"/>
      <w:ind w:left="720" w:hanging="432"/>
    </w:pPr>
    <w:rPr>
      <w:rFonts w:cs="Times New Roman" w:eastAsiaTheme="minorEastAsia"/>
      <w:bCs w:val="0"/>
      <w:szCs w:val="26"/>
    </w:rPr>
  </w:style>
  <w:style w:type="paragraph" w:customStyle="1" w:styleId="1625">
    <w:name w:val="zh正文"/>
    <w:basedOn w:val="1"/>
    <w:qFormat/>
    <w:uiPriority w:val="0"/>
    <w:pPr>
      <w:spacing w:line="360" w:lineRule="exact"/>
      <w:ind w:firstLine="560" w:firstLineChars="200"/>
      <w:jc w:val="left"/>
    </w:pPr>
    <w:rPr>
      <w:rFonts w:ascii="宋体" w:hAnsi="宋体" w:cs="Times New Roman"/>
      <w:sz w:val="28"/>
      <w:szCs w:val="20"/>
    </w:rPr>
  </w:style>
  <w:style w:type="paragraph" w:customStyle="1" w:styleId="1626">
    <w:name w:val="正文文字 3"/>
    <w:basedOn w:val="1"/>
    <w:qFormat/>
    <w:uiPriority w:val="0"/>
    <w:pPr>
      <w:widowControl/>
      <w:spacing w:line="402" w:lineRule="atLeast"/>
      <w:ind w:firstLine="419" w:firstLineChars="205"/>
      <w:jc w:val="left"/>
      <w:textAlignment w:val="baseline"/>
    </w:pPr>
    <w:rPr>
      <w:rFonts w:ascii="Times New Roman" w:hAnsi="宋体" w:cs="Times New Roman"/>
      <w:color w:val="000000"/>
      <w:kern w:val="0"/>
      <w:sz w:val="14"/>
      <w:szCs w:val="20"/>
      <w:u w:color="000000"/>
    </w:rPr>
  </w:style>
  <w:style w:type="paragraph" w:customStyle="1" w:styleId="1627">
    <w:name w:val="正文(加宽0.3磅)"/>
    <w:basedOn w:val="1"/>
    <w:qFormat/>
    <w:uiPriority w:val="0"/>
    <w:pPr>
      <w:autoSpaceDE w:val="0"/>
      <w:autoSpaceDN w:val="0"/>
      <w:adjustRightInd w:val="0"/>
      <w:spacing w:line="312" w:lineRule="auto"/>
      <w:ind w:firstLine="482"/>
      <w:jc w:val="left"/>
      <w:textAlignment w:val="baseline"/>
    </w:pPr>
    <w:rPr>
      <w:rFonts w:ascii="Times New Roman" w:hAnsi="Times New Roman" w:cs="Times New Roman"/>
      <w:spacing w:val="6"/>
      <w:kern w:val="0"/>
      <w:sz w:val="24"/>
      <w:szCs w:val="20"/>
    </w:rPr>
  </w:style>
  <w:style w:type="paragraph" w:customStyle="1" w:styleId="1628">
    <w:name w:val="样式 haydonli + 首行缩进:  2 字符2"/>
    <w:basedOn w:val="1430"/>
    <w:qFormat/>
    <w:uiPriority w:val="0"/>
    <w:rPr>
      <w:rFonts w:cs="宋体"/>
    </w:rPr>
  </w:style>
  <w:style w:type="paragraph" w:customStyle="1" w:styleId="1629">
    <w:name w:val="xl59"/>
    <w:basedOn w:val="1"/>
    <w:qFormat/>
    <w:uiPriority w:val="0"/>
    <w:pPr>
      <w:widowControl/>
      <w:pBdr>
        <w:bottom w:val="single" w:color="auto" w:sz="12" w:space="0"/>
      </w:pBdr>
      <w:spacing w:beforeAutospacing="1" w:after="100" w:afterAutospacing="1"/>
      <w:jc w:val="center"/>
    </w:pPr>
    <w:rPr>
      <w:rFonts w:ascii="Arial Unicode MS" w:hAnsi="Arial Unicode MS" w:eastAsia="Arial Unicode MS" w:cs="Times New Roman"/>
      <w:color w:val="000000"/>
      <w:kern w:val="0"/>
      <w:sz w:val="28"/>
      <w:szCs w:val="28"/>
    </w:rPr>
  </w:style>
  <w:style w:type="paragraph" w:customStyle="1" w:styleId="1630">
    <w:name w:val="报告"/>
    <w:basedOn w:val="1"/>
    <w:qFormat/>
    <w:uiPriority w:val="0"/>
    <w:pPr>
      <w:spacing w:line="300" w:lineRule="auto"/>
      <w:ind w:firstLine="539"/>
      <w:jc w:val="left"/>
    </w:pPr>
    <w:rPr>
      <w:rFonts w:ascii="Times New Roman" w:hAnsi="Times New Roman" w:cs="Times New Roman"/>
      <w:sz w:val="24"/>
      <w:szCs w:val="24"/>
    </w:rPr>
  </w:style>
  <w:style w:type="paragraph" w:customStyle="1" w:styleId="1631">
    <w:name w:val="样式 样式 样式 标题 3标题 33 + 段前: 0.5 行 + 段前: 0.5 行 + 段前: 6 磅 段后: 6 磅"/>
    <w:qFormat/>
    <w:uiPriority w:val="0"/>
    <w:rPr>
      <w:rFonts w:ascii="Times New Roman" w:hAnsi="Times New Roman" w:eastAsia="宋体" w:cs="Times New Roman"/>
      <w:lang w:val="en-US" w:eastAsia="zh-CN" w:bidi="ar-SA"/>
    </w:rPr>
  </w:style>
  <w:style w:type="paragraph" w:customStyle="1" w:styleId="1632">
    <w:name w:val="样式 样式 标题 3标题 33 + 段前: 0.5 行 + 段前: 0.5 行"/>
    <w:qFormat/>
    <w:uiPriority w:val="0"/>
    <w:rPr>
      <w:rFonts w:ascii="黑体" w:hAnsi="宋体" w:eastAsia="黑体" w:cs="Times New Roman"/>
      <w:bCs/>
      <w:snapToGrid w:val="0"/>
      <w:color w:val="008000"/>
      <w:lang w:val="en-US" w:eastAsia="zh-CN" w:bidi="ar-SA"/>
    </w:rPr>
  </w:style>
  <w:style w:type="paragraph" w:customStyle="1" w:styleId="1633">
    <w:name w:val="样式 标题 3标题 33 + 段前: 0.5 行"/>
    <w:basedOn w:val="5"/>
    <w:qFormat/>
    <w:uiPriority w:val="0"/>
    <w:pPr>
      <w:spacing w:beforeLines="10"/>
      <w:ind w:left="720" w:hanging="432"/>
    </w:pPr>
    <w:rPr>
      <w:rFonts w:cs="Times New Roman" w:eastAsiaTheme="minorEastAsia"/>
      <w:bCs w:val="0"/>
      <w:szCs w:val="26"/>
    </w:rPr>
  </w:style>
  <w:style w:type="paragraph" w:customStyle="1" w:styleId="1634">
    <w:name w:val="普通(Web)4"/>
    <w:basedOn w:val="1"/>
    <w:qFormat/>
    <w:uiPriority w:val="0"/>
    <w:pPr>
      <w:widowControl/>
      <w:jc w:val="left"/>
    </w:pPr>
    <w:rPr>
      <w:rFonts w:ascii="宋体" w:hAnsi="宋体" w:cs="宋体"/>
      <w:kern w:val="0"/>
      <w:sz w:val="24"/>
      <w:szCs w:val="24"/>
    </w:rPr>
  </w:style>
  <w:style w:type="paragraph" w:customStyle="1" w:styleId="1635">
    <w:name w:val="表名称"/>
    <w:qFormat/>
    <w:uiPriority w:val="0"/>
    <w:pPr>
      <w:widowControl w:val="0"/>
      <w:tabs>
        <w:tab w:val="left" w:pos="0"/>
        <w:tab w:val="left" w:pos="756"/>
        <w:tab w:val="left" w:pos="945"/>
      </w:tabs>
      <w:spacing w:line="360" w:lineRule="auto"/>
      <w:jc w:val="center"/>
    </w:pPr>
    <w:rPr>
      <w:rFonts w:ascii="宋体" w:hAnsi="宋体" w:eastAsia="宋体" w:cs="Times New Roman"/>
      <w:bCs/>
      <w:kern w:val="2"/>
      <w:sz w:val="24"/>
      <w:szCs w:val="24"/>
      <w:lang w:val="en-US" w:eastAsia="zh-CN" w:bidi="ar-SA"/>
    </w:rPr>
  </w:style>
  <w:style w:type="paragraph" w:customStyle="1" w:styleId="1636">
    <w:name w:val="样式 样式 样式 标题 3标题 33 + 段前: 0.5 行 + 段前: 0.5 行 + 段前: 6 磅 段后: 0.5 行"/>
    <w:basedOn w:val="1632"/>
    <w:qFormat/>
    <w:uiPriority w:val="0"/>
  </w:style>
  <w:style w:type="paragraph" w:customStyle="1" w:styleId="1637">
    <w:name w:val="xl49"/>
    <w:basedOn w:val="1"/>
    <w:qFormat/>
    <w:uiPriority w:val="0"/>
    <w:pPr>
      <w:widowControl/>
      <w:pBdr>
        <w:top w:val="single" w:color="auto" w:sz="4" w:space="0"/>
        <w:bottom w:val="single" w:color="auto" w:sz="4" w:space="0"/>
        <w:right w:val="single" w:color="auto" w:sz="4" w:space="0"/>
      </w:pBdr>
      <w:spacing w:beforeAutospacing="1" w:after="100" w:afterAutospacing="1"/>
      <w:jc w:val="center"/>
    </w:pPr>
    <w:rPr>
      <w:rFonts w:ascii="Times New Roman" w:hAnsi="Times New Roman" w:eastAsia="Arial Unicode MS" w:cs="Times New Roman"/>
      <w:b/>
      <w:bCs/>
      <w:color w:val="000000"/>
      <w:kern w:val="0"/>
    </w:rPr>
  </w:style>
  <w:style w:type="paragraph" w:customStyle="1" w:styleId="1638">
    <w:name w:val="Char Char7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639">
    <w:name w:val="w正文1"/>
    <w:basedOn w:val="1551"/>
    <w:qFormat/>
    <w:uiPriority w:val="0"/>
    <w:pPr>
      <w:ind w:firstLine="0" w:firstLineChars="0"/>
    </w:pPr>
  </w:style>
  <w:style w:type="paragraph" w:customStyle="1" w:styleId="1640">
    <w:name w:val="标题 4（自定义）"/>
    <w:basedOn w:val="1"/>
    <w:next w:val="1546"/>
    <w:qFormat/>
    <w:uiPriority w:val="0"/>
    <w:pPr>
      <w:keepNext/>
      <w:keepLines/>
      <w:widowControl/>
      <w:spacing w:beforeLines="100" w:afterLines="100" w:line="360" w:lineRule="auto"/>
      <w:ind w:firstLine="200" w:firstLineChars="200"/>
      <w:jc w:val="left"/>
      <w:outlineLvl w:val="3"/>
    </w:pPr>
    <w:rPr>
      <w:rFonts w:ascii="Century Gothic" w:hAnsi="Century Gothic" w:eastAsia="黑体" w:cs="Times New Roman"/>
      <w:kern w:val="0"/>
      <w:sz w:val="24"/>
      <w:szCs w:val="24"/>
    </w:rPr>
  </w:style>
  <w:style w:type="paragraph" w:customStyle="1" w:styleId="1641">
    <w:name w:val="小标题2"/>
    <w:basedOn w:val="1"/>
    <w:qFormat/>
    <w:uiPriority w:val="0"/>
    <w:pPr>
      <w:keepNext/>
      <w:keepLines/>
      <w:spacing w:beforeLines="50" w:afterLines="50"/>
      <w:jc w:val="left"/>
      <w:outlineLvl w:val="0"/>
    </w:pPr>
    <w:rPr>
      <w:rFonts w:ascii="Times New Roman" w:hAnsi="Times New Roman" w:cs="宋体"/>
      <w:b/>
      <w:bCs/>
      <w:kern w:val="44"/>
      <w:sz w:val="30"/>
      <w:szCs w:val="30"/>
    </w:rPr>
  </w:style>
  <w:style w:type="paragraph" w:customStyle="1" w:styleId="1642">
    <w:name w:val="表头8"/>
    <w:basedOn w:val="1537"/>
    <w:qFormat/>
    <w:uiPriority w:val="0"/>
    <w:pPr>
      <w:tabs>
        <w:tab w:val="left" w:pos="1140"/>
        <w:tab w:val="left" w:pos="1728"/>
        <w:tab w:val="clear" w:pos="720"/>
        <w:tab w:val="clear" w:pos="840"/>
        <w:tab w:val="clear" w:pos="1774"/>
      </w:tabs>
      <w:ind w:left="845" w:hanging="660"/>
    </w:pPr>
  </w:style>
  <w:style w:type="paragraph" w:customStyle="1" w:styleId="1643">
    <w:name w:val="xyb自建四级标题"/>
    <w:basedOn w:val="1"/>
    <w:qFormat/>
    <w:uiPriority w:val="0"/>
    <w:pPr>
      <w:tabs>
        <w:tab w:val="left" w:pos="8280"/>
      </w:tabs>
      <w:spacing w:after="100" w:line="415" w:lineRule="auto"/>
      <w:jc w:val="left"/>
      <w:outlineLvl w:val="3"/>
    </w:pPr>
    <w:rPr>
      <w:rFonts w:ascii="楷体_GB2312" w:hAnsi="宋体" w:eastAsia="楷体_GB2312" w:cs="Times New Roman"/>
      <w:b/>
      <w:bCs/>
      <w:sz w:val="24"/>
      <w:szCs w:val="24"/>
    </w:rPr>
  </w:style>
  <w:style w:type="paragraph" w:customStyle="1" w:styleId="1644">
    <w:name w:val="表目录"/>
    <w:basedOn w:val="1"/>
    <w:qFormat/>
    <w:uiPriority w:val="0"/>
    <w:pPr>
      <w:adjustRightInd w:val="0"/>
      <w:spacing w:line="360" w:lineRule="auto"/>
      <w:jc w:val="left"/>
    </w:pPr>
    <w:rPr>
      <w:rFonts w:ascii="黑体" w:hAnsi="Times New Roman" w:eastAsia="黑体" w:cs="Times New Roman"/>
    </w:rPr>
  </w:style>
  <w:style w:type="paragraph" w:customStyle="1" w:styleId="1645">
    <w:name w:val="Char Char Char Char3"/>
    <w:basedOn w:val="1"/>
    <w:qFormat/>
    <w:uiPriority w:val="0"/>
    <w:pPr>
      <w:spacing w:line="360" w:lineRule="auto"/>
      <w:ind w:firstLine="200" w:firstLineChars="200"/>
      <w:jc w:val="left"/>
    </w:pPr>
    <w:rPr>
      <w:rFonts w:ascii="宋体" w:hAnsi="宋体" w:cs="宋体"/>
      <w:sz w:val="24"/>
      <w:szCs w:val="24"/>
    </w:rPr>
  </w:style>
  <w:style w:type="paragraph" w:customStyle="1" w:styleId="1646">
    <w:name w:val="样式 标题 3小节名小节标题 33标题 13条标题1.1.1(F4)标题 3 Char Char Char标题 ..."/>
    <w:basedOn w:val="5"/>
    <w:qFormat/>
    <w:uiPriority w:val="0"/>
    <w:pPr>
      <w:spacing w:beforeLines="10"/>
      <w:ind w:left="720" w:hanging="432"/>
    </w:pPr>
    <w:rPr>
      <w:rFonts w:cs="Times New Roman" w:eastAsiaTheme="minorEastAsia"/>
      <w:bCs w:val="0"/>
      <w:szCs w:val="26"/>
    </w:rPr>
  </w:style>
  <w:style w:type="paragraph" w:customStyle="1" w:styleId="1647">
    <w:name w:val="xl55"/>
    <w:basedOn w:val="1"/>
    <w:qFormat/>
    <w:uiPriority w:val="0"/>
    <w:pPr>
      <w:widowControl/>
      <w:pBdr>
        <w:top w:val="single" w:color="auto" w:sz="12" w:space="0"/>
        <w:bottom w:val="single" w:color="auto" w:sz="4" w:space="0"/>
      </w:pBdr>
      <w:spacing w:beforeAutospacing="1" w:after="100" w:afterAutospacing="1"/>
      <w:jc w:val="center"/>
    </w:pPr>
    <w:rPr>
      <w:rFonts w:ascii="Arial Unicode MS" w:hAnsi="Arial Unicode MS" w:eastAsia="Arial Unicode MS" w:cs="Times New Roman"/>
      <w:color w:val="000000"/>
      <w:kern w:val="0"/>
      <w:sz w:val="20"/>
      <w:szCs w:val="20"/>
    </w:rPr>
  </w:style>
  <w:style w:type="paragraph" w:customStyle="1" w:styleId="1648">
    <w:name w:val="table1"/>
    <w:basedOn w:val="1"/>
    <w:qFormat/>
    <w:uiPriority w:val="0"/>
    <w:pPr>
      <w:adjustRightInd w:val="0"/>
      <w:spacing w:line="240" w:lineRule="atLeast"/>
      <w:jc w:val="center"/>
      <w:textAlignment w:val="baseline"/>
    </w:pPr>
    <w:rPr>
      <w:rFonts w:ascii="Times New Roman" w:hAnsi="Times New Roman" w:eastAsia="黑体" w:cs="Times New Roman"/>
      <w:kern w:val="0"/>
      <w:sz w:val="24"/>
      <w:szCs w:val="24"/>
    </w:rPr>
  </w:style>
  <w:style w:type="paragraph" w:customStyle="1" w:styleId="1649">
    <w:name w:val="样式 (中文) 黑体 小四 左 行距: 1.5 倍行距"/>
    <w:basedOn w:val="1"/>
    <w:qFormat/>
    <w:uiPriority w:val="0"/>
    <w:pPr>
      <w:adjustRightInd w:val="0"/>
      <w:spacing w:line="360" w:lineRule="auto"/>
      <w:ind w:firstLine="420" w:firstLineChars="168"/>
      <w:jc w:val="left"/>
      <w:textAlignment w:val="baseline"/>
    </w:pPr>
    <w:rPr>
      <w:rFonts w:ascii="Times New Roman" w:hAnsi="Times New Roman" w:cs="宋体"/>
      <w:spacing w:val="5"/>
      <w:kern w:val="0"/>
      <w:sz w:val="24"/>
      <w:szCs w:val="20"/>
    </w:rPr>
  </w:style>
  <w:style w:type="paragraph" w:customStyle="1" w:styleId="1650">
    <w:name w:val="报告书正文 Char Char Char Char Char Char Char"/>
    <w:basedOn w:val="1"/>
    <w:qFormat/>
    <w:uiPriority w:val="0"/>
    <w:pPr>
      <w:spacing w:line="300" w:lineRule="auto"/>
      <w:ind w:firstLine="480" w:firstLineChars="200"/>
      <w:jc w:val="left"/>
    </w:pPr>
    <w:rPr>
      <w:rFonts w:ascii="Times New Roman" w:hAnsi="Times New Roman" w:cs="Times New Roman"/>
      <w:color w:val="000000"/>
      <w:sz w:val="24"/>
      <w:szCs w:val="24"/>
    </w:rPr>
  </w:style>
  <w:style w:type="paragraph" w:customStyle="1" w:styleId="1651">
    <w:name w:val="news3"/>
    <w:basedOn w:val="1"/>
    <w:qFormat/>
    <w:uiPriority w:val="0"/>
    <w:pPr>
      <w:widowControl/>
      <w:spacing w:beforeAutospacing="1" w:after="100" w:afterAutospacing="1" w:line="336" w:lineRule="auto"/>
      <w:jc w:val="left"/>
    </w:pPr>
    <w:rPr>
      <w:rFonts w:ascii="宋体" w:hAnsi="宋体" w:cs="宋体"/>
      <w:color w:val="000000"/>
      <w:kern w:val="0"/>
      <w:sz w:val="18"/>
      <w:szCs w:val="18"/>
    </w:rPr>
  </w:style>
  <w:style w:type="paragraph" w:customStyle="1" w:styleId="1652">
    <w:name w:val="+标题3"/>
    <w:basedOn w:val="5"/>
    <w:qFormat/>
    <w:uiPriority w:val="0"/>
    <w:pPr>
      <w:spacing w:beforeLines="10"/>
      <w:ind w:left="720" w:hanging="432"/>
    </w:pPr>
    <w:rPr>
      <w:rFonts w:cs="Times New Roman" w:eastAsiaTheme="minorEastAsia"/>
      <w:bCs w:val="0"/>
      <w:szCs w:val="26"/>
    </w:rPr>
  </w:style>
  <w:style w:type="paragraph" w:customStyle="1" w:styleId="1653">
    <w:name w:val="XCHG论文节"/>
    <w:basedOn w:val="1"/>
    <w:qFormat/>
    <w:uiPriority w:val="0"/>
    <w:pPr>
      <w:spacing w:beforeLines="100" w:afterLines="100"/>
      <w:jc w:val="left"/>
    </w:pPr>
    <w:rPr>
      <w:rFonts w:ascii="方正姚体" w:hAnsi="Times New Roman" w:eastAsia="方正姚体" w:cs="Times New Roman"/>
      <w:b/>
      <w:bCs/>
      <w:sz w:val="36"/>
      <w:szCs w:val="24"/>
    </w:rPr>
  </w:style>
  <w:style w:type="paragraph" w:customStyle="1" w:styleId="1654">
    <w:name w:val="xyb自建正文"/>
    <w:basedOn w:val="1"/>
    <w:qFormat/>
    <w:uiPriority w:val="0"/>
    <w:pPr>
      <w:tabs>
        <w:tab w:val="left" w:pos="8280"/>
      </w:tabs>
      <w:spacing w:line="360" w:lineRule="auto"/>
      <w:ind w:firstLine="480" w:firstLineChars="200"/>
      <w:jc w:val="left"/>
    </w:pPr>
    <w:rPr>
      <w:rFonts w:ascii="宋体" w:hAnsi="宋体" w:cs="Times New Roman"/>
      <w:sz w:val="24"/>
      <w:szCs w:val="24"/>
    </w:rPr>
  </w:style>
  <w:style w:type="paragraph" w:customStyle="1" w:styleId="1655">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1656">
    <w:name w:val="公式"/>
    <w:next w:val="1"/>
    <w:qFormat/>
    <w:uiPriority w:val="0"/>
    <w:pPr>
      <w:jc w:val="center"/>
    </w:pPr>
    <w:rPr>
      <w:rFonts w:ascii="Times New Roman" w:hAnsi="Times New Roman" w:eastAsia="宋体" w:cs="Times New Roman"/>
      <w:kern w:val="2"/>
      <w:position w:val="-24"/>
      <w:sz w:val="21"/>
      <w:szCs w:val="24"/>
      <w:lang w:val="en-US" w:eastAsia="zh-CN" w:bidi="ar-SA"/>
    </w:rPr>
  </w:style>
  <w:style w:type="paragraph" w:customStyle="1" w:styleId="1657">
    <w:name w:val="表中文字5"/>
    <w:basedOn w:val="1"/>
    <w:qFormat/>
    <w:uiPriority w:val="0"/>
    <w:pPr>
      <w:spacing w:after="100"/>
      <w:ind w:right="-32"/>
      <w:jc w:val="center"/>
    </w:pPr>
    <w:rPr>
      <w:rFonts w:ascii="宋体" w:hAnsi="Times New Roman" w:cs="Times New Roman"/>
      <w:color w:val="000000"/>
      <w:szCs w:val="20"/>
    </w:rPr>
  </w:style>
  <w:style w:type="paragraph" w:customStyle="1" w:styleId="1658">
    <w:name w:val="Char4"/>
    <w:basedOn w:val="1"/>
    <w:qFormat/>
    <w:uiPriority w:val="0"/>
    <w:pPr>
      <w:spacing w:line="360" w:lineRule="auto"/>
      <w:ind w:firstLine="200" w:firstLineChars="200"/>
      <w:jc w:val="left"/>
    </w:pPr>
    <w:rPr>
      <w:rFonts w:ascii="宋体" w:hAnsi="宋体" w:cs="宋体"/>
      <w:sz w:val="24"/>
      <w:szCs w:val="24"/>
    </w:rPr>
  </w:style>
  <w:style w:type="paragraph" w:customStyle="1" w:styleId="1659">
    <w:name w:val="正文 + 首行缩进:  2 字符"/>
    <w:basedOn w:val="1"/>
    <w:qFormat/>
    <w:uiPriority w:val="0"/>
    <w:pPr>
      <w:adjustRightInd w:val="0"/>
      <w:spacing w:afterLines="50" w:line="300" w:lineRule="auto"/>
      <w:ind w:firstLine="520" w:firstLineChars="200"/>
      <w:jc w:val="left"/>
    </w:pPr>
    <w:rPr>
      <w:rFonts w:ascii="宋体" w:hAnsi="Times New Roman" w:cs="Times New Roman"/>
      <w:spacing w:val="10"/>
      <w:sz w:val="24"/>
      <w:szCs w:val="20"/>
    </w:rPr>
  </w:style>
  <w:style w:type="paragraph" w:customStyle="1" w:styleId="1660">
    <w:name w:val="目录1"/>
    <w:basedOn w:val="1"/>
    <w:next w:val="1"/>
    <w:link w:val="3748"/>
    <w:qFormat/>
    <w:uiPriority w:val="0"/>
    <w:pPr>
      <w:widowControl/>
      <w:tabs>
        <w:tab w:val="left" w:leader="dot" w:pos="8503"/>
      </w:tabs>
      <w:spacing w:after="102" w:line="215" w:lineRule="atLeast"/>
      <w:ind w:firstLine="419"/>
      <w:jc w:val="left"/>
      <w:textAlignment w:val="baseline"/>
    </w:pPr>
    <w:rPr>
      <w:rFonts w:ascii="Times New Roman" w:hAnsi="Times New Roman" w:cs="Times New Roman"/>
      <w:color w:val="000000"/>
      <w:kern w:val="0"/>
      <w:szCs w:val="20"/>
      <w:u w:color="000000"/>
    </w:rPr>
  </w:style>
  <w:style w:type="paragraph" w:customStyle="1" w:styleId="1661">
    <w:name w:val="xl46"/>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Times New Roman" w:hAnsi="Times New Roman" w:eastAsia="Arial Unicode MS" w:cs="Times New Roman"/>
      <w:b/>
      <w:bCs/>
      <w:color w:val="000000"/>
      <w:kern w:val="0"/>
    </w:rPr>
  </w:style>
  <w:style w:type="paragraph" w:customStyle="1" w:styleId="1662">
    <w:name w:val="xl35"/>
    <w:basedOn w:val="1"/>
    <w:qFormat/>
    <w:uiPriority w:val="0"/>
    <w:pPr>
      <w:widowControl/>
      <w:pBdr>
        <w:top w:val="single" w:color="auto" w:sz="4" w:space="0"/>
        <w:left w:val="single" w:color="auto" w:sz="4" w:space="0"/>
        <w:bottom w:val="single" w:color="auto" w:sz="4" w:space="0"/>
      </w:pBdr>
      <w:spacing w:beforeAutospacing="1" w:after="100" w:afterAutospacing="1"/>
      <w:jc w:val="center"/>
    </w:pPr>
    <w:rPr>
      <w:rFonts w:ascii="Arial Unicode MS" w:hAnsi="Arial Unicode MS" w:eastAsia="Arial Unicode MS" w:cs="Times New Roman"/>
      <w:kern w:val="0"/>
      <w:sz w:val="24"/>
      <w:szCs w:val="24"/>
    </w:rPr>
  </w:style>
  <w:style w:type="paragraph" w:customStyle="1" w:styleId="1663">
    <w:name w:val="Char Char1 Char"/>
    <w:basedOn w:val="1"/>
    <w:qFormat/>
    <w:uiPriority w:val="0"/>
    <w:pPr>
      <w:spacing w:line="360" w:lineRule="auto"/>
      <w:ind w:firstLine="200" w:firstLineChars="200"/>
      <w:jc w:val="left"/>
    </w:pPr>
    <w:rPr>
      <w:rFonts w:ascii="宋体" w:hAnsi="宋体" w:cs="宋体"/>
      <w:sz w:val="24"/>
      <w:szCs w:val="24"/>
    </w:rPr>
  </w:style>
  <w:style w:type="paragraph" w:customStyle="1" w:styleId="1664">
    <w:name w:val="样式 标题 3 + 段前: 0 磅 段后: 0 磅"/>
    <w:basedOn w:val="5"/>
    <w:qFormat/>
    <w:uiPriority w:val="0"/>
    <w:pPr>
      <w:spacing w:beforeLines="10"/>
      <w:ind w:left="720" w:hanging="432"/>
    </w:pPr>
    <w:rPr>
      <w:rFonts w:cs="Times New Roman" w:eastAsiaTheme="minorEastAsia"/>
      <w:bCs w:val="0"/>
      <w:szCs w:val="26"/>
    </w:rPr>
  </w:style>
  <w:style w:type="paragraph" w:customStyle="1" w:styleId="1665">
    <w:name w:val="标准"/>
    <w:basedOn w:val="1"/>
    <w:link w:val="4015"/>
    <w:qFormat/>
    <w:uiPriority w:val="0"/>
    <w:pPr>
      <w:adjustRightInd w:val="0"/>
      <w:spacing w:line="360" w:lineRule="auto"/>
      <w:jc w:val="center"/>
      <w:textAlignment w:val="baseline"/>
    </w:pPr>
    <w:rPr>
      <w:rFonts w:ascii="Times New Roman" w:hAnsi="Times New Roman" w:cs="Times New Roman"/>
      <w:kern w:val="0"/>
      <w:szCs w:val="20"/>
    </w:rPr>
  </w:style>
  <w:style w:type="paragraph" w:customStyle="1" w:styleId="1666">
    <w:name w:val="Char Char Char Char Char Char Char Char Char Char Char Char Char Char Char Char Char Char1 Char Char Char Char2"/>
    <w:basedOn w:val="1"/>
    <w:qFormat/>
    <w:uiPriority w:val="0"/>
    <w:pPr>
      <w:jc w:val="left"/>
    </w:pPr>
    <w:rPr>
      <w:rFonts w:ascii="Times New Roman" w:hAnsi="Times New Roman" w:cs="Times New Roman"/>
      <w:szCs w:val="24"/>
    </w:rPr>
  </w:style>
  <w:style w:type="paragraph" w:customStyle="1" w:styleId="1667">
    <w:name w:val="表格 8"/>
    <w:basedOn w:val="1"/>
    <w:next w:val="1"/>
    <w:qFormat/>
    <w:uiPriority w:val="0"/>
    <w:pPr>
      <w:spacing w:line="280" w:lineRule="atLeast"/>
      <w:jc w:val="center"/>
    </w:pPr>
    <w:rPr>
      <w:rFonts w:ascii="宋体" w:hAnsi="Times New Roman" w:cs="Times New Roman"/>
      <w:sz w:val="18"/>
      <w:szCs w:val="18"/>
    </w:rPr>
  </w:style>
  <w:style w:type="paragraph" w:customStyle="1" w:styleId="1668">
    <w:name w:val="XCHG论文正文"/>
    <w:basedOn w:val="1"/>
    <w:qFormat/>
    <w:uiPriority w:val="0"/>
    <w:pPr>
      <w:spacing w:line="288" w:lineRule="auto"/>
      <w:ind w:firstLine="480" w:firstLineChars="200"/>
      <w:jc w:val="left"/>
    </w:pPr>
    <w:rPr>
      <w:rFonts w:ascii="Times New Roman" w:hAnsi="Times New Roman" w:cs="Times New Roman"/>
      <w:color w:val="000000"/>
      <w:sz w:val="24"/>
      <w:szCs w:val="24"/>
    </w:rPr>
  </w:style>
  <w:style w:type="paragraph" w:customStyle="1" w:styleId="1669">
    <w:name w:val="表芯"/>
    <w:basedOn w:val="1"/>
    <w:next w:val="1"/>
    <w:qFormat/>
    <w:uiPriority w:val="0"/>
    <w:pPr>
      <w:keepNext/>
      <w:adjustRightInd w:val="0"/>
      <w:spacing w:line="0" w:lineRule="atLeast"/>
      <w:jc w:val="center"/>
      <w:textAlignment w:val="baseline"/>
    </w:pPr>
    <w:rPr>
      <w:rFonts w:ascii="宋体" w:hAnsi="宋体" w:cs="Times New Roman"/>
      <w:bCs/>
      <w:kern w:val="21"/>
      <w:szCs w:val="20"/>
    </w:rPr>
  </w:style>
  <w:style w:type="paragraph" w:customStyle="1" w:styleId="1670">
    <w:name w:val="Char Char1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671">
    <w:name w:val="图表文字"/>
    <w:basedOn w:val="1"/>
    <w:next w:val="1"/>
    <w:qFormat/>
    <w:uiPriority w:val="0"/>
    <w:pPr>
      <w:adjustRightInd w:val="0"/>
      <w:jc w:val="center"/>
    </w:pPr>
    <w:rPr>
      <w:rFonts w:ascii="Times New Roman" w:hAnsi="Times New Roman" w:eastAsia="仿宋_GB2312" w:cs="Times New Roman"/>
      <w:sz w:val="24"/>
      <w:szCs w:val="24"/>
    </w:rPr>
  </w:style>
  <w:style w:type="paragraph" w:customStyle="1" w:styleId="1672">
    <w:name w:val="xyb自建表格名称"/>
    <w:basedOn w:val="1"/>
    <w:qFormat/>
    <w:uiPriority w:val="0"/>
    <w:pPr>
      <w:spacing w:line="360" w:lineRule="auto"/>
      <w:ind w:firstLine="480" w:firstLineChars="200"/>
      <w:jc w:val="left"/>
    </w:pPr>
    <w:rPr>
      <w:rFonts w:ascii="宋体" w:hAnsi="宋体" w:cs="Times New Roman"/>
      <w:sz w:val="24"/>
      <w:szCs w:val="24"/>
    </w:rPr>
  </w:style>
  <w:style w:type="paragraph" w:customStyle="1" w:styleId="1673">
    <w:name w:val="插图"/>
    <w:basedOn w:val="1"/>
    <w:next w:val="1"/>
    <w:qFormat/>
    <w:uiPriority w:val="0"/>
    <w:pPr>
      <w:keepLines/>
      <w:adjustRightInd w:val="0"/>
      <w:spacing w:after="300" w:line="567" w:lineRule="atLeast"/>
      <w:jc w:val="center"/>
      <w:textAlignment w:val="baseline"/>
    </w:pPr>
    <w:rPr>
      <w:rFonts w:ascii="Times New Roman" w:hAnsi="Times New Roman" w:cs="Times New Roman"/>
      <w:spacing w:val="6"/>
      <w:kern w:val="0"/>
      <w:sz w:val="24"/>
      <w:szCs w:val="20"/>
    </w:rPr>
  </w:style>
  <w:style w:type="paragraph" w:customStyle="1" w:styleId="1674">
    <w:name w:val="!标题4(alt+4)"/>
    <w:basedOn w:val="1"/>
    <w:qFormat/>
    <w:uiPriority w:val="0"/>
    <w:pPr>
      <w:tabs>
        <w:tab w:val="left" w:pos="1825"/>
      </w:tabs>
      <w:spacing w:line="420" w:lineRule="exact"/>
      <w:ind w:left="1825" w:hanging="420" w:firstLineChars="205"/>
      <w:jc w:val="left"/>
      <w:outlineLvl w:val="3"/>
    </w:pPr>
    <w:rPr>
      <w:rFonts w:ascii="宋体" w:hAnsi="宋体" w:cs="Times New Roman"/>
      <w:sz w:val="24"/>
      <w:szCs w:val="24"/>
      <w:lang w:val="en-GB"/>
    </w:rPr>
  </w:style>
  <w:style w:type="paragraph" w:customStyle="1" w:styleId="1675">
    <w:name w:val="块项目"/>
    <w:next w:val="86"/>
    <w:qFormat/>
    <w:uiPriority w:val="0"/>
    <w:pPr>
      <w:tabs>
        <w:tab w:val="left" w:pos="425"/>
      </w:tabs>
      <w:spacing w:before="120" w:after="120" w:line="360" w:lineRule="auto"/>
      <w:ind w:left="992" w:hanging="527"/>
    </w:pPr>
    <w:rPr>
      <w:rFonts w:ascii="Times New Roman" w:hAnsi="Times New Roman" w:eastAsia="宋体" w:cs="Times New Roman"/>
      <w:spacing w:val="20"/>
      <w:sz w:val="28"/>
      <w:szCs w:val="28"/>
      <w:lang w:val="en-US" w:eastAsia="zh-CN" w:bidi="ar-SA"/>
    </w:rPr>
  </w:style>
  <w:style w:type="paragraph" w:customStyle="1" w:styleId="1676">
    <w:name w:val="图号"/>
    <w:link w:val="3261"/>
    <w:qFormat/>
    <w:uiPriority w:val="0"/>
    <w:pPr>
      <w:ind w:firstLine="1711"/>
    </w:pPr>
    <w:rPr>
      <w:rFonts w:ascii="Times New Roman" w:hAnsi="Times New Roman" w:eastAsia="宋体" w:cs="Times New Roman"/>
      <w:lang w:val="en-US" w:eastAsia="zh-CN" w:bidi="ar-SA"/>
    </w:rPr>
  </w:style>
  <w:style w:type="paragraph" w:customStyle="1" w:styleId="1677">
    <w:name w:val="样式 图号"/>
    <w:basedOn w:val="1"/>
    <w:qFormat/>
    <w:uiPriority w:val="0"/>
    <w:pPr>
      <w:adjustRightInd w:val="0"/>
      <w:spacing w:line="360" w:lineRule="auto"/>
      <w:ind w:firstLine="1956"/>
      <w:jc w:val="center"/>
      <w:textAlignment w:val="baseline"/>
    </w:pPr>
    <w:rPr>
      <w:rFonts w:ascii="Times New Roman" w:hAnsi="Times New Roman" w:cs="Times New Roman"/>
      <w:snapToGrid w:val="0"/>
      <w:kern w:val="0"/>
      <w:szCs w:val="20"/>
    </w:rPr>
  </w:style>
  <w:style w:type="paragraph" w:customStyle="1" w:styleId="1678">
    <w:name w:val="+标题1"/>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679">
    <w:name w:val="表内小四黑中"/>
    <w:qFormat/>
    <w:uiPriority w:val="0"/>
    <w:pPr>
      <w:jc w:val="center"/>
    </w:pPr>
    <w:rPr>
      <w:rFonts w:ascii="Times New Roman" w:hAnsi="Times New Roman" w:eastAsia="宋体" w:cs="Times New Roman"/>
      <w:lang w:val="en-US" w:eastAsia="zh-CN" w:bidi="ar-SA"/>
    </w:rPr>
  </w:style>
  <w:style w:type="paragraph" w:customStyle="1" w:styleId="1680">
    <w:name w:val="表内五"/>
    <w:basedOn w:val="1"/>
    <w:qFormat/>
    <w:uiPriority w:val="0"/>
    <w:pPr>
      <w:overflowPunct w:val="0"/>
      <w:topLinePunct/>
      <w:autoSpaceDE w:val="0"/>
      <w:adjustRightInd w:val="0"/>
      <w:spacing w:afterLines="50" w:line="360" w:lineRule="exact"/>
      <w:ind w:firstLine="454"/>
      <w:jc w:val="left"/>
    </w:pPr>
    <w:rPr>
      <w:rFonts w:ascii="Times New Roman" w:hAnsi="Times New Roman" w:cs="Times New Roman"/>
      <w:spacing w:val="20"/>
      <w:sz w:val="24"/>
      <w:szCs w:val="20"/>
    </w:rPr>
  </w:style>
  <w:style w:type="paragraph" w:customStyle="1" w:styleId="1681">
    <w:name w:val="报告书正文 Char Char Char Char Char Char Char Char Char1"/>
    <w:basedOn w:val="1"/>
    <w:qFormat/>
    <w:uiPriority w:val="0"/>
    <w:pPr>
      <w:spacing w:line="300" w:lineRule="auto"/>
      <w:ind w:firstLine="480" w:firstLineChars="200"/>
      <w:jc w:val="left"/>
    </w:pPr>
    <w:rPr>
      <w:rFonts w:ascii="Times New Roman" w:hAnsi="Times New Roman" w:cs="Times New Roman"/>
      <w:color w:val="000000"/>
      <w:sz w:val="24"/>
      <w:szCs w:val="24"/>
    </w:rPr>
  </w:style>
  <w:style w:type="paragraph" w:customStyle="1" w:styleId="1682">
    <w:name w:val="样式 标题 3 + 左侧:  0 厘米 首行缩进:  0 厘米"/>
    <w:basedOn w:val="5"/>
    <w:qFormat/>
    <w:uiPriority w:val="0"/>
    <w:pPr>
      <w:spacing w:beforeLines="10"/>
      <w:ind w:left="720" w:hanging="432"/>
    </w:pPr>
    <w:rPr>
      <w:rFonts w:cs="Times New Roman" w:eastAsiaTheme="minorEastAsia"/>
      <w:bCs w:val="0"/>
      <w:szCs w:val="26"/>
    </w:rPr>
  </w:style>
  <w:style w:type="paragraph" w:customStyle="1" w:styleId="1683">
    <w:name w:val="xl58"/>
    <w:basedOn w:val="1"/>
    <w:qFormat/>
    <w:uiPriority w:val="0"/>
    <w:pPr>
      <w:widowControl/>
      <w:pBdr>
        <w:left w:val="single" w:color="auto" w:sz="4" w:space="0"/>
        <w:bottom w:val="single" w:color="auto" w:sz="4" w:space="0"/>
        <w:right w:val="single" w:color="auto" w:sz="12" w:space="0"/>
      </w:pBdr>
      <w:spacing w:beforeAutospacing="1" w:after="100" w:afterAutospacing="1"/>
      <w:jc w:val="center"/>
    </w:pPr>
    <w:rPr>
      <w:rFonts w:ascii="Arial Unicode MS" w:hAnsi="Arial Unicode MS" w:eastAsia="Arial Unicode MS" w:cs="Times New Roman"/>
      <w:color w:val="000000"/>
      <w:kern w:val="0"/>
      <w:sz w:val="20"/>
      <w:szCs w:val="20"/>
    </w:rPr>
  </w:style>
  <w:style w:type="paragraph" w:customStyle="1" w:styleId="1684">
    <w:name w:val="样式 首行缩进:  2.01 字符"/>
    <w:basedOn w:val="1"/>
    <w:qFormat/>
    <w:uiPriority w:val="0"/>
    <w:pPr>
      <w:spacing w:line="440" w:lineRule="exact"/>
      <w:ind w:firstLine="200" w:firstLineChars="200"/>
      <w:jc w:val="left"/>
    </w:pPr>
    <w:rPr>
      <w:rFonts w:ascii="Times New Roman" w:hAnsi="Times New Roman" w:cs="Times New Roman"/>
      <w:sz w:val="24"/>
      <w:szCs w:val="24"/>
    </w:rPr>
  </w:style>
  <w:style w:type="paragraph" w:customStyle="1" w:styleId="1685">
    <w:name w:val="样式 表名 + 段前: 7.8 磅"/>
    <w:basedOn w:val="363"/>
    <w:qFormat/>
    <w:uiPriority w:val="0"/>
    <w:pPr>
      <w:tabs>
        <w:tab w:val="clear" w:pos="1350"/>
      </w:tabs>
      <w:spacing w:before="156" w:after="0" w:line="0" w:lineRule="atLeast"/>
      <w:ind w:firstLine="482" w:firstLineChars="0"/>
      <w:textAlignment w:val="baseline"/>
      <w:outlineLvl w:val="5"/>
    </w:pPr>
    <w:rPr>
      <w:rFonts w:ascii="Times New Roman" w:hAnsi="Times New Roman" w:eastAsia="黑体" w:cs="宋体"/>
      <w:b w:val="0"/>
      <w:spacing w:val="6"/>
      <w:kern w:val="0"/>
      <w:szCs w:val="20"/>
      <w:shd w:val="clear" w:color="auto" w:fill="auto"/>
    </w:rPr>
  </w:style>
  <w:style w:type="paragraph" w:customStyle="1" w:styleId="1686">
    <w:name w:val="样式 表文 + 宋体 小五 居中"/>
    <w:basedOn w:val="1"/>
    <w:qFormat/>
    <w:uiPriority w:val="0"/>
    <w:pPr>
      <w:autoSpaceDE w:val="0"/>
      <w:autoSpaceDN w:val="0"/>
      <w:adjustRightInd w:val="0"/>
      <w:spacing w:line="240" w:lineRule="atLeast"/>
      <w:jc w:val="center"/>
      <w:textAlignment w:val="baseline"/>
    </w:pPr>
    <w:rPr>
      <w:rFonts w:ascii="宋体" w:hAnsi="宋体" w:cs="宋体"/>
      <w:sz w:val="18"/>
      <w:szCs w:val="18"/>
    </w:rPr>
  </w:style>
  <w:style w:type="paragraph" w:customStyle="1" w:styleId="1687">
    <w:name w:val="xl32"/>
    <w:basedOn w:val="1"/>
    <w:qFormat/>
    <w:uiPriority w:val="0"/>
    <w:pPr>
      <w:widowControl/>
      <w:spacing w:beforeAutospacing="1" w:after="100" w:afterAutospacing="1"/>
      <w:jc w:val="center"/>
    </w:pPr>
    <w:rPr>
      <w:rFonts w:hint="eastAsia" w:ascii="仿宋_GB2312" w:hAnsi="宋体" w:eastAsia="仿宋_GB2312" w:cs="Times New Roman"/>
      <w:kern w:val="0"/>
      <w:sz w:val="24"/>
      <w:szCs w:val="24"/>
    </w:rPr>
  </w:style>
  <w:style w:type="paragraph" w:customStyle="1" w:styleId="1688">
    <w:name w:val="生物附录"/>
    <w:qFormat/>
    <w:uiPriority w:val="0"/>
    <w:pPr>
      <w:jc w:val="both"/>
    </w:pPr>
    <w:rPr>
      <w:rFonts w:ascii="Times New Roman" w:hAnsi="Times New Roman" w:eastAsia="宋体" w:cs="Times New Roman"/>
      <w:b/>
      <w:spacing w:val="20"/>
      <w:sz w:val="28"/>
      <w:lang w:val="en-US" w:eastAsia="zh-CN" w:bidi="ar-SA"/>
    </w:rPr>
  </w:style>
  <w:style w:type="paragraph" w:customStyle="1" w:styleId="1689">
    <w:name w:val="二章表格标题"/>
    <w:basedOn w:val="1"/>
    <w:qFormat/>
    <w:uiPriority w:val="0"/>
    <w:pPr>
      <w:spacing w:beforeLines="20" w:line="360" w:lineRule="auto"/>
      <w:jc w:val="center"/>
    </w:pPr>
    <w:rPr>
      <w:rFonts w:ascii="Times New Roman" w:hAnsi="Times New Roman" w:eastAsia="黑体" w:cs="Times New Roman"/>
      <w:sz w:val="24"/>
      <w:szCs w:val="24"/>
    </w:rPr>
  </w:style>
  <w:style w:type="paragraph" w:customStyle="1" w:styleId="1690">
    <w:name w:val="xl39"/>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Arial Unicode MS" w:hAnsi="Arial Unicode MS" w:eastAsia="Arial Unicode MS" w:cs="Times New Roman"/>
      <w:kern w:val="0"/>
      <w:sz w:val="24"/>
      <w:szCs w:val="24"/>
    </w:rPr>
  </w:style>
  <w:style w:type="paragraph" w:customStyle="1" w:styleId="1691">
    <w:name w:val="样式 标题 4 + (西文) Times New Roman (中文) 宋体 段前: 11.85 磅 段后: 11.85 ..."/>
    <w:basedOn w:val="6"/>
    <w:qFormat/>
    <w:uiPriority w:val="0"/>
    <w:pPr>
      <w:tabs>
        <w:tab w:val="left" w:pos="0"/>
      </w:tabs>
      <w:ind w:left="864" w:hanging="144"/>
      <w:jc w:val="both"/>
    </w:pPr>
    <w:rPr>
      <w:rFonts w:ascii="Arial" w:hAnsi="Arial" w:cs="Times New Roman" w:eastAsiaTheme="minorEastAsia"/>
      <w:bCs w:val="0"/>
      <w:i/>
    </w:rPr>
  </w:style>
  <w:style w:type="paragraph" w:customStyle="1" w:styleId="1692">
    <w:name w:val="目录4"/>
    <w:basedOn w:val="1"/>
    <w:next w:val="1"/>
    <w:qFormat/>
    <w:uiPriority w:val="0"/>
    <w:pPr>
      <w:widowControl/>
      <w:tabs>
        <w:tab w:val="left" w:leader="dot" w:pos="8503"/>
      </w:tabs>
      <w:spacing w:line="317" w:lineRule="atLeast"/>
      <w:ind w:left="419" w:firstLine="629"/>
      <w:jc w:val="left"/>
      <w:textAlignment w:val="baseline"/>
    </w:pPr>
    <w:rPr>
      <w:rFonts w:ascii="Times New Roman" w:hAnsi="Times New Roman" w:cs="Times New Roman"/>
      <w:color w:val="000000"/>
      <w:kern w:val="0"/>
      <w:szCs w:val="20"/>
      <w:u w:color="000000"/>
    </w:rPr>
  </w:style>
  <w:style w:type="paragraph" w:customStyle="1" w:styleId="1693">
    <w:name w:val="样式 标题 2 + 段后: 0.5 行"/>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694">
    <w:name w:val="表文LA"/>
    <w:qFormat/>
    <w:uiPriority w:val="0"/>
    <w:pPr>
      <w:tabs>
        <w:tab w:val="left" w:pos="0"/>
      </w:tabs>
      <w:adjustRightInd w:val="0"/>
      <w:snapToGrid w:val="0"/>
      <w:spacing w:before="31" w:after="31"/>
      <w:jc w:val="center"/>
    </w:pPr>
    <w:rPr>
      <w:rFonts w:ascii="宋体" w:hAnsi="Times New Roman" w:eastAsia="宋体" w:cs="Times New Roman"/>
      <w:sz w:val="21"/>
      <w:lang w:val="en-US" w:eastAsia="zh-CN" w:bidi="ar-SA"/>
    </w:rPr>
  </w:style>
  <w:style w:type="paragraph" w:customStyle="1" w:styleId="1695">
    <w:name w:val="样式  + 四号 首行缩进:  0.85 厘米 行距: 固定值 23 磅"/>
    <w:qFormat/>
    <w:uiPriority w:val="0"/>
    <w:pPr>
      <w:spacing w:line="748" w:lineRule="atLeast"/>
      <w:jc w:val="both"/>
      <w:textAlignment w:val="baseline"/>
    </w:pPr>
    <w:rPr>
      <w:rFonts w:ascii="Times New Roman" w:hAnsi="Times New Roman" w:eastAsia="宋体" w:cs="Times New Roman"/>
      <w:color w:val="000000"/>
      <w:sz w:val="28"/>
      <w:u w:color="000000"/>
      <w:lang w:val="en-US" w:eastAsia="zh-CN" w:bidi="ar-SA"/>
    </w:rPr>
  </w:style>
  <w:style w:type="paragraph" w:customStyle="1" w:styleId="1696">
    <w:name w:val="样式 港珠澳正文 + 首行缩进:  2 字符 段前: 1 行 段后: 1 行"/>
    <w:basedOn w:val="1"/>
    <w:qFormat/>
    <w:uiPriority w:val="0"/>
    <w:pPr>
      <w:spacing w:line="360" w:lineRule="auto"/>
      <w:ind w:firstLine="200" w:firstLineChars="200"/>
      <w:jc w:val="left"/>
    </w:pPr>
    <w:rPr>
      <w:rFonts w:ascii="Times New Roman" w:hAnsi="Times New Roman" w:cs="宋体"/>
      <w:color w:val="000000"/>
      <w:sz w:val="24"/>
      <w:szCs w:val="20"/>
    </w:rPr>
  </w:style>
  <w:style w:type="paragraph" w:customStyle="1" w:styleId="1697">
    <w:name w:val="Char Char5"/>
    <w:basedOn w:val="1"/>
    <w:qFormat/>
    <w:uiPriority w:val="0"/>
    <w:pPr>
      <w:spacing w:line="360" w:lineRule="auto"/>
      <w:ind w:firstLine="200" w:firstLineChars="200"/>
      <w:jc w:val="left"/>
    </w:pPr>
    <w:rPr>
      <w:rFonts w:ascii="宋体" w:hAnsi="宋体" w:cs="宋体"/>
      <w:sz w:val="24"/>
      <w:szCs w:val="24"/>
    </w:rPr>
  </w:style>
  <w:style w:type="paragraph" w:customStyle="1" w:styleId="1698">
    <w:name w:val="样式 (符号) 宋体 五号 居中"/>
    <w:basedOn w:val="1"/>
    <w:qFormat/>
    <w:uiPriority w:val="0"/>
    <w:pPr>
      <w:autoSpaceDE w:val="0"/>
      <w:autoSpaceDN w:val="0"/>
      <w:adjustRightInd w:val="0"/>
      <w:jc w:val="center"/>
    </w:pPr>
    <w:rPr>
      <w:rFonts w:ascii="宋体" w:hAnsi="宋体" w:eastAsia="黑体" w:cs="宋体"/>
      <w:kern w:val="0"/>
      <w:szCs w:val="20"/>
      <w:lang w:val="zh-CN"/>
    </w:rPr>
  </w:style>
  <w:style w:type="paragraph" w:customStyle="1" w:styleId="1699">
    <w:name w:val="样式 正文文本缩进 2 + 红色"/>
    <w:basedOn w:val="51"/>
    <w:qFormat/>
    <w:uiPriority w:val="0"/>
    <w:pPr>
      <w:adjustRightInd/>
      <w:spacing w:beforeLines="10" w:after="0" w:line="300" w:lineRule="auto"/>
      <w:ind w:left="0" w:leftChars="0" w:firstLine="539" w:firstLineChars="0"/>
    </w:pPr>
    <w:rPr>
      <w:rFonts w:ascii="Calibri" w:hAnsi="Calibri" w:eastAsiaTheme="minorEastAsia"/>
      <w:snapToGrid w:val="0"/>
      <w:color w:val="FF0000"/>
      <w:kern w:val="0"/>
      <w:szCs w:val="24"/>
    </w:rPr>
  </w:style>
  <w:style w:type="paragraph" w:customStyle="1" w:styleId="1700">
    <w:name w:val="xl36"/>
    <w:basedOn w:val="1"/>
    <w:qFormat/>
    <w:uiPriority w:val="0"/>
    <w:pPr>
      <w:widowControl/>
      <w:pBdr>
        <w:left w:val="single" w:color="auto" w:sz="4" w:space="0"/>
        <w:bottom w:val="single" w:color="auto" w:sz="4" w:space="0"/>
        <w:right w:val="single" w:color="auto" w:sz="4" w:space="0"/>
      </w:pBdr>
      <w:spacing w:after="100"/>
      <w:jc w:val="center"/>
    </w:pPr>
    <w:rPr>
      <w:rFonts w:ascii="Arial Unicode MS" w:hAnsi="Arial Unicode MS" w:eastAsia="Arial Unicode MS" w:cs="Times New Roman"/>
      <w:kern w:val="0"/>
      <w:sz w:val="24"/>
      <w:szCs w:val="20"/>
    </w:rPr>
  </w:style>
  <w:style w:type="paragraph" w:customStyle="1" w:styleId="1701">
    <w:name w:val="xl43"/>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textAlignment w:val="center"/>
    </w:pPr>
    <w:rPr>
      <w:rFonts w:ascii="宋体" w:hAnsi="宋体" w:cs="Times New Roman"/>
      <w:b/>
      <w:bCs/>
      <w:kern w:val="0"/>
      <w:sz w:val="22"/>
    </w:rPr>
  </w:style>
  <w:style w:type="paragraph" w:customStyle="1" w:styleId="1702">
    <w:name w:val="样式 标题 3 + 段前: 0.25 行 段后: 0.25 行"/>
    <w:basedOn w:val="5"/>
    <w:qFormat/>
    <w:uiPriority w:val="0"/>
    <w:pPr>
      <w:spacing w:beforeLines="10"/>
      <w:ind w:left="720" w:hanging="432"/>
    </w:pPr>
    <w:rPr>
      <w:rFonts w:cs="Times New Roman" w:eastAsiaTheme="minorEastAsia"/>
      <w:bCs w:val="0"/>
      <w:szCs w:val="26"/>
    </w:rPr>
  </w:style>
  <w:style w:type="paragraph" w:customStyle="1" w:styleId="1703">
    <w:name w:val="Char Char6"/>
    <w:basedOn w:val="1"/>
    <w:qFormat/>
    <w:uiPriority w:val="0"/>
    <w:pPr>
      <w:spacing w:line="360" w:lineRule="auto"/>
      <w:ind w:firstLine="200" w:firstLineChars="200"/>
      <w:jc w:val="left"/>
    </w:pPr>
    <w:rPr>
      <w:rFonts w:ascii="宋体" w:hAnsi="宋体" w:cs="宋体"/>
      <w:sz w:val="24"/>
      <w:szCs w:val="24"/>
    </w:rPr>
  </w:style>
  <w:style w:type="paragraph" w:customStyle="1" w:styleId="1704">
    <w:name w:val="表头10"/>
    <w:basedOn w:val="1642"/>
    <w:qFormat/>
    <w:uiPriority w:val="0"/>
    <w:pPr>
      <w:tabs>
        <w:tab w:val="left" w:pos="1260"/>
        <w:tab w:val="clear" w:pos="1140"/>
        <w:tab w:val="clear" w:pos="1728"/>
      </w:tabs>
      <w:ind w:left="1260" w:hanging="720"/>
    </w:pPr>
    <w:rPr>
      <w:bCs/>
    </w:rPr>
  </w:style>
  <w:style w:type="paragraph" w:customStyle="1" w:styleId="1705">
    <w:name w:val="xl54"/>
    <w:basedOn w:val="1"/>
    <w:qFormat/>
    <w:uiPriority w:val="0"/>
    <w:pPr>
      <w:widowControl/>
      <w:pBdr>
        <w:top w:val="single" w:color="auto" w:sz="12" w:space="0"/>
        <w:left w:val="single" w:color="000000" w:sz="4" w:space="0"/>
        <w:bottom w:val="single" w:color="auto" w:sz="4" w:space="0"/>
      </w:pBdr>
      <w:spacing w:beforeAutospacing="1" w:after="100" w:afterAutospacing="1"/>
      <w:jc w:val="center"/>
    </w:pPr>
    <w:rPr>
      <w:rFonts w:ascii="Arial Unicode MS" w:hAnsi="Arial Unicode MS" w:eastAsia="Arial Unicode MS" w:cs="Times New Roman"/>
      <w:color w:val="000000"/>
      <w:kern w:val="0"/>
      <w:sz w:val="20"/>
      <w:szCs w:val="20"/>
    </w:rPr>
  </w:style>
  <w:style w:type="paragraph" w:customStyle="1" w:styleId="1706">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1707">
    <w:name w:val="样式 标题4 + Times New Roman"/>
    <w:basedOn w:val="1"/>
    <w:qFormat/>
    <w:uiPriority w:val="0"/>
    <w:pPr>
      <w:adjustRightInd w:val="0"/>
      <w:spacing w:line="360" w:lineRule="auto"/>
      <w:jc w:val="left"/>
      <w:outlineLvl w:val="3"/>
    </w:pPr>
    <w:rPr>
      <w:rFonts w:ascii="Times New Roman" w:hAnsi="Times New Roman" w:cs="Times New Roman"/>
      <w:b/>
      <w:bCs/>
      <w:sz w:val="24"/>
      <w:szCs w:val="24"/>
    </w:rPr>
  </w:style>
  <w:style w:type="paragraph" w:customStyle="1" w:styleId="1708">
    <w:name w:val="小标题 1"/>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709">
    <w:name w:val="生物拉丁文"/>
    <w:basedOn w:val="1"/>
    <w:qFormat/>
    <w:uiPriority w:val="0"/>
    <w:pPr>
      <w:tabs>
        <w:tab w:val="left" w:pos="-120"/>
      </w:tabs>
      <w:overflowPunct w:val="0"/>
      <w:topLinePunct/>
      <w:autoSpaceDE w:val="0"/>
      <w:adjustRightInd w:val="0"/>
      <w:spacing w:afterLines="50" w:line="0" w:lineRule="atLeast"/>
      <w:ind w:firstLine="454"/>
      <w:jc w:val="left"/>
    </w:pPr>
    <w:rPr>
      <w:rFonts w:ascii="Times New Roman" w:hAnsi="Times New Roman" w:cs="Times New Roman"/>
      <w:i/>
      <w:spacing w:val="20"/>
      <w:sz w:val="24"/>
      <w:szCs w:val="20"/>
    </w:rPr>
  </w:style>
  <w:style w:type="paragraph" w:customStyle="1" w:styleId="1710">
    <w:name w:val="报告书"/>
    <w:basedOn w:val="1"/>
    <w:qFormat/>
    <w:uiPriority w:val="0"/>
    <w:pPr>
      <w:spacing w:line="300" w:lineRule="auto"/>
      <w:ind w:firstLine="480" w:firstLineChars="200"/>
      <w:jc w:val="left"/>
    </w:pPr>
    <w:rPr>
      <w:rFonts w:ascii="Times New Roman" w:hAnsi="Times New Roman" w:cs="Times New Roman"/>
      <w:sz w:val="24"/>
      <w:szCs w:val="24"/>
    </w:rPr>
  </w:style>
  <w:style w:type="paragraph" w:customStyle="1" w:styleId="1711">
    <w:name w:val="点项目"/>
    <w:qFormat/>
    <w:uiPriority w:val="0"/>
    <w:pPr>
      <w:widowControl w:val="0"/>
      <w:tabs>
        <w:tab w:val="left" w:pos="360"/>
        <w:tab w:val="left" w:pos="1134"/>
      </w:tabs>
      <w:overflowPunct w:val="0"/>
      <w:topLinePunct/>
      <w:autoSpaceDE w:val="0"/>
      <w:adjustRightInd w:val="0"/>
      <w:snapToGrid w:val="0"/>
      <w:spacing w:before="60" w:afterLines="50" w:line="288" w:lineRule="auto"/>
      <w:ind w:left="737" w:hanging="317"/>
      <w:jc w:val="both"/>
    </w:pPr>
    <w:rPr>
      <w:rFonts w:ascii="Times New Roman" w:hAnsi="Times New Roman" w:eastAsia="宋体" w:cs="Times New Roman"/>
      <w:b/>
      <w:bCs/>
      <w:spacing w:val="16"/>
      <w:kern w:val="2"/>
      <w:sz w:val="24"/>
      <w:lang w:val="en-US" w:eastAsia="zh-CN" w:bidi="ar-SA"/>
    </w:rPr>
  </w:style>
  <w:style w:type="paragraph" w:customStyle="1" w:styleId="1712">
    <w:name w:val="正文 + 小五"/>
    <w:basedOn w:val="1"/>
    <w:qFormat/>
    <w:uiPriority w:val="0"/>
    <w:pPr>
      <w:shd w:val="clear" w:color="auto" w:fill="000080"/>
      <w:adjustRightInd w:val="0"/>
      <w:spacing w:line="312" w:lineRule="atLeast"/>
      <w:jc w:val="center"/>
      <w:textAlignment w:val="baseline"/>
    </w:pPr>
    <w:rPr>
      <w:rFonts w:ascii="Times New Roman" w:hAnsi="Times New Roman" w:cs="Times New Roman"/>
      <w:kern w:val="0"/>
      <w:sz w:val="18"/>
      <w:szCs w:val="18"/>
    </w:rPr>
  </w:style>
  <w:style w:type="paragraph" w:customStyle="1" w:styleId="1713">
    <w:name w:val="Char Char Char2 Char"/>
    <w:basedOn w:val="5"/>
    <w:qFormat/>
    <w:uiPriority w:val="0"/>
    <w:pPr>
      <w:spacing w:beforeLines="10"/>
      <w:ind w:left="720" w:hanging="432"/>
    </w:pPr>
    <w:rPr>
      <w:rFonts w:cs="Times New Roman" w:eastAsiaTheme="minorEastAsia"/>
      <w:bCs w:val="0"/>
      <w:szCs w:val="26"/>
    </w:rPr>
  </w:style>
  <w:style w:type="paragraph" w:customStyle="1" w:styleId="1714">
    <w:name w:val="样式1 Char Char Char Char1"/>
    <w:basedOn w:val="1"/>
    <w:qFormat/>
    <w:uiPriority w:val="0"/>
    <w:pPr>
      <w:spacing w:line="560" w:lineRule="atLeast"/>
      <w:ind w:firstLine="480" w:firstLineChars="200"/>
      <w:jc w:val="left"/>
    </w:pPr>
    <w:rPr>
      <w:rFonts w:ascii="宋体" w:hAnsi="宋体" w:cs="Times New Roman"/>
      <w:sz w:val="24"/>
      <w:szCs w:val="24"/>
    </w:rPr>
  </w:style>
  <w:style w:type="paragraph" w:customStyle="1" w:styleId="1715">
    <w:name w:val="样式 宋体 小四 首行缩进:  0.95 厘米 行距: 1.5 倍行距"/>
    <w:basedOn w:val="1"/>
    <w:qFormat/>
    <w:uiPriority w:val="0"/>
    <w:pPr>
      <w:spacing w:line="300" w:lineRule="auto"/>
      <w:ind w:firstLine="539"/>
      <w:jc w:val="left"/>
    </w:pPr>
    <w:rPr>
      <w:rFonts w:ascii="宋体" w:hAnsi="宋体" w:cs="Times New Roman"/>
      <w:sz w:val="24"/>
      <w:szCs w:val="24"/>
    </w:rPr>
  </w:style>
  <w:style w:type="paragraph" w:customStyle="1" w:styleId="1716">
    <w:name w:val="style11"/>
    <w:basedOn w:val="1"/>
    <w:qFormat/>
    <w:uiPriority w:val="0"/>
    <w:pPr>
      <w:widowControl/>
      <w:spacing w:beforeAutospacing="1" w:after="100" w:afterAutospacing="1"/>
      <w:jc w:val="left"/>
    </w:pPr>
    <w:rPr>
      <w:rFonts w:ascii="宋体" w:hAnsi="宋体" w:cs="宋体"/>
      <w:color w:val="000000"/>
      <w:kern w:val="0"/>
      <w:sz w:val="18"/>
      <w:szCs w:val="18"/>
    </w:rPr>
  </w:style>
  <w:style w:type="paragraph" w:customStyle="1" w:styleId="1717">
    <w:name w:val="表1"/>
    <w:basedOn w:val="1"/>
    <w:qFormat/>
    <w:uiPriority w:val="0"/>
    <w:pPr>
      <w:tabs>
        <w:tab w:val="left" w:pos="420"/>
      </w:tabs>
      <w:overflowPunct w:val="0"/>
      <w:autoSpaceDE w:val="0"/>
      <w:autoSpaceDN w:val="0"/>
      <w:adjustRightInd w:val="0"/>
      <w:spacing w:line="320" w:lineRule="atLeast"/>
      <w:jc w:val="left"/>
      <w:textAlignment w:val="baseline"/>
    </w:pPr>
    <w:rPr>
      <w:rFonts w:ascii="Times New Roman" w:hAnsi="Times New Roman" w:cs="Times New Roman"/>
      <w:kern w:val="0"/>
      <w:sz w:val="24"/>
      <w:szCs w:val="20"/>
    </w:rPr>
  </w:style>
  <w:style w:type="paragraph" w:customStyle="1" w:styleId="1718">
    <w:name w:val="xl41"/>
    <w:basedOn w:val="1"/>
    <w:qFormat/>
    <w:uiPriority w:val="0"/>
    <w:pPr>
      <w:widowControl/>
      <w:pBdr>
        <w:top w:val="single" w:color="auto" w:sz="4" w:space="0"/>
        <w:left w:val="single" w:color="auto" w:sz="4" w:space="0"/>
        <w:bottom w:val="single" w:color="auto" w:sz="4" w:space="0"/>
      </w:pBdr>
      <w:spacing w:beforeAutospacing="1" w:after="100" w:afterAutospacing="1"/>
      <w:jc w:val="center"/>
      <w:textAlignment w:val="center"/>
    </w:pPr>
    <w:rPr>
      <w:rFonts w:ascii="Arial Unicode MS" w:hAnsi="Arial Unicode MS" w:eastAsia="Arial Unicode MS" w:cs="Times New Roman"/>
      <w:kern w:val="0"/>
      <w:sz w:val="24"/>
      <w:szCs w:val="24"/>
    </w:rPr>
  </w:style>
  <w:style w:type="paragraph" w:customStyle="1" w:styleId="1719">
    <w:name w:val="标题 72"/>
    <w:basedOn w:val="1"/>
    <w:next w:val="1"/>
    <w:qFormat/>
    <w:uiPriority w:val="0"/>
    <w:pPr>
      <w:autoSpaceDE w:val="0"/>
      <w:autoSpaceDN w:val="0"/>
      <w:adjustRightInd w:val="0"/>
      <w:jc w:val="left"/>
    </w:pPr>
    <w:rPr>
      <w:rFonts w:ascii="JKIKGP+CenturyGothic" w:hAnsi="Times New Roman" w:eastAsia="JKIKGP+CenturyGothic" w:cs="Times New Roman"/>
      <w:kern w:val="0"/>
      <w:sz w:val="24"/>
      <w:szCs w:val="24"/>
    </w:rPr>
  </w:style>
  <w:style w:type="paragraph" w:customStyle="1" w:styleId="1720">
    <w:name w:val="xl51"/>
    <w:basedOn w:val="1"/>
    <w:link w:val="2657"/>
    <w:qFormat/>
    <w:uiPriority w:val="0"/>
    <w:pPr>
      <w:widowControl/>
      <w:pBdr>
        <w:bottom w:val="single" w:color="auto" w:sz="12" w:space="0"/>
      </w:pBdr>
      <w:spacing w:beforeAutospacing="1" w:after="100" w:afterAutospacing="1"/>
      <w:jc w:val="center"/>
    </w:pPr>
    <w:rPr>
      <w:rFonts w:ascii="Arial Unicode MS" w:hAnsi="Arial Unicode MS" w:eastAsia="Arial Unicode MS" w:cs="Times New Roman"/>
      <w:color w:val="000000"/>
      <w:kern w:val="0"/>
      <w:sz w:val="28"/>
      <w:szCs w:val="28"/>
    </w:rPr>
  </w:style>
  <w:style w:type="paragraph" w:customStyle="1" w:styleId="1721">
    <w:name w:val="样式 !正文(alt+c) + 首行缩进:  2 字符"/>
    <w:basedOn w:val="1"/>
    <w:qFormat/>
    <w:uiPriority w:val="0"/>
    <w:pPr>
      <w:widowControl/>
      <w:spacing w:line="440" w:lineRule="exact"/>
      <w:ind w:firstLine="480" w:firstLineChars="200"/>
      <w:jc w:val="left"/>
    </w:pPr>
    <w:rPr>
      <w:rFonts w:ascii="Times New Roman" w:hAnsi="Times New Roman" w:cs="Times New Roman"/>
      <w:color w:val="000000"/>
      <w:kern w:val="0"/>
      <w:sz w:val="24"/>
      <w:szCs w:val="20"/>
    </w:rPr>
  </w:style>
  <w:style w:type="paragraph" w:customStyle="1" w:styleId="1722">
    <w:name w:val="BBT"/>
    <w:basedOn w:val="1"/>
    <w:qFormat/>
    <w:uiPriority w:val="0"/>
    <w:pPr>
      <w:adjustRightInd w:val="0"/>
      <w:spacing w:beforeLines="50" w:afterLines="50"/>
      <w:jc w:val="center"/>
    </w:pPr>
    <w:rPr>
      <w:rFonts w:ascii="宋体" w:hAnsi="宋体" w:cs="Times New Roman"/>
      <w:b/>
      <w:bCs/>
      <w:spacing w:val="6"/>
      <w:sz w:val="24"/>
      <w:szCs w:val="20"/>
    </w:rPr>
  </w:style>
  <w:style w:type="paragraph" w:customStyle="1" w:styleId="1723">
    <w:name w:val="ourfont3"/>
    <w:basedOn w:val="1"/>
    <w:qFormat/>
    <w:uiPriority w:val="0"/>
    <w:pPr>
      <w:widowControl/>
      <w:adjustRightInd w:val="0"/>
      <w:spacing w:beforeAutospacing="1" w:after="100" w:afterAutospacing="1" w:line="340" w:lineRule="atLeast"/>
      <w:jc w:val="left"/>
      <w:textAlignment w:val="baseline"/>
    </w:pPr>
    <w:rPr>
      <w:rFonts w:ascii="宋体" w:hAnsi="宋体" w:cs="宋体"/>
      <w:spacing w:val="20"/>
      <w:kern w:val="0"/>
    </w:rPr>
  </w:style>
  <w:style w:type="paragraph" w:customStyle="1" w:styleId="1724">
    <w:name w:val="样式 标题 1 + 段前: 18 磅"/>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725">
    <w:name w:val="font18"/>
    <w:basedOn w:val="1"/>
    <w:qFormat/>
    <w:uiPriority w:val="0"/>
    <w:pPr>
      <w:widowControl/>
      <w:spacing w:beforeAutospacing="1" w:after="100" w:afterAutospacing="1"/>
      <w:jc w:val="left"/>
    </w:pPr>
    <w:rPr>
      <w:rFonts w:ascii="楷体_GB2312" w:hAnsi="宋体" w:eastAsia="楷体_GB2312" w:cs="宋体"/>
      <w:kern w:val="0"/>
      <w:sz w:val="18"/>
      <w:szCs w:val="18"/>
    </w:rPr>
  </w:style>
  <w:style w:type="paragraph" w:customStyle="1" w:styleId="1726">
    <w:name w:val="样式 样式 样式 标题 3标题 33 + 段前: 0.5 行 + 段前: 0.5 行 + 段前: 6 磅 段后: 6 磅1"/>
    <w:basedOn w:val="1632"/>
    <w:qFormat/>
    <w:uiPriority w:val="0"/>
  </w:style>
  <w:style w:type="paragraph" w:customStyle="1" w:styleId="1727">
    <w:name w:val="样式25"/>
    <w:basedOn w:val="1"/>
    <w:qFormat/>
    <w:uiPriority w:val="0"/>
    <w:pPr>
      <w:widowControl/>
      <w:adjustRightInd w:val="0"/>
      <w:spacing w:line="440" w:lineRule="atLeast"/>
      <w:ind w:firstLine="200" w:firstLineChars="200"/>
      <w:jc w:val="left"/>
      <w:textAlignment w:val="baseline"/>
      <w:outlineLvl w:val="3"/>
    </w:pPr>
    <w:rPr>
      <w:rFonts w:ascii="Times New Roman" w:hAnsi="Times New Roman" w:cs="宋体"/>
      <w:snapToGrid w:val="0"/>
      <w:spacing w:val="26"/>
      <w:kern w:val="0"/>
      <w:sz w:val="32"/>
      <w:szCs w:val="28"/>
      <w:u w:color="000000"/>
    </w:rPr>
  </w:style>
  <w:style w:type="paragraph" w:customStyle="1" w:styleId="1728">
    <w:name w:val="+标题4"/>
    <w:basedOn w:val="6"/>
    <w:qFormat/>
    <w:uiPriority w:val="0"/>
    <w:pPr>
      <w:tabs>
        <w:tab w:val="left" w:pos="0"/>
      </w:tabs>
      <w:ind w:left="864" w:hanging="144"/>
      <w:jc w:val="both"/>
    </w:pPr>
    <w:rPr>
      <w:rFonts w:ascii="Arial" w:hAnsi="Arial" w:cs="Times New Roman" w:eastAsiaTheme="minorEastAsia"/>
      <w:bCs w:val="0"/>
      <w:i/>
    </w:rPr>
  </w:style>
  <w:style w:type="paragraph" w:customStyle="1" w:styleId="1729">
    <w:name w:val="图片文字"/>
    <w:basedOn w:val="1"/>
    <w:qFormat/>
    <w:uiPriority w:val="0"/>
    <w:pPr>
      <w:jc w:val="center"/>
    </w:pPr>
    <w:rPr>
      <w:rFonts w:ascii="Times New Roman" w:hAnsi="Times New Roman" w:cs="Times New Roman"/>
      <w:color w:val="000000"/>
      <w:szCs w:val="24"/>
    </w:rPr>
  </w:style>
  <w:style w:type="paragraph" w:customStyle="1" w:styleId="1730">
    <w:name w:val="xl57"/>
    <w:basedOn w:val="1"/>
    <w:qFormat/>
    <w:uiPriority w:val="0"/>
    <w:pPr>
      <w:widowControl/>
      <w:pBdr>
        <w:top w:val="single" w:color="auto" w:sz="12" w:space="0"/>
        <w:left w:val="single" w:color="auto" w:sz="4" w:space="0"/>
        <w:right w:val="single" w:color="auto" w:sz="12" w:space="0"/>
      </w:pBdr>
      <w:spacing w:beforeAutospacing="1" w:after="100" w:afterAutospacing="1"/>
      <w:jc w:val="center"/>
    </w:pPr>
    <w:rPr>
      <w:rFonts w:ascii="Arial Unicode MS" w:hAnsi="Arial Unicode MS" w:eastAsia="Arial Unicode MS" w:cs="Times New Roman"/>
      <w:color w:val="000000"/>
      <w:kern w:val="0"/>
      <w:sz w:val="20"/>
      <w:szCs w:val="20"/>
    </w:rPr>
  </w:style>
  <w:style w:type="paragraph" w:customStyle="1" w:styleId="1731">
    <w:name w:val="样式 样式 标题 4款标题1.1.1.1标题 4XW Char标题 4XW Char Char标题 4 Char标题 4XW....."/>
    <w:basedOn w:val="1"/>
    <w:qFormat/>
    <w:uiPriority w:val="0"/>
    <w:pPr>
      <w:keepNext/>
      <w:keepLines/>
      <w:spacing w:after="60" w:line="360" w:lineRule="auto"/>
      <w:ind w:left="855" w:hanging="360"/>
      <w:jc w:val="left"/>
      <w:outlineLvl w:val="3"/>
    </w:pPr>
    <w:rPr>
      <w:rFonts w:ascii="Times New Roman" w:hAnsi="Times New Roman" w:cs="宋体"/>
      <w:b/>
      <w:bCs/>
      <w:kern w:val="44"/>
      <w:sz w:val="24"/>
      <w:szCs w:val="20"/>
      <w:lang w:val="fr-FR"/>
    </w:rPr>
  </w:style>
  <w:style w:type="paragraph" w:customStyle="1" w:styleId="1732">
    <w:name w:val="9"/>
    <w:basedOn w:val="1"/>
    <w:next w:val="39"/>
    <w:qFormat/>
    <w:uiPriority w:val="0"/>
    <w:pPr>
      <w:adjustRightInd w:val="0"/>
      <w:spacing w:after="120" w:line="312" w:lineRule="atLeast"/>
      <w:ind w:left="1440" w:leftChars="700" w:right="1440" w:rightChars="700"/>
      <w:jc w:val="left"/>
      <w:textAlignment w:val="baseline"/>
    </w:pPr>
    <w:rPr>
      <w:rFonts w:ascii="Times New Roman" w:hAnsi="Times New Roman" w:cs="Times New Roman"/>
      <w:kern w:val="0"/>
      <w:szCs w:val="20"/>
    </w:rPr>
  </w:style>
  <w:style w:type="paragraph" w:customStyle="1" w:styleId="1733">
    <w:name w:val="xl50"/>
    <w:basedOn w:val="1"/>
    <w:qFormat/>
    <w:uiPriority w:val="0"/>
    <w:pPr>
      <w:widowControl/>
      <w:pBdr>
        <w:right w:val="single" w:color="auto" w:sz="4" w:space="0"/>
      </w:pBdr>
      <w:spacing w:beforeAutospacing="1" w:after="100" w:afterAutospacing="1"/>
      <w:jc w:val="left"/>
    </w:pPr>
    <w:rPr>
      <w:rFonts w:ascii="Arial Unicode MS" w:hAnsi="Arial Unicode MS" w:eastAsia="Arial Unicode MS" w:cs="Times New Roman"/>
      <w:b/>
      <w:bCs/>
      <w:color w:val="000000"/>
      <w:kern w:val="0"/>
    </w:rPr>
  </w:style>
  <w:style w:type="paragraph" w:customStyle="1" w:styleId="1734">
    <w:name w:val="6"/>
    <w:basedOn w:val="1"/>
    <w:next w:val="31"/>
    <w:qFormat/>
    <w:uiPriority w:val="0"/>
    <w:pPr>
      <w:spacing w:line="360" w:lineRule="auto"/>
      <w:jc w:val="left"/>
    </w:pPr>
    <w:rPr>
      <w:rFonts w:ascii="Times New Roman" w:hAnsi="Times New Roman" w:cs="Times New Roman"/>
      <w:sz w:val="24"/>
      <w:szCs w:val="24"/>
    </w:rPr>
  </w:style>
  <w:style w:type="paragraph" w:customStyle="1" w:styleId="1735">
    <w:name w:val="表单位"/>
    <w:basedOn w:val="1"/>
    <w:qFormat/>
    <w:uiPriority w:val="0"/>
    <w:pPr>
      <w:ind w:firstLine="482" w:firstLineChars="200"/>
      <w:jc w:val="right"/>
    </w:pPr>
    <w:rPr>
      <w:rFonts w:ascii="宋体" w:hAnsi="Times New Roman" w:cs="Times New Roman"/>
      <w:szCs w:val="20"/>
    </w:rPr>
  </w:style>
  <w:style w:type="paragraph" w:customStyle="1" w:styleId="1736">
    <w:name w:val="样式 (中文) 黑体 小四 首行缩进:  0.95 厘米 段前: 6 磅 行距: 1.5 倍行距"/>
    <w:basedOn w:val="1"/>
    <w:qFormat/>
    <w:uiPriority w:val="0"/>
    <w:pPr>
      <w:adjustRightInd w:val="0"/>
      <w:spacing w:line="360" w:lineRule="auto"/>
      <w:ind w:firstLine="539"/>
      <w:jc w:val="left"/>
      <w:textAlignment w:val="baseline"/>
    </w:pPr>
    <w:rPr>
      <w:rFonts w:ascii="Times New Roman" w:hAnsi="Times New Roman" w:cs="宋体"/>
      <w:spacing w:val="5"/>
      <w:kern w:val="0"/>
      <w:sz w:val="24"/>
      <w:szCs w:val="20"/>
    </w:rPr>
  </w:style>
  <w:style w:type="paragraph" w:customStyle="1" w:styleId="1737">
    <w:name w:val="dot"/>
    <w:qFormat/>
    <w:uiPriority w:val="0"/>
    <w:pPr>
      <w:tabs>
        <w:tab w:val="left" w:pos="550"/>
      </w:tabs>
      <w:spacing w:line="360" w:lineRule="auto"/>
      <w:ind w:left="1174" w:hanging="318"/>
    </w:pPr>
    <w:rPr>
      <w:rFonts w:ascii="宋体" w:hAnsi="宋体" w:eastAsia="宋体" w:cs="Times New Roman"/>
      <w:b/>
      <w:sz w:val="24"/>
      <w:lang w:val="en-US" w:eastAsia="zh-CN" w:bidi="ar-SA"/>
    </w:rPr>
  </w:style>
  <w:style w:type="paragraph" w:customStyle="1" w:styleId="1738">
    <w:name w:val="样式 样式 标题 3 + 段前: 0 磅 段后: 0 磅 + 段前: 0.5 行 段后: 0.5 行"/>
    <w:basedOn w:val="1664"/>
    <w:qFormat/>
    <w:uiPriority w:val="0"/>
    <w:pPr>
      <w:adjustRightInd w:val="0"/>
      <w:spacing w:before="120" w:after="120" w:line="416" w:lineRule="atLeast"/>
      <w:ind w:left="0" w:firstLine="480" w:firstLineChars="200"/>
      <w:textAlignment w:val="baseline"/>
    </w:pPr>
    <w:rPr>
      <w:rFonts w:ascii="宋体" w:hAnsi="宋体" w:cs="宋体"/>
      <w:b w:val="0"/>
      <w:bCs/>
      <w:iCs/>
      <w:color w:val="0000FF"/>
      <w:kern w:val="0"/>
      <w:szCs w:val="20"/>
    </w:rPr>
  </w:style>
  <w:style w:type="paragraph" w:customStyle="1" w:styleId="1739">
    <w:name w:val="隐形说明"/>
    <w:basedOn w:val="86"/>
    <w:next w:val="86"/>
    <w:qFormat/>
    <w:uiPriority w:val="0"/>
    <w:pPr>
      <w:tabs>
        <w:tab w:val="left" w:pos="-120"/>
      </w:tabs>
      <w:adjustRightInd/>
      <w:spacing w:beforeLines="0" w:after="0" w:line="288" w:lineRule="auto"/>
      <w:ind w:firstLine="0" w:firstLineChars="200"/>
      <w:jc w:val="center"/>
    </w:pPr>
    <w:rPr>
      <w:rFonts w:ascii="Calibri" w:hAnsi="Calibri"/>
      <w:b/>
      <w:i/>
      <w:color w:val="008080"/>
      <w:spacing w:val="16"/>
      <w:kern w:val="2"/>
    </w:rPr>
  </w:style>
  <w:style w:type="paragraph" w:customStyle="1" w:styleId="1740">
    <w:name w:val="表内小四"/>
    <w:basedOn w:val="1655"/>
    <w:qFormat/>
    <w:uiPriority w:val="0"/>
    <w:pPr>
      <w:widowControl w:val="0"/>
      <w:tabs>
        <w:tab w:val="left" w:pos="-120"/>
        <w:tab w:val="left" w:pos="113"/>
      </w:tabs>
      <w:overflowPunct w:val="0"/>
      <w:topLinePunct/>
      <w:autoSpaceDE w:val="0"/>
      <w:snapToGrid w:val="0"/>
      <w:spacing w:afterLines="50" w:line="360" w:lineRule="exact"/>
      <w:ind w:left="0"/>
      <w:jc w:val="left"/>
    </w:pPr>
    <w:rPr>
      <w:spacing w:val="-20"/>
    </w:rPr>
  </w:style>
  <w:style w:type="paragraph" w:customStyle="1" w:styleId="1741">
    <w:name w:val="xl29"/>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22"/>
    </w:rPr>
  </w:style>
  <w:style w:type="paragraph" w:customStyle="1" w:styleId="1742">
    <w:name w:val="目录2"/>
    <w:basedOn w:val="1"/>
    <w:next w:val="1"/>
    <w:qFormat/>
    <w:uiPriority w:val="0"/>
    <w:pPr>
      <w:widowControl/>
      <w:tabs>
        <w:tab w:val="left" w:leader="dot" w:pos="8503"/>
      </w:tabs>
      <w:spacing w:line="317" w:lineRule="atLeast"/>
      <w:ind w:left="419" w:firstLine="419"/>
      <w:jc w:val="left"/>
      <w:textAlignment w:val="baseline"/>
    </w:pPr>
    <w:rPr>
      <w:rFonts w:ascii="Times New Roman" w:hAnsi="Times New Roman" w:cs="Times New Roman"/>
      <w:color w:val="000000"/>
      <w:kern w:val="0"/>
      <w:szCs w:val="20"/>
      <w:u w:color="000000"/>
    </w:rPr>
  </w:style>
  <w:style w:type="paragraph" w:customStyle="1" w:styleId="1743">
    <w:name w:val="NOTE"/>
    <w:basedOn w:val="1"/>
    <w:qFormat/>
    <w:uiPriority w:val="0"/>
    <w:pPr>
      <w:adjustRightInd w:val="0"/>
      <w:spacing w:line="420" w:lineRule="atLeast"/>
      <w:ind w:left="567" w:hanging="567"/>
      <w:jc w:val="left"/>
      <w:textAlignment w:val="baseline"/>
    </w:pPr>
    <w:rPr>
      <w:rFonts w:ascii="宋体" w:hAnsi="Times New Roman" w:cs="Times New Roman"/>
      <w:spacing w:val="30"/>
      <w:kern w:val="0"/>
      <w:szCs w:val="20"/>
    </w:rPr>
  </w:style>
  <w:style w:type="paragraph" w:customStyle="1" w:styleId="1744">
    <w:name w:val="样式12 Char Char Char"/>
    <w:basedOn w:val="5"/>
    <w:qFormat/>
    <w:uiPriority w:val="0"/>
    <w:pPr>
      <w:spacing w:beforeLines="10"/>
      <w:ind w:left="720" w:hanging="432"/>
    </w:pPr>
    <w:rPr>
      <w:rFonts w:cs="Times New Roman" w:eastAsiaTheme="minorEastAsia"/>
      <w:bCs w:val="0"/>
      <w:szCs w:val="26"/>
    </w:rPr>
  </w:style>
  <w:style w:type="paragraph" w:customStyle="1" w:styleId="1745">
    <w:name w:val="黑体"/>
    <w:basedOn w:val="1"/>
    <w:next w:val="1"/>
    <w:qFormat/>
    <w:uiPriority w:val="0"/>
    <w:pPr>
      <w:tabs>
        <w:tab w:val="left" w:pos="785"/>
      </w:tabs>
      <w:spacing w:afterLines="20" w:line="400" w:lineRule="exact"/>
      <w:ind w:left="-29" w:firstLine="454"/>
      <w:jc w:val="left"/>
    </w:pPr>
    <w:rPr>
      <w:rFonts w:ascii="Times New Roman" w:hAnsi="Times New Roman" w:cs="Times New Roman"/>
      <w:color w:val="FF0000"/>
      <w:sz w:val="24"/>
      <w:szCs w:val="24"/>
    </w:rPr>
  </w:style>
  <w:style w:type="paragraph" w:customStyle="1" w:styleId="1746">
    <w:name w:val="12 Char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747">
    <w:name w:val="普通文字 Char Char Char Char Char Char Char Char Char Char Char Char Char Char Char Char Char"/>
    <w:basedOn w:val="1"/>
    <w:next w:val="45"/>
    <w:qFormat/>
    <w:uiPriority w:val="0"/>
    <w:pPr>
      <w:jc w:val="left"/>
    </w:pPr>
    <w:rPr>
      <w:rFonts w:ascii="宋体" w:hAnsi="Courier New" w:cs="Times New Roman"/>
      <w:szCs w:val="20"/>
    </w:rPr>
  </w:style>
  <w:style w:type="paragraph" w:customStyle="1" w:styleId="1748">
    <w:name w:val="表格 5"/>
    <w:basedOn w:val="1"/>
    <w:next w:val="1"/>
    <w:link w:val="3537"/>
    <w:qFormat/>
    <w:uiPriority w:val="0"/>
    <w:pPr>
      <w:spacing w:line="280" w:lineRule="atLeast"/>
      <w:jc w:val="center"/>
    </w:pPr>
    <w:rPr>
      <w:rFonts w:ascii="宋体" w:hAnsi="Times New Roman" w:cs="Times New Roman"/>
      <w:sz w:val="22"/>
      <w:szCs w:val="26"/>
    </w:rPr>
  </w:style>
  <w:style w:type="paragraph" w:customStyle="1" w:styleId="1749">
    <w:name w:val="首行缩进2"/>
    <w:basedOn w:val="1"/>
    <w:qFormat/>
    <w:uiPriority w:val="0"/>
    <w:pPr>
      <w:spacing w:line="360" w:lineRule="auto"/>
      <w:ind w:firstLine="480" w:firstLineChars="200"/>
      <w:jc w:val="left"/>
    </w:pPr>
    <w:rPr>
      <w:rFonts w:ascii="Times New Roman" w:hAnsi="Times New Roman" w:cs="宋体"/>
      <w:kern w:val="0"/>
      <w:sz w:val="24"/>
      <w:szCs w:val="20"/>
    </w:rPr>
  </w:style>
  <w:style w:type="paragraph" w:customStyle="1" w:styleId="1750">
    <w:name w:val="样式 标题 3 + 段前: 10 磅 段后: 10 磅"/>
    <w:basedOn w:val="5"/>
    <w:qFormat/>
    <w:uiPriority w:val="0"/>
    <w:pPr>
      <w:spacing w:beforeLines="10"/>
      <w:ind w:left="720" w:hanging="432"/>
    </w:pPr>
    <w:rPr>
      <w:rFonts w:cs="Times New Roman" w:eastAsiaTheme="minorEastAsia"/>
      <w:bCs w:val="0"/>
      <w:szCs w:val="26"/>
    </w:rPr>
  </w:style>
  <w:style w:type="paragraph" w:customStyle="1" w:styleId="1751">
    <w:name w:val="xl40"/>
    <w:basedOn w:val="1"/>
    <w:qFormat/>
    <w:uiPriority w:val="0"/>
    <w:pPr>
      <w:widowControl/>
      <w:pBdr>
        <w:top w:val="single" w:color="auto" w:sz="4" w:space="0"/>
        <w:left w:val="single" w:color="auto" w:sz="4" w:space="0"/>
        <w:bottom w:val="single" w:color="auto" w:sz="4" w:space="0"/>
      </w:pBdr>
      <w:spacing w:beforeAutospacing="1" w:after="100" w:afterAutospacing="1"/>
      <w:jc w:val="center"/>
      <w:textAlignment w:val="center"/>
    </w:pPr>
    <w:rPr>
      <w:rFonts w:ascii="Arial Unicode MS" w:hAnsi="Arial Unicode MS" w:eastAsia="Arial Unicode MS" w:cs="Times New Roman"/>
      <w:kern w:val="0"/>
      <w:sz w:val="24"/>
      <w:szCs w:val="24"/>
    </w:rPr>
  </w:style>
  <w:style w:type="paragraph" w:customStyle="1" w:styleId="1752">
    <w:name w:val="标4 Char Char Char"/>
    <w:basedOn w:val="169"/>
    <w:qFormat/>
    <w:uiPriority w:val="0"/>
    <w:pPr>
      <w:adjustRightInd/>
      <w:spacing w:beforeLines="10" w:line="560" w:lineRule="atLeast"/>
      <w:ind w:firstLine="0" w:firstLineChars="0"/>
      <w:outlineLvl w:val="3"/>
    </w:pPr>
    <w:rPr>
      <w:rFonts w:ascii="宋体" w:hAnsi="宋体" w:eastAsiaTheme="minorEastAsia"/>
      <w:snapToGrid w:val="0"/>
      <w:kern w:val="0"/>
      <w:szCs w:val="30"/>
    </w:rPr>
  </w:style>
  <w:style w:type="paragraph" w:customStyle="1" w:styleId="1753">
    <w:name w:val="目录3"/>
    <w:basedOn w:val="1"/>
    <w:next w:val="1"/>
    <w:qFormat/>
    <w:uiPriority w:val="0"/>
    <w:pPr>
      <w:widowControl/>
      <w:tabs>
        <w:tab w:val="left" w:leader="dot" w:pos="8503"/>
      </w:tabs>
      <w:spacing w:line="317" w:lineRule="atLeast"/>
      <w:ind w:left="419" w:firstLine="419"/>
      <w:jc w:val="left"/>
      <w:textAlignment w:val="baseline"/>
    </w:pPr>
    <w:rPr>
      <w:rFonts w:ascii="Times New Roman" w:hAnsi="Times New Roman" w:cs="Times New Roman"/>
      <w:color w:val="000000"/>
      <w:kern w:val="0"/>
      <w:szCs w:val="20"/>
      <w:u w:color="000000"/>
    </w:rPr>
  </w:style>
  <w:style w:type="paragraph" w:customStyle="1" w:styleId="1754">
    <w:name w:val="样式 标题 2 + Times New Roman 段前: 12 磅 段后: 0 磅1"/>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75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756">
    <w:name w:val="Char Char1 Char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757">
    <w:name w:val="xl62"/>
    <w:basedOn w:val="1"/>
    <w:qFormat/>
    <w:uiPriority w:val="0"/>
    <w:pPr>
      <w:widowControl/>
      <w:pBdr>
        <w:top w:val="single" w:color="auto" w:sz="4" w:space="0"/>
        <w:left w:val="single" w:color="auto" w:sz="4" w:space="0"/>
        <w:bottom w:val="single" w:color="auto" w:sz="4" w:space="0"/>
        <w:right w:val="single" w:color="auto" w:sz="8" w:space="0"/>
      </w:pBdr>
      <w:spacing w:beforeAutospacing="1" w:after="100" w:afterAutospacing="1"/>
      <w:jc w:val="center"/>
      <w:textAlignment w:val="center"/>
    </w:pPr>
    <w:rPr>
      <w:rFonts w:ascii="Arial Unicode MS" w:hAnsi="Arial Unicode MS" w:eastAsia="Arial Unicode MS" w:cs="Arial Unicode MS"/>
      <w:color w:val="FF0000"/>
      <w:kern w:val="0"/>
      <w:sz w:val="20"/>
      <w:szCs w:val="20"/>
    </w:rPr>
  </w:style>
  <w:style w:type="paragraph" w:customStyle="1" w:styleId="1758">
    <w:name w:val="Char Char24"/>
    <w:basedOn w:val="1"/>
    <w:qFormat/>
    <w:uiPriority w:val="0"/>
    <w:pPr>
      <w:spacing w:line="360" w:lineRule="auto"/>
      <w:ind w:firstLine="200" w:firstLineChars="200"/>
      <w:jc w:val="left"/>
    </w:pPr>
    <w:rPr>
      <w:rFonts w:ascii="宋体" w:hAnsi="宋体" w:cs="宋体"/>
      <w:sz w:val="24"/>
      <w:szCs w:val="24"/>
    </w:rPr>
  </w:style>
  <w:style w:type="paragraph" w:customStyle="1" w:styleId="1759">
    <w:name w:val="水保正文"/>
    <w:basedOn w:val="1"/>
    <w:qFormat/>
    <w:uiPriority w:val="0"/>
    <w:pPr>
      <w:spacing w:beforeLines="50" w:afterLines="50" w:line="360" w:lineRule="auto"/>
      <w:ind w:firstLine="200" w:firstLineChars="200"/>
      <w:jc w:val="left"/>
    </w:pPr>
    <w:rPr>
      <w:rFonts w:ascii="宋体" w:hAnsi="宋体" w:cs="宋体"/>
      <w:sz w:val="24"/>
      <w:szCs w:val="24"/>
    </w:rPr>
  </w:style>
  <w:style w:type="paragraph" w:customStyle="1" w:styleId="1760">
    <w:name w:val="HZZH标题—1"/>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761">
    <w:name w:val="HZZH标题—2"/>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762">
    <w:name w:val="HZZH标题—3"/>
    <w:basedOn w:val="5"/>
    <w:next w:val="1"/>
    <w:qFormat/>
    <w:uiPriority w:val="0"/>
    <w:pPr>
      <w:spacing w:beforeLines="10"/>
      <w:ind w:left="720" w:hanging="432"/>
    </w:pPr>
    <w:rPr>
      <w:rFonts w:cs="Times New Roman" w:eastAsiaTheme="minorEastAsia"/>
      <w:bCs w:val="0"/>
      <w:szCs w:val="26"/>
    </w:rPr>
  </w:style>
  <w:style w:type="paragraph" w:customStyle="1" w:styleId="1763">
    <w:name w:val="+列表编号"/>
    <w:basedOn w:val="1"/>
    <w:qFormat/>
    <w:uiPriority w:val="0"/>
    <w:pPr>
      <w:tabs>
        <w:tab w:val="center" w:pos="4200"/>
        <w:tab w:val="right" w:pos="8460"/>
      </w:tabs>
      <w:spacing w:beforeLines="50" w:after="120"/>
      <w:jc w:val="left"/>
    </w:pPr>
    <w:rPr>
      <w:rFonts w:ascii="Times New Roman" w:hAnsi="Times New Roman" w:cs="Times New Roman"/>
      <w:b/>
      <w:spacing w:val="8"/>
      <w:sz w:val="28"/>
      <w:szCs w:val="28"/>
    </w:rPr>
  </w:style>
  <w:style w:type="paragraph" w:customStyle="1" w:styleId="1764">
    <w:name w:val="样式 左侧:  1 字符 右侧:  1 字符1"/>
    <w:basedOn w:val="1"/>
    <w:qFormat/>
    <w:uiPriority w:val="0"/>
    <w:pPr>
      <w:tabs>
        <w:tab w:val="left" w:pos="6660"/>
      </w:tabs>
      <w:adjustRightInd w:val="0"/>
      <w:spacing w:line="312" w:lineRule="auto"/>
      <w:ind w:right="70" w:rightChars="29" w:firstLine="540" w:firstLineChars="225"/>
      <w:jc w:val="left"/>
    </w:pPr>
    <w:rPr>
      <w:rFonts w:ascii="Times New Roman" w:hAnsi="Times New Roman" w:cs="宋体"/>
      <w:color w:val="000000"/>
      <w:sz w:val="24"/>
      <w:szCs w:val="20"/>
    </w:rPr>
  </w:style>
  <w:style w:type="paragraph" w:customStyle="1" w:styleId="1765">
    <w:name w:val="样式 表号 + 首行缩进:  1 字符"/>
    <w:basedOn w:val="975"/>
    <w:qFormat/>
    <w:uiPriority w:val="0"/>
    <w:pPr>
      <w:widowControl w:val="0"/>
      <w:autoSpaceDE w:val="0"/>
      <w:autoSpaceDN w:val="0"/>
      <w:adjustRightInd/>
      <w:snapToGrid/>
      <w:spacing w:line="360" w:lineRule="auto"/>
      <w:ind w:firstLine="260" w:firstLineChars="103"/>
      <w:textAlignment w:val="baseline"/>
      <w:outlineLvl w:val="9"/>
    </w:pPr>
    <w:rPr>
      <w:rFonts w:ascii="宋体" w:hAnsi="宋体"/>
      <w:color w:val="000000"/>
      <w:spacing w:val="6"/>
    </w:rPr>
  </w:style>
  <w:style w:type="paragraph" w:customStyle="1" w:styleId="1766">
    <w:name w:val="xl33"/>
    <w:basedOn w:val="1"/>
    <w:qFormat/>
    <w:uiPriority w:val="0"/>
    <w:pPr>
      <w:widowControl/>
      <w:spacing w:beforeAutospacing="1" w:after="100" w:afterAutospacing="1"/>
      <w:jc w:val="center"/>
    </w:pPr>
    <w:rPr>
      <w:rFonts w:ascii="Times New Roman" w:hAnsi="Times New Roman" w:cs="Times New Roman"/>
      <w:kern w:val="0"/>
      <w:sz w:val="24"/>
      <w:szCs w:val="24"/>
    </w:rPr>
  </w:style>
  <w:style w:type="paragraph" w:customStyle="1" w:styleId="1767">
    <w:name w:val="样式 haydonli + 首行缩进:  2 字符1"/>
    <w:basedOn w:val="1430"/>
    <w:qFormat/>
    <w:uiPriority w:val="0"/>
    <w:pPr>
      <w:spacing w:line="480" w:lineRule="exact"/>
      <w:ind w:firstLine="480"/>
    </w:pPr>
    <w:rPr>
      <w:rFonts w:ascii="宋体" w:hAnsi="宋体" w:cs="宋体"/>
      <w:szCs w:val="28"/>
    </w:rPr>
  </w:style>
  <w:style w:type="paragraph" w:customStyle="1" w:styleId="1768">
    <w:name w:val="表格编号"/>
    <w:basedOn w:val="1"/>
    <w:qFormat/>
    <w:uiPriority w:val="0"/>
    <w:pPr>
      <w:spacing w:line="360" w:lineRule="auto"/>
      <w:jc w:val="center"/>
    </w:pPr>
    <w:rPr>
      <w:rFonts w:ascii="黑体" w:hAnsi="宋体" w:eastAsia="黑体" w:cs="Times New Roman"/>
      <w:sz w:val="24"/>
      <w:szCs w:val="24"/>
    </w:rPr>
  </w:style>
  <w:style w:type="paragraph" w:customStyle="1" w:styleId="1769">
    <w:name w:val="小节2"/>
    <w:next w:val="1"/>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1770">
    <w:name w:val="段落1"/>
    <w:basedOn w:val="35"/>
    <w:qFormat/>
    <w:uiPriority w:val="0"/>
    <w:pPr>
      <w:adjustRightInd w:val="0"/>
      <w:spacing w:beforeLines="10" w:after="0"/>
      <w:ind w:left="0" w:leftChars="0" w:firstLine="525" w:firstLineChars="0"/>
      <w:textAlignment w:val="baseline"/>
    </w:pPr>
    <w:rPr>
      <w:rFonts w:ascii="宋体" w:hAnsi="Calibri" w:eastAsiaTheme="minorEastAsia"/>
      <w:snapToGrid w:val="0"/>
      <w:kern w:val="0"/>
      <w:szCs w:val="20"/>
    </w:rPr>
  </w:style>
  <w:style w:type="paragraph" w:customStyle="1" w:styleId="1771">
    <w:name w:val="无缩进正文"/>
    <w:basedOn w:val="1"/>
    <w:qFormat/>
    <w:uiPriority w:val="0"/>
    <w:pPr>
      <w:adjustRightInd w:val="0"/>
      <w:spacing w:line="288" w:lineRule="auto"/>
      <w:jc w:val="center"/>
    </w:pPr>
    <w:rPr>
      <w:rFonts w:ascii="Times New Roman" w:hAnsi="Times New Roman" w:cs="Times New Roman"/>
      <w:kern w:val="0"/>
      <w:szCs w:val="24"/>
    </w:rPr>
  </w:style>
  <w:style w:type="paragraph" w:customStyle="1" w:styleId="1772">
    <w:name w:val="样式 四号 首行缩进:  1.92 字符"/>
    <w:basedOn w:val="1"/>
    <w:qFormat/>
    <w:uiPriority w:val="0"/>
    <w:pPr>
      <w:ind w:firstLine="200" w:firstLineChars="200"/>
      <w:jc w:val="left"/>
    </w:pPr>
    <w:rPr>
      <w:rFonts w:ascii="Times New Roman" w:hAnsi="Times New Roman" w:cs="黑体"/>
      <w:sz w:val="28"/>
      <w:szCs w:val="20"/>
    </w:rPr>
  </w:style>
  <w:style w:type="paragraph" w:customStyle="1" w:styleId="1773">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1774">
    <w:name w:val="表样"/>
    <w:basedOn w:val="1"/>
    <w:qFormat/>
    <w:uiPriority w:val="0"/>
    <w:pPr>
      <w:adjustRightInd w:val="0"/>
      <w:spacing w:line="360" w:lineRule="auto"/>
      <w:jc w:val="center"/>
      <w:textAlignment w:val="baseline"/>
    </w:pPr>
    <w:rPr>
      <w:rFonts w:ascii="Times New Roman" w:hAnsi="Times New Roman" w:cs="Times New Roman"/>
      <w:kern w:val="0"/>
    </w:rPr>
  </w:style>
  <w:style w:type="paragraph" w:customStyle="1" w:styleId="1775">
    <w:name w:val="样式 标题 4款标题1.1.1.1标题 4XW Char标题 4XW Char Char标题 4 Char标题 4XW..."/>
    <w:basedOn w:val="6"/>
    <w:qFormat/>
    <w:uiPriority w:val="0"/>
    <w:pPr>
      <w:tabs>
        <w:tab w:val="left" w:pos="0"/>
      </w:tabs>
      <w:ind w:left="864" w:hanging="144"/>
      <w:jc w:val="both"/>
    </w:pPr>
    <w:rPr>
      <w:rFonts w:ascii="Arial" w:hAnsi="Arial" w:cs="Times New Roman" w:eastAsiaTheme="minorEastAsia"/>
      <w:bCs w:val="0"/>
      <w:i/>
    </w:rPr>
  </w:style>
  <w:style w:type="paragraph" w:customStyle="1" w:styleId="1776">
    <w:name w:val="标4"/>
    <w:basedOn w:val="169"/>
    <w:link w:val="3247"/>
    <w:qFormat/>
    <w:uiPriority w:val="0"/>
    <w:pPr>
      <w:adjustRightInd/>
      <w:spacing w:beforeLines="10" w:line="560" w:lineRule="atLeast"/>
      <w:ind w:firstLine="0" w:firstLineChars="0"/>
      <w:outlineLvl w:val="3"/>
    </w:pPr>
    <w:rPr>
      <w:rFonts w:ascii="宋体" w:hAnsi="宋体" w:eastAsiaTheme="minorEastAsia"/>
      <w:snapToGrid w:val="0"/>
      <w:kern w:val="0"/>
      <w:szCs w:val="30"/>
    </w:rPr>
  </w:style>
  <w:style w:type="paragraph" w:customStyle="1" w:styleId="1777">
    <w:name w:val="表名 Char Char"/>
    <w:basedOn w:val="1"/>
    <w:qFormat/>
    <w:uiPriority w:val="0"/>
    <w:pPr>
      <w:autoSpaceDE w:val="0"/>
      <w:autoSpaceDN w:val="0"/>
      <w:adjustRightInd w:val="0"/>
      <w:spacing w:line="0" w:lineRule="atLeast"/>
      <w:ind w:firstLine="482"/>
      <w:jc w:val="center"/>
      <w:textAlignment w:val="baseline"/>
    </w:pPr>
    <w:rPr>
      <w:rFonts w:ascii="Times New Roman" w:hAnsi="Times New Roman" w:eastAsia="黑体" w:cs="Times New Roman"/>
      <w:spacing w:val="6"/>
      <w:kern w:val="0"/>
      <w:szCs w:val="20"/>
    </w:rPr>
  </w:style>
  <w:style w:type="paragraph" w:customStyle="1" w:styleId="1778">
    <w:name w:val="xl47"/>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Arial Unicode MS" w:hAnsi="Arial Unicode MS" w:eastAsia="Arial Unicode MS" w:cs="Times New Roman"/>
      <w:color w:val="000000"/>
      <w:kern w:val="0"/>
    </w:rPr>
  </w:style>
  <w:style w:type="paragraph" w:customStyle="1" w:styleId="1779">
    <w:name w:val="二章正文"/>
    <w:basedOn w:val="1"/>
    <w:qFormat/>
    <w:uiPriority w:val="0"/>
    <w:pPr>
      <w:spacing w:line="0" w:lineRule="atLeast"/>
      <w:jc w:val="right"/>
    </w:pPr>
    <w:rPr>
      <w:rFonts w:ascii="宋体" w:hAnsi="宋体" w:cs="Times New Roman"/>
      <w:szCs w:val="24"/>
    </w:rPr>
  </w:style>
  <w:style w:type="paragraph" w:customStyle="1" w:styleId="1780">
    <w:name w:val="表格11"/>
    <w:basedOn w:val="1"/>
    <w:qFormat/>
    <w:uiPriority w:val="0"/>
    <w:pPr>
      <w:jc w:val="center"/>
    </w:pPr>
    <w:rPr>
      <w:rFonts w:ascii="宋体" w:hAnsi="宋体" w:cs="宋体"/>
      <w:kern w:val="0"/>
    </w:rPr>
  </w:style>
  <w:style w:type="paragraph" w:customStyle="1" w:styleId="1781">
    <w:name w:val="样式（1）"/>
    <w:basedOn w:val="1"/>
    <w:qFormat/>
    <w:uiPriority w:val="0"/>
    <w:pPr>
      <w:tabs>
        <w:tab w:val="left" w:pos="432"/>
        <w:tab w:val="left" w:pos="1134"/>
        <w:tab w:val="left" w:pos="1330"/>
      </w:tabs>
      <w:spacing w:line="480" w:lineRule="atLeast"/>
      <w:ind w:left="432" w:hanging="432"/>
      <w:jc w:val="left"/>
    </w:pPr>
    <w:rPr>
      <w:rFonts w:ascii="宋体" w:hAnsi="宋体" w:cs="Times New Roman"/>
      <w:sz w:val="24"/>
      <w:szCs w:val="24"/>
    </w:rPr>
  </w:style>
  <w:style w:type="paragraph" w:customStyle="1" w:styleId="1782">
    <w:name w:val="样式 +标题1 + 段前: 1 行 段后: 1 行"/>
    <w:basedOn w:val="1678"/>
    <w:qFormat/>
    <w:uiPriority w:val="0"/>
    <w:pPr>
      <w:tabs>
        <w:tab w:val="left" w:pos="360"/>
      </w:tabs>
      <w:spacing w:beforeLines="50" w:afterLines="50" w:line="240" w:lineRule="auto"/>
      <w:ind w:hanging="200" w:hangingChars="200"/>
      <w:jc w:val="center"/>
    </w:pPr>
    <w:rPr>
      <w:rFonts w:eastAsia="黑体"/>
      <w:sz w:val="32"/>
      <w:szCs w:val="20"/>
    </w:rPr>
  </w:style>
  <w:style w:type="paragraph" w:customStyle="1" w:styleId="1783">
    <w:name w:val="正文 + Times New Roman"/>
    <w:basedOn w:val="1"/>
    <w:qFormat/>
    <w:uiPriority w:val="0"/>
    <w:pPr>
      <w:adjustRightInd w:val="0"/>
      <w:spacing w:line="500" w:lineRule="exact"/>
      <w:ind w:firstLine="480" w:firstLineChars="200"/>
      <w:jc w:val="left"/>
    </w:pPr>
    <w:rPr>
      <w:rFonts w:ascii="Times New Roman" w:hAnsi="Times New Roman" w:cs="Times New Roman"/>
      <w:kern w:val="0"/>
      <w:sz w:val="24"/>
      <w:szCs w:val="24"/>
    </w:rPr>
  </w:style>
  <w:style w:type="paragraph" w:customStyle="1" w:styleId="1784">
    <w:name w:val="10"/>
    <w:basedOn w:val="1"/>
    <w:next w:val="39"/>
    <w:qFormat/>
    <w:uiPriority w:val="0"/>
    <w:pPr>
      <w:adjustRightInd w:val="0"/>
      <w:spacing w:after="120" w:line="312" w:lineRule="atLeast"/>
      <w:ind w:left="1440" w:leftChars="700" w:right="1440" w:rightChars="700"/>
      <w:jc w:val="left"/>
      <w:textAlignment w:val="baseline"/>
    </w:pPr>
    <w:rPr>
      <w:rFonts w:ascii="Times New Roman" w:hAnsi="Times New Roman" w:cs="Times New Roman"/>
      <w:kern w:val="0"/>
      <w:szCs w:val="20"/>
    </w:rPr>
  </w:style>
  <w:style w:type="paragraph" w:customStyle="1" w:styleId="1785">
    <w:name w:val="样式 宋体 首行缩进:  2 字符 段前: 0.5 行"/>
    <w:basedOn w:val="1"/>
    <w:qFormat/>
    <w:uiPriority w:val="0"/>
    <w:pPr>
      <w:spacing w:beforeLines="50" w:line="360" w:lineRule="auto"/>
      <w:ind w:firstLine="480" w:firstLineChars="200"/>
      <w:jc w:val="left"/>
    </w:pPr>
    <w:rPr>
      <w:rFonts w:ascii="Times New Roman" w:hAnsi="Times New Roman" w:cs="宋体"/>
      <w:sz w:val="24"/>
      <w:szCs w:val="24"/>
    </w:rPr>
  </w:style>
  <w:style w:type="paragraph" w:customStyle="1" w:styleId="1786">
    <w:name w:val="xl61"/>
    <w:basedOn w:val="1"/>
    <w:qFormat/>
    <w:uiPriority w:val="0"/>
    <w:pPr>
      <w:widowControl/>
      <w:pBdr>
        <w:top w:val="single" w:color="auto" w:sz="4" w:space="0"/>
        <w:left w:val="single" w:color="auto" w:sz="4" w:space="0"/>
        <w:bottom w:val="single" w:color="auto" w:sz="4" w:space="0"/>
        <w:right w:val="single" w:color="auto" w:sz="8" w:space="0"/>
      </w:pBdr>
      <w:spacing w:beforeAutospacing="1" w:after="100" w:afterAutospacing="1"/>
      <w:jc w:val="center"/>
      <w:textAlignment w:val="center"/>
    </w:pPr>
    <w:rPr>
      <w:rFonts w:ascii="Times New Roman" w:hAnsi="Times New Roman" w:eastAsia="Arial Unicode MS" w:cs="Times New Roman"/>
      <w:color w:val="FF00FF"/>
      <w:kern w:val="0"/>
      <w:sz w:val="20"/>
      <w:szCs w:val="20"/>
    </w:rPr>
  </w:style>
  <w:style w:type="paragraph" w:customStyle="1" w:styleId="1787">
    <w:name w:val="征文"/>
    <w:basedOn w:val="1"/>
    <w:qFormat/>
    <w:uiPriority w:val="0"/>
    <w:pPr>
      <w:adjustRightInd w:val="0"/>
      <w:spacing w:line="312" w:lineRule="auto"/>
      <w:jc w:val="center"/>
      <w:textAlignment w:val="baseline"/>
    </w:pPr>
    <w:rPr>
      <w:rFonts w:ascii="宋体" w:hAnsi="宋体" w:cs="Times New Roman"/>
      <w:kern w:val="0"/>
      <w:szCs w:val="20"/>
    </w:rPr>
  </w:style>
  <w:style w:type="paragraph" w:customStyle="1" w:styleId="1788">
    <w:name w:val="Char Char Char Char Char Char1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789">
    <w:name w:val="样式27"/>
    <w:basedOn w:val="1"/>
    <w:qFormat/>
    <w:uiPriority w:val="0"/>
    <w:pPr>
      <w:keepNext/>
      <w:keepLines/>
      <w:widowControl/>
      <w:adjustRightInd w:val="0"/>
      <w:ind w:firstLine="200" w:firstLineChars="200"/>
      <w:jc w:val="left"/>
      <w:textAlignment w:val="baseline"/>
      <w:outlineLvl w:val="3"/>
    </w:pPr>
    <w:rPr>
      <w:rFonts w:ascii="Times New Roman" w:hAnsi="Times New Roman" w:cs="Times New Roman"/>
      <w:b/>
      <w:bCs/>
      <w:snapToGrid w:val="0"/>
      <w:color w:val="000000"/>
      <w:kern w:val="0"/>
      <w:sz w:val="32"/>
      <w:szCs w:val="28"/>
      <w:u w:color="000000"/>
    </w:rPr>
  </w:style>
  <w:style w:type="paragraph" w:customStyle="1" w:styleId="1790">
    <w:name w:val="xl38"/>
    <w:basedOn w:val="1"/>
    <w:qFormat/>
    <w:uiPriority w:val="0"/>
    <w:pPr>
      <w:widowControl/>
      <w:spacing w:beforeAutospacing="1" w:after="100" w:afterAutospacing="1"/>
      <w:jc w:val="center"/>
    </w:pPr>
    <w:rPr>
      <w:rFonts w:ascii="Arial Unicode MS" w:hAnsi="Arial Unicode MS" w:eastAsia="Arial Unicode MS" w:cs="Times New Roman"/>
      <w:kern w:val="0"/>
      <w:sz w:val="36"/>
      <w:szCs w:val="36"/>
    </w:rPr>
  </w:style>
  <w:style w:type="paragraph" w:customStyle="1" w:styleId="1791">
    <w:name w:val="表格_dg"/>
    <w:basedOn w:val="1"/>
    <w:qFormat/>
    <w:uiPriority w:val="0"/>
    <w:pPr>
      <w:adjustRightInd w:val="0"/>
      <w:spacing w:line="360" w:lineRule="exact"/>
      <w:jc w:val="center"/>
      <w:textAlignment w:val="center"/>
    </w:pPr>
    <w:rPr>
      <w:rFonts w:ascii="Times New Roman" w:hAnsi="Times New Roman" w:cs="Times New Roman"/>
      <w:kern w:val="0"/>
    </w:rPr>
  </w:style>
  <w:style w:type="paragraph" w:customStyle="1" w:styleId="1792">
    <w:name w:val="报告无缩进"/>
    <w:basedOn w:val="1710"/>
    <w:qFormat/>
    <w:uiPriority w:val="0"/>
    <w:pPr>
      <w:ind w:firstLine="0" w:firstLineChars="0"/>
    </w:pPr>
  </w:style>
  <w:style w:type="paragraph" w:customStyle="1" w:styleId="1793">
    <w:name w:val="xl56"/>
    <w:basedOn w:val="1"/>
    <w:qFormat/>
    <w:uiPriority w:val="0"/>
    <w:pPr>
      <w:widowControl/>
      <w:pBdr>
        <w:top w:val="single" w:color="auto" w:sz="12" w:space="0"/>
        <w:bottom w:val="single" w:color="auto" w:sz="4" w:space="0"/>
        <w:right w:val="single" w:color="auto" w:sz="4" w:space="0"/>
      </w:pBdr>
      <w:spacing w:beforeAutospacing="1" w:after="100" w:afterAutospacing="1"/>
      <w:jc w:val="center"/>
    </w:pPr>
    <w:rPr>
      <w:rFonts w:ascii="Arial Unicode MS" w:hAnsi="Arial Unicode MS" w:eastAsia="Arial Unicode MS" w:cs="Times New Roman"/>
      <w:color w:val="000000"/>
      <w:kern w:val="0"/>
      <w:sz w:val="20"/>
      <w:szCs w:val="20"/>
    </w:rPr>
  </w:style>
  <w:style w:type="paragraph" w:customStyle="1" w:styleId="1794">
    <w:name w:val="样式 宋体 小四 行距: 固定值 23 磅"/>
    <w:basedOn w:val="1"/>
    <w:qFormat/>
    <w:uiPriority w:val="0"/>
    <w:pPr>
      <w:spacing w:line="480" w:lineRule="atLeast"/>
      <w:ind w:firstLine="720" w:firstLineChars="240"/>
      <w:jc w:val="left"/>
    </w:pPr>
    <w:rPr>
      <w:rFonts w:ascii="宋体" w:hAnsi="宋体" w:cs="宋体"/>
      <w:spacing w:val="30"/>
      <w:kern w:val="24"/>
      <w:sz w:val="24"/>
      <w:szCs w:val="20"/>
    </w:rPr>
  </w:style>
  <w:style w:type="paragraph" w:customStyle="1" w:styleId="1795">
    <w:name w:val="8"/>
    <w:basedOn w:val="1"/>
    <w:next w:val="45"/>
    <w:qFormat/>
    <w:uiPriority w:val="0"/>
    <w:pPr>
      <w:jc w:val="left"/>
    </w:pPr>
    <w:rPr>
      <w:rFonts w:ascii="宋体" w:hAnsi="Courier New" w:cs="Times New Roman"/>
      <w:szCs w:val="20"/>
    </w:rPr>
  </w:style>
  <w:style w:type="paragraph" w:customStyle="1" w:styleId="1796">
    <w:name w:val="xl42"/>
    <w:basedOn w:val="1"/>
    <w:qFormat/>
    <w:uiPriority w:val="0"/>
    <w:pPr>
      <w:widowControl/>
      <w:pBdr>
        <w:right w:val="single" w:color="auto" w:sz="4" w:space="0"/>
      </w:pBdr>
      <w:spacing w:beforeAutospacing="1" w:after="100" w:afterAutospacing="1"/>
      <w:jc w:val="left"/>
    </w:pPr>
    <w:rPr>
      <w:rFonts w:ascii="Arial Unicode MS" w:hAnsi="Arial Unicode MS" w:eastAsia="Arial Unicode MS" w:cs="Times New Roman"/>
      <w:color w:val="000000"/>
      <w:kern w:val="0"/>
    </w:rPr>
  </w:style>
  <w:style w:type="paragraph" w:customStyle="1" w:styleId="1797">
    <w:name w:val="正文首缩"/>
    <w:basedOn w:val="34"/>
    <w:qFormat/>
    <w:uiPriority w:val="0"/>
    <w:pPr>
      <w:adjustRightInd/>
      <w:spacing w:beforeLines="0" w:after="80" w:line="288" w:lineRule="auto"/>
      <w:ind w:firstLine="454"/>
    </w:pPr>
    <w:rPr>
      <w:rFonts w:ascii="Calibri" w:hAnsi="Calibri" w:eastAsiaTheme="minorEastAsia"/>
      <w:snapToGrid/>
      <w:kern w:val="2"/>
      <w:sz w:val="26"/>
      <w:szCs w:val="20"/>
    </w:rPr>
  </w:style>
  <w:style w:type="paragraph" w:customStyle="1" w:styleId="1798">
    <w:name w:val="(a)"/>
    <w:basedOn w:val="34"/>
    <w:qFormat/>
    <w:uiPriority w:val="0"/>
    <w:pPr>
      <w:widowControl/>
      <w:tabs>
        <w:tab w:val="left" w:pos="360"/>
      </w:tabs>
      <w:spacing w:beforeLines="0" w:line="480" w:lineRule="exact"/>
      <w:ind w:left="-510" w:firstLine="510" w:firstLineChars="200"/>
      <w:textAlignment w:val="baseline"/>
    </w:pPr>
    <w:rPr>
      <w:rFonts w:ascii="宋体" w:hAnsi="Calibri" w:eastAsiaTheme="minorEastAsia"/>
      <w:b/>
      <w:snapToGrid/>
      <w:color w:val="000000"/>
      <w:spacing w:val="20"/>
      <w:kern w:val="24"/>
      <w:sz w:val="26"/>
      <w:szCs w:val="20"/>
      <w:u w:color="000000"/>
    </w:rPr>
  </w:style>
  <w:style w:type="paragraph" w:customStyle="1" w:styleId="1799">
    <w:name w:val="表格（一）"/>
    <w:basedOn w:val="1"/>
    <w:qFormat/>
    <w:uiPriority w:val="0"/>
    <w:pPr>
      <w:wordWrap w:val="0"/>
      <w:overflowPunct w:val="0"/>
      <w:autoSpaceDE w:val="0"/>
      <w:autoSpaceDN w:val="0"/>
      <w:adjustRightInd w:val="0"/>
      <w:spacing w:beforeLines="15" w:afterLines="15"/>
      <w:jc w:val="left"/>
    </w:pPr>
    <w:rPr>
      <w:rFonts w:ascii="Times New Roman" w:hAnsi="Times New Roman" w:cs="Times New Roman"/>
      <w:snapToGrid w:val="0"/>
      <w:kern w:val="0"/>
      <w:szCs w:val="24"/>
    </w:rPr>
  </w:style>
  <w:style w:type="paragraph" w:customStyle="1" w:styleId="1800">
    <w:name w:val="样式 表名 + 行距: 1.5 倍行距"/>
    <w:basedOn w:val="363"/>
    <w:qFormat/>
    <w:uiPriority w:val="0"/>
    <w:pPr>
      <w:tabs>
        <w:tab w:val="left" w:pos="6120"/>
        <w:tab w:val="clear" w:pos="1350"/>
      </w:tabs>
      <w:autoSpaceDE/>
      <w:autoSpaceDN/>
      <w:spacing w:before="120" w:after="0" w:line="340" w:lineRule="exact"/>
      <w:ind w:firstLine="0" w:firstLineChars="0"/>
      <w:textAlignment w:val="baseline"/>
      <w:outlineLvl w:val="0"/>
    </w:pPr>
    <w:rPr>
      <w:rFonts w:ascii="Times New Roman" w:hAnsi="Times New Roman" w:eastAsia="黑体" w:cs="Times New Roman"/>
      <w:color w:val="000000"/>
      <w:sz w:val="21"/>
      <w:szCs w:val="21"/>
      <w:shd w:val="clear" w:color="auto" w:fill="auto"/>
    </w:rPr>
  </w:style>
  <w:style w:type="paragraph" w:customStyle="1" w:styleId="1801">
    <w:name w:val="样式"/>
    <w:basedOn w:val="1"/>
    <w:next w:val="1"/>
    <w:qFormat/>
    <w:uiPriority w:val="0"/>
    <w:pPr>
      <w:spacing w:beforeLines="50" w:afterLines="50" w:line="360" w:lineRule="auto"/>
      <w:ind w:firstLine="200" w:firstLineChars="200"/>
      <w:jc w:val="left"/>
    </w:pPr>
    <w:rPr>
      <w:rFonts w:ascii="Arial" w:hAnsi="Arial" w:cs="Arial"/>
      <w:sz w:val="24"/>
      <w:szCs w:val="24"/>
    </w:rPr>
  </w:style>
  <w:style w:type="paragraph" w:customStyle="1" w:styleId="1802">
    <w:name w:val="标题4 + 右侧:  1 字符"/>
    <w:basedOn w:val="1"/>
    <w:qFormat/>
    <w:uiPriority w:val="0"/>
    <w:pPr>
      <w:tabs>
        <w:tab w:val="left" w:pos="864"/>
      </w:tabs>
      <w:spacing w:line="360" w:lineRule="auto"/>
      <w:ind w:left="864" w:hanging="864"/>
      <w:jc w:val="left"/>
      <w:outlineLvl w:val="3"/>
    </w:pPr>
    <w:rPr>
      <w:rFonts w:ascii="Calibri" w:hAnsi="Calibri" w:eastAsia="黑体" w:cs="宋体"/>
      <w:sz w:val="24"/>
      <w:szCs w:val="20"/>
    </w:rPr>
  </w:style>
  <w:style w:type="paragraph" w:customStyle="1" w:styleId="1803">
    <w:name w:val="Char Char Char Char Char Char1 Char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804">
    <w:name w:val="样式 标题 4 + 段前: 0.5 行"/>
    <w:basedOn w:val="6"/>
    <w:qFormat/>
    <w:uiPriority w:val="0"/>
    <w:pPr>
      <w:tabs>
        <w:tab w:val="left" w:pos="0"/>
      </w:tabs>
      <w:ind w:left="864" w:hanging="144"/>
      <w:jc w:val="both"/>
    </w:pPr>
    <w:rPr>
      <w:rFonts w:ascii="Arial" w:hAnsi="Arial" w:cs="Times New Roman" w:eastAsiaTheme="minorEastAsia"/>
      <w:bCs w:val="0"/>
      <w:i/>
    </w:rPr>
  </w:style>
  <w:style w:type="paragraph" w:customStyle="1" w:styleId="1805">
    <w:name w:val="g7"/>
    <w:basedOn w:val="1"/>
    <w:qFormat/>
    <w:uiPriority w:val="0"/>
    <w:pPr>
      <w:widowControl/>
      <w:spacing w:beforeAutospacing="1" w:after="100" w:afterAutospacing="1" w:line="270" w:lineRule="atLeast"/>
      <w:jc w:val="left"/>
    </w:pPr>
    <w:rPr>
      <w:rFonts w:hint="eastAsia" w:ascii="宋体" w:hAnsi="宋体" w:cs="Times New Roman"/>
      <w:kern w:val="0"/>
      <w:szCs w:val="20"/>
    </w:rPr>
  </w:style>
  <w:style w:type="paragraph" w:customStyle="1" w:styleId="1806">
    <w:name w:val="表名 Char Char Char Char Char3"/>
    <w:basedOn w:val="1"/>
    <w:qFormat/>
    <w:uiPriority w:val="0"/>
    <w:pPr>
      <w:autoSpaceDE w:val="0"/>
      <w:autoSpaceDN w:val="0"/>
      <w:adjustRightInd w:val="0"/>
      <w:spacing w:line="0" w:lineRule="atLeast"/>
      <w:ind w:firstLine="482"/>
      <w:jc w:val="center"/>
      <w:textAlignment w:val="baseline"/>
    </w:pPr>
    <w:rPr>
      <w:rFonts w:ascii="Times New Roman" w:hAnsi="Times New Roman" w:eastAsia="黑体" w:cs="Times New Roman"/>
      <w:spacing w:val="6"/>
      <w:kern w:val="0"/>
      <w:szCs w:val="20"/>
    </w:rPr>
  </w:style>
  <w:style w:type="paragraph" w:customStyle="1" w:styleId="1807">
    <w:name w:val="Char1 Char Char Char"/>
    <w:basedOn w:val="1"/>
    <w:qFormat/>
    <w:uiPriority w:val="0"/>
    <w:pPr>
      <w:adjustRightInd w:val="0"/>
      <w:spacing w:line="360" w:lineRule="auto"/>
      <w:ind w:firstLine="200" w:firstLineChars="200"/>
      <w:jc w:val="left"/>
    </w:pPr>
    <w:rPr>
      <w:rFonts w:ascii="仿宋_GB2312" w:hAnsi="仿宋_GB2312" w:eastAsia="仿宋_GB2312" w:cs="Times New Roman"/>
      <w:sz w:val="24"/>
      <w:szCs w:val="20"/>
    </w:rPr>
  </w:style>
  <w:style w:type="paragraph" w:customStyle="1" w:styleId="1808">
    <w:name w:val="样式 表名 + 段前: 6 磅"/>
    <w:basedOn w:val="363"/>
    <w:qFormat/>
    <w:uiPriority w:val="0"/>
    <w:pPr>
      <w:tabs>
        <w:tab w:val="clear" w:pos="1350"/>
      </w:tabs>
      <w:spacing w:before="120" w:after="0" w:line="0" w:lineRule="atLeast"/>
      <w:ind w:firstLine="482" w:firstLineChars="0"/>
      <w:textAlignment w:val="baseline"/>
      <w:outlineLvl w:val="5"/>
    </w:pPr>
    <w:rPr>
      <w:rFonts w:ascii="Times New Roman" w:hAnsi="Times New Roman" w:eastAsia="黑体" w:cs="宋体"/>
      <w:b w:val="0"/>
      <w:spacing w:val="6"/>
      <w:kern w:val="0"/>
      <w:szCs w:val="20"/>
      <w:shd w:val="clear" w:color="auto" w:fill="auto"/>
    </w:rPr>
  </w:style>
  <w:style w:type="paragraph" w:customStyle="1" w:styleId="1809">
    <w:name w:val="xl119"/>
    <w:basedOn w:val="1"/>
    <w:qFormat/>
    <w:uiPriority w:val="0"/>
    <w:pPr>
      <w:widowControl/>
      <w:pBdr>
        <w:top w:val="single" w:color="auto" w:sz="4" w:space="0"/>
        <w:left w:val="single" w:color="auto" w:sz="8" w:space="0"/>
        <w:bottom w:val="single" w:color="auto" w:sz="8" w:space="0"/>
        <w:right w:val="single" w:color="auto" w:sz="4" w:space="0"/>
      </w:pBdr>
      <w:spacing w:beforeAutospacing="1" w:after="100" w:afterAutospacing="1"/>
      <w:jc w:val="left"/>
    </w:pPr>
    <w:rPr>
      <w:rFonts w:ascii="Arial Unicode MS" w:hAnsi="Arial Unicode MS" w:cs="Times New Roman"/>
      <w:kern w:val="0"/>
      <w:sz w:val="20"/>
      <w:szCs w:val="20"/>
    </w:rPr>
  </w:style>
  <w:style w:type="paragraph" w:customStyle="1" w:styleId="1810">
    <w:name w:val="样式 标题 4 + 首行缩进:  2 字符"/>
    <w:basedOn w:val="6"/>
    <w:qFormat/>
    <w:uiPriority w:val="0"/>
    <w:pPr>
      <w:tabs>
        <w:tab w:val="left" w:pos="0"/>
      </w:tabs>
      <w:ind w:left="864" w:hanging="144"/>
      <w:jc w:val="both"/>
    </w:pPr>
    <w:rPr>
      <w:rFonts w:ascii="Arial" w:hAnsi="Arial" w:cs="Times New Roman" w:eastAsiaTheme="minorEastAsia"/>
      <w:bCs w:val="0"/>
      <w:i/>
    </w:rPr>
  </w:style>
  <w:style w:type="paragraph" w:customStyle="1" w:styleId="1811">
    <w:name w:val="Char Char1 Char Char Char Char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812">
    <w:name w:val="样式 表文 Char + (西文) Arial 段前: 12 磅 段后: 3 磅 首行缩进:  1 字符"/>
    <w:qFormat/>
    <w:uiPriority w:val="0"/>
    <w:rPr>
      <w:rFonts w:ascii="Arial" w:hAnsi="Arial" w:eastAsia="宋体" w:cs="宋体"/>
      <w:lang w:val="en-US" w:eastAsia="zh-CN" w:bidi="ar-SA"/>
    </w:rPr>
  </w:style>
  <w:style w:type="paragraph" w:customStyle="1" w:styleId="1813">
    <w:name w:val="表文 Char Char Char Char Char Char Char"/>
    <w:basedOn w:val="1"/>
    <w:qFormat/>
    <w:uiPriority w:val="0"/>
    <w:pPr>
      <w:overflowPunct w:val="0"/>
      <w:jc w:val="center"/>
      <w:textAlignment w:val="baseline"/>
    </w:pPr>
    <w:rPr>
      <w:rFonts w:ascii="Times New Roman" w:hAnsi="Times New Roman" w:cs="Times New Roman"/>
      <w:sz w:val="18"/>
      <w:szCs w:val="18"/>
    </w:rPr>
  </w:style>
  <w:style w:type="paragraph" w:customStyle="1" w:styleId="1814">
    <w:name w:val="样式 标题 4 + 段前: 0.5 行 段后: 0.5 行2"/>
    <w:basedOn w:val="6"/>
    <w:qFormat/>
    <w:uiPriority w:val="0"/>
    <w:pPr>
      <w:tabs>
        <w:tab w:val="left" w:pos="0"/>
      </w:tabs>
      <w:ind w:left="864" w:hanging="144"/>
      <w:jc w:val="both"/>
    </w:pPr>
    <w:rPr>
      <w:rFonts w:ascii="Arial" w:hAnsi="Arial" w:cs="Times New Roman" w:eastAsiaTheme="minorEastAsia"/>
      <w:bCs w:val="0"/>
      <w:i/>
    </w:rPr>
  </w:style>
  <w:style w:type="paragraph" w:customStyle="1" w:styleId="1815">
    <w:name w:val="xl129"/>
    <w:basedOn w:val="1"/>
    <w:qFormat/>
    <w:uiPriority w:val="0"/>
    <w:pPr>
      <w:widowControl/>
      <w:pBdr>
        <w:top w:val="single" w:color="auto" w:sz="8" w:space="0"/>
        <w:bottom w:val="single" w:color="auto" w:sz="4" w:space="0"/>
      </w:pBdr>
      <w:spacing w:beforeAutospacing="1" w:after="100" w:afterAutospacing="1"/>
      <w:jc w:val="center"/>
    </w:pPr>
    <w:rPr>
      <w:rFonts w:ascii="Arial Unicode MS" w:hAnsi="Arial Unicode MS" w:cs="Times New Roman"/>
      <w:kern w:val="0"/>
      <w:sz w:val="20"/>
      <w:szCs w:val="20"/>
    </w:rPr>
  </w:style>
  <w:style w:type="paragraph" w:customStyle="1" w:styleId="1816">
    <w:name w:val="样式 样式 宋体 四号 左 行距: 固定值 25 磅 + 首行缩进:  2 字符"/>
    <w:basedOn w:val="1"/>
    <w:qFormat/>
    <w:uiPriority w:val="0"/>
    <w:pPr>
      <w:adjustRightInd w:val="0"/>
      <w:spacing w:after="120" w:line="500" w:lineRule="exact"/>
      <w:ind w:firstLine="560" w:firstLineChars="200"/>
      <w:jc w:val="left"/>
    </w:pPr>
    <w:rPr>
      <w:rFonts w:ascii="宋体" w:hAnsi="宋体" w:cs="宋体"/>
      <w:snapToGrid w:val="0"/>
      <w:kern w:val="0"/>
      <w:sz w:val="28"/>
      <w:szCs w:val="28"/>
    </w:rPr>
  </w:style>
  <w:style w:type="paragraph" w:customStyle="1" w:styleId="1817">
    <w:name w:val="Y2"/>
    <w:basedOn w:val="1"/>
    <w:qFormat/>
    <w:uiPriority w:val="0"/>
    <w:pPr>
      <w:spacing w:line="360" w:lineRule="auto"/>
      <w:jc w:val="left"/>
    </w:pPr>
    <w:rPr>
      <w:rFonts w:ascii="宋体" w:hAnsi="Times New Roman" w:cs="Times New Roman"/>
      <w:sz w:val="24"/>
      <w:szCs w:val="20"/>
    </w:rPr>
  </w:style>
  <w:style w:type="paragraph" w:customStyle="1" w:styleId="1818">
    <w:name w:val="空行"/>
    <w:basedOn w:val="1"/>
    <w:qFormat/>
    <w:uiPriority w:val="0"/>
    <w:pPr>
      <w:overflowPunct w:val="0"/>
      <w:topLinePunct/>
      <w:autoSpaceDE w:val="0"/>
      <w:adjustRightInd w:val="0"/>
      <w:spacing w:afterLines="50" w:line="240" w:lineRule="atLeast"/>
      <w:ind w:firstLine="454"/>
      <w:jc w:val="left"/>
    </w:pPr>
    <w:rPr>
      <w:rFonts w:ascii="Times New Roman" w:hAnsi="Times New Roman" w:cs="Times New Roman"/>
      <w:sz w:val="13"/>
      <w:szCs w:val="20"/>
    </w:rPr>
  </w:style>
  <w:style w:type="paragraph" w:customStyle="1" w:styleId="1819">
    <w:name w:val="样式 宋体 小五 行距: 单倍行距"/>
    <w:basedOn w:val="1"/>
    <w:qFormat/>
    <w:uiPriority w:val="0"/>
    <w:pPr>
      <w:autoSpaceDE w:val="0"/>
      <w:autoSpaceDN w:val="0"/>
      <w:adjustRightInd w:val="0"/>
      <w:spacing w:line="240" w:lineRule="atLeast"/>
      <w:jc w:val="left"/>
      <w:textAlignment w:val="baseline"/>
    </w:pPr>
    <w:rPr>
      <w:rFonts w:ascii="宋体" w:hAnsi="宋体" w:cs="Times New Roman"/>
      <w:kern w:val="0"/>
      <w:sz w:val="18"/>
      <w:szCs w:val="20"/>
    </w:rPr>
  </w:style>
  <w:style w:type="paragraph" w:customStyle="1" w:styleId="1820">
    <w:name w:val="表文2"/>
    <w:basedOn w:val="1024"/>
    <w:qFormat/>
    <w:uiPriority w:val="0"/>
    <w:pPr>
      <w:spacing w:beforeLines="0" w:afterLines="0" w:line="240" w:lineRule="auto"/>
      <w:ind w:firstLine="200" w:firstLineChars="200"/>
      <w:jc w:val="right"/>
      <w:textAlignment w:val="baseline"/>
    </w:pPr>
    <w:rPr>
      <w:rFonts w:ascii="Calibri" w:hAnsi="Calibri"/>
      <w:color w:val="000000"/>
      <w:kern w:val="0"/>
      <w:sz w:val="18"/>
      <w:szCs w:val="18"/>
    </w:rPr>
  </w:style>
  <w:style w:type="paragraph" w:customStyle="1" w:styleId="1821">
    <w:name w:val="样式 标题 3 + 段前: 0.5 行 段后: 0.5 行2"/>
    <w:basedOn w:val="5"/>
    <w:qFormat/>
    <w:uiPriority w:val="0"/>
    <w:pPr>
      <w:spacing w:beforeLines="10"/>
      <w:ind w:left="720" w:hanging="432"/>
    </w:pPr>
    <w:rPr>
      <w:rFonts w:cs="Times New Roman" w:eastAsiaTheme="minorEastAsia"/>
      <w:bCs w:val="0"/>
      <w:szCs w:val="26"/>
    </w:rPr>
  </w:style>
  <w:style w:type="paragraph" w:customStyle="1" w:styleId="1822">
    <w:name w:val="样式 （1）"/>
    <w:basedOn w:val="1"/>
    <w:qFormat/>
    <w:uiPriority w:val="0"/>
    <w:pPr>
      <w:widowControl/>
      <w:tabs>
        <w:tab w:val="left" w:pos="432"/>
      </w:tabs>
      <w:spacing w:line="480" w:lineRule="atLeast"/>
      <w:ind w:firstLine="720"/>
      <w:jc w:val="left"/>
    </w:pPr>
    <w:rPr>
      <w:rFonts w:ascii="宋体" w:hAnsi="宋体" w:cs="宋体"/>
      <w:kern w:val="0"/>
      <w:sz w:val="24"/>
      <w:szCs w:val="20"/>
    </w:rPr>
  </w:style>
  <w:style w:type="paragraph" w:customStyle="1" w:styleId="1823">
    <w:name w:val="生物拉丁文名"/>
    <w:basedOn w:val="1"/>
    <w:qFormat/>
    <w:uiPriority w:val="0"/>
    <w:pPr>
      <w:tabs>
        <w:tab w:val="left" w:pos="-120"/>
      </w:tabs>
      <w:overflowPunct w:val="0"/>
      <w:topLinePunct/>
      <w:autoSpaceDE w:val="0"/>
      <w:adjustRightInd w:val="0"/>
      <w:spacing w:afterLines="50" w:line="0" w:lineRule="atLeast"/>
      <w:ind w:firstLine="454"/>
      <w:jc w:val="left"/>
    </w:pPr>
    <w:rPr>
      <w:rFonts w:ascii="Times New Roman" w:hAnsi="Times New Roman" w:cs="Times New Roman"/>
      <w:i/>
      <w:spacing w:val="20"/>
      <w:sz w:val="24"/>
      <w:szCs w:val="20"/>
    </w:rPr>
  </w:style>
  <w:style w:type="paragraph" w:customStyle="1" w:styleId="1824">
    <w:name w:val="样式 样式 标题 4 + 段前: 0.5 行 段后: 0.5 行 + 段前: 7.8 磅 段后: 7.8 磅1"/>
    <w:basedOn w:val="1560"/>
    <w:qFormat/>
    <w:uiPriority w:val="0"/>
    <w:pPr>
      <w:spacing w:line="440" w:lineRule="exact"/>
      <w:ind w:left="0" w:firstLine="0"/>
    </w:pPr>
    <w:rPr>
      <w:rFonts w:ascii="Times New Roman" w:hAnsi="Times New Roman" w:eastAsia="华文中宋"/>
      <w:i w:val="0"/>
      <w:szCs w:val="20"/>
    </w:rPr>
  </w:style>
  <w:style w:type="paragraph" w:customStyle="1" w:styleId="1825">
    <w:name w:val="Char Char Char Char Char Char Char Char Char2 Char"/>
    <w:basedOn w:val="1"/>
    <w:qFormat/>
    <w:uiPriority w:val="0"/>
    <w:pPr>
      <w:spacing w:line="360" w:lineRule="auto"/>
      <w:ind w:firstLine="200" w:firstLineChars="200"/>
      <w:jc w:val="left"/>
    </w:pPr>
    <w:rPr>
      <w:rFonts w:ascii="宋体" w:hAnsi="宋体" w:cs="宋体"/>
      <w:sz w:val="24"/>
      <w:szCs w:val="24"/>
    </w:rPr>
  </w:style>
  <w:style w:type="paragraph" w:customStyle="1" w:styleId="1826">
    <w:name w:val="样式 样式 表格 + 左侧:  0.98 厘米 + 居中"/>
    <w:basedOn w:val="1"/>
    <w:qFormat/>
    <w:uiPriority w:val="0"/>
    <w:pPr>
      <w:adjustRightInd w:val="0"/>
      <w:spacing w:beforeAutospacing="1" w:after="100" w:afterAutospacing="1" w:line="300" w:lineRule="auto"/>
      <w:jc w:val="center"/>
    </w:pPr>
    <w:rPr>
      <w:rFonts w:ascii="Arial" w:hAnsi="Arial" w:cs="Times New Roman"/>
      <w:snapToGrid w:val="0"/>
      <w:kern w:val="0"/>
      <w:szCs w:val="20"/>
    </w:rPr>
  </w:style>
  <w:style w:type="paragraph" w:customStyle="1" w:styleId="1827">
    <w:name w:val="样式 标题 4标题 4 Char + 段前: 2.4 磅"/>
    <w:basedOn w:val="6"/>
    <w:qFormat/>
    <w:uiPriority w:val="0"/>
    <w:pPr>
      <w:tabs>
        <w:tab w:val="left" w:pos="0"/>
      </w:tabs>
      <w:ind w:left="864" w:hanging="144"/>
      <w:jc w:val="both"/>
    </w:pPr>
    <w:rPr>
      <w:rFonts w:ascii="Arial" w:hAnsi="Arial" w:cs="Times New Roman" w:eastAsiaTheme="minorEastAsia"/>
      <w:bCs w:val="0"/>
      <w:i/>
    </w:rPr>
  </w:style>
  <w:style w:type="paragraph" w:customStyle="1" w:styleId="1828">
    <w:name w:val="表格文字(右)"/>
    <w:basedOn w:val="34"/>
    <w:qFormat/>
    <w:uiPriority w:val="0"/>
    <w:pPr>
      <w:adjustRightInd/>
      <w:spacing w:beforeLines="0" w:line="240" w:lineRule="auto"/>
      <w:ind w:right="113"/>
      <w:jc w:val="right"/>
    </w:pPr>
    <w:rPr>
      <w:rFonts w:ascii="宋体" w:hAnsi="Calibri" w:eastAsiaTheme="minorEastAsia"/>
      <w:snapToGrid/>
      <w:kern w:val="2"/>
      <w:sz w:val="21"/>
      <w:szCs w:val="20"/>
    </w:rPr>
  </w:style>
  <w:style w:type="paragraph" w:customStyle="1" w:styleId="1829">
    <w:name w:val="样式 标题 5 + 段前: 0.2 行 段后: 0.2 行 首行缩进:  0 字符"/>
    <w:basedOn w:val="7"/>
    <w:qFormat/>
    <w:uiPriority w:val="0"/>
    <w:pPr>
      <w:tabs>
        <w:tab w:val="left" w:pos="1008"/>
      </w:tabs>
      <w:spacing w:beforeLines="10"/>
      <w:ind w:left="1008" w:hanging="432"/>
      <w:jc w:val="left"/>
    </w:pPr>
    <w:rPr>
      <w:rFonts w:ascii="Times New Roman" w:hAnsi="Times New Roman" w:cs="Times New Roman"/>
      <w:snapToGrid w:val="0"/>
      <w:kern w:val="0"/>
    </w:rPr>
  </w:style>
  <w:style w:type="paragraph" w:customStyle="1" w:styleId="1830">
    <w:name w:val="表内五中"/>
    <w:basedOn w:val="1"/>
    <w:qFormat/>
    <w:uiPriority w:val="0"/>
    <w:pPr>
      <w:tabs>
        <w:tab w:val="left" w:pos="-120"/>
      </w:tabs>
      <w:overflowPunct w:val="0"/>
      <w:topLinePunct/>
      <w:autoSpaceDE w:val="0"/>
      <w:adjustRightInd w:val="0"/>
      <w:spacing w:afterLines="50" w:line="310" w:lineRule="atLeast"/>
      <w:ind w:left="-79" w:right="-115" w:firstLine="454"/>
      <w:jc w:val="center"/>
    </w:pPr>
    <w:rPr>
      <w:rFonts w:ascii="Times New Roman" w:hAnsi="Times New Roman" w:cs="Times New Roman"/>
      <w:sz w:val="24"/>
      <w:szCs w:val="20"/>
    </w:rPr>
  </w:style>
  <w:style w:type="paragraph" w:customStyle="1" w:styleId="1831">
    <w:name w:val="样式 首行缩进:  1.69 字符"/>
    <w:basedOn w:val="1"/>
    <w:qFormat/>
    <w:uiPriority w:val="0"/>
    <w:pPr>
      <w:adjustRightInd w:val="0"/>
      <w:spacing w:line="360" w:lineRule="auto"/>
      <w:ind w:firstLine="380"/>
      <w:jc w:val="left"/>
      <w:textAlignment w:val="baseline"/>
    </w:pPr>
    <w:rPr>
      <w:rFonts w:ascii="Times New Roman" w:hAnsi="Times New Roman" w:cs="Times New Roman"/>
      <w:snapToGrid w:val="0"/>
      <w:kern w:val="0"/>
      <w:sz w:val="24"/>
      <w:szCs w:val="20"/>
    </w:rPr>
  </w:style>
  <w:style w:type="paragraph" w:customStyle="1" w:styleId="1832">
    <w:name w:val="样式 样式 表名 + 段前: 0.5 行4 + 段前: 0.5 行"/>
    <w:qFormat/>
    <w:uiPriority w:val="0"/>
    <w:rPr>
      <w:rFonts w:ascii="Times New Roman" w:hAnsi="Times New Roman" w:eastAsia="宋体" w:cs="Times New Roman"/>
      <w:lang w:val="en-US" w:eastAsia="zh-CN" w:bidi="ar-SA"/>
    </w:rPr>
  </w:style>
  <w:style w:type="paragraph" w:customStyle="1" w:styleId="1833">
    <w:name w:val="样式 表名 + 段前: 0.5 行4"/>
    <w:basedOn w:val="363"/>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kern w:val="52"/>
      <w:sz w:val="21"/>
      <w:szCs w:val="21"/>
      <w:shd w:val="clear" w:color="auto" w:fill="auto"/>
    </w:rPr>
  </w:style>
  <w:style w:type="paragraph" w:customStyle="1" w:styleId="1834">
    <w:name w:val="样式 标题 4 + 非加粗"/>
    <w:basedOn w:val="6"/>
    <w:link w:val="2834"/>
    <w:qFormat/>
    <w:uiPriority w:val="0"/>
    <w:pPr>
      <w:tabs>
        <w:tab w:val="left" w:pos="0"/>
      </w:tabs>
      <w:ind w:left="864" w:hanging="144"/>
      <w:jc w:val="both"/>
    </w:pPr>
    <w:rPr>
      <w:rFonts w:ascii="Arial" w:hAnsi="Arial" w:cs="Times New Roman" w:eastAsiaTheme="minorEastAsia"/>
      <w:b w:val="0"/>
      <w:bCs w:val="0"/>
      <w:i/>
    </w:rPr>
  </w:style>
  <w:style w:type="paragraph" w:customStyle="1" w:styleId="1835">
    <w:name w:val="样式 正文编号（1） +1 Char Char Char"/>
    <w:basedOn w:val="1"/>
    <w:qFormat/>
    <w:uiPriority w:val="0"/>
    <w:pPr>
      <w:widowControl/>
      <w:tabs>
        <w:tab w:val="left" w:pos="572"/>
        <w:tab w:val="left" w:pos="1230"/>
      </w:tabs>
      <w:adjustRightInd w:val="0"/>
      <w:spacing w:line="520" w:lineRule="exact"/>
      <w:ind w:left="56" w:firstLine="454" w:firstLineChars="200"/>
      <w:jc w:val="left"/>
      <w:textAlignment w:val="baseline"/>
    </w:pPr>
    <w:rPr>
      <w:rFonts w:ascii="Times New Roman" w:hAnsi="Times New Roman" w:cs="Times New Roman"/>
      <w:snapToGrid w:val="0"/>
      <w:color w:val="000000"/>
      <w:kern w:val="0"/>
      <w:sz w:val="28"/>
      <w:szCs w:val="24"/>
      <w:u w:color="000000"/>
    </w:rPr>
  </w:style>
  <w:style w:type="paragraph" w:customStyle="1" w:styleId="1836">
    <w:name w:val="样式 表名 + 段前: 0.5 行"/>
    <w:basedOn w:val="363"/>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bCs/>
      <w:snapToGrid w:val="0"/>
      <w:kern w:val="52"/>
      <w:sz w:val="21"/>
      <w:szCs w:val="20"/>
      <w:shd w:val="clear" w:color="auto" w:fill="auto"/>
    </w:rPr>
  </w:style>
  <w:style w:type="paragraph" w:customStyle="1" w:styleId="1837">
    <w:name w:val="表格题头"/>
    <w:basedOn w:val="1"/>
    <w:link w:val="2960"/>
    <w:qFormat/>
    <w:uiPriority w:val="0"/>
    <w:pPr>
      <w:keepNext/>
      <w:keepLines/>
      <w:adjustRightInd w:val="0"/>
      <w:spacing w:line="360" w:lineRule="auto"/>
      <w:ind w:firstLine="240" w:firstLineChars="100"/>
      <w:jc w:val="left"/>
      <w:textAlignment w:val="baseline"/>
      <w:outlineLvl w:val="8"/>
    </w:pPr>
    <w:rPr>
      <w:rFonts w:ascii="Times New Roman" w:hAnsi="Times New Roman" w:eastAsia="黑体" w:cs="Times New Roman"/>
      <w:bCs/>
      <w:snapToGrid w:val="0"/>
      <w:kern w:val="0"/>
      <w:sz w:val="24"/>
    </w:rPr>
  </w:style>
  <w:style w:type="paragraph" w:customStyle="1" w:styleId="1838">
    <w:name w:val="xl120"/>
    <w:basedOn w:val="1"/>
    <w:qFormat/>
    <w:uiPriority w:val="0"/>
    <w:pPr>
      <w:widowControl/>
      <w:pBdr>
        <w:bottom w:val="single" w:color="auto" w:sz="4" w:space="0"/>
      </w:pBdr>
      <w:spacing w:beforeAutospacing="1" w:after="100" w:afterAutospacing="1"/>
      <w:jc w:val="left"/>
    </w:pPr>
    <w:rPr>
      <w:rFonts w:ascii="Arial Unicode MS" w:hAnsi="Arial Unicode MS" w:cs="Times New Roman"/>
      <w:kern w:val="0"/>
      <w:sz w:val="20"/>
      <w:szCs w:val="20"/>
    </w:rPr>
  </w:style>
  <w:style w:type="paragraph" w:customStyle="1" w:styleId="1839">
    <w:name w:val="表文加粗"/>
    <w:basedOn w:val="1024"/>
    <w:next w:val="1024"/>
    <w:qFormat/>
    <w:uiPriority w:val="0"/>
    <w:pPr>
      <w:spacing w:beforeLines="0" w:afterLines="0" w:line="240" w:lineRule="auto"/>
      <w:jc w:val="both"/>
      <w:textAlignment w:val="baseline"/>
      <w:outlineLvl w:val="4"/>
    </w:pPr>
    <w:rPr>
      <w:rFonts w:ascii="Calibri" w:hAnsi="Calibri"/>
      <w:b/>
      <w:snapToGrid w:val="0"/>
      <w:kern w:val="0"/>
      <w:sz w:val="18"/>
      <w:szCs w:val="18"/>
    </w:rPr>
  </w:style>
  <w:style w:type="paragraph" w:customStyle="1" w:styleId="1840">
    <w:name w:val="文章正文"/>
    <w:basedOn w:val="1"/>
    <w:qFormat/>
    <w:uiPriority w:val="0"/>
    <w:pPr>
      <w:spacing w:line="360" w:lineRule="auto"/>
      <w:ind w:left="420" w:leftChars="200" w:firstLine="560" w:firstLineChars="200"/>
      <w:jc w:val="left"/>
    </w:pPr>
    <w:rPr>
      <w:rFonts w:ascii="宋体" w:hAnsi="宋体" w:cs="Times New Roman"/>
      <w:sz w:val="28"/>
      <w:szCs w:val="24"/>
    </w:rPr>
  </w:style>
  <w:style w:type="paragraph" w:customStyle="1" w:styleId="1841">
    <w:name w:val="样式 首行缩进 Char + 首行缩进:  2.57 字符"/>
    <w:basedOn w:val="1"/>
    <w:qFormat/>
    <w:uiPriority w:val="0"/>
    <w:pPr>
      <w:spacing w:line="360" w:lineRule="auto"/>
      <w:jc w:val="left"/>
    </w:pPr>
    <w:rPr>
      <w:rFonts w:ascii="Times New Roman" w:hAnsi="Times New Roman" w:cs="Times New Roman"/>
      <w:sz w:val="28"/>
      <w:szCs w:val="20"/>
    </w:rPr>
  </w:style>
  <w:style w:type="paragraph" w:customStyle="1" w:styleId="1842">
    <w:name w:val="样式 !标题3(alt+3) + 首行缩进:  1 字符5"/>
    <w:basedOn w:val="1019"/>
    <w:qFormat/>
    <w:uiPriority w:val="0"/>
    <w:pPr>
      <w:spacing w:line="360" w:lineRule="auto"/>
    </w:pPr>
    <w:rPr>
      <w:szCs w:val="20"/>
    </w:rPr>
  </w:style>
  <w:style w:type="paragraph" w:customStyle="1" w:styleId="1843">
    <w:name w:val="样式7表名"/>
    <w:next w:val="1"/>
    <w:qFormat/>
    <w:uiPriority w:val="0"/>
    <w:pPr>
      <w:spacing w:before="120" w:line="360" w:lineRule="auto"/>
      <w:jc w:val="center"/>
    </w:pPr>
    <w:rPr>
      <w:rFonts w:ascii="黑体" w:hAnsi="Times New Roman" w:eastAsia="黑体" w:cs="Times New Roman"/>
      <w:spacing w:val="60"/>
      <w:sz w:val="24"/>
      <w:szCs w:val="24"/>
      <w:lang w:val="en-US" w:eastAsia="zh-CN" w:bidi="ar-SA"/>
    </w:rPr>
  </w:style>
  <w:style w:type="paragraph" w:customStyle="1" w:styleId="1844">
    <w:name w:val="A标题"/>
    <w:basedOn w:val="6"/>
    <w:qFormat/>
    <w:uiPriority w:val="0"/>
    <w:pPr>
      <w:tabs>
        <w:tab w:val="left" w:pos="0"/>
      </w:tabs>
      <w:ind w:left="864" w:hanging="144"/>
      <w:jc w:val="both"/>
    </w:pPr>
    <w:rPr>
      <w:rFonts w:ascii="Arial" w:hAnsi="Arial" w:cs="Times New Roman" w:eastAsiaTheme="minorEastAsia"/>
      <w:bCs w:val="0"/>
      <w:i/>
    </w:rPr>
  </w:style>
  <w:style w:type="paragraph" w:customStyle="1" w:styleId="1845">
    <w:name w:val="样式 标题 3 + 首行缩进:  2 字符"/>
    <w:basedOn w:val="5"/>
    <w:qFormat/>
    <w:uiPriority w:val="0"/>
    <w:pPr>
      <w:spacing w:beforeLines="10"/>
      <w:ind w:left="720" w:hanging="432"/>
    </w:pPr>
    <w:rPr>
      <w:rFonts w:cs="Times New Roman" w:eastAsiaTheme="minorEastAsia"/>
      <w:bCs w:val="0"/>
      <w:szCs w:val="26"/>
    </w:rPr>
  </w:style>
  <w:style w:type="paragraph" w:customStyle="1" w:styleId="1846">
    <w:name w:val="生物中文类名"/>
    <w:basedOn w:val="1"/>
    <w:qFormat/>
    <w:uiPriority w:val="0"/>
    <w:pPr>
      <w:tabs>
        <w:tab w:val="left" w:pos="-120"/>
      </w:tabs>
      <w:overflowPunct w:val="0"/>
      <w:topLinePunct/>
      <w:autoSpaceDE w:val="0"/>
      <w:adjustRightInd w:val="0"/>
      <w:spacing w:afterLines="50" w:line="310" w:lineRule="atLeast"/>
      <w:ind w:firstLine="454"/>
      <w:jc w:val="left"/>
    </w:pPr>
    <w:rPr>
      <w:rFonts w:ascii="Times New Roman" w:hAnsi="Times New Roman" w:cs="Times New Roman"/>
      <w:b/>
      <w:spacing w:val="20"/>
      <w:sz w:val="24"/>
      <w:szCs w:val="20"/>
    </w:rPr>
  </w:style>
  <w:style w:type="paragraph" w:customStyle="1" w:styleId="1847">
    <w:name w:val="表中文字1"/>
    <w:basedOn w:val="1"/>
    <w:qFormat/>
    <w:uiPriority w:val="0"/>
    <w:pPr>
      <w:tabs>
        <w:tab w:val="left" w:pos="2412"/>
      </w:tabs>
      <w:jc w:val="center"/>
    </w:pPr>
    <w:rPr>
      <w:rFonts w:ascii="Times New Roman" w:hAnsi="Times New Roman" w:cs="Times New Roman"/>
      <w:sz w:val="18"/>
      <w:szCs w:val="20"/>
    </w:rPr>
  </w:style>
  <w:style w:type="paragraph" w:customStyle="1" w:styleId="1848">
    <w:name w:val="表文 Char Char Char Char Char"/>
    <w:basedOn w:val="1"/>
    <w:qFormat/>
    <w:uiPriority w:val="0"/>
    <w:pPr>
      <w:overflowPunct w:val="0"/>
      <w:jc w:val="left"/>
      <w:textAlignment w:val="baseline"/>
    </w:pPr>
    <w:rPr>
      <w:rFonts w:ascii="Times New Roman" w:hAnsi="Times New Roman" w:cs="Times New Roman"/>
      <w:sz w:val="18"/>
      <w:szCs w:val="24"/>
      <w:lang w:val="zh-CN"/>
    </w:rPr>
  </w:style>
  <w:style w:type="paragraph" w:customStyle="1" w:styleId="1849">
    <w:name w:val="表号1"/>
    <w:basedOn w:val="1"/>
    <w:qFormat/>
    <w:uiPriority w:val="0"/>
    <w:pPr>
      <w:adjustRightInd w:val="0"/>
      <w:ind w:firstLine="1787" w:firstLineChars="1000"/>
      <w:jc w:val="left"/>
      <w:textAlignment w:val="baseline"/>
    </w:pPr>
    <w:rPr>
      <w:rFonts w:ascii="Times New Roman" w:hAnsi="Times New Roman" w:cs="Times New Roman"/>
      <w:color w:val="000000"/>
      <w:kern w:val="0"/>
      <w:sz w:val="18"/>
      <w:szCs w:val="18"/>
    </w:rPr>
  </w:style>
  <w:style w:type="paragraph" w:customStyle="1" w:styleId="1850">
    <w:name w:val="样式 表名 + 段前: 0.5 行3"/>
    <w:basedOn w:val="363"/>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kern w:val="52"/>
      <w:sz w:val="21"/>
      <w:szCs w:val="20"/>
      <w:shd w:val="clear" w:color="auto" w:fill="auto"/>
    </w:rPr>
  </w:style>
  <w:style w:type="paragraph" w:customStyle="1" w:styleId="1851">
    <w:name w:val="xl116"/>
    <w:basedOn w:val="1"/>
    <w:qFormat/>
    <w:uiPriority w:val="0"/>
    <w:pPr>
      <w:widowControl/>
      <w:pBdr>
        <w:top w:val="single" w:color="auto" w:sz="4" w:space="0"/>
        <w:left w:val="single" w:color="auto" w:sz="4" w:space="0"/>
        <w:bottom w:val="single" w:color="auto" w:sz="8" w:space="0"/>
        <w:right w:val="single" w:color="auto" w:sz="4" w:space="0"/>
      </w:pBdr>
      <w:spacing w:beforeAutospacing="1" w:after="100" w:afterAutospacing="1"/>
      <w:jc w:val="center"/>
    </w:pPr>
    <w:rPr>
      <w:rFonts w:ascii="Arial Unicode MS" w:hAnsi="Arial Unicode MS" w:cs="Times New Roman"/>
      <w:kern w:val="0"/>
      <w:sz w:val="20"/>
      <w:szCs w:val="20"/>
    </w:rPr>
  </w:style>
  <w:style w:type="paragraph" w:customStyle="1" w:styleId="1852">
    <w:name w:val="样式 样式6 + 黑色"/>
    <w:basedOn w:val="655"/>
    <w:qFormat/>
    <w:uiPriority w:val="0"/>
    <w:pPr>
      <w:keepNext w:val="0"/>
      <w:keepLines w:val="0"/>
      <w:adjustRightInd w:val="0"/>
      <w:snapToGrid w:val="0"/>
      <w:spacing w:beforeLines="0"/>
      <w:ind w:firstLine="0" w:firstLineChars="0"/>
      <w:jc w:val="center"/>
      <w:outlineLvl w:val="9"/>
    </w:pPr>
    <w:rPr>
      <w:rFonts w:ascii="宋体" w:hAnsi="宋体"/>
      <w:bCs w:val="0"/>
      <w:sz w:val="18"/>
      <w:szCs w:val="18"/>
    </w:rPr>
  </w:style>
  <w:style w:type="paragraph" w:customStyle="1" w:styleId="1853">
    <w:name w:val="样式 !标题1(alt+1) + 两端对齐"/>
    <w:basedOn w:val="978"/>
    <w:qFormat/>
    <w:uiPriority w:val="0"/>
    <w:pPr>
      <w:adjustRightInd/>
      <w:spacing w:beforeAutospacing="0" w:afterLines="0"/>
      <w:jc w:val="both"/>
    </w:pPr>
    <w:rPr>
      <w:rFonts w:cs="宋体"/>
      <w:sz w:val="32"/>
      <w:szCs w:val="20"/>
    </w:rPr>
  </w:style>
  <w:style w:type="paragraph" w:customStyle="1" w:styleId="1854">
    <w:name w:val="!章名(alt+m)"/>
    <w:next w:val="1"/>
    <w:qFormat/>
    <w:uiPriority w:val="0"/>
    <w:pPr>
      <w:spacing w:line="500" w:lineRule="exact"/>
      <w:jc w:val="center"/>
      <w:outlineLvl w:val="0"/>
    </w:pPr>
    <w:rPr>
      <w:rFonts w:ascii="Arial" w:hAnsi="Arial" w:eastAsia="黑体" w:cs="Times New Roman"/>
      <w:spacing w:val="-5"/>
      <w:sz w:val="32"/>
      <w:lang w:val="en-US" w:eastAsia="zh-CN" w:bidi="ar-SA"/>
    </w:rPr>
  </w:style>
  <w:style w:type="paragraph" w:customStyle="1" w:styleId="1855">
    <w:name w:val="ST20_5"/>
    <w:qFormat/>
    <w:uiPriority w:val="0"/>
    <w:pPr>
      <w:widowControl w:val="0"/>
      <w:autoSpaceDE w:val="0"/>
      <w:autoSpaceDN w:val="0"/>
      <w:adjustRightInd w:val="0"/>
      <w:jc w:val="both"/>
      <w:textAlignment w:val="baseline"/>
    </w:pPr>
    <w:rPr>
      <w:rFonts w:ascii="宋体" w:hAnsi="Tms Rmn" w:eastAsia="宋体" w:cs="Times New Roman"/>
      <w:sz w:val="21"/>
      <w:lang w:val="en-US" w:eastAsia="zh-CN" w:bidi="ar-SA"/>
    </w:rPr>
  </w:style>
  <w:style w:type="paragraph" w:customStyle="1" w:styleId="1856">
    <w:name w:val="样式 标题 2标题 2XWh2l22nd levelTitre2Header 2节标题 1.1BSH-2标题 ..."/>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857">
    <w:name w:val="样式 标题3 + 段前: 0.5 行 段后: 0.5 行1"/>
    <w:basedOn w:val="578"/>
    <w:qFormat/>
    <w:uiPriority w:val="0"/>
    <w:pPr>
      <w:overflowPunct w:val="0"/>
      <w:topLinePunct/>
      <w:spacing w:beforeLines="10" w:line="440" w:lineRule="exact"/>
    </w:pPr>
    <w:rPr>
      <w:rFonts w:eastAsia="华文中宋"/>
      <w:bCs w:val="0"/>
      <w:kern w:val="10"/>
      <w:sz w:val="28"/>
      <w:szCs w:val="20"/>
    </w:rPr>
  </w:style>
  <w:style w:type="paragraph" w:customStyle="1" w:styleId="1858">
    <w:name w:val="样式 标题 3 + (中文) 宋体"/>
    <w:basedOn w:val="5"/>
    <w:qFormat/>
    <w:uiPriority w:val="0"/>
    <w:pPr>
      <w:spacing w:beforeLines="10"/>
      <w:ind w:left="720" w:hanging="432"/>
    </w:pPr>
    <w:rPr>
      <w:rFonts w:cs="Times New Roman" w:eastAsiaTheme="minorEastAsia"/>
      <w:bCs w:val="0"/>
      <w:szCs w:val="26"/>
    </w:rPr>
  </w:style>
  <w:style w:type="paragraph" w:customStyle="1" w:styleId="1859">
    <w:name w:val="样式 标题 3 + 段前: 6 磅 段后: 6 磅"/>
    <w:basedOn w:val="5"/>
    <w:qFormat/>
    <w:uiPriority w:val="0"/>
    <w:pPr>
      <w:spacing w:beforeLines="10"/>
      <w:ind w:left="720" w:hanging="432"/>
    </w:pPr>
    <w:rPr>
      <w:rFonts w:cs="Times New Roman" w:eastAsiaTheme="minorEastAsia"/>
      <w:bCs w:val="0"/>
      <w:szCs w:val="26"/>
    </w:rPr>
  </w:style>
  <w:style w:type="paragraph" w:customStyle="1" w:styleId="1860">
    <w:name w:val="文字块"/>
    <w:basedOn w:val="1"/>
    <w:qFormat/>
    <w:uiPriority w:val="0"/>
    <w:pPr>
      <w:widowControl/>
      <w:spacing w:line="606" w:lineRule="atLeast"/>
      <w:ind w:left="-351" w:right="-147" w:firstLine="538"/>
      <w:jc w:val="left"/>
      <w:textAlignment w:val="baseline"/>
    </w:pPr>
    <w:rPr>
      <w:rFonts w:ascii="Times New Roman" w:hAnsi="Times New Roman" w:cs="Times New Roman"/>
      <w:color w:val="000000"/>
      <w:kern w:val="0"/>
      <w:sz w:val="24"/>
      <w:szCs w:val="20"/>
      <w:u w:color="000000"/>
    </w:rPr>
  </w:style>
  <w:style w:type="paragraph" w:customStyle="1" w:styleId="1861">
    <w:name w:val="xl112"/>
    <w:basedOn w:val="1"/>
    <w:qFormat/>
    <w:uiPriority w:val="0"/>
    <w:pPr>
      <w:widowControl/>
      <w:pBdr>
        <w:left w:val="single" w:color="auto" w:sz="4" w:space="0"/>
        <w:bottom w:val="single" w:color="auto" w:sz="4" w:space="0"/>
        <w:right w:val="single" w:color="auto" w:sz="4" w:space="0"/>
      </w:pBdr>
      <w:spacing w:beforeAutospacing="1" w:after="100" w:afterAutospacing="1"/>
      <w:jc w:val="center"/>
      <w:textAlignment w:val="center"/>
    </w:pPr>
    <w:rPr>
      <w:rFonts w:ascii="黑体" w:hAnsi="宋体" w:eastAsia="黑体" w:cs="宋体"/>
      <w:color w:val="0000FF"/>
      <w:kern w:val="0"/>
      <w:sz w:val="18"/>
      <w:szCs w:val="18"/>
    </w:rPr>
  </w:style>
  <w:style w:type="paragraph" w:customStyle="1" w:styleId="1862">
    <w:name w:val="样式 样式3 + 黑色"/>
    <w:basedOn w:val="594"/>
    <w:qFormat/>
    <w:uiPriority w:val="0"/>
    <w:pPr>
      <w:keepNext w:val="0"/>
      <w:keepLines w:val="0"/>
      <w:spacing w:afterLines="20" w:line="240" w:lineRule="auto"/>
      <w:ind w:firstLine="480" w:firstLineChars="200"/>
      <w:outlineLvl w:val="9"/>
    </w:pPr>
    <w:rPr>
      <w:rFonts w:eastAsia="华文中宋"/>
      <w:b w:val="0"/>
      <w:bCs w:val="0"/>
      <w:color w:val="000000"/>
      <w:kern w:val="2"/>
      <w:sz w:val="24"/>
      <w:szCs w:val="24"/>
    </w:rPr>
  </w:style>
  <w:style w:type="paragraph" w:customStyle="1" w:styleId="1863">
    <w:name w:val="样式 !标题3(alt+3) + 首行缩进:  1 字符2"/>
    <w:basedOn w:val="1019"/>
    <w:qFormat/>
    <w:uiPriority w:val="0"/>
    <w:pPr>
      <w:spacing w:before="40" w:after="60" w:line="288" w:lineRule="auto"/>
    </w:pPr>
    <w:rPr>
      <w:rFonts w:ascii="Times New Roman"/>
      <w:szCs w:val="20"/>
    </w:rPr>
  </w:style>
  <w:style w:type="paragraph" w:customStyle="1" w:styleId="1864">
    <w:name w:val="批注框文本 Char Char"/>
    <w:basedOn w:val="1"/>
    <w:qFormat/>
    <w:uiPriority w:val="0"/>
    <w:pPr>
      <w:jc w:val="left"/>
    </w:pPr>
    <w:rPr>
      <w:rFonts w:ascii="Times New Roman" w:hAnsi="Times New Roman" w:cs="Times New Roman"/>
      <w:sz w:val="18"/>
      <w:szCs w:val="20"/>
    </w:rPr>
  </w:style>
  <w:style w:type="paragraph" w:customStyle="1" w:styleId="1865">
    <w:name w:val="样式 标题4 + 段前: 0.5 行"/>
    <w:basedOn w:val="1"/>
    <w:qFormat/>
    <w:uiPriority w:val="0"/>
    <w:pPr>
      <w:spacing w:beforeAutospacing="1" w:line="360" w:lineRule="auto"/>
      <w:jc w:val="left"/>
      <w:outlineLvl w:val="3"/>
    </w:pPr>
    <w:rPr>
      <w:rFonts w:ascii="Times New Roman" w:hAnsi="Times New Roman" w:eastAsia="黑体" w:cs="Times New Roman"/>
      <w:bCs/>
      <w:sz w:val="24"/>
      <w:szCs w:val="20"/>
    </w:rPr>
  </w:style>
  <w:style w:type="paragraph" w:customStyle="1" w:styleId="1866">
    <w:name w:val="样式 !标题3(alt+3) + 首行缩进:  1 字符3"/>
    <w:basedOn w:val="1019"/>
    <w:qFormat/>
    <w:uiPriority w:val="0"/>
    <w:pPr>
      <w:spacing w:line="360" w:lineRule="auto"/>
    </w:pPr>
    <w:rPr>
      <w:rFonts w:ascii="Times New Roman"/>
      <w:szCs w:val="20"/>
    </w:rPr>
  </w:style>
  <w:style w:type="paragraph" w:customStyle="1" w:styleId="1867">
    <w:name w:val="xl113"/>
    <w:basedOn w:val="1"/>
    <w:qFormat/>
    <w:uiPriority w:val="0"/>
    <w:pPr>
      <w:widowControl/>
      <w:pBdr>
        <w:top w:val="single" w:color="auto" w:sz="4" w:space="0"/>
        <w:left w:val="single" w:color="auto" w:sz="4" w:space="0"/>
        <w:right w:val="single" w:color="auto" w:sz="4" w:space="0"/>
      </w:pBdr>
      <w:spacing w:beforeAutospacing="1" w:after="100" w:afterAutospacing="1"/>
      <w:jc w:val="center"/>
      <w:textAlignment w:val="center"/>
    </w:pPr>
    <w:rPr>
      <w:rFonts w:ascii="黑体" w:hAnsi="宋体" w:eastAsia="黑体" w:cs="宋体"/>
      <w:color w:val="000000"/>
      <w:kern w:val="0"/>
      <w:sz w:val="18"/>
      <w:szCs w:val="18"/>
    </w:rPr>
  </w:style>
  <w:style w:type="paragraph" w:customStyle="1" w:styleId="1868">
    <w:name w:val="样式 左侧:  0.98 厘米"/>
    <w:basedOn w:val="1"/>
    <w:qFormat/>
    <w:uiPriority w:val="0"/>
    <w:pPr>
      <w:adjustRightInd w:val="0"/>
      <w:spacing w:line="490" w:lineRule="exact"/>
      <w:ind w:firstLine="560" w:firstLineChars="200"/>
      <w:jc w:val="left"/>
    </w:pPr>
    <w:rPr>
      <w:rFonts w:ascii="Times New Roman" w:hAnsi="Times New Roman" w:eastAsia="仿宋_GB2312" w:cs="Times New Roman"/>
      <w:sz w:val="28"/>
      <w:szCs w:val="20"/>
    </w:rPr>
  </w:style>
  <w:style w:type="paragraph" w:customStyle="1" w:styleId="1869">
    <w:name w:val="样式 样式 (b) + 行距: 固定值 22 磅 + 加粗"/>
    <w:basedOn w:val="1"/>
    <w:qFormat/>
    <w:uiPriority w:val="0"/>
    <w:pPr>
      <w:widowControl/>
      <w:tabs>
        <w:tab w:val="left" w:pos="572"/>
        <w:tab w:val="left" w:pos="1798"/>
      </w:tabs>
      <w:adjustRightInd w:val="0"/>
      <w:spacing w:line="800" w:lineRule="exact"/>
      <w:ind w:left="624" w:firstLine="454"/>
      <w:jc w:val="left"/>
    </w:pPr>
    <w:rPr>
      <w:rFonts w:ascii="Times New Roman" w:hAnsi="Times New Roman" w:cs="Times New Roman"/>
      <w:b/>
      <w:bCs/>
      <w:kern w:val="0"/>
      <w:sz w:val="48"/>
      <w:szCs w:val="48"/>
    </w:rPr>
  </w:style>
  <w:style w:type="paragraph" w:customStyle="1" w:styleId="1870">
    <w:name w:val="_WXZ_说明正文 行距: 1.5 倍行距 + Arial 首行缩进:  2 字符"/>
    <w:basedOn w:val="1"/>
    <w:qFormat/>
    <w:uiPriority w:val="0"/>
    <w:pPr>
      <w:spacing w:line="440" w:lineRule="exact"/>
      <w:ind w:right="210" w:rightChars="100" w:firstLine="449" w:firstLineChars="187"/>
      <w:jc w:val="left"/>
      <w:outlineLvl w:val="0"/>
    </w:pPr>
    <w:rPr>
      <w:rFonts w:ascii="Arial" w:hAnsi="Arial" w:cs="宋体"/>
      <w:sz w:val="24"/>
      <w:szCs w:val="24"/>
    </w:rPr>
  </w:style>
  <w:style w:type="paragraph" w:customStyle="1" w:styleId="1871">
    <w:name w:val="! 修改"/>
    <w:basedOn w:val="1"/>
    <w:next w:val="929"/>
    <w:qFormat/>
    <w:uiPriority w:val="0"/>
    <w:pPr>
      <w:spacing w:after="119" w:line="419" w:lineRule="atLeast"/>
      <w:ind w:firstLine="471"/>
      <w:jc w:val="left"/>
      <w:textAlignment w:val="baseline"/>
      <w:outlineLvl w:val="4"/>
    </w:pPr>
    <w:rPr>
      <w:rFonts w:ascii="宋体" w:hAnsi="Times New Roman" w:cs="Times New Roman"/>
      <w:color w:val="FF0000"/>
      <w:sz w:val="24"/>
      <w:szCs w:val="20"/>
      <w:u w:color="000000"/>
    </w:rPr>
  </w:style>
  <w:style w:type="paragraph" w:customStyle="1" w:styleId="1872">
    <w:name w:val="标注"/>
    <w:basedOn w:val="1"/>
    <w:qFormat/>
    <w:uiPriority w:val="0"/>
    <w:pPr>
      <w:spacing w:line="240" w:lineRule="atLeast"/>
      <w:jc w:val="left"/>
    </w:pPr>
    <w:rPr>
      <w:rFonts w:ascii="Times New Roman" w:hAnsi="Times New Roman" w:cs="Times New Roman"/>
      <w:kern w:val="0"/>
      <w:sz w:val="24"/>
      <w:szCs w:val="18"/>
    </w:rPr>
  </w:style>
  <w:style w:type="paragraph" w:customStyle="1" w:styleId="1873">
    <w:name w:val="样式 !标题3(alt+3) + 首行缩进:  1 字符4"/>
    <w:basedOn w:val="1019"/>
    <w:qFormat/>
    <w:uiPriority w:val="0"/>
    <w:pPr>
      <w:spacing w:line="360" w:lineRule="auto"/>
    </w:pPr>
    <w:rPr>
      <w:szCs w:val="20"/>
    </w:rPr>
  </w:style>
  <w:style w:type="paragraph" w:customStyle="1" w:styleId="1874">
    <w:name w:val="表名 Char Char3"/>
    <w:basedOn w:val="1"/>
    <w:qFormat/>
    <w:uiPriority w:val="0"/>
    <w:pPr>
      <w:overflowPunct w:val="0"/>
      <w:spacing w:beforeLines="50" w:line="312" w:lineRule="auto"/>
      <w:jc w:val="center"/>
      <w:textAlignment w:val="baseline"/>
    </w:pPr>
    <w:rPr>
      <w:rFonts w:ascii="Arial" w:hAnsi="Arial" w:eastAsia="黑体" w:cs="Times New Roman"/>
      <w:sz w:val="24"/>
      <w:szCs w:val="24"/>
    </w:rPr>
  </w:style>
  <w:style w:type="paragraph" w:customStyle="1" w:styleId="1875">
    <w:name w:val="样式1-1级项目编号"/>
    <w:basedOn w:val="1"/>
    <w:qFormat/>
    <w:uiPriority w:val="0"/>
    <w:pPr>
      <w:tabs>
        <w:tab w:val="left" w:pos="482"/>
      </w:tabs>
      <w:adjustRightInd w:val="0"/>
      <w:spacing w:line="380" w:lineRule="exact"/>
      <w:ind w:left="482"/>
      <w:jc w:val="left"/>
      <w:textAlignment w:val="center"/>
    </w:pPr>
    <w:rPr>
      <w:rFonts w:ascii="Times New Roman" w:hAnsi="Times New Roman" w:cs="Times New Roman"/>
      <w:snapToGrid w:val="0"/>
      <w:kern w:val="0"/>
      <w:sz w:val="24"/>
      <w:szCs w:val="20"/>
    </w:rPr>
  </w:style>
  <w:style w:type="paragraph" w:customStyle="1" w:styleId="1876">
    <w:name w:val="列表内容 1"/>
    <w:basedOn w:val="1"/>
    <w:next w:val="1"/>
    <w:qFormat/>
    <w:uiPriority w:val="0"/>
    <w:pPr>
      <w:keepLines/>
      <w:adjustRightInd w:val="0"/>
      <w:jc w:val="center"/>
    </w:pPr>
    <w:rPr>
      <w:rFonts w:ascii="宋体" w:hAnsi="宋体" w:cs="Times New Roman"/>
      <w:snapToGrid w:val="0"/>
      <w:kern w:val="0"/>
      <w:sz w:val="24"/>
      <w:szCs w:val="24"/>
    </w:rPr>
  </w:style>
  <w:style w:type="paragraph" w:customStyle="1" w:styleId="1877">
    <w:name w:val="xl128"/>
    <w:basedOn w:val="1"/>
    <w:qFormat/>
    <w:uiPriority w:val="0"/>
    <w:pPr>
      <w:widowControl/>
      <w:pBdr>
        <w:top w:val="single" w:color="auto" w:sz="4" w:space="0"/>
        <w:bottom w:val="single" w:color="auto" w:sz="4" w:space="0"/>
        <w:right w:val="single" w:color="auto" w:sz="4" w:space="0"/>
      </w:pBdr>
      <w:spacing w:beforeAutospacing="1" w:after="100" w:afterAutospacing="1"/>
      <w:jc w:val="center"/>
    </w:pPr>
    <w:rPr>
      <w:rFonts w:ascii="Arial Unicode MS" w:hAnsi="Arial Unicode MS" w:cs="Times New Roman"/>
      <w:kern w:val="0"/>
      <w:sz w:val="20"/>
      <w:szCs w:val="20"/>
    </w:rPr>
  </w:style>
  <w:style w:type="paragraph" w:customStyle="1" w:styleId="1878">
    <w:name w:val="HZZH表格内容"/>
    <w:basedOn w:val="1"/>
    <w:qFormat/>
    <w:uiPriority w:val="0"/>
    <w:pPr>
      <w:widowControl/>
      <w:jc w:val="center"/>
    </w:pPr>
    <w:rPr>
      <w:rFonts w:ascii="Times New Roman" w:hAnsi="Times New Roman" w:cs="Times New Roman"/>
      <w:kern w:val="0"/>
      <w:sz w:val="20"/>
      <w:szCs w:val="20"/>
    </w:rPr>
  </w:style>
  <w:style w:type="paragraph" w:customStyle="1" w:styleId="1879">
    <w:name w:val="报告书三级标题"/>
    <w:basedOn w:val="5"/>
    <w:qFormat/>
    <w:uiPriority w:val="0"/>
    <w:pPr>
      <w:spacing w:beforeLines="10"/>
      <w:ind w:left="720" w:hanging="432"/>
    </w:pPr>
    <w:rPr>
      <w:rFonts w:cs="Times New Roman" w:eastAsiaTheme="minorEastAsia"/>
      <w:bCs w:val="0"/>
      <w:szCs w:val="26"/>
    </w:rPr>
  </w:style>
  <w:style w:type="paragraph" w:customStyle="1" w:styleId="1880">
    <w:name w:val="Char4 Char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1881">
    <w:name w:val="样式 文章 + 首行缩进:  2 字符"/>
    <w:basedOn w:val="884"/>
    <w:qFormat/>
    <w:uiPriority w:val="0"/>
    <w:pPr>
      <w:snapToGrid w:val="0"/>
    </w:pPr>
    <w:rPr>
      <w:rFonts w:cs="宋体"/>
      <w:szCs w:val="20"/>
    </w:rPr>
  </w:style>
  <w:style w:type="paragraph" w:customStyle="1" w:styleId="1882">
    <w:name w:val="样式 标题 3 + 红色 首行缩进:  2 字符"/>
    <w:basedOn w:val="5"/>
    <w:qFormat/>
    <w:uiPriority w:val="0"/>
    <w:pPr>
      <w:spacing w:beforeLines="10"/>
      <w:ind w:left="720" w:hanging="432"/>
    </w:pPr>
    <w:rPr>
      <w:rFonts w:cs="Times New Roman" w:eastAsiaTheme="minorEastAsia"/>
      <w:bCs w:val="0"/>
      <w:szCs w:val="26"/>
    </w:rPr>
  </w:style>
  <w:style w:type="paragraph" w:customStyle="1" w:styleId="1883">
    <w:name w:val="样式 !正文 + 首行缩进:  2 字符"/>
    <w:basedOn w:val="1"/>
    <w:qFormat/>
    <w:uiPriority w:val="0"/>
    <w:pPr>
      <w:spacing w:line="336" w:lineRule="auto"/>
      <w:ind w:firstLine="480" w:firstLineChars="200"/>
      <w:jc w:val="left"/>
      <w:textAlignment w:val="baseline"/>
    </w:pPr>
    <w:rPr>
      <w:rFonts w:ascii="Times New Roman" w:hAnsi="Times New Roman" w:cs="宋体"/>
      <w:color w:val="000000"/>
      <w:kern w:val="0"/>
      <w:sz w:val="24"/>
      <w:szCs w:val="20"/>
      <w:u w:color="000000"/>
    </w:rPr>
  </w:style>
  <w:style w:type="paragraph" w:customStyle="1" w:styleId="1884">
    <w:name w:val="样式 表文 Char Char Char + 两端对齐"/>
    <w:basedOn w:val="1848"/>
    <w:qFormat/>
    <w:uiPriority w:val="0"/>
    <w:rPr>
      <w:rFonts w:cs="宋体"/>
      <w:szCs w:val="20"/>
    </w:rPr>
  </w:style>
  <w:style w:type="paragraph" w:customStyle="1" w:styleId="1885">
    <w:name w:val="样式 样式8 + 左  -0.5 字符 右  -0.5 字符"/>
    <w:basedOn w:val="449"/>
    <w:qFormat/>
    <w:uiPriority w:val="0"/>
    <w:pPr>
      <w:adjustRightInd/>
      <w:ind w:left="-120" w:leftChars="-50" w:right="-120" w:rightChars="-50"/>
    </w:pPr>
    <w:rPr>
      <w:rFonts w:hAnsi="Times New Roman" w:eastAsia="华文中宋"/>
      <w:color w:val="000000"/>
      <w:kern w:val="0"/>
      <w:sz w:val="21"/>
    </w:rPr>
  </w:style>
  <w:style w:type="paragraph" w:customStyle="1" w:styleId="1886">
    <w:name w:val="报告表中"/>
    <w:basedOn w:val="1"/>
    <w:qFormat/>
    <w:uiPriority w:val="0"/>
    <w:pPr>
      <w:jc w:val="center"/>
    </w:pPr>
    <w:rPr>
      <w:rFonts w:ascii="Times New Roman" w:hAnsi="Times New Roman" w:cs="Times New Roman"/>
      <w:sz w:val="18"/>
      <w:szCs w:val="20"/>
    </w:rPr>
  </w:style>
  <w:style w:type="paragraph" w:customStyle="1" w:styleId="1887">
    <w:name w:val="样式 标题 3 + (中文) 黑体 小四 非加粗"/>
    <w:basedOn w:val="5"/>
    <w:qFormat/>
    <w:uiPriority w:val="0"/>
    <w:pPr>
      <w:spacing w:beforeLines="10"/>
      <w:ind w:left="720" w:hanging="432"/>
    </w:pPr>
    <w:rPr>
      <w:rFonts w:cs="Times New Roman" w:eastAsiaTheme="minorEastAsia"/>
      <w:bCs w:val="0"/>
      <w:szCs w:val="26"/>
    </w:rPr>
  </w:style>
  <w:style w:type="paragraph" w:customStyle="1" w:styleId="1888">
    <w:name w:val="封面标题"/>
    <w:basedOn w:val="84"/>
    <w:qFormat/>
    <w:uiPriority w:val="0"/>
    <w:pPr>
      <w:tabs>
        <w:tab w:val="left" w:pos="1620"/>
        <w:tab w:val="left" w:pos="1935"/>
        <w:tab w:val="left" w:pos="5400"/>
      </w:tabs>
      <w:adjustRightInd/>
      <w:spacing w:beforeLines="0" w:after="240" w:line="240" w:lineRule="auto"/>
      <w:ind w:left="1620" w:leftChars="600" w:hanging="200" w:hangingChars="200"/>
      <w:jc w:val="center"/>
    </w:pPr>
    <w:rPr>
      <w:rFonts w:eastAsia="黑体" w:cs="Arial"/>
      <w:b w:val="0"/>
      <w:snapToGrid/>
      <w:kern w:val="2"/>
      <w:sz w:val="52"/>
    </w:rPr>
  </w:style>
  <w:style w:type="paragraph" w:customStyle="1" w:styleId="1889">
    <w:name w:val="样式 标题 3 + 段前: 0.5 行 段后: 0.5 行"/>
    <w:basedOn w:val="5"/>
    <w:qFormat/>
    <w:uiPriority w:val="0"/>
    <w:pPr>
      <w:spacing w:beforeLines="10"/>
      <w:ind w:left="720" w:hanging="432"/>
    </w:pPr>
    <w:rPr>
      <w:rFonts w:cs="Times New Roman" w:eastAsiaTheme="minorEastAsia"/>
      <w:bCs w:val="0"/>
      <w:szCs w:val="26"/>
    </w:rPr>
  </w:style>
  <w:style w:type="paragraph" w:customStyle="1" w:styleId="1890">
    <w:name w:val="Char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1891">
    <w:name w:val="图正文"/>
    <w:basedOn w:val="1"/>
    <w:qFormat/>
    <w:uiPriority w:val="0"/>
    <w:pPr>
      <w:adjustRightInd w:val="0"/>
      <w:jc w:val="center"/>
      <w:textAlignment w:val="baseline"/>
    </w:pPr>
    <w:rPr>
      <w:rFonts w:ascii="宋体" w:hAnsi="Times New Roman" w:cs="Times New Roman"/>
      <w:sz w:val="24"/>
      <w:szCs w:val="20"/>
    </w:rPr>
  </w:style>
  <w:style w:type="paragraph" w:customStyle="1" w:styleId="1892">
    <w:name w:val="编制日期"/>
    <w:basedOn w:val="84"/>
    <w:qFormat/>
    <w:uiPriority w:val="0"/>
    <w:pPr>
      <w:tabs>
        <w:tab w:val="left" w:pos="1620"/>
        <w:tab w:val="left" w:pos="1935"/>
        <w:tab w:val="left" w:pos="5400"/>
      </w:tabs>
      <w:adjustRightInd/>
      <w:spacing w:beforeLines="0" w:after="240" w:line="240" w:lineRule="auto"/>
      <w:ind w:left="1620" w:leftChars="600" w:hanging="200" w:hangingChars="200"/>
      <w:jc w:val="center"/>
    </w:pPr>
    <w:rPr>
      <w:rFonts w:cs="Arial" w:eastAsiaTheme="minorEastAsia"/>
      <w:b w:val="0"/>
      <w:snapToGrid/>
      <w:kern w:val="2"/>
    </w:rPr>
  </w:style>
  <w:style w:type="paragraph" w:customStyle="1" w:styleId="1893">
    <w:name w:val="Char1 Char Char Char1"/>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paragraph" w:customStyle="1" w:styleId="1894">
    <w:name w:val="正文昆明"/>
    <w:basedOn w:val="1"/>
    <w:qFormat/>
    <w:uiPriority w:val="0"/>
    <w:pPr>
      <w:spacing w:line="360" w:lineRule="auto"/>
      <w:ind w:firstLine="510"/>
      <w:jc w:val="left"/>
    </w:pPr>
    <w:rPr>
      <w:rFonts w:ascii="Times New Roman" w:hAnsi="Times New Roman" w:cs="Times New Roman"/>
      <w:color w:val="000000"/>
      <w:sz w:val="24"/>
      <w:szCs w:val="20"/>
    </w:rPr>
  </w:style>
  <w:style w:type="paragraph" w:customStyle="1" w:styleId="1895">
    <w:name w:val="!标题4(Alt+4)"/>
    <w:qFormat/>
    <w:uiPriority w:val="0"/>
    <w:pPr>
      <w:spacing w:line="480" w:lineRule="atLeast"/>
      <w:outlineLvl w:val="3"/>
    </w:pPr>
    <w:rPr>
      <w:rFonts w:ascii="黑体" w:hAnsi="Times New Roman" w:eastAsia="黑体" w:cs="Times New Roman"/>
      <w:color w:val="000000"/>
      <w:sz w:val="24"/>
      <w:szCs w:val="24"/>
      <w:u w:color="000000"/>
      <w:lang w:val="en-US" w:eastAsia="zh-CN" w:bidi="ar-SA"/>
    </w:rPr>
  </w:style>
  <w:style w:type="paragraph" w:customStyle="1" w:styleId="1896">
    <w:name w:val="样式 标题 1 + 居中 段前: 18 磅 段后: 18 磅 行距: 单倍行距"/>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897">
    <w:name w:val="Char Char Char Char Char Char1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898">
    <w:name w:val="文"/>
    <w:basedOn w:val="1"/>
    <w:qFormat/>
    <w:uiPriority w:val="0"/>
    <w:pPr>
      <w:autoSpaceDE w:val="0"/>
      <w:autoSpaceDN w:val="0"/>
      <w:adjustRightInd w:val="0"/>
      <w:spacing w:line="447" w:lineRule="atLeast"/>
      <w:ind w:firstLine="419" w:firstLineChars="200"/>
      <w:jc w:val="left"/>
    </w:pPr>
    <w:rPr>
      <w:rFonts w:ascii="Times New Roman" w:hAnsi="Times New Roman" w:cs="Times New Roman"/>
      <w:snapToGrid w:val="0"/>
      <w:color w:val="000000"/>
      <w:kern w:val="0"/>
      <w:sz w:val="24"/>
      <w:szCs w:val="24"/>
      <w:lang w:val="zh-CN"/>
    </w:rPr>
  </w:style>
  <w:style w:type="paragraph" w:customStyle="1" w:styleId="1899">
    <w:name w:val="样式 表名 + 段前: 0.5 行1"/>
    <w:basedOn w:val="363"/>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sz w:val="21"/>
      <w:szCs w:val="20"/>
      <w:shd w:val="clear" w:color="auto" w:fill="auto"/>
    </w:rPr>
  </w:style>
  <w:style w:type="paragraph" w:customStyle="1" w:styleId="1900">
    <w:name w:val="Char Char2 Char Char Char Char"/>
    <w:basedOn w:val="5"/>
    <w:qFormat/>
    <w:uiPriority w:val="0"/>
    <w:pPr>
      <w:spacing w:beforeLines="10"/>
      <w:ind w:left="720" w:hanging="432"/>
    </w:pPr>
    <w:rPr>
      <w:rFonts w:cs="Times New Roman" w:eastAsiaTheme="minorEastAsia"/>
      <w:bCs w:val="0"/>
      <w:szCs w:val="26"/>
    </w:rPr>
  </w:style>
  <w:style w:type="paragraph" w:customStyle="1" w:styleId="1901">
    <w:name w:val="xl125"/>
    <w:basedOn w:val="1"/>
    <w:qFormat/>
    <w:uiPriority w:val="0"/>
    <w:pPr>
      <w:widowControl/>
      <w:pBdr>
        <w:top w:val="single" w:color="auto" w:sz="4" w:space="0"/>
        <w:left w:val="single" w:color="auto" w:sz="4" w:space="0"/>
        <w:bottom w:val="single" w:color="auto" w:sz="8" w:space="0"/>
      </w:pBdr>
      <w:spacing w:beforeAutospacing="1" w:after="100" w:afterAutospacing="1"/>
      <w:jc w:val="center"/>
    </w:pPr>
    <w:rPr>
      <w:rFonts w:ascii="Arial Unicode MS" w:hAnsi="Arial Unicode MS" w:cs="Times New Roman"/>
      <w:kern w:val="0"/>
      <w:sz w:val="20"/>
      <w:szCs w:val="20"/>
    </w:rPr>
  </w:style>
  <w:style w:type="paragraph" w:customStyle="1" w:styleId="1902">
    <w:name w:val="text"/>
    <w:basedOn w:val="1"/>
    <w:qFormat/>
    <w:uiPriority w:val="0"/>
    <w:pPr>
      <w:widowControl/>
      <w:spacing w:after="150"/>
      <w:ind w:firstLine="480"/>
      <w:jc w:val="left"/>
    </w:pPr>
    <w:rPr>
      <w:rFonts w:ascii="ˎ̥" w:hAnsi="ˎ̥" w:cs="Times New Roman"/>
      <w:color w:val="486B8A"/>
      <w:kern w:val="0"/>
      <w:sz w:val="18"/>
      <w:szCs w:val="18"/>
    </w:rPr>
  </w:style>
  <w:style w:type="paragraph" w:customStyle="1" w:styleId="1903">
    <w:name w:val="Char Char Char Char Char Char Char Char Char Char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1904">
    <w:name w:val="Char Char Char Char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1905">
    <w:name w:val="斜体正文"/>
    <w:basedOn w:val="1"/>
    <w:qFormat/>
    <w:uiPriority w:val="0"/>
    <w:pPr>
      <w:spacing w:line="360" w:lineRule="auto"/>
      <w:ind w:firstLine="200" w:firstLineChars="200"/>
      <w:jc w:val="left"/>
    </w:pPr>
    <w:rPr>
      <w:rFonts w:ascii="Times New Roman" w:hAnsi="Times New Roman" w:cs="Times New Roman"/>
      <w:b/>
      <w:i/>
      <w:spacing w:val="6"/>
      <w:sz w:val="24"/>
      <w:szCs w:val="24"/>
    </w:rPr>
  </w:style>
  <w:style w:type="paragraph" w:customStyle="1" w:styleId="1906">
    <w:name w:val="样式 表文"/>
    <w:basedOn w:val="1"/>
    <w:qFormat/>
    <w:uiPriority w:val="0"/>
    <w:pPr>
      <w:tabs>
        <w:tab w:val="left" w:pos="6660"/>
      </w:tabs>
      <w:jc w:val="center"/>
    </w:pPr>
    <w:rPr>
      <w:rFonts w:ascii="Times New Roman" w:hAnsi="Times New Roman" w:cs="Times New Roman"/>
      <w:color w:val="000000"/>
      <w:kern w:val="0"/>
      <w:sz w:val="18"/>
      <w:szCs w:val="24"/>
    </w:rPr>
  </w:style>
  <w:style w:type="paragraph" w:customStyle="1" w:styleId="1907">
    <w:name w:val="样式42"/>
    <w:basedOn w:val="1"/>
    <w:qFormat/>
    <w:uiPriority w:val="0"/>
    <w:pPr>
      <w:spacing w:beforeLines="50" w:afterLines="50"/>
      <w:ind w:firstLine="480" w:firstLineChars="200"/>
      <w:jc w:val="left"/>
    </w:pPr>
    <w:rPr>
      <w:rFonts w:ascii="Times New Roman" w:hAnsi="Times New Roman" w:eastAsia="华文中宋" w:cs="Times New Roman"/>
      <w:color w:val="000000"/>
      <w:sz w:val="24"/>
      <w:szCs w:val="24"/>
    </w:rPr>
  </w:style>
  <w:style w:type="paragraph" w:customStyle="1" w:styleId="1908">
    <w:name w:val="样式 报告书正文 + 自动设置"/>
    <w:basedOn w:val="1228"/>
    <w:qFormat/>
    <w:uiPriority w:val="0"/>
    <w:pPr>
      <w:snapToGrid w:val="0"/>
      <w:spacing w:line="360" w:lineRule="auto"/>
      <w:ind w:left="0" w:leftChars="0" w:firstLine="960" w:firstLineChars="400"/>
      <w:textAlignment w:val="baseline"/>
      <w:outlineLvl w:val="2"/>
    </w:pPr>
    <w:rPr>
      <w:rFonts w:ascii="黑体" w:eastAsia="黑体"/>
      <w:snapToGrid/>
      <w:kern w:val="2"/>
      <w:sz w:val="24"/>
      <w:szCs w:val="24"/>
    </w:rPr>
  </w:style>
  <w:style w:type="paragraph" w:customStyle="1" w:styleId="1909">
    <w:name w:val="xl114"/>
    <w:basedOn w:val="1"/>
    <w:qFormat/>
    <w:uiPriority w:val="0"/>
    <w:pPr>
      <w:widowControl/>
      <w:pBdr>
        <w:left w:val="single" w:color="auto" w:sz="4" w:space="0"/>
        <w:bottom w:val="single" w:color="auto" w:sz="4" w:space="0"/>
        <w:right w:val="single" w:color="auto" w:sz="4" w:space="0"/>
      </w:pBdr>
      <w:spacing w:beforeAutospacing="1" w:after="100" w:afterAutospacing="1"/>
      <w:jc w:val="center"/>
      <w:textAlignment w:val="center"/>
    </w:pPr>
    <w:rPr>
      <w:rFonts w:ascii="黑体" w:hAnsi="宋体" w:eastAsia="黑体" w:cs="宋体"/>
      <w:color w:val="000000"/>
      <w:kern w:val="0"/>
      <w:sz w:val="18"/>
      <w:szCs w:val="18"/>
    </w:rPr>
  </w:style>
  <w:style w:type="paragraph" w:customStyle="1" w:styleId="1910">
    <w:name w:val="样式 正文+ 首行缩进:  2 字符 + 宋体"/>
    <w:basedOn w:val="1"/>
    <w:qFormat/>
    <w:uiPriority w:val="0"/>
    <w:pPr>
      <w:autoSpaceDE w:val="0"/>
      <w:autoSpaceDN w:val="0"/>
      <w:adjustRightInd w:val="0"/>
      <w:spacing w:line="360" w:lineRule="auto"/>
      <w:ind w:firstLine="480"/>
      <w:jc w:val="center"/>
    </w:pPr>
    <w:rPr>
      <w:rFonts w:ascii="宋体" w:hAnsi="宋体" w:cs="Times New Roman"/>
      <w:color w:val="000000"/>
      <w:kern w:val="0"/>
      <w:sz w:val="32"/>
      <w:szCs w:val="24"/>
    </w:rPr>
  </w:style>
  <w:style w:type="paragraph" w:customStyle="1" w:styleId="1911">
    <w:name w:val="样式 小表文居中 + 首行缩进:  2 字符"/>
    <w:basedOn w:val="1"/>
    <w:qFormat/>
    <w:uiPriority w:val="0"/>
    <w:pPr>
      <w:autoSpaceDE w:val="0"/>
      <w:autoSpaceDN w:val="0"/>
      <w:adjustRightInd w:val="0"/>
      <w:jc w:val="center"/>
      <w:textAlignment w:val="baseline"/>
    </w:pPr>
    <w:rPr>
      <w:rFonts w:ascii="Times New Roman" w:hAnsi="Times New Roman" w:cs="宋体"/>
      <w:kern w:val="0"/>
      <w:sz w:val="18"/>
      <w:szCs w:val="18"/>
    </w:rPr>
  </w:style>
  <w:style w:type="paragraph" w:customStyle="1" w:styleId="1912">
    <w:name w:val="设计说明1"/>
    <w:basedOn w:val="1"/>
    <w:qFormat/>
    <w:uiPriority w:val="0"/>
    <w:pPr>
      <w:tabs>
        <w:tab w:val="left" w:pos="1967"/>
      </w:tabs>
      <w:spacing w:after="240" w:line="400" w:lineRule="exact"/>
      <w:ind w:left="952" w:hanging="425"/>
      <w:jc w:val="left"/>
      <w:outlineLvl w:val="0"/>
    </w:pPr>
    <w:rPr>
      <w:rFonts w:ascii="宋体" w:hAnsi="宋体" w:cs="Times New Roman"/>
      <w:b/>
      <w:sz w:val="24"/>
      <w:szCs w:val="20"/>
    </w:rPr>
  </w:style>
  <w:style w:type="paragraph" w:customStyle="1" w:styleId="1913">
    <w:name w:val="样式 (中文) 黑体 居中"/>
    <w:basedOn w:val="1"/>
    <w:qFormat/>
    <w:uiPriority w:val="0"/>
    <w:pPr>
      <w:autoSpaceDE w:val="0"/>
      <w:autoSpaceDN w:val="0"/>
      <w:adjustRightInd w:val="0"/>
      <w:spacing w:line="312" w:lineRule="auto"/>
      <w:ind w:firstLine="482"/>
      <w:jc w:val="center"/>
      <w:textAlignment w:val="baseline"/>
      <w:outlineLvl w:val="5"/>
    </w:pPr>
    <w:rPr>
      <w:rFonts w:ascii="Times New Roman" w:hAnsi="Times New Roman" w:eastAsia="黑体" w:cs="宋体"/>
      <w:kern w:val="0"/>
      <w:sz w:val="24"/>
      <w:szCs w:val="20"/>
    </w:rPr>
  </w:style>
  <w:style w:type="paragraph" w:customStyle="1" w:styleId="1914">
    <w:name w:val="符号后文字2"/>
    <w:basedOn w:val="1"/>
    <w:qFormat/>
    <w:uiPriority w:val="0"/>
    <w:pPr>
      <w:spacing w:line="400" w:lineRule="exact"/>
      <w:jc w:val="left"/>
    </w:pPr>
    <w:rPr>
      <w:rFonts w:ascii="Times New Roman" w:hAnsi="Times New Roman" w:cs="Times New Roman"/>
      <w:color w:val="FF0000"/>
      <w:sz w:val="24"/>
      <w:szCs w:val="20"/>
    </w:rPr>
  </w:style>
  <w:style w:type="paragraph" w:customStyle="1" w:styleId="1915">
    <w:name w:val="备注"/>
    <w:basedOn w:val="1"/>
    <w:qFormat/>
    <w:uiPriority w:val="0"/>
    <w:pPr>
      <w:spacing w:line="360" w:lineRule="auto"/>
      <w:ind w:firstLine="200" w:firstLineChars="200"/>
      <w:jc w:val="left"/>
    </w:pPr>
    <w:rPr>
      <w:rFonts w:ascii="Times New Roman" w:hAnsi="Times New Roman" w:cs="Times New Roman"/>
      <w:spacing w:val="6"/>
      <w:szCs w:val="24"/>
    </w:rPr>
  </w:style>
  <w:style w:type="paragraph" w:customStyle="1" w:styleId="1916">
    <w:name w:val="样式 样式 标题 3 + 非加粗 段前: 0.4 行 + 段后: 0.5 行"/>
    <w:basedOn w:val="1"/>
    <w:qFormat/>
    <w:uiPriority w:val="0"/>
    <w:pPr>
      <w:keepNext/>
      <w:keepLines/>
      <w:tabs>
        <w:tab w:val="left" w:pos="780"/>
      </w:tabs>
      <w:adjustRightInd w:val="0"/>
      <w:spacing w:beforeLines="50" w:afterLines="50"/>
      <w:ind w:left="737" w:hanging="317"/>
      <w:jc w:val="left"/>
      <w:outlineLvl w:val="2"/>
    </w:pPr>
    <w:rPr>
      <w:rFonts w:ascii="宋体" w:hAnsi="Times New Roman" w:eastAsia="黑体" w:cs="宋体"/>
      <w:snapToGrid w:val="0"/>
      <w:spacing w:val="26"/>
      <w:kern w:val="30"/>
      <w:sz w:val="30"/>
      <w:szCs w:val="20"/>
    </w:rPr>
  </w:style>
  <w:style w:type="paragraph" w:customStyle="1" w:styleId="1917">
    <w:name w:val="样式 标题 5标题 5 Char + 宋体 Char"/>
    <w:basedOn w:val="7"/>
    <w:next w:val="1"/>
    <w:qFormat/>
    <w:uiPriority w:val="0"/>
    <w:pPr>
      <w:tabs>
        <w:tab w:val="left" w:pos="1008"/>
      </w:tabs>
      <w:spacing w:beforeLines="10"/>
      <w:ind w:left="1008" w:hanging="432"/>
      <w:jc w:val="left"/>
    </w:pPr>
    <w:rPr>
      <w:rFonts w:ascii="Times New Roman" w:hAnsi="Times New Roman" w:cs="Times New Roman"/>
      <w:snapToGrid w:val="0"/>
      <w:kern w:val="0"/>
    </w:rPr>
  </w:style>
  <w:style w:type="paragraph" w:customStyle="1" w:styleId="1918">
    <w:name w:val="g6"/>
    <w:basedOn w:val="1"/>
    <w:qFormat/>
    <w:uiPriority w:val="0"/>
    <w:pPr>
      <w:widowControl/>
      <w:spacing w:beforeAutospacing="1" w:after="100" w:afterAutospacing="1" w:line="375" w:lineRule="atLeast"/>
      <w:jc w:val="left"/>
    </w:pPr>
    <w:rPr>
      <w:rFonts w:hint="eastAsia" w:ascii="宋体" w:hAnsi="宋体" w:cs="Times New Roman"/>
      <w:color w:val="006600"/>
      <w:kern w:val="0"/>
      <w:szCs w:val="20"/>
    </w:rPr>
  </w:style>
  <w:style w:type="paragraph" w:customStyle="1" w:styleId="1919">
    <w:name w:val="样式 样式5 + 宋体"/>
    <w:basedOn w:val="1"/>
    <w:qFormat/>
    <w:uiPriority w:val="0"/>
    <w:pPr>
      <w:keepNext/>
      <w:keepLines/>
      <w:tabs>
        <w:tab w:val="left" w:pos="851"/>
      </w:tabs>
      <w:spacing w:after="290"/>
      <w:ind w:left="851" w:hanging="851"/>
      <w:jc w:val="left"/>
      <w:outlineLvl w:val="3"/>
    </w:pPr>
    <w:rPr>
      <w:rFonts w:ascii="宋体" w:hAnsi="宋体" w:cs="Times New Roman"/>
      <w:b/>
      <w:bCs/>
      <w:sz w:val="28"/>
      <w:szCs w:val="28"/>
    </w:rPr>
  </w:style>
  <w:style w:type="paragraph" w:customStyle="1" w:styleId="1920">
    <w:name w:val="表头编号"/>
    <w:basedOn w:val="1"/>
    <w:link w:val="3761"/>
    <w:qFormat/>
    <w:uiPriority w:val="0"/>
    <w:pPr>
      <w:adjustRightInd w:val="0"/>
      <w:spacing w:line="240" w:lineRule="atLeast"/>
      <w:jc w:val="center"/>
    </w:pPr>
    <w:rPr>
      <w:rFonts w:ascii="宋体" w:hAnsi="宋体" w:eastAsia="黑体" w:cs="Times New Roman"/>
      <w:color w:val="000000"/>
      <w:szCs w:val="20"/>
    </w:rPr>
  </w:style>
  <w:style w:type="paragraph" w:customStyle="1" w:styleId="1921">
    <w:name w:val="表号 Char1"/>
    <w:basedOn w:val="1"/>
    <w:qFormat/>
    <w:uiPriority w:val="0"/>
    <w:pPr>
      <w:autoSpaceDE w:val="0"/>
      <w:autoSpaceDN w:val="0"/>
      <w:adjustRightInd w:val="0"/>
      <w:spacing w:line="0" w:lineRule="atLeast"/>
      <w:ind w:firstLine="119"/>
      <w:jc w:val="left"/>
      <w:textAlignment w:val="baseline"/>
    </w:pPr>
    <w:rPr>
      <w:rFonts w:ascii="Times New Roman" w:hAnsi="Times New Roman" w:cs="Times New Roman"/>
      <w:spacing w:val="6"/>
      <w:kern w:val="0"/>
      <w:szCs w:val="20"/>
    </w:rPr>
  </w:style>
  <w:style w:type="paragraph" w:customStyle="1" w:styleId="1922">
    <w:name w:val="样式 标题 1 + 首行缩进:  2 字符"/>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923">
    <w:name w:val="样式 标题 3 + 小四 非加粗 段前: 7.8 磅 段后: 7.8 磅"/>
    <w:basedOn w:val="5"/>
    <w:qFormat/>
    <w:uiPriority w:val="0"/>
    <w:pPr>
      <w:spacing w:beforeLines="10"/>
      <w:ind w:left="720" w:hanging="432"/>
    </w:pPr>
    <w:rPr>
      <w:rFonts w:cs="Times New Roman" w:eastAsiaTheme="minorEastAsia"/>
      <w:bCs w:val="0"/>
      <w:szCs w:val="26"/>
    </w:rPr>
  </w:style>
  <w:style w:type="paragraph" w:customStyle="1" w:styleId="1924">
    <w:name w:val="样式 标题 2"/>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25">
    <w:name w:val="Char Char Char2"/>
    <w:basedOn w:val="1"/>
    <w:qFormat/>
    <w:uiPriority w:val="0"/>
    <w:pPr>
      <w:jc w:val="left"/>
    </w:pPr>
    <w:rPr>
      <w:rFonts w:ascii="Times New Roman" w:hAnsi="Times New Roman" w:cs="Times New Roman"/>
    </w:rPr>
  </w:style>
  <w:style w:type="paragraph" w:customStyle="1" w:styleId="1926">
    <w:name w:val="样式 正文首行缩进正文首行缩进 Char Char Char Char Char正文首行缩进 Char Char Char ..."/>
    <w:basedOn w:val="86"/>
    <w:qFormat/>
    <w:uiPriority w:val="0"/>
    <w:pPr>
      <w:adjustRightInd/>
      <w:spacing w:beforeLines="0" w:after="0" w:line="360" w:lineRule="auto"/>
      <w:ind w:firstLine="480" w:firstLineChars="200"/>
    </w:pPr>
    <w:rPr>
      <w:rFonts w:ascii="Calibri" w:hAnsi="Calibri" w:cs="宋体"/>
      <w:b/>
      <w:kern w:val="2"/>
    </w:rPr>
  </w:style>
  <w:style w:type="paragraph" w:customStyle="1" w:styleId="1927">
    <w:name w:val="样式 标题 2 + Times New Roman 四号 段前: 自动 段后: 自动 行距: 固定值 20 磅"/>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28">
    <w:name w:val="样式29"/>
    <w:basedOn w:val="1789"/>
    <w:qFormat/>
    <w:uiPriority w:val="0"/>
  </w:style>
  <w:style w:type="paragraph" w:customStyle="1" w:styleId="1929">
    <w:name w:val="样式 标题 2 + (符号) 黑体"/>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30">
    <w:name w:val="样式 正文文本 + 行距: 固定值 23 磅"/>
    <w:basedOn w:val="34"/>
    <w:qFormat/>
    <w:uiPriority w:val="0"/>
    <w:pPr>
      <w:spacing w:beforeLines="0" w:line="480" w:lineRule="atLeast"/>
      <w:ind w:firstLine="510"/>
    </w:pPr>
    <w:rPr>
      <w:rFonts w:ascii="Calibri" w:hAnsi="Calibri" w:eastAsiaTheme="minorEastAsia"/>
      <w:snapToGrid/>
      <w:kern w:val="24"/>
      <w:sz w:val="26"/>
    </w:rPr>
  </w:style>
  <w:style w:type="paragraph" w:customStyle="1" w:styleId="1931">
    <w:name w:val="默认段落字体 Para Char Char Char Char Char Char Char Char Char Char"/>
    <w:basedOn w:val="1"/>
    <w:qFormat/>
    <w:uiPriority w:val="0"/>
    <w:pPr>
      <w:jc w:val="left"/>
    </w:pPr>
    <w:rPr>
      <w:rFonts w:ascii="Times New Roman" w:hAnsi="Times New Roman" w:cs="Times New Roman"/>
      <w:szCs w:val="24"/>
    </w:rPr>
  </w:style>
  <w:style w:type="paragraph" w:customStyle="1" w:styleId="1932">
    <w:name w:val="图目录"/>
    <w:basedOn w:val="1"/>
    <w:qFormat/>
    <w:uiPriority w:val="0"/>
    <w:pPr>
      <w:adjustRightInd w:val="0"/>
      <w:spacing w:beforeLines="20" w:afterLines="20" w:line="360" w:lineRule="auto"/>
      <w:ind w:firstLine="624"/>
      <w:jc w:val="center"/>
    </w:pPr>
    <w:rPr>
      <w:rFonts w:ascii="宋体" w:hAnsi="Times New Roman" w:cs="Times New Roman"/>
      <w:spacing w:val="14"/>
      <w:kern w:val="0"/>
      <w:sz w:val="24"/>
      <w:szCs w:val="20"/>
    </w:rPr>
  </w:style>
  <w:style w:type="paragraph" w:customStyle="1" w:styleId="1933">
    <w:name w:val="样式 标题 2 + (中文) 华文中宋 四号"/>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34">
    <w:name w:val="样式 表格 +"/>
    <w:basedOn w:val="1"/>
    <w:qFormat/>
    <w:uiPriority w:val="0"/>
    <w:pPr>
      <w:autoSpaceDE w:val="0"/>
      <w:autoSpaceDN w:val="0"/>
      <w:adjustRightInd w:val="0"/>
      <w:spacing w:after="120" w:line="320" w:lineRule="exact"/>
      <w:jc w:val="center"/>
    </w:pPr>
    <w:rPr>
      <w:rFonts w:ascii="Calibri" w:hAnsi="Calibri" w:cs="Times New Roman"/>
      <w:spacing w:val="10"/>
      <w:lang w:val="zh-CN"/>
    </w:rPr>
  </w:style>
  <w:style w:type="paragraph" w:customStyle="1" w:styleId="1935">
    <w:name w:val="样式 五号 黑色 居中 行距: 单倍行距"/>
    <w:basedOn w:val="1"/>
    <w:qFormat/>
    <w:uiPriority w:val="0"/>
    <w:pPr>
      <w:adjustRightInd w:val="0"/>
      <w:jc w:val="center"/>
    </w:pPr>
    <w:rPr>
      <w:rFonts w:ascii="Times New Roman" w:hAnsi="Times New Roman" w:cs="Times New Roman"/>
      <w:snapToGrid w:val="0"/>
      <w:color w:val="000000"/>
      <w:kern w:val="0"/>
    </w:rPr>
  </w:style>
  <w:style w:type="paragraph" w:customStyle="1" w:styleId="1936">
    <w:name w:val="样式 标题 5标题 5 Char + 宋体"/>
    <w:basedOn w:val="7"/>
    <w:next w:val="1"/>
    <w:qFormat/>
    <w:uiPriority w:val="0"/>
    <w:pPr>
      <w:tabs>
        <w:tab w:val="left" w:pos="1008"/>
      </w:tabs>
      <w:spacing w:beforeLines="10"/>
      <w:ind w:left="1008" w:hanging="432"/>
      <w:jc w:val="left"/>
    </w:pPr>
    <w:rPr>
      <w:rFonts w:ascii="Times New Roman" w:hAnsi="Times New Roman" w:cs="Times New Roman"/>
      <w:snapToGrid w:val="0"/>
      <w:kern w:val="0"/>
    </w:rPr>
  </w:style>
  <w:style w:type="paragraph" w:customStyle="1" w:styleId="1937">
    <w:name w:val="xl115"/>
    <w:basedOn w:val="1"/>
    <w:qFormat/>
    <w:uiPriority w:val="0"/>
    <w:pPr>
      <w:widowControl/>
      <w:pBdr>
        <w:left w:val="single" w:color="auto" w:sz="4" w:space="0"/>
        <w:right w:val="single" w:color="auto" w:sz="4" w:space="0"/>
      </w:pBdr>
      <w:spacing w:beforeAutospacing="1" w:after="100" w:afterAutospacing="1"/>
      <w:jc w:val="center"/>
      <w:textAlignment w:val="center"/>
    </w:pPr>
    <w:rPr>
      <w:rFonts w:ascii="黑体" w:hAnsi="宋体" w:eastAsia="黑体" w:cs="宋体"/>
      <w:color w:val="000000"/>
      <w:kern w:val="0"/>
      <w:sz w:val="18"/>
      <w:szCs w:val="18"/>
    </w:rPr>
  </w:style>
  <w:style w:type="paragraph" w:customStyle="1" w:styleId="1938">
    <w:name w:val="正文样式1"/>
    <w:basedOn w:val="1"/>
    <w:qFormat/>
    <w:uiPriority w:val="0"/>
    <w:pPr>
      <w:adjustRightInd w:val="0"/>
      <w:spacing w:line="480" w:lineRule="atLeast"/>
      <w:ind w:firstLine="567"/>
      <w:jc w:val="left"/>
      <w:textAlignment w:val="baseline"/>
    </w:pPr>
    <w:rPr>
      <w:rFonts w:ascii="Times New Roman" w:hAnsi="Times New Roman" w:cs="Times New Roman"/>
      <w:kern w:val="28"/>
      <w:sz w:val="28"/>
      <w:szCs w:val="20"/>
    </w:rPr>
  </w:style>
  <w:style w:type="paragraph" w:customStyle="1" w:styleId="1939">
    <w:name w:val="样式 样式 样式 样式 标题 4 + 华文隶书 三号 非加粗 段前: 0.3 行 + 段后: 0.5 行1 + 段前: 0.5 ...1"/>
    <w:basedOn w:val="1"/>
    <w:qFormat/>
    <w:uiPriority w:val="0"/>
    <w:pPr>
      <w:keepNext/>
      <w:keepLines/>
      <w:tabs>
        <w:tab w:val="left" w:pos="1080"/>
      </w:tabs>
      <w:adjustRightInd w:val="0"/>
      <w:spacing w:beforeLines="22" w:afterLines="22"/>
      <w:jc w:val="left"/>
      <w:outlineLvl w:val="3"/>
    </w:pPr>
    <w:rPr>
      <w:rFonts w:ascii="黑体" w:hAnsi="Times New Roman" w:eastAsia="黑体" w:cs="宋体"/>
      <w:snapToGrid w:val="0"/>
      <w:spacing w:val="26"/>
      <w:kern w:val="28"/>
      <w:sz w:val="24"/>
      <w:szCs w:val="24"/>
    </w:rPr>
  </w:style>
  <w:style w:type="paragraph" w:customStyle="1" w:styleId="1940">
    <w:name w:val="正文(首行缩进)"/>
    <w:basedOn w:val="1"/>
    <w:link w:val="3814"/>
    <w:qFormat/>
    <w:uiPriority w:val="0"/>
    <w:pPr>
      <w:spacing w:line="360" w:lineRule="auto"/>
      <w:ind w:firstLine="480" w:firstLineChars="200"/>
      <w:jc w:val="left"/>
    </w:pPr>
    <w:rPr>
      <w:rFonts w:ascii="宋体" w:hAnsi="宋体" w:cs="Times New Roman"/>
      <w:kern w:val="24"/>
      <w:sz w:val="24"/>
      <w:szCs w:val="20"/>
    </w:rPr>
  </w:style>
  <w:style w:type="paragraph" w:customStyle="1" w:styleId="1941">
    <w:name w:val="mqh"/>
    <w:basedOn w:val="1"/>
    <w:qFormat/>
    <w:uiPriority w:val="0"/>
    <w:pPr>
      <w:jc w:val="left"/>
    </w:pPr>
    <w:rPr>
      <w:rFonts w:ascii="Times New Roman" w:hAnsi="Times New Roman" w:cs="Times New Roman"/>
      <w:snapToGrid w:val="0"/>
      <w:kern w:val="0"/>
      <w:szCs w:val="20"/>
      <w:lang w:val="en-GB"/>
    </w:rPr>
  </w:style>
  <w:style w:type="paragraph" w:customStyle="1" w:styleId="1942">
    <w:name w:val="Char Char Char Char Char Char Char Char Char Char Char Char Char Char Char Char Char Char Char Char Char Char Char Char Char"/>
    <w:basedOn w:val="1"/>
    <w:qFormat/>
    <w:uiPriority w:val="0"/>
    <w:pPr>
      <w:spacing w:line="360" w:lineRule="auto"/>
      <w:ind w:firstLine="200" w:firstLineChars="200"/>
      <w:jc w:val="left"/>
    </w:pPr>
    <w:rPr>
      <w:rFonts w:ascii="宋体" w:hAnsi="宋体" w:cs="Times New Roman"/>
      <w:sz w:val="24"/>
      <w:szCs w:val="24"/>
    </w:rPr>
  </w:style>
  <w:style w:type="paragraph" w:customStyle="1" w:styleId="1943">
    <w:name w:val="设计说明2"/>
    <w:basedOn w:val="1"/>
    <w:qFormat/>
    <w:uiPriority w:val="0"/>
    <w:pPr>
      <w:tabs>
        <w:tab w:val="left" w:pos="630"/>
        <w:tab w:val="left" w:pos="1247"/>
      </w:tabs>
      <w:spacing w:after="120" w:line="400" w:lineRule="exact"/>
      <w:ind w:left="1094" w:hanging="567"/>
      <w:jc w:val="left"/>
      <w:outlineLvl w:val="1"/>
    </w:pPr>
    <w:rPr>
      <w:rFonts w:ascii="新宋体" w:hAnsi="新宋体" w:cs="Times New Roman"/>
      <w:b/>
      <w:sz w:val="28"/>
      <w:szCs w:val="20"/>
    </w:rPr>
  </w:style>
  <w:style w:type="paragraph" w:customStyle="1" w:styleId="1944">
    <w:name w:val="样式 标题3 + 段前: 0.5 行 段后: 0.5 行"/>
    <w:basedOn w:val="578"/>
    <w:qFormat/>
    <w:uiPriority w:val="0"/>
    <w:pPr>
      <w:overflowPunct w:val="0"/>
      <w:topLinePunct/>
      <w:spacing w:beforeLines="10" w:line="440" w:lineRule="exact"/>
    </w:pPr>
    <w:rPr>
      <w:rFonts w:eastAsia="华文中宋"/>
      <w:bCs w:val="0"/>
      <w:kern w:val="10"/>
      <w:sz w:val="28"/>
      <w:szCs w:val="20"/>
    </w:rPr>
  </w:style>
  <w:style w:type="paragraph" w:customStyle="1" w:styleId="1945">
    <w:name w:val="序列样式1"/>
    <w:basedOn w:val="1"/>
    <w:qFormat/>
    <w:uiPriority w:val="0"/>
    <w:pPr>
      <w:tabs>
        <w:tab w:val="left" w:pos="1389"/>
      </w:tabs>
      <w:spacing w:after="48" w:line="400" w:lineRule="exact"/>
      <w:ind w:left="227" w:firstLine="57"/>
      <w:jc w:val="left"/>
    </w:pPr>
    <w:rPr>
      <w:rFonts w:ascii="Times New Roman" w:hAnsi="Times New Roman" w:cs="Times New Roman"/>
      <w:sz w:val="24"/>
      <w:szCs w:val="20"/>
    </w:rPr>
  </w:style>
  <w:style w:type="paragraph" w:customStyle="1" w:styleId="1946">
    <w:name w:val="样式 标题 3小节标题 3XW3h33rd levelH3l3CT +"/>
    <w:basedOn w:val="5"/>
    <w:qFormat/>
    <w:uiPriority w:val="0"/>
    <w:pPr>
      <w:spacing w:beforeLines="10"/>
      <w:ind w:left="720" w:hanging="432"/>
    </w:pPr>
    <w:rPr>
      <w:rFonts w:cs="Times New Roman" w:eastAsiaTheme="minorEastAsia"/>
      <w:bCs w:val="0"/>
      <w:szCs w:val="26"/>
    </w:rPr>
  </w:style>
  <w:style w:type="paragraph" w:customStyle="1" w:styleId="1947">
    <w:name w:val="样式 备注 + 宋体 首行缩进:  2 字符"/>
    <w:basedOn w:val="1915"/>
    <w:qFormat/>
    <w:uiPriority w:val="0"/>
    <w:pPr>
      <w:ind w:firstLine="420"/>
    </w:pPr>
    <w:rPr>
      <w:rFonts w:ascii="宋体" w:cs="宋体"/>
      <w:sz w:val="18"/>
      <w:szCs w:val="20"/>
    </w:rPr>
  </w:style>
  <w:style w:type="paragraph" w:customStyle="1" w:styleId="1948">
    <w:name w:val="报告书二级标题"/>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49">
    <w:name w:val="样式 样式 标题 3 + 红色 首行缩进:  2 字符 + 自动设置"/>
    <w:basedOn w:val="1882"/>
    <w:qFormat/>
    <w:uiPriority w:val="0"/>
    <w:pPr>
      <w:autoSpaceDE w:val="0"/>
      <w:autoSpaceDN w:val="0"/>
      <w:adjustRightInd w:val="0"/>
      <w:snapToGrid w:val="0"/>
      <w:spacing w:before="120" w:after="120" w:line="336" w:lineRule="auto"/>
      <w:ind w:left="0" w:firstLine="0"/>
      <w:textAlignment w:val="baseline"/>
    </w:pPr>
    <w:rPr>
      <w:rFonts w:ascii="宋体" w:hAnsi="宋体" w:cs="宋体"/>
      <w:kern w:val="0"/>
      <w:sz w:val="28"/>
      <w:szCs w:val="20"/>
    </w:rPr>
  </w:style>
  <w:style w:type="paragraph" w:customStyle="1" w:styleId="1950">
    <w:name w:val="编制单位"/>
    <w:basedOn w:val="34"/>
    <w:qFormat/>
    <w:uiPriority w:val="0"/>
    <w:pPr>
      <w:tabs>
        <w:tab w:val="left" w:pos="1935"/>
        <w:tab w:val="left" w:pos="5400"/>
      </w:tabs>
      <w:adjustRightInd/>
      <w:spacing w:beforeLines="0" w:after="120" w:line="240" w:lineRule="auto"/>
      <w:jc w:val="center"/>
    </w:pPr>
    <w:rPr>
      <w:rFonts w:ascii="Calibri" w:hAnsi="Calibri" w:eastAsia="黑体"/>
      <w:snapToGrid/>
      <w:color w:val="000000"/>
      <w:kern w:val="2"/>
      <w:sz w:val="36"/>
      <w:szCs w:val="21"/>
    </w:rPr>
  </w:style>
  <w:style w:type="paragraph" w:customStyle="1" w:styleId="1951">
    <w:name w:val="bodytitle"/>
    <w:basedOn w:val="1"/>
    <w:qFormat/>
    <w:uiPriority w:val="0"/>
    <w:pPr>
      <w:widowControl/>
      <w:spacing w:beforeAutospacing="1" w:after="100" w:afterAutospacing="1"/>
      <w:jc w:val="left"/>
    </w:pPr>
    <w:rPr>
      <w:rFonts w:ascii="宋体" w:hAnsi="宋体" w:cs="宋体"/>
      <w:kern w:val="0"/>
      <w:sz w:val="24"/>
      <w:szCs w:val="24"/>
    </w:rPr>
  </w:style>
  <w:style w:type="paragraph" w:customStyle="1" w:styleId="1952">
    <w:name w:val="样式 表名 + 红色 段前: 7.8 磅"/>
    <w:basedOn w:val="363"/>
    <w:qFormat/>
    <w:uiPriority w:val="0"/>
    <w:pPr>
      <w:tabs>
        <w:tab w:val="clear" w:pos="1350"/>
      </w:tabs>
      <w:spacing w:before="156" w:after="0" w:line="0" w:lineRule="atLeast"/>
      <w:ind w:firstLine="482" w:firstLineChars="0"/>
      <w:textAlignment w:val="baseline"/>
      <w:outlineLvl w:val="5"/>
    </w:pPr>
    <w:rPr>
      <w:rFonts w:ascii="Times New Roman" w:hAnsi="Times New Roman" w:eastAsia="黑体" w:cs="宋体"/>
      <w:b w:val="0"/>
      <w:color w:val="FF0000"/>
      <w:spacing w:val="6"/>
      <w:kern w:val="0"/>
      <w:szCs w:val="20"/>
      <w:shd w:val="clear" w:color="auto" w:fill="auto"/>
    </w:rPr>
  </w:style>
  <w:style w:type="paragraph" w:customStyle="1" w:styleId="1953">
    <w:name w:val="样式 样式7 + 黑色"/>
    <w:basedOn w:val="531"/>
    <w:qFormat/>
    <w:uiPriority w:val="0"/>
    <w:pPr>
      <w:keepNext/>
      <w:keepLines/>
      <w:widowControl w:val="0"/>
      <w:adjustRightInd w:val="0"/>
      <w:snapToGrid w:val="0"/>
      <w:spacing w:beforeLines="50" w:afterLines="50" w:line="240" w:lineRule="auto"/>
      <w:ind w:left="576" w:firstLine="0" w:firstLineChars="0"/>
      <w:textAlignment w:val="baseline"/>
      <w:outlineLvl w:val="1"/>
    </w:pPr>
    <w:rPr>
      <w:rFonts w:ascii="Times New Roman" w:hAnsi="Times New Roman" w:eastAsia="黑体"/>
      <w:color w:val="000000"/>
      <w:kern w:val="30"/>
      <w:sz w:val="28"/>
      <w:szCs w:val="28"/>
    </w:rPr>
  </w:style>
  <w:style w:type="paragraph" w:customStyle="1" w:styleId="1954">
    <w:name w:val="yy"/>
    <w:basedOn w:val="1"/>
    <w:qFormat/>
    <w:uiPriority w:val="0"/>
    <w:pPr>
      <w:adjustRightInd w:val="0"/>
      <w:spacing w:after="60" w:line="269" w:lineRule="auto"/>
      <w:ind w:firstLine="510"/>
      <w:jc w:val="left"/>
      <w:textAlignment w:val="baseline"/>
    </w:pPr>
    <w:rPr>
      <w:rFonts w:ascii="Times New Roman" w:hAnsi="Times New Roman" w:cs="Times New Roman"/>
      <w:kern w:val="0"/>
      <w:sz w:val="24"/>
      <w:szCs w:val="20"/>
    </w:rPr>
  </w:style>
  <w:style w:type="paragraph" w:customStyle="1" w:styleId="1955">
    <w:name w:val="样式 样式 表文 + 左 段后: 6 磅 + 段后: 6 磅"/>
    <w:basedOn w:val="1"/>
    <w:qFormat/>
    <w:uiPriority w:val="0"/>
    <w:pPr>
      <w:overflowPunct w:val="0"/>
      <w:topLinePunct/>
      <w:spacing w:line="320" w:lineRule="exact"/>
      <w:jc w:val="left"/>
      <w:outlineLvl w:val="6"/>
    </w:pPr>
    <w:rPr>
      <w:rFonts w:ascii="Times New Roman" w:hAnsi="Times New Roman" w:cs="Times New Roman"/>
      <w:sz w:val="18"/>
      <w:szCs w:val="20"/>
    </w:rPr>
  </w:style>
  <w:style w:type="paragraph" w:customStyle="1" w:styleId="1956">
    <w:name w:val="样式 正文（首行缩进两字） + 首行缩进:  2 字符"/>
    <w:basedOn w:val="1"/>
    <w:qFormat/>
    <w:uiPriority w:val="0"/>
    <w:pPr>
      <w:spacing w:line="360" w:lineRule="auto"/>
      <w:ind w:firstLine="480" w:firstLineChars="200"/>
      <w:jc w:val="left"/>
    </w:pPr>
    <w:rPr>
      <w:rFonts w:ascii="Calibri" w:hAnsi="Calibri" w:cs="宋体"/>
      <w:sz w:val="24"/>
      <w:szCs w:val="20"/>
    </w:rPr>
  </w:style>
  <w:style w:type="paragraph" w:customStyle="1" w:styleId="1957">
    <w:name w:val="六号表文"/>
    <w:basedOn w:val="1"/>
    <w:qFormat/>
    <w:uiPriority w:val="0"/>
    <w:pPr>
      <w:tabs>
        <w:tab w:val="left" w:pos="840"/>
      </w:tabs>
      <w:adjustRightInd w:val="0"/>
      <w:spacing w:line="200" w:lineRule="exact"/>
      <w:jc w:val="left"/>
      <w:textAlignment w:val="baseline"/>
    </w:pPr>
    <w:rPr>
      <w:rFonts w:ascii="宋体" w:hAnsi="宋体" w:cs="Times New Roman"/>
      <w:sz w:val="18"/>
      <w:szCs w:val="18"/>
    </w:rPr>
  </w:style>
  <w:style w:type="paragraph" w:customStyle="1" w:styleId="1958">
    <w:name w:val="名录"/>
    <w:basedOn w:val="1"/>
    <w:link w:val="2866"/>
    <w:qFormat/>
    <w:uiPriority w:val="0"/>
    <w:pPr>
      <w:spacing w:line="360" w:lineRule="auto"/>
      <w:jc w:val="center"/>
    </w:pPr>
    <w:rPr>
      <w:rFonts w:ascii="Times New Roman" w:hAnsi="Times New Roman" w:cs="Times New Roman"/>
      <w:spacing w:val="6"/>
      <w:szCs w:val="24"/>
    </w:rPr>
  </w:style>
  <w:style w:type="paragraph" w:customStyle="1" w:styleId="1959">
    <w:name w:val="样式 正文文字缩进 2 + 首行缩进:  2 字符 行距: 固定值 23 磅"/>
    <w:basedOn w:val="51"/>
    <w:qFormat/>
    <w:uiPriority w:val="0"/>
    <w:pPr>
      <w:adjustRightInd/>
      <w:spacing w:beforeLines="10" w:after="0" w:line="240" w:lineRule="auto"/>
      <w:ind w:left="0" w:leftChars="0"/>
    </w:pPr>
    <w:rPr>
      <w:rFonts w:ascii="Calibri" w:hAnsi="Calibri" w:eastAsia="华文中宋"/>
      <w:snapToGrid w:val="0"/>
      <w:kern w:val="0"/>
      <w:szCs w:val="24"/>
    </w:rPr>
  </w:style>
  <w:style w:type="paragraph" w:customStyle="1" w:styleId="1960">
    <w:name w:val="样式 正文文本缩进 3正文文字缩进 3 + 首行缩进:  1.18 厘米"/>
    <w:basedOn w:val="70"/>
    <w:qFormat/>
    <w:uiPriority w:val="0"/>
    <w:pPr>
      <w:tabs>
        <w:tab w:val="left" w:pos="8790"/>
      </w:tabs>
      <w:spacing w:beforeLines="0" w:after="40" w:line="276" w:lineRule="auto"/>
      <w:ind w:left="-37" w:firstLine="667" w:firstLineChars="0"/>
    </w:pPr>
    <w:rPr>
      <w:rFonts w:ascii="Arial" w:hAnsi="Arial" w:cs="宋体"/>
      <w:color w:val="000000"/>
      <w:spacing w:val="6"/>
      <w:kern w:val="28"/>
      <w:szCs w:val="20"/>
    </w:rPr>
  </w:style>
  <w:style w:type="paragraph" w:customStyle="1" w:styleId="1961">
    <w:name w:val="样式 样式 首行缩进:  2 字符 + 首行缩进:  2 字符3"/>
    <w:basedOn w:val="448"/>
    <w:qFormat/>
    <w:uiPriority w:val="0"/>
    <w:pPr>
      <w:widowControl/>
      <w:adjustRightInd w:val="0"/>
      <w:snapToGrid w:val="0"/>
      <w:spacing w:line="600" w:lineRule="exact"/>
      <w:ind w:firstLine="200"/>
      <w:textAlignment w:val="baseline"/>
    </w:pPr>
    <w:rPr>
      <w:rFonts w:cs="宋体"/>
      <w:snapToGrid w:val="0"/>
      <w:color w:val="000000"/>
      <w:kern w:val="0"/>
      <w:sz w:val="28"/>
      <w:u w:color="000000"/>
    </w:rPr>
  </w:style>
  <w:style w:type="paragraph" w:customStyle="1" w:styleId="1962">
    <w:name w:val="表文＋两端分散"/>
    <w:basedOn w:val="1024"/>
    <w:qFormat/>
    <w:uiPriority w:val="0"/>
    <w:pPr>
      <w:spacing w:beforeLines="0" w:afterLines="0" w:line="240" w:lineRule="auto"/>
      <w:jc w:val="both"/>
      <w:textAlignment w:val="baseline"/>
      <w:outlineLvl w:val="4"/>
    </w:pPr>
    <w:rPr>
      <w:rFonts w:ascii="Calibri" w:hAnsi="Calibri"/>
      <w:snapToGrid w:val="0"/>
      <w:kern w:val="0"/>
      <w:sz w:val="18"/>
      <w:szCs w:val="18"/>
    </w:rPr>
  </w:style>
  <w:style w:type="paragraph" w:customStyle="1" w:styleId="1963">
    <w:name w:val="样式 标题 2 + 段前: 0.5 行 段后: 0.5 行1"/>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64">
    <w:name w:val="样式 标题 1标题 1XW式样bh11st levelSection Headl1章标题 1featurehea..."/>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965">
    <w:name w:val="排列部分"/>
    <w:basedOn w:val="1"/>
    <w:qFormat/>
    <w:uiPriority w:val="0"/>
    <w:pPr>
      <w:autoSpaceDE w:val="0"/>
      <w:autoSpaceDN w:val="0"/>
      <w:adjustRightInd w:val="0"/>
      <w:spacing w:after="36" w:line="400" w:lineRule="exact"/>
      <w:jc w:val="center"/>
    </w:pPr>
    <w:rPr>
      <w:rFonts w:ascii="宋体" w:hAnsi="宋体" w:cs="Times New Roman"/>
      <w:sz w:val="24"/>
      <w:szCs w:val="20"/>
    </w:rPr>
  </w:style>
  <w:style w:type="paragraph" w:customStyle="1" w:styleId="1966">
    <w:name w:val="正文zxq"/>
    <w:basedOn w:val="1"/>
    <w:qFormat/>
    <w:uiPriority w:val="0"/>
    <w:pPr>
      <w:spacing w:line="480" w:lineRule="atLeast"/>
      <w:ind w:firstLine="480" w:firstLineChars="200"/>
      <w:jc w:val="left"/>
    </w:pPr>
    <w:rPr>
      <w:rFonts w:ascii="Times New Roman" w:hAnsi="宋体" w:cs="Times New Roman"/>
      <w:sz w:val="24"/>
      <w:szCs w:val="24"/>
      <w:u w:color="000000"/>
    </w:rPr>
  </w:style>
  <w:style w:type="paragraph" w:customStyle="1" w:styleId="1967">
    <w:name w:val="样式 表文居中 + 段前: 0.5 行"/>
    <w:basedOn w:val="959"/>
    <w:qFormat/>
    <w:uiPriority w:val="0"/>
    <w:pPr>
      <w:spacing w:beforeLines="50" w:line="360" w:lineRule="auto"/>
      <w:textAlignment w:val="center"/>
    </w:pPr>
    <w:rPr>
      <w:rFonts w:cs="宋体"/>
      <w:sz w:val="18"/>
      <w:szCs w:val="21"/>
    </w:rPr>
  </w:style>
  <w:style w:type="paragraph" w:customStyle="1" w:styleId="1968">
    <w:name w:val="样式 左侧:  1 字符 右侧:  1 字符2"/>
    <w:basedOn w:val="1"/>
    <w:qFormat/>
    <w:uiPriority w:val="0"/>
    <w:pPr>
      <w:tabs>
        <w:tab w:val="left" w:pos="6660"/>
      </w:tabs>
      <w:spacing w:line="360" w:lineRule="auto"/>
      <w:ind w:firstLine="540" w:firstLineChars="225"/>
      <w:jc w:val="left"/>
    </w:pPr>
    <w:rPr>
      <w:rFonts w:ascii="Times New Roman" w:hAnsi="Times New Roman" w:cs="宋体"/>
      <w:color w:val="000000"/>
      <w:sz w:val="24"/>
      <w:szCs w:val="20"/>
    </w:rPr>
  </w:style>
  <w:style w:type="paragraph" w:customStyle="1" w:styleId="1969">
    <w:name w:val="样式 标题 3 + (中文) 黑体"/>
    <w:basedOn w:val="5"/>
    <w:qFormat/>
    <w:uiPriority w:val="0"/>
    <w:pPr>
      <w:spacing w:beforeLines="10"/>
      <w:ind w:left="720" w:hanging="432"/>
    </w:pPr>
    <w:rPr>
      <w:rFonts w:cs="Times New Roman" w:eastAsiaTheme="minorEastAsia"/>
      <w:bCs w:val="0"/>
      <w:szCs w:val="26"/>
    </w:rPr>
  </w:style>
  <w:style w:type="paragraph" w:customStyle="1" w:styleId="1970">
    <w:name w:val="样式 小四 两端对齐 行距: 1.5 倍行距"/>
    <w:basedOn w:val="1"/>
    <w:qFormat/>
    <w:uiPriority w:val="0"/>
    <w:pPr>
      <w:autoSpaceDE w:val="0"/>
      <w:autoSpaceDN w:val="0"/>
      <w:adjustRightInd w:val="0"/>
      <w:spacing w:line="360" w:lineRule="auto"/>
      <w:ind w:firstLine="480" w:firstLineChars="200"/>
      <w:jc w:val="left"/>
    </w:pPr>
    <w:rPr>
      <w:rFonts w:ascii="Times New Roman" w:hAnsi="Times New Roman" w:cs="宋体"/>
      <w:kern w:val="0"/>
      <w:sz w:val="24"/>
      <w:szCs w:val="20"/>
      <w:lang w:val="zh-CN"/>
    </w:rPr>
  </w:style>
  <w:style w:type="paragraph" w:customStyle="1" w:styleId="1971">
    <w:name w:val="样式 标题 3 + 非加粗"/>
    <w:basedOn w:val="5"/>
    <w:qFormat/>
    <w:uiPriority w:val="0"/>
    <w:pPr>
      <w:spacing w:beforeLines="10"/>
      <w:ind w:left="720" w:hanging="432"/>
    </w:pPr>
    <w:rPr>
      <w:rFonts w:cs="Times New Roman" w:eastAsiaTheme="minorEastAsia"/>
      <w:bCs w:val="0"/>
      <w:szCs w:val="26"/>
    </w:rPr>
  </w:style>
  <w:style w:type="paragraph" w:customStyle="1" w:styleId="1972">
    <w:name w:val="样式 左 首行缩进:  2 字符 行距: 1.5 倍行距"/>
    <w:basedOn w:val="1"/>
    <w:qFormat/>
    <w:uiPriority w:val="0"/>
    <w:pPr>
      <w:spacing w:line="360" w:lineRule="auto"/>
      <w:jc w:val="left"/>
    </w:pPr>
    <w:rPr>
      <w:rFonts w:ascii="Times New Roman" w:hAnsi="Times New Roman" w:cs="宋体"/>
      <w:kern w:val="0"/>
      <w:sz w:val="18"/>
      <w:szCs w:val="18"/>
    </w:rPr>
  </w:style>
  <w:style w:type="paragraph" w:customStyle="1" w:styleId="1973">
    <w:name w:val="表中文字2"/>
    <w:basedOn w:val="1847"/>
    <w:qFormat/>
    <w:uiPriority w:val="0"/>
    <w:pPr>
      <w:spacing w:line="360" w:lineRule="auto"/>
      <w:jc w:val="both"/>
    </w:pPr>
    <w:rPr>
      <w:kern w:val="0"/>
    </w:rPr>
  </w:style>
  <w:style w:type="paragraph" w:customStyle="1" w:styleId="1974">
    <w:name w:val="1标题2"/>
    <w:basedOn w:val="3"/>
    <w:link w:val="2899"/>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975">
    <w:name w:val="表文 Char Char"/>
    <w:basedOn w:val="1"/>
    <w:qFormat/>
    <w:uiPriority w:val="0"/>
    <w:pPr>
      <w:autoSpaceDE w:val="0"/>
      <w:autoSpaceDN w:val="0"/>
      <w:adjustRightInd w:val="0"/>
      <w:jc w:val="center"/>
      <w:textAlignment w:val="baseline"/>
    </w:pPr>
    <w:rPr>
      <w:rFonts w:ascii="Times New Roman" w:hAnsi="Times New Roman" w:cs="Times New Roman"/>
      <w:kern w:val="0"/>
      <w:szCs w:val="20"/>
    </w:rPr>
  </w:style>
  <w:style w:type="paragraph" w:customStyle="1" w:styleId="1976">
    <w:name w:val="样式 样式 首行缩进:  2 字符 + 首行缩进:  2 字符"/>
    <w:basedOn w:val="1"/>
    <w:qFormat/>
    <w:uiPriority w:val="0"/>
    <w:pPr>
      <w:spacing w:line="360" w:lineRule="auto"/>
      <w:ind w:firstLine="480" w:firstLineChars="200"/>
      <w:jc w:val="left"/>
    </w:pPr>
    <w:rPr>
      <w:rFonts w:ascii="Times New Roman" w:hAnsi="宋体" w:cs="Times New Roman"/>
      <w:sz w:val="24"/>
      <w:szCs w:val="24"/>
    </w:rPr>
  </w:style>
  <w:style w:type="paragraph" w:customStyle="1" w:styleId="1977">
    <w:name w:val="样式 标题 3 + 段前: 0.5 行 段后: 0.5 行1"/>
    <w:basedOn w:val="5"/>
    <w:qFormat/>
    <w:uiPriority w:val="0"/>
    <w:pPr>
      <w:spacing w:beforeLines="10"/>
      <w:ind w:left="720" w:hanging="432"/>
    </w:pPr>
    <w:rPr>
      <w:rFonts w:cs="Times New Roman" w:eastAsiaTheme="minorEastAsia"/>
      <w:bCs w:val="0"/>
      <w:szCs w:val="26"/>
    </w:rPr>
  </w:style>
  <w:style w:type="paragraph" w:customStyle="1" w:styleId="1978">
    <w:name w:val="样式 表文居中 + 段前: 0.5 行2"/>
    <w:basedOn w:val="959"/>
    <w:qFormat/>
    <w:uiPriority w:val="0"/>
    <w:pPr>
      <w:spacing w:beforeLines="30" w:line="312" w:lineRule="auto"/>
      <w:textAlignment w:val="center"/>
    </w:pPr>
    <w:rPr>
      <w:rFonts w:cs="宋体"/>
      <w:sz w:val="18"/>
    </w:rPr>
  </w:style>
  <w:style w:type="paragraph" w:customStyle="1" w:styleId="1979">
    <w:name w:val="样式 正文文本 + 四号 段后: 0 磅 行距: 固定值 24 磅"/>
    <w:basedOn w:val="34"/>
    <w:qFormat/>
    <w:uiPriority w:val="0"/>
    <w:pPr>
      <w:adjustRightInd/>
      <w:spacing w:beforeLines="0" w:line="480" w:lineRule="exact"/>
      <w:ind w:firstLine="630" w:firstLineChars="225"/>
    </w:pPr>
    <w:rPr>
      <w:rFonts w:ascii="Calibri" w:hAnsi="Calibri" w:eastAsiaTheme="minorEastAsia"/>
      <w:snapToGrid/>
      <w:kern w:val="2"/>
      <w:sz w:val="28"/>
      <w:szCs w:val="20"/>
    </w:rPr>
  </w:style>
  <w:style w:type="paragraph" w:customStyle="1" w:styleId="1980">
    <w:name w:val="样式 样式 标题 2 + (符号) 黑体 + 宋体 加粗 自动设置"/>
    <w:basedOn w:val="1"/>
    <w:qFormat/>
    <w:uiPriority w:val="0"/>
    <w:pPr>
      <w:spacing w:after="120" w:line="360" w:lineRule="auto"/>
      <w:ind w:left="840" w:leftChars="100" w:right="210" w:rightChars="100"/>
      <w:jc w:val="left"/>
      <w:outlineLvl w:val="1"/>
    </w:pPr>
    <w:rPr>
      <w:rFonts w:ascii="Times New Roman" w:hAnsi="Times New Roman" w:eastAsia="黑体" w:cs="Times New Roman"/>
      <w:b/>
      <w:bCs/>
      <w:sz w:val="36"/>
      <w:szCs w:val="36"/>
    </w:rPr>
  </w:style>
  <w:style w:type="paragraph" w:customStyle="1" w:styleId="1981">
    <w:name w:val="符号后文字"/>
    <w:basedOn w:val="1"/>
    <w:qFormat/>
    <w:uiPriority w:val="0"/>
    <w:pPr>
      <w:spacing w:line="400" w:lineRule="exact"/>
      <w:jc w:val="left"/>
    </w:pPr>
    <w:rPr>
      <w:rFonts w:ascii="Calibri" w:hAnsi="Calibri" w:cs="Times New Roman"/>
      <w:sz w:val="24"/>
      <w:szCs w:val="20"/>
    </w:rPr>
  </w:style>
  <w:style w:type="paragraph" w:customStyle="1" w:styleId="1982">
    <w:name w:val="样式 表格 + 居中1"/>
    <w:basedOn w:val="1"/>
    <w:qFormat/>
    <w:uiPriority w:val="0"/>
    <w:pPr>
      <w:autoSpaceDE w:val="0"/>
      <w:autoSpaceDN w:val="0"/>
      <w:adjustRightInd w:val="0"/>
      <w:spacing w:after="120" w:line="280" w:lineRule="exact"/>
      <w:jc w:val="center"/>
    </w:pPr>
    <w:rPr>
      <w:rFonts w:ascii="Calibri" w:hAnsi="Calibri" w:cs="宋体"/>
      <w:spacing w:val="10"/>
      <w:lang w:val="zh-CN"/>
    </w:rPr>
  </w:style>
  <w:style w:type="paragraph" w:customStyle="1" w:styleId="1983">
    <w:name w:val="样式 标题 1 + 段前: 0.5 行 段后: 0.5 行"/>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1984">
    <w:name w:val="样式 表格标题 + 自动设置"/>
    <w:basedOn w:val="1"/>
    <w:qFormat/>
    <w:uiPriority w:val="0"/>
    <w:pPr>
      <w:widowControl/>
      <w:adjustRightInd w:val="0"/>
      <w:spacing w:line="360" w:lineRule="auto"/>
      <w:jc w:val="center"/>
      <w:outlineLvl w:val="4"/>
    </w:pPr>
    <w:rPr>
      <w:rFonts w:ascii="黑体" w:hAnsi="宋体" w:eastAsia="黑体" w:cs="Times New Roman"/>
      <w:bCs/>
      <w:color w:val="000000"/>
      <w:kern w:val="0"/>
      <w:sz w:val="24"/>
      <w:szCs w:val="24"/>
      <w:u w:color="FF0000"/>
    </w:rPr>
  </w:style>
  <w:style w:type="paragraph" w:customStyle="1" w:styleId="1985">
    <w:name w:val="样式 表文 + 小五"/>
    <w:basedOn w:val="1024"/>
    <w:qFormat/>
    <w:uiPriority w:val="0"/>
    <w:pPr>
      <w:autoSpaceDE w:val="0"/>
      <w:autoSpaceDN w:val="0"/>
      <w:spacing w:beforeLines="0" w:afterLines="0" w:line="240" w:lineRule="atLeast"/>
      <w:textAlignment w:val="baseline"/>
    </w:pPr>
    <w:rPr>
      <w:rFonts w:ascii="Calibri" w:hAnsi="Calibri"/>
      <w:sz w:val="18"/>
      <w:szCs w:val="18"/>
    </w:rPr>
  </w:style>
  <w:style w:type="paragraph" w:customStyle="1" w:styleId="1986">
    <w:name w:val="样式 表文 + 居中1"/>
    <w:basedOn w:val="1024"/>
    <w:qFormat/>
    <w:uiPriority w:val="0"/>
    <w:pPr>
      <w:spacing w:beforeLines="0" w:afterLines="0" w:line="240" w:lineRule="auto"/>
      <w:textAlignment w:val="baseline"/>
    </w:pPr>
    <w:rPr>
      <w:rFonts w:ascii="Calibri" w:hAnsi="Calibri" w:cs="宋体"/>
      <w:snapToGrid w:val="0"/>
      <w:kern w:val="52"/>
      <w:sz w:val="18"/>
      <w:szCs w:val="22"/>
    </w:rPr>
  </w:style>
  <w:style w:type="paragraph" w:customStyle="1" w:styleId="1987">
    <w:name w:val="样式 样式 样式 首行缩进:  2 字符 + 首行缩进:  2 字符4 + 首行缩进:  2 字符"/>
    <w:qFormat/>
    <w:uiPriority w:val="0"/>
    <w:rPr>
      <w:rFonts w:ascii="Times New Roman" w:hAnsi="Times New Roman" w:eastAsia="宋体" w:cs="Times New Roman"/>
      <w:lang w:val="en-US" w:eastAsia="zh-CN" w:bidi="ar-SA"/>
    </w:rPr>
  </w:style>
  <w:style w:type="paragraph" w:customStyle="1" w:styleId="1988">
    <w:name w:val="样式 样式 首行缩进:  2 字符 + 首行缩进:  2 字符4"/>
    <w:basedOn w:val="448"/>
    <w:qFormat/>
    <w:uiPriority w:val="0"/>
    <w:pPr>
      <w:widowControl/>
      <w:adjustRightInd w:val="0"/>
      <w:snapToGrid w:val="0"/>
      <w:spacing w:line="180" w:lineRule="auto"/>
      <w:ind w:firstLine="200"/>
      <w:textAlignment w:val="baseline"/>
    </w:pPr>
    <w:rPr>
      <w:rFonts w:cs="宋体"/>
      <w:snapToGrid w:val="0"/>
      <w:color w:val="000000"/>
      <w:kern w:val="0"/>
      <w:sz w:val="28"/>
      <w:u w:color="000000"/>
    </w:rPr>
  </w:style>
  <w:style w:type="paragraph" w:customStyle="1" w:styleId="1989">
    <w:name w:val="样式 正文缩进 + 首行缩进:  2 字符"/>
    <w:basedOn w:val="1"/>
    <w:link w:val="3523"/>
    <w:qFormat/>
    <w:uiPriority w:val="0"/>
    <w:pPr>
      <w:adjustRightInd w:val="0"/>
      <w:spacing w:line="360" w:lineRule="auto"/>
      <w:ind w:firstLine="480" w:firstLineChars="200"/>
      <w:jc w:val="left"/>
    </w:pPr>
    <w:rPr>
      <w:rFonts w:ascii="Calibri" w:hAnsi="Calibri" w:cs="Times New Roman"/>
      <w:sz w:val="24"/>
      <w:szCs w:val="20"/>
    </w:rPr>
  </w:style>
  <w:style w:type="paragraph" w:customStyle="1" w:styleId="1990">
    <w:name w:val="报告书正标题"/>
    <w:basedOn w:val="1"/>
    <w:qFormat/>
    <w:uiPriority w:val="0"/>
    <w:pPr>
      <w:widowControl/>
      <w:tabs>
        <w:tab w:val="left" w:pos="-24"/>
      </w:tabs>
      <w:spacing w:after="120"/>
      <w:jc w:val="center"/>
      <w:textAlignment w:val="baseline"/>
    </w:pPr>
    <w:rPr>
      <w:rFonts w:ascii="黑体" w:hAnsi="宋体" w:eastAsia="黑体" w:cs="Times New Roman"/>
      <w:color w:val="000000"/>
      <w:spacing w:val="120"/>
      <w:kern w:val="0"/>
      <w:sz w:val="72"/>
      <w:szCs w:val="20"/>
      <w:u w:color="000000"/>
    </w:rPr>
  </w:style>
  <w:style w:type="paragraph" w:customStyle="1" w:styleId="1991">
    <w:name w:val="样式 首行缩进:  2 字符1"/>
    <w:basedOn w:val="1"/>
    <w:link w:val="3930"/>
    <w:qFormat/>
    <w:uiPriority w:val="0"/>
    <w:pPr>
      <w:spacing w:line="480" w:lineRule="atLeast"/>
      <w:ind w:firstLine="480" w:firstLineChars="200"/>
      <w:jc w:val="left"/>
      <w:textAlignment w:val="center"/>
    </w:pPr>
    <w:rPr>
      <w:rFonts w:ascii="宋体" w:hAnsi="宋体" w:cs="Times New Roman"/>
      <w:kern w:val="0"/>
      <w:sz w:val="24"/>
      <w:szCs w:val="24"/>
    </w:rPr>
  </w:style>
  <w:style w:type="paragraph" w:customStyle="1" w:styleId="1992">
    <w:name w:val="报告书副标题"/>
    <w:basedOn w:val="1"/>
    <w:qFormat/>
    <w:uiPriority w:val="0"/>
    <w:pPr>
      <w:widowControl/>
      <w:tabs>
        <w:tab w:val="left" w:pos="-24"/>
      </w:tabs>
      <w:jc w:val="center"/>
      <w:textAlignment w:val="baseline"/>
      <w:outlineLvl w:val="4"/>
    </w:pPr>
    <w:rPr>
      <w:rFonts w:ascii="宋体" w:hAnsi="宋体" w:cs="Times New Roman"/>
      <w:b/>
      <w:bCs/>
      <w:color w:val="000000"/>
      <w:w w:val="83"/>
      <w:kern w:val="0"/>
      <w:sz w:val="48"/>
      <w:szCs w:val="20"/>
      <w:u w:color="000000"/>
    </w:rPr>
  </w:style>
  <w:style w:type="paragraph" w:customStyle="1" w:styleId="1993">
    <w:name w:val="样式 标题 2 + Times New Roman 黑色 左侧:  0 厘米 首行缩进:  0 厘米"/>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94">
    <w:name w:val="样式 样式 首行缩进:  2 字符1 + 首行缩进:  2 字符1"/>
    <w:basedOn w:val="1"/>
    <w:qFormat/>
    <w:uiPriority w:val="0"/>
    <w:pPr>
      <w:keepNext/>
      <w:spacing w:line="360" w:lineRule="auto"/>
      <w:ind w:firstLine="200" w:firstLineChars="200"/>
      <w:jc w:val="left"/>
    </w:pPr>
    <w:rPr>
      <w:rFonts w:ascii="Times New Roman" w:hAnsi="Times New Roman" w:cs="宋体"/>
      <w:sz w:val="24"/>
      <w:szCs w:val="20"/>
    </w:rPr>
  </w:style>
  <w:style w:type="paragraph" w:customStyle="1" w:styleId="1995">
    <w:name w:val="样式 表文 Char Char Char + 右"/>
    <w:basedOn w:val="1848"/>
    <w:qFormat/>
    <w:uiPriority w:val="0"/>
    <w:pPr>
      <w:jc w:val="right"/>
    </w:pPr>
    <w:rPr>
      <w:rFonts w:cs="宋体"/>
      <w:szCs w:val="20"/>
    </w:rPr>
  </w:style>
  <w:style w:type="paragraph" w:customStyle="1" w:styleId="1996">
    <w:name w:val="样式 标题 2节名节H22nd levelh2Header 2标题 1.1编号标题2head:2#2 hea..."/>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1997">
    <w:name w:val="文本框文字"/>
    <w:basedOn w:val="1"/>
    <w:next w:val="1"/>
    <w:link w:val="3607"/>
    <w:qFormat/>
    <w:uiPriority w:val="0"/>
    <w:pPr>
      <w:adjustRightInd w:val="0"/>
      <w:spacing w:after="20" w:line="320" w:lineRule="exact"/>
      <w:jc w:val="center"/>
    </w:pPr>
    <w:rPr>
      <w:rFonts w:ascii="Times New Roman" w:hAnsi="Times New Roman" w:cs="Times New Roman"/>
      <w:szCs w:val="24"/>
    </w:rPr>
  </w:style>
  <w:style w:type="paragraph" w:customStyle="1" w:styleId="1998">
    <w:name w:val="xl126"/>
    <w:basedOn w:val="1"/>
    <w:qFormat/>
    <w:uiPriority w:val="0"/>
    <w:pPr>
      <w:widowControl/>
      <w:pBdr>
        <w:top w:val="single" w:color="auto" w:sz="4" w:space="0"/>
        <w:bottom w:val="single" w:color="auto" w:sz="8" w:space="0"/>
      </w:pBdr>
      <w:spacing w:beforeAutospacing="1" w:after="100" w:afterAutospacing="1"/>
      <w:jc w:val="center"/>
    </w:pPr>
    <w:rPr>
      <w:rFonts w:ascii="Arial Unicode MS" w:hAnsi="Arial Unicode MS" w:cs="Times New Roman"/>
      <w:kern w:val="0"/>
      <w:sz w:val="20"/>
      <w:szCs w:val="20"/>
    </w:rPr>
  </w:style>
  <w:style w:type="paragraph" w:customStyle="1" w:styleId="1999">
    <w:name w:val="xl127"/>
    <w:basedOn w:val="1"/>
    <w:qFormat/>
    <w:uiPriority w:val="0"/>
    <w:pPr>
      <w:widowControl/>
      <w:pBdr>
        <w:top w:val="single" w:color="auto" w:sz="4" w:space="0"/>
        <w:bottom w:val="single" w:color="auto" w:sz="8" w:space="0"/>
        <w:right w:val="single" w:color="auto" w:sz="4" w:space="0"/>
      </w:pBdr>
      <w:spacing w:beforeAutospacing="1" w:after="100" w:afterAutospacing="1"/>
      <w:jc w:val="center"/>
    </w:pPr>
    <w:rPr>
      <w:rFonts w:ascii="Arial Unicode MS" w:hAnsi="Arial Unicode MS" w:cs="Times New Roman"/>
      <w:kern w:val="0"/>
      <w:sz w:val="20"/>
      <w:szCs w:val="20"/>
    </w:rPr>
  </w:style>
  <w:style w:type="paragraph" w:customStyle="1" w:styleId="2000">
    <w:name w:val="xl121"/>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left"/>
    </w:pPr>
    <w:rPr>
      <w:rFonts w:ascii="Arial Unicode MS" w:hAnsi="Arial Unicode MS" w:cs="Times New Roman"/>
      <w:kern w:val="0"/>
      <w:sz w:val="20"/>
      <w:szCs w:val="20"/>
    </w:rPr>
  </w:style>
  <w:style w:type="paragraph" w:customStyle="1" w:styleId="2001">
    <w:name w:val="标题 1 + (西文) 黑体 (中文) 黑体 三号 居中"/>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002">
    <w:name w:val="标题 2 + (西文) 黑体 (中文) 黑体 四号 非加粗"/>
    <w:basedOn w:val="4"/>
    <w:next w:val="5"/>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003">
    <w:name w:val="样式 样式 样式16 + 非加粗 + 加粗 段前: 0.5 行 段后: 0.5 行"/>
    <w:basedOn w:val="1"/>
    <w:qFormat/>
    <w:uiPriority w:val="0"/>
    <w:pPr>
      <w:keepNext/>
      <w:keepLines/>
      <w:tabs>
        <w:tab w:val="left" w:pos="720"/>
        <w:tab w:val="left" w:pos="1078"/>
      </w:tabs>
      <w:spacing w:beforeLines="50" w:afterLines="50" w:line="480" w:lineRule="atLeast"/>
      <w:ind w:left="720" w:hanging="720"/>
      <w:jc w:val="left"/>
      <w:outlineLvl w:val="2"/>
    </w:pPr>
    <w:rPr>
      <w:rFonts w:ascii="宋体" w:hAnsi="宋体" w:cs="宋体"/>
      <w:b/>
      <w:bCs/>
      <w:spacing w:val="20"/>
      <w:kern w:val="24"/>
      <w:sz w:val="28"/>
      <w:szCs w:val="20"/>
    </w:rPr>
  </w:style>
  <w:style w:type="paragraph" w:customStyle="1" w:styleId="2004">
    <w:name w:val="union"/>
    <w:basedOn w:val="1"/>
    <w:qFormat/>
    <w:uiPriority w:val="0"/>
    <w:pPr>
      <w:widowControl/>
      <w:spacing w:beforeAutospacing="1" w:after="100" w:afterAutospacing="1"/>
      <w:jc w:val="left"/>
    </w:pPr>
    <w:rPr>
      <w:rFonts w:ascii="Arial Unicode MS" w:hAnsi="Arial Unicode MS" w:eastAsia="Arial Unicode MS" w:cs="Arial Unicode MS"/>
      <w:kern w:val="0"/>
      <w:sz w:val="24"/>
      <w:szCs w:val="24"/>
    </w:rPr>
  </w:style>
  <w:style w:type="paragraph" w:customStyle="1" w:styleId="2005">
    <w:name w:val="报告书正文 Char1"/>
    <w:basedOn w:val="1"/>
    <w:qFormat/>
    <w:uiPriority w:val="0"/>
    <w:pPr>
      <w:spacing w:line="300" w:lineRule="auto"/>
      <w:ind w:firstLine="200" w:firstLineChars="200"/>
      <w:jc w:val="left"/>
    </w:pPr>
    <w:rPr>
      <w:rFonts w:ascii="Times New Roman" w:hAnsi="Times New Roman" w:cs="Times New Roman"/>
      <w:sz w:val="24"/>
      <w:szCs w:val="20"/>
    </w:rPr>
  </w:style>
  <w:style w:type="paragraph" w:customStyle="1" w:styleId="2006">
    <w:name w:val="样式 正文（首行缩进两字） + 首行缩进:  2 字符1"/>
    <w:basedOn w:val="1"/>
    <w:qFormat/>
    <w:uiPriority w:val="0"/>
    <w:pPr>
      <w:spacing w:line="360" w:lineRule="auto"/>
      <w:ind w:firstLine="480" w:firstLineChars="200"/>
      <w:jc w:val="left"/>
    </w:pPr>
    <w:rPr>
      <w:rFonts w:ascii="Calibri" w:hAnsi="Calibri" w:cs="宋体"/>
      <w:sz w:val="24"/>
      <w:szCs w:val="20"/>
    </w:rPr>
  </w:style>
  <w:style w:type="paragraph" w:customStyle="1" w:styleId="2007">
    <w:name w:val="样式 标题 1 + 黑体 小三"/>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008">
    <w:name w:val="样式 标题 4 + 段前: 0.5 行 段后: 0.5 行1"/>
    <w:basedOn w:val="6"/>
    <w:qFormat/>
    <w:uiPriority w:val="0"/>
    <w:pPr>
      <w:tabs>
        <w:tab w:val="left" w:pos="0"/>
      </w:tabs>
      <w:ind w:left="864" w:hanging="144"/>
      <w:jc w:val="both"/>
    </w:pPr>
    <w:rPr>
      <w:rFonts w:ascii="Arial" w:hAnsi="Arial" w:cs="Times New Roman" w:eastAsiaTheme="minorEastAsia"/>
      <w:bCs w:val="0"/>
      <w:i/>
    </w:rPr>
  </w:style>
  <w:style w:type="paragraph" w:customStyle="1" w:styleId="2009">
    <w:name w:val="表文1"/>
    <w:basedOn w:val="1"/>
    <w:qFormat/>
    <w:uiPriority w:val="0"/>
    <w:pPr>
      <w:jc w:val="center"/>
      <w:textAlignment w:val="baseline"/>
    </w:pPr>
    <w:rPr>
      <w:rFonts w:ascii="Times New Roman" w:hAnsi="Times New Roman" w:cs="宋体"/>
      <w:sz w:val="18"/>
      <w:szCs w:val="18"/>
    </w:rPr>
  </w:style>
  <w:style w:type="paragraph" w:customStyle="1" w:styleId="2010">
    <w:name w:val="样式 四号 红色"/>
    <w:qFormat/>
    <w:uiPriority w:val="0"/>
    <w:pPr>
      <w:spacing w:line="351" w:lineRule="atLeast"/>
      <w:ind w:firstLine="198"/>
      <w:jc w:val="both"/>
      <w:textAlignment w:val="baseline"/>
    </w:pPr>
    <w:rPr>
      <w:rFonts w:ascii="Times New Roman" w:hAnsi="Times New Roman" w:eastAsia="宋体" w:cs="Times New Roman"/>
      <w:color w:val="FF0000"/>
      <w:sz w:val="28"/>
      <w:u w:color="000000"/>
      <w:lang w:val="en-US" w:eastAsia="zh-CN" w:bidi="ar-SA"/>
    </w:rPr>
  </w:style>
  <w:style w:type="paragraph" w:customStyle="1" w:styleId="2011">
    <w:name w:val="样式 标题 3 + 段前: 0.5 行 段后: 0.1 行"/>
    <w:basedOn w:val="5"/>
    <w:next w:val="1"/>
    <w:qFormat/>
    <w:uiPriority w:val="0"/>
    <w:pPr>
      <w:spacing w:beforeLines="10"/>
      <w:ind w:left="720" w:hanging="432"/>
    </w:pPr>
    <w:rPr>
      <w:rFonts w:cs="Times New Roman" w:eastAsiaTheme="minorEastAsia"/>
      <w:bCs w:val="0"/>
      <w:szCs w:val="26"/>
    </w:rPr>
  </w:style>
  <w:style w:type="paragraph" w:customStyle="1" w:styleId="2012">
    <w:name w:val="样式 标题 5 + 段前: 0.5 行"/>
    <w:basedOn w:val="7"/>
    <w:next w:val="1"/>
    <w:qFormat/>
    <w:uiPriority w:val="0"/>
    <w:pPr>
      <w:tabs>
        <w:tab w:val="left" w:pos="1008"/>
      </w:tabs>
      <w:spacing w:beforeLines="10"/>
      <w:ind w:left="1008" w:hanging="432"/>
      <w:jc w:val="left"/>
    </w:pPr>
    <w:rPr>
      <w:rFonts w:ascii="Times New Roman" w:hAnsi="Times New Roman" w:cs="Times New Roman"/>
      <w:snapToGrid w:val="0"/>
      <w:kern w:val="0"/>
    </w:rPr>
  </w:style>
  <w:style w:type="paragraph" w:customStyle="1" w:styleId="2013">
    <w:name w:val="样式 标题 3 + (西文) Times New Roman (中文) 宋体 非加粗 段前: 自动 段后: 自动 行距..."/>
    <w:basedOn w:val="5"/>
    <w:qFormat/>
    <w:uiPriority w:val="0"/>
    <w:pPr>
      <w:spacing w:beforeLines="10"/>
      <w:ind w:left="720" w:hanging="432"/>
    </w:pPr>
    <w:rPr>
      <w:rFonts w:cs="Times New Roman" w:eastAsiaTheme="minorEastAsia"/>
      <w:bCs w:val="0"/>
      <w:szCs w:val="26"/>
    </w:rPr>
  </w:style>
  <w:style w:type="paragraph" w:customStyle="1" w:styleId="2014">
    <w:name w:val="样式 首行缩进:  2 字符 段前: 0.5 行 段后: 0.5 行"/>
    <w:basedOn w:val="1"/>
    <w:qFormat/>
    <w:uiPriority w:val="0"/>
    <w:pPr>
      <w:adjustRightInd w:val="0"/>
      <w:spacing w:after="120" w:line="360" w:lineRule="auto"/>
      <w:ind w:firstLine="480" w:firstLineChars="200"/>
      <w:jc w:val="left"/>
    </w:pPr>
    <w:rPr>
      <w:rFonts w:ascii="Times New Roman" w:hAnsi="Times New Roman" w:cs="宋体"/>
      <w:sz w:val="24"/>
      <w:szCs w:val="20"/>
    </w:rPr>
  </w:style>
  <w:style w:type="paragraph" w:customStyle="1" w:styleId="2015">
    <w:name w:val="黄龙溪正文"/>
    <w:basedOn w:val="1"/>
    <w:qFormat/>
    <w:uiPriority w:val="0"/>
    <w:pPr>
      <w:spacing w:line="312" w:lineRule="auto"/>
      <w:ind w:firstLine="480" w:firstLineChars="200"/>
      <w:jc w:val="left"/>
    </w:pPr>
    <w:rPr>
      <w:rFonts w:ascii="Arial" w:hAnsi="Arial" w:eastAsia="华文细黑" w:cs="Times New Roman"/>
      <w:sz w:val="24"/>
      <w:szCs w:val="24"/>
    </w:rPr>
  </w:style>
  <w:style w:type="paragraph" w:customStyle="1" w:styleId="2016">
    <w:name w:val="zhengwen"/>
    <w:basedOn w:val="1"/>
    <w:qFormat/>
    <w:uiPriority w:val="0"/>
    <w:pPr>
      <w:spacing w:afterLines="20" w:line="400" w:lineRule="exact"/>
      <w:ind w:firstLine="480" w:firstLineChars="200"/>
      <w:jc w:val="left"/>
    </w:pPr>
    <w:rPr>
      <w:rFonts w:ascii="Times New Roman" w:hAnsi="Times New Roman" w:cs="Times New Roman"/>
      <w:sz w:val="24"/>
      <w:szCs w:val="24"/>
    </w:rPr>
  </w:style>
  <w:style w:type="paragraph" w:customStyle="1" w:styleId="2017">
    <w:name w:val="char"/>
    <w:basedOn w:val="1"/>
    <w:qFormat/>
    <w:uiPriority w:val="0"/>
    <w:pPr>
      <w:widowControl/>
      <w:spacing w:after="160"/>
      <w:jc w:val="left"/>
    </w:pPr>
    <w:rPr>
      <w:rFonts w:ascii="Verdana" w:hAnsi="Verdana" w:eastAsia="仿宋_GB2312" w:cs="”“Times New Roman”“"/>
      <w:kern w:val="0"/>
      <w:sz w:val="28"/>
      <w:szCs w:val="28"/>
      <w:lang w:eastAsia="en-US"/>
    </w:rPr>
  </w:style>
  <w:style w:type="paragraph" w:customStyle="1" w:styleId="2018">
    <w:name w:val="样式 段后: 3.1 磅 行距: 固定值 20 磅"/>
    <w:basedOn w:val="1"/>
    <w:qFormat/>
    <w:uiPriority w:val="0"/>
    <w:pPr>
      <w:spacing w:after="62" w:line="400" w:lineRule="exact"/>
      <w:ind w:firstLine="482"/>
      <w:jc w:val="left"/>
    </w:pPr>
    <w:rPr>
      <w:rFonts w:ascii="Times New Roman" w:hAnsi="Times New Roman" w:cs="宋体"/>
      <w:sz w:val="24"/>
      <w:szCs w:val="20"/>
    </w:rPr>
  </w:style>
  <w:style w:type="paragraph" w:customStyle="1" w:styleId="2019">
    <w:name w:val="表格目录"/>
    <w:basedOn w:val="1"/>
    <w:next w:val="1"/>
    <w:qFormat/>
    <w:uiPriority w:val="0"/>
    <w:pPr>
      <w:spacing w:beforeLines="50" w:after="20"/>
      <w:ind w:firstLine="200" w:firstLineChars="200"/>
      <w:jc w:val="center"/>
    </w:pPr>
    <w:rPr>
      <w:rFonts w:ascii="Times New Roman" w:hAnsi="Times New Roman" w:cs="Times New Roman"/>
      <w:b/>
      <w:bCs/>
      <w:iCs/>
      <w:sz w:val="24"/>
      <w:szCs w:val="24"/>
    </w:rPr>
  </w:style>
  <w:style w:type="paragraph" w:customStyle="1" w:styleId="2020">
    <w:name w:val="表格 4"/>
    <w:basedOn w:val="1"/>
    <w:qFormat/>
    <w:uiPriority w:val="0"/>
    <w:pPr>
      <w:spacing w:line="280" w:lineRule="atLeast"/>
      <w:jc w:val="center"/>
    </w:pPr>
    <w:rPr>
      <w:rFonts w:ascii="Century Gothic" w:hAnsi="Century Gothic" w:cs="Times New Roman"/>
    </w:rPr>
  </w:style>
  <w:style w:type="paragraph" w:customStyle="1" w:styleId="2021">
    <w:name w:val="样式 标题 2 + 行距: 1.5 倍行距"/>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022">
    <w:name w:val="标题 912"/>
    <w:basedOn w:val="1"/>
    <w:qFormat/>
    <w:uiPriority w:val="0"/>
    <w:pPr>
      <w:widowControl/>
      <w:spacing w:line="351" w:lineRule="atLeast"/>
      <w:ind w:firstLine="419"/>
      <w:jc w:val="left"/>
      <w:textAlignment w:val="baseline"/>
    </w:pPr>
    <w:rPr>
      <w:rFonts w:ascii="Stylus BT" w:hAnsi="Times New Roman" w:eastAsia="黑体" w:cs="Times New Roman"/>
      <w:color w:val="000000"/>
      <w:kern w:val="0"/>
      <w:sz w:val="24"/>
      <w:szCs w:val="20"/>
      <w:u w:color="000000"/>
    </w:rPr>
  </w:style>
  <w:style w:type="paragraph" w:customStyle="1" w:styleId="2023">
    <w:name w:val="样式 表名 + 红色 段前: 8.15 磅"/>
    <w:basedOn w:val="363"/>
    <w:qFormat/>
    <w:uiPriority w:val="0"/>
    <w:pPr>
      <w:tabs>
        <w:tab w:val="clear" w:pos="1350"/>
      </w:tabs>
      <w:spacing w:before="163" w:after="0" w:line="0" w:lineRule="atLeast"/>
      <w:ind w:firstLine="482" w:firstLineChars="0"/>
      <w:textAlignment w:val="baseline"/>
      <w:outlineLvl w:val="5"/>
    </w:pPr>
    <w:rPr>
      <w:rFonts w:ascii="Times New Roman" w:hAnsi="Times New Roman" w:eastAsia="黑体" w:cs="宋体"/>
      <w:b w:val="0"/>
      <w:color w:val="FF0000"/>
      <w:spacing w:val="6"/>
      <w:kern w:val="0"/>
      <w:szCs w:val="20"/>
      <w:shd w:val="clear" w:color="auto" w:fill="auto"/>
    </w:rPr>
  </w:style>
  <w:style w:type="paragraph" w:customStyle="1" w:styleId="2024">
    <w:name w:val="Char Char1 Char Char Char Char Char Char Char Char Char"/>
    <w:basedOn w:val="1"/>
    <w:qFormat/>
    <w:uiPriority w:val="0"/>
    <w:pPr>
      <w:adjustRightInd w:val="0"/>
      <w:spacing w:line="360" w:lineRule="auto"/>
      <w:ind w:firstLine="200" w:firstLineChars="200"/>
      <w:jc w:val="left"/>
    </w:pPr>
    <w:rPr>
      <w:rFonts w:ascii="宋体" w:hAnsi="宋体" w:cs="宋体"/>
      <w:snapToGrid w:val="0"/>
      <w:sz w:val="24"/>
      <w:szCs w:val="24"/>
    </w:rPr>
  </w:style>
  <w:style w:type="paragraph" w:customStyle="1" w:styleId="2025">
    <w:name w:val="样式 标题 1 + 段前: 1 行 段后: 1 行"/>
    <w:basedOn w:val="3"/>
    <w:next w:val="1"/>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026">
    <w:name w:val="样式 标题 4 + 红色"/>
    <w:basedOn w:val="6"/>
    <w:qFormat/>
    <w:uiPriority w:val="0"/>
    <w:pPr>
      <w:tabs>
        <w:tab w:val="left" w:pos="0"/>
      </w:tabs>
      <w:ind w:left="864" w:hanging="144"/>
      <w:jc w:val="both"/>
    </w:pPr>
    <w:rPr>
      <w:rFonts w:ascii="Arial" w:hAnsi="Arial" w:cs="Times New Roman" w:eastAsiaTheme="minorEastAsia"/>
      <w:bCs w:val="0"/>
      <w:i/>
    </w:rPr>
  </w:style>
  <w:style w:type="paragraph" w:customStyle="1" w:styleId="2027">
    <w:name w:val="样式 左侧:  2 字符"/>
    <w:basedOn w:val="1"/>
    <w:qFormat/>
    <w:uiPriority w:val="0"/>
    <w:pPr>
      <w:spacing w:line="360" w:lineRule="auto"/>
      <w:ind w:firstLine="200" w:firstLineChars="200"/>
      <w:jc w:val="left"/>
    </w:pPr>
    <w:rPr>
      <w:rFonts w:ascii="Times New Roman" w:hAnsi="Times New Roman" w:cs="宋体"/>
      <w:sz w:val="24"/>
      <w:szCs w:val="20"/>
    </w:rPr>
  </w:style>
  <w:style w:type="paragraph" w:customStyle="1" w:styleId="2028">
    <w:name w:val="Char Char Char Char Char Char Char Char Char Char Char Char Char Char1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2029">
    <w:name w:val="样式 标题 3 + (中文) 黑体1"/>
    <w:basedOn w:val="5"/>
    <w:qFormat/>
    <w:uiPriority w:val="0"/>
    <w:pPr>
      <w:spacing w:beforeLines="10"/>
      <w:ind w:left="720" w:hanging="432"/>
    </w:pPr>
    <w:rPr>
      <w:rFonts w:cs="Times New Roman" w:eastAsiaTheme="minorEastAsia"/>
      <w:bCs w:val="0"/>
      <w:szCs w:val="26"/>
    </w:rPr>
  </w:style>
  <w:style w:type="paragraph" w:customStyle="1" w:styleId="2030">
    <w:name w:val="样式 样式 标题 3标题 3 Char + 宋体 四号 非加粗 行距: 1.5 倍行距 + Times New Roman1"/>
    <w:basedOn w:val="1"/>
    <w:qFormat/>
    <w:uiPriority w:val="0"/>
    <w:pPr>
      <w:keepNext/>
      <w:keepLines/>
      <w:spacing w:after="120" w:line="360" w:lineRule="auto"/>
      <w:ind w:right="-1413" w:rightChars="-673"/>
      <w:jc w:val="left"/>
      <w:outlineLvl w:val="2"/>
    </w:pPr>
    <w:rPr>
      <w:rFonts w:ascii="Times" w:hAnsi="Times" w:eastAsia="黑体" w:cs="Times New Roman"/>
      <w:sz w:val="24"/>
      <w:szCs w:val="24"/>
    </w:rPr>
  </w:style>
  <w:style w:type="paragraph" w:customStyle="1" w:styleId="2031">
    <w:name w:val="图框文字"/>
    <w:basedOn w:val="1015"/>
    <w:qFormat/>
    <w:uiPriority w:val="0"/>
    <w:pPr>
      <w:widowControl/>
      <w:tabs>
        <w:tab w:val="left" w:pos="-24"/>
      </w:tabs>
      <w:adjustRightInd/>
      <w:spacing w:line="0" w:lineRule="atLeast"/>
      <w:textAlignment w:val="baseline"/>
    </w:pPr>
    <w:rPr>
      <w:rFonts w:ascii="宋体" w:hAnsi="宋体" w:eastAsia="宋体"/>
      <w:color w:val="000000"/>
      <w:kern w:val="0"/>
      <w:sz w:val="21"/>
      <w:u w:color="000000"/>
    </w:rPr>
  </w:style>
  <w:style w:type="paragraph" w:customStyle="1" w:styleId="2032">
    <w:name w:val="正文 + 四号"/>
    <w:basedOn w:val="1"/>
    <w:qFormat/>
    <w:uiPriority w:val="0"/>
    <w:pPr>
      <w:ind w:firstLine="560" w:firstLineChars="200"/>
      <w:jc w:val="left"/>
    </w:pPr>
    <w:rPr>
      <w:rFonts w:ascii="Calibri" w:hAnsi="Calibri" w:cs="Times New Roman"/>
      <w:kern w:val="0"/>
      <w:sz w:val="28"/>
      <w:szCs w:val="28"/>
    </w:rPr>
  </w:style>
  <w:style w:type="paragraph" w:customStyle="1" w:styleId="2033">
    <w:name w:val="样式 (符号) 宋体 四号 黑色"/>
    <w:basedOn w:val="1"/>
    <w:qFormat/>
    <w:uiPriority w:val="0"/>
    <w:pPr>
      <w:spacing w:line="360" w:lineRule="atLeast"/>
      <w:ind w:firstLine="567"/>
      <w:jc w:val="left"/>
      <w:textAlignment w:val="baseline"/>
    </w:pPr>
    <w:rPr>
      <w:rFonts w:hint="eastAsia" w:ascii="宋体" w:hAnsi="宋体" w:cs="Times New Roman"/>
      <w:color w:val="000000"/>
      <w:sz w:val="24"/>
      <w:szCs w:val="20"/>
    </w:rPr>
  </w:style>
  <w:style w:type="paragraph" w:customStyle="1" w:styleId="2034">
    <w:name w:val="样式17 Char Char"/>
    <w:basedOn w:val="1"/>
    <w:qFormat/>
    <w:uiPriority w:val="0"/>
    <w:pPr>
      <w:ind w:firstLine="480" w:firstLineChars="200"/>
      <w:jc w:val="left"/>
    </w:pPr>
    <w:rPr>
      <w:rFonts w:ascii="Times New Roman" w:hAnsi="Times New Roman" w:eastAsia="华文中宋" w:cs="Times New Roman"/>
      <w:sz w:val="24"/>
      <w:szCs w:val="24"/>
    </w:rPr>
  </w:style>
  <w:style w:type="paragraph" w:customStyle="1" w:styleId="2035">
    <w:name w:val="xl117"/>
    <w:basedOn w:val="1"/>
    <w:qFormat/>
    <w:uiPriority w:val="0"/>
    <w:pPr>
      <w:widowControl/>
      <w:spacing w:beforeAutospacing="1" w:after="100" w:afterAutospacing="1"/>
      <w:jc w:val="left"/>
    </w:pPr>
    <w:rPr>
      <w:rFonts w:ascii="Arial Unicode MS" w:hAnsi="Arial Unicode MS" w:cs="Times New Roman"/>
      <w:kern w:val="0"/>
      <w:sz w:val="20"/>
      <w:szCs w:val="20"/>
    </w:rPr>
  </w:style>
  <w:style w:type="paragraph" w:customStyle="1" w:styleId="2036">
    <w:name w:val="样式 标题1 + (西文) Times New Roman (中文) 华文中宋 行距: 1.5 倍行距"/>
    <w:basedOn w:val="1"/>
    <w:qFormat/>
    <w:uiPriority w:val="0"/>
    <w:pPr>
      <w:overflowPunct w:val="0"/>
      <w:topLinePunct/>
      <w:spacing w:line="360" w:lineRule="auto"/>
      <w:jc w:val="center"/>
      <w:outlineLvl w:val="0"/>
    </w:pPr>
    <w:rPr>
      <w:rFonts w:ascii="Times New Roman" w:hAnsi="Times New Roman" w:eastAsia="黑体" w:cs="Times New Roman"/>
      <w:b/>
      <w:bCs/>
      <w:color w:val="000000"/>
      <w:sz w:val="32"/>
      <w:szCs w:val="32"/>
    </w:rPr>
  </w:style>
  <w:style w:type="paragraph" w:customStyle="1" w:styleId="2037">
    <w:name w:val="样式 样式 样式 首行缩进:  2 字符 + 首行缩进:  2 字符5 + 首行缩进:  2 字符"/>
    <w:qFormat/>
    <w:uiPriority w:val="0"/>
    <w:pPr>
      <w:spacing w:line="400" w:lineRule="exact"/>
    </w:pPr>
    <w:rPr>
      <w:rFonts w:ascii="Times New Roman" w:hAnsi="Times New Roman" w:eastAsia="宋体" w:cs="Times New Roman"/>
      <w:lang w:val="en-US" w:eastAsia="zh-CN" w:bidi="ar-SA"/>
    </w:rPr>
  </w:style>
  <w:style w:type="paragraph" w:customStyle="1" w:styleId="2038">
    <w:name w:val="样式 样式 首行缩进:  2 字符 + 首行缩进:  2 字符5"/>
    <w:basedOn w:val="448"/>
    <w:qFormat/>
    <w:uiPriority w:val="0"/>
    <w:pPr>
      <w:widowControl/>
      <w:adjustRightInd w:val="0"/>
      <w:snapToGrid w:val="0"/>
      <w:spacing w:line="240" w:lineRule="exact"/>
      <w:ind w:firstLine="200"/>
      <w:textAlignment w:val="baseline"/>
    </w:pPr>
    <w:rPr>
      <w:rFonts w:cs="宋体"/>
      <w:snapToGrid w:val="0"/>
      <w:color w:val="000000"/>
      <w:kern w:val="0"/>
      <w:sz w:val="28"/>
      <w:u w:color="000000"/>
    </w:rPr>
  </w:style>
  <w:style w:type="paragraph" w:customStyle="1" w:styleId="2039">
    <w:name w:val="样式 正文文本正文文字"/>
    <w:basedOn w:val="34"/>
    <w:qFormat/>
    <w:uiPriority w:val="0"/>
    <w:pPr>
      <w:adjustRightInd/>
      <w:spacing w:beforeLines="0" w:line="240" w:lineRule="atLeast"/>
      <w:jc w:val="center"/>
    </w:pPr>
    <w:rPr>
      <w:rFonts w:ascii="Calibri" w:hAnsi="Calibri" w:eastAsiaTheme="minorEastAsia"/>
      <w:bCs/>
      <w:snapToGrid/>
      <w:kern w:val="2"/>
      <w:sz w:val="21"/>
    </w:rPr>
  </w:style>
  <w:style w:type="paragraph" w:customStyle="1" w:styleId="2040">
    <w:name w:val="样式 表名 + Times New Roman 段前: 0.5 行 段后: 0.5 行1"/>
    <w:basedOn w:val="363"/>
    <w:qFormat/>
    <w:uiPriority w:val="0"/>
    <w:pPr>
      <w:tabs>
        <w:tab w:val="clear" w:pos="1350"/>
      </w:tabs>
      <w:overflowPunct w:val="0"/>
      <w:topLinePunct/>
      <w:autoSpaceDE/>
      <w:autoSpaceDN/>
      <w:adjustRightInd/>
      <w:spacing w:beforeLines="50" w:after="0" w:line="440" w:lineRule="exact"/>
      <w:ind w:firstLine="0" w:firstLineChars="0"/>
      <w:outlineLvl w:val="4"/>
    </w:pPr>
    <w:rPr>
      <w:rFonts w:ascii="Times New Roman" w:hAnsi="Times New Roman" w:eastAsia="宋体" w:cs="Times New Roman"/>
      <w:bCs/>
      <w:szCs w:val="20"/>
      <w:shd w:val="clear" w:color="auto" w:fill="auto"/>
    </w:rPr>
  </w:style>
  <w:style w:type="paragraph" w:customStyle="1" w:styleId="2041">
    <w:name w:val="样式 表文 + 左  2 字符"/>
    <w:basedOn w:val="1024"/>
    <w:qFormat/>
    <w:uiPriority w:val="0"/>
    <w:pPr>
      <w:overflowPunct w:val="0"/>
      <w:topLinePunct/>
      <w:adjustRightInd/>
      <w:spacing w:beforeLines="0" w:afterLines="0" w:line="320" w:lineRule="exact"/>
      <w:ind w:left="50" w:leftChars="50"/>
      <w:outlineLvl w:val="6"/>
    </w:pPr>
    <w:rPr>
      <w:rFonts w:ascii="Calibri" w:hAnsi="Calibri"/>
      <w:sz w:val="18"/>
      <w:szCs w:val="22"/>
    </w:rPr>
  </w:style>
  <w:style w:type="paragraph" w:customStyle="1" w:styleId="2042">
    <w:name w:val="样式 行距: 固定值 25 磅1"/>
    <w:basedOn w:val="1"/>
    <w:qFormat/>
    <w:uiPriority w:val="0"/>
    <w:pPr>
      <w:adjustRightInd w:val="0"/>
      <w:spacing w:line="300" w:lineRule="auto"/>
      <w:ind w:firstLine="560" w:firstLineChars="200"/>
      <w:jc w:val="left"/>
      <w:textAlignment w:val="baseline"/>
    </w:pPr>
    <w:rPr>
      <w:rFonts w:ascii="宋体" w:hAnsi="宋体" w:cs="Times New Roman"/>
      <w:kern w:val="0"/>
      <w:sz w:val="28"/>
      <w:szCs w:val="20"/>
    </w:rPr>
  </w:style>
  <w:style w:type="paragraph" w:customStyle="1" w:styleId="2043">
    <w:name w:val="报告题目"/>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044">
    <w:name w:val="样式 报告正文 + 首行缩进:  2 字符"/>
    <w:basedOn w:val="1"/>
    <w:qFormat/>
    <w:uiPriority w:val="0"/>
    <w:pPr>
      <w:keepNext/>
      <w:spacing w:line="500" w:lineRule="exact"/>
      <w:ind w:firstLine="560" w:firstLineChars="200"/>
      <w:jc w:val="left"/>
      <w:outlineLvl w:val="1"/>
    </w:pPr>
    <w:rPr>
      <w:rFonts w:ascii="Times New Roman" w:hAnsi="Times New Roman" w:eastAsia="楷体_GB2312" w:cs="宋体"/>
      <w:sz w:val="28"/>
      <w:szCs w:val="20"/>
    </w:rPr>
  </w:style>
  <w:style w:type="paragraph" w:customStyle="1" w:styleId="2045">
    <w:name w:val="xl122"/>
    <w:basedOn w:val="1"/>
    <w:qFormat/>
    <w:uiPriority w:val="0"/>
    <w:pPr>
      <w:widowControl/>
      <w:pBdr>
        <w:top w:val="single" w:color="auto" w:sz="4" w:space="0"/>
        <w:bottom w:val="single" w:color="auto" w:sz="4" w:space="0"/>
      </w:pBdr>
      <w:spacing w:beforeAutospacing="1" w:after="100" w:afterAutospacing="1"/>
      <w:jc w:val="right"/>
    </w:pPr>
    <w:rPr>
      <w:rFonts w:ascii="Arial Unicode MS" w:hAnsi="Arial Unicode MS" w:cs="Times New Roman"/>
      <w:kern w:val="0"/>
      <w:sz w:val="20"/>
      <w:szCs w:val="20"/>
    </w:rPr>
  </w:style>
  <w:style w:type="paragraph" w:customStyle="1" w:styleId="2046">
    <w:name w:val="表名 Char1 Char Char Char"/>
    <w:basedOn w:val="1"/>
    <w:qFormat/>
    <w:uiPriority w:val="0"/>
    <w:pPr>
      <w:overflowPunct w:val="0"/>
      <w:spacing w:beforeAutospacing="1"/>
      <w:jc w:val="center"/>
      <w:textAlignment w:val="baseline"/>
    </w:pPr>
    <w:rPr>
      <w:rFonts w:ascii="Arial" w:hAnsi="Arial" w:eastAsia="黑体" w:cs="Times New Roman"/>
      <w:szCs w:val="24"/>
    </w:rPr>
  </w:style>
  <w:style w:type="paragraph" w:customStyle="1" w:styleId="2047">
    <w:name w:val="Char5"/>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8"/>
    </w:rPr>
  </w:style>
  <w:style w:type="paragraph" w:customStyle="1" w:styleId="2048">
    <w:name w:val="pra"/>
    <w:basedOn w:val="1"/>
    <w:qFormat/>
    <w:uiPriority w:val="0"/>
    <w:pPr>
      <w:widowControl/>
      <w:spacing w:beforeAutospacing="1" w:after="100" w:afterAutospacing="1" w:line="440" w:lineRule="exact"/>
      <w:ind w:firstLine="480" w:firstLineChars="200"/>
      <w:jc w:val="left"/>
    </w:pPr>
    <w:rPr>
      <w:rFonts w:ascii="Arial Unicode MS" w:hAnsi="Arial Unicode MS" w:eastAsia="Arial Unicode MS" w:cs="Times New Roman"/>
      <w:kern w:val="0"/>
      <w:sz w:val="24"/>
      <w:szCs w:val="20"/>
    </w:rPr>
  </w:style>
  <w:style w:type="paragraph" w:customStyle="1" w:styleId="2049">
    <w:name w:val="样式 标题 4 + 行距: 多倍行距 1.25 字行"/>
    <w:basedOn w:val="6"/>
    <w:qFormat/>
    <w:uiPriority w:val="0"/>
    <w:pPr>
      <w:tabs>
        <w:tab w:val="left" w:pos="0"/>
      </w:tabs>
      <w:ind w:left="864" w:hanging="144"/>
      <w:jc w:val="both"/>
    </w:pPr>
    <w:rPr>
      <w:rFonts w:ascii="Arial" w:hAnsi="Arial" w:cs="Times New Roman" w:eastAsiaTheme="minorEastAsia"/>
      <w:bCs w:val="0"/>
      <w:i/>
    </w:rPr>
  </w:style>
  <w:style w:type="paragraph" w:customStyle="1" w:styleId="2050">
    <w:name w:val="样式 标题 2标题 2 Char Char标题 2XW + 小三 左侧:  0 厘米 首行缩进:  0 厘米 段前: ..."/>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051">
    <w:name w:val="样式 标题 2 + 首行缩进:  2 字符"/>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052">
    <w:name w:val="样式 标题 3 + 段前: 0.5 行 段后: 0.1 行1"/>
    <w:basedOn w:val="5"/>
    <w:qFormat/>
    <w:uiPriority w:val="0"/>
    <w:pPr>
      <w:spacing w:beforeLines="10"/>
      <w:ind w:left="720" w:hanging="432"/>
    </w:pPr>
    <w:rPr>
      <w:rFonts w:cs="Times New Roman" w:eastAsiaTheme="minorEastAsia"/>
      <w:bCs w:val="0"/>
      <w:szCs w:val="26"/>
    </w:rPr>
  </w:style>
  <w:style w:type="paragraph" w:customStyle="1" w:styleId="2053">
    <w:name w:val="样式 表文居中 +"/>
    <w:basedOn w:val="959"/>
    <w:qFormat/>
    <w:uiPriority w:val="0"/>
    <w:pPr>
      <w:autoSpaceDE/>
      <w:autoSpaceDN/>
      <w:spacing w:line="220" w:lineRule="atLeast"/>
    </w:pPr>
    <w:rPr>
      <w:snapToGrid w:val="0"/>
      <w:sz w:val="18"/>
      <w:szCs w:val="21"/>
    </w:rPr>
  </w:style>
  <w:style w:type="paragraph" w:customStyle="1" w:styleId="2054">
    <w:name w:val="样式 正文编号（1） +1 Char Char Char Char Char Char Char"/>
    <w:basedOn w:val="1"/>
    <w:qFormat/>
    <w:uiPriority w:val="0"/>
    <w:pPr>
      <w:widowControl/>
      <w:tabs>
        <w:tab w:val="left" w:pos="572"/>
        <w:tab w:val="left" w:pos="1230"/>
      </w:tabs>
      <w:adjustRightInd w:val="0"/>
      <w:spacing w:line="520" w:lineRule="exact"/>
      <w:ind w:left="56" w:firstLine="454" w:firstLineChars="200"/>
      <w:jc w:val="left"/>
      <w:textAlignment w:val="baseline"/>
    </w:pPr>
    <w:rPr>
      <w:rFonts w:ascii="Times New Roman" w:hAnsi="Times New Roman" w:cs="Times New Roman"/>
      <w:snapToGrid w:val="0"/>
      <w:color w:val="000000"/>
      <w:kern w:val="0"/>
      <w:sz w:val="28"/>
      <w:szCs w:val="24"/>
      <w:u w:color="000000"/>
    </w:rPr>
  </w:style>
  <w:style w:type="paragraph" w:customStyle="1" w:styleId="2055">
    <w:name w:val="表名 Char Char2"/>
    <w:basedOn w:val="1"/>
    <w:qFormat/>
    <w:uiPriority w:val="0"/>
    <w:pPr>
      <w:overflowPunct w:val="0"/>
      <w:spacing w:beforeLines="50" w:line="312" w:lineRule="auto"/>
      <w:jc w:val="center"/>
      <w:textAlignment w:val="baseline"/>
    </w:pPr>
    <w:rPr>
      <w:rFonts w:ascii="Arial" w:hAnsi="Arial" w:eastAsia="黑体" w:cs="Times New Roman"/>
      <w:sz w:val="24"/>
      <w:szCs w:val="24"/>
    </w:rPr>
  </w:style>
  <w:style w:type="paragraph" w:customStyle="1" w:styleId="2056">
    <w:name w:val="小五表格"/>
    <w:basedOn w:val="1"/>
    <w:qFormat/>
    <w:uiPriority w:val="0"/>
    <w:pPr>
      <w:adjustRightInd w:val="0"/>
      <w:spacing w:afterLines="20"/>
      <w:jc w:val="left"/>
      <w:textAlignment w:val="baseline"/>
    </w:pPr>
    <w:rPr>
      <w:rFonts w:ascii="Times New Roman" w:hAnsi="Times New Roman" w:cs="Times New Roman"/>
      <w:sz w:val="18"/>
      <w:szCs w:val="24"/>
    </w:rPr>
  </w:style>
  <w:style w:type="paragraph" w:customStyle="1" w:styleId="2057">
    <w:name w:val="xyb自建表格名称 Char Char Char"/>
    <w:basedOn w:val="1"/>
    <w:qFormat/>
    <w:uiPriority w:val="0"/>
    <w:pPr>
      <w:spacing w:line="360" w:lineRule="auto"/>
      <w:jc w:val="center"/>
    </w:pPr>
    <w:rPr>
      <w:rFonts w:ascii="宋体" w:hAnsi="宋体" w:cs="Times New Roman"/>
      <w:sz w:val="24"/>
      <w:szCs w:val="24"/>
    </w:rPr>
  </w:style>
  <w:style w:type="paragraph" w:customStyle="1" w:styleId="2058">
    <w:name w:val="样式 样式 扉页签字 + 左 + 首行缩进:  3 字符"/>
    <w:basedOn w:val="1"/>
    <w:qFormat/>
    <w:uiPriority w:val="0"/>
    <w:pPr>
      <w:adjustRightInd w:val="0"/>
      <w:spacing w:line="580" w:lineRule="exact"/>
      <w:ind w:firstLine="200" w:firstLineChars="200"/>
      <w:jc w:val="left"/>
    </w:pPr>
    <w:rPr>
      <w:rFonts w:ascii="Times New Roman" w:hAnsi="Times New Roman" w:cs="宋体"/>
      <w:sz w:val="28"/>
      <w:szCs w:val="20"/>
    </w:rPr>
  </w:style>
  <w:style w:type="paragraph" w:customStyle="1" w:styleId="2059">
    <w:name w:val="样式 表文 + 右"/>
    <w:basedOn w:val="1024"/>
    <w:qFormat/>
    <w:uiPriority w:val="0"/>
    <w:pPr>
      <w:spacing w:beforeLines="0" w:afterLines="0" w:line="220" w:lineRule="atLeast"/>
      <w:jc w:val="right"/>
      <w:textAlignment w:val="baseline"/>
    </w:pPr>
    <w:rPr>
      <w:rFonts w:ascii="Calibri" w:hAnsi="Calibri" w:cs="宋体"/>
      <w:snapToGrid w:val="0"/>
      <w:kern w:val="52"/>
      <w:sz w:val="18"/>
      <w:szCs w:val="22"/>
    </w:rPr>
  </w:style>
  <w:style w:type="paragraph" w:customStyle="1" w:styleId="2060">
    <w:name w:val="样式 表名 + 段前: 0.5 行2"/>
    <w:basedOn w:val="363"/>
    <w:qFormat/>
    <w:uiPriority w:val="0"/>
    <w:pPr>
      <w:tabs>
        <w:tab w:val="clear" w:pos="1350"/>
      </w:tabs>
      <w:autoSpaceDE/>
      <w:autoSpaceDN/>
      <w:spacing w:beforeLines="50" w:after="0" w:line="240" w:lineRule="auto"/>
      <w:ind w:firstLine="0" w:firstLineChars="0"/>
      <w:textAlignment w:val="baseline"/>
    </w:pPr>
    <w:rPr>
      <w:rFonts w:ascii="Times New Roman" w:hAnsi="Times New Roman" w:eastAsia="黑体" w:cs="宋体"/>
      <w:b w:val="0"/>
      <w:snapToGrid w:val="0"/>
      <w:kern w:val="52"/>
      <w:sz w:val="21"/>
      <w:szCs w:val="20"/>
      <w:shd w:val="clear" w:color="auto" w:fill="auto"/>
    </w:rPr>
  </w:style>
  <w:style w:type="paragraph" w:customStyle="1" w:styleId="2061">
    <w:name w:val="样式 样式 标题 2 + 段前: 0.5 行 段后: 0.5 行 + 段前: 0.5 行 段后: 0.5 行"/>
    <w:basedOn w:val="1555"/>
    <w:qFormat/>
    <w:uiPriority w:val="0"/>
    <w:pPr>
      <w:spacing w:before="50" w:after="0" w:line="440" w:lineRule="exact"/>
    </w:pPr>
    <w:rPr>
      <w:rFonts w:ascii="Times New Roman" w:hAnsi="Times New Roman" w:eastAsia="华文中宋"/>
      <w:sz w:val="30"/>
      <w:szCs w:val="30"/>
    </w:rPr>
  </w:style>
  <w:style w:type="paragraph" w:customStyle="1" w:styleId="2062">
    <w:name w:val="标题  4"/>
    <w:basedOn w:val="6"/>
    <w:qFormat/>
    <w:uiPriority w:val="0"/>
    <w:pPr>
      <w:tabs>
        <w:tab w:val="left" w:pos="0"/>
      </w:tabs>
      <w:ind w:left="864" w:hanging="144"/>
      <w:jc w:val="both"/>
    </w:pPr>
    <w:rPr>
      <w:rFonts w:ascii="Arial" w:hAnsi="Arial" w:cs="Times New Roman" w:eastAsiaTheme="minorEastAsia"/>
      <w:bCs w:val="0"/>
      <w:i/>
    </w:rPr>
  </w:style>
  <w:style w:type="paragraph" w:customStyle="1" w:styleId="2063">
    <w:name w:val="样式 样式 正文1 + 仿宋_GB2312 四号 段前: 0.5 行 段后: 7.8 磅 + 首行缩进:  2 字符"/>
    <w:basedOn w:val="1"/>
    <w:qFormat/>
    <w:uiPriority w:val="0"/>
    <w:pPr>
      <w:tabs>
        <w:tab w:val="left" w:pos="540"/>
      </w:tabs>
      <w:spacing w:afterLines="100" w:line="360" w:lineRule="auto"/>
      <w:ind w:left="540"/>
      <w:jc w:val="left"/>
    </w:pPr>
    <w:rPr>
      <w:rFonts w:ascii="仿宋_GB2312" w:hAnsi="Times New Roman" w:eastAsia="仿宋_GB2312" w:cs="宋体"/>
      <w:sz w:val="24"/>
      <w:szCs w:val="20"/>
    </w:rPr>
  </w:style>
  <w:style w:type="paragraph" w:customStyle="1" w:styleId="2064">
    <w:name w:val="样式 样式 样式 标题 3 + 非加粗 段前: 0.4 行 + 段后: 0.5 行 + 段前: 0.5 行 段后: 0.5 行"/>
    <w:basedOn w:val="1916"/>
    <w:qFormat/>
    <w:uiPriority w:val="0"/>
    <w:pPr>
      <w:tabs>
        <w:tab w:val="left" w:pos="1080"/>
        <w:tab w:val="clear" w:pos="780"/>
      </w:tabs>
      <w:spacing w:afterLines="30"/>
      <w:ind w:left="0" w:firstLine="0"/>
    </w:pPr>
    <w:rPr>
      <w:sz w:val="28"/>
      <w:szCs w:val="28"/>
    </w:rPr>
  </w:style>
  <w:style w:type="paragraph" w:customStyle="1" w:styleId="2065">
    <w:name w:val="大岗山正文样式"/>
    <w:basedOn w:val="1"/>
    <w:qFormat/>
    <w:uiPriority w:val="0"/>
    <w:pPr>
      <w:spacing w:line="360" w:lineRule="auto"/>
      <w:ind w:firstLine="560" w:firstLineChars="200"/>
      <w:jc w:val="left"/>
    </w:pPr>
    <w:rPr>
      <w:rFonts w:ascii="Times New Roman" w:hAnsi="Times New Roman" w:cs="Times New Roman"/>
      <w:sz w:val="24"/>
      <w:szCs w:val="20"/>
    </w:rPr>
  </w:style>
  <w:style w:type="paragraph" w:customStyle="1" w:styleId="2066">
    <w:name w:val="正文 lsp"/>
    <w:basedOn w:val="1"/>
    <w:link w:val="2525"/>
    <w:qFormat/>
    <w:uiPriority w:val="0"/>
    <w:pPr>
      <w:spacing w:line="360" w:lineRule="auto"/>
      <w:ind w:firstLine="480" w:firstLineChars="200"/>
      <w:jc w:val="left"/>
    </w:pPr>
    <w:rPr>
      <w:rFonts w:ascii="宋体" w:hAnsi="Times New Roman" w:cs="Times New Roman"/>
      <w:sz w:val="24"/>
      <w:szCs w:val="24"/>
    </w:rPr>
  </w:style>
  <w:style w:type="paragraph" w:customStyle="1" w:styleId="2067">
    <w:name w:val="样式 样式4 + 黑色"/>
    <w:basedOn w:val="1"/>
    <w:qFormat/>
    <w:uiPriority w:val="0"/>
    <w:pPr>
      <w:ind w:firstLine="480" w:firstLineChars="200"/>
      <w:jc w:val="left"/>
    </w:pPr>
    <w:rPr>
      <w:rFonts w:ascii="Times New Roman" w:hAnsi="Times New Roman" w:eastAsia="华文中宋" w:cs="Times New Roman"/>
      <w:color w:val="000000"/>
      <w:sz w:val="24"/>
      <w:szCs w:val="24"/>
    </w:rPr>
  </w:style>
  <w:style w:type="paragraph" w:customStyle="1" w:styleId="2068">
    <w:name w:val="样式 标题1 + 行距: 1.5 倍行距"/>
    <w:basedOn w:val="45"/>
    <w:next w:val="3"/>
    <w:qFormat/>
    <w:uiPriority w:val="0"/>
    <w:pPr>
      <w:overflowPunct w:val="0"/>
      <w:topLinePunct/>
      <w:spacing w:beforeLines="10" w:line="360" w:lineRule="auto"/>
      <w:jc w:val="center"/>
      <w:outlineLvl w:val="0"/>
    </w:pPr>
    <w:rPr>
      <w:rFonts w:hAnsi="宋体" w:eastAsia="华文中宋"/>
      <w:b/>
      <w:bCs/>
      <w:snapToGrid w:val="0"/>
      <w:color w:val="000000"/>
      <w:kern w:val="0"/>
      <w:sz w:val="32"/>
      <w:szCs w:val="20"/>
    </w:rPr>
  </w:style>
  <w:style w:type="paragraph" w:customStyle="1" w:styleId="2069">
    <w:name w:val="样式 标题 3 + 行距: 1.5 倍行距"/>
    <w:basedOn w:val="5"/>
    <w:qFormat/>
    <w:uiPriority w:val="0"/>
    <w:pPr>
      <w:spacing w:beforeLines="10"/>
      <w:ind w:left="720" w:hanging="432"/>
    </w:pPr>
    <w:rPr>
      <w:rFonts w:cs="Times New Roman" w:eastAsiaTheme="minorEastAsia"/>
      <w:bCs w:val="0"/>
      <w:szCs w:val="26"/>
    </w:rPr>
  </w:style>
  <w:style w:type="paragraph" w:customStyle="1" w:styleId="2070">
    <w:name w:val="表号 Char Char2"/>
    <w:basedOn w:val="1"/>
    <w:qFormat/>
    <w:uiPriority w:val="0"/>
    <w:pPr>
      <w:adjustRightInd w:val="0"/>
      <w:spacing w:line="320" w:lineRule="exact"/>
      <w:ind w:firstLine="105" w:firstLineChars="50"/>
      <w:jc w:val="left"/>
      <w:textAlignment w:val="baseline"/>
    </w:pPr>
    <w:rPr>
      <w:rFonts w:ascii="宋体" w:hAnsi="宋体" w:cs="Times New Roman"/>
      <w:bCs/>
      <w:snapToGrid w:val="0"/>
      <w:kern w:val="0"/>
    </w:rPr>
  </w:style>
  <w:style w:type="paragraph" w:customStyle="1" w:styleId="2071">
    <w:name w:val="表格内文字-五号"/>
    <w:basedOn w:val="1"/>
    <w:qFormat/>
    <w:uiPriority w:val="0"/>
    <w:pPr>
      <w:tabs>
        <w:tab w:val="left" w:pos="900"/>
      </w:tabs>
      <w:spacing w:line="240" w:lineRule="exact"/>
      <w:jc w:val="center"/>
    </w:pPr>
    <w:rPr>
      <w:rFonts w:ascii="Times New Roman" w:hAnsi="Times New Roman" w:cs="Times New Roman"/>
      <w:color w:val="000000"/>
      <w:spacing w:val="20"/>
      <w:sz w:val="24"/>
      <w:szCs w:val="24"/>
    </w:rPr>
  </w:style>
  <w:style w:type="paragraph" w:customStyle="1" w:styleId="2072">
    <w:name w:val="签字页"/>
    <w:basedOn w:val="1"/>
    <w:qFormat/>
    <w:uiPriority w:val="0"/>
    <w:pPr>
      <w:widowControl/>
      <w:tabs>
        <w:tab w:val="left" w:pos="-24"/>
      </w:tabs>
      <w:spacing w:line="0" w:lineRule="atLeast"/>
      <w:jc w:val="center"/>
      <w:textAlignment w:val="baseline"/>
    </w:pPr>
    <w:rPr>
      <w:rFonts w:ascii="宋体" w:hAnsi="宋体" w:cs="Times New Roman"/>
      <w:b/>
      <w:bCs/>
      <w:color w:val="000000"/>
      <w:kern w:val="0"/>
      <w:szCs w:val="20"/>
      <w:u w:color="000000"/>
    </w:rPr>
  </w:style>
  <w:style w:type="paragraph" w:customStyle="1" w:styleId="2073">
    <w:name w:val="样式 表号 + 首行缩进:  2 字符"/>
    <w:qFormat/>
    <w:uiPriority w:val="0"/>
    <w:rPr>
      <w:rFonts w:ascii="Times New Roman" w:hAnsi="Times New Roman" w:eastAsia="宋体" w:cs="Times New Roman"/>
      <w:lang w:val="en-US" w:eastAsia="zh-CN" w:bidi="ar-SA"/>
    </w:rPr>
  </w:style>
  <w:style w:type="paragraph" w:customStyle="1" w:styleId="2074">
    <w:name w:val="表号 Char Char"/>
    <w:basedOn w:val="1"/>
    <w:qFormat/>
    <w:uiPriority w:val="0"/>
    <w:pPr>
      <w:autoSpaceDE w:val="0"/>
      <w:autoSpaceDN w:val="0"/>
      <w:adjustRightInd w:val="0"/>
      <w:jc w:val="left"/>
      <w:textAlignment w:val="baseline"/>
      <w:outlineLvl w:val="4"/>
    </w:pPr>
    <w:rPr>
      <w:rFonts w:ascii="Times New Roman" w:hAnsi="Times New Roman" w:cs="Times New Roman"/>
      <w:spacing w:val="6"/>
      <w:kern w:val="0"/>
      <w:szCs w:val="24"/>
    </w:rPr>
  </w:style>
  <w:style w:type="paragraph" w:customStyle="1" w:styleId="2075">
    <w:name w:val="表中内容"/>
    <w:basedOn w:val="1"/>
    <w:qFormat/>
    <w:uiPriority w:val="0"/>
    <w:pPr>
      <w:jc w:val="center"/>
    </w:pPr>
    <w:rPr>
      <w:rFonts w:ascii="宋体" w:hAnsi="宋体" w:cs="Times New Roman"/>
      <w:snapToGrid w:val="0"/>
      <w:w w:val="95"/>
      <w:kern w:val="0"/>
      <w:szCs w:val="24"/>
    </w:rPr>
  </w:style>
  <w:style w:type="paragraph" w:customStyle="1" w:styleId="2076">
    <w:name w:val="样式 样式7 + 黑色 行距: 固定值 15 磅"/>
    <w:basedOn w:val="531"/>
    <w:qFormat/>
    <w:uiPriority w:val="0"/>
    <w:pPr>
      <w:widowControl w:val="0"/>
      <w:spacing w:line="300" w:lineRule="exact"/>
      <w:ind w:firstLine="0" w:firstLineChars="0"/>
      <w:jc w:val="center"/>
    </w:pPr>
    <w:rPr>
      <w:rFonts w:ascii="Times New Roman" w:hAnsi="Times New Roman" w:eastAsia="华文中宋"/>
      <w:color w:val="000000"/>
      <w:kern w:val="2"/>
      <w:sz w:val="21"/>
    </w:rPr>
  </w:style>
  <w:style w:type="paragraph" w:customStyle="1" w:styleId="2077">
    <w:name w:val="样式 样式 首行缩进:  2 字符 + 首行缩进:  2 字符6"/>
    <w:basedOn w:val="448"/>
    <w:qFormat/>
    <w:uiPriority w:val="0"/>
    <w:pPr>
      <w:widowControl/>
      <w:adjustRightInd w:val="0"/>
      <w:snapToGrid w:val="0"/>
      <w:spacing w:line="360" w:lineRule="auto"/>
      <w:ind w:firstLine="600"/>
      <w:textAlignment w:val="baseline"/>
    </w:pPr>
    <w:rPr>
      <w:rFonts w:cs="宋体"/>
      <w:snapToGrid w:val="0"/>
      <w:color w:val="000000"/>
      <w:kern w:val="0"/>
      <w:sz w:val="28"/>
      <w:u w:color="000000"/>
    </w:rPr>
  </w:style>
  <w:style w:type="paragraph" w:customStyle="1" w:styleId="2078">
    <w:name w:val="六号小表文"/>
    <w:basedOn w:val="1535"/>
    <w:qFormat/>
    <w:uiPriority w:val="0"/>
    <w:pPr>
      <w:snapToGrid w:val="0"/>
      <w:spacing w:line="180" w:lineRule="exact"/>
      <w:ind w:firstLine="0" w:firstLineChars="200"/>
    </w:pPr>
    <w:rPr>
      <w:color w:val="000000"/>
      <w:spacing w:val="-16"/>
      <w:sz w:val="15"/>
    </w:rPr>
  </w:style>
  <w:style w:type="paragraph" w:customStyle="1" w:styleId="2079">
    <w:name w:val="样式 !表标题(alt+h) + 段前: 0.2 行 段后: 0.2 行"/>
    <w:basedOn w:val="865"/>
    <w:qFormat/>
    <w:uiPriority w:val="0"/>
    <w:pPr>
      <w:spacing w:beforeLines="20" w:afterLines="20" w:line="420" w:lineRule="atLeast"/>
      <w:ind w:firstLine="0"/>
      <w:textAlignment w:val="baseline"/>
      <w:outlineLvl w:val="3"/>
    </w:pPr>
    <w:rPr>
      <w:rFonts w:ascii="黑体"/>
      <w:color w:val="000000"/>
      <w:szCs w:val="20"/>
      <w:u w:color="000000"/>
    </w:rPr>
  </w:style>
  <w:style w:type="paragraph" w:customStyle="1" w:styleId="2080">
    <w:name w:val="研究报告"/>
    <w:basedOn w:val="1"/>
    <w:qFormat/>
    <w:uiPriority w:val="0"/>
    <w:pPr>
      <w:spacing w:line="300" w:lineRule="auto"/>
      <w:ind w:firstLine="200" w:firstLineChars="200"/>
      <w:jc w:val="left"/>
    </w:pPr>
    <w:rPr>
      <w:rFonts w:ascii="Times New Roman" w:hAnsi="Times New Roman" w:cs="Times New Roman"/>
      <w:sz w:val="24"/>
      <w:szCs w:val="24"/>
    </w:rPr>
  </w:style>
  <w:style w:type="paragraph" w:customStyle="1" w:styleId="2081">
    <w:name w:val="顺序"/>
    <w:basedOn w:val="1"/>
    <w:next w:val="1"/>
    <w:qFormat/>
    <w:uiPriority w:val="0"/>
    <w:pPr>
      <w:jc w:val="left"/>
    </w:pPr>
    <w:rPr>
      <w:rFonts w:ascii="宋体" w:hAnsi="宋体" w:cs="Times New Roman"/>
      <w:kern w:val="0"/>
      <w:sz w:val="24"/>
      <w:szCs w:val="24"/>
    </w:rPr>
  </w:style>
  <w:style w:type="paragraph" w:customStyle="1" w:styleId="2082">
    <w:name w:val="默认段落字体 Para Char Char Char Char Char Char Char Char Char Char Char Char Char"/>
    <w:basedOn w:val="1"/>
    <w:qFormat/>
    <w:uiPriority w:val="0"/>
    <w:pPr>
      <w:jc w:val="left"/>
    </w:pPr>
    <w:rPr>
      <w:rFonts w:ascii="Times New Roman" w:hAnsi="Times New Roman" w:cs="Times New Roman"/>
      <w:szCs w:val="24"/>
    </w:rPr>
  </w:style>
  <w:style w:type="paragraph" w:customStyle="1" w:styleId="2083">
    <w:name w:val="Char Char Char Char Char Char Char Char Char Char Char Char Char Char Char Char Char Char Char Char Char Char"/>
    <w:basedOn w:val="1"/>
    <w:qFormat/>
    <w:uiPriority w:val="0"/>
    <w:pPr>
      <w:spacing w:beforeLines="50" w:afterLines="50" w:line="360" w:lineRule="auto"/>
      <w:jc w:val="left"/>
    </w:pPr>
    <w:rPr>
      <w:rFonts w:ascii="宋体" w:hAnsi="宋体" w:cs="宋体"/>
      <w:b/>
      <w:sz w:val="24"/>
      <w:szCs w:val="24"/>
    </w:rPr>
  </w:style>
  <w:style w:type="paragraph" w:customStyle="1" w:styleId="2084">
    <w:name w:val="表文 Char Char Char Char Char Char1"/>
    <w:basedOn w:val="1"/>
    <w:qFormat/>
    <w:uiPriority w:val="0"/>
    <w:pPr>
      <w:overflowPunct w:val="0"/>
      <w:jc w:val="center"/>
      <w:textAlignment w:val="baseline"/>
    </w:pPr>
    <w:rPr>
      <w:rFonts w:ascii="Times New Roman" w:hAnsi="Times New Roman" w:cs="Times New Roman"/>
      <w:sz w:val="18"/>
      <w:szCs w:val="18"/>
    </w:rPr>
  </w:style>
  <w:style w:type="paragraph" w:customStyle="1" w:styleId="2085">
    <w:name w:val="大岗山正文文字"/>
    <w:basedOn w:val="34"/>
    <w:qFormat/>
    <w:uiPriority w:val="0"/>
    <w:pPr>
      <w:tabs>
        <w:tab w:val="left" w:pos="630"/>
        <w:tab w:val="left" w:pos="8925"/>
      </w:tabs>
      <w:adjustRightInd/>
      <w:spacing w:beforeLines="0"/>
      <w:ind w:firstLine="480" w:firstLineChars="200"/>
    </w:pPr>
    <w:rPr>
      <w:rFonts w:ascii="Calibri" w:hAnsi="Calibri" w:eastAsiaTheme="minorEastAsia"/>
      <w:snapToGrid/>
      <w:kern w:val="2"/>
      <w:sz w:val="26"/>
    </w:rPr>
  </w:style>
  <w:style w:type="paragraph" w:customStyle="1" w:styleId="2086">
    <w:name w:val="设计说明3"/>
    <w:basedOn w:val="1943"/>
    <w:next w:val="1"/>
    <w:qFormat/>
    <w:uiPriority w:val="0"/>
  </w:style>
  <w:style w:type="paragraph" w:customStyle="1" w:styleId="2087">
    <w:name w:val="样式 标题 4 + 段前: 0.2 行"/>
    <w:basedOn w:val="6"/>
    <w:next w:val="1"/>
    <w:qFormat/>
    <w:uiPriority w:val="0"/>
    <w:pPr>
      <w:tabs>
        <w:tab w:val="left" w:pos="0"/>
      </w:tabs>
      <w:ind w:left="864" w:hanging="144"/>
      <w:jc w:val="both"/>
    </w:pPr>
    <w:rPr>
      <w:rFonts w:ascii="Arial" w:hAnsi="Arial" w:cs="Times New Roman" w:eastAsiaTheme="minorEastAsia"/>
      <w:bCs w:val="0"/>
      <w:i/>
    </w:rPr>
  </w:style>
  <w:style w:type="paragraph" w:customStyle="1" w:styleId="2088">
    <w:name w:val="样式 表名 + 段前: 0.5 行 段后: 0.5 行"/>
    <w:basedOn w:val="363"/>
    <w:qFormat/>
    <w:uiPriority w:val="0"/>
    <w:pPr>
      <w:tabs>
        <w:tab w:val="clear" w:pos="1350"/>
      </w:tabs>
      <w:overflowPunct w:val="0"/>
      <w:topLinePunct/>
      <w:autoSpaceDE/>
      <w:autoSpaceDN/>
      <w:adjustRightInd/>
      <w:spacing w:beforeLines="50" w:after="0" w:line="440" w:lineRule="exact"/>
      <w:ind w:firstLine="0" w:firstLineChars="0"/>
      <w:outlineLvl w:val="4"/>
    </w:pPr>
    <w:rPr>
      <w:rFonts w:ascii="宋体" w:hAnsi="华文楷体" w:eastAsia="宋体" w:cs="Times New Roman"/>
      <w:bCs/>
      <w:szCs w:val="20"/>
      <w:shd w:val="clear" w:color="auto" w:fill="auto"/>
    </w:rPr>
  </w:style>
  <w:style w:type="paragraph" w:customStyle="1" w:styleId="2089">
    <w:name w:val="样式 表号 Char Char Char Char + Arial"/>
    <w:qFormat/>
    <w:uiPriority w:val="0"/>
    <w:rPr>
      <w:rFonts w:ascii="Arial" w:hAnsi="Arial" w:eastAsia="宋体" w:cs="Times New Roman"/>
      <w:lang w:val="zh-CN" w:eastAsia="zh-CN" w:bidi="ar-SA"/>
    </w:rPr>
  </w:style>
  <w:style w:type="paragraph" w:customStyle="1" w:styleId="2090">
    <w:name w:val="表号 Char Char Char Char"/>
    <w:basedOn w:val="1"/>
    <w:qFormat/>
    <w:uiPriority w:val="0"/>
    <w:pPr>
      <w:autoSpaceDE w:val="0"/>
      <w:autoSpaceDN w:val="0"/>
      <w:adjustRightInd w:val="0"/>
      <w:jc w:val="left"/>
      <w:textAlignment w:val="baseline"/>
      <w:outlineLvl w:val="4"/>
    </w:pPr>
    <w:rPr>
      <w:rFonts w:ascii="Times New Roman" w:hAnsi="Times New Roman" w:cs="Times New Roman"/>
      <w:spacing w:val="6"/>
      <w:kern w:val="0"/>
      <w:szCs w:val="24"/>
    </w:rPr>
  </w:style>
  <w:style w:type="paragraph" w:customStyle="1" w:styleId="2091">
    <w:name w:val="xl118"/>
    <w:basedOn w:val="1"/>
    <w:qFormat/>
    <w:uiPriority w:val="0"/>
    <w:pPr>
      <w:widowControl/>
      <w:pBdr>
        <w:top w:val="single" w:color="auto" w:sz="4" w:space="0"/>
        <w:left w:val="single" w:color="auto" w:sz="8" w:space="0"/>
        <w:bottom w:val="single" w:color="auto" w:sz="4" w:space="0"/>
        <w:right w:val="single" w:color="auto" w:sz="4" w:space="0"/>
      </w:pBdr>
      <w:spacing w:beforeAutospacing="1" w:after="100" w:afterAutospacing="1"/>
      <w:jc w:val="left"/>
    </w:pPr>
    <w:rPr>
      <w:rFonts w:ascii="Arial Unicode MS" w:hAnsi="Arial Unicode MS" w:cs="Times New Roman"/>
      <w:kern w:val="0"/>
      <w:sz w:val="20"/>
      <w:szCs w:val="20"/>
    </w:rPr>
  </w:style>
  <w:style w:type="paragraph" w:customStyle="1" w:styleId="2092">
    <w:name w:val="1.0"/>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093">
    <w:name w:val="图头"/>
    <w:basedOn w:val="1"/>
    <w:qFormat/>
    <w:uiPriority w:val="0"/>
    <w:pPr>
      <w:spacing w:afterLines="50" w:line="480" w:lineRule="exact"/>
      <w:jc w:val="center"/>
    </w:pPr>
    <w:rPr>
      <w:rFonts w:ascii="宋体" w:hAnsi="Times New Roman" w:cs="Times New Roman"/>
      <w:b/>
      <w:bCs/>
      <w:sz w:val="24"/>
      <w:szCs w:val="24"/>
    </w:rPr>
  </w:style>
  <w:style w:type="paragraph" w:customStyle="1" w:styleId="2094">
    <w:name w:val="样式 表头 + (中文) 黑体 非加粗 右 段前: 0.8 行 段后: 0.2 行"/>
    <w:basedOn w:val="1"/>
    <w:qFormat/>
    <w:uiPriority w:val="0"/>
    <w:pPr>
      <w:adjustRightInd w:val="0"/>
      <w:spacing w:beforeLines="80" w:afterLines="20" w:line="20" w:lineRule="atLeast"/>
      <w:jc w:val="center"/>
      <w:textAlignment w:val="baseline"/>
      <w:outlineLvl w:val="5"/>
    </w:pPr>
    <w:rPr>
      <w:rFonts w:ascii="Times New Roman" w:hAnsi="Times New Roman" w:eastAsia="黑体" w:cs="宋体"/>
      <w:snapToGrid w:val="0"/>
      <w:kern w:val="0"/>
      <w:szCs w:val="20"/>
    </w:rPr>
  </w:style>
  <w:style w:type="paragraph" w:customStyle="1" w:styleId="2095">
    <w:name w:val="样式 标题 1 + 段前: 0.5 行 段后: 0.5 行1"/>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096">
    <w:name w:val="样式 表名 + Arial 段前: 6 磅 行距: 固定值 18 磅"/>
    <w:basedOn w:val="1"/>
    <w:qFormat/>
    <w:uiPriority w:val="0"/>
    <w:pPr>
      <w:spacing w:line="360" w:lineRule="exact"/>
      <w:jc w:val="center"/>
    </w:pPr>
    <w:rPr>
      <w:rFonts w:ascii="Arial" w:hAnsi="Arial" w:eastAsia="黑体" w:cs="宋体"/>
      <w:szCs w:val="20"/>
    </w:rPr>
  </w:style>
  <w:style w:type="paragraph" w:customStyle="1" w:styleId="2097">
    <w:name w:val="样式 样式 首行缩进:  2 字符 + 首行缩进:  2 字符8"/>
    <w:basedOn w:val="448"/>
    <w:qFormat/>
    <w:uiPriority w:val="0"/>
    <w:pPr>
      <w:widowControl/>
      <w:adjustRightInd w:val="0"/>
      <w:snapToGrid w:val="0"/>
      <w:spacing w:line="520" w:lineRule="exact"/>
      <w:ind w:firstLine="200"/>
      <w:textAlignment w:val="baseline"/>
    </w:pPr>
    <w:rPr>
      <w:rFonts w:cs="宋体"/>
      <w:snapToGrid w:val="0"/>
      <w:color w:val="000000"/>
      <w:kern w:val="0"/>
      <w:sz w:val="28"/>
      <w:u w:color="000000"/>
    </w:rPr>
  </w:style>
  <w:style w:type="paragraph" w:customStyle="1" w:styleId="2098">
    <w:name w:val="封面其它文字"/>
    <w:basedOn w:val="1"/>
    <w:qFormat/>
    <w:uiPriority w:val="0"/>
    <w:pPr>
      <w:keepNext/>
      <w:keepLines/>
      <w:spacing w:line="360" w:lineRule="auto"/>
      <w:jc w:val="center"/>
      <w:outlineLvl w:val="0"/>
    </w:pPr>
    <w:rPr>
      <w:rFonts w:ascii="Times New Roman" w:hAnsi="Times New Roman" w:cs="Times New Roman"/>
      <w:sz w:val="36"/>
      <w:szCs w:val="20"/>
    </w:rPr>
  </w:style>
  <w:style w:type="paragraph" w:customStyle="1" w:styleId="2099">
    <w:name w:val="PP 行"/>
    <w:basedOn w:val="58"/>
    <w:qFormat/>
    <w:uiPriority w:val="0"/>
    <w:pPr>
      <w:adjustRightInd/>
      <w:spacing w:beforeLines="0" w:line="240" w:lineRule="auto"/>
      <w:ind w:firstLine="0" w:firstLineChars="0"/>
    </w:pPr>
    <w:rPr>
      <w:snapToGrid/>
      <w:kern w:val="2"/>
      <w:sz w:val="21"/>
    </w:rPr>
  </w:style>
  <w:style w:type="paragraph" w:customStyle="1" w:styleId="2100">
    <w:name w:val="样式 样式 样式 行距: 固定值 22 磅 + 首行缩进:  2 字符 + 首行缩进:  2 字符"/>
    <w:basedOn w:val="1"/>
    <w:qFormat/>
    <w:uiPriority w:val="0"/>
    <w:pPr>
      <w:spacing w:line="480" w:lineRule="exact"/>
      <w:ind w:firstLine="480" w:firstLineChars="200"/>
      <w:jc w:val="left"/>
    </w:pPr>
    <w:rPr>
      <w:rFonts w:ascii="Times New Roman" w:hAnsi="Times New Roman" w:eastAsia="华文中宋" w:cs="Times New Roman"/>
      <w:sz w:val="24"/>
      <w:szCs w:val="20"/>
    </w:rPr>
  </w:style>
  <w:style w:type="paragraph" w:customStyle="1" w:styleId="2101">
    <w:name w:val="样式 标题 4"/>
    <w:basedOn w:val="6"/>
    <w:qFormat/>
    <w:uiPriority w:val="0"/>
    <w:pPr>
      <w:tabs>
        <w:tab w:val="left" w:pos="0"/>
      </w:tabs>
      <w:ind w:left="864" w:hanging="144"/>
      <w:jc w:val="both"/>
    </w:pPr>
    <w:rPr>
      <w:rFonts w:ascii="Arial" w:hAnsi="Arial" w:cs="Times New Roman" w:eastAsiaTheme="minorEastAsia"/>
      <w:bCs w:val="0"/>
      <w:i/>
    </w:rPr>
  </w:style>
  <w:style w:type="paragraph" w:customStyle="1" w:styleId="2102">
    <w:name w:val="xl123"/>
    <w:basedOn w:val="1"/>
    <w:qFormat/>
    <w:uiPriority w:val="0"/>
    <w:pPr>
      <w:widowControl/>
      <w:pBdr>
        <w:top w:val="single" w:color="auto" w:sz="4" w:space="0"/>
        <w:left w:val="single" w:color="auto" w:sz="4" w:space="0"/>
        <w:bottom w:val="single" w:color="auto" w:sz="8" w:space="0"/>
        <w:right w:val="single" w:color="auto" w:sz="4" w:space="0"/>
      </w:pBdr>
      <w:spacing w:beforeAutospacing="1" w:after="100" w:afterAutospacing="1"/>
      <w:jc w:val="center"/>
    </w:pPr>
    <w:rPr>
      <w:rFonts w:ascii="Arial Unicode MS" w:hAnsi="Arial Unicode MS" w:cs="Times New Roman"/>
      <w:kern w:val="0"/>
      <w:sz w:val="20"/>
      <w:szCs w:val="20"/>
    </w:rPr>
  </w:style>
  <w:style w:type="paragraph" w:customStyle="1" w:styleId="2103">
    <w:name w:val="表名1"/>
    <w:basedOn w:val="1"/>
    <w:link w:val="3241"/>
    <w:qFormat/>
    <w:uiPriority w:val="0"/>
    <w:pPr>
      <w:spacing w:line="360" w:lineRule="auto"/>
      <w:jc w:val="left"/>
    </w:pPr>
    <w:rPr>
      <w:rFonts w:ascii="宋体" w:hAnsi="Times New Roman" w:eastAsia="黑体" w:cs="Times New Roman"/>
      <w:b/>
      <w:color w:val="000000"/>
      <w:szCs w:val="28"/>
    </w:rPr>
  </w:style>
  <w:style w:type="paragraph" w:customStyle="1" w:styleId="2104">
    <w:name w:val="样式 表文 Char Char Char + 首行缩进:  2 字符"/>
    <w:basedOn w:val="1848"/>
    <w:qFormat/>
    <w:uiPriority w:val="0"/>
    <w:rPr>
      <w:rFonts w:cs="宋体"/>
      <w:szCs w:val="20"/>
    </w:rPr>
  </w:style>
  <w:style w:type="paragraph" w:customStyle="1" w:styleId="2105">
    <w:name w:val="样式 标题 3"/>
    <w:basedOn w:val="5"/>
    <w:qFormat/>
    <w:uiPriority w:val="0"/>
    <w:pPr>
      <w:spacing w:beforeLines="10"/>
      <w:ind w:left="720" w:hanging="432"/>
    </w:pPr>
    <w:rPr>
      <w:rFonts w:cs="Times New Roman" w:eastAsiaTheme="minorEastAsia"/>
      <w:bCs w:val="0"/>
      <w:szCs w:val="26"/>
    </w:rPr>
  </w:style>
  <w:style w:type="paragraph" w:customStyle="1" w:styleId="2106">
    <w:name w:val="课题号"/>
    <w:basedOn w:val="1"/>
    <w:qFormat/>
    <w:uiPriority w:val="0"/>
    <w:pPr>
      <w:widowControl/>
      <w:tabs>
        <w:tab w:val="left" w:pos="-24"/>
      </w:tabs>
      <w:spacing w:line="480" w:lineRule="atLeast"/>
      <w:ind w:firstLine="436"/>
      <w:jc w:val="left"/>
      <w:textAlignment w:val="baseline"/>
    </w:pPr>
    <w:rPr>
      <w:rFonts w:ascii="宋体" w:hAnsi="宋体" w:cs="Times New Roman"/>
      <w:b/>
      <w:bCs/>
      <w:color w:val="000000"/>
      <w:kern w:val="0"/>
      <w:sz w:val="30"/>
      <w:szCs w:val="20"/>
      <w:u w:color="000000"/>
    </w:rPr>
  </w:style>
  <w:style w:type="paragraph" w:customStyle="1" w:styleId="2107">
    <w:name w:val="样式 标题 3 + 段前: 6 磅"/>
    <w:basedOn w:val="5"/>
    <w:qFormat/>
    <w:uiPriority w:val="0"/>
    <w:pPr>
      <w:spacing w:beforeLines="10"/>
      <w:ind w:left="720" w:hanging="432"/>
    </w:pPr>
    <w:rPr>
      <w:rFonts w:cs="Times New Roman" w:eastAsiaTheme="minorEastAsia"/>
      <w:bCs w:val="0"/>
      <w:szCs w:val="26"/>
    </w:rPr>
  </w:style>
  <w:style w:type="paragraph" w:customStyle="1" w:styleId="2108">
    <w:name w:val="正文 2"/>
    <w:basedOn w:val="1"/>
    <w:next w:val="76"/>
    <w:qFormat/>
    <w:uiPriority w:val="0"/>
    <w:pPr>
      <w:spacing w:line="312" w:lineRule="auto"/>
      <w:jc w:val="left"/>
    </w:pPr>
    <w:rPr>
      <w:rFonts w:ascii="Times New Roman" w:hAnsi="Times New Roman" w:cs="Times New Roman"/>
      <w:sz w:val="24"/>
      <w:szCs w:val="24"/>
    </w:rPr>
  </w:style>
  <w:style w:type="paragraph" w:customStyle="1" w:styleId="2109">
    <w:name w:val="font"/>
    <w:basedOn w:val="1"/>
    <w:qFormat/>
    <w:uiPriority w:val="0"/>
    <w:pPr>
      <w:widowControl/>
      <w:spacing w:beforeAutospacing="1" w:after="100" w:afterAutospacing="1" w:line="270" w:lineRule="atLeast"/>
      <w:jc w:val="left"/>
    </w:pPr>
    <w:rPr>
      <w:rFonts w:hint="eastAsia" w:ascii="宋体" w:hAnsi="宋体" w:cs="Times New Roman"/>
      <w:kern w:val="0"/>
      <w:sz w:val="24"/>
      <w:szCs w:val="20"/>
    </w:rPr>
  </w:style>
  <w:style w:type="paragraph" w:customStyle="1" w:styleId="2110">
    <w:name w:val="样式 表文 + 行距: 1.5 倍行距"/>
    <w:basedOn w:val="1024"/>
    <w:qFormat/>
    <w:uiPriority w:val="0"/>
    <w:pPr>
      <w:spacing w:beforeLines="0" w:afterLines="0" w:line="240" w:lineRule="exact"/>
      <w:textAlignment w:val="baseline"/>
    </w:pPr>
    <w:rPr>
      <w:rFonts w:ascii="Calibri" w:hAnsi="Calibri"/>
      <w:snapToGrid w:val="0"/>
      <w:spacing w:val="-4"/>
      <w:kern w:val="52"/>
      <w:sz w:val="18"/>
      <w:szCs w:val="18"/>
    </w:rPr>
  </w:style>
  <w:style w:type="paragraph" w:customStyle="1" w:styleId="2111">
    <w:name w:val="样式 表格 + 居中"/>
    <w:basedOn w:val="1"/>
    <w:qFormat/>
    <w:uiPriority w:val="0"/>
    <w:pPr>
      <w:pBdr>
        <w:top w:val="single" w:color="auto" w:sz="12" w:space="1"/>
        <w:left w:val="single" w:color="auto" w:sz="12" w:space="4"/>
        <w:bottom w:val="single" w:color="auto" w:sz="12" w:space="1"/>
        <w:right w:val="single" w:color="auto" w:sz="12" w:space="4"/>
        <w:between w:val="single" w:color="auto" w:sz="4" w:space="1"/>
      </w:pBdr>
      <w:autoSpaceDE w:val="0"/>
      <w:autoSpaceDN w:val="0"/>
      <w:adjustRightInd w:val="0"/>
      <w:spacing w:after="120" w:line="320" w:lineRule="exact"/>
      <w:jc w:val="center"/>
    </w:pPr>
    <w:rPr>
      <w:rFonts w:ascii="Calibri" w:hAnsi="Calibri" w:cs="宋体"/>
      <w:spacing w:val="10"/>
      <w:lang w:val="zh-CN"/>
    </w:rPr>
  </w:style>
  <w:style w:type="paragraph" w:customStyle="1" w:styleId="2112">
    <w:name w:val="样式 标题 3 + 四号 黑色"/>
    <w:basedOn w:val="5"/>
    <w:qFormat/>
    <w:uiPriority w:val="0"/>
    <w:pPr>
      <w:spacing w:beforeLines="10"/>
      <w:ind w:left="720" w:hanging="432"/>
    </w:pPr>
    <w:rPr>
      <w:rFonts w:cs="Times New Roman" w:eastAsiaTheme="minorEastAsia"/>
      <w:bCs w:val="0"/>
      <w:szCs w:val="26"/>
    </w:rPr>
  </w:style>
  <w:style w:type="paragraph" w:customStyle="1" w:styleId="2113">
    <w:name w:val="普通(Web)1"/>
    <w:basedOn w:val="1"/>
    <w:qFormat/>
    <w:uiPriority w:val="0"/>
    <w:pPr>
      <w:widowControl/>
      <w:spacing w:after="90"/>
      <w:ind w:firstLine="420"/>
      <w:jc w:val="left"/>
    </w:pPr>
    <w:rPr>
      <w:rFonts w:ascii="宋体" w:hAnsi="宋体" w:cs="宋体"/>
      <w:kern w:val="0"/>
      <w:sz w:val="24"/>
      <w:szCs w:val="24"/>
    </w:rPr>
  </w:style>
  <w:style w:type="paragraph" w:customStyle="1" w:styleId="2114">
    <w:name w:val="标题1.1.1"/>
    <w:basedOn w:val="5"/>
    <w:qFormat/>
    <w:uiPriority w:val="0"/>
    <w:pPr>
      <w:spacing w:beforeLines="10"/>
      <w:ind w:left="720" w:hanging="432"/>
    </w:pPr>
    <w:rPr>
      <w:rFonts w:cs="Times New Roman" w:eastAsiaTheme="minorEastAsia"/>
      <w:bCs w:val="0"/>
      <w:szCs w:val="26"/>
    </w:rPr>
  </w:style>
  <w:style w:type="paragraph" w:customStyle="1" w:styleId="2115">
    <w:name w:val="样式 样式 样式4 + 黑色 + 自动设置"/>
    <w:basedOn w:val="2067"/>
    <w:qFormat/>
    <w:uiPriority w:val="0"/>
    <w:rPr>
      <w:color w:val="auto"/>
    </w:rPr>
  </w:style>
  <w:style w:type="paragraph" w:customStyle="1" w:styleId="2116">
    <w:name w:val="待定正文"/>
    <w:basedOn w:val="1"/>
    <w:qFormat/>
    <w:uiPriority w:val="0"/>
    <w:pPr>
      <w:spacing w:line="360" w:lineRule="auto"/>
      <w:ind w:firstLine="480" w:firstLineChars="200"/>
      <w:jc w:val="left"/>
    </w:pPr>
    <w:rPr>
      <w:rFonts w:ascii="宋体" w:hAnsi="宋体" w:cs="Times New Roman"/>
      <w:snapToGrid w:val="0"/>
      <w:color w:val="FF0000"/>
      <w:kern w:val="0"/>
      <w:sz w:val="24"/>
      <w:szCs w:val="24"/>
    </w:rPr>
  </w:style>
  <w:style w:type="paragraph" w:customStyle="1" w:styleId="2117">
    <w:name w:val="bg"/>
    <w:basedOn w:val="1"/>
    <w:qFormat/>
    <w:uiPriority w:val="0"/>
    <w:pPr>
      <w:adjustRightInd w:val="0"/>
      <w:jc w:val="center"/>
    </w:pPr>
    <w:rPr>
      <w:rFonts w:ascii="Times New Roman" w:hAnsi="Times New Roman" w:cs="宋体"/>
    </w:rPr>
  </w:style>
  <w:style w:type="paragraph" w:customStyle="1" w:styleId="2118">
    <w:name w:val="表名 Char1"/>
    <w:basedOn w:val="1"/>
    <w:qFormat/>
    <w:uiPriority w:val="0"/>
    <w:pPr>
      <w:overflowPunct w:val="0"/>
      <w:spacing w:beforeAutospacing="1"/>
      <w:jc w:val="center"/>
      <w:textAlignment w:val="baseline"/>
    </w:pPr>
    <w:rPr>
      <w:rFonts w:ascii="Arial" w:hAnsi="Arial" w:eastAsia="黑体" w:cs="Times New Roman"/>
      <w:szCs w:val="20"/>
    </w:rPr>
  </w:style>
  <w:style w:type="paragraph" w:customStyle="1" w:styleId="2119">
    <w:name w:val="样式 标题 1 + 段前: 7.8 磅 段后: 7.8 磅"/>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120">
    <w:name w:val="xl164"/>
    <w:basedOn w:val="1"/>
    <w:qFormat/>
    <w:uiPriority w:val="0"/>
    <w:pPr>
      <w:widowControl/>
      <w:pBdr>
        <w:top w:val="single" w:color="auto" w:sz="8" w:space="0"/>
        <w:left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121">
    <w:name w:val="Char2 Char Char Char Char Char Char1 Char Char Char Char Char Char"/>
    <w:basedOn w:val="1"/>
    <w:qFormat/>
    <w:uiPriority w:val="0"/>
    <w:pPr>
      <w:spacing w:beforeLines="100" w:afterLines="50" w:line="360" w:lineRule="auto"/>
      <w:jc w:val="left"/>
    </w:pPr>
    <w:rPr>
      <w:rFonts w:ascii="宋体" w:hAnsi="宋体" w:eastAsia="黑体" w:cs="宋体"/>
      <w:sz w:val="28"/>
      <w:szCs w:val="24"/>
    </w:rPr>
  </w:style>
  <w:style w:type="paragraph" w:customStyle="1" w:styleId="2122">
    <w:name w:val="样式 标题 4 + 首行缩进:  0 字符"/>
    <w:basedOn w:val="6"/>
    <w:qFormat/>
    <w:uiPriority w:val="0"/>
    <w:pPr>
      <w:tabs>
        <w:tab w:val="left" w:pos="0"/>
      </w:tabs>
      <w:ind w:left="864" w:hanging="144"/>
      <w:jc w:val="both"/>
    </w:pPr>
    <w:rPr>
      <w:rFonts w:ascii="Arial" w:hAnsi="Arial" w:cs="Times New Roman" w:eastAsiaTheme="minorEastAsia"/>
      <w:bCs w:val="0"/>
      <w:i/>
    </w:rPr>
  </w:style>
  <w:style w:type="paragraph" w:customStyle="1" w:styleId="2123">
    <w:name w:val="Char Char Char Char5"/>
    <w:basedOn w:val="1"/>
    <w:qFormat/>
    <w:uiPriority w:val="0"/>
    <w:pPr>
      <w:spacing w:line="360" w:lineRule="auto"/>
      <w:ind w:firstLine="200" w:firstLineChars="200"/>
      <w:jc w:val="left"/>
      <w:textAlignment w:val="baseline"/>
    </w:pPr>
    <w:rPr>
      <w:rFonts w:hint="eastAsia" w:ascii="宋体" w:hAnsi="宋体" w:cs="Times New Roman"/>
      <w:kern w:val="0"/>
      <w:sz w:val="24"/>
      <w:szCs w:val="20"/>
    </w:rPr>
  </w:style>
  <w:style w:type="paragraph" w:customStyle="1" w:styleId="2124">
    <w:name w:val="样式 标题 1 + 非加粗 段前: 6 磅 段后: 6 磅"/>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125">
    <w:name w:val="下划线"/>
    <w:basedOn w:val="1"/>
    <w:next w:val="1"/>
    <w:qFormat/>
    <w:uiPriority w:val="0"/>
    <w:pPr>
      <w:spacing w:afterLines="20" w:line="400" w:lineRule="exact"/>
      <w:ind w:firstLine="480" w:firstLineChars="200"/>
      <w:jc w:val="left"/>
    </w:pPr>
    <w:rPr>
      <w:rFonts w:ascii="Times New Roman" w:hAnsi="Times New Roman" w:cs="Times New Roman"/>
      <w:kern w:val="0"/>
      <w:sz w:val="24"/>
      <w:szCs w:val="24"/>
      <w:lang w:val="zh-CN"/>
    </w:rPr>
  </w:style>
  <w:style w:type="paragraph" w:customStyle="1" w:styleId="2126">
    <w:name w:val="表文 Char Char Char Char Char2"/>
    <w:basedOn w:val="1"/>
    <w:qFormat/>
    <w:uiPriority w:val="0"/>
    <w:pPr>
      <w:overflowPunct w:val="0"/>
      <w:jc w:val="center"/>
      <w:textAlignment w:val="baseline"/>
    </w:pPr>
    <w:rPr>
      <w:rFonts w:ascii="Times New Roman" w:hAnsi="Times New Roman" w:cs="Times New Roman"/>
      <w:sz w:val="18"/>
      <w:szCs w:val="18"/>
    </w:rPr>
  </w:style>
  <w:style w:type="paragraph" w:customStyle="1" w:styleId="2127">
    <w:name w:val="表名，四宋"/>
    <w:next w:val="1"/>
    <w:qFormat/>
    <w:uiPriority w:val="0"/>
    <w:pPr>
      <w:keepNext/>
      <w:widowControl w:val="0"/>
      <w:spacing w:before="120" w:after="120" w:line="460" w:lineRule="exact"/>
      <w:jc w:val="center"/>
    </w:pPr>
    <w:rPr>
      <w:rFonts w:ascii="Times New Roman" w:hAnsi="Times New Roman" w:eastAsia="宋体" w:cs="Times New Roman"/>
      <w:sz w:val="28"/>
      <w:lang w:val="en-US" w:eastAsia="zh-CN" w:bidi="ar-SA"/>
    </w:rPr>
  </w:style>
  <w:style w:type="paragraph" w:customStyle="1" w:styleId="2128">
    <w:name w:val="二章正文 Char Char Char"/>
    <w:basedOn w:val="1"/>
    <w:qFormat/>
    <w:uiPriority w:val="0"/>
    <w:pPr>
      <w:spacing w:line="480" w:lineRule="auto"/>
      <w:jc w:val="left"/>
    </w:pPr>
    <w:rPr>
      <w:rFonts w:ascii="宋体" w:hAnsi="宋体" w:cs="Times New Roman"/>
      <w:snapToGrid w:val="0"/>
      <w:kern w:val="0"/>
      <w:szCs w:val="24"/>
    </w:rPr>
  </w:style>
  <w:style w:type="paragraph" w:customStyle="1" w:styleId="2129">
    <w:name w:val="正文王"/>
    <w:basedOn w:val="169"/>
    <w:qFormat/>
    <w:uiPriority w:val="0"/>
    <w:pPr>
      <w:adjustRightInd/>
      <w:spacing w:beforeLines="10" w:line="240" w:lineRule="auto"/>
      <w:ind w:firstLine="200"/>
    </w:pPr>
    <w:rPr>
      <w:rFonts w:eastAsiaTheme="minorEastAsia"/>
      <w:snapToGrid w:val="0"/>
      <w:kern w:val="0"/>
      <w:sz w:val="28"/>
      <w:szCs w:val="20"/>
    </w:rPr>
  </w:style>
  <w:style w:type="paragraph" w:customStyle="1" w:styleId="2130">
    <w:name w:val="正文22磅"/>
    <w:basedOn w:val="1"/>
    <w:qFormat/>
    <w:uiPriority w:val="0"/>
    <w:pPr>
      <w:spacing w:line="420" w:lineRule="exact"/>
      <w:ind w:firstLine="480" w:firstLineChars="200"/>
      <w:jc w:val="left"/>
    </w:pPr>
    <w:rPr>
      <w:rFonts w:ascii="Times New Roman" w:hAnsi="Times New Roman" w:cs="Times New Roman"/>
      <w:sz w:val="24"/>
      <w:szCs w:val="24"/>
    </w:rPr>
  </w:style>
  <w:style w:type="paragraph" w:customStyle="1" w:styleId="2131">
    <w:name w:val="样式 标题 3 + 段前: 12 磅"/>
    <w:basedOn w:val="5"/>
    <w:qFormat/>
    <w:uiPriority w:val="0"/>
    <w:pPr>
      <w:spacing w:beforeLines="10"/>
      <w:ind w:left="720" w:hanging="432"/>
    </w:pPr>
    <w:rPr>
      <w:rFonts w:cs="Times New Roman" w:eastAsiaTheme="minorEastAsia"/>
      <w:bCs w:val="0"/>
      <w:szCs w:val="26"/>
    </w:rPr>
  </w:style>
  <w:style w:type="paragraph" w:customStyle="1" w:styleId="2132">
    <w:name w:val="Char Char1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133">
    <w:name w:val="jiange1"/>
    <w:basedOn w:val="1"/>
    <w:qFormat/>
    <w:uiPriority w:val="0"/>
    <w:pPr>
      <w:widowControl/>
      <w:spacing w:beforeAutospacing="1" w:after="100" w:afterAutospacing="1"/>
      <w:jc w:val="left"/>
    </w:pPr>
    <w:rPr>
      <w:rFonts w:ascii="Arial Unicode MS" w:hAnsi="Arial Unicode MS" w:eastAsia="Arial Unicode MS" w:cs="Times New Roman"/>
      <w:kern w:val="0"/>
      <w:sz w:val="24"/>
      <w:szCs w:val="20"/>
    </w:rPr>
  </w:style>
  <w:style w:type="paragraph" w:customStyle="1" w:styleId="2134">
    <w:name w:val="xl141"/>
    <w:basedOn w:val="1"/>
    <w:qFormat/>
    <w:uiPriority w:val="0"/>
    <w:pPr>
      <w:widowControl/>
      <w:pBdr>
        <w:top w:val="single" w:color="auto" w:sz="8"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135">
    <w:name w:val="表格文字(中)"/>
    <w:basedOn w:val="1828"/>
    <w:qFormat/>
    <w:uiPriority w:val="0"/>
    <w:pPr>
      <w:adjustRightInd w:val="0"/>
      <w:ind w:right="0"/>
      <w:jc w:val="center"/>
    </w:pPr>
  </w:style>
  <w:style w:type="paragraph" w:customStyle="1" w:styleId="2136">
    <w:name w:val="Char Char Char Char Char Char Char Char Char2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137">
    <w:name w:val="样式 标题 3小节名小节标题 33标题 13条标题1.1.1(F4)标题 3 Char Char Char标题 ...3"/>
    <w:basedOn w:val="5"/>
    <w:qFormat/>
    <w:uiPriority w:val="0"/>
    <w:pPr>
      <w:spacing w:beforeLines="10"/>
      <w:ind w:left="720" w:hanging="432"/>
    </w:pPr>
    <w:rPr>
      <w:rFonts w:cs="Times New Roman" w:eastAsiaTheme="minorEastAsia"/>
      <w:bCs w:val="0"/>
      <w:szCs w:val="26"/>
    </w:rPr>
  </w:style>
  <w:style w:type="paragraph" w:customStyle="1" w:styleId="2138">
    <w:name w:val="五号表格"/>
    <w:basedOn w:val="1"/>
    <w:qFormat/>
    <w:uiPriority w:val="0"/>
    <w:pPr>
      <w:spacing w:line="240" w:lineRule="atLeast"/>
      <w:jc w:val="center"/>
    </w:pPr>
    <w:rPr>
      <w:rFonts w:ascii="Times New Roman" w:hAnsi="Times New Roman" w:cs="Times New Roman"/>
      <w:szCs w:val="24"/>
    </w:rPr>
  </w:style>
  <w:style w:type="paragraph" w:customStyle="1" w:styleId="2139">
    <w:name w:val="样式 样式5 + 黑色"/>
    <w:basedOn w:val="1"/>
    <w:qFormat/>
    <w:uiPriority w:val="0"/>
    <w:pPr>
      <w:ind w:firstLine="420" w:firstLineChars="200"/>
      <w:jc w:val="left"/>
    </w:pPr>
    <w:rPr>
      <w:rFonts w:ascii="Times New Roman" w:hAnsi="Times New Roman" w:eastAsia="华文中宋" w:cs="Times New Roman"/>
      <w:color w:val="000000"/>
    </w:rPr>
  </w:style>
  <w:style w:type="paragraph" w:customStyle="1" w:styleId="2140">
    <w:name w:val="样式 首行缩进:  0 字符"/>
    <w:basedOn w:val="1"/>
    <w:qFormat/>
    <w:uiPriority w:val="0"/>
    <w:pPr>
      <w:adjustRightInd w:val="0"/>
      <w:spacing w:line="400" w:lineRule="exact"/>
      <w:ind w:firstLine="397"/>
      <w:jc w:val="left"/>
    </w:pPr>
    <w:rPr>
      <w:rFonts w:ascii="Times New Roman" w:hAnsi="Times New Roman" w:cs="Times New Roman"/>
      <w:snapToGrid w:val="0"/>
      <w:kern w:val="0"/>
      <w:sz w:val="24"/>
      <w:szCs w:val="20"/>
    </w:rPr>
  </w:style>
  <w:style w:type="paragraph" w:customStyle="1" w:styleId="2141">
    <w:name w:val="xl133"/>
    <w:basedOn w:val="1"/>
    <w:qFormat/>
    <w:uiPriority w:val="0"/>
    <w:pPr>
      <w:widowControl/>
      <w:pBdr>
        <w:top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142">
    <w:name w:val="辅助"/>
    <w:basedOn w:val="1"/>
    <w:qFormat/>
    <w:uiPriority w:val="0"/>
    <w:pPr>
      <w:spacing w:line="480" w:lineRule="atLeast"/>
      <w:ind w:firstLine="480" w:firstLineChars="200"/>
      <w:jc w:val="left"/>
    </w:pPr>
    <w:rPr>
      <w:rFonts w:ascii="宋体" w:hAnsi="宋体" w:eastAsia="楷体_GB2312" w:cs="Times New Roman"/>
      <w:i/>
      <w:vanish/>
      <w:color w:val="808080"/>
      <w:kern w:val="0"/>
      <w:sz w:val="18"/>
      <w:szCs w:val="24"/>
    </w:rPr>
  </w:style>
  <w:style w:type="paragraph" w:customStyle="1" w:styleId="2143">
    <w:name w:val="样式 标题3 + (中文) 黑体 段前: 0.5 行 段后: 0.5 行 行距: 1.5 倍行距"/>
    <w:basedOn w:val="1"/>
    <w:qFormat/>
    <w:uiPriority w:val="0"/>
    <w:pPr>
      <w:overflowPunct w:val="0"/>
      <w:topLinePunct/>
      <w:spacing w:line="360" w:lineRule="auto"/>
      <w:jc w:val="left"/>
      <w:outlineLvl w:val="2"/>
    </w:pPr>
    <w:rPr>
      <w:rFonts w:ascii="Times New Roman" w:hAnsi="Times New Roman" w:eastAsia="黑体" w:cs="Times New Roman"/>
      <w:b/>
      <w:bCs/>
      <w:kern w:val="10"/>
      <w:sz w:val="28"/>
      <w:szCs w:val="28"/>
    </w:rPr>
  </w:style>
  <w:style w:type="paragraph" w:customStyle="1" w:styleId="2144">
    <w:name w:val="发文标题"/>
    <w:basedOn w:val="35"/>
    <w:qFormat/>
    <w:uiPriority w:val="0"/>
    <w:pPr>
      <w:snapToGrid w:val="0"/>
      <w:spacing w:beforeLines="10" w:after="0" w:line="240" w:lineRule="atLeast"/>
      <w:ind w:left="0" w:leftChars="0" w:firstLine="0" w:firstLineChars="0"/>
      <w:jc w:val="center"/>
    </w:pPr>
    <w:rPr>
      <w:rFonts w:ascii="Calibri" w:hAnsi="Calibri" w:eastAsia="方正小标宋简体"/>
      <w:snapToGrid w:val="0"/>
      <w:kern w:val="0"/>
      <w:sz w:val="44"/>
      <w:szCs w:val="20"/>
    </w:rPr>
  </w:style>
  <w:style w:type="paragraph" w:customStyle="1" w:styleId="2145">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100" w:afterAutospacing="1"/>
      <w:jc w:val="left"/>
      <w:textAlignment w:val="center"/>
    </w:pPr>
    <w:rPr>
      <w:rFonts w:ascii="宋体" w:hAnsi="宋体" w:cs="宋体"/>
      <w:kern w:val="0"/>
      <w:sz w:val="24"/>
      <w:szCs w:val="24"/>
    </w:rPr>
  </w:style>
  <w:style w:type="paragraph" w:customStyle="1" w:styleId="2146">
    <w:name w:val="样式 正文 +"/>
    <w:basedOn w:val="1"/>
    <w:qFormat/>
    <w:uiPriority w:val="0"/>
    <w:pPr>
      <w:spacing w:line="360" w:lineRule="auto"/>
      <w:ind w:firstLine="200" w:firstLineChars="200"/>
      <w:jc w:val="left"/>
    </w:pPr>
    <w:rPr>
      <w:rFonts w:ascii="Times New Roman" w:hAnsi="Times New Roman" w:cs="Times New Roman"/>
      <w:sz w:val="24"/>
      <w:szCs w:val="24"/>
    </w:rPr>
  </w:style>
  <w:style w:type="paragraph" w:customStyle="1" w:styleId="2147">
    <w:name w:val="报告书正文 Char Char Char1"/>
    <w:basedOn w:val="1"/>
    <w:qFormat/>
    <w:uiPriority w:val="0"/>
    <w:pPr>
      <w:spacing w:line="300" w:lineRule="auto"/>
      <w:ind w:firstLine="480" w:firstLineChars="200"/>
      <w:jc w:val="left"/>
      <w:textAlignment w:val="baseline"/>
    </w:pPr>
    <w:rPr>
      <w:rFonts w:hint="eastAsia" w:ascii="宋体" w:hAnsi="Times New Roman" w:cs="Times New Roman"/>
      <w:color w:val="000000"/>
      <w:kern w:val="0"/>
      <w:sz w:val="24"/>
      <w:szCs w:val="20"/>
    </w:rPr>
  </w:style>
  <w:style w:type="paragraph" w:customStyle="1" w:styleId="2148">
    <w:name w:val="Char Char Char Char Char Char Char1"/>
    <w:basedOn w:val="1"/>
    <w:qFormat/>
    <w:uiPriority w:val="0"/>
    <w:pPr>
      <w:adjustRightInd w:val="0"/>
      <w:spacing w:line="360" w:lineRule="auto"/>
      <w:ind w:firstLine="200" w:firstLineChars="200"/>
      <w:jc w:val="left"/>
    </w:pPr>
    <w:rPr>
      <w:rFonts w:ascii="仿宋_GB2312" w:hAnsi="仿宋_GB2312" w:eastAsia="仿宋_GB2312" w:cs="宋体"/>
      <w:sz w:val="24"/>
      <w:szCs w:val="24"/>
    </w:rPr>
  </w:style>
  <w:style w:type="paragraph" w:customStyle="1" w:styleId="2149">
    <w:name w:val="样式 表号 + 行距: 1.5 倍行距"/>
    <w:basedOn w:val="975"/>
    <w:qFormat/>
    <w:uiPriority w:val="0"/>
    <w:pPr>
      <w:widowControl w:val="0"/>
      <w:autoSpaceDE w:val="0"/>
      <w:autoSpaceDN w:val="0"/>
      <w:adjustRightInd/>
      <w:snapToGrid/>
      <w:spacing w:line="360" w:lineRule="auto"/>
      <w:ind w:firstLine="260" w:firstLineChars="103"/>
      <w:textAlignment w:val="baseline"/>
      <w:outlineLvl w:val="9"/>
    </w:pPr>
    <w:rPr>
      <w:rFonts w:ascii="宋体" w:hAnsi="宋体"/>
      <w:color w:val="000000"/>
      <w:spacing w:val="6"/>
    </w:rPr>
  </w:style>
  <w:style w:type="paragraph" w:customStyle="1" w:styleId="2150">
    <w:name w:val="表格文字左对齐"/>
    <w:basedOn w:val="1"/>
    <w:next w:val="1"/>
    <w:qFormat/>
    <w:uiPriority w:val="0"/>
    <w:pPr>
      <w:adjustRightInd w:val="0"/>
      <w:jc w:val="left"/>
    </w:pPr>
    <w:rPr>
      <w:rFonts w:ascii="宋体" w:hAnsi="Arial" w:cs="Times New Roman"/>
      <w:spacing w:val="-2"/>
      <w:szCs w:val="20"/>
    </w:rPr>
  </w:style>
  <w:style w:type="paragraph" w:customStyle="1" w:styleId="2151">
    <w:name w:val="样式 样式 样式 样式 首行缩进:  2 字符 + 首行缩进:  2 字符5 + 首行缩进:  2 字符 + 首行缩进:  2 ..."/>
    <w:basedOn w:val="2037"/>
    <w:qFormat/>
    <w:uiPriority w:val="0"/>
    <w:pPr>
      <w:spacing w:line="540" w:lineRule="exact"/>
    </w:pPr>
  </w:style>
  <w:style w:type="paragraph" w:customStyle="1" w:styleId="2152">
    <w:name w:val="s18qcsl240slmult0nowidct"/>
    <w:qFormat/>
    <w:uiPriority w:val="0"/>
    <w:pPr>
      <w:widowControl w:val="0"/>
      <w:adjustRightInd w:val="0"/>
      <w:textAlignment w:val="baseline"/>
    </w:pPr>
    <w:rPr>
      <w:rFonts w:ascii="宋体" w:hAnsi="Times New Roman" w:eastAsia="宋体" w:cs="Times New Roman"/>
      <w:lang w:val="en-US" w:eastAsia="zh-CN" w:bidi="ar-SA"/>
    </w:rPr>
  </w:style>
  <w:style w:type="paragraph" w:customStyle="1" w:styleId="2153">
    <w:name w:val="xl124"/>
    <w:basedOn w:val="1"/>
    <w:qFormat/>
    <w:uiPriority w:val="0"/>
    <w:pPr>
      <w:widowControl/>
      <w:pBdr>
        <w:top w:val="single" w:color="auto" w:sz="4" w:space="0"/>
        <w:bottom w:val="single" w:color="auto" w:sz="8" w:space="0"/>
      </w:pBdr>
      <w:spacing w:beforeAutospacing="1" w:after="100" w:afterAutospacing="1"/>
      <w:jc w:val="left"/>
    </w:pPr>
    <w:rPr>
      <w:rFonts w:ascii="Arial Unicode MS" w:hAnsi="Arial Unicode MS" w:cs="Times New Roman"/>
      <w:kern w:val="0"/>
      <w:sz w:val="20"/>
      <w:szCs w:val="20"/>
    </w:rPr>
  </w:style>
  <w:style w:type="paragraph" w:customStyle="1" w:styleId="2154">
    <w:name w:val="表格文字大"/>
    <w:basedOn w:val="1"/>
    <w:qFormat/>
    <w:uiPriority w:val="0"/>
    <w:pPr>
      <w:jc w:val="center"/>
    </w:pPr>
    <w:rPr>
      <w:rFonts w:ascii="Times New Roman" w:hAnsi="Times New Roman" w:cs="Times New Roman"/>
      <w:sz w:val="28"/>
      <w:szCs w:val="24"/>
    </w:rPr>
  </w:style>
  <w:style w:type="paragraph" w:customStyle="1" w:styleId="2155">
    <w:name w:val="表文 Char Char Char Char Char1"/>
    <w:basedOn w:val="1"/>
    <w:qFormat/>
    <w:uiPriority w:val="0"/>
    <w:pPr>
      <w:overflowPunct w:val="0"/>
      <w:jc w:val="center"/>
      <w:textAlignment w:val="baseline"/>
    </w:pPr>
    <w:rPr>
      <w:rFonts w:ascii="Times New Roman" w:hAnsi="Times New Roman" w:cs="Times New Roman"/>
      <w:sz w:val="18"/>
      <w:szCs w:val="18"/>
    </w:rPr>
  </w:style>
  <w:style w:type="paragraph" w:customStyle="1" w:styleId="2156">
    <w:name w:val="样式 标题 3 + 段前: 1 行"/>
    <w:basedOn w:val="5"/>
    <w:qFormat/>
    <w:uiPriority w:val="0"/>
    <w:pPr>
      <w:spacing w:beforeLines="10"/>
      <w:ind w:left="720" w:hanging="432"/>
    </w:pPr>
    <w:rPr>
      <w:rFonts w:cs="Times New Roman" w:eastAsiaTheme="minorEastAsia"/>
      <w:bCs w:val="0"/>
      <w:szCs w:val="26"/>
    </w:rPr>
  </w:style>
  <w:style w:type="paragraph" w:customStyle="1" w:styleId="2157">
    <w:name w:val="xl166"/>
    <w:basedOn w:val="1"/>
    <w:qFormat/>
    <w:uiPriority w:val="0"/>
    <w:pPr>
      <w:widowControl/>
      <w:pBdr>
        <w:top w:val="single" w:color="auto" w:sz="8" w:space="0"/>
        <w:left w:val="single" w:color="auto" w:sz="4" w:space="0"/>
        <w:right w:val="single" w:color="auto" w:sz="8"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158">
    <w:name w:val="表名 Char1 Char Char"/>
    <w:basedOn w:val="1"/>
    <w:qFormat/>
    <w:uiPriority w:val="0"/>
    <w:pPr>
      <w:overflowPunct w:val="0"/>
      <w:spacing w:beforeAutospacing="1"/>
      <w:jc w:val="center"/>
      <w:textAlignment w:val="baseline"/>
    </w:pPr>
    <w:rPr>
      <w:rFonts w:ascii="Arial" w:hAnsi="Arial" w:eastAsia="黑体" w:cs="Times New Roman"/>
      <w:szCs w:val="24"/>
    </w:rPr>
  </w:style>
  <w:style w:type="paragraph" w:customStyle="1" w:styleId="2159">
    <w:name w:val="Char Char Char Char Char Char Char Char Char2 Char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160">
    <w:name w:val="z-窗体顶端1"/>
    <w:basedOn w:val="1"/>
    <w:next w:val="1"/>
    <w:link w:val="2161"/>
    <w:qFormat/>
    <w:uiPriority w:val="0"/>
    <w:pPr>
      <w:widowControl/>
      <w:pBdr>
        <w:bottom w:val="single" w:color="auto" w:sz="6" w:space="1"/>
      </w:pBdr>
      <w:jc w:val="center"/>
    </w:pPr>
    <w:rPr>
      <w:rFonts w:ascii="Arial" w:hAnsi="Arial" w:cs="Times New Roman"/>
      <w:vanish/>
      <w:kern w:val="0"/>
      <w:sz w:val="16"/>
      <w:szCs w:val="16"/>
    </w:rPr>
  </w:style>
  <w:style w:type="character" w:customStyle="1" w:styleId="2161">
    <w:name w:val="z-窗体顶端 Char"/>
    <w:basedOn w:val="132"/>
    <w:link w:val="2160"/>
    <w:qFormat/>
    <w:uiPriority w:val="0"/>
    <w:rPr>
      <w:rFonts w:ascii="Arial" w:hAnsi="Arial" w:cs="Times New Roman"/>
      <w:vanish/>
      <w:kern w:val="0"/>
      <w:sz w:val="16"/>
      <w:szCs w:val="16"/>
    </w:rPr>
  </w:style>
  <w:style w:type="paragraph" w:customStyle="1" w:styleId="2162">
    <w:name w:val="Char Char8 Char"/>
    <w:basedOn w:val="1"/>
    <w:qFormat/>
    <w:uiPriority w:val="0"/>
    <w:pPr>
      <w:spacing w:line="360" w:lineRule="auto"/>
      <w:ind w:firstLine="200" w:firstLineChars="200"/>
      <w:jc w:val="left"/>
    </w:pPr>
    <w:rPr>
      <w:rFonts w:ascii="宋体" w:hAnsi="宋体" w:cs="宋体"/>
      <w:sz w:val="24"/>
      <w:szCs w:val="24"/>
    </w:rPr>
  </w:style>
  <w:style w:type="paragraph" w:customStyle="1" w:styleId="2163">
    <w:name w:val="样式 标题 1篇宋二 + 段前: 2 行"/>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164">
    <w:name w:val="报告书正文2"/>
    <w:basedOn w:val="1"/>
    <w:qFormat/>
    <w:uiPriority w:val="0"/>
    <w:pPr>
      <w:wordWrap w:val="0"/>
      <w:topLinePunct/>
      <w:spacing w:line="480" w:lineRule="exact"/>
      <w:ind w:firstLine="480" w:firstLineChars="200"/>
      <w:jc w:val="left"/>
    </w:pPr>
    <w:rPr>
      <w:rFonts w:ascii="宋体" w:hAnsi="宋体" w:eastAsia="Times New Roman" w:cs="宋体"/>
      <w:color w:val="000000"/>
      <w:sz w:val="24"/>
      <w:szCs w:val="24"/>
    </w:rPr>
  </w:style>
  <w:style w:type="paragraph" w:customStyle="1" w:styleId="2165">
    <w:name w:val="样式 小四 黑色 行距: 单倍行距"/>
    <w:basedOn w:val="1"/>
    <w:qFormat/>
    <w:uiPriority w:val="0"/>
    <w:pPr>
      <w:adjustRightInd w:val="0"/>
      <w:jc w:val="left"/>
    </w:pPr>
    <w:rPr>
      <w:rFonts w:ascii="Times New Roman" w:hAnsi="Times New Roman" w:cs="Times New Roman"/>
      <w:snapToGrid w:val="0"/>
      <w:color w:val="000000"/>
      <w:kern w:val="0"/>
      <w:sz w:val="24"/>
      <w:szCs w:val="24"/>
    </w:rPr>
  </w:style>
  <w:style w:type="paragraph" w:customStyle="1" w:styleId="2166">
    <w:name w:val="一般正文"/>
    <w:basedOn w:val="1"/>
    <w:qFormat/>
    <w:uiPriority w:val="0"/>
    <w:pPr>
      <w:adjustRightInd w:val="0"/>
      <w:spacing w:line="500" w:lineRule="exact"/>
      <w:ind w:firstLine="200" w:firstLineChars="200"/>
      <w:jc w:val="left"/>
    </w:pPr>
    <w:rPr>
      <w:rFonts w:ascii="Times New Roman" w:hAnsi="Times New Roman" w:cs="Times New Roman"/>
      <w:sz w:val="28"/>
      <w:szCs w:val="24"/>
    </w:rPr>
  </w:style>
  <w:style w:type="paragraph" w:customStyle="1" w:styleId="2167">
    <w:name w:val="Char3 Char Char Char Char"/>
    <w:basedOn w:val="1"/>
    <w:qFormat/>
    <w:uiPriority w:val="0"/>
    <w:pPr>
      <w:spacing w:line="480" w:lineRule="atLeast"/>
      <w:ind w:firstLine="420" w:firstLineChars="200"/>
      <w:jc w:val="left"/>
      <w:outlineLvl w:val="3"/>
    </w:pPr>
    <w:rPr>
      <w:rFonts w:ascii="宋体" w:hAnsi="宋体" w:cs="宋体"/>
      <w:sz w:val="24"/>
      <w:szCs w:val="24"/>
    </w:rPr>
  </w:style>
  <w:style w:type="paragraph" w:customStyle="1" w:styleId="2168">
    <w:name w:val="正文，四宋"/>
    <w:basedOn w:val="1"/>
    <w:link w:val="3244"/>
    <w:qFormat/>
    <w:uiPriority w:val="0"/>
    <w:pPr>
      <w:keepNext/>
      <w:spacing w:line="480" w:lineRule="atLeast"/>
      <w:ind w:firstLine="567"/>
      <w:jc w:val="left"/>
      <w:outlineLvl w:val="4"/>
    </w:pPr>
    <w:rPr>
      <w:rFonts w:ascii="Times New Roman" w:hAnsi="Times New Roman" w:cs="Times New Roman"/>
      <w:sz w:val="28"/>
      <w:szCs w:val="20"/>
    </w:rPr>
  </w:style>
  <w:style w:type="paragraph" w:customStyle="1" w:styleId="2169">
    <w:name w:val="样式 标题 1 + 段前: 0.5 行 段后: 0.5 行2"/>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170">
    <w:name w:val="附注，五宋"/>
    <w:qFormat/>
    <w:uiPriority w:val="0"/>
    <w:pPr>
      <w:keepNext/>
      <w:widowControl w:val="0"/>
      <w:adjustRightInd w:val="0"/>
      <w:spacing w:line="360" w:lineRule="exact"/>
      <w:ind w:firstLine="425"/>
      <w:jc w:val="both"/>
    </w:pPr>
    <w:rPr>
      <w:rFonts w:ascii="Times New Roman" w:hAnsi="Times New Roman" w:eastAsia="宋体" w:cs="Times New Roman"/>
      <w:spacing w:val="20"/>
      <w:sz w:val="21"/>
      <w:lang w:val="en-US" w:eastAsia="zh-CN" w:bidi="ar-SA"/>
    </w:rPr>
  </w:style>
  <w:style w:type="paragraph" w:customStyle="1" w:styleId="2171">
    <w:name w:val="Char Char Char Char Char Char1 Char Char Char Char 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172">
    <w:name w:val="扉页证书号"/>
    <w:basedOn w:val="1"/>
    <w:qFormat/>
    <w:uiPriority w:val="0"/>
    <w:pPr>
      <w:spacing w:line="500" w:lineRule="exact"/>
      <w:jc w:val="left"/>
    </w:pPr>
    <w:rPr>
      <w:rFonts w:ascii="Times New Roman" w:hAnsi="Times New Roman" w:cs="Times New Roman"/>
      <w:sz w:val="28"/>
      <w:szCs w:val="24"/>
    </w:rPr>
  </w:style>
  <w:style w:type="paragraph" w:customStyle="1" w:styleId="2173">
    <w:name w:val="xl140"/>
    <w:basedOn w:val="1"/>
    <w:qFormat/>
    <w:uiPriority w:val="0"/>
    <w:pPr>
      <w:widowControl/>
      <w:pBdr>
        <w:top w:val="single" w:color="auto" w:sz="8" w:space="0"/>
        <w:left w:val="single" w:color="auto" w:sz="4" w:space="0"/>
        <w:bottom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174">
    <w:name w:val="Char Char110"/>
    <w:basedOn w:val="1"/>
    <w:qFormat/>
    <w:uiPriority w:val="0"/>
    <w:pPr>
      <w:widowControl/>
      <w:tabs>
        <w:tab w:val="left" w:pos="630"/>
      </w:tabs>
      <w:spacing w:beforeAutospacing="1" w:after="100" w:afterAutospacing="1"/>
      <w:ind w:firstLine="200" w:firstLineChars="200"/>
      <w:jc w:val="left"/>
    </w:pPr>
    <w:rPr>
      <w:rFonts w:ascii="Verdana" w:hAnsi="Verdana" w:eastAsia="仿宋_GB2312" w:cs="Times New Roman"/>
      <w:kern w:val="0"/>
      <w:sz w:val="20"/>
      <w:lang w:eastAsia="en-US"/>
    </w:rPr>
  </w:style>
  <w:style w:type="paragraph" w:customStyle="1" w:styleId="2175">
    <w:name w:val="表头名称"/>
    <w:basedOn w:val="1"/>
    <w:qFormat/>
    <w:uiPriority w:val="0"/>
    <w:pPr>
      <w:autoSpaceDE w:val="0"/>
      <w:autoSpaceDN w:val="0"/>
      <w:adjustRightInd w:val="0"/>
      <w:spacing w:after="120"/>
      <w:ind w:firstLine="420" w:firstLineChars="200"/>
      <w:jc w:val="left"/>
    </w:pPr>
    <w:rPr>
      <w:rFonts w:ascii="宋体" w:hAnsi="宋体" w:cs="Times New Roman"/>
      <w:color w:val="0000FF"/>
      <w:kern w:val="0"/>
      <w:szCs w:val="20"/>
    </w:rPr>
  </w:style>
  <w:style w:type="paragraph" w:customStyle="1" w:styleId="2176">
    <w:name w:val="Char Char13 Char Char Char Char Char1 Char Char Char Char Char"/>
    <w:basedOn w:val="1"/>
    <w:qFormat/>
    <w:uiPriority w:val="0"/>
    <w:pPr>
      <w:spacing w:line="480" w:lineRule="atLeast"/>
      <w:ind w:firstLine="200" w:firstLineChars="200"/>
      <w:jc w:val="left"/>
      <w:outlineLvl w:val="3"/>
    </w:pPr>
    <w:rPr>
      <w:rFonts w:ascii="宋体" w:hAnsi="宋体" w:cs="宋体"/>
      <w:sz w:val="24"/>
      <w:szCs w:val="24"/>
    </w:rPr>
  </w:style>
  <w:style w:type="paragraph" w:customStyle="1" w:styleId="2177">
    <w:name w:val="xl147"/>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Autospacing="1" w:after="100" w:afterAutospacing="1"/>
      <w:jc w:val="left"/>
    </w:pPr>
    <w:rPr>
      <w:rFonts w:ascii="宋体" w:hAnsi="宋体" w:cs="宋体"/>
      <w:kern w:val="0"/>
      <w:sz w:val="22"/>
    </w:rPr>
  </w:style>
  <w:style w:type="paragraph" w:customStyle="1" w:styleId="2178">
    <w:name w:val="样式 表格文字 + 小五 自动设置 首行缩进:  0.63 厘米"/>
    <w:basedOn w:val="1015"/>
    <w:qFormat/>
    <w:uiPriority w:val="0"/>
    <w:pPr>
      <w:widowControl/>
      <w:tabs>
        <w:tab w:val="left" w:pos="-24"/>
      </w:tabs>
      <w:adjustRightInd/>
      <w:spacing w:line="0" w:lineRule="atLeast"/>
      <w:textAlignment w:val="baseline"/>
    </w:pPr>
    <w:rPr>
      <w:rFonts w:ascii="Times New Roman" w:hAnsi="宋体" w:eastAsia="宋体" w:cs="黑体"/>
      <w:kern w:val="0"/>
      <w:sz w:val="18"/>
      <w:u w:color="000000"/>
    </w:rPr>
  </w:style>
  <w:style w:type="paragraph" w:customStyle="1" w:styleId="2179">
    <w:name w:val="三级(1)"/>
    <w:basedOn w:val="1"/>
    <w:qFormat/>
    <w:uiPriority w:val="0"/>
    <w:pPr>
      <w:adjustRightInd w:val="0"/>
      <w:spacing w:line="360" w:lineRule="exact"/>
      <w:jc w:val="left"/>
      <w:textAlignment w:val="baseline"/>
    </w:pPr>
    <w:rPr>
      <w:rFonts w:ascii="Times New Roman" w:hAnsi="Times New Roman" w:cs="Times New Roman"/>
      <w:kern w:val="0"/>
      <w:szCs w:val="20"/>
    </w:rPr>
  </w:style>
  <w:style w:type="paragraph" w:customStyle="1" w:styleId="2180">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100" w:afterAutospacing="1"/>
      <w:jc w:val="left"/>
    </w:pPr>
    <w:rPr>
      <w:rFonts w:ascii="宋体" w:hAnsi="宋体" w:cs="宋体"/>
      <w:kern w:val="0"/>
      <w:sz w:val="24"/>
      <w:szCs w:val="24"/>
    </w:rPr>
  </w:style>
  <w:style w:type="paragraph" w:customStyle="1" w:styleId="2181">
    <w:name w:val="表格 2"/>
    <w:basedOn w:val="1"/>
    <w:next w:val="1"/>
    <w:qFormat/>
    <w:uiPriority w:val="0"/>
    <w:pPr>
      <w:spacing w:line="280" w:lineRule="atLeast"/>
      <w:jc w:val="center"/>
    </w:pPr>
    <w:rPr>
      <w:rFonts w:ascii="Times New Roman" w:hAnsi="Times New Roman" w:cs="Times New Roman"/>
      <w:sz w:val="25"/>
      <w:szCs w:val="25"/>
    </w:rPr>
  </w:style>
  <w:style w:type="paragraph" w:customStyle="1" w:styleId="2182">
    <w:name w:val="样式31"/>
    <w:basedOn w:val="1"/>
    <w:qFormat/>
    <w:uiPriority w:val="0"/>
    <w:pPr>
      <w:ind w:firstLine="475" w:firstLineChars="200"/>
      <w:jc w:val="left"/>
    </w:pPr>
    <w:rPr>
      <w:rFonts w:ascii="Times New Roman" w:hAnsi="Times New Roman" w:eastAsia="华文中宋" w:cs="Times New Roman"/>
      <w:sz w:val="24"/>
      <w:szCs w:val="24"/>
    </w:rPr>
  </w:style>
  <w:style w:type="paragraph" w:customStyle="1" w:styleId="2183">
    <w:name w:val="xl130"/>
    <w:basedOn w:val="1"/>
    <w:qFormat/>
    <w:uiPriority w:val="0"/>
    <w:pPr>
      <w:widowControl/>
      <w:pBdr>
        <w:top w:val="single" w:color="auto" w:sz="4" w:space="0"/>
        <w:bottom w:val="single" w:color="auto" w:sz="4" w:space="0"/>
      </w:pBdr>
      <w:shd w:val="clear" w:color="auto" w:fill="FFFFFF"/>
      <w:spacing w:beforeAutospacing="1" w:after="100" w:afterAutospacing="1"/>
      <w:jc w:val="left"/>
    </w:pPr>
    <w:rPr>
      <w:rFonts w:ascii="宋体" w:hAnsi="宋体" w:cs="宋体"/>
      <w:kern w:val="0"/>
      <w:sz w:val="24"/>
      <w:szCs w:val="24"/>
    </w:rPr>
  </w:style>
  <w:style w:type="paragraph" w:customStyle="1" w:styleId="2184">
    <w:name w:val="xl131"/>
    <w:basedOn w:val="1"/>
    <w:qFormat/>
    <w:uiPriority w:val="0"/>
    <w:pPr>
      <w:widowControl/>
      <w:pBdr>
        <w:top w:val="single" w:color="auto" w:sz="4" w:space="0"/>
        <w:left w:val="single" w:color="auto" w:sz="8"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185">
    <w:name w:val="CM41"/>
    <w:basedOn w:val="251"/>
    <w:next w:val="251"/>
    <w:qFormat/>
    <w:uiPriority w:val="0"/>
    <w:pPr>
      <w:adjustRightInd/>
      <w:spacing w:after="325"/>
    </w:pPr>
    <w:rPr>
      <w:rFonts w:hint="eastAsia" w:cs="Times New Roman"/>
      <w:szCs w:val="20"/>
    </w:rPr>
  </w:style>
  <w:style w:type="paragraph" w:customStyle="1" w:styleId="2186">
    <w:name w:val="样式 表号 Char Char + 右侧:  -4.52 字符"/>
    <w:basedOn w:val="1"/>
    <w:qFormat/>
    <w:uiPriority w:val="0"/>
    <w:pPr>
      <w:tabs>
        <w:tab w:val="left" w:pos="1331"/>
      </w:tabs>
      <w:ind w:left="1331" w:hanging="851"/>
      <w:jc w:val="left"/>
    </w:pPr>
    <w:rPr>
      <w:rFonts w:ascii="Times New Roman" w:hAnsi="Times New Roman" w:cs="Times New Roman"/>
      <w:szCs w:val="24"/>
    </w:rPr>
  </w:style>
  <w:style w:type="paragraph" w:customStyle="1" w:styleId="2187">
    <w:name w:val="正文缩进2字符"/>
    <w:basedOn w:val="1"/>
    <w:qFormat/>
    <w:uiPriority w:val="0"/>
    <w:pPr>
      <w:widowControl/>
      <w:spacing w:line="360" w:lineRule="auto"/>
      <w:ind w:firstLine="200" w:firstLineChars="200"/>
      <w:jc w:val="left"/>
      <w:textAlignment w:val="baseline"/>
    </w:pPr>
    <w:rPr>
      <w:rFonts w:hint="eastAsia" w:ascii="宋体" w:hAnsi="Times New Roman" w:cs="Times New Roman"/>
      <w:kern w:val="0"/>
      <w:sz w:val="24"/>
      <w:szCs w:val="20"/>
    </w:rPr>
  </w:style>
  <w:style w:type="paragraph" w:customStyle="1" w:styleId="2188">
    <w:name w:val="样式 首行缩进:  0.85 厘米 段后: 3.1 磅 行距: 固定值 20 磅"/>
    <w:basedOn w:val="1"/>
    <w:qFormat/>
    <w:uiPriority w:val="0"/>
    <w:pPr>
      <w:spacing w:afterLines="20" w:line="400" w:lineRule="exact"/>
      <w:ind w:firstLine="482"/>
      <w:jc w:val="left"/>
    </w:pPr>
    <w:rPr>
      <w:rFonts w:ascii="Times New Roman" w:hAnsi="Times New Roman" w:cs="宋体"/>
      <w:sz w:val="24"/>
      <w:szCs w:val="20"/>
    </w:rPr>
  </w:style>
  <w:style w:type="paragraph" w:customStyle="1" w:styleId="2189">
    <w:name w:val="样式 标题 2节标题 1.1节标题节标题节 Char标题节 Char Char标题 2 Char Char Char..."/>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190">
    <w:name w:val="样式 样式 正文首行缩进 + 首行缩进:  2 字符1 + 宋体 四号 首行缩进:  2 字符"/>
    <w:basedOn w:val="1"/>
    <w:qFormat/>
    <w:uiPriority w:val="0"/>
    <w:pPr>
      <w:spacing w:line="360" w:lineRule="auto"/>
      <w:ind w:firstLine="560" w:firstLineChars="200"/>
      <w:jc w:val="left"/>
    </w:pPr>
    <w:rPr>
      <w:rFonts w:ascii="宋体" w:hAnsi="宋体" w:cs="宋体"/>
      <w:sz w:val="24"/>
      <w:szCs w:val="20"/>
    </w:rPr>
  </w:style>
  <w:style w:type="paragraph" w:customStyle="1" w:styleId="2191">
    <w:name w:val="byline"/>
    <w:basedOn w:val="1"/>
    <w:qFormat/>
    <w:uiPriority w:val="0"/>
    <w:pPr>
      <w:widowControl/>
      <w:adjustRightInd w:val="0"/>
      <w:spacing w:beforeAutospacing="1" w:after="100" w:afterAutospacing="1" w:line="300" w:lineRule="auto"/>
      <w:jc w:val="left"/>
    </w:pPr>
    <w:rPr>
      <w:rFonts w:ascii="Verdana" w:hAnsi="Verdana" w:cs="Times New Roman"/>
      <w:i/>
      <w:iCs/>
      <w:snapToGrid w:val="0"/>
      <w:color w:val="000000"/>
      <w:kern w:val="0"/>
      <w:sz w:val="24"/>
      <w:szCs w:val="18"/>
    </w:rPr>
  </w:style>
  <w:style w:type="paragraph" w:customStyle="1" w:styleId="2192">
    <w:name w:val="项标题"/>
    <w:basedOn w:val="1"/>
    <w:qFormat/>
    <w:uiPriority w:val="0"/>
    <w:pPr>
      <w:widowControl/>
      <w:adjustRightInd w:val="0"/>
      <w:spacing w:line="360" w:lineRule="auto"/>
      <w:ind w:firstLine="200" w:firstLineChars="200"/>
      <w:jc w:val="left"/>
      <w:textAlignment w:val="baseline"/>
    </w:pPr>
    <w:rPr>
      <w:rFonts w:ascii="Times New Roman" w:hAnsi="Times New Roman" w:cs="Times New Roman"/>
      <w:b/>
      <w:kern w:val="0"/>
      <w:sz w:val="24"/>
      <w:szCs w:val="24"/>
    </w:rPr>
  </w:style>
  <w:style w:type="paragraph" w:customStyle="1" w:styleId="2193">
    <w:name w:val="样式 左侧:  1 字符 右侧:  1 字符"/>
    <w:basedOn w:val="1"/>
    <w:qFormat/>
    <w:uiPriority w:val="0"/>
    <w:pPr>
      <w:tabs>
        <w:tab w:val="left" w:pos="6660"/>
      </w:tabs>
      <w:spacing w:line="360" w:lineRule="auto"/>
      <w:ind w:firstLine="540" w:firstLineChars="225"/>
      <w:jc w:val="left"/>
    </w:pPr>
    <w:rPr>
      <w:rFonts w:ascii="Times New Roman" w:hAnsi="Times New Roman" w:cs="宋体"/>
      <w:sz w:val="24"/>
      <w:szCs w:val="24"/>
    </w:rPr>
  </w:style>
  <w:style w:type="paragraph" w:customStyle="1" w:styleId="2194">
    <w:name w:val="样式 样式15 + 黑色"/>
    <w:basedOn w:val="1"/>
    <w:qFormat/>
    <w:uiPriority w:val="0"/>
    <w:pPr>
      <w:ind w:firstLine="420" w:firstLineChars="200"/>
      <w:jc w:val="left"/>
    </w:pPr>
    <w:rPr>
      <w:rFonts w:ascii="Times New Roman" w:hAnsi="Times New Roman" w:eastAsia="华文中宋" w:cs="Times New Roman"/>
      <w:color w:val="000000"/>
      <w:kern w:val="0"/>
    </w:rPr>
  </w:style>
  <w:style w:type="paragraph" w:customStyle="1" w:styleId="2195">
    <w:name w:val="Char21"/>
    <w:basedOn w:val="1"/>
    <w:qFormat/>
    <w:uiPriority w:val="0"/>
    <w:pPr>
      <w:spacing w:line="360" w:lineRule="auto"/>
      <w:ind w:firstLine="200" w:firstLineChars="200"/>
      <w:jc w:val="left"/>
    </w:pPr>
    <w:rPr>
      <w:rFonts w:ascii="宋体" w:hAnsi="宋体" w:cs="宋体"/>
      <w:sz w:val="24"/>
      <w:szCs w:val="24"/>
    </w:rPr>
  </w:style>
  <w:style w:type="paragraph" w:customStyle="1" w:styleId="2196">
    <w:name w:val="Char Char Char Char Char Char Char Char Char2"/>
    <w:basedOn w:val="1"/>
    <w:qFormat/>
    <w:uiPriority w:val="0"/>
    <w:pPr>
      <w:jc w:val="left"/>
    </w:pPr>
    <w:rPr>
      <w:rFonts w:ascii="Tahoma" w:hAnsi="Tahoma" w:cs="Times New Roman"/>
      <w:sz w:val="24"/>
      <w:szCs w:val="20"/>
    </w:rPr>
  </w:style>
  <w:style w:type="paragraph" w:customStyle="1" w:styleId="2197">
    <w:name w:val="样式 表格 + 六号 加粗 两端对齐 段前: 0.05 行 段后: 0.05 行"/>
    <w:basedOn w:val="1"/>
    <w:qFormat/>
    <w:uiPriority w:val="0"/>
    <w:pPr>
      <w:adjustRightInd w:val="0"/>
      <w:spacing w:after="15" w:line="240" w:lineRule="exact"/>
      <w:jc w:val="center"/>
    </w:pPr>
    <w:rPr>
      <w:rFonts w:ascii="Times New Roman" w:hAnsi="Times New Roman" w:cs="宋体"/>
      <w:b/>
      <w:bCs/>
      <w:color w:val="000000"/>
      <w:sz w:val="18"/>
      <w:szCs w:val="20"/>
    </w:rPr>
  </w:style>
  <w:style w:type="paragraph" w:customStyle="1" w:styleId="2198">
    <w:name w:val="标题1－0909"/>
    <w:basedOn w:val="1"/>
    <w:qFormat/>
    <w:uiPriority w:val="0"/>
    <w:pPr>
      <w:keepNext/>
      <w:keepLines/>
      <w:tabs>
        <w:tab w:val="left" w:pos="1288"/>
      </w:tabs>
      <w:adjustRightInd w:val="0"/>
      <w:spacing w:beforeLines="200" w:after="120" w:line="400" w:lineRule="exact"/>
      <w:ind w:left="1288" w:hanging="750"/>
      <w:jc w:val="center"/>
      <w:outlineLvl w:val="0"/>
    </w:pPr>
    <w:rPr>
      <w:rFonts w:ascii="Times New Roman" w:hAnsi="Times New Roman" w:eastAsia="黑体" w:cs="Times New Roman"/>
      <w:b/>
      <w:bCs/>
      <w:snapToGrid w:val="0"/>
      <w:kern w:val="44"/>
      <w:sz w:val="32"/>
      <w:szCs w:val="20"/>
    </w:rPr>
  </w:style>
  <w:style w:type="paragraph" w:customStyle="1" w:styleId="2199">
    <w:name w:val="样式 表名 + Times New Roman 段前: 0.5 行 段后: 0.5 行"/>
    <w:basedOn w:val="363"/>
    <w:qFormat/>
    <w:uiPriority w:val="0"/>
    <w:pPr>
      <w:tabs>
        <w:tab w:val="clear" w:pos="1350"/>
      </w:tabs>
      <w:overflowPunct w:val="0"/>
      <w:topLinePunct/>
      <w:autoSpaceDE/>
      <w:autoSpaceDN/>
      <w:adjustRightInd/>
      <w:spacing w:beforeLines="50" w:after="0" w:line="440" w:lineRule="exact"/>
      <w:ind w:firstLine="0" w:firstLineChars="0"/>
      <w:outlineLvl w:val="4"/>
    </w:pPr>
    <w:rPr>
      <w:rFonts w:ascii="Times New Roman" w:hAnsi="华文楷体" w:eastAsia="宋体" w:cs="Times New Roman"/>
      <w:bCs/>
      <w:szCs w:val="20"/>
      <w:shd w:val="clear" w:color="auto" w:fill="auto"/>
    </w:rPr>
  </w:style>
  <w:style w:type="paragraph" w:customStyle="1" w:styleId="2200">
    <w:name w:val="表格，宋五"/>
    <w:qFormat/>
    <w:uiPriority w:val="0"/>
    <w:pPr>
      <w:keepNext/>
      <w:jc w:val="both"/>
    </w:pPr>
    <w:rPr>
      <w:rFonts w:ascii="Times New Roman" w:hAnsi="Times New Roman" w:eastAsia="宋体" w:cs="Times New Roman"/>
      <w:sz w:val="21"/>
      <w:lang w:val="en-US" w:eastAsia="zh-CN" w:bidi="ar-SA"/>
    </w:rPr>
  </w:style>
  <w:style w:type="paragraph" w:customStyle="1" w:styleId="2201">
    <w:name w:val="xl132"/>
    <w:basedOn w:val="1"/>
    <w:qFormat/>
    <w:uiPriority w:val="0"/>
    <w:pPr>
      <w:widowControl/>
      <w:pBdr>
        <w:top w:val="single" w:color="auto" w:sz="4" w:space="0"/>
        <w:left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02">
    <w:name w:val="xl137"/>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Autospacing="1" w:after="100" w:afterAutospacing="1"/>
      <w:jc w:val="left"/>
      <w:textAlignment w:val="center"/>
    </w:pPr>
    <w:rPr>
      <w:rFonts w:ascii="宋体" w:hAnsi="宋体" w:cs="宋体"/>
      <w:kern w:val="0"/>
      <w:sz w:val="24"/>
      <w:szCs w:val="24"/>
    </w:rPr>
  </w:style>
  <w:style w:type="paragraph" w:customStyle="1" w:styleId="2203">
    <w:name w:val="样式 标题 2 + 首行缩进:  1.66 字符 段前: 0 磅 段后: 0 磅"/>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204">
    <w:name w:val="样式 样式 标题 3小节名小节标题 33标题 13条标题1.1.1(F4)标题 3 Char Char Char标题 ... +...1"/>
    <w:basedOn w:val="1646"/>
    <w:qFormat/>
    <w:uiPriority w:val="0"/>
    <w:pPr>
      <w:keepLines w:val="0"/>
      <w:tabs>
        <w:tab w:val="left" w:pos="1740"/>
      </w:tabs>
      <w:kinsoku w:val="0"/>
      <w:overflowPunct w:val="0"/>
      <w:autoSpaceDE w:val="0"/>
      <w:autoSpaceDN w:val="0"/>
      <w:spacing w:beforeLines="50" w:afterLines="25" w:line="312" w:lineRule="auto"/>
      <w:ind w:left="0" w:firstLine="0"/>
    </w:pPr>
    <w:rPr>
      <w:rFonts w:cs="宋体"/>
      <w:color w:val="000000"/>
      <w:kern w:val="0"/>
      <w:szCs w:val="20"/>
    </w:rPr>
  </w:style>
  <w:style w:type="paragraph" w:customStyle="1" w:styleId="2205">
    <w:name w:val="Char Char Char Char Char Char Char Char Char2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206">
    <w:name w:val="xl138"/>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Autospacing="1" w:after="100" w:afterAutospacing="1"/>
      <w:jc w:val="left"/>
    </w:pPr>
    <w:rPr>
      <w:rFonts w:ascii="宋体" w:hAnsi="宋体" w:cs="宋体"/>
      <w:kern w:val="0"/>
      <w:sz w:val="24"/>
      <w:szCs w:val="24"/>
    </w:rPr>
  </w:style>
  <w:style w:type="paragraph" w:customStyle="1" w:styleId="2207">
    <w:name w:val="表格五宋"/>
    <w:basedOn w:val="1"/>
    <w:qFormat/>
    <w:uiPriority w:val="0"/>
    <w:pPr>
      <w:adjustRightInd w:val="0"/>
      <w:spacing w:beforeLines="5" w:afterLines="5"/>
      <w:jc w:val="center"/>
    </w:pPr>
    <w:rPr>
      <w:rFonts w:ascii="Calibri" w:hAnsi="Calibri" w:cs="宋体"/>
      <w:snapToGrid w:val="0"/>
      <w:color w:val="000000"/>
    </w:rPr>
  </w:style>
  <w:style w:type="paragraph" w:customStyle="1" w:styleId="2208">
    <w:name w:val="标题 21"/>
    <w:basedOn w:val="1"/>
    <w:next w:val="1"/>
    <w:qFormat/>
    <w:uiPriority w:val="0"/>
    <w:pPr>
      <w:keepNext/>
      <w:keepLines/>
      <w:spacing w:after="260" w:line="415" w:lineRule="auto"/>
      <w:jc w:val="left"/>
      <w:textAlignment w:val="baseline"/>
      <w:outlineLvl w:val="1"/>
    </w:pPr>
    <w:rPr>
      <w:rFonts w:ascii="Arial" w:hAnsi="Arial" w:eastAsia="黑体" w:cs="Times New Roman"/>
      <w:b/>
      <w:sz w:val="32"/>
      <w:szCs w:val="24"/>
    </w:rPr>
  </w:style>
  <w:style w:type="paragraph" w:customStyle="1" w:styleId="2209">
    <w:name w:val="Char51"/>
    <w:basedOn w:val="26"/>
    <w:qFormat/>
    <w:uiPriority w:val="0"/>
    <w:pPr>
      <w:shd w:val="clear" w:color="auto" w:fill="000080"/>
      <w:adjustRightInd/>
      <w:spacing w:beforeLines="10" w:line="436" w:lineRule="exact"/>
      <w:ind w:left="357" w:firstLine="0" w:firstLineChars="0"/>
      <w:textAlignment w:val="baseline"/>
      <w:outlineLvl w:val="3"/>
    </w:pPr>
    <w:rPr>
      <w:rFonts w:hint="eastAsia" w:hAnsi="Calibri" w:eastAsiaTheme="minorEastAsia"/>
      <w:snapToGrid w:val="0"/>
      <w:kern w:val="0"/>
      <w:sz w:val="26"/>
      <w:szCs w:val="20"/>
    </w:rPr>
  </w:style>
  <w:style w:type="paragraph" w:customStyle="1" w:styleId="2210">
    <w:name w:val="正文居中"/>
    <w:basedOn w:val="1"/>
    <w:qFormat/>
    <w:uiPriority w:val="0"/>
    <w:pPr>
      <w:jc w:val="center"/>
    </w:pPr>
    <w:rPr>
      <w:rFonts w:ascii="Times New Roman" w:hAnsi="Times New Roman" w:cs="Times New Roman"/>
      <w:szCs w:val="24"/>
    </w:rPr>
  </w:style>
  <w:style w:type="paragraph" w:customStyle="1" w:styleId="2211">
    <w:name w:val="!页眉"/>
    <w:basedOn w:val="1"/>
    <w:qFormat/>
    <w:uiPriority w:val="0"/>
    <w:pPr>
      <w:pBdr>
        <w:bottom w:val="single" w:color="auto" w:sz="6" w:space="1"/>
      </w:pBdr>
      <w:jc w:val="right"/>
      <w:textAlignment w:val="baseline"/>
    </w:pPr>
    <w:rPr>
      <w:rFonts w:ascii="新宋体" w:hAnsi="新宋体" w:eastAsia="新宋体" w:cs="Times New Roman"/>
      <w:color w:val="000000"/>
      <w:kern w:val="0"/>
      <w:u w:color="000000"/>
    </w:rPr>
  </w:style>
  <w:style w:type="paragraph" w:customStyle="1" w:styleId="2212">
    <w:name w:val="xl167"/>
    <w:basedOn w:val="1"/>
    <w:qFormat/>
    <w:uiPriority w:val="0"/>
    <w:pPr>
      <w:widowControl/>
      <w:pBdr>
        <w:top w:val="single" w:color="auto" w:sz="8" w:space="0"/>
        <w:left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13">
    <w:name w:val="样式 样式 样式 样式 样式 样式 样式 样式 样式 第节 小三 行距: 多倍行距 0.6 字行 + 首行缩进:  2 字符 +..."/>
    <w:basedOn w:val="1"/>
    <w:qFormat/>
    <w:uiPriority w:val="0"/>
    <w:pPr>
      <w:spacing w:line="312" w:lineRule="auto"/>
      <w:ind w:firstLine="200" w:firstLineChars="200"/>
      <w:jc w:val="left"/>
      <w:outlineLvl w:val="3"/>
    </w:pPr>
    <w:rPr>
      <w:rFonts w:ascii="Times New Roman" w:hAnsi="Times New Roman" w:eastAsia="仿宋_GB2312" w:cs="Times New Roman"/>
      <w:sz w:val="30"/>
      <w:szCs w:val="20"/>
    </w:rPr>
  </w:style>
  <w:style w:type="paragraph" w:customStyle="1" w:styleId="2214">
    <w:name w:val="二章正文 Char Char"/>
    <w:basedOn w:val="1"/>
    <w:qFormat/>
    <w:uiPriority w:val="0"/>
    <w:pPr>
      <w:spacing w:line="360" w:lineRule="auto"/>
      <w:ind w:firstLine="480" w:firstLineChars="200"/>
      <w:jc w:val="left"/>
    </w:pPr>
    <w:rPr>
      <w:rFonts w:ascii="宋体" w:hAnsi="宋体" w:cs="Times New Roman"/>
      <w:sz w:val="24"/>
      <w:szCs w:val="24"/>
    </w:rPr>
  </w:style>
  <w:style w:type="paragraph" w:customStyle="1" w:styleId="2215">
    <w:name w:val="标题2－0909"/>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216">
    <w:name w:val="表格小五"/>
    <w:basedOn w:val="1"/>
    <w:qFormat/>
    <w:uiPriority w:val="0"/>
    <w:pPr>
      <w:tabs>
        <w:tab w:val="left" w:pos="1440"/>
        <w:tab w:val="left" w:pos="1680"/>
      </w:tabs>
      <w:adjustRightInd w:val="0"/>
      <w:spacing w:after="120" w:line="240" w:lineRule="atLeast"/>
      <w:jc w:val="left"/>
    </w:pPr>
    <w:rPr>
      <w:rFonts w:ascii="宋体" w:hAnsi="Times New Roman" w:cs="Times New Roman"/>
      <w:w w:val="110"/>
      <w:kern w:val="0"/>
      <w:sz w:val="18"/>
      <w:szCs w:val="20"/>
    </w:rPr>
  </w:style>
  <w:style w:type="paragraph" w:customStyle="1" w:styleId="2217">
    <w:name w:val="样式 宋体 小四 两端对齐 行距: 1.5 倍行距 首行缩进:  2 字符"/>
    <w:basedOn w:val="1"/>
    <w:qFormat/>
    <w:uiPriority w:val="0"/>
    <w:pPr>
      <w:widowControl/>
      <w:spacing w:line="360" w:lineRule="auto"/>
      <w:ind w:firstLine="480" w:firstLineChars="200"/>
      <w:jc w:val="left"/>
    </w:pPr>
    <w:rPr>
      <w:rFonts w:ascii="Times New Roman" w:hAnsi="Times New Roman" w:cs="Times New Roman"/>
      <w:kern w:val="0"/>
      <w:sz w:val="24"/>
      <w:szCs w:val="24"/>
    </w:rPr>
  </w:style>
  <w:style w:type="paragraph" w:customStyle="1" w:styleId="2218">
    <w:name w:val="xl149"/>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Autospacing="1" w:after="100" w:afterAutospacing="1"/>
      <w:jc w:val="left"/>
      <w:textAlignment w:val="center"/>
    </w:pPr>
    <w:rPr>
      <w:rFonts w:ascii="宋体" w:hAnsi="宋体" w:cs="宋体"/>
      <w:kern w:val="0"/>
      <w:sz w:val="22"/>
    </w:rPr>
  </w:style>
  <w:style w:type="paragraph" w:customStyle="1" w:styleId="2219">
    <w:name w:val="目后"/>
    <w:basedOn w:val="1"/>
    <w:qFormat/>
    <w:uiPriority w:val="0"/>
    <w:pPr>
      <w:keepNext/>
      <w:keepLines/>
      <w:tabs>
        <w:tab w:val="left" w:pos="360"/>
        <w:tab w:val="left" w:pos="2403"/>
      </w:tabs>
      <w:adjustRightInd w:val="0"/>
      <w:spacing w:beforeLines="100" w:afterLines="100" w:line="360" w:lineRule="auto"/>
      <w:ind w:hanging="420"/>
      <w:jc w:val="left"/>
      <w:outlineLvl w:val="3"/>
    </w:pPr>
    <w:rPr>
      <w:rFonts w:ascii="Times" w:hAnsi="Times" w:cs="Times New Roman"/>
      <w:b/>
      <w:sz w:val="24"/>
      <w:szCs w:val="20"/>
    </w:rPr>
  </w:style>
  <w:style w:type="paragraph" w:customStyle="1" w:styleId="2220">
    <w:name w:val="南大梁1.1.1.1-1标题"/>
    <w:basedOn w:val="1"/>
    <w:qFormat/>
    <w:uiPriority w:val="0"/>
    <w:pPr>
      <w:spacing w:after="60" w:line="360" w:lineRule="auto"/>
      <w:jc w:val="left"/>
    </w:pPr>
    <w:rPr>
      <w:rFonts w:ascii="黑体" w:hAnsi="宋体" w:eastAsia="黑体" w:cs="Times New Roman"/>
      <w:sz w:val="24"/>
      <w:szCs w:val="24"/>
    </w:rPr>
  </w:style>
  <w:style w:type="paragraph" w:customStyle="1" w:styleId="2221">
    <w:name w:val="样式 样式 标题 2节名节H22nd levelh2Header 2标题 1.1编号标题2head:2#2 hea... + 黑色"/>
    <w:basedOn w:val="1996"/>
    <w:qFormat/>
    <w:uiPriority w:val="0"/>
  </w:style>
  <w:style w:type="paragraph" w:customStyle="1" w:styleId="2222">
    <w:name w:val="标题四"/>
    <w:basedOn w:val="1"/>
    <w:qFormat/>
    <w:uiPriority w:val="0"/>
    <w:pPr>
      <w:spacing w:line="360" w:lineRule="auto"/>
      <w:ind w:firstLine="480" w:firstLineChars="200"/>
      <w:jc w:val="left"/>
    </w:pPr>
    <w:rPr>
      <w:rFonts w:ascii="宋体" w:hAnsi="宋体" w:cs="Times New Roman"/>
      <w:b/>
      <w:sz w:val="24"/>
      <w:szCs w:val="24"/>
    </w:rPr>
  </w:style>
  <w:style w:type="paragraph" w:customStyle="1" w:styleId="2223">
    <w:name w:val="样式 标题 3 + 非加粗 段前: 12 磅"/>
    <w:basedOn w:val="5"/>
    <w:qFormat/>
    <w:uiPriority w:val="0"/>
    <w:pPr>
      <w:spacing w:beforeLines="10"/>
      <w:ind w:left="720" w:hanging="432"/>
    </w:pPr>
    <w:rPr>
      <w:rFonts w:cs="Times New Roman" w:eastAsiaTheme="minorEastAsia"/>
      <w:bCs w:val="0"/>
      <w:szCs w:val="26"/>
    </w:rPr>
  </w:style>
  <w:style w:type="paragraph" w:customStyle="1" w:styleId="2224">
    <w:name w:val="!标题1"/>
    <w:basedOn w:val="1"/>
    <w:qFormat/>
    <w:uiPriority w:val="0"/>
    <w:pPr>
      <w:widowControl/>
      <w:spacing w:beforeLines="150" w:afterLines="100" w:line="360" w:lineRule="auto"/>
      <w:jc w:val="center"/>
      <w:textAlignment w:val="baseline"/>
      <w:outlineLvl w:val="0"/>
    </w:pPr>
    <w:rPr>
      <w:rFonts w:ascii="Arial" w:hAnsi="Arial" w:eastAsia="黑体" w:cs="Times New Roman"/>
      <w:color w:val="000000"/>
      <w:kern w:val="0"/>
      <w:sz w:val="36"/>
      <w:szCs w:val="36"/>
      <w:u w:color="000000"/>
    </w:rPr>
  </w:style>
  <w:style w:type="paragraph" w:customStyle="1" w:styleId="2225">
    <w:name w:val="样式 标题 2 + 行距: 单倍行距"/>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226">
    <w:name w:val="样式33"/>
    <w:basedOn w:val="888"/>
    <w:qFormat/>
    <w:uiPriority w:val="0"/>
    <w:pPr>
      <w:keepNext/>
      <w:keepLines/>
      <w:spacing w:line="240" w:lineRule="auto"/>
      <w:ind w:firstLine="0" w:firstLineChars="0"/>
      <w:textAlignment w:val="baseline"/>
      <w:outlineLvl w:val="3"/>
    </w:pPr>
    <w:rPr>
      <w:rFonts w:hAnsi="Times New Roman"/>
      <w:bCs/>
      <w:color w:val="000000"/>
      <w:sz w:val="32"/>
      <w:u w:color="000000"/>
    </w:rPr>
  </w:style>
  <w:style w:type="paragraph" w:customStyle="1" w:styleId="2227">
    <w:name w:val="Char3 Char Char Char Char Char"/>
    <w:basedOn w:val="1"/>
    <w:qFormat/>
    <w:uiPriority w:val="0"/>
    <w:pPr>
      <w:spacing w:line="480" w:lineRule="atLeast"/>
      <w:ind w:firstLine="200" w:firstLineChars="200"/>
      <w:jc w:val="left"/>
      <w:outlineLvl w:val="3"/>
    </w:pPr>
    <w:rPr>
      <w:rFonts w:ascii="宋体" w:hAnsi="宋体" w:cs="宋体"/>
      <w:sz w:val="24"/>
      <w:szCs w:val="24"/>
    </w:rPr>
  </w:style>
  <w:style w:type="paragraph" w:customStyle="1" w:styleId="2228">
    <w:name w:val="标题一、"/>
    <w:basedOn w:val="1"/>
    <w:qFormat/>
    <w:uiPriority w:val="0"/>
    <w:pPr>
      <w:adjustRightInd w:val="0"/>
      <w:spacing w:after="140"/>
      <w:jc w:val="left"/>
      <w:textAlignment w:val="baseline"/>
      <w:outlineLvl w:val="1"/>
    </w:pPr>
    <w:rPr>
      <w:rFonts w:ascii="Times New Roman" w:hAnsi="Times New Roman" w:eastAsia="仿宋_GB2312" w:cs="Times New Roman"/>
      <w:b/>
      <w:kern w:val="0"/>
      <w:sz w:val="32"/>
      <w:szCs w:val="20"/>
    </w:rPr>
  </w:style>
  <w:style w:type="paragraph" w:customStyle="1" w:styleId="2229">
    <w:name w:val="样式 标题 1 + 居中 段前: 12 磅 段后: 6 磅"/>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230">
    <w:name w:val="李海涛正文"/>
    <w:basedOn w:val="1"/>
    <w:next w:val="1"/>
    <w:qFormat/>
    <w:uiPriority w:val="0"/>
    <w:pPr>
      <w:widowControl/>
      <w:spacing w:line="360" w:lineRule="auto"/>
      <w:ind w:firstLine="480" w:firstLineChars="200"/>
      <w:jc w:val="left"/>
    </w:pPr>
    <w:rPr>
      <w:rFonts w:ascii="宋体" w:hAnsi="宋体" w:cs="Times New Roman"/>
      <w:snapToGrid w:val="0"/>
      <w:kern w:val="0"/>
      <w:sz w:val="24"/>
      <w:szCs w:val="20"/>
    </w:rPr>
  </w:style>
  <w:style w:type="paragraph" w:customStyle="1" w:styleId="2231">
    <w:name w:val="样式 样式 红色 首行缩进:  2 字符 + 行距: 1.5 倍行距"/>
    <w:basedOn w:val="1"/>
    <w:qFormat/>
    <w:uiPriority w:val="0"/>
    <w:pPr>
      <w:keepNext/>
      <w:spacing w:line="360" w:lineRule="auto"/>
      <w:ind w:firstLine="560" w:firstLineChars="200"/>
      <w:jc w:val="left"/>
    </w:pPr>
    <w:rPr>
      <w:rFonts w:ascii="Times New Roman" w:hAnsi="Times New Roman" w:cs="宋体"/>
      <w:color w:val="FF0000"/>
      <w:sz w:val="24"/>
      <w:szCs w:val="20"/>
    </w:rPr>
  </w:style>
  <w:style w:type="paragraph" w:customStyle="1" w:styleId="2232">
    <w:name w:val="样式 报告书正文 + 小四 首行缩进:  2 字符"/>
    <w:basedOn w:val="1"/>
    <w:qFormat/>
    <w:uiPriority w:val="0"/>
    <w:pPr>
      <w:spacing w:line="440" w:lineRule="exact"/>
      <w:ind w:firstLine="200" w:firstLineChars="200"/>
      <w:jc w:val="left"/>
    </w:pPr>
    <w:rPr>
      <w:rFonts w:ascii="Times New Roman" w:hAnsi="Times New Roman" w:cs="Times New Roman"/>
      <w:sz w:val="24"/>
      <w:szCs w:val="24"/>
    </w:rPr>
  </w:style>
  <w:style w:type="paragraph" w:customStyle="1" w:styleId="2233">
    <w:name w:val="表格（纵）"/>
    <w:basedOn w:val="1"/>
    <w:qFormat/>
    <w:uiPriority w:val="0"/>
    <w:pPr>
      <w:adjustRightInd w:val="0"/>
      <w:jc w:val="center"/>
    </w:pPr>
    <w:rPr>
      <w:rFonts w:ascii="Times New Roman" w:hAnsi="Times New Roman" w:eastAsia="仿宋_GB2312" w:cs="Times New Roman"/>
      <w:sz w:val="28"/>
      <w:szCs w:val="28"/>
    </w:rPr>
  </w:style>
  <w:style w:type="paragraph" w:customStyle="1" w:styleId="2234">
    <w:name w:val="样式 正文（首行缩进两字） + 行距: 固定值 20 磅"/>
    <w:basedOn w:val="1"/>
    <w:qFormat/>
    <w:uiPriority w:val="0"/>
    <w:pPr>
      <w:spacing w:afterLines="20" w:line="400" w:lineRule="exact"/>
      <w:ind w:firstLine="480" w:firstLineChars="200"/>
      <w:jc w:val="left"/>
    </w:pPr>
    <w:rPr>
      <w:rFonts w:ascii="Calibri" w:hAnsi="Calibri" w:cs="Times New Roman"/>
      <w:sz w:val="24"/>
      <w:szCs w:val="20"/>
    </w:rPr>
  </w:style>
  <w:style w:type="paragraph" w:customStyle="1" w:styleId="2235">
    <w:name w:val="样式 正文首行缩进 + 行距: 1.5 倍行距"/>
    <w:basedOn w:val="86"/>
    <w:qFormat/>
    <w:uiPriority w:val="0"/>
    <w:pPr>
      <w:spacing w:beforeLines="0" w:after="0" w:line="440" w:lineRule="exact"/>
      <w:ind w:firstLine="200" w:firstLineChars="200"/>
      <w:textAlignment w:val="baseline"/>
    </w:pPr>
    <w:rPr>
      <w:rFonts w:ascii="Calibri" w:hAnsi="Calibri"/>
      <w:b/>
      <w:kern w:val="2"/>
    </w:rPr>
  </w:style>
  <w:style w:type="paragraph" w:customStyle="1" w:styleId="2236">
    <w:name w:val="三级标题光"/>
    <w:basedOn w:val="1"/>
    <w:qFormat/>
    <w:uiPriority w:val="0"/>
    <w:pPr>
      <w:spacing w:beforeLines="25" w:afterLines="25" w:line="480" w:lineRule="atLeast"/>
      <w:jc w:val="left"/>
      <w:outlineLvl w:val="2"/>
    </w:pPr>
    <w:rPr>
      <w:rFonts w:ascii="黑体" w:hAnsi="宋体" w:eastAsia="黑体" w:cs="Times New Roman"/>
      <w:b/>
      <w:sz w:val="24"/>
      <w:szCs w:val="28"/>
    </w:rPr>
  </w:style>
  <w:style w:type="paragraph" w:customStyle="1" w:styleId="2237">
    <w:name w:val="正文居中粗"/>
    <w:basedOn w:val="1"/>
    <w:qFormat/>
    <w:uiPriority w:val="0"/>
    <w:pPr>
      <w:jc w:val="center"/>
    </w:pPr>
    <w:rPr>
      <w:rFonts w:ascii="宋体" w:hAnsi="Times New Roman" w:cs="Times New Roman"/>
      <w:b/>
      <w:bCs/>
      <w:color w:val="000000"/>
      <w:spacing w:val="4"/>
      <w:szCs w:val="24"/>
    </w:rPr>
  </w:style>
  <w:style w:type="paragraph" w:customStyle="1" w:styleId="2238">
    <w:name w:val="CM40"/>
    <w:basedOn w:val="251"/>
    <w:next w:val="251"/>
    <w:qFormat/>
    <w:uiPriority w:val="0"/>
    <w:pPr>
      <w:adjustRightInd/>
      <w:spacing w:after="248"/>
    </w:pPr>
    <w:rPr>
      <w:rFonts w:hint="eastAsia" w:cs="Times New Roman"/>
      <w:szCs w:val="20"/>
    </w:rPr>
  </w:style>
  <w:style w:type="paragraph" w:customStyle="1" w:styleId="2239">
    <w:name w:val="样式 标题 3标题 3XW3h33rd levelH3l3CT标题 3 Char标题 3XW Char标题 ..."/>
    <w:basedOn w:val="5"/>
    <w:qFormat/>
    <w:uiPriority w:val="0"/>
    <w:pPr>
      <w:spacing w:beforeLines="10"/>
      <w:ind w:left="720" w:hanging="432"/>
    </w:pPr>
    <w:rPr>
      <w:rFonts w:cs="Times New Roman" w:eastAsiaTheme="minorEastAsia"/>
      <w:bCs w:val="0"/>
      <w:szCs w:val="26"/>
    </w:rPr>
  </w:style>
  <w:style w:type="paragraph" w:customStyle="1" w:styleId="2240">
    <w:name w:val="正文2002"/>
    <w:basedOn w:val="1"/>
    <w:qFormat/>
    <w:uiPriority w:val="0"/>
    <w:pPr>
      <w:spacing w:line="240" w:lineRule="atLeast"/>
      <w:jc w:val="center"/>
    </w:pPr>
    <w:rPr>
      <w:rFonts w:ascii="Times New Roman" w:hAnsi="Times New Roman" w:cs="Times New Roman"/>
      <w:szCs w:val="24"/>
    </w:rPr>
  </w:style>
  <w:style w:type="paragraph" w:customStyle="1" w:styleId="2241">
    <w:name w:val="pa-0"/>
    <w:basedOn w:val="1"/>
    <w:qFormat/>
    <w:uiPriority w:val="0"/>
    <w:pPr>
      <w:widowControl/>
      <w:spacing w:line="360" w:lineRule="atLeast"/>
      <w:ind w:firstLine="480" w:firstLineChars="200"/>
      <w:jc w:val="center"/>
    </w:pPr>
    <w:rPr>
      <w:rFonts w:ascii="宋体" w:hAnsi="宋体" w:cs="Times New Roman"/>
      <w:kern w:val="0"/>
      <w:sz w:val="24"/>
      <w:szCs w:val="24"/>
    </w:rPr>
  </w:style>
  <w:style w:type="paragraph" w:customStyle="1" w:styleId="2242">
    <w:name w:val="样式 小三 加粗 居中"/>
    <w:basedOn w:val="84"/>
    <w:qFormat/>
    <w:uiPriority w:val="0"/>
    <w:pPr>
      <w:tabs>
        <w:tab w:val="left" w:pos="1620"/>
      </w:tabs>
      <w:adjustRightInd/>
      <w:spacing w:beforeLines="0" w:line="240" w:lineRule="auto"/>
      <w:ind w:left="1620" w:leftChars="600" w:hanging="200" w:hangingChars="200"/>
      <w:jc w:val="center"/>
    </w:pPr>
    <w:rPr>
      <w:rFonts w:cs="宋体" w:eastAsiaTheme="minorEastAsia"/>
      <w:bCs/>
      <w:snapToGrid/>
      <w:kern w:val="2"/>
    </w:rPr>
  </w:style>
  <w:style w:type="paragraph" w:customStyle="1" w:styleId="2243">
    <w:name w:val="Char Char13 Char Char"/>
    <w:basedOn w:val="1"/>
    <w:qFormat/>
    <w:uiPriority w:val="0"/>
    <w:pPr>
      <w:spacing w:line="480" w:lineRule="atLeast"/>
      <w:jc w:val="left"/>
      <w:outlineLvl w:val="3"/>
    </w:pPr>
    <w:rPr>
      <w:rFonts w:ascii="宋体" w:hAnsi="宋体" w:cs="宋体"/>
      <w:sz w:val="24"/>
      <w:szCs w:val="24"/>
    </w:rPr>
  </w:style>
  <w:style w:type="paragraph" w:customStyle="1" w:styleId="2244">
    <w:name w:val="样式 标题 3标题 3 Char Char Char节，一一黑四（一）条，（一）标题3 Char Char Cha..."/>
    <w:basedOn w:val="5"/>
    <w:qFormat/>
    <w:uiPriority w:val="0"/>
    <w:pPr>
      <w:spacing w:beforeLines="10"/>
      <w:ind w:left="720" w:hanging="432"/>
    </w:pPr>
    <w:rPr>
      <w:rFonts w:cs="Times New Roman" w:eastAsiaTheme="minorEastAsia"/>
      <w:bCs w:val="0"/>
      <w:szCs w:val="26"/>
    </w:rPr>
  </w:style>
  <w:style w:type="paragraph" w:customStyle="1" w:styleId="2245">
    <w:name w:val="xl151"/>
    <w:basedOn w:val="1"/>
    <w:qFormat/>
    <w:uiPriority w:val="0"/>
    <w:pPr>
      <w:widowControl/>
      <w:pBdr>
        <w:top w:val="single" w:color="auto" w:sz="4" w:space="0"/>
        <w:bottom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46">
    <w:name w:val="002"/>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247">
    <w:name w:val="xl165"/>
    <w:basedOn w:val="1"/>
    <w:qFormat/>
    <w:uiPriority w:val="0"/>
    <w:pPr>
      <w:widowControl/>
      <w:pBdr>
        <w:left w:val="single" w:color="auto" w:sz="4"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48">
    <w:name w:val="样式 !标题3 + 段前: 0.25 行 段后: 0.25 行"/>
    <w:basedOn w:val="1150"/>
    <w:qFormat/>
    <w:uiPriority w:val="0"/>
    <w:pPr>
      <w:keepNext w:val="0"/>
      <w:keepLines w:val="0"/>
      <w:widowControl/>
      <w:ind w:left="0" w:firstLine="0"/>
      <w:textAlignment w:val="baseline"/>
    </w:pPr>
    <w:rPr>
      <w:rFonts w:cs="宋体"/>
      <w:b w:val="0"/>
      <w:szCs w:val="20"/>
    </w:rPr>
  </w:style>
  <w:style w:type="paragraph" w:customStyle="1" w:styleId="2249">
    <w:name w:val="Char3 Char Char Char Char Char Char Char"/>
    <w:basedOn w:val="1"/>
    <w:qFormat/>
    <w:uiPriority w:val="0"/>
    <w:pPr>
      <w:spacing w:line="480" w:lineRule="atLeast"/>
      <w:ind w:firstLine="200" w:firstLineChars="200"/>
      <w:jc w:val="left"/>
      <w:outlineLvl w:val="3"/>
    </w:pPr>
    <w:rPr>
      <w:rFonts w:ascii="宋体" w:hAnsi="宋体" w:cs="宋体"/>
      <w:sz w:val="24"/>
      <w:szCs w:val="24"/>
    </w:rPr>
  </w:style>
  <w:style w:type="paragraph" w:customStyle="1" w:styleId="2250">
    <w:name w:val="样式 标题 2 + 四号 非加粗"/>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251">
    <w:name w:val="Char Char1 Char Char Char1 Char"/>
    <w:basedOn w:val="1"/>
    <w:qFormat/>
    <w:uiPriority w:val="0"/>
    <w:pPr>
      <w:spacing w:line="360" w:lineRule="auto"/>
      <w:ind w:firstLine="200" w:firstLineChars="200"/>
      <w:jc w:val="left"/>
    </w:pPr>
    <w:rPr>
      <w:rFonts w:ascii="宋体" w:hAnsi="宋体" w:cs="宋体"/>
      <w:sz w:val="24"/>
      <w:szCs w:val="24"/>
    </w:rPr>
  </w:style>
  <w:style w:type="paragraph" w:customStyle="1" w:styleId="2252">
    <w:name w:val="xl340"/>
    <w:basedOn w:val="1"/>
    <w:qFormat/>
    <w:uiPriority w:val="0"/>
    <w:pPr>
      <w:widowControl/>
      <w:spacing w:after="100" w:line="360" w:lineRule="auto"/>
      <w:ind w:firstLine="590" w:firstLineChars="200"/>
      <w:jc w:val="left"/>
      <w:textAlignment w:val="center"/>
    </w:pPr>
    <w:rPr>
      <w:rFonts w:ascii="宋体" w:hAnsi="宋体" w:cs="Times New Roman"/>
      <w:kern w:val="0"/>
      <w:sz w:val="24"/>
      <w:szCs w:val="20"/>
    </w:rPr>
  </w:style>
  <w:style w:type="paragraph" w:customStyle="1" w:styleId="2253">
    <w:name w:val="标题4－0909"/>
    <w:basedOn w:val="6"/>
    <w:qFormat/>
    <w:uiPriority w:val="0"/>
    <w:pPr>
      <w:tabs>
        <w:tab w:val="left" w:pos="0"/>
      </w:tabs>
      <w:ind w:left="864" w:hanging="144"/>
      <w:jc w:val="both"/>
    </w:pPr>
    <w:rPr>
      <w:rFonts w:ascii="Arial" w:hAnsi="Arial" w:cs="Times New Roman" w:eastAsiaTheme="minorEastAsia"/>
      <w:bCs w:val="0"/>
      <w:i/>
    </w:rPr>
  </w:style>
  <w:style w:type="paragraph" w:customStyle="1" w:styleId="2254">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hint="eastAsia" w:ascii="Courier New" w:hAnsi="Courier New" w:eastAsia="宋体" w:cs="Times New Roman"/>
      <w:sz w:val="24"/>
      <w:lang w:val="en-US" w:eastAsia="zh-CN" w:bidi="ar-SA"/>
    </w:rPr>
  </w:style>
  <w:style w:type="paragraph" w:customStyle="1" w:styleId="2255">
    <w:name w:val="图注"/>
    <w:basedOn w:val="1"/>
    <w:next w:val="45"/>
    <w:qFormat/>
    <w:uiPriority w:val="0"/>
    <w:pPr>
      <w:spacing w:line="360" w:lineRule="auto"/>
      <w:ind w:left="280" w:firstLine="590" w:firstLineChars="200"/>
      <w:jc w:val="right"/>
    </w:pPr>
    <w:rPr>
      <w:rFonts w:ascii="宋体" w:hAnsi="Courier New" w:cs="Times New Roman"/>
      <w:sz w:val="24"/>
      <w:szCs w:val="20"/>
    </w:rPr>
  </w:style>
  <w:style w:type="paragraph" w:customStyle="1" w:styleId="2256">
    <w:name w:val="正文2 Char Char"/>
    <w:basedOn w:val="1"/>
    <w:qFormat/>
    <w:uiPriority w:val="0"/>
    <w:pPr>
      <w:spacing w:line="480" w:lineRule="atLeast"/>
      <w:jc w:val="left"/>
      <w:outlineLvl w:val="3"/>
    </w:pPr>
    <w:rPr>
      <w:rFonts w:ascii="宋体" w:hAnsi="宋体" w:eastAsia="Times New Roman" w:cs="宋体"/>
      <w:sz w:val="24"/>
      <w:szCs w:val="24"/>
    </w:rPr>
  </w:style>
  <w:style w:type="paragraph" w:customStyle="1" w:styleId="2257">
    <w:name w:val="样式 宋体 12 磅 首行缩进:  2 字符"/>
    <w:basedOn w:val="1"/>
    <w:qFormat/>
    <w:uiPriority w:val="0"/>
    <w:pPr>
      <w:spacing w:line="500" w:lineRule="exact"/>
      <w:ind w:firstLine="200" w:firstLineChars="200"/>
      <w:jc w:val="left"/>
    </w:pPr>
    <w:rPr>
      <w:rFonts w:ascii="宋体" w:hAnsi="宋体" w:cs="Times New Roman"/>
      <w:sz w:val="24"/>
      <w:szCs w:val="20"/>
    </w:rPr>
  </w:style>
  <w:style w:type="paragraph" w:customStyle="1" w:styleId="2258">
    <w:name w:val="表格的样式"/>
    <w:basedOn w:val="1"/>
    <w:qFormat/>
    <w:uiPriority w:val="0"/>
    <w:pPr>
      <w:tabs>
        <w:tab w:val="left" w:pos="2646"/>
      </w:tabs>
      <w:spacing w:line="240" w:lineRule="exact"/>
      <w:jc w:val="center"/>
    </w:pPr>
    <w:rPr>
      <w:rFonts w:ascii="Times New Roman" w:hAnsi="Times New Roman" w:cs="Times New Roman"/>
      <w:color w:val="FF0000"/>
      <w:kern w:val="0"/>
    </w:rPr>
  </w:style>
  <w:style w:type="paragraph" w:customStyle="1" w:styleId="2259">
    <w:name w:val="附件名"/>
    <w:basedOn w:val="1"/>
    <w:qFormat/>
    <w:uiPriority w:val="0"/>
    <w:pPr>
      <w:spacing w:after="120" w:line="480" w:lineRule="exact"/>
      <w:jc w:val="center"/>
    </w:pPr>
    <w:rPr>
      <w:rFonts w:ascii="Times New Roman" w:hAnsi="Times New Roman" w:cs="Times New Roman"/>
      <w:sz w:val="32"/>
      <w:szCs w:val="20"/>
    </w:rPr>
  </w:style>
  <w:style w:type="paragraph" w:customStyle="1" w:styleId="2260">
    <w:name w:val="纯文本11"/>
    <w:basedOn w:val="1"/>
    <w:qFormat/>
    <w:uiPriority w:val="0"/>
    <w:pPr>
      <w:adjustRightInd w:val="0"/>
      <w:jc w:val="left"/>
      <w:textAlignment w:val="baseline"/>
    </w:pPr>
    <w:rPr>
      <w:rFonts w:ascii="宋体" w:hAnsi="Times New Roman" w:cs="Times New Roman"/>
      <w:kern w:val="0"/>
      <w:szCs w:val="20"/>
    </w:rPr>
  </w:style>
  <w:style w:type="paragraph" w:customStyle="1" w:styleId="2261">
    <w:name w:val="样式 宋体 首行缩进:  2 字符 行距: 最小值 23 磅"/>
    <w:basedOn w:val="1"/>
    <w:qFormat/>
    <w:uiPriority w:val="0"/>
    <w:pPr>
      <w:spacing w:line="400" w:lineRule="atLeast"/>
      <w:jc w:val="center"/>
    </w:pPr>
    <w:rPr>
      <w:rFonts w:ascii="宋体" w:hAnsi="宋体" w:cs="Times New Roman"/>
      <w:b/>
      <w:sz w:val="24"/>
      <w:szCs w:val="20"/>
    </w:rPr>
  </w:style>
  <w:style w:type="paragraph" w:customStyle="1" w:styleId="2262">
    <w:name w:val="表格，五宋"/>
    <w:link w:val="2786"/>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2263">
    <w:name w:val="报告书排版正式"/>
    <w:basedOn w:val="1"/>
    <w:qFormat/>
    <w:uiPriority w:val="0"/>
    <w:pPr>
      <w:spacing w:line="360" w:lineRule="auto"/>
      <w:ind w:firstLine="200" w:firstLineChars="200"/>
      <w:jc w:val="left"/>
      <w:textAlignment w:val="baseline"/>
    </w:pPr>
    <w:rPr>
      <w:rFonts w:hint="eastAsia" w:ascii="宋体" w:hAnsi="Times New Roman" w:cs="Times New Roman"/>
      <w:color w:val="000000"/>
      <w:kern w:val="0"/>
      <w:sz w:val="24"/>
      <w:szCs w:val="20"/>
    </w:rPr>
  </w:style>
  <w:style w:type="paragraph" w:customStyle="1" w:styleId="2264">
    <w:name w:val="正文段落"/>
    <w:basedOn w:val="1"/>
    <w:qFormat/>
    <w:uiPriority w:val="0"/>
    <w:pPr>
      <w:spacing w:line="480" w:lineRule="atLeast"/>
      <w:ind w:firstLine="454"/>
      <w:jc w:val="left"/>
    </w:pPr>
    <w:rPr>
      <w:rFonts w:ascii="Times New Roman" w:hAnsi="Times New Roman" w:eastAsia="仿宋_GB2312" w:cs="Times New Roman"/>
      <w:sz w:val="28"/>
      <w:szCs w:val="20"/>
    </w:rPr>
  </w:style>
  <w:style w:type="paragraph" w:customStyle="1" w:styleId="2265">
    <w:name w:val="xl161"/>
    <w:basedOn w:val="1"/>
    <w:qFormat/>
    <w:uiPriority w:val="0"/>
    <w:pPr>
      <w:widowControl/>
      <w:pBdr>
        <w:top w:val="single" w:color="auto" w:sz="8" w:space="0"/>
        <w:left w:val="single" w:color="auto" w:sz="8"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66">
    <w:name w:val="论文正文"/>
    <w:basedOn w:val="1"/>
    <w:qFormat/>
    <w:uiPriority w:val="0"/>
    <w:pPr>
      <w:spacing w:line="300" w:lineRule="auto"/>
      <w:ind w:firstLine="480" w:firstLineChars="200"/>
      <w:jc w:val="left"/>
    </w:pPr>
    <w:rPr>
      <w:rFonts w:ascii="仿宋_GB2312" w:hAnsi="Times New Roman" w:eastAsia="仿宋_GB2312" w:cs="Times New Roman"/>
      <w:kern w:val="0"/>
      <w:sz w:val="24"/>
      <w:szCs w:val="24"/>
    </w:rPr>
  </w:style>
  <w:style w:type="paragraph" w:customStyle="1" w:styleId="2267">
    <w:name w:val="报告图题"/>
    <w:basedOn w:val="1"/>
    <w:next w:val="1"/>
    <w:qFormat/>
    <w:uiPriority w:val="0"/>
    <w:pPr>
      <w:spacing w:after="120" w:line="400" w:lineRule="exact"/>
      <w:jc w:val="center"/>
    </w:pPr>
    <w:rPr>
      <w:rFonts w:ascii="黑体" w:hAnsi="Times New Roman" w:eastAsia="黑体" w:cs="Times New Roman"/>
      <w:szCs w:val="20"/>
    </w:rPr>
  </w:style>
  <w:style w:type="paragraph" w:customStyle="1" w:styleId="2268">
    <w:name w:val="样式 标题 30标题3小节名小节标题 33标题 13条标题1.1.1(F4)标题 3 Char Char Cha...1"/>
    <w:basedOn w:val="5"/>
    <w:qFormat/>
    <w:uiPriority w:val="0"/>
    <w:pPr>
      <w:spacing w:beforeLines="10"/>
      <w:ind w:left="720" w:hanging="432"/>
    </w:pPr>
    <w:rPr>
      <w:rFonts w:cs="Times New Roman" w:eastAsiaTheme="minorEastAsia"/>
      <w:bCs w:val="0"/>
      <w:szCs w:val="26"/>
    </w:rPr>
  </w:style>
  <w:style w:type="paragraph" w:customStyle="1" w:styleId="2269">
    <w:name w:val="CC Char Char Char Char Char Char"/>
    <w:basedOn w:val="51"/>
    <w:next w:val="51"/>
    <w:qFormat/>
    <w:uiPriority w:val="0"/>
    <w:pPr>
      <w:adjustRightInd/>
      <w:spacing w:beforeLines="10"/>
      <w:ind w:left="630" w:leftChars="100" w:right="100" w:rightChars="100" w:firstLine="0" w:firstLineChars="0"/>
    </w:pPr>
    <w:rPr>
      <w:rFonts w:ascii="Calibri" w:hAnsi="Calibri" w:eastAsiaTheme="minorEastAsia"/>
      <w:snapToGrid w:val="0"/>
      <w:kern w:val="0"/>
      <w:sz w:val="28"/>
      <w:szCs w:val="28"/>
    </w:rPr>
  </w:style>
  <w:style w:type="paragraph" w:customStyle="1" w:styleId="2270">
    <w:name w:val="pa-1"/>
    <w:basedOn w:val="1"/>
    <w:qFormat/>
    <w:uiPriority w:val="0"/>
    <w:pPr>
      <w:widowControl/>
      <w:spacing w:line="360" w:lineRule="atLeast"/>
      <w:ind w:firstLine="480" w:firstLineChars="200"/>
      <w:jc w:val="left"/>
    </w:pPr>
    <w:rPr>
      <w:rFonts w:ascii="宋体" w:hAnsi="宋体" w:cs="Times New Roman"/>
      <w:kern w:val="0"/>
      <w:sz w:val="24"/>
      <w:szCs w:val="24"/>
    </w:rPr>
  </w:style>
  <w:style w:type="paragraph" w:customStyle="1" w:styleId="2271">
    <w:name w:val="报告书题目"/>
    <w:basedOn w:val="84"/>
    <w:qFormat/>
    <w:uiPriority w:val="0"/>
    <w:pPr>
      <w:tabs>
        <w:tab w:val="left" w:pos="1620"/>
      </w:tabs>
      <w:adjustRightInd/>
      <w:spacing w:beforeLines="0" w:line="240" w:lineRule="auto"/>
      <w:ind w:left="1620" w:leftChars="600" w:hanging="200" w:hangingChars="200"/>
      <w:jc w:val="center"/>
    </w:pPr>
    <w:rPr>
      <w:rFonts w:cs="Arial" w:eastAsiaTheme="minorEastAsia"/>
      <w:snapToGrid/>
      <w:kern w:val="2"/>
      <w:sz w:val="84"/>
    </w:rPr>
  </w:style>
  <w:style w:type="paragraph" w:customStyle="1" w:styleId="2272">
    <w:name w:val="003"/>
    <w:basedOn w:val="5"/>
    <w:qFormat/>
    <w:uiPriority w:val="0"/>
    <w:pPr>
      <w:spacing w:beforeLines="10"/>
      <w:ind w:left="720" w:hanging="432"/>
    </w:pPr>
    <w:rPr>
      <w:rFonts w:cs="Times New Roman" w:eastAsiaTheme="minorEastAsia"/>
      <w:bCs w:val="0"/>
      <w:szCs w:val="26"/>
    </w:rPr>
  </w:style>
  <w:style w:type="paragraph" w:customStyle="1" w:styleId="2273">
    <w:name w:val="pa-2"/>
    <w:basedOn w:val="1"/>
    <w:qFormat/>
    <w:uiPriority w:val="0"/>
    <w:pPr>
      <w:widowControl/>
      <w:spacing w:line="360" w:lineRule="atLeast"/>
      <w:ind w:firstLine="480" w:firstLineChars="200"/>
      <w:jc w:val="left"/>
    </w:pPr>
    <w:rPr>
      <w:rFonts w:ascii="宋体" w:hAnsi="宋体" w:cs="Times New Roman"/>
      <w:kern w:val="0"/>
      <w:sz w:val="24"/>
      <w:szCs w:val="24"/>
    </w:rPr>
  </w:style>
  <w:style w:type="paragraph" w:customStyle="1" w:styleId="2274">
    <w:name w:val="样式 标题 3标题 3 Char Char Char节，一一黑四（一）条，（一）标题3 Char Char Cha...2"/>
    <w:basedOn w:val="5"/>
    <w:qFormat/>
    <w:uiPriority w:val="0"/>
    <w:pPr>
      <w:spacing w:beforeLines="10"/>
      <w:ind w:left="720" w:hanging="432"/>
    </w:pPr>
    <w:rPr>
      <w:rFonts w:cs="Times New Roman" w:eastAsiaTheme="minorEastAsia"/>
      <w:bCs w:val="0"/>
      <w:szCs w:val="26"/>
    </w:rPr>
  </w:style>
  <w:style w:type="paragraph" w:customStyle="1" w:styleId="2275">
    <w:name w:val="xl139"/>
    <w:basedOn w:val="1"/>
    <w:qFormat/>
    <w:uiPriority w:val="0"/>
    <w:pPr>
      <w:widowControl/>
      <w:pBdr>
        <w:top w:val="single" w:color="auto" w:sz="4" w:space="0"/>
      </w:pBdr>
      <w:shd w:val="clear" w:color="auto" w:fill="FFFFFF"/>
      <w:spacing w:beforeAutospacing="1" w:after="100" w:afterAutospacing="1"/>
      <w:jc w:val="left"/>
      <w:textAlignment w:val="center"/>
    </w:pPr>
    <w:rPr>
      <w:rFonts w:ascii="宋体" w:hAnsi="宋体" w:cs="宋体"/>
      <w:kern w:val="0"/>
      <w:sz w:val="22"/>
    </w:rPr>
  </w:style>
  <w:style w:type="paragraph" w:customStyle="1" w:styleId="2276">
    <w:name w:val="xl143"/>
    <w:basedOn w:val="1"/>
    <w:qFormat/>
    <w:uiPriority w:val="0"/>
    <w:pPr>
      <w:widowControl/>
      <w:pBdr>
        <w:top w:val="single" w:color="auto" w:sz="4"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77">
    <w:name w:val="xns表格"/>
    <w:qFormat/>
    <w:uiPriority w:val="0"/>
    <w:rPr>
      <w:rFonts w:ascii="Times New Roman" w:hAnsi="Times New Roman" w:eastAsia="宋体" w:cs="Times New Roman"/>
      <w:lang w:val="en-US" w:eastAsia="zh-CN" w:bidi="ar-SA"/>
    </w:rPr>
  </w:style>
  <w:style w:type="paragraph" w:customStyle="1" w:styleId="2278">
    <w:name w:val="样式 样式 样式 宋体 五号 蓝色 居中 行距: 单倍行距 + Times New Roman 自动设置 + 蓝色"/>
    <w:basedOn w:val="1491"/>
    <w:qFormat/>
    <w:uiPriority w:val="0"/>
  </w:style>
  <w:style w:type="paragraph" w:customStyle="1" w:styleId="2279">
    <w:name w:val="标题 211"/>
    <w:basedOn w:val="1"/>
    <w:next w:val="1"/>
    <w:qFormat/>
    <w:uiPriority w:val="0"/>
    <w:pPr>
      <w:widowControl/>
      <w:spacing w:after="198" w:line="1054" w:lineRule="atLeast"/>
      <w:ind w:firstLine="419"/>
      <w:jc w:val="left"/>
      <w:textAlignment w:val="baseline"/>
    </w:pPr>
    <w:rPr>
      <w:rFonts w:ascii="Arial" w:hAnsi="Times New Roman" w:eastAsia="黑体" w:cs="Times New Roman"/>
      <w:color w:val="000000"/>
      <w:kern w:val="0"/>
      <w:sz w:val="30"/>
      <w:szCs w:val="20"/>
      <w:u w:color="000000"/>
    </w:rPr>
  </w:style>
  <w:style w:type="paragraph" w:customStyle="1" w:styleId="2280">
    <w:name w:val="Char1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281">
    <w:name w:val="样式 表格文字 + 小五 自动设置"/>
    <w:basedOn w:val="1015"/>
    <w:qFormat/>
    <w:uiPriority w:val="0"/>
    <w:pPr>
      <w:widowControl/>
      <w:tabs>
        <w:tab w:val="left" w:pos="-24"/>
      </w:tabs>
      <w:adjustRightInd/>
      <w:spacing w:line="0" w:lineRule="atLeast"/>
      <w:textAlignment w:val="baseline"/>
    </w:pPr>
    <w:rPr>
      <w:rFonts w:ascii="Times New Roman" w:hAnsi="宋体" w:eastAsia="宋体"/>
      <w:kern w:val="0"/>
      <w:sz w:val="18"/>
      <w:u w:color="000000"/>
    </w:rPr>
  </w:style>
  <w:style w:type="paragraph" w:customStyle="1" w:styleId="2282">
    <w:name w:val="样式 样式 标题 3小节名小节标题 33标题 13条标题1.1.1(F4)标题 3 Char Char Char标题 ...2 ..."/>
    <w:qFormat/>
    <w:uiPriority w:val="0"/>
    <w:pPr>
      <w:tabs>
        <w:tab w:val="left" w:pos="1281"/>
      </w:tabs>
      <w:kinsoku w:val="0"/>
      <w:overflowPunct w:val="0"/>
      <w:autoSpaceDE w:val="0"/>
      <w:autoSpaceDN w:val="0"/>
      <w:spacing w:before="50"/>
    </w:pPr>
    <w:rPr>
      <w:rFonts w:ascii="Times New Roman" w:hAnsi="Times New Roman" w:eastAsia="宋体" w:cs="宋体"/>
      <w:color w:val="000000"/>
      <w:lang w:val="en-US" w:eastAsia="zh-CN" w:bidi="ar-SA"/>
    </w:rPr>
  </w:style>
  <w:style w:type="paragraph" w:customStyle="1" w:styleId="2283">
    <w:name w:val="样式 标题 3小节名小节标题 33标题 13条标题1.1.1(F4)标题 3 Char Char Char标题 ...2"/>
    <w:basedOn w:val="5"/>
    <w:qFormat/>
    <w:uiPriority w:val="0"/>
    <w:pPr>
      <w:spacing w:beforeLines="10"/>
      <w:ind w:left="720" w:hanging="432"/>
    </w:pPr>
    <w:rPr>
      <w:rFonts w:cs="Times New Roman" w:eastAsiaTheme="minorEastAsia"/>
      <w:bCs w:val="0"/>
      <w:szCs w:val="26"/>
    </w:rPr>
  </w:style>
  <w:style w:type="paragraph" w:customStyle="1" w:styleId="2284">
    <w:name w:val="样式 标题 6标题 6 Char Char Char Char Char Char Char Char Char + 加粗 Char Char Char Char Char Char Char Char Char Char Char Char Char Char Char Char Char Char Char Char Char Char Char Char Char Char Char Char Char Char Char Char Char Char Char Char Char"/>
    <w:basedOn w:val="615"/>
    <w:qFormat/>
    <w:uiPriority w:val="0"/>
    <w:pPr>
      <w:keepNext w:val="0"/>
      <w:tabs>
        <w:tab w:val="clear" w:pos="1152"/>
      </w:tabs>
      <w:snapToGrid w:val="0"/>
      <w:spacing w:after="0" w:line="360" w:lineRule="auto"/>
      <w:ind w:left="0" w:firstLine="482" w:firstLineChars="200"/>
    </w:pPr>
    <w:rPr>
      <w:rFonts w:ascii="宋体" w:hAnsi="宋体" w:eastAsia="仿宋_GB2312"/>
    </w:rPr>
  </w:style>
  <w:style w:type="paragraph" w:customStyle="1" w:styleId="2285">
    <w:name w:val="样式 样式 小四 段前: 7.8 磅 段后: 7.8 磅 行距: 1.5 倍行距 + 首行缩进:  2 字符"/>
    <w:basedOn w:val="1"/>
    <w:qFormat/>
    <w:uiPriority w:val="0"/>
    <w:pPr>
      <w:spacing w:line="360" w:lineRule="auto"/>
      <w:ind w:firstLine="480" w:firstLineChars="200"/>
      <w:jc w:val="left"/>
    </w:pPr>
    <w:rPr>
      <w:rFonts w:ascii="Times New Roman" w:hAnsi="宋体" w:cs="Times New Roman"/>
      <w:snapToGrid w:val="0"/>
      <w:kern w:val="0"/>
      <w:sz w:val="24"/>
      <w:szCs w:val="24"/>
    </w:rPr>
  </w:style>
  <w:style w:type="paragraph" w:customStyle="1" w:styleId="2286">
    <w:name w:val="Char3 Char Char Char Char1"/>
    <w:basedOn w:val="1"/>
    <w:qFormat/>
    <w:uiPriority w:val="0"/>
    <w:pPr>
      <w:spacing w:line="480" w:lineRule="atLeast"/>
      <w:ind w:firstLine="200" w:firstLineChars="200"/>
      <w:jc w:val="left"/>
      <w:outlineLvl w:val="3"/>
    </w:pPr>
    <w:rPr>
      <w:rFonts w:ascii="宋体" w:hAnsi="宋体" w:cs="宋体"/>
      <w:sz w:val="24"/>
      <w:szCs w:val="24"/>
    </w:rPr>
  </w:style>
  <w:style w:type="paragraph" w:customStyle="1" w:styleId="2287">
    <w:name w:val="xl157"/>
    <w:basedOn w:val="1"/>
    <w:qFormat/>
    <w:uiPriority w:val="0"/>
    <w:pPr>
      <w:widowControl/>
      <w:pBdr>
        <w:top w:val="single" w:color="auto" w:sz="8" w:space="0"/>
        <w:left w:val="single" w:color="auto" w:sz="4" w:space="0"/>
        <w:bottom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88">
    <w:name w:val="标题 41"/>
    <w:basedOn w:val="1"/>
    <w:next w:val="1"/>
    <w:qFormat/>
    <w:uiPriority w:val="0"/>
    <w:pPr>
      <w:keepNext/>
      <w:keepLines/>
      <w:spacing w:after="290" w:line="374" w:lineRule="auto"/>
      <w:jc w:val="left"/>
      <w:textAlignment w:val="baseline"/>
      <w:outlineLvl w:val="3"/>
    </w:pPr>
    <w:rPr>
      <w:rFonts w:ascii="Arial" w:hAnsi="Arial" w:eastAsia="黑体" w:cs="Times New Roman"/>
      <w:b/>
      <w:sz w:val="28"/>
      <w:szCs w:val="24"/>
    </w:rPr>
  </w:style>
  <w:style w:type="paragraph" w:customStyle="1" w:styleId="2289">
    <w:name w:val="Char Char8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290">
    <w:name w:val="建设单位"/>
    <w:basedOn w:val="84"/>
    <w:qFormat/>
    <w:uiPriority w:val="0"/>
    <w:pPr>
      <w:tabs>
        <w:tab w:val="left" w:pos="1620"/>
      </w:tabs>
      <w:adjustRightInd/>
      <w:spacing w:beforeLines="0" w:line="240" w:lineRule="auto"/>
      <w:ind w:left="1620" w:leftChars="600" w:hanging="200" w:hangingChars="200"/>
      <w:jc w:val="center"/>
    </w:pPr>
    <w:rPr>
      <w:rFonts w:cs="Arial" w:eastAsiaTheme="minorEastAsia"/>
      <w:snapToGrid/>
    </w:rPr>
  </w:style>
  <w:style w:type="paragraph" w:customStyle="1" w:styleId="2291">
    <w:name w:val="目标题"/>
    <w:basedOn w:val="5"/>
    <w:qFormat/>
    <w:uiPriority w:val="0"/>
    <w:pPr>
      <w:spacing w:beforeLines="10"/>
      <w:ind w:left="720" w:hanging="432"/>
    </w:pPr>
    <w:rPr>
      <w:rFonts w:cs="Times New Roman" w:eastAsiaTheme="minorEastAsia"/>
      <w:bCs w:val="0"/>
      <w:szCs w:val="26"/>
    </w:rPr>
  </w:style>
  <w:style w:type="paragraph" w:customStyle="1" w:styleId="2292">
    <w:name w:val="xl144"/>
    <w:basedOn w:val="1"/>
    <w:qFormat/>
    <w:uiPriority w:val="0"/>
    <w:pPr>
      <w:widowControl/>
      <w:pBdr>
        <w:top w:val="single" w:color="auto" w:sz="4" w:space="0"/>
        <w:left w:val="single" w:color="auto" w:sz="8"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293">
    <w:name w:val="a3"/>
    <w:basedOn w:val="1"/>
    <w:qFormat/>
    <w:uiPriority w:val="0"/>
    <w:pPr>
      <w:widowControl/>
      <w:spacing w:beforeAutospacing="1" w:after="100" w:afterAutospacing="1" w:line="360" w:lineRule="atLeast"/>
      <w:jc w:val="left"/>
      <w:textAlignment w:val="baseline"/>
    </w:pPr>
    <w:rPr>
      <w:rFonts w:hint="eastAsia" w:ascii="Arial Unicode MS" w:hAnsi="Arial Unicode MS" w:eastAsia="Arial Unicode MS" w:cs="Times New Roman"/>
      <w:color w:val="000000"/>
      <w:kern w:val="0"/>
      <w:sz w:val="24"/>
      <w:szCs w:val="20"/>
    </w:rPr>
  </w:style>
  <w:style w:type="paragraph" w:customStyle="1" w:styleId="2294">
    <w:name w:val="defaultfont"/>
    <w:basedOn w:val="1"/>
    <w:qFormat/>
    <w:uiPriority w:val="0"/>
    <w:pPr>
      <w:widowControl/>
      <w:spacing w:beforeAutospacing="1" w:after="100" w:afterAutospacing="1"/>
      <w:jc w:val="left"/>
    </w:pPr>
    <w:rPr>
      <w:rFonts w:ascii="宋体" w:hAnsi="宋体" w:cs="宋体"/>
      <w:kern w:val="0"/>
      <w:sz w:val="24"/>
      <w:szCs w:val="24"/>
    </w:rPr>
  </w:style>
  <w:style w:type="paragraph" w:customStyle="1" w:styleId="2295">
    <w:name w:val="表格-5号"/>
    <w:basedOn w:val="1"/>
    <w:qFormat/>
    <w:uiPriority w:val="0"/>
    <w:pPr>
      <w:tabs>
        <w:tab w:val="left" w:pos="2646"/>
      </w:tabs>
      <w:spacing w:line="280" w:lineRule="exact"/>
      <w:jc w:val="center"/>
    </w:pPr>
    <w:rPr>
      <w:rFonts w:ascii="Times New Roman" w:hAnsi="Times New Roman" w:cs="Times New Roman"/>
      <w:color w:val="000000"/>
      <w:szCs w:val="24"/>
    </w:rPr>
  </w:style>
  <w:style w:type="paragraph" w:customStyle="1" w:styleId="2296">
    <w:name w:val="样式 样式 标题 3小节名小节标题 33标题 13条标题1.1.1(F4)标题 3 Char Char Char标题 ... +..."/>
    <w:basedOn w:val="1646"/>
    <w:qFormat/>
    <w:uiPriority w:val="0"/>
    <w:pPr>
      <w:keepLines w:val="0"/>
      <w:tabs>
        <w:tab w:val="left" w:pos="668"/>
        <w:tab w:val="left" w:pos="1332"/>
      </w:tabs>
      <w:kinsoku w:val="0"/>
      <w:overflowPunct w:val="0"/>
      <w:autoSpaceDE w:val="0"/>
      <w:autoSpaceDN w:val="0"/>
      <w:spacing w:line="288" w:lineRule="auto"/>
      <w:ind w:left="1332" w:hanging="720"/>
    </w:pPr>
    <w:rPr>
      <w:rFonts w:ascii="宋体" w:hAnsi="宋体" w:cs="宋体"/>
      <w:color w:val="000000"/>
      <w:kern w:val="0"/>
      <w:szCs w:val="20"/>
    </w:rPr>
  </w:style>
  <w:style w:type="paragraph" w:customStyle="1" w:styleId="2297">
    <w:name w:val="xl152"/>
    <w:basedOn w:val="1"/>
    <w:qFormat/>
    <w:uiPriority w:val="0"/>
    <w:pPr>
      <w:widowControl/>
      <w:pBdr>
        <w:top w:val="single" w:color="auto" w:sz="4" w:space="0"/>
        <w:bottom w:val="single" w:color="auto" w:sz="4" w:space="0"/>
      </w:pBdr>
      <w:shd w:val="clear" w:color="auto" w:fill="FFFFFF"/>
      <w:spacing w:beforeAutospacing="1" w:after="100" w:afterAutospacing="1"/>
      <w:jc w:val="left"/>
    </w:pPr>
    <w:rPr>
      <w:rFonts w:ascii="宋体" w:hAnsi="宋体" w:cs="宋体"/>
      <w:kern w:val="0"/>
      <w:sz w:val="22"/>
    </w:rPr>
  </w:style>
  <w:style w:type="paragraph" w:customStyle="1" w:styleId="2298">
    <w:name w:val="三章正文"/>
    <w:basedOn w:val="34"/>
    <w:qFormat/>
    <w:uiPriority w:val="0"/>
    <w:pPr>
      <w:adjustRightInd/>
      <w:spacing w:beforeLines="0"/>
      <w:ind w:firstLine="200" w:firstLineChars="200"/>
    </w:pPr>
    <w:rPr>
      <w:rFonts w:ascii="Calibri" w:hAnsi="Calibri" w:eastAsiaTheme="minorEastAsia"/>
      <w:snapToGrid/>
      <w:kern w:val="2"/>
      <w:sz w:val="26"/>
      <w:szCs w:val="20"/>
    </w:rPr>
  </w:style>
  <w:style w:type="paragraph" w:customStyle="1" w:styleId="2299">
    <w:name w:val="样式 小四 行距: 1.5 倍行距"/>
    <w:basedOn w:val="1"/>
    <w:qFormat/>
    <w:uiPriority w:val="0"/>
    <w:pPr>
      <w:spacing w:line="360" w:lineRule="auto"/>
      <w:ind w:firstLine="480" w:firstLineChars="200"/>
      <w:jc w:val="left"/>
      <w:textAlignment w:val="baseline"/>
    </w:pPr>
    <w:rPr>
      <w:rFonts w:ascii="宋体" w:hAnsi="Times New Roman" w:cs="Times New Roman"/>
      <w:kern w:val="0"/>
      <w:sz w:val="24"/>
      <w:szCs w:val="20"/>
    </w:rPr>
  </w:style>
  <w:style w:type="paragraph" w:customStyle="1" w:styleId="2300">
    <w:name w:val="样式 样式 样式 首行缩进:  2 字符 + 首行缩进:  2 字符 + 首行缩进:  2 字符1"/>
    <w:basedOn w:val="1"/>
    <w:qFormat/>
    <w:uiPriority w:val="0"/>
    <w:pPr>
      <w:spacing w:line="360" w:lineRule="auto"/>
      <w:ind w:firstLine="200" w:firstLineChars="200"/>
      <w:jc w:val="left"/>
    </w:pPr>
    <w:rPr>
      <w:rFonts w:ascii="Times New Roman" w:hAnsi="Times New Roman" w:cs="宋体"/>
      <w:spacing w:val="14"/>
      <w:sz w:val="24"/>
      <w:szCs w:val="20"/>
    </w:rPr>
  </w:style>
  <w:style w:type="paragraph" w:customStyle="1" w:styleId="2301">
    <w:name w:val="xl163"/>
    <w:basedOn w:val="1"/>
    <w:qFormat/>
    <w:uiPriority w:val="0"/>
    <w:pPr>
      <w:widowControl/>
      <w:pBdr>
        <w:top w:val="single" w:color="auto" w:sz="8" w:space="0"/>
        <w:left w:val="single" w:color="auto" w:sz="4"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02">
    <w:name w:val="xyb自建正文 Char Char Char"/>
    <w:basedOn w:val="1"/>
    <w:qFormat/>
    <w:uiPriority w:val="0"/>
    <w:pPr>
      <w:tabs>
        <w:tab w:val="left" w:pos="1440"/>
        <w:tab w:val="left" w:pos="8280"/>
      </w:tabs>
      <w:spacing w:line="360" w:lineRule="auto"/>
      <w:ind w:firstLine="472" w:firstLineChars="200"/>
      <w:jc w:val="left"/>
    </w:pPr>
    <w:rPr>
      <w:rFonts w:ascii="宋体" w:hAnsi="宋体" w:cs="宋体"/>
      <w:spacing w:val="-2"/>
      <w:sz w:val="24"/>
      <w:szCs w:val="24"/>
    </w:rPr>
  </w:style>
  <w:style w:type="paragraph" w:customStyle="1" w:styleId="2303">
    <w:name w:val="Char3 Char Char Char Char Char Char Char1"/>
    <w:basedOn w:val="1"/>
    <w:qFormat/>
    <w:uiPriority w:val="0"/>
    <w:pPr>
      <w:spacing w:line="480" w:lineRule="atLeast"/>
      <w:ind w:firstLine="200" w:firstLineChars="200"/>
      <w:jc w:val="left"/>
      <w:outlineLvl w:val="3"/>
    </w:pPr>
    <w:rPr>
      <w:rFonts w:ascii="宋体" w:hAnsi="宋体" w:cs="宋体"/>
      <w:sz w:val="24"/>
      <w:szCs w:val="24"/>
    </w:rPr>
  </w:style>
  <w:style w:type="paragraph" w:customStyle="1" w:styleId="2304">
    <w:name w:val="!表格（alt+t)"/>
    <w:basedOn w:val="1"/>
    <w:qFormat/>
    <w:uiPriority w:val="0"/>
    <w:pPr>
      <w:spacing w:line="240" w:lineRule="atLeast"/>
      <w:jc w:val="center"/>
    </w:pPr>
    <w:rPr>
      <w:rFonts w:ascii="Times New Roman" w:hAnsi="宋体" w:cs="Times New Roman"/>
      <w:kern w:val="0"/>
      <w:szCs w:val="24"/>
    </w:rPr>
  </w:style>
  <w:style w:type="paragraph" w:customStyle="1" w:styleId="2305">
    <w:name w:val="样式 样式 标题 3小节名小节标题 33标题 13条标题1.1.1(F4)标题 3 Char Char Char标题 ...3 ..."/>
    <w:basedOn w:val="2137"/>
    <w:qFormat/>
    <w:uiPriority w:val="0"/>
  </w:style>
  <w:style w:type="paragraph" w:customStyle="1" w:styleId="2306">
    <w:name w:val="Char Char13 Char Char Char Char Char1 Char Char"/>
    <w:basedOn w:val="1"/>
    <w:qFormat/>
    <w:uiPriority w:val="0"/>
    <w:pPr>
      <w:spacing w:line="480" w:lineRule="atLeast"/>
      <w:ind w:firstLine="200" w:firstLineChars="200"/>
      <w:jc w:val="left"/>
      <w:outlineLvl w:val="3"/>
    </w:pPr>
    <w:rPr>
      <w:rFonts w:ascii="宋体" w:hAnsi="宋体" w:cs="宋体"/>
      <w:sz w:val="24"/>
      <w:szCs w:val="24"/>
    </w:rPr>
  </w:style>
  <w:style w:type="paragraph" w:customStyle="1" w:styleId="2307">
    <w:name w:val="样式 表格名称 + 首行缩进:  0.85 厘米"/>
    <w:basedOn w:val="348"/>
    <w:qFormat/>
    <w:uiPriority w:val="0"/>
    <w:pPr>
      <w:tabs>
        <w:tab w:val="left" w:pos="-24"/>
      </w:tabs>
      <w:spacing w:beforeLines="0" w:after="0" w:afterAutospacing="0" w:line="500" w:lineRule="exact"/>
      <w:ind w:firstLine="480"/>
      <w:contextualSpacing w:val="0"/>
      <w:textAlignment w:val="baseline"/>
      <w:outlineLvl w:val="4"/>
    </w:pPr>
    <w:rPr>
      <w:rFonts w:ascii="宋体" w:hAnsi="宋体" w:cs="宋体"/>
      <w:color w:val="0000FF"/>
      <w:sz w:val="26"/>
      <w:szCs w:val="20"/>
      <w:u w:color="000000"/>
    </w:rPr>
  </w:style>
  <w:style w:type="paragraph" w:customStyle="1" w:styleId="2308">
    <w:name w:val="xl146"/>
    <w:basedOn w:val="1"/>
    <w:qFormat/>
    <w:uiPriority w:val="0"/>
    <w:pPr>
      <w:widowControl/>
      <w:pBdr>
        <w:top w:val="single" w:color="auto" w:sz="8" w:space="0"/>
        <w:left w:val="single" w:color="auto" w:sz="8"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09">
    <w:name w:val="郝2"/>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310">
    <w:name w:val="丰都水保表格"/>
    <w:basedOn w:val="1"/>
    <w:next w:val="1"/>
    <w:qFormat/>
    <w:uiPriority w:val="0"/>
    <w:pPr>
      <w:widowControl/>
      <w:spacing w:line="0" w:lineRule="atLeast"/>
      <w:jc w:val="left"/>
      <w:textAlignment w:val="baseline"/>
    </w:pPr>
    <w:rPr>
      <w:rFonts w:ascii="Times New Roman" w:hAnsi="Times New Roman" w:cs="Times New Roman"/>
      <w:color w:val="000000"/>
      <w:kern w:val="0"/>
      <w:szCs w:val="20"/>
      <w:u w:color="000000"/>
    </w:rPr>
  </w:style>
  <w:style w:type="paragraph" w:customStyle="1" w:styleId="2311">
    <w:name w:val="样式 标题 3标题 3 Char Char Char节，一一黑四（一）条，（一）标题3 Char Char Cha...1"/>
    <w:basedOn w:val="5"/>
    <w:qFormat/>
    <w:uiPriority w:val="0"/>
    <w:pPr>
      <w:spacing w:beforeLines="10"/>
      <w:ind w:left="720" w:hanging="432"/>
    </w:pPr>
    <w:rPr>
      <w:rFonts w:cs="Times New Roman" w:eastAsiaTheme="minorEastAsia"/>
      <w:bCs w:val="0"/>
      <w:szCs w:val="26"/>
    </w:rPr>
  </w:style>
  <w:style w:type="paragraph" w:customStyle="1" w:styleId="2312">
    <w:name w:val="批注框文本1"/>
    <w:basedOn w:val="1"/>
    <w:qFormat/>
    <w:uiPriority w:val="0"/>
    <w:pPr>
      <w:spacing w:line="360" w:lineRule="atLeast"/>
      <w:jc w:val="left"/>
      <w:textAlignment w:val="baseline"/>
    </w:pPr>
    <w:rPr>
      <w:rFonts w:hint="eastAsia" w:ascii="宋体" w:hAnsi="Times New Roman" w:cs="Times New Roman"/>
      <w:kern w:val="0"/>
      <w:sz w:val="18"/>
      <w:szCs w:val="20"/>
    </w:rPr>
  </w:style>
  <w:style w:type="paragraph" w:customStyle="1" w:styleId="2313">
    <w:name w:val="xl154"/>
    <w:basedOn w:val="1"/>
    <w:qFormat/>
    <w:uiPriority w:val="0"/>
    <w:pPr>
      <w:widowControl/>
      <w:pBdr>
        <w:top w:val="single" w:color="auto" w:sz="4" w:space="0"/>
        <w:bottom w:val="single" w:color="auto" w:sz="4" w:space="0"/>
        <w:right w:val="single" w:color="auto" w:sz="8" w:space="0"/>
      </w:pBdr>
      <w:shd w:val="clear" w:color="auto" w:fill="FFFFFF"/>
      <w:spacing w:beforeAutospacing="1" w:after="100" w:afterAutospacing="1"/>
      <w:jc w:val="left"/>
    </w:pPr>
    <w:rPr>
      <w:rFonts w:ascii="宋体" w:hAnsi="宋体" w:cs="宋体"/>
      <w:kern w:val="0"/>
      <w:sz w:val="24"/>
      <w:szCs w:val="24"/>
    </w:rPr>
  </w:style>
  <w:style w:type="paragraph" w:customStyle="1" w:styleId="2314">
    <w:name w:val="Char Char13 Char Char1"/>
    <w:basedOn w:val="1"/>
    <w:qFormat/>
    <w:uiPriority w:val="0"/>
    <w:pPr>
      <w:spacing w:line="480" w:lineRule="atLeast"/>
      <w:ind w:firstLine="200" w:firstLineChars="200"/>
      <w:jc w:val="left"/>
      <w:outlineLvl w:val="3"/>
    </w:pPr>
    <w:rPr>
      <w:rFonts w:ascii="宋体" w:hAnsi="宋体" w:eastAsia="Times New Roman" w:cs="宋体"/>
      <w:sz w:val="24"/>
      <w:szCs w:val="24"/>
    </w:rPr>
  </w:style>
  <w:style w:type="paragraph" w:customStyle="1" w:styleId="2315">
    <w:name w:val="Char Char4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316">
    <w:name w:val="Char Char Char1 Char Char Char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8"/>
    </w:rPr>
  </w:style>
  <w:style w:type="paragraph" w:customStyle="1" w:styleId="2317">
    <w:name w:val="样式 样式 小三 加粗 居中 + 非加粗"/>
    <w:basedOn w:val="2242"/>
    <w:qFormat/>
    <w:uiPriority w:val="0"/>
  </w:style>
  <w:style w:type="paragraph" w:customStyle="1" w:styleId="2318">
    <w:name w:val="CM42"/>
    <w:basedOn w:val="251"/>
    <w:next w:val="251"/>
    <w:qFormat/>
    <w:uiPriority w:val="0"/>
    <w:pPr>
      <w:adjustRightInd/>
      <w:spacing w:after="143"/>
    </w:pPr>
    <w:rPr>
      <w:rFonts w:hint="eastAsia" w:cs="Times New Roman"/>
      <w:szCs w:val="20"/>
    </w:rPr>
  </w:style>
  <w:style w:type="paragraph" w:customStyle="1" w:styleId="2319">
    <w:name w:val="xl158"/>
    <w:basedOn w:val="1"/>
    <w:qFormat/>
    <w:uiPriority w:val="0"/>
    <w:pPr>
      <w:widowControl/>
      <w:pBdr>
        <w:top w:val="single" w:color="auto" w:sz="8"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20">
    <w:name w:val="标题 11"/>
    <w:basedOn w:val="1"/>
    <w:next w:val="2279"/>
    <w:qFormat/>
    <w:uiPriority w:val="0"/>
    <w:pPr>
      <w:widowControl/>
      <w:spacing w:after="153" w:line="788" w:lineRule="atLeast"/>
      <w:jc w:val="center"/>
      <w:textAlignment w:val="baseline"/>
    </w:pPr>
    <w:rPr>
      <w:rFonts w:ascii="Arial" w:hAnsi="Times New Roman" w:eastAsia="黑体" w:cs="Times New Roman"/>
      <w:color w:val="000000"/>
      <w:kern w:val="0"/>
      <w:sz w:val="31"/>
      <w:szCs w:val="20"/>
      <w:u w:color="000000"/>
    </w:rPr>
  </w:style>
  <w:style w:type="paragraph" w:customStyle="1" w:styleId="2321">
    <w:name w:val="样式 表格文字 + 宋体"/>
    <w:basedOn w:val="1015"/>
    <w:qFormat/>
    <w:uiPriority w:val="0"/>
    <w:pPr>
      <w:widowControl/>
      <w:tabs>
        <w:tab w:val="left" w:pos="-24"/>
      </w:tabs>
      <w:adjustRightInd/>
      <w:spacing w:line="0" w:lineRule="atLeast"/>
      <w:textAlignment w:val="baseline"/>
    </w:pPr>
    <w:rPr>
      <w:rFonts w:ascii="宋体" w:hAnsi="宋体" w:eastAsia="宋体"/>
      <w:color w:val="000000"/>
      <w:kern w:val="0"/>
      <w:sz w:val="21"/>
      <w:u w:color="000000"/>
    </w:rPr>
  </w:style>
  <w:style w:type="paragraph" w:customStyle="1" w:styleId="2322">
    <w:name w:val="样式 首行缩进:  2 字符 行距: 固定值 23 磅"/>
    <w:basedOn w:val="1"/>
    <w:qFormat/>
    <w:uiPriority w:val="0"/>
    <w:pPr>
      <w:spacing w:line="400" w:lineRule="exact"/>
      <w:ind w:firstLine="200" w:firstLineChars="200"/>
      <w:jc w:val="left"/>
    </w:pPr>
    <w:rPr>
      <w:rFonts w:ascii="Times New Roman" w:hAnsi="Times New Roman" w:cs="Times New Roman"/>
      <w:sz w:val="24"/>
      <w:szCs w:val="20"/>
    </w:rPr>
  </w:style>
  <w:style w:type="paragraph" w:customStyle="1" w:styleId="2323">
    <w:name w:val="gyy正文文字"/>
    <w:basedOn w:val="1"/>
    <w:qFormat/>
    <w:uiPriority w:val="0"/>
    <w:pPr>
      <w:spacing w:line="360" w:lineRule="auto"/>
      <w:ind w:firstLine="471"/>
      <w:jc w:val="left"/>
    </w:pPr>
    <w:rPr>
      <w:rFonts w:ascii="Times New Roman" w:hAnsi="Times New Roman" w:cs="宋体"/>
      <w:color w:val="000000"/>
      <w:spacing w:val="14"/>
      <w:sz w:val="24"/>
      <w:szCs w:val="24"/>
    </w:rPr>
  </w:style>
  <w:style w:type="paragraph" w:customStyle="1" w:styleId="2324">
    <w:name w:val="_Style 64"/>
    <w:basedOn w:val="1"/>
    <w:next w:val="64"/>
    <w:qFormat/>
    <w:uiPriority w:val="0"/>
    <w:pPr>
      <w:widowControl/>
      <w:spacing w:after="60" w:line="312" w:lineRule="auto"/>
      <w:ind w:firstLine="567"/>
      <w:jc w:val="center"/>
      <w:outlineLvl w:val="1"/>
    </w:pPr>
    <w:rPr>
      <w:rFonts w:ascii="Arial" w:hAnsi="Arial" w:eastAsia="楷体_GB2312" w:cs="宋体"/>
      <w:b/>
      <w:spacing w:val="-10"/>
      <w:kern w:val="28"/>
      <w:sz w:val="32"/>
      <w:szCs w:val="24"/>
    </w:rPr>
  </w:style>
  <w:style w:type="paragraph" w:customStyle="1" w:styleId="2325">
    <w:name w:val="Char Char Char1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8"/>
    </w:rPr>
  </w:style>
  <w:style w:type="paragraph" w:customStyle="1" w:styleId="2326">
    <w:name w:val="xl1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27">
    <w:name w:val="样式 标题 3小节名小节标题 33标题 13条标题1.1.1(F4)标题 3 Char Char Char标题 ...1"/>
    <w:basedOn w:val="5"/>
    <w:qFormat/>
    <w:uiPriority w:val="0"/>
    <w:pPr>
      <w:spacing w:beforeLines="10"/>
      <w:ind w:left="720" w:hanging="432"/>
    </w:pPr>
    <w:rPr>
      <w:rFonts w:cs="Times New Roman" w:eastAsiaTheme="minorEastAsia"/>
      <w:bCs w:val="0"/>
      <w:szCs w:val="26"/>
    </w:rPr>
  </w:style>
  <w:style w:type="paragraph" w:customStyle="1" w:styleId="2328">
    <w:name w:val="君邦正文"/>
    <w:link w:val="3529"/>
    <w:qFormat/>
    <w:uiPriority w:val="0"/>
    <w:pPr>
      <w:spacing w:line="360" w:lineRule="auto"/>
      <w:ind w:left="-2" w:leftChars="-2" w:firstLine="480" w:firstLineChars="200"/>
      <w:jc w:val="both"/>
    </w:pPr>
    <w:rPr>
      <w:rFonts w:ascii="宋体" w:hAnsi="宋体" w:eastAsia="宋体" w:cs="Times New Roman"/>
      <w:kern w:val="2"/>
      <w:sz w:val="24"/>
      <w:lang w:val="en-US" w:eastAsia="zh-CN" w:bidi="ar-SA"/>
    </w:rPr>
  </w:style>
  <w:style w:type="paragraph" w:customStyle="1" w:styleId="2329">
    <w:name w:val="样式 标题 2节名节电脑标志H22nd levelh2Header 2标题 1.1编号标题2head:2#..."/>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330">
    <w:name w:val="表格涪陵"/>
    <w:basedOn w:val="1"/>
    <w:next w:val="1"/>
    <w:qFormat/>
    <w:uiPriority w:val="0"/>
    <w:pPr>
      <w:jc w:val="center"/>
      <w:outlineLvl w:val="7"/>
    </w:pPr>
    <w:rPr>
      <w:rFonts w:ascii="宋体" w:hAnsi="宋体" w:cs="宋体"/>
      <w:kern w:val="0"/>
      <w:szCs w:val="20"/>
    </w:rPr>
  </w:style>
  <w:style w:type="paragraph" w:customStyle="1" w:styleId="2331">
    <w:name w:val="样式 标题 2章宋三一、标题 1.1Title 22 headlinehheadlineS&amp;R2ERMH2..."/>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332">
    <w:name w:val="xl153"/>
    <w:basedOn w:val="1"/>
    <w:qFormat/>
    <w:uiPriority w:val="0"/>
    <w:pPr>
      <w:widowControl/>
      <w:pBdr>
        <w:top w:val="single" w:color="auto" w:sz="4" w:space="0"/>
        <w:bottom w:val="single" w:color="auto" w:sz="4" w:space="0"/>
      </w:pBdr>
      <w:shd w:val="clear" w:color="auto" w:fill="FFFFFF"/>
      <w:spacing w:beforeAutospacing="1" w:after="100" w:afterAutospacing="1"/>
      <w:jc w:val="left"/>
    </w:pPr>
    <w:rPr>
      <w:rFonts w:ascii="宋体" w:hAnsi="宋体" w:cs="宋体"/>
      <w:kern w:val="0"/>
      <w:sz w:val="24"/>
      <w:szCs w:val="24"/>
    </w:rPr>
  </w:style>
  <w:style w:type="paragraph" w:customStyle="1" w:styleId="2333">
    <w:name w:val="Char Char3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2334">
    <w:name w:val="正文文本2"/>
    <w:basedOn w:val="1"/>
    <w:qFormat/>
    <w:uiPriority w:val="0"/>
    <w:pPr>
      <w:spacing w:after="120" w:line="360" w:lineRule="atLeast"/>
      <w:jc w:val="left"/>
      <w:textAlignment w:val="baseline"/>
    </w:pPr>
    <w:rPr>
      <w:rFonts w:ascii="宋体" w:hAnsi="Times New Roman" w:cs="Times New Roman"/>
      <w:sz w:val="24"/>
      <w:szCs w:val="24"/>
    </w:rPr>
  </w:style>
  <w:style w:type="paragraph" w:customStyle="1" w:styleId="2335">
    <w:name w:val="xl142"/>
    <w:basedOn w:val="1"/>
    <w:qFormat/>
    <w:uiPriority w:val="0"/>
    <w:pPr>
      <w:widowControl/>
      <w:pBdr>
        <w:top w:val="single" w:color="auto" w:sz="4" w:space="0"/>
        <w:left w:val="single" w:color="auto" w:sz="4" w:space="0"/>
        <w:bottom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36">
    <w:name w:val="Char1 Char Char Char Char Char Char1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337">
    <w:name w:val="xl159"/>
    <w:basedOn w:val="1"/>
    <w:qFormat/>
    <w:uiPriority w:val="0"/>
    <w:pPr>
      <w:widowControl/>
      <w:pBdr>
        <w:top w:val="single" w:color="auto" w:sz="4" w:space="0"/>
        <w:left w:val="single" w:color="auto" w:sz="4" w:space="0"/>
        <w:bottom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38">
    <w:name w:val="目标题1"/>
    <w:basedOn w:val="5"/>
    <w:qFormat/>
    <w:uiPriority w:val="0"/>
    <w:pPr>
      <w:spacing w:beforeLines="10"/>
      <w:ind w:left="720" w:hanging="432"/>
    </w:pPr>
    <w:rPr>
      <w:rFonts w:cs="Times New Roman" w:eastAsiaTheme="minorEastAsia"/>
      <w:bCs w:val="0"/>
      <w:szCs w:val="26"/>
    </w:rPr>
  </w:style>
  <w:style w:type="paragraph" w:customStyle="1" w:styleId="2339">
    <w:name w:val="xl150"/>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40">
    <w:name w:val="5表头"/>
    <w:basedOn w:val="1"/>
    <w:qFormat/>
    <w:uiPriority w:val="0"/>
    <w:pPr>
      <w:tabs>
        <w:tab w:val="left" w:pos="0"/>
        <w:tab w:val="center" w:pos="4620"/>
        <w:tab w:val="right" w:pos="9030"/>
      </w:tabs>
      <w:spacing w:line="360" w:lineRule="auto"/>
      <w:ind w:firstLine="210" w:firstLineChars="100"/>
      <w:jc w:val="left"/>
      <w:textAlignment w:val="baseline"/>
    </w:pPr>
    <w:rPr>
      <w:rFonts w:hint="eastAsia" w:ascii="黑体" w:hAnsi="黑体" w:eastAsia="黑体" w:cs="Times New Roman"/>
      <w:kern w:val="0"/>
      <w:sz w:val="34"/>
      <w:szCs w:val="20"/>
    </w:rPr>
  </w:style>
  <w:style w:type="paragraph" w:customStyle="1" w:styleId="2341">
    <w:name w:val="xl155"/>
    <w:basedOn w:val="1"/>
    <w:qFormat/>
    <w:uiPriority w:val="0"/>
    <w:pPr>
      <w:widowControl/>
      <w:pBdr>
        <w:top w:val="single" w:color="auto" w:sz="4" w:space="0"/>
        <w:left w:val="single" w:color="auto" w:sz="4" w:space="0"/>
        <w:bottom w:val="single" w:color="auto" w:sz="8" w:space="0"/>
        <w:right w:val="single" w:color="auto" w:sz="4" w:space="0"/>
      </w:pBdr>
      <w:shd w:val="clear" w:color="auto" w:fill="FFFFFF"/>
      <w:spacing w:beforeAutospacing="1" w:after="100" w:afterAutospacing="1"/>
      <w:jc w:val="center"/>
      <w:textAlignment w:val="center"/>
    </w:pPr>
    <w:rPr>
      <w:rFonts w:ascii="宋体" w:hAnsi="宋体" w:cs="宋体"/>
      <w:kern w:val="0"/>
      <w:sz w:val="20"/>
      <w:szCs w:val="20"/>
    </w:rPr>
  </w:style>
  <w:style w:type="paragraph" w:customStyle="1" w:styleId="2342">
    <w:name w:val="样式 表格冷光义 + 蓝色"/>
    <w:basedOn w:val="1"/>
    <w:qFormat/>
    <w:uiPriority w:val="0"/>
    <w:pPr>
      <w:tabs>
        <w:tab w:val="left" w:pos="420"/>
      </w:tabs>
      <w:adjustRightInd w:val="0"/>
      <w:spacing w:line="0" w:lineRule="atLeast"/>
      <w:jc w:val="center"/>
    </w:pPr>
    <w:rPr>
      <w:rFonts w:hint="eastAsia" w:ascii="宋体" w:hAnsi="宋体" w:cs="宋体"/>
      <w:color w:val="0000FF"/>
      <w:kern w:val="0"/>
      <w:szCs w:val="20"/>
    </w:rPr>
  </w:style>
  <w:style w:type="paragraph" w:customStyle="1" w:styleId="2343">
    <w:name w:val="样式 报告书正文 + 宋体 黑色 首行缩进:  2 字符 段前: 6 磅 行距: 最小值 23 磅"/>
    <w:qFormat/>
    <w:uiPriority w:val="0"/>
    <w:pPr>
      <w:spacing w:line="460" w:lineRule="atLeast"/>
      <w:ind w:firstLine="480" w:firstLineChars="200"/>
    </w:pPr>
    <w:rPr>
      <w:rFonts w:ascii="宋体" w:hAnsi="宋体" w:eastAsia="宋体" w:cs="宋体"/>
      <w:color w:val="000000"/>
      <w:lang w:val="en-US" w:eastAsia="zh-CN" w:bidi="ar-SA"/>
    </w:rPr>
  </w:style>
  <w:style w:type="paragraph" w:customStyle="1" w:styleId="2344">
    <w:name w:val="Char Char Char Char Char Char Char Char Char Char Char Char Char Char Char Char Char Char1 Char Char Char Char Char Char Char"/>
    <w:basedOn w:val="1"/>
    <w:qFormat/>
    <w:uiPriority w:val="0"/>
    <w:pPr>
      <w:jc w:val="left"/>
    </w:pPr>
    <w:rPr>
      <w:rFonts w:ascii="Times New Roman" w:hAnsi="Times New Roman" w:cs="Times New Roman"/>
      <w:szCs w:val="24"/>
    </w:rPr>
  </w:style>
  <w:style w:type="paragraph" w:customStyle="1" w:styleId="2345">
    <w:name w:val="CM3"/>
    <w:basedOn w:val="251"/>
    <w:next w:val="251"/>
    <w:qFormat/>
    <w:uiPriority w:val="0"/>
    <w:pPr>
      <w:adjustRightInd/>
      <w:spacing w:line="476" w:lineRule="atLeast"/>
    </w:pPr>
    <w:rPr>
      <w:rFonts w:hint="eastAsia" w:cs="Times New Roman"/>
      <w:szCs w:val="20"/>
    </w:rPr>
  </w:style>
  <w:style w:type="paragraph" w:customStyle="1" w:styleId="2346">
    <w:name w:val="报告书正文居中"/>
    <w:basedOn w:val="1228"/>
    <w:qFormat/>
    <w:uiPriority w:val="0"/>
    <w:pPr>
      <w:tabs>
        <w:tab w:val="left" w:pos="180"/>
      </w:tabs>
      <w:adjustRightInd/>
      <w:snapToGrid w:val="0"/>
      <w:spacing w:line="360" w:lineRule="auto"/>
      <w:ind w:left="0" w:leftChars="0" w:right="-64" w:firstLine="0" w:firstLineChars="0"/>
      <w:jc w:val="center"/>
      <w:textAlignment w:val="baseline"/>
    </w:pPr>
    <w:rPr>
      <w:rFonts w:hint="eastAsia" w:ascii="Times New Roman" w:hAnsi="Times New Roman"/>
      <w:snapToGrid/>
      <w:kern w:val="2"/>
      <w:sz w:val="24"/>
      <w:szCs w:val="20"/>
    </w:rPr>
  </w:style>
  <w:style w:type="paragraph" w:customStyle="1" w:styleId="2347">
    <w:name w:val="签字表头"/>
    <w:basedOn w:val="1"/>
    <w:qFormat/>
    <w:uiPriority w:val="0"/>
    <w:pPr>
      <w:spacing w:line="480" w:lineRule="atLeast"/>
      <w:jc w:val="left"/>
    </w:pPr>
    <w:rPr>
      <w:rFonts w:ascii="Times New Roman" w:hAnsi="Times New Roman" w:cs="Times New Roman"/>
      <w:sz w:val="28"/>
    </w:rPr>
  </w:style>
  <w:style w:type="paragraph" w:customStyle="1" w:styleId="2348">
    <w:name w:val="0标题2"/>
    <w:basedOn w:val="4"/>
    <w:qFormat/>
    <w:uiPriority w:val="0"/>
    <w:pPr>
      <w:spacing w:after="120"/>
      <w:jc w:val="both"/>
    </w:pPr>
    <w:rPr>
      <w:rFonts w:ascii="Arial" w:hAnsi="Arial" w:cs="Times New Roman" w:eastAsiaTheme="minorEastAsia"/>
      <w:bCs w:val="0"/>
      <w:color w:val="000000" w:themeColor="text1"/>
      <w:szCs w:val="24"/>
      <w14:textFill>
        <w14:solidFill>
          <w14:schemeClr w14:val="tx1"/>
        </w14:solidFill>
      </w14:textFill>
    </w:rPr>
  </w:style>
  <w:style w:type="paragraph" w:customStyle="1" w:styleId="2349">
    <w:name w:val="样式 首行缩进:  2 字符 行距: 1.5 倍行距"/>
    <w:basedOn w:val="1"/>
    <w:qFormat/>
    <w:uiPriority w:val="0"/>
    <w:pPr>
      <w:spacing w:line="400" w:lineRule="exact"/>
      <w:ind w:firstLine="200" w:firstLineChars="200"/>
      <w:jc w:val="left"/>
    </w:pPr>
    <w:rPr>
      <w:rFonts w:ascii="Times New Roman" w:hAnsi="Times New Roman" w:cs="Times New Roman"/>
      <w:sz w:val="24"/>
      <w:szCs w:val="20"/>
    </w:rPr>
  </w:style>
  <w:style w:type="paragraph" w:customStyle="1" w:styleId="2350">
    <w:name w:val="样式 样式 普通文字 + (西文) Times New Roman (中文) 仿宋_GB2312 四号 首行缩进:  2 字符....1"/>
    <w:basedOn w:val="1"/>
    <w:qFormat/>
    <w:uiPriority w:val="0"/>
    <w:pPr>
      <w:spacing w:line="400" w:lineRule="exact"/>
      <w:ind w:firstLine="480" w:firstLineChars="200"/>
      <w:jc w:val="left"/>
    </w:pPr>
    <w:rPr>
      <w:rFonts w:ascii="Times New Roman" w:hAnsi="Times New Roman" w:cs="Times New Roman"/>
      <w:sz w:val="24"/>
      <w:szCs w:val="20"/>
    </w:rPr>
  </w:style>
  <w:style w:type="paragraph" w:customStyle="1" w:styleId="2351">
    <w:name w:val="表格题目"/>
    <w:basedOn w:val="1"/>
    <w:qFormat/>
    <w:uiPriority w:val="0"/>
    <w:pPr>
      <w:adjustRightInd w:val="0"/>
      <w:spacing w:beforeLines="50" w:afterLines="50"/>
      <w:ind w:left="470" w:leftChars="224" w:firstLine="1878" w:firstLineChars="797"/>
      <w:jc w:val="left"/>
    </w:pPr>
    <w:rPr>
      <w:rFonts w:ascii="宋体" w:hAnsi="Times New Roman" w:cs="Times New Roman"/>
      <w:b/>
      <w:bCs/>
      <w:sz w:val="24"/>
      <w:szCs w:val="20"/>
    </w:rPr>
  </w:style>
  <w:style w:type="paragraph" w:customStyle="1" w:styleId="2352">
    <w:name w:val="样式 标题 4 + 段前: 12 磅"/>
    <w:basedOn w:val="1"/>
    <w:qFormat/>
    <w:uiPriority w:val="0"/>
    <w:pPr>
      <w:tabs>
        <w:tab w:val="left" w:pos="0"/>
        <w:tab w:val="left" w:pos="678"/>
      </w:tabs>
      <w:spacing w:line="400" w:lineRule="exact"/>
      <w:jc w:val="left"/>
    </w:pPr>
    <w:rPr>
      <w:rFonts w:ascii="Times New Roman" w:hAnsi="Times New Roman" w:cs="Times New Roman"/>
      <w:sz w:val="24"/>
      <w:szCs w:val="24"/>
    </w:rPr>
  </w:style>
  <w:style w:type="paragraph" w:customStyle="1" w:styleId="2353">
    <w:name w:val="报告书排版正文"/>
    <w:basedOn w:val="1227"/>
    <w:qFormat/>
    <w:uiPriority w:val="0"/>
    <w:pPr>
      <w:snapToGrid/>
    </w:pPr>
  </w:style>
  <w:style w:type="paragraph" w:customStyle="1" w:styleId="2354">
    <w:name w:val="样式 表格 + (符号) 宋体1"/>
    <w:basedOn w:val="1"/>
    <w:qFormat/>
    <w:uiPriority w:val="0"/>
    <w:pPr>
      <w:tabs>
        <w:tab w:val="left" w:pos="360"/>
      </w:tabs>
      <w:adjustRightInd w:val="0"/>
      <w:spacing w:after="120"/>
      <w:jc w:val="center"/>
      <w:textAlignment w:val="baseline"/>
    </w:pPr>
    <w:rPr>
      <w:rFonts w:ascii="宋体" w:hAnsi="Calibri" w:cs="Times New Roman"/>
      <w:szCs w:val="24"/>
    </w:rPr>
  </w:style>
  <w:style w:type="paragraph" w:customStyle="1" w:styleId="2355">
    <w:name w:val="正文四宋"/>
    <w:basedOn w:val="1"/>
    <w:qFormat/>
    <w:uiPriority w:val="0"/>
    <w:pPr>
      <w:ind w:firstLine="567"/>
      <w:jc w:val="left"/>
      <w:outlineLvl w:val="4"/>
    </w:pPr>
    <w:rPr>
      <w:rFonts w:ascii="Times New Roman" w:hAnsi="Times New Roman" w:cs="Times New Roman"/>
      <w:sz w:val="28"/>
      <w:szCs w:val="20"/>
    </w:rPr>
  </w:style>
  <w:style w:type="paragraph" w:customStyle="1" w:styleId="2356">
    <w:name w:val="图目"/>
    <w:basedOn w:val="1"/>
    <w:qFormat/>
    <w:uiPriority w:val="0"/>
    <w:pPr>
      <w:spacing w:beforeLines="50" w:line="440" w:lineRule="atLeast"/>
      <w:jc w:val="center"/>
      <w:textAlignment w:val="baseline"/>
    </w:pPr>
    <w:rPr>
      <w:rFonts w:hint="eastAsia" w:ascii="仿宋_GB2312" w:hAnsi="Arial" w:eastAsia="仿宋_GB2312" w:cs="Times New Roman"/>
      <w:spacing w:val="10"/>
      <w:kern w:val="0"/>
      <w:position w:val="12"/>
      <w:sz w:val="28"/>
      <w:szCs w:val="20"/>
    </w:rPr>
  </w:style>
  <w:style w:type="paragraph" w:customStyle="1" w:styleId="2357">
    <w:name w:val="标题-表格"/>
    <w:basedOn w:val="1"/>
    <w:qFormat/>
    <w:uiPriority w:val="0"/>
    <w:pPr>
      <w:spacing w:line="480" w:lineRule="exact"/>
      <w:jc w:val="center"/>
      <w:outlineLvl w:val="5"/>
    </w:pPr>
    <w:rPr>
      <w:rFonts w:ascii="宋体" w:hAnsi="Times New Roman" w:cs="Times New Roman"/>
      <w:b/>
      <w:sz w:val="24"/>
      <w:szCs w:val="24"/>
    </w:rPr>
  </w:style>
  <w:style w:type="paragraph" w:customStyle="1" w:styleId="2358">
    <w:name w:val="正文－other2"/>
    <w:basedOn w:val="1"/>
    <w:qFormat/>
    <w:uiPriority w:val="0"/>
    <w:pPr>
      <w:spacing w:line="400" w:lineRule="exact"/>
      <w:ind w:firstLine="480"/>
      <w:jc w:val="left"/>
    </w:pPr>
    <w:rPr>
      <w:rFonts w:ascii="Times New Roman" w:hAnsi="Times New Roman" w:cs="Times New Roman"/>
      <w:sz w:val="24"/>
      <w:szCs w:val="20"/>
    </w:rPr>
  </w:style>
  <w:style w:type="paragraph" w:customStyle="1" w:styleId="2359">
    <w:name w:val="签字表"/>
    <w:basedOn w:val="1"/>
    <w:qFormat/>
    <w:uiPriority w:val="0"/>
    <w:pPr>
      <w:jc w:val="center"/>
    </w:pPr>
    <w:rPr>
      <w:rFonts w:ascii="Times New Roman" w:hAnsi="Times New Roman" w:cs="Times New Roman"/>
      <w:spacing w:val="-6"/>
    </w:rPr>
  </w:style>
  <w:style w:type="paragraph" w:customStyle="1" w:styleId="2360">
    <w:name w:val="表目"/>
    <w:basedOn w:val="1"/>
    <w:qFormat/>
    <w:uiPriority w:val="0"/>
    <w:pPr>
      <w:spacing w:line="400" w:lineRule="atLeast"/>
      <w:jc w:val="center"/>
      <w:textAlignment w:val="baseline"/>
    </w:pPr>
    <w:rPr>
      <w:rFonts w:hint="eastAsia" w:ascii="Arial" w:hAnsi="Arial" w:cs="Times New Roman"/>
      <w:b/>
      <w:kern w:val="0"/>
      <w:sz w:val="24"/>
      <w:szCs w:val="20"/>
    </w:rPr>
  </w:style>
  <w:style w:type="paragraph" w:customStyle="1" w:styleId="2361">
    <w:name w:val="报告书正文 Char Char2"/>
    <w:basedOn w:val="1"/>
    <w:qFormat/>
    <w:uiPriority w:val="0"/>
    <w:pPr>
      <w:spacing w:line="432" w:lineRule="auto"/>
      <w:ind w:firstLine="480" w:firstLineChars="200"/>
      <w:jc w:val="left"/>
    </w:pPr>
    <w:rPr>
      <w:rFonts w:ascii="Times New Roman" w:hAnsi="Times New Roman" w:cs="Times New Roman"/>
      <w:color w:val="000000"/>
      <w:sz w:val="24"/>
      <w:szCs w:val="24"/>
    </w:rPr>
  </w:style>
  <w:style w:type="paragraph" w:customStyle="1" w:styleId="2362">
    <w:name w:val="Char6"/>
    <w:basedOn w:val="1"/>
    <w:qFormat/>
    <w:uiPriority w:val="0"/>
    <w:pPr>
      <w:spacing w:line="360" w:lineRule="auto"/>
      <w:ind w:firstLine="200" w:firstLineChars="200"/>
      <w:jc w:val="left"/>
    </w:pPr>
    <w:rPr>
      <w:rFonts w:ascii="宋体" w:hAnsi="宋体" w:cs="宋体"/>
      <w:sz w:val="24"/>
      <w:szCs w:val="24"/>
    </w:rPr>
  </w:style>
  <w:style w:type="paragraph" w:customStyle="1" w:styleId="2363">
    <w:name w:val="样式 表格 + 自动设置"/>
    <w:basedOn w:val="1"/>
    <w:qFormat/>
    <w:uiPriority w:val="0"/>
    <w:pPr>
      <w:adjustRightInd w:val="0"/>
      <w:spacing w:line="320" w:lineRule="exact"/>
      <w:jc w:val="center"/>
    </w:pPr>
    <w:rPr>
      <w:rFonts w:ascii="Times New Roman" w:hAnsi="Times New Roman" w:cs="Times New Roman"/>
      <w:snapToGrid w:val="0"/>
      <w:kern w:val="0"/>
      <w:sz w:val="20"/>
      <w:szCs w:val="20"/>
      <w:u w:color="000000"/>
    </w:rPr>
  </w:style>
  <w:style w:type="paragraph" w:customStyle="1" w:styleId="2364">
    <w:name w:val="标题A"/>
    <w:basedOn w:val="1"/>
    <w:qFormat/>
    <w:uiPriority w:val="0"/>
    <w:pPr>
      <w:adjustRightInd w:val="0"/>
      <w:spacing w:beforeLines="100" w:afterLines="100" w:line="440" w:lineRule="atLeast"/>
      <w:jc w:val="center"/>
    </w:pPr>
    <w:rPr>
      <w:rFonts w:ascii="Times" w:hAnsi="Times" w:cs="Times New Roman"/>
      <w:b/>
      <w:sz w:val="36"/>
      <w:szCs w:val="24"/>
    </w:rPr>
  </w:style>
  <w:style w:type="paragraph" w:customStyle="1" w:styleId="2365">
    <w:name w:val="z-窗体底端1"/>
    <w:basedOn w:val="1"/>
    <w:next w:val="1"/>
    <w:link w:val="2366"/>
    <w:qFormat/>
    <w:uiPriority w:val="0"/>
    <w:pPr>
      <w:widowControl/>
      <w:pBdr>
        <w:top w:val="single" w:color="auto" w:sz="6" w:space="1"/>
      </w:pBdr>
      <w:jc w:val="center"/>
    </w:pPr>
    <w:rPr>
      <w:rFonts w:ascii="Arial" w:hAnsi="Arial" w:cs="Times New Roman"/>
      <w:vanish/>
      <w:kern w:val="0"/>
      <w:sz w:val="16"/>
      <w:szCs w:val="16"/>
    </w:rPr>
  </w:style>
  <w:style w:type="character" w:customStyle="1" w:styleId="2366">
    <w:name w:val="z-窗体底端 Char"/>
    <w:basedOn w:val="132"/>
    <w:link w:val="2365"/>
    <w:qFormat/>
    <w:uiPriority w:val="0"/>
    <w:rPr>
      <w:rFonts w:ascii="Arial" w:hAnsi="Arial" w:cs="Times New Roman"/>
      <w:vanish/>
      <w:kern w:val="0"/>
      <w:sz w:val="16"/>
      <w:szCs w:val="16"/>
    </w:rPr>
  </w:style>
  <w:style w:type="paragraph" w:customStyle="1" w:styleId="2367">
    <w:name w:val="样式 标题 3 + 段前: 11.3 磅 段后: 11.3 磅"/>
    <w:basedOn w:val="5"/>
    <w:qFormat/>
    <w:uiPriority w:val="0"/>
    <w:pPr>
      <w:spacing w:beforeLines="10"/>
      <w:ind w:left="720" w:hanging="432"/>
    </w:pPr>
    <w:rPr>
      <w:rFonts w:cs="Times New Roman" w:eastAsiaTheme="minorEastAsia"/>
      <w:bCs w:val="0"/>
      <w:szCs w:val="26"/>
    </w:rPr>
  </w:style>
  <w:style w:type="paragraph" w:customStyle="1" w:styleId="2368">
    <w:name w:val="Char12"/>
    <w:basedOn w:val="5"/>
    <w:link w:val="2690"/>
    <w:qFormat/>
    <w:uiPriority w:val="0"/>
    <w:pPr>
      <w:spacing w:beforeLines="10"/>
      <w:ind w:left="720" w:hanging="432"/>
    </w:pPr>
    <w:rPr>
      <w:rFonts w:cs="Times New Roman" w:eastAsiaTheme="minorEastAsia"/>
      <w:bCs w:val="0"/>
      <w:szCs w:val="26"/>
    </w:rPr>
  </w:style>
  <w:style w:type="paragraph" w:customStyle="1" w:styleId="2369">
    <w:name w:val="交通公文"/>
    <w:basedOn w:val="1"/>
    <w:qFormat/>
    <w:uiPriority w:val="0"/>
    <w:pPr>
      <w:spacing w:line="600" w:lineRule="exact"/>
      <w:jc w:val="left"/>
    </w:pPr>
    <w:rPr>
      <w:rFonts w:ascii="Times New Roman" w:hAnsi="Times New Roman" w:eastAsia="方正仿宋简体" w:cs="Times New Roman"/>
      <w:spacing w:val="10"/>
      <w:sz w:val="32"/>
      <w:szCs w:val="24"/>
    </w:rPr>
  </w:style>
  <w:style w:type="paragraph" w:customStyle="1" w:styleId="2370">
    <w:name w:val="xl160"/>
    <w:basedOn w:val="1"/>
    <w:qFormat/>
    <w:uiPriority w:val="0"/>
    <w:pPr>
      <w:widowControl/>
      <w:pBdr>
        <w:top w:val="single" w:color="auto" w:sz="4"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71">
    <w:name w:val="样式 标题 3标题 3 Char Char Char节，一一黑四（一）条，（一）Title3h3H3head..."/>
    <w:basedOn w:val="5"/>
    <w:qFormat/>
    <w:uiPriority w:val="0"/>
    <w:pPr>
      <w:spacing w:beforeLines="10"/>
      <w:ind w:left="720" w:hanging="432"/>
    </w:pPr>
    <w:rPr>
      <w:rFonts w:cs="Times New Roman" w:eastAsiaTheme="minorEastAsia"/>
      <w:bCs w:val="0"/>
      <w:szCs w:val="26"/>
    </w:rPr>
  </w:style>
  <w:style w:type="paragraph" w:customStyle="1" w:styleId="2372">
    <w:name w:val="xl134"/>
    <w:basedOn w:val="1"/>
    <w:qFormat/>
    <w:uiPriority w:val="0"/>
    <w:pPr>
      <w:widowControl/>
      <w:pBdr>
        <w:top w:val="single" w:color="auto" w:sz="4" w:space="0"/>
      </w:pBdr>
      <w:shd w:val="clear" w:color="auto" w:fill="FFFFFF"/>
      <w:spacing w:beforeAutospacing="1" w:after="100" w:afterAutospacing="1"/>
      <w:jc w:val="left"/>
    </w:pPr>
    <w:rPr>
      <w:rFonts w:ascii="宋体" w:hAnsi="宋体" w:cs="宋体"/>
      <w:kern w:val="0"/>
      <w:sz w:val="22"/>
    </w:rPr>
  </w:style>
  <w:style w:type="paragraph" w:customStyle="1" w:styleId="2373">
    <w:name w:val="样式 表格 + 段前: 0.05 行 段后: 0.05 行"/>
    <w:basedOn w:val="1"/>
    <w:qFormat/>
    <w:uiPriority w:val="0"/>
    <w:pPr>
      <w:adjustRightInd w:val="0"/>
      <w:spacing w:line="300" w:lineRule="exact"/>
      <w:jc w:val="center"/>
    </w:pPr>
    <w:rPr>
      <w:rFonts w:ascii="Times New Roman" w:hAnsi="Times New Roman" w:cs="宋体"/>
      <w:snapToGrid w:val="0"/>
      <w:color w:val="000000"/>
      <w:kern w:val="0"/>
      <w:sz w:val="20"/>
      <w:szCs w:val="20"/>
    </w:rPr>
  </w:style>
  <w:style w:type="paragraph" w:customStyle="1" w:styleId="2374">
    <w:name w:val="4分节"/>
    <w:basedOn w:val="1"/>
    <w:qFormat/>
    <w:uiPriority w:val="0"/>
    <w:pPr>
      <w:spacing w:afterLines="50" w:line="500" w:lineRule="atLeast"/>
      <w:ind w:firstLine="200" w:firstLineChars="200"/>
      <w:jc w:val="left"/>
      <w:textAlignment w:val="baseline"/>
      <w:outlineLvl w:val="3"/>
    </w:pPr>
    <w:rPr>
      <w:rFonts w:hint="eastAsia" w:ascii="黑体" w:hAnsi="Times New Roman" w:eastAsia="黑体" w:cs="Times New Roman"/>
      <w:kern w:val="0"/>
      <w:sz w:val="24"/>
      <w:szCs w:val="20"/>
    </w:rPr>
  </w:style>
  <w:style w:type="paragraph" w:customStyle="1" w:styleId="2375">
    <w:name w:val="表名，13黑"/>
    <w:qFormat/>
    <w:uiPriority w:val="0"/>
    <w:pPr>
      <w:keepNext/>
      <w:widowControl w:val="0"/>
      <w:jc w:val="center"/>
    </w:pPr>
    <w:rPr>
      <w:rFonts w:ascii="Arial" w:hAnsi="Arial" w:eastAsia="黑体" w:cs="Times New Roman"/>
      <w:kern w:val="2"/>
      <w:sz w:val="21"/>
      <w:lang w:val="en-US" w:eastAsia="zh-CN" w:bidi="ar-SA"/>
    </w:rPr>
  </w:style>
  <w:style w:type="paragraph" w:customStyle="1" w:styleId="2376">
    <w:name w:val="xl148"/>
    <w:basedOn w:val="1"/>
    <w:qFormat/>
    <w:uiPriority w:val="0"/>
    <w:pPr>
      <w:widowControl/>
      <w:pBdr>
        <w:top w:val="single" w:color="auto" w:sz="8" w:space="0"/>
        <w:left w:val="single" w:color="auto" w:sz="4" w:space="0"/>
        <w:bottom w:val="single" w:color="auto" w:sz="4" w:space="0"/>
        <w:right w:val="single" w:color="auto" w:sz="4" w:space="0"/>
      </w:pBdr>
      <w:shd w:val="clear" w:color="auto" w:fill="FFFFFF"/>
      <w:spacing w:beforeAutospacing="1" w:after="100" w:afterAutospacing="1"/>
      <w:jc w:val="center"/>
      <w:textAlignment w:val="center"/>
    </w:pPr>
    <w:rPr>
      <w:rFonts w:ascii="宋体" w:hAnsi="宋体" w:cs="宋体"/>
      <w:kern w:val="0"/>
      <w:sz w:val="22"/>
    </w:rPr>
  </w:style>
  <w:style w:type="paragraph" w:customStyle="1" w:styleId="2377">
    <w:name w:val="正文31"/>
    <w:basedOn w:val="1"/>
    <w:qFormat/>
    <w:uiPriority w:val="0"/>
    <w:pPr>
      <w:spacing w:line="432" w:lineRule="auto"/>
      <w:ind w:firstLine="200" w:firstLineChars="200"/>
      <w:jc w:val="left"/>
    </w:pPr>
    <w:rPr>
      <w:rFonts w:ascii="Times New Roman" w:hAnsi="Times New Roman" w:cs="Times New Roman"/>
      <w:b/>
      <w:sz w:val="24"/>
      <w:szCs w:val="24"/>
    </w:rPr>
  </w:style>
  <w:style w:type="paragraph" w:customStyle="1" w:styleId="2378">
    <w:name w:val="xl156"/>
    <w:basedOn w:val="1"/>
    <w:qFormat/>
    <w:uiPriority w:val="0"/>
    <w:pPr>
      <w:widowControl/>
      <w:pBdr>
        <w:top w:val="single" w:color="auto" w:sz="4" w:space="0"/>
        <w:left w:val="single" w:color="auto" w:sz="4" w:space="0"/>
        <w:bottom w:val="single" w:color="auto" w:sz="8" w:space="0"/>
        <w:right w:val="single" w:color="auto" w:sz="8" w:space="0"/>
      </w:pBdr>
      <w:shd w:val="clear" w:color="auto" w:fill="FFFFFF"/>
      <w:spacing w:beforeAutospacing="1" w:after="100" w:afterAutospacing="1"/>
      <w:jc w:val="center"/>
      <w:textAlignment w:val="center"/>
    </w:pPr>
    <w:rPr>
      <w:rFonts w:ascii="宋体" w:hAnsi="宋体" w:cs="宋体"/>
      <w:kern w:val="0"/>
      <w:sz w:val="20"/>
      <w:szCs w:val="20"/>
    </w:rPr>
  </w:style>
  <w:style w:type="paragraph" w:customStyle="1" w:styleId="2379">
    <w:name w:val="Char2 Char Char Char Char Char Char1 Char Char Char Char Char Char2"/>
    <w:basedOn w:val="1"/>
    <w:qFormat/>
    <w:uiPriority w:val="0"/>
    <w:pPr>
      <w:spacing w:line="360" w:lineRule="auto"/>
      <w:ind w:firstLine="200" w:firstLineChars="200"/>
      <w:jc w:val="left"/>
    </w:pPr>
    <w:rPr>
      <w:rFonts w:ascii="宋体" w:hAnsi="宋体" w:cs="宋体"/>
      <w:sz w:val="24"/>
      <w:szCs w:val="24"/>
    </w:rPr>
  </w:style>
  <w:style w:type="paragraph" w:customStyle="1" w:styleId="2380">
    <w:name w:val="封面 3"/>
    <w:qFormat/>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2381">
    <w:name w:val="样式 正文文字 + 首行缩进:  2 字符"/>
    <w:basedOn w:val="34"/>
    <w:qFormat/>
    <w:uiPriority w:val="0"/>
    <w:pPr>
      <w:adjustRightInd/>
      <w:spacing w:beforeLines="0" w:line="240" w:lineRule="auto"/>
      <w:ind w:firstLine="560" w:firstLineChars="200"/>
    </w:pPr>
    <w:rPr>
      <w:rFonts w:ascii="Calibri" w:hAnsi="Calibri" w:cs="宋体" w:eastAsiaTheme="minorEastAsia"/>
      <w:snapToGrid/>
      <w:kern w:val="2"/>
      <w:sz w:val="28"/>
      <w:szCs w:val="20"/>
    </w:rPr>
  </w:style>
  <w:style w:type="paragraph" w:customStyle="1" w:styleId="2382">
    <w:name w:val="样式 标题 4白鹤滩标题 4款标题1.1.1.1标题 4 Char Char Char Char Char Char Ch..."/>
    <w:basedOn w:val="6"/>
    <w:qFormat/>
    <w:uiPriority w:val="0"/>
    <w:pPr>
      <w:tabs>
        <w:tab w:val="left" w:pos="0"/>
      </w:tabs>
      <w:ind w:left="864" w:hanging="144"/>
      <w:jc w:val="both"/>
    </w:pPr>
    <w:rPr>
      <w:rFonts w:ascii="Arial" w:hAnsi="Arial" w:cs="Times New Roman" w:eastAsiaTheme="minorEastAsia"/>
      <w:bCs w:val="0"/>
      <w:i/>
    </w:rPr>
  </w:style>
  <w:style w:type="paragraph" w:customStyle="1" w:styleId="2383">
    <w:name w:val="样式 (中文) 仿宋_GB2312 四号 黑色 首行缩进:  2 字符 行距: 固定值 23 磅"/>
    <w:basedOn w:val="1"/>
    <w:qFormat/>
    <w:uiPriority w:val="0"/>
    <w:pPr>
      <w:spacing w:line="400" w:lineRule="exact"/>
      <w:ind w:firstLine="200" w:firstLineChars="200"/>
      <w:jc w:val="left"/>
    </w:pPr>
    <w:rPr>
      <w:rFonts w:ascii="Times New Roman" w:hAnsi="Times New Roman" w:cs="Times New Roman"/>
      <w:color w:val="000000"/>
      <w:sz w:val="24"/>
      <w:szCs w:val="20"/>
    </w:rPr>
  </w:style>
  <w:style w:type="paragraph" w:customStyle="1" w:styleId="2384">
    <w:name w:val="Char3"/>
    <w:basedOn w:val="1"/>
    <w:qFormat/>
    <w:uiPriority w:val="0"/>
    <w:pPr>
      <w:ind w:firstLine="480" w:firstLineChars="200"/>
      <w:jc w:val="left"/>
    </w:pPr>
    <w:rPr>
      <w:rFonts w:ascii="Times New Roman" w:hAnsi="Times New Roman" w:cs="Times New Roman"/>
      <w:szCs w:val="24"/>
    </w:rPr>
  </w:style>
  <w:style w:type="paragraph" w:customStyle="1" w:styleId="2385">
    <w:name w:val="样式 样式 标题 3小节名小节标题 33标题 13条标题1.1.1(F4)标题 3 Char Char Char标题 ...1 ..."/>
    <w:basedOn w:val="2327"/>
    <w:qFormat/>
    <w:uiPriority w:val="0"/>
    <w:pPr>
      <w:keepLines w:val="0"/>
      <w:tabs>
        <w:tab w:val="left" w:pos="668"/>
        <w:tab w:val="left" w:pos="1740"/>
      </w:tabs>
      <w:kinsoku w:val="0"/>
      <w:overflowPunct w:val="0"/>
      <w:autoSpaceDE w:val="0"/>
      <w:autoSpaceDN w:val="0"/>
      <w:spacing w:before="50" w:afterLines="25" w:line="288" w:lineRule="auto"/>
      <w:ind w:left="0" w:firstLine="0"/>
    </w:pPr>
    <w:rPr>
      <w:rFonts w:cs="宋体"/>
      <w:color w:val="000000"/>
      <w:kern w:val="0"/>
      <w:szCs w:val="20"/>
    </w:rPr>
  </w:style>
  <w:style w:type="paragraph" w:customStyle="1" w:styleId="2386">
    <w:name w:val="Style Body Text Indent + 四号 First line:  2 ch After:  0.5 line L..."/>
    <w:basedOn w:val="35"/>
    <w:qFormat/>
    <w:uiPriority w:val="0"/>
    <w:pPr>
      <w:spacing w:beforeLines="10" w:after="0" w:line="360" w:lineRule="exact"/>
      <w:ind w:left="0" w:leftChars="0" w:firstLine="422"/>
    </w:pPr>
    <w:rPr>
      <w:rFonts w:ascii="宋体" w:hAnsi="宋体" w:eastAsiaTheme="minorEastAsia"/>
      <w:b/>
      <w:snapToGrid w:val="0"/>
      <w:kern w:val="0"/>
      <w:sz w:val="21"/>
      <w:szCs w:val="28"/>
    </w:rPr>
  </w:style>
  <w:style w:type="paragraph" w:customStyle="1" w:styleId="2387">
    <w:name w:val="样式 样式 样式 标题 3小节名小节标题 33标题 13条标题1.1.1(F4)标题 3 Char Char Char标题 ....."/>
    <w:basedOn w:val="2305"/>
    <w:qFormat/>
    <w:uiPriority w:val="0"/>
    <w:pPr>
      <w:keepLines w:val="0"/>
      <w:tabs>
        <w:tab w:val="left" w:pos="1281"/>
      </w:tabs>
      <w:kinsoku w:val="0"/>
      <w:overflowPunct w:val="0"/>
      <w:autoSpaceDE w:val="0"/>
      <w:autoSpaceDN w:val="0"/>
      <w:spacing w:before="50"/>
      <w:ind w:left="0" w:firstLine="0"/>
    </w:pPr>
    <w:rPr>
      <w:rFonts w:cs="宋体"/>
      <w:color w:val="000000"/>
      <w:kern w:val="0"/>
      <w:szCs w:val="20"/>
    </w:rPr>
  </w:style>
  <w:style w:type="paragraph" w:customStyle="1" w:styleId="2388">
    <w:name w:val="9正文 Char Char Char Char Char Char Char"/>
    <w:basedOn w:val="1"/>
    <w:qFormat/>
    <w:uiPriority w:val="0"/>
    <w:pPr>
      <w:spacing w:afterLines="50" w:line="360" w:lineRule="auto"/>
      <w:ind w:firstLine="480" w:firstLineChars="200"/>
      <w:jc w:val="left"/>
      <w:textAlignment w:val="center"/>
    </w:pPr>
    <w:rPr>
      <w:rFonts w:ascii="Times New Roman" w:hAnsi="Times New Roman" w:cs="Times New Roman"/>
      <w:sz w:val="24"/>
      <w:szCs w:val="20"/>
    </w:rPr>
  </w:style>
  <w:style w:type="paragraph" w:customStyle="1" w:styleId="2389">
    <w:name w:val="Table"/>
    <w:basedOn w:val="1"/>
    <w:qFormat/>
    <w:uiPriority w:val="0"/>
    <w:pPr>
      <w:adjustRightInd w:val="0"/>
      <w:jc w:val="center"/>
      <w:textAlignment w:val="baseline"/>
    </w:pPr>
    <w:rPr>
      <w:rFonts w:ascii="宋体" w:hAnsi="Times New Roman" w:cs="Times New Roman"/>
      <w:spacing w:val="-10"/>
      <w:kern w:val="0"/>
      <w:szCs w:val="20"/>
    </w:rPr>
  </w:style>
  <w:style w:type="paragraph" w:customStyle="1" w:styleId="2390">
    <w:name w:val="Char Char Char Char Char Char Char Char Char Char Char Char Char Char Char Char Char Char1 Char Char Char Char Char Char Char1"/>
    <w:basedOn w:val="1"/>
    <w:qFormat/>
    <w:uiPriority w:val="0"/>
    <w:pPr>
      <w:spacing w:line="360" w:lineRule="atLeast"/>
      <w:jc w:val="left"/>
      <w:textAlignment w:val="baseline"/>
    </w:pPr>
    <w:rPr>
      <w:rFonts w:hint="eastAsia" w:ascii="宋体" w:hAnsi="Times New Roman" w:cs="Times New Roman"/>
      <w:kern w:val="0"/>
      <w:sz w:val="34"/>
      <w:szCs w:val="20"/>
    </w:rPr>
  </w:style>
  <w:style w:type="paragraph" w:customStyle="1" w:styleId="2391">
    <w:name w:val="identication Char1"/>
    <w:basedOn w:val="1"/>
    <w:qFormat/>
    <w:uiPriority w:val="0"/>
    <w:pPr>
      <w:spacing w:line="360" w:lineRule="atLeast"/>
      <w:ind w:firstLine="420" w:firstLineChars="200"/>
      <w:jc w:val="left"/>
      <w:textAlignment w:val="baseline"/>
    </w:pPr>
    <w:rPr>
      <w:rFonts w:ascii="宋体" w:hAnsi="Times New Roman" w:cs="Times New Roman"/>
      <w:sz w:val="24"/>
      <w:szCs w:val="24"/>
    </w:rPr>
  </w:style>
  <w:style w:type="paragraph" w:customStyle="1" w:styleId="2392">
    <w:name w:val="表体"/>
    <w:basedOn w:val="1"/>
    <w:qFormat/>
    <w:uiPriority w:val="0"/>
    <w:pPr>
      <w:spacing w:line="0" w:lineRule="atLeast"/>
      <w:jc w:val="center"/>
    </w:pPr>
    <w:rPr>
      <w:rFonts w:ascii="Times New Roman" w:hAnsi="Times New Roman" w:cs="Times New Roman"/>
    </w:rPr>
  </w:style>
  <w:style w:type="paragraph" w:customStyle="1" w:styleId="2393">
    <w:name w:val="Char Char Char Char Char Char Char Char Char Char Char Char Char Char Char Char Char Char1 Char Char Char Char Char Char Char Char Char Char Char Char Char Char Char Char"/>
    <w:basedOn w:val="1"/>
    <w:qFormat/>
    <w:uiPriority w:val="0"/>
    <w:pPr>
      <w:spacing w:line="360" w:lineRule="auto"/>
      <w:ind w:firstLine="200" w:firstLineChars="200"/>
      <w:jc w:val="left"/>
      <w:textAlignment w:val="baseline"/>
    </w:pPr>
    <w:rPr>
      <w:rFonts w:hint="eastAsia" w:ascii="宋体" w:hAnsi="宋体" w:cs="Times New Roman"/>
      <w:kern w:val="0"/>
      <w:sz w:val="24"/>
      <w:szCs w:val="20"/>
    </w:rPr>
  </w:style>
  <w:style w:type="paragraph" w:customStyle="1" w:styleId="2394">
    <w:name w:val="样式 样式 (西文) ˎ̥ 四号 左 行距: 最小值 16.75 磅 首行缩进:  2 字符 + 首行缩进:  2 字符1"/>
    <w:basedOn w:val="1"/>
    <w:qFormat/>
    <w:uiPriority w:val="0"/>
    <w:pPr>
      <w:spacing w:line="360" w:lineRule="auto"/>
      <w:ind w:firstLine="480" w:firstLineChars="200"/>
      <w:jc w:val="left"/>
    </w:pPr>
    <w:rPr>
      <w:rFonts w:ascii="ˎ̥" w:hAnsi="ˎ̥" w:cs="宋体"/>
      <w:kern w:val="0"/>
      <w:sz w:val="24"/>
      <w:szCs w:val="20"/>
    </w:rPr>
  </w:style>
  <w:style w:type="paragraph" w:customStyle="1" w:styleId="2395">
    <w:name w:val="仙女山正文"/>
    <w:basedOn w:val="1"/>
    <w:qFormat/>
    <w:uiPriority w:val="0"/>
    <w:pPr>
      <w:spacing w:line="480" w:lineRule="atLeast"/>
      <w:ind w:firstLine="480" w:firstLineChars="200"/>
      <w:jc w:val="left"/>
    </w:pPr>
    <w:rPr>
      <w:rFonts w:ascii="Times New Roman" w:hAnsi="宋体" w:cs="Times New Roman"/>
      <w:color w:val="0000FF"/>
      <w:kern w:val="0"/>
      <w:sz w:val="24"/>
      <w:szCs w:val="24"/>
    </w:rPr>
  </w:style>
  <w:style w:type="paragraph" w:customStyle="1" w:styleId="2396">
    <w:name w:val="6表内文字 居中"/>
    <w:basedOn w:val="1"/>
    <w:qFormat/>
    <w:uiPriority w:val="0"/>
    <w:pPr>
      <w:adjustRightInd w:val="0"/>
      <w:spacing w:line="240" w:lineRule="atLeast"/>
      <w:jc w:val="center"/>
      <w:textAlignment w:val="baseline"/>
    </w:pPr>
    <w:rPr>
      <w:rFonts w:ascii="Times New Roman" w:hAnsi="Times New Roman" w:cs="Times New Roman"/>
      <w:snapToGrid w:val="0"/>
      <w:kern w:val="0"/>
      <w:szCs w:val="24"/>
    </w:rPr>
  </w:style>
  <w:style w:type="paragraph" w:customStyle="1" w:styleId="2397">
    <w:name w:val="样式 标题 1章 + (中文) 黑体 三号"/>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398">
    <w:name w:val="Char Char Char1 Char"/>
    <w:basedOn w:val="1"/>
    <w:qFormat/>
    <w:uiPriority w:val="0"/>
    <w:pPr>
      <w:spacing w:line="360" w:lineRule="auto"/>
      <w:ind w:firstLine="200" w:firstLineChars="200"/>
      <w:jc w:val="left"/>
      <w:textAlignment w:val="baseline"/>
    </w:pPr>
    <w:rPr>
      <w:rFonts w:hint="eastAsia" w:ascii="宋体" w:hAnsi="宋体" w:cs="Times New Roman"/>
      <w:kern w:val="0"/>
      <w:sz w:val="24"/>
      <w:szCs w:val="20"/>
    </w:rPr>
  </w:style>
  <w:style w:type="paragraph" w:customStyle="1" w:styleId="2399">
    <w:name w:val="报告书表格"/>
    <w:basedOn w:val="1"/>
    <w:qFormat/>
    <w:uiPriority w:val="0"/>
    <w:pPr>
      <w:adjustRightInd w:val="0"/>
      <w:spacing w:after="60" w:line="240" w:lineRule="atLeast"/>
      <w:jc w:val="center"/>
    </w:pPr>
    <w:rPr>
      <w:rFonts w:ascii="Times New Roman" w:hAnsi="Times New Roman" w:eastAsia="汉仪仿宋简" w:cs="Times New Roman"/>
      <w:kern w:val="0"/>
      <w:sz w:val="28"/>
      <w:szCs w:val="20"/>
    </w:rPr>
  </w:style>
  <w:style w:type="paragraph" w:customStyle="1" w:styleId="2400">
    <w:name w:val="样式 样式 样式 宋体 四号 左 行距: 固定值 25 磅 + 首行缩进:  2 字符 + Times New Roman"/>
    <w:basedOn w:val="1"/>
    <w:qFormat/>
    <w:uiPriority w:val="0"/>
    <w:pPr>
      <w:adjustRightInd w:val="0"/>
      <w:spacing w:line="360" w:lineRule="auto"/>
      <w:ind w:firstLine="200" w:firstLineChars="200"/>
      <w:jc w:val="left"/>
    </w:pPr>
    <w:rPr>
      <w:rFonts w:ascii="Times New Roman" w:hAnsi="Times New Roman" w:cs="宋体"/>
      <w:snapToGrid w:val="0"/>
      <w:spacing w:val="14"/>
      <w:sz w:val="24"/>
      <w:szCs w:val="24"/>
    </w:rPr>
  </w:style>
  <w:style w:type="paragraph" w:customStyle="1" w:styleId="2401">
    <w:name w:val="表格 3"/>
    <w:basedOn w:val="1"/>
    <w:next w:val="1564"/>
    <w:qFormat/>
    <w:uiPriority w:val="0"/>
    <w:pPr>
      <w:spacing w:line="280" w:lineRule="atLeast"/>
      <w:jc w:val="center"/>
    </w:pPr>
    <w:rPr>
      <w:rFonts w:ascii="宋体" w:hAnsi="Times New Roman" w:cs="Times New Roman"/>
      <w:sz w:val="24"/>
      <w:szCs w:val="26"/>
    </w:rPr>
  </w:style>
  <w:style w:type="paragraph" w:customStyle="1" w:styleId="2402">
    <w:name w:val="样式 楷体_GB2312 四号 红色 首行缩进:  1.01 厘米 行距: 固定值 22 磅"/>
    <w:basedOn w:val="1"/>
    <w:qFormat/>
    <w:uiPriority w:val="0"/>
    <w:pPr>
      <w:spacing w:line="440" w:lineRule="exact"/>
      <w:ind w:firstLine="200" w:firstLineChars="200"/>
      <w:jc w:val="left"/>
    </w:pPr>
    <w:rPr>
      <w:rFonts w:ascii="楷体_GB2312" w:hAnsi="宋体" w:eastAsia="仿宋_GB2312" w:cs="Times New Roman"/>
      <w:color w:val="FF0000"/>
      <w:sz w:val="28"/>
      <w:szCs w:val="20"/>
    </w:rPr>
  </w:style>
  <w:style w:type="paragraph" w:customStyle="1" w:styleId="2403">
    <w:name w:val="正文.仿宋5"/>
    <w:basedOn w:val="1"/>
    <w:qFormat/>
    <w:uiPriority w:val="0"/>
    <w:pPr>
      <w:keepNext/>
      <w:keepLines/>
      <w:spacing w:line="320" w:lineRule="exact"/>
      <w:jc w:val="left"/>
    </w:pPr>
    <w:rPr>
      <w:rFonts w:ascii="Times New Roman" w:hAnsi="Times New Roman" w:eastAsia="仿宋_GB2312" w:cs="Times New Roman"/>
      <w:szCs w:val="24"/>
    </w:rPr>
  </w:style>
  <w:style w:type="paragraph" w:customStyle="1" w:styleId="2404">
    <w:name w:val="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jc w:val="left"/>
      <w:textAlignment w:val="baseline"/>
    </w:pPr>
    <w:rPr>
      <w:rFonts w:hint="eastAsia" w:ascii="宋体" w:hAnsi="宋体" w:cs="Times New Roman"/>
      <w:kern w:val="0"/>
      <w:sz w:val="24"/>
      <w:szCs w:val="20"/>
    </w:rPr>
  </w:style>
  <w:style w:type="paragraph" w:customStyle="1" w:styleId="2405">
    <w:name w:val="样式 !正文(alt+c) + 蓝色"/>
    <w:basedOn w:val="929"/>
    <w:qFormat/>
    <w:uiPriority w:val="0"/>
    <w:pPr>
      <w:spacing w:line="460" w:lineRule="exact"/>
      <w:jc w:val="both"/>
    </w:pPr>
    <w:rPr>
      <w:rFonts w:ascii="宋体" w:hAnsi="宋体"/>
      <w:color w:val="0000FF"/>
    </w:rPr>
  </w:style>
  <w:style w:type="paragraph" w:customStyle="1" w:styleId="2406">
    <w:name w:val="Char Char Char Char Char Char1 Char Char"/>
    <w:basedOn w:val="1"/>
    <w:qFormat/>
    <w:uiPriority w:val="0"/>
    <w:pPr>
      <w:spacing w:line="360" w:lineRule="atLeast"/>
      <w:jc w:val="left"/>
      <w:textAlignment w:val="baseline"/>
    </w:pPr>
    <w:rPr>
      <w:rFonts w:hint="eastAsia" w:ascii="宋体" w:hAnsi="Times New Roman" w:cs="Times New Roman"/>
      <w:kern w:val="0"/>
      <w:sz w:val="34"/>
      <w:szCs w:val="20"/>
    </w:rPr>
  </w:style>
  <w:style w:type="paragraph" w:customStyle="1" w:styleId="2407">
    <w:name w:val="7图题"/>
    <w:basedOn w:val="1"/>
    <w:qFormat/>
    <w:uiPriority w:val="0"/>
    <w:pPr>
      <w:widowControl/>
      <w:spacing w:beforeLines="20" w:afterLines="20" w:line="360" w:lineRule="auto"/>
      <w:jc w:val="center"/>
    </w:pPr>
    <w:rPr>
      <w:rFonts w:ascii="黑体" w:hAnsi="Times New Roman" w:eastAsia="黑体" w:cs="Times New Roman"/>
      <w:kern w:val="0"/>
      <w:sz w:val="24"/>
      <w:szCs w:val="24"/>
      <w:lang w:eastAsia="en-US" w:bidi="en-US"/>
    </w:rPr>
  </w:style>
  <w:style w:type="paragraph" w:customStyle="1" w:styleId="2408">
    <w:name w:val="样式 样式 标题 3小节标题4标题3 Char Char Char标题3 Char Char Char Char标题3 Ch.....1"/>
    <w:basedOn w:val="1"/>
    <w:qFormat/>
    <w:uiPriority w:val="0"/>
    <w:pPr>
      <w:keepNext/>
      <w:keepLines/>
      <w:spacing w:beforeLines="50" w:afterLines="50" w:line="360" w:lineRule="auto"/>
      <w:jc w:val="left"/>
      <w:outlineLvl w:val="2"/>
    </w:pPr>
    <w:rPr>
      <w:rFonts w:ascii="Times New Roman" w:hAnsi="Times New Roman" w:cs="宋体"/>
      <w:b/>
      <w:bCs/>
      <w:sz w:val="24"/>
      <w:szCs w:val="20"/>
    </w:rPr>
  </w:style>
  <w:style w:type="paragraph" w:customStyle="1" w:styleId="2409">
    <w:name w:val="样式 样式 样式 标题 3小节名小节标题 33标题 13条标题1.1.1(F4)标题 3 Char Char Char标题 .....1"/>
    <w:basedOn w:val="2305"/>
    <w:qFormat/>
    <w:uiPriority w:val="0"/>
    <w:pPr>
      <w:keepLines w:val="0"/>
      <w:tabs>
        <w:tab w:val="left" w:pos="1281"/>
      </w:tabs>
      <w:kinsoku w:val="0"/>
      <w:overflowPunct w:val="0"/>
      <w:autoSpaceDE w:val="0"/>
      <w:autoSpaceDN w:val="0"/>
      <w:spacing w:before="50"/>
      <w:ind w:left="0" w:firstLine="0"/>
    </w:pPr>
    <w:rPr>
      <w:rFonts w:cs="宋体"/>
      <w:color w:val="000000"/>
      <w:kern w:val="0"/>
      <w:szCs w:val="20"/>
    </w:rPr>
  </w:style>
  <w:style w:type="paragraph" w:customStyle="1" w:styleId="2410">
    <w:name w:val="标题（一）"/>
    <w:basedOn w:val="1"/>
    <w:qFormat/>
    <w:uiPriority w:val="0"/>
    <w:pPr>
      <w:ind w:firstLine="200" w:firstLineChars="200"/>
      <w:jc w:val="left"/>
      <w:outlineLvl w:val="2"/>
    </w:pPr>
    <w:rPr>
      <w:rFonts w:ascii="Times New Roman" w:hAnsi="Times New Roman" w:eastAsia="黑体" w:cs="Times New Roman"/>
      <w:sz w:val="28"/>
      <w:szCs w:val="20"/>
    </w:rPr>
  </w:style>
  <w:style w:type="paragraph" w:customStyle="1" w:styleId="2411">
    <w:name w:val="样式 列表 + 首行缩进:  0.74 厘米"/>
    <w:basedOn w:val="66"/>
    <w:qFormat/>
    <w:uiPriority w:val="0"/>
    <w:rPr>
      <w:sz w:val="21"/>
    </w:rPr>
  </w:style>
  <w:style w:type="paragraph" w:customStyle="1" w:styleId="2412">
    <w:name w:val="样式 标题 1章 + (中文) 黑体 三号 居中 段前: 15 磅 段后: 16 磅 行距: 最小值 28 磅"/>
    <w:basedOn w:val="3"/>
    <w:qFormat/>
    <w:uiPriority w:val="0"/>
    <w:pPr>
      <w:widowControl w:val="0"/>
      <w:spacing w:line="578" w:lineRule="auto"/>
      <w:jc w:val="both"/>
    </w:pPr>
    <w:rPr>
      <w:rFonts w:cs="Times New Roman"/>
      <w:color w:val="000000" w:themeColor="text1"/>
      <w:kern w:val="0"/>
      <w:sz w:val="30"/>
      <w:szCs w:val="32"/>
      <w14:textFill>
        <w14:solidFill>
          <w14:schemeClr w14:val="tx1"/>
        </w14:solidFill>
      </w14:textFill>
    </w:rPr>
  </w:style>
  <w:style w:type="paragraph" w:customStyle="1" w:styleId="2413">
    <w:name w:val="样式 吴勇的正文 + (中文) 华文中宋 小四 首行缩进:  2 字符"/>
    <w:basedOn w:val="1"/>
    <w:qFormat/>
    <w:uiPriority w:val="0"/>
    <w:pPr>
      <w:ind w:firstLine="480" w:firstLineChars="200"/>
      <w:jc w:val="left"/>
    </w:pPr>
    <w:rPr>
      <w:rFonts w:ascii="Times New Roman" w:hAnsi="Times New Roman" w:eastAsia="华文中宋" w:cs="Times New Roman"/>
      <w:sz w:val="24"/>
      <w:szCs w:val="20"/>
    </w:rPr>
  </w:style>
  <w:style w:type="paragraph" w:customStyle="1" w:styleId="2414">
    <w:name w:val="样式 四号 行距: 多倍行距 1.25 字行"/>
    <w:basedOn w:val="1"/>
    <w:qFormat/>
    <w:uiPriority w:val="0"/>
    <w:pPr>
      <w:spacing w:line="300" w:lineRule="auto"/>
      <w:ind w:firstLine="560" w:firstLineChars="200"/>
      <w:jc w:val="left"/>
    </w:pPr>
    <w:rPr>
      <w:rFonts w:ascii="Times New Roman" w:hAnsi="Times New Roman" w:cs="宋体"/>
      <w:sz w:val="28"/>
      <w:szCs w:val="20"/>
    </w:rPr>
  </w:style>
  <w:style w:type="paragraph" w:customStyle="1" w:styleId="2415">
    <w:name w:val="标准正文"/>
    <w:basedOn w:val="1"/>
    <w:link w:val="2517"/>
    <w:qFormat/>
    <w:uiPriority w:val="0"/>
    <w:pPr>
      <w:ind w:firstLine="560" w:firstLineChars="200"/>
      <w:jc w:val="left"/>
    </w:pPr>
    <w:rPr>
      <w:rFonts w:ascii="Times New Roman" w:hAnsi="Times New Roman" w:cs="Times New Roman"/>
      <w:iCs/>
      <w:snapToGrid w:val="0"/>
      <w:color w:val="000000"/>
      <w:sz w:val="28"/>
      <w:szCs w:val="28"/>
      <w:lang w:val="zh-CN"/>
    </w:rPr>
  </w:style>
  <w:style w:type="paragraph" w:customStyle="1" w:styleId="2416">
    <w:name w:val="Char Char Char1 Char Char Char Char Char Char Char Char Char Char Char Char1 Char Char Char Char Char Char Char Char Char Char Char Char Char Char Char Char Char Char Char Char Char1 Char Char Char Char Char Char Char"/>
    <w:basedOn w:val="1"/>
    <w:qFormat/>
    <w:uiPriority w:val="0"/>
    <w:pPr>
      <w:spacing w:line="360" w:lineRule="auto"/>
      <w:ind w:firstLine="200" w:firstLineChars="200"/>
      <w:jc w:val="left"/>
      <w:textAlignment w:val="baseline"/>
    </w:pPr>
    <w:rPr>
      <w:rFonts w:hint="eastAsia" w:ascii="宋体" w:hAnsi="宋体" w:cs="Times New Roman"/>
      <w:kern w:val="0"/>
      <w:sz w:val="24"/>
      <w:szCs w:val="20"/>
    </w:rPr>
  </w:style>
  <w:style w:type="character" w:customStyle="1" w:styleId="2417">
    <w:name w:val="Char Char45"/>
    <w:qFormat/>
    <w:uiPriority w:val="0"/>
    <w:rPr>
      <w:rFonts w:ascii="Arial" w:hAnsi="Arial" w:eastAsia="宋体"/>
      <w:b/>
      <w:bCs/>
      <w:kern w:val="2"/>
      <w:sz w:val="28"/>
      <w:szCs w:val="32"/>
      <w:lang w:val="en-US" w:eastAsia="zh-CN" w:bidi="ar-SA"/>
    </w:rPr>
  </w:style>
  <w:style w:type="character" w:customStyle="1" w:styleId="2418">
    <w:name w:val="Char Char39"/>
    <w:qFormat/>
    <w:uiPriority w:val="0"/>
    <w:rPr>
      <w:rFonts w:ascii="Arial" w:hAnsi="Arial" w:eastAsia="黑体"/>
      <w:b/>
      <w:kern w:val="2"/>
      <w:sz w:val="28"/>
      <w:szCs w:val="21"/>
      <w:lang w:val="en-US" w:eastAsia="zh-CN" w:bidi="ar-SA"/>
    </w:rPr>
  </w:style>
  <w:style w:type="character" w:customStyle="1" w:styleId="2419">
    <w:name w:val="Char Char44"/>
    <w:qFormat/>
    <w:uiPriority w:val="0"/>
    <w:rPr>
      <w:rFonts w:ascii="Arial" w:hAnsi="Arial" w:eastAsia="宋体"/>
      <w:b/>
      <w:bCs/>
      <w:i/>
      <w:kern w:val="2"/>
      <w:sz w:val="24"/>
      <w:szCs w:val="28"/>
      <w:lang w:val="en-US" w:eastAsia="zh-CN" w:bidi="ar-SA"/>
    </w:rPr>
  </w:style>
  <w:style w:type="character" w:customStyle="1" w:styleId="2420">
    <w:name w:val="Char Char34"/>
    <w:qFormat/>
    <w:uiPriority w:val="0"/>
    <w:rPr>
      <w:rFonts w:eastAsia="宋体"/>
      <w:b/>
      <w:kern w:val="2"/>
      <w:sz w:val="28"/>
      <w:szCs w:val="24"/>
      <w:lang w:val="en-US" w:eastAsia="zh-CN" w:bidi="ar-SA"/>
    </w:rPr>
  </w:style>
  <w:style w:type="character" w:customStyle="1" w:styleId="2421">
    <w:name w:val="Char Char43"/>
    <w:qFormat/>
    <w:uiPriority w:val="0"/>
    <w:rPr>
      <w:rFonts w:eastAsia="宋体"/>
      <w:bCs/>
      <w:kern w:val="2"/>
      <w:sz w:val="28"/>
      <w:szCs w:val="28"/>
      <w:lang w:val="en-US" w:eastAsia="zh-CN" w:bidi="ar-SA"/>
    </w:rPr>
  </w:style>
  <w:style w:type="character" w:customStyle="1" w:styleId="2422">
    <w:name w:val="Char Char38"/>
    <w:qFormat/>
    <w:uiPriority w:val="0"/>
    <w:rPr>
      <w:rFonts w:eastAsia="宋体"/>
      <w:b/>
      <w:kern w:val="2"/>
      <w:sz w:val="21"/>
      <w:szCs w:val="24"/>
      <w:lang w:val="en-US" w:eastAsia="zh-CN" w:bidi="ar-SA"/>
    </w:rPr>
  </w:style>
  <w:style w:type="character" w:customStyle="1" w:styleId="2423">
    <w:name w:val="Char Char42"/>
    <w:qFormat/>
    <w:uiPriority w:val="0"/>
    <w:rPr>
      <w:rFonts w:ascii="Arial" w:hAnsi="Arial" w:eastAsia="黑体"/>
      <w:bCs/>
      <w:kern w:val="2"/>
      <w:sz w:val="24"/>
      <w:szCs w:val="24"/>
      <w:lang w:val="en-US" w:eastAsia="zh-CN" w:bidi="ar-SA"/>
    </w:rPr>
  </w:style>
  <w:style w:type="character" w:customStyle="1" w:styleId="2424">
    <w:name w:val="Char Char31"/>
    <w:qFormat/>
    <w:uiPriority w:val="0"/>
    <w:rPr>
      <w:rFonts w:eastAsia="宋体"/>
      <w:b/>
      <w:kern w:val="2"/>
      <w:sz w:val="16"/>
      <w:szCs w:val="16"/>
      <w:lang w:val="en-US" w:eastAsia="zh-CN" w:bidi="ar-SA"/>
    </w:rPr>
  </w:style>
  <w:style w:type="character" w:customStyle="1" w:styleId="2425">
    <w:name w:val="Char Char40"/>
    <w:qFormat/>
    <w:uiPriority w:val="0"/>
    <w:rPr>
      <w:rFonts w:ascii="Arial" w:hAnsi="Arial" w:eastAsia="黑体"/>
      <w:b/>
      <w:kern w:val="2"/>
      <w:sz w:val="24"/>
      <w:szCs w:val="24"/>
      <w:lang w:val="en-US" w:eastAsia="zh-CN" w:bidi="ar-SA"/>
    </w:rPr>
  </w:style>
  <w:style w:type="character" w:customStyle="1" w:styleId="2426">
    <w:name w:val="Char Char33"/>
    <w:qFormat/>
    <w:uiPriority w:val="0"/>
    <w:rPr>
      <w:rFonts w:eastAsia="宋体"/>
      <w:b/>
      <w:kern w:val="2"/>
      <w:sz w:val="18"/>
      <w:szCs w:val="18"/>
      <w:lang w:val="en-US" w:eastAsia="zh-CN" w:bidi="ar-SA"/>
    </w:rPr>
  </w:style>
  <w:style w:type="character" w:customStyle="1" w:styleId="2427">
    <w:name w:val="Char Char30"/>
    <w:qFormat/>
    <w:uiPriority w:val="0"/>
    <w:rPr>
      <w:rFonts w:eastAsia="宋体"/>
      <w:b/>
      <w:kern w:val="2"/>
      <w:sz w:val="18"/>
      <w:szCs w:val="18"/>
      <w:lang w:val="en-US" w:eastAsia="zh-CN" w:bidi="ar-SA"/>
    </w:rPr>
  </w:style>
  <w:style w:type="character" w:customStyle="1" w:styleId="2428">
    <w:name w:val="Char Char29"/>
    <w:qFormat/>
    <w:uiPriority w:val="0"/>
    <w:rPr>
      <w:rFonts w:eastAsia="宋体"/>
      <w:kern w:val="2"/>
      <w:sz w:val="24"/>
      <w:lang w:val="en-US" w:eastAsia="zh-CN" w:bidi="ar-SA"/>
    </w:rPr>
  </w:style>
  <w:style w:type="character" w:customStyle="1" w:styleId="2429">
    <w:name w:val="Char Char7"/>
    <w:qFormat/>
    <w:uiPriority w:val="0"/>
    <w:rPr>
      <w:rFonts w:ascii="宋体" w:hAnsi="Courier New" w:eastAsia="宋体" w:cs="Courier New"/>
      <w:b/>
      <w:kern w:val="2"/>
      <w:sz w:val="21"/>
      <w:szCs w:val="21"/>
      <w:lang w:val="en-US" w:eastAsia="zh-CN" w:bidi="ar-SA"/>
    </w:rPr>
  </w:style>
  <w:style w:type="character" w:customStyle="1" w:styleId="2430">
    <w:name w:val="Char Char35"/>
    <w:qFormat/>
    <w:uiPriority w:val="0"/>
    <w:rPr>
      <w:rFonts w:eastAsia="宋体"/>
      <w:b/>
      <w:kern w:val="2"/>
      <w:sz w:val="16"/>
      <w:szCs w:val="16"/>
      <w:lang w:val="en-US" w:eastAsia="zh-CN" w:bidi="ar-SA"/>
    </w:rPr>
  </w:style>
  <w:style w:type="character" w:customStyle="1" w:styleId="2431">
    <w:name w:val="Char Char36"/>
    <w:qFormat/>
    <w:uiPriority w:val="0"/>
    <w:rPr>
      <w:rFonts w:eastAsia="宋体"/>
      <w:kern w:val="2"/>
      <w:sz w:val="18"/>
      <w:szCs w:val="18"/>
      <w:lang w:val="en-US" w:eastAsia="zh-CN" w:bidi="ar-SA"/>
    </w:rPr>
  </w:style>
  <w:style w:type="character" w:customStyle="1" w:styleId="2432">
    <w:name w:val="Char Char41"/>
    <w:qFormat/>
    <w:uiPriority w:val="0"/>
    <w:rPr>
      <w:rFonts w:eastAsia="宋体"/>
      <w:bCs/>
      <w:kern w:val="2"/>
      <w:sz w:val="24"/>
      <w:szCs w:val="24"/>
      <w:lang w:val="en-US" w:eastAsia="zh-CN" w:bidi="ar-SA"/>
    </w:rPr>
  </w:style>
  <w:style w:type="character" w:customStyle="1" w:styleId="2433">
    <w:name w:val="Char Char37"/>
    <w:qFormat/>
    <w:uiPriority w:val="0"/>
    <w:rPr>
      <w:rFonts w:eastAsia="宋体"/>
      <w:b/>
      <w:kern w:val="2"/>
      <w:sz w:val="28"/>
      <w:szCs w:val="24"/>
      <w:lang w:val="en-US" w:eastAsia="zh-CN" w:bidi="ar-SA"/>
    </w:rPr>
  </w:style>
  <w:style w:type="character" w:customStyle="1" w:styleId="2434">
    <w:name w:val="Char Char46"/>
    <w:qFormat/>
    <w:uiPriority w:val="0"/>
    <w:rPr>
      <w:rFonts w:eastAsia="宋体"/>
      <w:b/>
      <w:bCs/>
      <w:kern w:val="44"/>
      <w:sz w:val="44"/>
      <w:szCs w:val="44"/>
      <w:lang w:val="en-US" w:eastAsia="zh-CN" w:bidi="ar-SA"/>
    </w:rPr>
  </w:style>
  <w:style w:type="paragraph" w:customStyle="1" w:styleId="2435">
    <w:name w:val="报告书正文 Char Char Char"/>
    <w:basedOn w:val="1"/>
    <w:qFormat/>
    <w:uiPriority w:val="0"/>
    <w:pPr>
      <w:spacing w:line="360" w:lineRule="auto"/>
      <w:jc w:val="left"/>
    </w:pPr>
    <w:rPr>
      <w:rFonts w:ascii="Times New Roman" w:hAnsi="Times New Roman" w:cs="Times New Roman"/>
      <w:sz w:val="24"/>
      <w:szCs w:val="24"/>
    </w:rPr>
  </w:style>
  <w:style w:type="paragraph" w:customStyle="1" w:styleId="2436">
    <w:name w:val="样式17 Char Char Char"/>
    <w:basedOn w:val="1"/>
    <w:qFormat/>
    <w:uiPriority w:val="0"/>
    <w:pPr>
      <w:ind w:firstLine="480" w:firstLineChars="200"/>
      <w:jc w:val="left"/>
    </w:pPr>
    <w:rPr>
      <w:rFonts w:ascii="Times New Roman" w:hAnsi="Times New Roman" w:eastAsia="华文中宋" w:cs="Times New Roman"/>
      <w:sz w:val="24"/>
      <w:szCs w:val="24"/>
    </w:rPr>
  </w:style>
  <w:style w:type="character" w:customStyle="1" w:styleId="2437">
    <w:name w:val="样式 表格文字 + 自动设置 Char"/>
    <w:qFormat/>
    <w:uiPriority w:val="0"/>
    <w:rPr>
      <w:rFonts w:eastAsia="宋体"/>
      <w:color w:val="0000FF"/>
      <w:sz w:val="21"/>
      <w:u w:color="000000"/>
      <w:lang w:val="en-US" w:eastAsia="zh-CN" w:bidi="ar-SA"/>
    </w:rPr>
  </w:style>
  <w:style w:type="character" w:customStyle="1" w:styleId="2438">
    <w:name w:val="Char Char55"/>
    <w:qFormat/>
    <w:uiPriority w:val="0"/>
    <w:rPr>
      <w:rFonts w:eastAsia="宋体"/>
      <w:b/>
      <w:kern w:val="2"/>
      <w:sz w:val="28"/>
      <w:szCs w:val="24"/>
      <w:lang w:val="en-US" w:eastAsia="zh-CN" w:bidi="ar-SA"/>
    </w:rPr>
  </w:style>
  <w:style w:type="character" w:customStyle="1" w:styleId="2439">
    <w:name w:val="Char Char53"/>
    <w:qFormat/>
    <w:uiPriority w:val="0"/>
    <w:rPr>
      <w:rFonts w:eastAsia="宋体"/>
      <w:b/>
      <w:kern w:val="2"/>
      <w:sz w:val="28"/>
      <w:szCs w:val="24"/>
      <w:lang w:val="en-US" w:eastAsia="zh-CN" w:bidi="ar-SA"/>
    </w:rPr>
  </w:style>
  <w:style w:type="character" w:customStyle="1" w:styleId="2440">
    <w:name w:val="Char Char64"/>
    <w:qFormat/>
    <w:uiPriority w:val="0"/>
    <w:rPr>
      <w:rFonts w:ascii="Arial" w:hAnsi="Arial" w:eastAsia="宋体"/>
      <w:b/>
      <w:bCs/>
      <w:kern w:val="2"/>
      <w:sz w:val="28"/>
      <w:szCs w:val="32"/>
      <w:lang w:val="en-US" w:eastAsia="zh-CN" w:bidi="ar-SA"/>
    </w:rPr>
  </w:style>
  <w:style w:type="character" w:customStyle="1" w:styleId="2441">
    <w:name w:val="Char Char58"/>
    <w:qFormat/>
    <w:uiPriority w:val="0"/>
    <w:rPr>
      <w:rFonts w:ascii="Arial" w:hAnsi="Arial" w:eastAsia="黑体"/>
      <w:b/>
      <w:kern w:val="2"/>
      <w:sz w:val="28"/>
      <w:szCs w:val="21"/>
      <w:lang w:val="en-US" w:eastAsia="zh-CN" w:bidi="ar-SA"/>
    </w:rPr>
  </w:style>
  <w:style w:type="character" w:customStyle="1" w:styleId="2442">
    <w:name w:val="Char Char52"/>
    <w:qFormat/>
    <w:uiPriority w:val="0"/>
    <w:rPr>
      <w:rFonts w:eastAsia="宋体"/>
      <w:b/>
      <w:kern w:val="2"/>
      <w:sz w:val="18"/>
      <w:szCs w:val="18"/>
      <w:lang w:val="en-US" w:eastAsia="zh-CN" w:bidi="ar-SA"/>
    </w:rPr>
  </w:style>
  <w:style w:type="character" w:customStyle="1" w:styleId="2443">
    <w:name w:val="Char Char63"/>
    <w:qFormat/>
    <w:uiPriority w:val="0"/>
    <w:rPr>
      <w:rFonts w:ascii="Arial" w:hAnsi="Arial" w:eastAsia="宋体"/>
      <w:b/>
      <w:bCs/>
      <w:i/>
      <w:kern w:val="2"/>
      <w:sz w:val="24"/>
      <w:szCs w:val="28"/>
      <w:lang w:val="en-US" w:eastAsia="zh-CN" w:bidi="ar-SA"/>
    </w:rPr>
  </w:style>
  <w:style w:type="character" w:customStyle="1" w:styleId="2444">
    <w:name w:val="Char Char56"/>
    <w:qFormat/>
    <w:uiPriority w:val="0"/>
    <w:rPr>
      <w:rFonts w:eastAsia="宋体"/>
      <w:b/>
      <w:kern w:val="2"/>
      <w:sz w:val="28"/>
      <w:szCs w:val="24"/>
      <w:lang w:val="en-US" w:eastAsia="zh-CN" w:bidi="ar-SA"/>
    </w:rPr>
  </w:style>
  <w:style w:type="character" w:customStyle="1" w:styleId="2445">
    <w:name w:val="Char Char62"/>
    <w:qFormat/>
    <w:uiPriority w:val="0"/>
    <w:rPr>
      <w:rFonts w:eastAsia="宋体"/>
      <w:bCs/>
      <w:kern w:val="2"/>
      <w:sz w:val="28"/>
      <w:szCs w:val="28"/>
      <w:lang w:val="en-US" w:eastAsia="zh-CN" w:bidi="ar-SA"/>
    </w:rPr>
  </w:style>
  <w:style w:type="character" w:customStyle="1" w:styleId="2446">
    <w:name w:val="Char Char54"/>
    <w:qFormat/>
    <w:uiPriority w:val="0"/>
    <w:rPr>
      <w:rFonts w:eastAsia="宋体"/>
      <w:b/>
      <w:kern w:val="2"/>
      <w:sz w:val="21"/>
      <w:szCs w:val="24"/>
      <w:lang w:val="en-US" w:eastAsia="zh-CN" w:bidi="ar-SA"/>
    </w:rPr>
  </w:style>
  <w:style w:type="character" w:customStyle="1" w:styleId="2447">
    <w:name w:val="Char Char61"/>
    <w:qFormat/>
    <w:uiPriority w:val="0"/>
    <w:rPr>
      <w:rFonts w:ascii="Arial" w:hAnsi="Arial" w:eastAsia="黑体"/>
      <w:bCs/>
      <w:kern w:val="2"/>
      <w:sz w:val="24"/>
      <w:szCs w:val="24"/>
      <w:lang w:val="en-US" w:eastAsia="zh-CN" w:bidi="ar-SA"/>
    </w:rPr>
  </w:style>
  <w:style w:type="character" w:customStyle="1" w:styleId="2448">
    <w:name w:val="Char Char48"/>
    <w:qFormat/>
    <w:uiPriority w:val="0"/>
    <w:rPr>
      <w:rFonts w:eastAsia="宋体"/>
      <w:b/>
      <w:kern w:val="2"/>
      <w:sz w:val="28"/>
      <w:szCs w:val="24"/>
      <w:lang w:val="en-US" w:eastAsia="zh-CN" w:bidi="ar-SA"/>
    </w:rPr>
  </w:style>
  <w:style w:type="character" w:customStyle="1" w:styleId="2449">
    <w:name w:val="Char Char50"/>
    <w:qFormat/>
    <w:uiPriority w:val="0"/>
    <w:rPr>
      <w:rFonts w:eastAsia="宋体"/>
      <w:b/>
      <w:kern w:val="2"/>
      <w:sz w:val="16"/>
      <w:szCs w:val="16"/>
      <w:lang w:val="en-US" w:eastAsia="zh-CN" w:bidi="ar-SA"/>
    </w:rPr>
  </w:style>
  <w:style w:type="character" w:customStyle="1" w:styleId="2450">
    <w:name w:val="Char Char59"/>
    <w:qFormat/>
    <w:uiPriority w:val="0"/>
    <w:rPr>
      <w:rFonts w:ascii="Arial" w:hAnsi="Arial" w:eastAsia="黑体"/>
      <w:b/>
      <w:kern w:val="2"/>
      <w:sz w:val="24"/>
      <w:szCs w:val="24"/>
      <w:lang w:val="en-US" w:eastAsia="zh-CN" w:bidi="ar-SA"/>
    </w:rPr>
  </w:style>
  <w:style w:type="character" w:customStyle="1" w:styleId="2451">
    <w:name w:val="Char Char49"/>
    <w:qFormat/>
    <w:uiPriority w:val="0"/>
    <w:rPr>
      <w:rFonts w:eastAsia="宋体"/>
      <w:b/>
      <w:kern w:val="2"/>
      <w:sz w:val="18"/>
      <w:szCs w:val="18"/>
      <w:lang w:val="en-US" w:eastAsia="zh-CN" w:bidi="ar-SA"/>
    </w:rPr>
  </w:style>
  <w:style w:type="character" w:customStyle="1" w:styleId="2452">
    <w:name w:val="Char Char60"/>
    <w:qFormat/>
    <w:uiPriority w:val="0"/>
    <w:rPr>
      <w:rFonts w:eastAsia="宋体"/>
      <w:bCs/>
      <w:kern w:val="2"/>
      <w:sz w:val="24"/>
      <w:szCs w:val="24"/>
      <w:lang w:val="en-US" w:eastAsia="zh-CN" w:bidi="ar-SA"/>
    </w:rPr>
  </w:style>
  <w:style w:type="character" w:customStyle="1" w:styleId="2453">
    <w:name w:val="Char Char51"/>
    <w:qFormat/>
    <w:uiPriority w:val="0"/>
    <w:rPr>
      <w:rFonts w:eastAsia="宋体"/>
      <w:kern w:val="2"/>
      <w:sz w:val="24"/>
      <w:lang w:val="en-US" w:eastAsia="zh-CN" w:bidi="ar-SA"/>
    </w:rPr>
  </w:style>
  <w:style w:type="character" w:customStyle="1" w:styleId="2454">
    <w:name w:val="Char Char47"/>
    <w:qFormat/>
    <w:uiPriority w:val="0"/>
    <w:rPr>
      <w:rFonts w:ascii="宋体" w:eastAsia="宋体"/>
      <w:kern w:val="2"/>
      <w:sz w:val="26"/>
      <w:lang w:val="en-US" w:eastAsia="zh-CN" w:bidi="ar-SA"/>
    </w:rPr>
  </w:style>
  <w:style w:type="character" w:customStyle="1" w:styleId="2455">
    <w:name w:val="Char Char65"/>
    <w:qFormat/>
    <w:uiPriority w:val="0"/>
    <w:rPr>
      <w:rFonts w:eastAsia="宋体"/>
      <w:b/>
      <w:bCs/>
      <w:kern w:val="44"/>
      <w:sz w:val="44"/>
      <w:szCs w:val="44"/>
      <w:lang w:val="en-US" w:eastAsia="zh-CN" w:bidi="ar-SA"/>
    </w:rPr>
  </w:style>
  <w:style w:type="paragraph" w:customStyle="1" w:styleId="2456">
    <w:name w:val="p15"/>
    <w:basedOn w:val="1"/>
    <w:qFormat/>
    <w:uiPriority w:val="0"/>
    <w:pPr>
      <w:widowControl/>
      <w:spacing w:after="120" w:line="240" w:lineRule="atLeast"/>
      <w:jc w:val="center"/>
    </w:pPr>
    <w:rPr>
      <w:rFonts w:ascii="Times New Roman" w:hAnsi="Times New Roman" w:cs="Times New Roman"/>
      <w:b/>
      <w:bCs/>
      <w:color w:val="0000FF"/>
      <w:kern w:val="0"/>
    </w:rPr>
  </w:style>
  <w:style w:type="paragraph" w:customStyle="1" w:styleId="2457">
    <w:name w:val="正文缩进4"/>
    <w:basedOn w:val="1"/>
    <w:qFormat/>
    <w:uiPriority w:val="0"/>
    <w:pPr>
      <w:spacing w:after="120" w:line="360" w:lineRule="auto"/>
      <w:ind w:firstLine="420" w:firstLineChars="200"/>
      <w:jc w:val="left"/>
    </w:pPr>
    <w:rPr>
      <w:rFonts w:ascii="Calibri" w:hAnsi="Calibri" w:cs="Times New Roman"/>
      <w:b/>
      <w:sz w:val="24"/>
    </w:rPr>
  </w:style>
  <w:style w:type="character" w:customStyle="1" w:styleId="2458">
    <w:name w:val="Char Char83"/>
    <w:qFormat/>
    <w:uiPriority w:val="0"/>
    <w:rPr>
      <w:rFonts w:eastAsia="宋体"/>
      <w:b/>
      <w:bCs/>
      <w:kern w:val="44"/>
      <w:sz w:val="44"/>
      <w:szCs w:val="44"/>
      <w:lang w:val="en-US" w:eastAsia="zh-CN" w:bidi="ar-SA"/>
    </w:rPr>
  </w:style>
  <w:style w:type="character" w:customStyle="1" w:styleId="2459">
    <w:name w:val="Char Char82"/>
    <w:qFormat/>
    <w:uiPriority w:val="0"/>
    <w:rPr>
      <w:rFonts w:ascii="Arial" w:hAnsi="Arial" w:eastAsia="宋体"/>
      <w:b/>
      <w:bCs/>
      <w:kern w:val="2"/>
      <w:sz w:val="28"/>
      <w:szCs w:val="32"/>
      <w:lang w:val="en-US" w:eastAsia="zh-CN" w:bidi="ar-SA"/>
    </w:rPr>
  </w:style>
  <w:style w:type="character" w:customStyle="1" w:styleId="2460">
    <w:name w:val="Char Char81"/>
    <w:qFormat/>
    <w:uiPriority w:val="0"/>
    <w:rPr>
      <w:rFonts w:ascii="Arial" w:hAnsi="Arial" w:eastAsia="宋体"/>
      <w:b/>
      <w:bCs/>
      <w:i/>
      <w:kern w:val="2"/>
      <w:sz w:val="24"/>
      <w:szCs w:val="28"/>
      <w:lang w:val="en-US" w:eastAsia="zh-CN" w:bidi="ar-SA"/>
    </w:rPr>
  </w:style>
  <w:style w:type="character" w:customStyle="1" w:styleId="2461">
    <w:name w:val="Char Char80"/>
    <w:qFormat/>
    <w:uiPriority w:val="0"/>
    <w:rPr>
      <w:rFonts w:eastAsia="宋体"/>
      <w:b/>
      <w:bCs/>
      <w:kern w:val="2"/>
      <w:sz w:val="28"/>
      <w:szCs w:val="28"/>
      <w:lang w:val="en-US" w:eastAsia="zh-CN" w:bidi="ar-SA"/>
    </w:rPr>
  </w:style>
  <w:style w:type="character" w:customStyle="1" w:styleId="2462">
    <w:name w:val="Char Char79"/>
    <w:qFormat/>
    <w:uiPriority w:val="0"/>
    <w:rPr>
      <w:rFonts w:ascii="Arial" w:hAnsi="Arial" w:eastAsia="黑体"/>
      <w:b/>
      <w:bCs/>
      <w:kern w:val="2"/>
      <w:sz w:val="24"/>
      <w:szCs w:val="24"/>
      <w:lang w:val="en-US" w:eastAsia="zh-CN" w:bidi="ar-SA"/>
    </w:rPr>
  </w:style>
  <w:style w:type="character" w:customStyle="1" w:styleId="2463">
    <w:name w:val="Char Char78"/>
    <w:qFormat/>
    <w:uiPriority w:val="0"/>
    <w:rPr>
      <w:rFonts w:eastAsia="宋体"/>
      <w:b/>
      <w:bCs/>
      <w:kern w:val="2"/>
      <w:sz w:val="24"/>
      <w:szCs w:val="24"/>
      <w:lang w:val="en-US" w:eastAsia="zh-CN" w:bidi="ar-SA"/>
    </w:rPr>
  </w:style>
  <w:style w:type="character" w:customStyle="1" w:styleId="2464">
    <w:name w:val="Char Char77"/>
    <w:qFormat/>
    <w:uiPriority w:val="0"/>
    <w:rPr>
      <w:rFonts w:ascii="Arial" w:hAnsi="Arial" w:eastAsia="黑体"/>
      <w:b/>
      <w:kern w:val="2"/>
      <w:sz w:val="24"/>
      <w:szCs w:val="24"/>
      <w:lang w:val="en-US" w:eastAsia="zh-CN" w:bidi="ar-SA"/>
    </w:rPr>
  </w:style>
  <w:style w:type="character" w:customStyle="1" w:styleId="2465">
    <w:name w:val="Char Char76"/>
    <w:qFormat/>
    <w:uiPriority w:val="0"/>
    <w:rPr>
      <w:rFonts w:ascii="Arial" w:hAnsi="Arial" w:eastAsia="黑体"/>
      <w:b/>
      <w:kern w:val="2"/>
      <w:sz w:val="28"/>
      <w:szCs w:val="21"/>
      <w:lang w:val="en-US" w:eastAsia="zh-CN" w:bidi="ar-SA"/>
    </w:rPr>
  </w:style>
  <w:style w:type="character" w:customStyle="1" w:styleId="2466">
    <w:name w:val="Char Char74"/>
    <w:qFormat/>
    <w:uiPriority w:val="0"/>
    <w:rPr>
      <w:rFonts w:eastAsia="宋体"/>
      <w:b/>
      <w:kern w:val="2"/>
      <w:sz w:val="28"/>
      <w:szCs w:val="24"/>
      <w:lang w:val="en-US" w:eastAsia="zh-CN" w:bidi="ar-SA"/>
    </w:rPr>
  </w:style>
  <w:style w:type="character" w:customStyle="1" w:styleId="2467">
    <w:name w:val="Char Char73"/>
    <w:qFormat/>
    <w:uiPriority w:val="0"/>
    <w:rPr>
      <w:rFonts w:eastAsia="宋体"/>
      <w:b/>
      <w:kern w:val="2"/>
      <w:sz w:val="28"/>
      <w:szCs w:val="24"/>
      <w:lang w:val="en-US" w:eastAsia="zh-CN" w:bidi="ar-SA"/>
    </w:rPr>
  </w:style>
  <w:style w:type="character" w:customStyle="1" w:styleId="2468">
    <w:name w:val="Char Char72"/>
    <w:qFormat/>
    <w:uiPriority w:val="0"/>
    <w:rPr>
      <w:rFonts w:eastAsia="宋体"/>
      <w:b/>
      <w:kern w:val="2"/>
      <w:sz w:val="21"/>
      <w:szCs w:val="24"/>
      <w:lang w:val="en-US" w:eastAsia="zh-CN" w:bidi="ar-SA"/>
    </w:rPr>
  </w:style>
  <w:style w:type="character" w:customStyle="1" w:styleId="2469">
    <w:name w:val="Char Char71"/>
    <w:qFormat/>
    <w:uiPriority w:val="0"/>
    <w:rPr>
      <w:rFonts w:eastAsia="宋体"/>
      <w:b/>
      <w:kern w:val="2"/>
      <w:sz w:val="18"/>
      <w:szCs w:val="18"/>
      <w:lang w:val="en-US" w:eastAsia="zh-CN" w:bidi="ar-SA"/>
    </w:rPr>
  </w:style>
  <w:style w:type="character" w:customStyle="1" w:styleId="2470">
    <w:name w:val="Char Char70"/>
    <w:qFormat/>
    <w:uiPriority w:val="0"/>
    <w:rPr>
      <w:rFonts w:eastAsia="宋体"/>
      <w:b/>
      <w:kern w:val="2"/>
      <w:sz w:val="16"/>
      <w:szCs w:val="16"/>
      <w:lang w:val="en-US" w:eastAsia="zh-CN" w:bidi="ar-SA"/>
    </w:rPr>
  </w:style>
  <w:style w:type="character" w:customStyle="1" w:styleId="2471">
    <w:name w:val="Char Char69"/>
    <w:qFormat/>
    <w:uiPriority w:val="0"/>
    <w:rPr>
      <w:rFonts w:ascii="宋体" w:hAnsi="Courier New" w:eastAsia="宋体" w:cs="Courier New"/>
      <w:b/>
      <w:kern w:val="2"/>
      <w:sz w:val="21"/>
      <w:szCs w:val="21"/>
      <w:lang w:val="en-US" w:eastAsia="zh-CN" w:bidi="ar-SA"/>
    </w:rPr>
  </w:style>
  <w:style w:type="character" w:customStyle="1" w:styleId="2472">
    <w:name w:val="Char Char68"/>
    <w:qFormat/>
    <w:uiPriority w:val="0"/>
    <w:rPr>
      <w:rFonts w:eastAsia="宋体"/>
      <w:kern w:val="2"/>
      <w:sz w:val="18"/>
      <w:szCs w:val="18"/>
      <w:lang w:val="en-US" w:eastAsia="zh-CN" w:bidi="ar-SA"/>
    </w:rPr>
  </w:style>
  <w:style w:type="character" w:customStyle="1" w:styleId="2473">
    <w:name w:val="Char Char67"/>
    <w:qFormat/>
    <w:uiPriority w:val="0"/>
    <w:rPr>
      <w:rFonts w:eastAsia="宋体"/>
      <w:b/>
      <w:kern w:val="2"/>
      <w:sz w:val="28"/>
      <w:szCs w:val="24"/>
      <w:lang w:val="en-US" w:eastAsia="zh-CN" w:bidi="ar-SA"/>
    </w:rPr>
  </w:style>
  <w:style w:type="character" w:customStyle="1" w:styleId="2474">
    <w:name w:val="Char Char66"/>
    <w:qFormat/>
    <w:uiPriority w:val="0"/>
    <w:rPr>
      <w:rFonts w:eastAsia="宋体"/>
      <w:b/>
      <w:kern w:val="2"/>
      <w:sz w:val="28"/>
      <w:szCs w:val="24"/>
      <w:lang w:val="en-US" w:eastAsia="zh-CN" w:bidi="ar-SA"/>
    </w:rPr>
  </w:style>
  <w:style w:type="character" w:customStyle="1" w:styleId="2475">
    <w:name w:val="Char Char57"/>
    <w:qFormat/>
    <w:uiPriority w:val="0"/>
    <w:rPr>
      <w:rFonts w:eastAsia="宋体"/>
      <w:b/>
      <w:kern w:val="2"/>
      <w:sz w:val="16"/>
      <w:szCs w:val="16"/>
      <w:lang w:val="en-US" w:eastAsia="zh-CN" w:bidi="ar-SA"/>
    </w:rPr>
  </w:style>
  <w:style w:type="paragraph" w:customStyle="1" w:styleId="2476">
    <w:name w:val="正文11"/>
    <w:link w:val="2510"/>
    <w:qFormat/>
    <w:uiPriority w:val="0"/>
    <w:pPr>
      <w:widowControl w:val="0"/>
      <w:adjustRightInd w:val="0"/>
      <w:snapToGrid w:val="0"/>
      <w:spacing w:afterLines="50" w:line="300" w:lineRule="auto"/>
      <w:ind w:firstLine="200" w:firstLineChars="200"/>
      <w:jc w:val="both"/>
    </w:pPr>
    <w:rPr>
      <w:rFonts w:ascii="宋体" w:hAnsi="Times New Roman" w:eastAsia="宋体" w:cs="Times New Roman"/>
      <w:spacing w:val="10"/>
      <w:sz w:val="24"/>
      <w:lang w:val="en-US" w:eastAsia="zh-CN" w:bidi="ar-SA"/>
    </w:rPr>
  </w:style>
  <w:style w:type="character" w:customStyle="1" w:styleId="2477">
    <w:name w:val="Char Char98"/>
    <w:qFormat/>
    <w:uiPriority w:val="0"/>
    <w:rPr>
      <w:rFonts w:ascii="Arial" w:hAnsi="Arial" w:eastAsia="宋体"/>
      <w:b/>
      <w:bCs/>
      <w:i/>
      <w:kern w:val="2"/>
      <w:sz w:val="24"/>
      <w:szCs w:val="28"/>
      <w:lang w:val="en-US" w:eastAsia="zh-CN" w:bidi="ar-SA"/>
    </w:rPr>
  </w:style>
  <w:style w:type="paragraph" w:customStyle="1" w:styleId="2478">
    <w:name w:val="_Style 10"/>
    <w:basedOn w:val="1"/>
    <w:qFormat/>
    <w:uiPriority w:val="0"/>
    <w:pPr>
      <w:widowControl/>
      <w:spacing w:after="160" w:line="240" w:lineRule="exact"/>
      <w:jc w:val="left"/>
    </w:pPr>
    <w:rPr>
      <w:rFonts w:ascii="Times New Roman" w:hAnsi="Times New Roman" w:cs="Times New Roman"/>
      <w:b/>
      <w:sz w:val="28"/>
      <w:szCs w:val="24"/>
    </w:rPr>
  </w:style>
  <w:style w:type="character" w:customStyle="1" w:styleId="2479">
    <w:name w:val="页眉2 Char1"/>
    <w:qFormat/>
    <w:uiPriority w:val="0"/>
    <w:rPr>
      <w:rFonts w:eastAsia="宋体"/>
      <w:b/>
      <w:kern w:val="2"/>
      <w:sz w:val="18"/>
      <w:szCs w:val="18"/>
      <w:lang w:val="en-US" w:eastAsia="zh-CN" w:bidi="ar-SA"/>
    </w:rPr>
  </w:style>
  <w:style w:type="character" w:customStyle="1" w:styleId="2480">
    <w:name w:val="styleliwei31"/>
    <w:qFormat/>
    <w:uiPriority w:val="0"/>
    <w:rPr>
      <w:rFonts w:hint="eastAsia" w:ascii="宋体" w:hAnsi="宋体" w:eastAsia="宋体"/>
      <w:color w:val="000000"/>
      <w:sz w:val="21"/>
      <w:szCs w:val="21"/>
      <w:u w:val="none"/>
    </w:rPr>
  </w:style>
  <w:style w:type="paragraph" w:customStyle="1" w:styleId="2481">
    <w:name w:val="Char Char93 Char Char Char Char"/>
    <w:basedOn w:val="1"/>
    <w:qFormat/>
    <w:uiPriority w:val="0"/>
    <w:pPr>
      <w:spacing w:line="360" w:lineRule="auto"/>
      <w:ind w:firstLine="200" w:firstLineChars="200"/>
      <w:jc w:val="left"/>
    </w:pPr>
    <w:rPr>
      <w:rFonts w:ascii="宋体" w:hAnsi="宋体" w:cs="宋体"/>
      <w:sz w:val="24"/>
      <w:szCs w:val="24"/>
    </w:rPr>
  </w:style>
  <w:style w:type="character" w:customStyle="1" w:styleId="2482">
    <w:name w:val="表格2 Char Char"/>
    <w:link w:val="1601"/>
    <w:qFormat/>
    <w:uiPriority w:val="0"/>
    <w:rPr>
      <w:rFonts w:ascii="Times New Roman" w:hAnsi="Times New Roman" w:eastAsia="宋体" w:cs="Times New Roman"/>
      <w:b/>
      <w:bCs/>
      <w:kern w:val="0"/>
      <w:szCs w:val="20"/>
    </w:rPr>
  </w:style>
  <w:style w:type="character" w:customStyle="1" w:styleId="2483">
    <w:name w:val="四 Char Char"/>
    <w:qFormat/>
    <w:uiPriority w:val="0"/>
    <w:rPr>
      <w:rFonts w:eastAsia="宋体"/>
      <w:b/>
      <w:bCs/>
      <w:color w:val="000000"/>
      <w:kern w:val="2"/>
      <w:sz w:val="24"/>
      <w:szCs w:val="28"/>
      <w:lang w:val="en-US" w:eastAsia="zh-CN" w:bidi="ar-SA"/>
    </w:rPr>
  </w:style>
  <w:style w:type="character" w:customStyle="1" w:styleId="2484">
    <w:name w:val="样式2 Char"/>
    <w:qFormat/>
    <w:uiPriority w:val="0"/>
    <w:rPr>
      <w:rFonts w:ascii="Times New Roman" w:hAnsi="宋体"/>
      <w:sz w:val="22"/>
    </w:rPr>
  </w:style>
  <w:style w:type="paragraph" w:customStyle="1" w:styleId="2485">
    <w:name w:val="样式 目录 2 + 行距: 固定值 20 磅"/>
    <w:basedOn w:val="74"/>
    <w:qFormat/>
    <w:uiPriority w:val="0"/>
    <w:pPr>
      <w:tabs>
        <w:tab w:val="right" w:leader="dot" w:pos="8721"/>
        <w:tab w:val="clear" w:pos="8494"/>
      </w:tabs>
      <w:adjustRightInd/>
      <w:spacing w:beforeLines="10" w:line="400" w:lineRule="exact"/>
      <w:ind w:firstLine="0" w:firstLineChars="0"/>
      <w:jc w:val="center"/>
    </w:pPr>
    <w:rPr>
      <w:rFonts w:cs="宋体" w:eastAsiaTheme="minorEastAsia"/>
      <w:snapToGrid w:val="0"/>
      <w:kern w:val="0"/>
      <w:szCs w:val="20"/>
    </w:rPr>
  </w:style>
  <w:style w:type="character" w:customStyle="1" w:styleId="2486">
    <w:name w:val="样式3 Char"/>
    <w:qFormat/>
    <w:uiPriority w:val="0"/>
    <w:rPr>
      <w:rFonts w:ascii="Times New Roman" w:hAnsi="Times New Roman" w:eastAsia="宋体" w:cs="Times New Roman"/>
      <w:b/>
      <w:bCs/>
      <w:sz w:val="24"/>
      <w:szCs w:val="32"/>
    </w:rPr>
  </w:style>
  <w:style w:type="character" w:customStyle="1" w:styleId="2487">
    <w:name w:val="font9black"/>
    <w:qFormat/>
    <w:uiPriority w:val="0"/>
  </w:style>
  <w:style w:type="paragraph" w:customStyle="1" w:styleId="2488">
    <w:name w:val="Char Char Char Char11"/>
    <w:basedOn w:val="1"/>
    <w:qFormat/>
    <w:uiPriority w:val="0"/>
    <w:pPr>
      <w:ind w:firstLine="200" w:firstLineChars="200"/>
      <w:jc w:val="left"/>
    </w:pPr>
    <w:rPr>
      <w:rFonts w:ascii="宋体" w:hAnsi="宋体" w:cs="宋体"/>
      <w:sz w:val="24"/>
      <w:szCs w:val="24"/>
    </w:rPr>
  </w:style>
  <w:style w:type="paragraph" w:customStyle="1" w:styleId="2489">
    <w:name w:val="样式 样式 宋体 小四 段前: 5 磅 段后: 5 磅 行距: 1.5 倍行距 + 首行缩进:  2 字符"/>
    <w:basedOn w:val="1"/>
    <w:qFormat/>
    <w:uiPriority w:val="0"/>
    <w:pPr>
      <w:spacing w:line="360" w:lineRule="auto"/>
      <w:ind w:firstLine="200" w:firstLineChars="200"/>
      <w:jc w:val="left"/>
    </w:pPr>
    <w:rPr>
      <w:rFonts w:ascii="宋体" w:hAnsi="宋体" w:cs="宋体"/>
      <w:sz w:val="24"/>
      <w:szCs w:val="20"/>
    </w:rPr>
  </w:style>
  <w:style w:type="paragraph" w:customStyle="1" w:styleId="2490">
    <w:name w:val="样式 正文文本缩进 + 宋体 小四 首行缩进:  2 字符 段前: 5 磅 段后: 5 磅 行距: 1.5 倍行距"/>
    <w:basedOn w:val="35"/>
    <w:qFormat/>
    <w:uiPriority w:val="0"/>
    <w:pPr>
      <w:spacing w:beforeLines="10" w:after="0"/>
      <w:ind w:left="0" w:leftChars="0"/>
    </w:pPr>
    <w:rPr>
      <w:rFonts w:ascii="宋体" w:hAnsi="宋体" w:cs="宋体" w:eastAsiaTheme="minorEastAsia"/>
      <w:snapToGrid w:val="0"/>
      <w:kern w:val="0"/>
      <w:szCs w:val="20"/>
    </w:rPr>
  </w:style>
  <w:style w:type="paragraph" w:customStyle="1" w:styleId="2491">
    <w:name w:val="正文报告"/>
    <w:basedOn w:val="1"/>
    <w:link w:val="2492"/>
    <w:qFormat/>
    <w:uiPriority w:val="0"/>
    <w:pPr>
      <w:topLinePunct/>
      <w:spacing w:line="480" w:lineRule="exact"/>
      <w:ind w:firstLine="567"/>
      <w:jc w:val="left"/>
    </w:pPr>
    <w:rPr>
      <w:rFonts w:ascii="Times New Roman" w:hAnsi="Times New Roman" w:cs="Times New Roman"/>
      <w:sz w:val="28"/>
      <w:szCs w:val="28"/>
    </w:rPr>
  </w:style>
  <w:style w:type="character" w:customStyle="1" w:styleId="2492">
    <w:name w:val="正文报告 Char"/>
    <w:link w:val="2491"/>
    <w:qFormat/>
    <w:uiPriority w:val="0"/>
    <w:rPr>
      <w:rFonts w:ascii="Times New Roman" w:hAnsi="Times New Roman" w:cs="Times New Roman"/>
      <w:sz w:val="28"/>
      <w:szCs w:val="28"/>
    </w:rPr>
  </w:style>
  <w:style w:type="paragraph" w:customStyle="1" w:styleId="2493">
    <w:name w:val="正文（首行缩近两字）"/>
    <w:basedOn w:val="1"/>
    <w:next w:val="1"/>
    <w:qFormat/>
    <w:uiPriority w:val="0"/>
    <w:pPr>
      <w:ind w:firstLine="420" w:firstLineChars="200"/>
      <w:jc w:val="left"/>
    </w:pPr>
    <w:rPr>
      <w:rFonts w:ascii="Times New Roman" w:hAnsi="Times New Roman" w:cs="Times New Roman"/>
      <w:szCs w:val="24"/>
    </w:rPr>
  </w:style>
  <w:style w:type="paragraph" w:customStyle="1" w:styleId="2494">
    <w:name w:val="Char Char Char1 Char1"/>
    <w:basedOn w:val="1"/>
    <w:qFormat/>
    <w:uiPriority w:val="0"/>
    <w:pPr>
      <w:jc w:val="left"/>
    </w:pPr>
    <w:rPr>
      <w:rFonts w:ascii="Times New Roman" w:hAnsi="Times New Roman" w:cs="Times New Roman"/>
      <w:szCs w:val="24"/>
    </w:rPr>
  </w:style>
  <w:style w:type="paragraph" w:customStyle="1" w:styleId="2495">
    <w:name w:val="l_text"/>
    <w:basedOn w:val="1"/>
    <w:qFormat/>
    <w:uiPriority w:val="0"/>
    <w:pPr>
      <w:widowControl/>
      <w:overflowPunct w:val="0"/>
      <w:autoSpaceDE w:val="0"/>
      <w:autoSpaceDN w:val="0"/>
      <w:adjustRightInd w:val="0"/>
      <w:spacing w:line="360" w:lineRule="auto"/>
      <w:ind w:firstLine="567"/>
      <w:jc w:val="left"/>
      <w:textAlignment w:val="baseline"/>
    </w:pPr>
    <w:rPr>
      <w:rFonts w:ascii="Times New Roman" w:hAnsi="Times New Roman" w:cs="Times New Roman"/>
      <w:kern w:val="0"/>
      <w:sz w:val="28"/>
      <w:szCs w:val="20"/>
      <w:lang w:val="en-GB"/>
    </w:rPr>
  </w:style>
  <w:style w:type="paragraph" w:customStyle="1" w:styleId="2496">
    <w:name w:val="首行缩进:  2 字符"/>
    <w:basedOn w:val="1"/>
    <w:next w:val="1"/>
    <w:qFormat/>
    <w:uiPriority w:val="0"/>
    <w:pPr>
      <w:autoSpaceDE w:val="0"/>
      <w:autoSpaceDN w:val="0"/>
      <w:adjustRightInd w:val="0"/>
      <w:spacing w:after="60"/>
      <w:jc w:val="left"/>
    </w:pPr>
    <w:rPr>
      <w:rFonts w:ascii="宋体" w:hAnsi="Times New Roman" w:cs="Times New Roman"/>
      <w:kern w:val="0"/>
      <w:sz w:val="24"/>
      <w:szCs w:val="24"/>
    </w:rPr>
  </w:style>
  <w:style w:type="paragraph" w:customStyle="1" w:styleId="2497">
    <w:name w:val="样式 标题03"/>
    <w:basedOn w:val="1"/>
    <w:qFormat/>
    <w:uiPriority w:val="0"/>
    <w:pPr>
      <w:adjustRightInd w:val="0"/>
      <w:spacing w:beforeLines="50" w:afterLines="50" w:line="288" w:lineRule="auto"/>
      <w:jc w:val="left"/>
      <w:outlineLvl w:val="2"/>
    </w:pPr>
    <w:rPr>
      <w:rFonts w:ascii="Times New Roman" w:hAnsi="Times New Roman" w:cs="Times New Roman"/>
      <w:b/>
      <w:color w:val="0000FF"/>
      <w:sz w:val="24"/>
      <w:szCs w:val="20"/>
    </w:rPr>
  </w:style>
  <w:style w:type="paragraph" w:customStyle="1" w:styleId="2498">
    <w:name w:val="公式图片"/>
    <w:basedOn w:val="1"/>
    <w:qFormat/>
    <w:uiPriority w:val="0"/>
    <w:pPr>
      <w:jc w:val="center"/>
    </w:pPr>
    <w:rPr>
      <w:rFonts w:ascii="Times New Roman" w:hAnsi="Times New Roman" w:cs="Times New Roman"/>
      <w:sz w:val="24"/>
      <w:szCs w:val="24"/>
    </w:rPr>
  </w:style>
  <w:style w:type="paragraph" w:customStyle="1" w:styleId="2499">
    <w:name w:val="题注两端对齐"/>
    <w:basedOn w:val="22"/>
    <w:qFormat/>
    <w:uiPriority w:val="0"/>
    <w:pPr>
      <w:spacing w:beforeLines="10"/>
      <w:jc w:val="center"/>
    </w:pPr>
    <w:rPr>
      <w:rFonts w:ascii="Times New Roman" w:hAnsi="Times New Roman" w:eastAsia="宋体" w:cs="Arial"/>
      <w:b/>
      <w:snapToGrid w:val="0"/>
      <w:kern w:val="0"/>
      <w:sz w:val="24"/>
      <w:szCs w:val="24"/>
    </w:rPr>
  </w:style>
  <w:style w:type="paragraph" w:customStyle="1" w:styleId="2500">
    <w:name w:val="表格正文"/>
    <w:basedOn w:val="1"/>
    <w:link w:val="2501"/>
    <w:qFormat/>
    <w:uiPriority w:val="0"/>
    <w:pPr>
      <w:spacing w:line="240" w:lineRule="atLeast"/>
      <w:jc w:val="center"/>
    </w:pPr>
    <w:rPr>
      <w:rFonts w:ascii="Times New Roman" w:hAnsi="Times New Roman" w:cs="Times New Roman"/>
      <w:color w:val="000000"/>
      <w:sz w:val="24"/>
      <w:szCs w:val="24"/>
    </w:rPr>
  </w:style>
  <w:style w:type="character" w:customStyle="1" w:styleId="2501">
    <w:name w:val="表格正文 Char"/>
    <w:link w:val="2500"/>
    <w:qFormat/>
    <w:uiPriority w:val="0"/>
    <w:rPr>
      <w:rFonts w:ascii="Times New Roman" w:hAnsi="Times New Roman" w:cs="Times New Roman"/>
      <w:color w:val="000000"/>
      <w:sz w:val="24"/>
      <w:szCs w:val="24"/>
    </w:rPr>
  </w:style>
  <w:style w:type="paragraph" w:customStyle="1" w:styleId="2502">
    <w:name w:val="编号杨"/>
    <w:basedOn w:val="1"/>
    <w:qFormat/>
    <w:uiPriority w:val="0"/>
    <w:pPr>
      <w:tabs>
        <w:tab w:val="left" w:pos="2404"/>
      </w:tabs>
      <w:spacing w:beforeLines="20" w:afterLines="20" w:line="312" w:lineRule="auto"/>
      <w:ind w:left="2404"/>
      <w:jc w:val="left"/>
    </w:pPr>
    <w:rPr>
      <w:rFonts w:ascii="Times New Roman" w:hAnsi="Times New Roman" w:cs="Times New Roman"/>
      <w:sz w:val="24"/>
      <w:szCs w:val="24"/>
    </w:rPr>
  </w:style>
  <w:style w:type="character" w:customStyle="1" w:styleId="2503">
    <w:name w:val="段落 Char"/>
    <w:link w:val="681"/>
    <w:qFormat/>
    <w:uiPriority w:val="0"/>
    <w:rPr>
      <w:rFonts w:ascii="Times New Roman" w:hAnsi="宋体" w:cs="Times New Roman"/>
      <w:bCs/>
      <w:kern w:val="0"/>
      <w:sz w:val="24"/>
      <w:szCs w:val="24"/>
    </w:rPr>
  </w:style>
  <w:style w:type="character" w:customStyle="1" w:styleId="2504">
    <w:name w:val="图表名 Char"/>
    <w:link w:val="1049"/>
    <w:qFormat/>
    <w:uiPriority w:val="0"/>
    <w:rPr>
      <w:rFonts w:ascii="Times New Roman" w:hAnsi="Times New Roman" w:eastAsia="黑体" w:cs="Times New Roman"/>
      <w:color w:val="000000"/>
      <w:sz w:val="24"/>
    </w:rPr>
  </w:style>
  <w:style w:type="paragraph" w:customStyle="1" w:styleId="2505">
    <w:name w:val="小节"/>
    <w:basedOn w:val="1"/>
    <w:qFormat/>
    <w:uiPriority w:val="0"/>
    <w:pPr>
      <w:spacing w:beforeAutospacing="1" w:after="100" w:afterAutospacing="1"/>
      <w:jc w:val="left"/>
    </w:pPr>
    <w:rPr>
      <w:rFonts w:ascii="Times New Roman" w:hAnsi="Times New Roman" w:cs="Times New Roman"/>
      <w:sz w:val="24"/>
      <w:szCs w:val="20"/>
    </w:rPr>
  </w:style>
  <w:style w:type="paragraph" w:customStyle="1" w:styleId="2506">
    <w:name w:val="表样式"/>
    <w:qFormat/>
    <w:uiPriority w:val="0"/>
    <w:pPr>
      <w:spacing w:beforeLines="50" w:afterLines="50"/>
      <w:jc w:val="center"/>
    </w:pPr>
    <w:rPr>
      <w:rFonts w:ascii="Times New Roman" w:hAnsi="Times New Roman" w:eastAsia="宋体" w:cs="Times New Roman"/>
      <w:sz w:val="28"/>
      <w:lang w:val="en-US" w:eastAsia="zh-CN" w:bidi="ar-SA"/>
    </w:rPr>
  </w:style>
  <w:style w:type="character" w:customStyle="1" w:styleId="2507">
    <w:name w:val="第 章 Char"/>
    <w:qFormat/>
    <w:uiPriority w:val="0"/>
    <w:rPr>
      <w:rFonts w:eastAsia="宋体"/>
      <w:b/>
      <w:bCs/>
      <w:color w:val="000000"/>
      <w:kern w:val="2"/>
      <w:sz w:val="24"/>
      <w:szCs w:val="32"/>
      <w:lang w:val="en-US" w:eastAsia="zh-CN" w:bidi="ar-SA"/>
    </w:rPr>
  </w:style>
  <w:style w:type="paragraph" w:customStyle="1" w:styleId="2508">
    <w:name w:val="Char Char Char Char Char Char1 Char Char Char1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509">
    <w:name w:val="样式 首行缩进两字正文1 + 左侧:  0 厘米"/>
    <w:basedOn w:val="1"/>
    <w:qFormat/>
    <w:uiPriority w:val="0"/>
    <w:pPr>
      <w:spacing w:line="280" w:lineRule="exact"/>
      <w:ind w:firstLine="480"/>
      <w:jc w:val="center"/>
    </w:pPr>
    <w:rPr>
      <w:rFonts w:ascii="Calibri" w:hAnsi="Calibri" w:eastAsia="楷体_GB2312" w:cs="Times New Roman"/>
      <w:b/>
      <w:color w:val="FF00FF"/>
      <w:kern w:val="0"/>
      <w:sz w:val="24"/>
      <w:szCs w:val="24"/>
    </w:rPr>
  </w:style>
  <w:style w:type="character" w:customStyle="1" w:styleId="2510">
    <w:name w:val="正文1 Char"/>
    <w:link w:val="2476"/>
    <w:qFormat/>
    <w:uiPriority w:val="0"/>
    <w:rPr>
      <w:rFonts w:ascii="宋体" w:hAnsi="Times New Roman" w:eastAsia="宋体" w:cs="Times New Roman"/>
      <w:spacing w:val="10"/>
      <w:kern w:val="0"/>
      <w:sz w:val="24"/>
      <w:szCs w:val="20"/>
    </w:rPr>
  </w:style>
  <w:style w:type="character" w:customStyle="1" w:styleId="2511">
    <w:name w:val="textindent"/>
    <w:qFormat/>
    <w:uiPriority w:val="0"/>
  </w:style>
  <w:style w:type="paragraph" w:customStyle="1" w:styleId="2512">
    <w:name w:val="标2"/>
    <w:basedOn w:val="1"/>
    <w:next w:val="34"/>
    <w:link w:val="2513"/>
    <w:qFormat/>
    <w:uiPriority w:val="0"/>
    <w:pPr>
      <w:tabs>
        <w:tab w:val="left" w:pos="7875"/>
      </w:tabs>
      <w:adjustRightInd w:val="0"/>
      <w:spacing w:after="120" w:line="460" w:lineRule="atLeast"/>
      <w:ind w:firstLine="510"/>
      <w:jc w:val="left"/>
      <w:outlineLvl w:val="1"/>
    </w:pPr>
    <w:rPr>
      <w:rFonts w:ascii="黑体" w:hAnsi="Times New Roman" w:eastAsia="黑体" w:cs="Times New Roman"/>
      <w:b/>
      <w:bCs/>
      <w:sz w:val="24"/>
      <w:szCs w:val="24"/>
    </w:rPr>
  </w:style>
  <w:style w:type="character" w:customStyle="1" w:styleId="2513">
    <w:name w:val="标2 Char"/>
    <w:link w:val="2512"/>
    <w:qFormat/>
    <w:uiPriority w:val="0"/>
    <w:rPr>
      <w:rFonts w:ascii="黑体" w:hAnsi="Times New Roman" w:eastAsia="黑体" w:cs="Times New Roman"/>
      <w:b/>
      <w:bCs/>
      <w:sz w:val="24"/>
      <w:szCs w:val="24"/>
    </w:rPr>
  </w:style>
  <w:style w:type="paragraph" w:customStyle="1" w:styleId="2514">
    <w:name w:val="图标题"/>
    <w:basedOn w:val="1"/>
    <w:qFormat/>
    <w:uiPriority w:val="0"/>
    <w:pPr>
      <w:adjustRightInd w:val="0"/>
      <w:spacing w:after="240"/>
      <w:jc w:val="center"/>
      <w:textAlignment w:val="baseline"/>
    </w:pPr>
    <w:rPr>
      <w:rFonts w:ascii="Times New Roman" w:hAnsi="Times New Roman" w:cs="Times New Roman"/>
      <w:b/>
      <w:kern w:val="0"/>
      <w:sz w:val="28"/>
      <w:szCs w:val="20"/>
    </w:rPr>
  </w:style>
  <w:style w:type="paragraph" w:customStyle="1" w:styleId="2515">
    <w:name w:val="正文—文字部分"/>
    <w:basedOn w:val="1"/>
    <w:link w:val="2516"/>
    <w:qFormat/>
    <w:uiPriority w:val="0"/>
    <w:pPr>
      <w:spacing w:line="360" w:lineRule="auto"/>
      <w:ind w:firstLine="480" w:firstLineChars="200"/>
      <w:jc w:val="left"/>
    </w:pPr>
    <w:rPr>
      <w:rFonts w:ascii="宋体" w:hAnsi="宋体" w:cs="Times New Roman"/>
      <w:sz w:val="24"/>
      <w:szCs w:val="20"/>
    </w:rPr>
  </w:style>
  <w:style w:type="character" w:customStyle="1" w:styleId="2516">
    <w:name w:val="正文—文字部分 Char"/>
    <w:link w:val="2515"/>
    <w:qFormat/>
    <w:uiPriority w:val="0"/>
    <w:rPr>
      <w:rFonts w:ascii="宋体" w:hAnsi="宋体" w:cs="Times New Roman"/>
      <w:sz w:val="24"/>
      <w:szCs w:val="20"/>
    </w:rPr>
  </w:style>
  <w:style w:type="character" w:customStyle="1" w:styleId="2517">
    <w:name w:val="标准正文 Char"/>
    <w:link w:val="2415"/>
    <w:qFormat/>
    <w:uiPriority w:val="0"/>
    <w:rPr>
      <w:rFonts w:ascii="Times New Roman" w:hAnsi="Times New Roman" w:cs="Times New Roman"/>
      <w:iCs/>
      <w:snapToGrid w:val="0"/>
      <w:color w:val="000000"/>
      <w:sz w:val="28"/>
      <w:szCs w:val="28"/>
      <w:lang w:val="zh-CN"/>
    </w:rPr>
  </w:style>
  <w:style w:type="character" w:customStyle="1" w:styleId="2518">
    <w:name w:val="表格文字 Char"/>
    <w:link w:val="1015"/>
    <w:qFormat/>
    <w:uiPriority w:val="0"/>
    <w:rPr>
      <w:rFonts w:ascii="仿宋_GB2312" w:hAnsi="Arial Black" w:eastAsia="仿宋_GB2312" w:cs="Times New Roman"/>
      <w:kern w:val="44"/>
      <w:sz w:val="24"/>
      <w:szCs w:val="20"/>
    </w:rPr>
  </w:style>
  <w:style w:type="character" w:customStyle="1" w:styleId="2519">
    <w:name w:val="标题-小节 Char"/>
    <w:link w:val="2520"/>
    <w:qFormat/>
    <w:uiPriority w:val="0"/>
    <w:rPr>
      <w:rFonts w:ascii="宋体" w:hAnsi="宋体" w:eastAsia="黑体"/>
      <w:b/>
      <w:snapToGrid w:val="0"/>
      <w:sz w:val="24"/>
      <w:szCs w:val="24"/>
    </w:rPr>
  </w:style>
  <w:style w:type="paragraph" w:customStyle="1" w:styleId="2520">
    <w:name w:val="标题-小节"/>
    <w:basedOn w:val="2415"/>
    <w:link w:val="2519"/>
    <w:qFormat/>
    <w:uiPriority w:val="0"/>
    <w:pPr>
      <w:overflowPunct w:val="0"/>
      <w:spacing w:line="360" w:lineRule="auto"/>
      <w:ind w:firstLine="482"/>
      <w:outlineLvl w:val="4"/>
    </w:pPr>
    <w:rPr>
      <w:rFonts w:ascii="宋体" w:hAnsi="宋体" w:eastAsia="黑体" w:cstheme="minorBidi"/>
      <w:b/>
      <w:iCs w:val="0"/>
      <w:color w:val="auto"/>
      <w:sz w:val="24"/>
      <w:szCs w:val="24"/>
      <w:lang w:val="en-US"/>
    </w:rPr>
  </w:style>
  <w:style w:type="character" w:customStyle="1" w:styleId="2521">
    <w:name w:val="表格名称 Char"/>
    <w:link w:val="348"/>
    <w:qFormat/>
    <w:uiPriority w:val="0"/>
    <w:rPr>
      <w:rFonts w:ascii="Calibri" w:hAnsi="Calibri" w:eastAsia="宋体" w:cs="Calibri"/>
      <w:b/>
      <w:bCs/>
      <w:kern w:val="0"/>
      <w:szCs w:val="21"/>
    </w:rPr>
  </w:style>
  <w:style w:type="character" w:customStyle="1" w:styleId="2522">
    <w:name w:val="style2"/>
    <w:qFormat/>
    <w:uiPriority w:val="0"/>
  </w:style>
  <w:style w:type="paragraph" w:customStyle="1" w:styleId="2523">
    <w:name w:val="样式 (符号) 宋体 小四 行距: 固定值 24 磅"/>
    <w:basedOn w:val="1"/>
    <w:qFormat/>
    <w:uiPriority w:val="0"/>
    <w:pPr>
      <w:spacing w:line="480" w:lineRule="exact"/>
      <w:ind w:firstLine="200" w:firstLineChars="200"/>
      <w:jc w:val="left"/>
    </w:pPr>
    <w:rPr>
      <w:rFonts w:ascii="Times New Roman" w:hAnsi="宋体" w:cs="宋体"/>
      <w:sz w:val="24"/>
      <w:szCs w:val="20"/>
    </w:rPr>
  </w:style>
  <w:style w:type="paragraph" w:customStyle="1" w:styleId="2524">
    <w:name w:val="隧道室正文"/>
    <w:qFormat/>
    <w:uiPriority w:val="0"/>
    <w:pPr>
      <w:spacing w:before="100" w:beforeAutospacing="1" w:line="360" w:lineRule="auto"/>
      <w:ind w:firstLine="480" w:firstLineChars="200"/>
      <w:jc w:val="both"/>
    </w:pPr>
    <w:rPr>
      <w:rFonts w:ascii="宋体" w:hAnsi="宋体" w:eastAsia="宋体" w:cs="Times New Roman"/>
      <w:sz w:val="24"/>
      <w:szCs w:val="24"/>
      <w:lang w:val="en-US" w:eastAsia="zh-CN" w:bidi="ar-SA"/>
    </w:rPr>
  </w:style>
  <w:style w:type="character" w:customStyle="1" w:styleId="2525">
    <w:name w:val="正文 lsp Char"/>
    <w:link w:val="2066"/>
    <w:qFormat/>
    <w:uiPriority w:val="0"/>
    <w:rPr>
      <w:rFonts w:ascii="宋体" w:hAnsi="Times New Roman" w:cs="Times New Roman"/>
      <w:sz w:val="24"/>
      <w:szCs w:val="24"/>
    </w:rPr>
  </w:style>
  <w:style w:type="character" w:customStyle="1" w:styleId="2526">
    <w:name w:val="样式 !正文 + 首行缩进:  2 字符1 Char"/>
    <w:qFormat/>
    <w:uiPriority w:val="0"/>
    <w:rPr>
      <w:rFonts w:eastAsia="宋体" w:cs="宋体"/>
      <w:color w:val="000000"/>
      <w:sz w:val="24"/>
      <w:u w:color="000000"/>
      <w:lang w:val="en-US" w:eastAsia="zh-CN" w:bidi="ar-SA"/>
    </w:rPr>
  </w:style>
  <w:style w:type="character" w:customStyle="1" w:styleId="2527">
    <w:name w:val="!表格(alt+t) Char"/>
    <w:qFormat/>
    <w:uiPriority w:val="0"/>
    <w:rPr>
      <w:rFonts w:eastAsia="宋体"/>
      <w:sz w:val="21"/>
      <w:szCs w:val="18"/>
      <w:lang w:val="en-US" w:eastAsia="zh-CN" w:bidi="ar-SA"/>
    </w:rPr>
  </w:style>
  <w:style w:type="character" w:customStyle="1" w:styleId="2528">
    <w:name w:val="bmap_marker bmap_noprint"/>
    <w:qFormat/>
    <w:uiPriority w:val="0"/>
  </w:style>
  <w:style w:type="character" w:customStyle="1" w:styleId="2529">
    <w:name w:val="四 Char Char1"/>
    <w:qFormat/>
    <w:uiPriority w:val="0"/>
    <w:rPr>
      <w:rFonts w:ascii="Arial" w:hAnsi="Arial" w:eastAsia="宋体"/>
      <w:b/>
      <w:bCs/>
      <w:i/>
      <w:kern w:val="2"/>
      <w:sz w:val="24"/>
      <w:szCs w:val="28"/>
      <w:lang w:val="en-US" w:eastAsia="zh-CN" w:bidi="ar-SA"/>
    </w:rPr>
  </w:style>
  <w:style w:type="character" w:customStyle="1" w:styleId="2530">
    <w:name w:val="+标题2 Char"/>
    <w:qFormat/>
    <w:uiPriority w:val="0"/>
    <w:rPr>
      <w:rFonts w:ascii="宋体" w:hAnsi="宋体" w:eastAsia="宋体"/>
      <w:b/>
      <w:bCs/>
      <w:kern w:val="2"/>
      <w:sz w:val="28"/>
      <w:szCs w:val="28"/>
      <w:lang w:val="en-US" w:eastAsia="zh-CN" w:bidi="ar-SA"/>
    </w:rPr>
  </w:style>
  <w:style w:type="character" w:customStyle="1" w:styleId="2531">
    <w:name w:val="表格 7 Char"/>
    <w:qFormat/>
    <w:uiPriority w:val="0"/>
    <w:rPr>
      <w:rFonts w:ascii="Century Gothic" w:hAnsi="Century Gothic" w:eastAsia="宋体"/>
      <w:b/>
      <w:kern w:val="2"/>
      <w:sz w:val="21"/>
      <w:szCs w:val="21"/>
      <w:lang w:val="en-US" w:eastAsia="zh-CN" w:bidi="ar-SA"/>
    </w:rPr>
  </w:style>
  <w:style w:type="character" w:customStyle="1" w:styleId="2532">
    <w:name w:val="xyb自建正文 Char"/>
    <w:qFormat/>
    <w:uiPriority w:val="0"/>
    <w:rPr>
      <w:rFonts w:ascii="宋体" w:hAnsi="宋体" w:eastAsia="宋体"/>
      <w:sz w:val="24"/>
      <w:szCs w:val="24"/>
      <w:lang w:val="en-US" w:eastAsia="zh-CN" w:bidi="ar-SA"/>
    </w:rPr>
  </w:style>
  <w:style w:type="character" w:customStyle="1" w:styleId="2533">
    <w:name w:val="zh正文 Char"/>
    <w:qFormat/>
    <w:uiPriority w:val="0"/>
    <w:rPr>
      <w:rFonts w:ascii="宋体" w:hAnsi="宋体" w:eastAsia="宋体"/>
      <w:kern w:val="2"/>
      <w:sz w:val="28"/>
      <w:lang w:val="en-US" w:eastAsia="zh-CN" w:bidi="ar-SA"/>
    </w:rPr>
  </w:style>
  <w:style w:type="paragraph" w:customStyle="1" w:styleId="2534">
    <w:name w:val="xyb自建表格名称 Char"/>
    <w:basedOn w:val="1"/>
    <w:qFormat/>
    <w:uiPriority w:val="0"/>
    <w:pPr>
      <w:spacing w:line="360" w:lineRule="auto"/>
      <w:jc w:val="center"/>
    </w:pPr>
    <w:rPr>
      <w:rFonts w:ascii="宋体" w:hAnsi="宋体" w:cs="Times New Roman"/>
      <w:sz w:val="24"/>
      <w:szCs w:val="24"/>
    </w:rPr>
  </w:style>
  <w:style w:type="character" w:customStyle="1" w:styleId="2535">
    <w:name w:val="表格正文 Char Char Char Char Char"/>
    <w:qFormat/>
    <w:uiPriority w:val="0"/>
    <w:rPr>
      <w:rFonts w:eastAsia="宋体"/>
      <w:kern w:val="2"/>
      <w:sz w:val="21"/>
      <w:lang w:val="en-US" w:eastAsia="zh-CN" w:bidi="ar-SA"/>
    </w:rPr>
  </w:style>
  <w:style w:type="paragraph" w:customStyle="1" w:styleId="2536">
    <w:name w:val="表名 Char"/>
    <w:basedOn w:val="1"/>
    <w:qFormat/>
    <w:uiPriority w:val="0"/>
    <w:pPr>
      <w:spacing w:line="300" w:lineRule="auto"/>
      <w:ind w:firstLine="425"/>
      <w:jc w:val="center"/>
    </w:pPr>
    <w:rPr>
      <w:rFonts w:ascii="Times New Roman" w:hAnsi="Times New Roman" w:eastAsia="黑体" w:cs="Times New Roman"/>
      <w:sz w:val="24"/>
      <w:szCs w:val="20"/>
    </w:rPr>
  </w:style>
  <w:style w:type="character" w:customStyle="1" w:styleId="2537">
    <w:name w:val="报告书正文 Char Char Char Char"/>
    <w:qFormat/>
    <w:uiPriority w:val="0"/>
    <w:rPr>
      <w:rFonts w:eastAsia="宋体"/>
      <w:kern w:val="2"/>
      <w:sz w:val="24"/>
      <w:szCs w:val="24"/>
      <w:lang w:val="en-US" w:eastAsia="zh-CN" w:bidi="ar-SA"/>
    </w:rPr>
  </w:style>
  <w:style w:type="paragraph" w:customStyle="1" w:styleId="2538">
    <w:name w:val="报告书正文 Char"/>
    <w:basedOn w:val="1"/>
    <w:qFormat/>
    <w:uiPriority w:val="0"/>
    <w:pPr>
      <w:spacing w:line="360" w:lineRule="auto"/>
      <w:jc w:val="left"/>
    </w:pPr>
    <w:rPr>
      <w:rFonts w:ascii="Times New Roman" w:hAnsi="Times New Roman" w:cs="Times New Roman"/>
      <w:sz w:val="24"/>
      <w:szCs w:val="24"/>
    </w:rPr>
  </w:style>
  <w:style w:type="character" w:customStyle="1" w:styleId="2539">
    <w:name w:val="报告 Char"/>
    <w:qFormat/>
    <w:uiPriority w:val="0"/>
    <w:rPr>
      <w:rFonts w:eastAsia="宋体"/>
      <w:kern w:val="2"/>
      <w:sz w:val="24"/>
      <w:szCs w:val="24"/>
      <w:lang w:val="en-US" w:eastAsia="zh-CN" w:bidi="ar-SA"/>
    </w:rPr>
  </w:style>
  <w:style w:type="character" w:customStyle="1" w:styleId="2540">
    <w:name w:val="样式 标题 3标题 3 CharH3B Head + 宋体 小三 Char Char Char Char"/>
    <w:qFormat/>
    <w:uiPriority w:val="0"/>
    <w:rPr>
      <w:rFonts w:ascii="宋体" w:hAnsi="宋体" w:eastAsia="宋体"/>
      <w:b/>
      <w:iCs/>
      <w:color w:val="0000FF"/>
      <w:kern w:val="2"/>
      <w:sz w:val="30"/>
      <w:szCs w:val="28"/>
      <w:lang w:val="en-US" w:eastAsia="zh-CN" w:bidi="ar-SA"/>
    </w:rPr>
  </w:style>
  <w:style w:type="character" w:customStyle="1" w:styleId="2541">
    <w:name w:val="样式 标题 4 + 宋体 Char Char Char Char"/>
    <w:qFormat/>
    <w:uiPriority w:val="0"/>
    <w:rPr>
      <w:rFonts w:ascii="宋体" w:hAnsi="宋体" w:eastAsia="宋体"/>
      <w:bCs/>
      <w:kern w:val="2"/>
      <w:sz w:val="24"/>
      <w:szCs w:val="24"/>
      <w:lang w:val="en-US" w:eastAsia="zh-CN" w:bidi="ar-SA"/>
    </w:rPr>
  </w:style>
  <w:style w:type="paragraph" w:customStyle="1" w:styleId="2542">
    <w:name w:val="报告书正文 Char Char Char Char Char Char Char Char Char Char"/>
    <w:basedOn w:val="1"/>
    <w:qFormat/>
    <w:uiPriority w:val="0"/>
    <w:pPr>
      <w:spacing w:line="300" w:lineRule="auto"/>
      <w:ind w:firstLine="480" w:firstLineChars="200"/>
      <w:jc w:val="left"/>
    </w:pPr>
    <w:rPr>
      <w:rFonts w:ascii="Times New Roman" w:hAnsi="Times New Roman" w:cs="Times New Roman"/>
      <w:color w:val="000000"/>
      <w:sz w:val="24"/>
      <w:szCs w:val="24"/>
    </w:rPr>
  </w:style>
  <w:style w:type="character" w:customStyle="1" w:styleId="2543">
    <w:name w:val="报告书正文 Char Char Char Char Char Char Char Char Char Char Char"/>
    <w:qFormat/>
    <w:uiPriority w:val="0"/>
    <w:rPr>
      <w:rFonts w:eastAsia="宋体"/>
      <w:color w:val="000000"/>
      <w:kern w:val="2"/>
      <w:sz w:val="24"/>
      <w:szCs w:val="24"/>
      <w:lang w:val="en-US" w:eastAsia="zh-CN" w:bidi="ar-SA"/>
    </w:rPr>
  </w:style>
  <w:style w:type="paragraph" w:customStyle="1" w:styleId="2544">
    <w:name w:val="报告书正文 Char Char Char Char Char"/>
    <w:basedOn w:val="1"/>
    <w:qFormat/>
    <w:uiPriority w:val="0"/>
    <w:pPr>
      <w:spacing w:line="300" w:lineRule="auto"/>
      <w:ind w:firstLine="480" w:firstLineChars="200"/>
      <w:jc w:val="left"/>
    </w:pPr>
    <w:rPr>
      <w:rFonts w:ascii="Times New Roman" w:hAnsi="Times New Roman" w:cs="Times New Roman"/>
      <w:color w:val="000000"/>
      <w:sz w:val="24"/>
      <w:szCs w:val="24"/>
    </w:rPr>
  </w:style>
  <w:style w:type="character" w:customStyle="1" w:styleId="2545">
    <w:name w:val="样式1 Char Char Char Char Char Char Char"/>
    <w:qFormat/>
    <w:uiPriority w:val="0"/>
    <w:rPr>
      <w:rFonts w:ascii="宋体" w:hAnsi="宋体" w:eastAsia="宋体"/>
      <w:kern w:val="2"/>
      <w:sz w:val="24"/>
      <w:szCs w:val="24"/>
      <w:lang w:val="en-US" w:eastAsia="zh-CN" w:bidi="ar-SA"/>
    </w:rPr>
  </w:style>
  <w:style w:type="character" w:customStyle="1" w:styleId="2546">
    <w:name w:val="报告书正文 Char Char Char Char Char Char Char Char Char Char Char Char Char Char"/>
    <w:qFormat/>
    <w:uiPriority w:val="0"/>
    <w:rPr>
      <w:rFonts w:eastAsia="宋体"/>
      <w:color w:val="000000"/>
      <w:kern w:val="2"/>
      <w:sz w:val="24"/>
      <w:szCs w:val="24"/>
      <w:lang w:val="en-US" w:eastAsia="zh-CN" w:bidi="ar-SA"/>
    </w:rPr>
  </w:style>
  <w:style w:type="paragraph" w:customStyle="1" w:styleId="2547">
    <w:name w:val="报告书正文 Char Char Char Char Char Char Char Char"/>
    <w:basedOn w:val="1"/>
    <w:qFormat/>
    <w:uiPriority w:val="0"/>
    <w:pPr>
      <w:spacing w:line="300" w:lineRule="auto"/>
      <w:ind w:firstLine="480" w:firstLineChars="200"/>
      <w:jc w:val="left"/>
    </w:pPr>
    <w:rPr>
      <w:rFonts w:ascii="Times New Roman" w:hAnsi="Times New Roman" w:cs="Times New Roman"/>
      <w:color w:val="000000"/>
      <w:sz w:val="24"/>
      <w:szCs w:val="24"/>
    </w:rPr>
  </w:style>
  <w:style w:type="character" w:customStyle="1" w:styleId="2548">
    <w:name w:val="标4 Char Char Char Char"/>
    <w:qFormat/>
    <w:uiPriority w:val="0"/>
    <w:rPr>
      <w:rFonts w:ascii="宋体" w:hAnsi="宋体" w:eastAsia="宋体"/>
      <w:kern w:val="2"/>
      <w:sz w:val="24"/>
      <w:szCs w:val="30"/>
      <w:lang w:val="en-US" w:eastAsia="zh-CN" w:bidi="ar-SA"/>
    </w:rPr>
  </w:style>
  <w:style w:type="paragraph" w:customStyle="1" w:styleId="2549">
    <w:name w:val="Char Char Char Char Char Char Char2"/>
    <w:basedOn w:val="1"/>
    <w:qFormat/>
    <w:uiPriority w:val="0"/>
    <w:pPr>
      <w:jc w:val="left"/>
    </w:pPr>
    <w:rPr>
      <w:rFonts w:ascii="Times New Roman" w:hAnsi="Times New Roman" w:cs="Times New Roman"/>
      <w:szCs w:val="24"/>
    </w:rPr>
  </w:style>
  <w:style w:type="table" w:customStyle="1" w:styleId="2550">
    <w:name w:val="表格样式1"/>
    <w:basedOn w:val="88"/>
    <w:qFormat/>
    <w:uiPriority w:val="0"/>
    <w:pPr>
      <w:spacing w:line="320" w:lineRule="exact"/>
      <w:jc w:val="center"/>
    </w:p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cPr>
      <w:vAlign w:val="center"/>
    </w:tcPr>
  </w:style>
  <w:style w:type="character" w:customStyle="1" w:styleId="2551">
    <w:name w:val="正文文字缩进 Char Char1"/>
    <w:qFormat/>
    <w:uiPriority w:val="0"/>
    <w:rPr>
      <w:rFonts w:eastAsia="宋体"/>
      <w:b/>
      <w:kern w:val="2"/>
      <w:sz w:val="28"/>
      <w:szCs w:val="24"/>
      <w:lang w:val="en-US" w:eastAsia="zh-CN" w:bidi="ar-SA"/>
    </w:rPr>
  </w:style>
  <w:style w:type="character" w:customStyle="1" w:styleId="2552">
    <w:name w:val="样式 样式 四号 首行缩进:  1.1 厘米 + 首行缩进:  2 字符 Char"/>
    <w:qFormat/>
    <w:uiPriority w:val="0"/>
    <w:rPr>
      <w:rFonts w:eastAsia="宋体" w:cs="宋体"/>
      <w:kern w:val="2"/>
      <w:sz w:val="24"/>
      <w:lang w:val="en-US" w:eastAsia="zh-CN" w:bidi="ar-SA"/>
    </w:rPr>
  </w:style>
  <w:style w:type="character" w:customStyle="1" w:styleId="2553">
    <w:name w:val="正文小四 Char"/>
    <w:qFormat/>
    <w:uiPriority w:val="0"/>
    <w:rPr>
      <w:rFonts w:ascii="宋体" w:hAnsi="宋体" w:eastAsia="宋体"/>
      <w:spacing w:val="30"/>
      <w:kern w:val="24"/>
      <w:sz w:val="24"/>
      <w:szCs w:val="24"/>
      <w:lang w:val="en-US" w:eastAsia="zh-CN" w:bidi="ar-SA"/>
    </w:rPr>
  </w:style>
  <w:style w:type="character" w:customStyle="1" w:styleId="2554">
    <w:name w:val="样式 正文编号（1） + Char Char"/>
    <w:semiHidden/>
    <w:qFormat/>
    <w:uiPriority w:val="0"/>
    <w:rPr>
      <w:rFonts w:eastAsia="宋体"/>
      <w:color w:val="000000"/>
      <w:kern w:val="2"/>
      <w:sz w:val="28"/>
      <w:szCs w:val="24"/>
      <w:u w:color="000000"/>
      <w:lang w:val="en-US" w:eastAsia="zh-CN" w:bidi="ar-SA"/>
    </w:rPr>
  </w:style>
  <w:style w:type="character" w:customStyle="1" w:styleId="2555">
    <w:name w:val="落款 Char"/>
    <w:qFormat/>
    <w:uiPriority w:val="0"/>
    <w:rPr>
      <w:rFonts w:eastAsia="宋体"/>
      <w:b/>
      <w:kern w:val="2"/>
      <w:sz w:val="21"/>
      <w:szCs w:val="24"/>
      <w:lang w:val="en-US" w:eastAsia="zh-CN" w:bidi="ar-SA"/>
    </w:rPr>
  </w:style>
  <w:style w:type="character" w:customStyle="1" w:styleId="2556">
    <w:name w:val="样式11 Char"/>
    <w:qFormat/>
    <w:uiPriority w:val="0"/>
    <w:rPr>
      <w:rFonts w:ascii="宋体" w:hAnsi="宋体" w:eastAsia="宋体" w:cs="宋体"/>
      <w:bCs/>
      <w:sz w:val="24"/>
      <w:szCs w:val="24"/>
      <w:lang w:val="en-US" w:eastAsia="zh-CN" w:bidi="ar-SA"/>
    </w:rPr>
  </w:style>
  <w:style w:type="character" w:customStyle="1" w:styleId="2557">
    <w:name w:val="样式 正文文本 + 自动设置 Char"/>
    <w:qFormat/>
    <w:uiPriority w:val="0"/>
    <w:rPr>
      <w:rFonts w:ascii="宋体" w:hAnsi="宋体" w:eastAsia="宋体" w:cs="宋体"/>
      <w:bCs/>
      <w:color w:val="FF0000"/>
      <w:spacing w:val="-6"/>
      <w:w w:val="90"/>
      <w:kern w:val="2"/>
      <w:sz w:val="24"/>
      <w:szCs w:val="21"/>
      <w:lang w:val="en-US" w:eastAsia="zh-CN" w:bidi="ar-SA"/>
    </w:rPr>
  </w:style>
  <w:style w:type="character" w:customStyle="1" w:styleId="2558">
    <w:name w:val="样式 正文小四 + Char"/>
    <w:qFormat/>
    <w:uiPriority w:val="0"/>
    <w:rPr>
      <w:rFonts w:ascii="宋体" w:hAnsi="宋体" w:eastAsia="宋体" w:cs="宋体"/>
      <w:kern w:val="2"/>
      <w:sz w:val="24"/>
      <w:u w:color="000000"/>
      <w:lang w:val="en-US" w:eastAsia="zh-CN" w:bidi="ar-SA"/>
    </w:rPr>
  </w:style>
  <w:style w:type="character" w:customStyle="1" w:styleId="2559">
    <w:name w:val="样式 表标题 + 加粗 Char"/>
    <w:qFormat/>
    <w:uiPriority w:val="0"/>
    <w:rPr>
      <w:rFonts w:ascii="黑体" w:hAnsi="宋体" w:eastAsia="黑体"/>
      <w:bCs/>
      <w:spacing w:val="21"/>
      <w:sz w:val="24"/>
      <w:szCs w:val="24"/>
      <w:lang w:val="zh-CN" w:eastAsia="zh-CN" w:bidi="ar-SA"/>
    </w:rPr>
  </w:style>
  <w:style w:type="character" w:customStyle="1" w:styleId="2560">
    <w:name w:val="样式 样式 样式 样式5 + 宋体 + 小四 + 段前: 0 磅 段后: 0 磅 Char"/>
    <w:qFormat/>
    <w:uiPriority w:val="0"/>
    <w:rPr>
      <w:rFonts w:ascii="宋体" w:hAnsi="宋体" w:eastAsia="宋体"/>
      <w:b/>
      <w:bCs/>
      <w:sz w:val="24"/>
      <w:szCs w:val="28"/>
      <w:lang w:val="en-US" w:eastAsia="zh-CN" w:bidi="ar-SA"/>
    </w:rPr>
  </w:style>
  <w:style w:type="character" w:customStyle="1" w:styleId="2561">
    <w:name w:val="样式 样式 正文小4 + 加粗 首行缩进:  2 字符 + Char"/>
    <w:qFormat/>
    <w:uiPriority w:val="0"/>
    <w:rPr>
      <w:rFonts w:ascii="宋体" w:hAnsi="宋体" w:eastAsia="宋体"/>
      <w:b/>
      <w:bCs/>
      <w:spacing w:val="22"/>
      <w:kern w:val="24"/>
      <w:sz w:val="24"/>
      <w:szCs w:val="24"/>
      <w:lang w:val="en-US" w:eastAsia="zh-CN" w:bidi="ar-SA"/>
    </w:rPr>
  </w:style>
  <w:style w:type="character" w:customStyle="1" w:styleId="2562">
    <w:name w:val="正文小4 Char"/>
    <w:qFormat/>
    <w:uiPriority w:val="0"/>
    <w:rPr>
      <w:rFonts w:ascii="宋体" w:hAnsi="宋体" w:eastAsia="宋体" w:cs="宋体"/>
      <w:spacing w:val="22"/>
      <w:kern w:val="24"/>
      <w:sz w:val="24"/>
      <w:szCs w:val="24"/>
      <w:lang w:val="en-US" w:eastAsia="zh-CN" w:bidi="ar-SA"/>
    </w:rPr>
  </w:style>
  <w:style w:type="character" w:customStyle="1" w:styleId="2563">
    <w:name w:val="表名 Char Char Char Char Char"/>
    <w:qFormat/>
    <w:uiPriority w:val="0"/>
    <w:rPr>
      <w:rFonts w:ascii="Arial" w:hAnsi="Arial" w:eastAsia="黑体"/>
      <w:sz w:val="24"/>
      <w:szCs w:val="21"/>
      <w:lang w:val="en-US" w:eastAsia="zh-CN" w:bidi="ar-SA"/>
    </w:rPr>
  </w:style>
  <w:style w:type="paragraph" w:customStyle="1" w:styleId="2564">
    <w:name w:val="表文 Char"/>
    <w:basedOn w:val="1"/>
    <w:qFormat/>
    <w:uiPriority w:val="0"/>
    <w:pPr>
      <w:autoSpaceDE w:val="0"/>
      <w:autoSpaceDN w:val="0"/>
      <w:adjustRightInd w:val="0"/>
      <w:spacing w:line="312" w:lineRule="auto"/>
      <w:ind w:firstLine="482"/>
      <w:jc w:val="center"/>
      <w:textAlignment w:val="baseline"/>
    </w:pPr>
    <w:rPr>
      <w:rFonts w:ascii="Times New Roman" w:hAnsi="Times New Roman" w:cs="Times New Roman"/>
      <w:kern w:val="0"/>
      <w:sz w:val="24"/>
      <w:szCs w:val="20"/>
    </w:rPr>
  </w:style>
  <w:style w:type="character" w:customStyle="1" w:styleId="2565">
    <w:name w:val="表号 Char Char Char Char Char"/>
    <w:qFormat/>
    <w:uiPriority w:val="0"/>
    <w:rPr>
      <w:rFonts w:eastAsia="宋体"/>
      <w:spacing w:val="6"/>
      <w:sz w:val="21"/>
      <w:szCs w:val="24"/>
      <w:lang w:val="en-US" w:eastAsia="zh-CN" w:bidi="ar-SA"/>
    </w:rPr>
  </w:style>
  <w:style w:type="character" w:customStyle="1" w:styleId="2566">
    <w:name w:val="Char Char Char Char Char"/>
    <w:qFormat/>
    <w:uiPriority w:val="0"/>
    <w:rPr>
      <w:rFonts w:eastAsia="宋体"/>
      <w:b/>
      <w:bCs/>
      <w:kern w:val="44"/>
      <w:sz w:val="44"/>
      <w:szCs w:val="44"/>
      <w:lang w:val="en-US" w:eastAsia="zh-CN" w:bidi="ar-SA"/>
    </w:rPr>
  </w:style>
  <w:style w:type="character" w:customStyle="1" w:styleId="2567">
    <w:name w:val="表文 Char Char Char Char Char Char Char Char"/>
    <w:qFormat/>
    <w:uiPriority w:val="0"/>
    <w:rPr>
      <w:rFonts w:eastAsia="宋体"/>
      <w:kern w:val="2"/>
      <w:sz w:val="18"/>
      <w:szCs w:val="18"/>
      <w:lang w:val="en-US" w:eastAsia="zh-CN" w:bidi="ar-SA"/>
    </w:rPr>
  </w:style>
  <w:style w:type="character" w:customStyle="1" w:styleId="2568">
    <w:name w:val="表文 Char Char Char Char Char Char"/>
    <w:qFormat/>
    <w:uiPriority w:val="0"/>
    <w:rPr>
      <w:rFonts w:eastAsia="宋体"/>
      <w:kern w:val="2"/>
      <w:sz w:val="18"/>
      <w:szCs w:val="24"/>
      <w:lang w:val="en-US" w:eastAsia="zh-CN" w:bidi="ar-SA"/>
    </w:rPr>
  </w:style>
  <w:style w:type="character" w:customStyle="1" w:styleId="2569">
    <w:name w:val="表名 Char1 Char Char Char Char"/>
    <w:qFormat/>
    <w:uiPriority w:val="0"/>
    <w:rPr>
      <w:rFonts w:ascii="Arial" w:hAnsi="Arial" w:eastAsia="黑体"/>
      <w:kern w:val="2"/>
      <w:sz w:val="21"/>
      <w:szCs w:val="24"/>
      <w:lang w:val="en-US" w:eastAsia="zh-CN" w:bidi="ar-SA"/>
    </w:rPr>
  </w:style>
  <w:style w:type="character" w:customStyle="1" w:styleId="2570">
    <w:name w:val="表号 Char Char Char"/>
    <w:qFormat/>
    <w:uiPriority w:val="0"/>
    <w:rPr>
      <w:rFonts w:eastAsia="宋体"/>
      <w:spacing w:val="6"/>
      <w:sz w:val="21"/>
      <w:szCs w:val="24"/>
      <w:lang w:val="en-US" w:eastAsia="zh-CN" w:bidi="ar-SA"/>
    </w:rPr>
  </w:style>
  <w:style w:type="paragraph" w:customStyle="1" w:styleId="2571">
    <w:name w:val="表文 Char Char Char"/>
    <w:basedOn w:val="1"/>
    <w:qFormat/>
    <w:uiPriority w:val="0"/>
    <w:pPr>
      <w:overflowPunct w:val="0"/>
      <w:jc w:val="center"/>
      <w:textAlignment w:val="baseline"/>
    </w:pPr>
    <w:rPr>
      <w:rFonts w:ascii="Times New Roman" w:hAnsi="Times New Roman" w:cs="Times New Roman"/>
      <w:sz w:val="18"/>
      <w:szCs w:val="24"/>
    </w:rPr>
  </w:style>
  <w:style w:type="paragraph" w:customStyle="1" w:styleId="2572">
    <w:name w:val="表名 Char1 Char"/>
    <w:basedOn w:val="1"/>
    <w:qFormat/>
    <w:uiPriority w:val="0"/>
    <w:pPr>
      <w:overflowPunct w:val="0"/>
      <w:spacing w:beforeAutospacing="1"/>
      <w:jc w:val="center"/>
      <w:textAlignment w:val="baseline"/>
    </w:pPr>
    <w:rPr>
      <w:rFonts w:ascii="Arial" w:hAnsi="Arial" w:eastAsia="黑体" w:cs="Times New Roman"/>
      <w:szCs w:val="20"/>
    </w:rPr>
  </w:style>
  <w:style w:type="paragraph" w:customStyle="1" w:styleId="2573">
    <w:name w:val="表号 Char"/>
    <w:basedOn w:val="1"/>
    <w:qFormat/>
    <w:uiPriority w:val="0"/>
    <w:pPr>
      <w:autoSpaceDE w:val="0"/>
      <w:autoSpaceDN w:val="0"/>
      <w:adjustRightInd w:val="0"/>
      <w:jc w:val="left"/>
      <w:textAlignment w:val="baseline"/>
      <w:outlineLvl w:val="4"/>
    </w:pPr>
    <w:rPr>
      <w:rFonts w:ascii="Times New Roman" w:hAnsi="Times New Roman" w:cs="Times New Roman"/>
      <w:spacing w:val="6"/>
      <w:kern w:val="0"/>
      <w:szCs w:val="24"/>
    </w:rPr>
  </w:style>
  <w:style w:type="character" w:customStyle="1" w:styleId="2574">
    <w:name w:val="样式 标题 5标题 5 Char + 宋体 Char Char"/>
    <w:qFormat/>
    <w:uiPriority w:val="0"/>
    <w:rPr>
      <w:rFonts w:ascii="宋体" w:hAnsi="宋体" w:eastAsia="宋体"/>
      <w:snapToGrid w:val="0"/>
      <w:sz w:val="24"/>
      <w:szCs w:val="24"/>
      <w:lang w:val="en-US" w:eastAsia="zh-CN" w:bidi="ar-SA"/>
    </w:rPr>
  </w:style>
  <w:style w:type="character" w:customStyle="1" w:styleId="2575">
    <w:name w:val="样式 标题 3 + (中文) 黑体 Char"/>
    <w:qFormat/>
    <w:uiPriority w:val="0"/>
    <w:rPr>
      <w:rFonts w:eastAsia="黑体"/>
      <w:sz w:val="24"/>
      <w:szCs w:val="28"/>
    </w:rPr>
  </w:style>
  <w:style w:type="character" w:customStyle="1" w:styleId="2576">
    <w:name w:val="样式 标题 3 + (中文) 黑体1 Char"/>
    <w:qFormat/>
    <w:uiPriority w:val="0"/>
    <w:rPr>
      <w:rFonts w:eastAsia="宋体"/>
      <w:sz w:val="24"/>
      <w:szCs w:val="28"/>
    </w:rPr>
  </w:style>
  <w:style w:type="character" w:customStyle="1" w:styleId="2577">
    <w:name w:val="样式 正文+ 首行缩进:  2 字符 + 宋体 Char"/>
    <w:qFormat/>
    <w:uiPriority w:val="0"/>
    <w:rPr>
      <w:rFonts w:ascii="宋体" w:hAnsi="宋体" w:eastAsia="宋体" w:cs="宋体"/>
      <w:sz w:val="24"/>
      <w:szCs w:val="24"/>
      <w:lang w:val="en-US" w:eastAsia="zh-CN" w:bidi="ar-SA"/>
    </w:rPr>
  </w:style>
  <w:style w:type="table" w:customStyle="1" w:styleId="2578">
    <w:name w:val="三线表"/>
    <w:basedOn w:val="88"/>
    <w:qFormat/>
    <w:uiPriority w:val="0"/>
    <w:tblPr>
      <w:tblBorders>
        <w:top w:val="single" w:color="auto" w:sz="4" w:space="0"/>
        <w:bottom w:val="single" w:color="auto" w:sz="4" w:space="0"/>
      </w:tblBorders>
      <w:tblLayout w:type="fixed"/>
      <w:tblCellMar>
        <w:top w:w="0" w:type="dxa"/>
        <w:left w:w="108" w:type="dxa"/>
        <w:bottom w:w="0" w:type="dxa"/>
        <w:right w:w="108" w:type="dxa"/>
      </w:tblCellMar>
    </w:tblPr>
    <w:tblStylePr w:type="firstRow">
      <w:tcPr>
        <w:tcBorders>
          <w:top w:val="single" w:color="auto" w:sz="4" w:space="0"/>
          <w:left w:val="nil"/>
          <w:bottom w:val="single" w:color="auto" w:sz="4" w:space="0"/>
          <w:right w:val="nil"/>
          <w:insideH w:val="nil"/>
          <w:insideV w:val="nil"/>
        </w:tcBorders>
      </w:tcPr>
    </w:tblStylePr>
  </w:style>
  <w:style w:type="paragraph" w:customStyle="1" w:styleId="2579">
    <w:name w:val="Char Char Char Char Char Char Char Char Char Char Char Char"/>
    <w:basedOn w:val="1"/>
    <w:qFormat/>
    <w:uiPriority w:val="0"/>
    <w:pPr>
      <w:adjustRightInd w:val="0"/>
      <w:spacing w:line="360" w:lineRule="auto"/>
      <w:ind w:firstLine="200" w:firstLineChars="200"/>
      <w:jc w:val="left"/>
    </w:pPr>
    <w:rPr>
      <w:rFonts w:ascii="宋体" w:hAnsi="宋体" w:cs="宋体"/>
      <w:snapToGrid w:val="0"/>
      <w:sz w:val="24"/>
      <w:szCs w:val="24"/>
    </w:rPr>
  </w:style>
  <w:style w:type="paragraph" w:customStyle="1" w:styleId="2580">
    <w:name w:val="Char Char Char Char Char2"/>
    <w:basedOn w:val="1"/>
    <w:semiHidden/>
    <w:qFormat/>
    <w:uiPriority w:val="0"/>
    <w:pPr>
      <w:adjustRightInd w:val="0"/>
      <w:spacing w:line="360" w:lineRule="auto"/>
      <w:ind w:firstLine="200" w:firstLineChars="200"/>
      <w:jc w:val="left"/>
    </w:pPr>
    <w:rPr>
      <w:rFonts w:ascii="宋体" w:hAnsi="宋体" w:cs="宋体"/>
      <w:snapToGrid w:val="0"/>
      <w:sz w:val="24"/>
      <w:szCs w:val="24"/>
    </w:rPr>
  </w:style>
  <w:style w:type="character" w:customStyle="1" w:styleId="2581">
    <w:name w:val="样式 样式 样式 行距: 固定值 22 磅 + 首行缩进:  2 字符 + 首行缩进:  2 字符 Char"/>
    <w:qFormat/>
    <w:uiPriority w:val="0"/>
    <w:rPr>
      <w:rFonts w:eastAsia="华文中宋"/>
      <w:kern w:val="2"/>
      <w:sz w:val="24"/>
      <w:lang w:val="en-US" w:eastAsia="zh-CN" w:bidi="ar-SA"/>
    </w:rPr>
  </w:style>
  <w:style w:type="character" w:customStyle="1" w:styleId="2582">
    <w:name w:val="样式 样式 样式4 + 黑色 + 自动设置 Char"/>
    <w:qFormat/>
    <w:uiPriority w:val="0"/>
    <w:rPr>
      <w:rFonts w:eastAsia="华文中宋"/>
      <w:color w:val="000000"/>
      <w:kern w:val="2"/>
      <w:sz w:val="24"/>
      <w:szCs w:val="24"/>
      <w:lang w:val="en-US" w:eastAsia="zh-CN"/>
    </w:rPr>
  </w:style>
  <w:style w:type="character" w:customStyle="1" w:styleId="2583">
    <w:name w:val="样式17 Char Char Char Char"/>
    <w:qFormat/>
    <w:uiPriority w:val="0"/>
    <w:rPr>
      <w:rFonts w:eastAsia="华文中宋"/>
      <w:kern w:val="2"/>
      <w:sz w:val="24"/>
      <w:szCs w:val="24"/>
      <w:lang w:val="en-US" w:eastAsia="zh-CN"/>
    </w:rPr>
  </w:style>
  <w:style w:type="paragraph" w:customStyle="1" w:styleId="2584">
    <w:name w:val="Char Char Char Char Char Char Char Char Char1 Char"/>
    <w:basedOn w:val="1"/>
    <w:qFormat/>
    <w:uiPriority w:val="0"/>
    <w:pPr>
      <w:spacing w:line="360" w:lineRule="auto"/>
      <w:ind w:firstLine="200" w:firstLineChars="200"/>
      <w:jc w:val="left"/>
    </w:pPr>
    <w:rPr>
      <w:rFonts w:ascii="宋体" w:hAnsi="宋体" w:cs="宋体"/>
      <w:sz w:val="24"/>
      <w:szCs w:val="24"/>
    </w:rPr>
  </w:style>
  <w:style w:type="character" w:customStyle="1" w:styleId="2585">
    <w:name w:val="haydonli Char"/>
    <w:qFormat/>
    <w:uiPriority w:val="0"/>
    <w:rPr>
      <w:rFonts w:eastAsia="宋体"/>
      <w:snapToGrid w:val="0"/>
      <w:sz w:val="24"/>
      <w:szCs w:val="24"/>
      <w:lang w:val="en-US" w:eastAsia="zh-CN" w:bidi="ar-SA"/>
    </w:rPr>
  </w:style>
  <w:style w:type="character" w:customStyle="1" w:styleId="2586">
    <w:name w:val="我的正文 Char Char Char"/>
    <w:qFormat/>
    <w:uiPriority w:val="0"/>
    <w:rPr>
      <w:rFonts w:eastAsia="宋体"/>
      <w:kern w:val="2"/>
      <w:sz w:val="24"/>
      <w:szCs w:val="24"/>
      <w:lang w:val="en-US" w:eastAsia="zh-CN" w:bidi="ar-SA"/>
    </w:rPr>
  </w:style>
  <w:style w:type="character" w:customStyle="1" w:styleId="2587">
    <w:name w:val="样式 表格标题 + 自动设置 Char"/>
    <w:qFormat/>
    <w:uiPriority w:val="0"/>
    <w:rPr>
      <w:rFonts w:ascii="宋体" w:hAnsi="宋体" w:eastAsia="宋体"/>
      <w:b/>
      <w:bCs/>
      <w:color w:val="0000FF"/>
      <w:sz w:val="24"/>
      <w:szCs w:val="24"/>
      <w:u w:color="FF0000"/>
      <w:lang w:val="en-US" w:eastAsia="zh-CN" w:bidi="ar-SA"/>
    </w:rPr>
  </w:style>
  <w:style w:type="character" w:customStyle="1" w:styleId="2588">
    <w:name w:val="表格标题1 Char"/>
    <w:qFormat/>
    <w:uiPriority w:val="0"/>
    <w:rPr>
      <w:rFonts w:eastAsia="黑体"/>
      <w:kern w:val="28"/>
      <w:sz w:val="24"/>
      <w:szCs w:val="24"/>
      <w:lang w:val="en-US" w:eastAsia="zh-CN" w:bidi="ar-SA"/>
    </w:rPr>
  </w:style>
  <w:style w:type="character" w:customStyle="1" w:styleId="2589">
    <w:name w:val="!表格（alt+t) Char Char"/>
    <w:qFormat/>
    <w:uiPriority w:val="0"/>
    <w:rPr>
      <w:rFonts w:hAnsi="宋体" w:eastAsia="宋体"/>
      <w:sz w:val="21"/>
      <w:szCs w:val="24"/>
      <w:lang w:val="en-US" w:eastAsia="zh-CN" w:bidi="ar-SA"/>
    </w:rPr>
  </w:style>
  <w:style w:type="character" w:customStyle="1" w:styleId="2590">
    <w:name w:val="报告 Char Char Char"/>
    <w:qFormat/>
    <w:uiPriority w:val="0"/>
    <w:rPr>
      <w:rFonts w:eastAsia="宋体"/>
      <w:kern w:val="2"/>
      <w:sz w:val="24"/>
      <w:szCs w:val="24"/>
      <w:lang w:val="en-US" w:eastAsia="zh-CN" w:bidi="ar-SA"/>
    </w:rPr>
  </w:style>
  <w:style w:type="paragraph" w:customStyle="1" w:styleId="2591">
    <w:name w:val="bg Char"/>
    <w:basedOn w:val="1"/>
    <w:link w:val="2592"/>
    <w:qFormat/>
    <w:uiPriority w:val="0"/>
    <w:pPr>
      <w:adjustRightInd w:val="0"/>
      <w:jc w:val="center"/>
    </w:pPr>
    <w:rPr>
      <w:rFonts w:ascii="Times New Roman" w:hAnsi="Times New Roman" w:cs="Times New Roman"/>
    </w:rPr>
  </w:style>
  <w:style w:type="character" w:customStyle="1" w:styleId="2592">
    <w:name w:val="bg Char Char"/>
    <w:link w:val="2591"/>
    <w:qFormat/>
    <w:uiPriority w:val="0"/>
    <w:rPr>
      <w:rFonts w:ascii="Times New Roman" w:hAnsi="Times New Roman" w:cs="Times New Roman"/>
      <w:szCs w:val="21"/>
    </w:rPr>
  </w:style>
  <w:style w:type="paragraph" w:customStyle="1" w:styleId="2593">
    <w:name w:val="Char Char Char Char Char Char1 Char"/>
    <w:basedOn w:val="1"/>
    <w:qFormat/>
    <w:uiPriority w:val="0"/>
    <w:pPr>
      <w:spacing w:line="360" w:lineRule="auto"/>
      <w:ind w:firstLine="200" w:firstLineChars="200"/>
      <w:jc w:val="left"/>
    </w:pPr>
    <w:rPr>
      <w:rFonts w:ascii="宋体" w:hAnsi="宋体" w:cs="宋体"/>
      <w:sz w:val="24"/>
      <w:szCs w:val="24"/>
    </w:rPr>
  </w:style>
  <w:style w:type="character" w:customStyle="1" w:styleId="2594">
    <w:name w:val="HZZH正文 Char"/>
    <w:qFormat/>
    <w:uiPriority w:val="0"/>
    <w:rPr>
      <w:rFonts w:ascii="宋体" w:hAnsi="宋体" w:eastAsia="宋体" w:cs="Courier New"/>
      <w:kern w:val="2"/>
      <w:sz w:val="24"/>
      <w:szCs w:val="21"/>
      <w:lang w:val="en-US" w:eastAsia="zh-CN" w:bidi="ar-SA"/>
    </w:rPr>
  </w:style>
  <w:style w:type="character" w:customStyle="1" w:styleId="2595">
    <w:name w:val="正文+加粗 Char"/>
    <w:qFormat/>
    <w:uiPriority w:val="0"/>
    <w:rPr>
      <w:rFonts w:eastAsia="宋体"/>
      <w:b/>
      <w:kern w:val="2"/>
      <w:sz w:val="24"/>
      <w:szCs w:val="24"/>
      <w:lang w:val="en-US" w:eastAsia="zh-CN" w:bidi="ar-SA"/>
    </w:rPr>
  </w:style>
  <w:style w:type="character" w:customStyle="1" w:styleId="2596">
    <w:name w:val="!表标题(alt+h) Char"/>
    <w:qFormat/>
    <w:uiPriority w:val="0"/>
    <w:rPr>
      <w:rFonts w:eastAsia="黑体"/>
      <w:sz w:val="24"/>
      <w:szCs w:val="24"/>
      <w:lang w:val="en-US" w:eastAsia="zh-CN" w:bidi="ar-SA"/>
    </w:rPr>
  </w:style>
  <w:style w:type="character" w:customStyle="1" w:styleId="2597">
    <w:name w:val="!标题2(alt+2) Char"/>
    <w:qFormat/>
    <w:uiPriority w:val="0"/>
    <w:rPr>
      <w:kern w:val="2"/>
      <w:sz w:val="30"/>
      <w:lang w:val="en-US" w:eastAsia="zh-CN" w:bidi="ar-SA"/>
    </w:rPr>
  </w:style>
  <w:style w:type="character" w:customStyle="1" w:styleId="2598">
    <w:name w:val="!正文(alt+c) Char"/>
    <w:qFormat/>
    <w:uiPriority w:val="0"/>
    <w:rPr>
      <w:rFonts w:eastAsia="宋体"/>
      <w:color w:val="000000"/>
      <w:sz w:val="24"/>
      <w:lang w:val="en-US" w:eastAsia="zh-CN"/>
    </w:rPr>
  </w:style>
  <w:style w:type="character" w:customStyle="1" w:styleId="2599">
    <w:name w:val="! 修改 Char"/>
    <w:qFormat/>
    <w:uiPriority w:val="0"/>
    <w:rPr>
      <w:rFonts w:ascii="宋体" w:eastAsia="宋体"/>
      <w:color w:val="FF0000"/>
      <w:sz w:val="24"/>
      <w:u w:color="000000"/>
      <w:lang w:val="en-US" w:eastAsia="zh-CN"/>
    </w:rPr>
  </w:style>
  <w:style w:type="character" w:customStyle="1" w:styleId="2600">
    <w:name w:val="图表头 Char"/>
    <w:qFormat/>
    <w:uiPriority w:val="0"/>
    <w:rPr>
      <w:rFonts w:ascii="宋体" w:hAnsi="宋体" w:eastAsia="宋体"/>
      <w:b/>
      <w:kern w:val="2"/>
      <w:sz w:val="24"/>
      <w:lang w:val="en-US" w:eastAsia="zh-CN"/>
    </w:rPr>
  </w:style>
  <w:style w:type="character" w:customStyle="1" w:styleId="2601">
    <w:name w:val="gg_body Char"/>
    <w:qFormat/>
    <w:uiPriority w:val="0"/>
    <w:rPr>
      <w:rFonts w:ascii="宋体" w:hAnsi="宋体" w:eastAsia="宋体"/>
      <w:kern w:val="2"/>
      <w:sz w:val="24"/>
      <w:szCs w:val="24"/>
      <w:lang w:val="en-US" w:eastAsia="zh-CN" w:bidi="ar-SA"/>
    </w:rPr>
  </w:style>
  <w:style w:type="character" w:customStyle="1" w:styleId="2602">
    <w:name w:val="默认段落 Char"/>
    <w:qFormat/>
    <w:uiPriority w:val="0"/>
    <w:rPr>
      <w:rFonts w:eastAsia="宋体" w:cs="宋体"/>
      <w:sz w:val="24"/>
      <w:lang w:val="en-US" w:eastAsia="zh-CN" w:bidi="ar-SA"/>
    </w:rPr>
  </w:style>
  <w:style w:type="character" w:customStyle="1" w:styleId="2603">
    <w:name w:val="！表格 Char"/>
    <w:qFormat/>
    <w:uiPriority w:val="0"/>
    <w:rPr>
      <w:rFonts w:ascii="宋体" w:hAnsi="宋体" w:eastAsia="宋体"/>
      <w:color w:val="000000"/>
      <w:sz w:val="21"/>
      <w:szCs w:val="21"/>
      <w:u w:color="000000"/>
      <w:lang w:val="en-US" w:eastAsia="zh-CN" w:bidi="ar-SA"/>
    </w:rPr>
  </w:style>
  <w:style w:type="character" w:customStyle="1" w:styleId="2604">
    <w:name w:val="！表标题 Char"/>
    <w:qFormat/>
    <w:uiPriority w:val="0"/>
    <w:rPr>
      <w:rFonts w:ascii="黑体" w:eastAsia="黑体"/>
      <w:color w:val="000000"/>
      <w:sz w:val="24"/>
      <w:szCs w:val="24"/>
      <w:u w:color="000000"/>
      <w:lang w:val="en-US" w:eastAsia="zh-CN" w:bidi="ar-SA"/>
    </w:rPr>
  </w:style>
  <w:style w:type="character" w:customStyle="1" w:styleId="2605">
    <w:name w:val="XCHG论文正文 Char Char Char Char"/>
    <w:qFormat/>
    <w:uiPriority w:val="0"/>
    <w:rPr>
      <w:rFonts w:eastAsia="宋体"/>
      <w:color w:val="000000"/>
      <w:kern w:val="2"/>
      <w:sz w:val="24"/>
      <w:szCs w:val="24"/>
      <w:lang w:val="en-US" w:eastAsia="zh-CN" w:bidi="ar-SA"/>
    </w:rPr>
  </w:style>
  <w:style w:type="paragraph" w:customStyle="1" w:styleId="2606">
    <w:name w:val="样式 正文文本正文文字 Char"/>
    <w:basedOn w:val="34"/>
    <w:qFormat/>
    <w:uiPriority w:val="0"/>
    <w:pPr>
      <w:adjustRightInd/>
      <w:spacing w:beforeLines="0" w:line="240" w:lineRule="atLeast"/>
      <w:jc w:val="center"/>
    </w:pPr>
    <w:rPr>
      <w:rFonts w:ascii="Calibri" w:hAnsi="Calibri" w:eastAsiaTheme="minorEastAsia"/>
      <w:bCs/>
      <w:snapToGrid/>
      <w:kern w:val="2"/>
      <w:sz w:val="21"/>
    </w:rPr>
  </w:style>
  <w:style w:type="paragraph" w:customStyle="1" w:styleId="2607">
    <w:name w:val="XCHG论文正文 Char"/>
    <w:basedOn w:val="1"/>
    <w:qFormat/>
    <w:uiPriority w:val="0"/>
    <w:pPr>
      <w:spacing w:line="288" w:lineRule="auto"/>
      <w:ind w:firstLine="480" w:firstLineChars="200"/>
      <w:jc w:val="left"/>
    </w:pPr>
    <w:rPr>
      <w:rFonts w:ascii="Times New Roman" w:hAnsi="Times New Roman" w:cs="Times New Roman"/>
      <w:color w:val="000000"/>
      <w:sz w:val="24"/>
      <w:szCs w:val="24"/>
    </w:rPr>
  </w:style>
  <w:style w:type="character" w:customStyle="1" w:styleId="2608">
    <w:name w:val="样式 标题 1 + 红色 Char Char Char Char Char"/>
    <w:qFormat/>
    <w:uiPriority w:val="0"/>
    <w:rPr>
      <w:rFonts w:eastAsia="黑体"/>
      <w:bCs/>
      <w:color w:val="FF0000"/>
      <w:kern w:val="44"/>
      <w:sz w:val="30"/>
      <w:szCs w:val="44"/>
      <w:lang w:val="en-US" w:eastAsia="zh-CN" w:bidi="ar-SA"/>
    </w:rPr>
  </w:style>
  <w:style w:type="character" w:customStyle="1" w:styleId="2609">
    <w:name w:val="样式 标题 1 + 红色 Char Char Char"/>
    <w:qFormat/>
    <w:uiPriority w:val="0"/>
    <w:rPr>
      <w:rFonts w:eastAsia="黑体"/>
      <w:bCs/>
      <w:color w:val="FF0000"/>
      <w:kern w:val="44"/>
      <w:sz w:val="32"/>
      <w:szCs w:val="44"/>
      <w:lang w:val="en-US" w:eastAsia="zh-CN" w:bidi="ar-SA"/>
    </w:rPr>
  </w:style>
  <w:style w:type="character" w:customStyle="1" w:styleId="2610">
    <w:name w:val="样式 样式 标题 2 + 红色 + 自动设置 Char Char Char"/>
    <w:qFormat/>
    <w:uiPriority w:val="0"/>
    <w:rPr>
      <w:rFonts w:ascii="Arial" w:hAnsi="Arial" w:eastAsia="新宋体"/>
      <w:b/>
      <w:bCs/>
      <w:color w:val="FF0000"/>
      <w:spacing w:val="-8"/>
      <w:w w:val="100"/>
      <w:kern w:val="2"/>
      <w:sz w:val="28"/>
      <w:szCs w:val="32"/>
      <w:u w:val="none" w:color="000000"/>
      <w:vertAlign w:val="baseline"/>
      <w:lang w:val="en-US" w:eastAsia="zh-CN" w:bidi="ar-SA"/>
    </w:rPr>
  </w:style>
  <w:style w:type="character" w:customStyle="1" w:styleId="2611">
    <w:name w:val="样式 标题 2 + 红色 Char"/>
    <w:qFormat/>
    <w:uiPriority w:val="0"/>
    <w:rPr>
      <w:rFonts w:ascii="Arial" w:hAnsi="Arial" w:eastAsia="黑体"/>
      <w:b/>
      <w:bCs/>
      <w:color w:val="FF0000"/>
      <w:spacing w:val="-8"/>
      <w:w w:val="100"/>
      <w:kern w:val="2"/>
      <w:sz w:val="28"/>
      <w:szCs w:val="32"/>
      <w:u w:val="none" w:color="000000"/>
      <w:vertAlign w:val="baseline"/>
      <w:lang w:val="en-US" w:eastAsia="zh-CN" w:bidi="ar-SA"/>
    </w:rPr>
  </w:style>
  <w:style w:type="paragraph" w:customStyle="1" w:styleId="2612">
    <w:name w:val="样式 样式 标题 2 + 红色 + 自动设置 Char Char Char Char"/>
    <w:basedOn w:val="1287"/>
    <w:qFormat/>
    <w:uiPriority w:val="0"/>
    <w:pPr>
      <w:spacing w:beforeLines="50" w:afterLines="50" w:line="416" w:lineRule="auto"/>
    </w:pPr>
    <w:rPr>
      <w:rFonts w:eastAsia="新宋体"/>
      <w:color w:val="FF0000"/>
      <w:spacing w:val="-8"/>
      <w:u w:color="000000"/>
    </w:rPr>
  </w:style>
  <w:style w:type="character" w:customStyle="1" w:styleId="2613">
    <w:name w:val="文本正文 + 红色 Char"/>
    <w:qFormat/>
    <w:uiPriority w:val="0"/>
    <w:rPr>
      <w:rFonts w:eastAsia="宋体" w:cs="宋体"/>
      <w:bCs/>
      <w:color w:val="FF0000"/>
      <w:kern w:val="2"/>
      <w:sz w:val="24"/>
      <w:szCs w:val="24"/>
      <w:lang w:val="en-US" w:eastAsia="zh-CN" w:bidi="ar-SA"/>
    </w:rPr>
  </w:style>
  <w:style w:type="character" w:customStyle="1" w:styleId="2614">
    <w:name w:val="文本正文 Char"/>
    <w:qFormat/>
    <w:uiPriority w:val="0"/>
    <w:rPr>
      <w:rFonts w:eastAsia="宋体"/>
      <w:bCs/>
      <w:color w:val="000000"/>
      <w:kern w:val="2"/>
      <w:sz w:val="28"/>
      <w:szCs w:val="28"/>
      <w:lang w:val="en-US" w:eastAsia="zh-CN" w:bidi="ar-SA"/>
    </w:rPr>
  </w:style>
  <w:style w:type="character" w:customStyle="1" w:styleId="2615">
    <w:name w:val="Char1 Char Char Char Char Char Char Char"/>
    <w:qFormat/>
    <w:uiPriority w:val="0"/>
    <w:rPr>
      <w:rFonts w:ascii="宋体" w:hAnsi="宋体" w:eastAsia="宋体" w:cs="宋体"/>
      <w:kern w:val="2"/>
      <w:sz w:val="24"/>
      <w:szCs w:val="24"/>
      <w:lang w:val="en-US" w:eastAsia="zh-CN" w:bidi="ar-SA"/>
    </w:rPr>
  </w:style>
  <w:style w:type="character" w:customStyle="1" w:styleId="2616">
    <w:name w:val="一般正文 + 首行缩进:  2 字符 Char Char Char"/>
    <w:qFormat/>
    <w:uiPriority w:val="0"/>
    <w:rPr>
      <w:rFonts w:eastAsia="宋体" w:cs="宋体"/>
      <w:color w:val="000000"/>
      <w:kern w:val="2"/>
      <w:sz w:val="26"/>
      <w:szCs w:val="24"/>
      <w:lang w:val="en-US" w:eastAsia="zh-CN" w:bidi="ar-SA"/>
    </w:rPr>
  </w:style>
  <w:style w:type="character" w:customStyle="1" w:styleId="2617">
    <w:name w:val="样式 标题 3 + Char"/>
    <w:qFormat/>
    <w:uiPriority w:val="0"/>
    <w:rPr>
      <w:rFonts w:eastAsia="宋体"/>
      <w:b/>
      <w:bCs/>
      <w:sz w:val="28"/>
      <w:szCs w:val="32"/>
      <w:lang w:val="en-US" w:eastAsia="zh-CN" w:bidi="ar-SA"/>
    </w:rPr>
  </w:style>
  <w:style w:type="character" w:customStyle="1" w:styleId="2618">
    <w:name w:val="样式 标题 1 + 宋体 黑色 Char"/>
    <w:qFormat/>
    <w:uiPriority w:val="0"/>
    <w:rPr>
      <w:rFonts w:ascii="宋体" w:hAnsi="宋体" w:eastAsia="宋体"/>
      <w:b/>
      <w:bCs/>
      <w:color w:val="000000"/>
      <w:sz w:val="32"/>
      <w:szCs w:val="44"/>
      <w:lang w:val="en-US" w:eastAsia="zh-CN" w:bidi="ar-SA"/>
    </w:rPr>
  </w:style>
  <w:style w:type="character" w:customStyle="1" w:styleId="2619">
    <w:name w:val="样式 标题 2 + 小四 Char"/>
    <w:qFormat/>
    <w:uiPriority w:val="0"/>
    <w:rPr>
      <w:rFonts w:ascii="Arial" w:hAnsi="Arial" w:eastAsia="宋体"/>
      <w:bCs/>
      <w:kern w:val="2"/>
      <w:sz w:val="24"/>
      <w:szCs w:val="32"/>
      <w:lang w:val="en-US" w:eastAsia="zh-CN" w:bidi="ar-SA"/>
    </w:rPr>
  </w:style>
  <w:style w:type="character" w:customStyle="1" w:styleId="2620">
    <w:name w:val="样式 样式 标题 2 + 首行缩进:  2 字符2 + 宋体 小四 灰色-80% Char"/>
    <w:qFormat/>
    <w:uiPriority w:val="0"/>
    <w:rPr>
      <w:rFonts w:ascii="宋体" w:hAnsi="宋体" w:eastAsia="宋体"/>
      <w:bCs/>
      <w:color w:val="333333"/>
      <w:spacing w:val="24"/>
      <w:kern w:val="2"/>
      <w:sz w:val="32"/>
      <w:szCs w:val="32"/>
      <w:lang w:val="en-US" w:eastAsia="zh-CN" w:bidi="ar-SA"/>
    </w:rPr>
  </w:style>
  <w:style w:type="character" w:customStyle="1" w:styleId="2621">
    <w:name w:val="样式5 Char Char Char Char"/>
    <w:qFormat/>
    <w:uiPriority w:val="0"/>
    <w:rPr>
      <w:rFonts w:eastAsia="宋体"/>
      <w:kern w:val="2"/>
      <w:sz w:val="24"/>
      <w:szCs w:val="24"/>
      <w:lang w:val="en-US" w:eastAsia="zh-CN" w:bidi="ar-SA"/>
    </w:rPr>
  </w:style>
  <w:style w:type="paragraph" w:customStyle="1" w:styleId="2622">
    <w:name w:val="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2623">
    <w:name w:val="表格1 Char"/>
    <w:basedOn w:val="1"/>
    <w:qFormat/>
    <w:uiPriority w:val="0"/>
    <w:pPr>
      <w:adjustRightInd w:val="0"/>
      <w:spacing w:line="360" w:lineRule="atLeast"/>
      <w:jc w:val="center"/>
      <w:textAlignment w:val="baseline"/>
    </w:pPr>
    <w:rPr>
      <w:rFonts w:ascii="CG Times (WN)" w:hAnsi="Times New Roman" w:cs="Times New Roman"/>
      <w:b/>
      <w:kern w:val="0"/>
      <w:sz w:val="24"/>
      <w:szCs w:val="20"/>
    </w:rPr>
  </w:style>
  <w:style w:type="paragraph" w:customStyle="1" w:styleId="2624">
    <w:name w:val="Char Char Char1 Char Char Char Char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8"/>
    </w:rPr>
  </w:style>
  <w:style w:type="paragraph" w:customStyle="1" w:styleId="2625">
    <w:name w:val="Char Char Char Char Char Char Char Char Char Char1"/>
    <w:basedOn w:val="1"/>
    <w:qFormat/>
    <w:uiPriority w:val="0"/>
    <w:pPr>
      <w:tabs>
        <w:tab w:val="left" w:pos="625"/>
      </w:tabs>
      <w:spacing w:line="360" w:lineRule="auto"/>
      <w:ind w:left="625" w:hanging="425" w:firstLineChars="200"/>
      <w:jc w:val="left"/>
    </w:pPr>
    <w:rPr>
      <w:rFonts w:ascii="Times New Roman" w:hAnsi="Times New Roman" w:eastAsia="仿宋_GB2312" w:cs="Times New Roman"/>
      <w:sz w:val="24"/>
      <w:szCs w:val="24"/>
    </w:rPr>
  </w:style>
  <w:style w:type="character" w:customStyle="1" w:styleId="2626">
    <w:name w:val="!正文 Char"/>
    <w:qFormat/>
    <w:uiPriority w:val="0"/>
    <w:rPr>
      <w:rFonts w:eastAsia="宋体"/>
      <w:color w:val="000000"/>
      <w:sz w:val="24"/>
      <w:szCs w:val="24"/>
      <w:u w:color="000000"/>
      <w:lang w:val="en-US" w:eastAsia="zh-CN" w:bidi="ar-SA"/>
    </w:rPr>
  </w:style>
  <w:style w:type="character" w:customStyle="1" w:styleId="2627">
    <w:name w:val="!标题3 Char"/>
    <w:qFormat/>
    <w:uiPriority w:val="0"/>
    <w:rPr>
      <w:rFonts w:ascii="Arial" w:hAnsi="Arial" w:eastAsia="黑体"/>
      <w:b/>
      <w:color w:val="000000"/>
      <w:sz w:val="28"/>
      <w:szCs w:val="28"/>
      <w:u w:color="000000"/>
      <w:lang w:val="en-US" w:eastAsia="zh-CN" w:bidi="ar-SA"/>
    </w:rPr>
  </w:style>
  <w:style w:type="character" w:customStyle="1" w:styleId="2628">
    <w:name w:val="正文文本 21 Char"/>
    <w:qFormat/>
    <w:uiPriority w:val="0"/>
    <w:rPr>
      <w:rFonts w:eastAsia="宋体"/>
      <w:kern w:val="2"/>
      <w:sz w:val="24"/>
      <w:lang w:val="en-US" w:eastAsia="zh-CN" w:bidi="ar-SA"/>
    </w:rPr>
  </w:style>
  <w:style w:type="character" w:customStyle="1" w:styleId="2629">
    <w:name w:val="样式 表文 + 五号 Char"/>
    <w:qFormat/>
    <w:uiPriority w:val="0"/>
    <w:rPr>
      <w:rFonts w:eastAsia="宋体"/>
      <w:sz w:val="21"/>
      <w:szCs w:val="18"/>
      <w:lang w:val="en-US" w:eastAsia="zh-CN" w:bidi="ar-SA"/>
    </w:rPr>
  </w:style>
  <w:style w:type="character" w:customStyle="1" w:styleId="2630">
    <w:name w:val="二章正文 Char"/>
    <w:qFormat/>
    <w:uiPriority w:val="0"/>
    <w:rPr>
      <w:rFonts w:hAnsi="宋体" w:eastAsia="宋体"/>
      <w:color w:val="0000FF"/>
      <w:kern w:val="2"/>
      <w:sz w:val="24"/>
      <w:szCs w:val="24"/>
      <w:lang w:val="en-US" w:eastAsia="zh-CN" w:bidi="ar-SA"/>
    </w:rPr>
  </w:style>
  <w:style w:type="character" w:customStyle="1" w:styleId="2631">
    <w:name w:val="123YJ Char2"/>
    <w:qFormat/>
    <w:uiPriority w:val="0"/>
    <w:rPr>
      <w:rFonts w:eastAsia="宋体"/>
      <w:b/>
      <w:kern w:val="2"/>
      <w:sz w:val="18"/>
      <w:szCs w:val="18"/>
      <w:lang w:val="en-US" w:eastAsia="zh-CN" w:bidi="ar-SA"/>
    </w:rPr>
  </w:style>
  <w:style w:type="character" w:customStyle="1" w:styleId="2632">
    <w:name w:val="样式 表格文字 + 小五 自动设置 Char"/>
    <w:qFormat/>
    <w:uiPriority w:val="0"/>
    <w:rPr>
      <w:rFonts w:ascii="宋体" w:hAnsi="宋体" w:eastAsia="宋体" w:cs="宋体"/>
      <w:snapToGrid w:val="0"/>
      <w:color w:val="000000"/>
      <w:kern w:val="2"/>
      <w:sz w:val="18"/>
      <w:szCs w:val="24"/>
      <w:u w:color="000000"/>
      <w:lang w:val="en-US" w:eastAsia="zh-CN" w:bidi="ar-SA"/>
    </w:rPr>
  </w:style>
  <w:style w:type="character" w:customStyle="1" w:styleId="2633">
    <w:name w:val="样式 标题 3 Char"/>
    <w:qFormat/>
    <w:uiPriority w:val="0"/>
    <w:rPr>
      <w:rFonts w:ascii="宋体" w:hAnsi="宋体" w:eastAsia="宋体" w:cs="宋体"/>
      <w:bCs/>
      <w:kern w:val="2"/>
      <w:sz w:val="24"/>
      <w:szCs w:val="24"/>
      <w:lang w:val="en-US" w:eastAsia="zh-CN" w:bidi="ar-SA"/>
    </w:rPr>
  </w:style>
  <w:style w:type="paragraph" w:customStyle="1" w:styleId="2634">
    <w:name w:val="样式 (符号) 宋体 四号 黑色 Char"/>
    <w:basedOn w:val="1"/>
    <w:link w:val="2635"/>
    <w:qFormat/>
    <w:uiPriority w:val="0"/>
    <w:pPr>
      <w:ind w:firstLine="567"/>
      <w:jc w:val="left"/>
    </w:pPr>
    <w:rPr>
      <w:rFonts w:ascii="宋体" w:hAnsi="宋体" w:cs="Times New Roman"/>
      <w:color w:val="000000"/>
      <w:sz w:val="28"/>
      <w:szCs w:val="24"/>
    </w:rPr>
  </w:style>
  <w:style w:type="character" w:customStyle="1" w:styleId="2635">
    <w:name w:val="样式 (符号) 宋体 四号 黑色 Char Char"/>
    <w:link w:val="2634"/>
    <w:qFormat/>
    <w:uiPriority w:val="0"/>
    <w:rPr>
      <w:rFonts w:ascii="宋体" w:hAnsi="宋体" w:cs="Times New Roman"/>
      <w:color w:val="000000"/>
      <w:sz w:val="28"/>
      <w:szCs w:val="24"/>
    </w:rPr>
  </w:style>
  <w:style w:type="paragraph" w:customStyle="1" w:styleId="2636">
    <w:name w:val="Char Char Char1 Char Char Char Char"/>
    <w:basedOn w:val="1"/>
    <w:qFormat/>
    <w:uiPriority w:val="0"/>
    <w:pPr>
      <w:spacing w:line="360" w:lineRule="auto"/>
      <w:ind w:firstLine="200" w:firstLineChars="200"/>
      <w:jc w:val="left"/>
    </w:pPr>
    <w:rPr>
      <w:rFonts w:ascii="宋体" w:hAnsi="宋体" w:cs="宋体"/>
      <w:sz w:val="24"/>
      <w:szCs w:val="24"/>
    </w:rPr>
  </w:style>
  <w:style w:type="character" w:customStyle="1" w:styleId="2637">
    <w:name w:val="002 Char"/>
    <w:qFormat/>
    <w:uiPriority w:val="0"/>
    <w:rPr>
      <w:rFonts w:ascii="宋体" w:hAnsi="宋体" w:eastAsia="宋体" w:cs="宋体"/>
      <w:b/>
      <w:bCs/>
      <w:kern w:val="2"/>
      <w:sz w:val="28"/>
      <w:szCs w:val="30"/>
      <w:lang w:val="en-US" w:eastAsia="zh-CN" w:bidi="ar-SA"/>
    </w:rPr>
  </w:style>
  <w:style w:type="character" w:customStyle="1" w:styleId="2638">
    <w:name w:val="003 Char"/>
    <w:qFormat/>
    <w:uiPriority w:val="0"/>
    <w:rPr>
      <w:rFonts w:ascii="宋体" w:hAnsi="宋体" w:eastAsia="宋体" w:cs="宋体"/>
      <w:b/>
      <w:bCs/>
      <w:kern w:val="2"/>
      <w:sz w:val="24"/>
      <w:szCs w:val="28"/>
      <w:lang w:val="en-US" w:eastAsia="zh-CN" w:bidi="ar-SA"/>
    </w:rPr>
  </w:style>
  <w:style w:type="character" w:customStyle="1" w:styleId="2639">
    <w:name w:val="样式 样式 标题 2 + 段后: 12 磅 Char"/>
    <w:qFormat/>
    <w:uiPriority w:val="0"/>
    <w:rPr>
      <w:rFonts w:ascii="Arial" w:hAnsi="Arial" w:eastAsia="黑体"/>
      <w:b/>
      <w:spacing w:val="5"/>
      <w:sz w:val="28"/>
      <w:lang w:bidi="ar-SA"/>
    </w:rPr>
  </w:style>
  <w:style w:type="character" w:customStyle="1" w:styleId="2640">
    <w:name w:val="heading 3 Char"/>
    <w:qFormat/>
    <w:uiPriority w:val="0"/>
    <w:rPr>
      <w:rFonts w:ascii="宋体"/>
      <w:b/>
      <w:kern w:val="2"/>
      <w:sz w:val="32"/>
      <w:lang w:bidi="ar-SA"/>
    </w:rPr>
  </w:style>
  <w:style w:type="character" w:customStyle="1" w:styleId="2641">
    <w:name w:val="9正文 Char"/>
    <w:qFormat/>
    <w:uiPriority w:val="0"/>
    <w:rPr>
      <w:rFonts w:ascii="宋体"/>
      <w:kern w:val="2"/>
      <w:sz w:val="24"/>
      <w:lang w:bidi="ar-SA"/>
    </w:rPr>
  </w:style>
  <w:style w:type="character" w:customStyle="1" w:styleId="2642">
    <w:name w:val="正文-xu Char"/>
    <w:qFormat/>
    <w:uiPriority w:val="0"/>
    <w:rPr>
      <w:rFonts w:ascii="宋体" w:hAnsi="宋体"/>
      <w:color w:val="000000"/>
      <w:kern w:val="2"/>
      <w:sz w:val="24"/>
      <w:lang w:bidi="ar-SA"/>
    </w:rPr>
  </w:style>
  <w:style w:type="character" w:customStyle="1" w:styleId="2643">
    <w:name w:val="样式 报告书正文 + Times New Roman Char"/>
    <w:qFormat/>
    <w:uiPriority w:val="0"/>
    <w:rPr>
      <w:rFonts w:ascii="黑体" w:hAnsi="宋体"/>
      <w:kern w:val="2"/>
      <w:sz w:val="24"/>
      <w:lang w:bidi="ar-SA"/>
    </w:rPr>
  </w:style>
  <w:style w:type="character" w:customStyle="1" w:styleId="2644">
    <w:name w:val="样式 报告书正文 + Times New Roman1 Char"/>
    <w:qFormat/>
    <w:uiPriority w:val="0"/>
    <w:rPr>
      <w:rFonts w:ascii="黑体" w:hAnsi="宋体"/>
      <w:kern w:val="2"/>
      <w:sz w:val="24"/>
      <w:lang w:bidi="ar-SA"/>
    </w:rPr>
  </w:style>
  <w:style w:type="character" w:customStyle="1" w:styleId="2645">
    <w:name w:val="样式 报告书正文 + 宋体 Char"/>
    <w:qFormat/>
    <w:uiPriority w:val="0"/>
    <w:rPr>
      <w:rFonts w:ascii="黑体" w:hAnsi="宋体"/>
      <w:spacing w:val="-10"/>
      <w:kern w:val="2"/>
      <w:sz w:val="24"/>
      <w:lang w:bidi="ar-SA"/>
    </w:rPr>
  </w:style>
  <w:style w:type="character" w:customStyle="1" w:styleId="2646">
    <w:name w:val="样式 标题 3小节 + Times New Roman Char"/>
    <w:qFormat/>
    <w:uiPriority w:val="0"/>
    <w:rPr>
      <w:rFonts w:ascii="Arial" w:hAnsi="Arial" w:eastAsia="黑体"/>
      <w:kern w:val="2"/>
      <w:sz w:val="24"/>
      <w:lang w:bidi="ar-SA"/>
    </w:rPr>
  </w:style>
  <w:style w:type="character" w:customStyle="1" w:styleId="2647">
    <w:name w:val="正文文本缩进2字符 Char"/>
    <w:qFormat/>
    <w:uiPriority w:val="0"/>
    <w:rPr>
      <w:rFonts w:eastAsia="宋体" w:cs="宋体"/>
      <w:kern w:val="2"/>
      <w:sz w:val="24"/>
      <w:szCs w:val="24"/>
      <w:lang w:val="en-US" w:eastAsia="zh-CN" w:bidi="ar-SA"/>
    </w:rPr>
  </w:style>
  <w:style w:type="character" w:customStyle="1" w:styleId="2648">
    <w:name w:val="表格标题 Char Char Char Char"/>
    <w:qFormat/>
    <w:uiPriority w:val="0"/>
    <w:rPr>
      <w:rFonts w:eastAsia="黑体"/>
      <w:kern w:val="2"/>
      <w:sz w:val="24"/>
      <w:szCs w:val="24"/>
      <w:lang w:val="en-US" w:eastAsia="zh-CN" w:bidi="ar-SA"/>
    </w:rPr>
  </w:style>
  <w:style w:type="character" w:customStyle="1" w:styleId="2649">
    <w:name w:val="二章正文 Char Char Char Char"/>
    <w:qFormat/>
    <w:uiPriority w:val="0"/>
    <w:rPr>
      <w:rFonts w:eastAsia="宋体"/>
      <w:kern w:val="2"/>
      <w:sz w:val="24"/>
      <w:szCs w:val="24"/>
      <w:lang w:val="en-US" w:eastAsia="zh-CN" w:bidi="ar-SA"/>
    </w:rPr>
  </w:style>
  <w:style w:type="character" w:customStyle="1" w:styleId="2650">
    <w:name w:val="xyb自建表格名称 Char Char Char Char"/>
    <w:qFormat/>
    <w:uiPriority w:val="0"/>
    <w:rPr>
      <w:rFonts w:ascii="宋体" w:hAnsi="宋体" w:eastAsia="宋体"/>
      <w:kern w:val="2"/>
      <w:sz w:val="24"/>
      <w:szCs w:val="24"/>
      <w:lang w:val="en-US" w:eastAsia="zh-CN" w:bidi="ar-SA"/>
    </w:rPr>
  </w:style>
  <w:style w:type="character" w:customStyle="1" w:styleId="2651">
    <w:name w:val="xyb自建正文 Char Char Char Char"/>
    <w:qFormat/>
    <w:uiPriority w:val="0"/>
    <w:rPr>
      <w:rFonts w:ascii="宋体" w:hAnsi="宋体" w:eastAsia="宋体" w:cs="宋体"/>
      <w:spacing w:val="-2"/>
      <w:kern w:val="2"/>
      <w:sz w:val="24"/>
      <w:szCs w:val="24"/>
      <w:lang w:val="en-US" w:eastAsia="zh-CN" w:bidi="ar-SA"/>
    </w:rPr>
  </w:style>
  <w:style w:type="character" w:customStyle="1" w:styleId="2652">
    <w:name w:val="样式 样式 样式 样式 样式 样式 样式 样式 样式 第节 小三 行距: 多倍行距 0.6 字行 + 首行缩进:  2 字符 +... Char"/>
    <w:qFormat/>
    <w:uiPriority w:val="0"/>
    <w:rPr>
      <w:rFonts w:eastAsia="仿宋_GB2312" w:cs="宋体"/>
      <w:kern w:val="2"/>
      <w:sz w:val="30"/>
      <w:lang w:val="en-US" w:eastAsia="zh-CN" w:bidi="ar-SA"/>
    </w:rPr>
  </w:style>
  <w:style w:type="character" w:customStyle="1" w:styleId="2653">
    <w:name w:val="样式 正文 + Char"/>
    <w:qFormat/>
    <w:uiPriority w:val="0"/>
    <w:rPr>
      <w:rFonts w:eastAsia="宋体"/>
      <w:kern w:val="2"/>
      <w:sz w:val="24"/>
      <w:szCs w:val="24"/>
      <w:lang w:val="en-US" w:eastAsia="zh-CN" w:bidi="ar-SA"/>
    </w:rPr>
  </w:style>
  <w:style w:type="character" w:customStyle="1" w:styleId="2654">
    <w:name w:val="文件正文 Char"/>
    <w:qFormat/>
    <w:uiPriority w:val="0"/>
    <w:rPr>
      <w:rFonts w:eastAsia="仿宋_GB2312"/>
      <w:kern w:val="2"/>
      <w:sz w:val="32"/>
      <w:szCs w:val="24"/>
      <w:lang w:val="en-US" w:eastAsia="zh-CN" w:bidi="ar-SA"/>
    </w:rPr>
  </w:style>
  <w:style w:type="paragraph" w:customStyle="1" w:styleId="2655">
    <w:name w:val="Char Char13 Char Char Char"/>
    <w:basedOn w:val="1"/>
    <w:qFormat/>
    <w:uiPriority w:val="0"/>
    <w:pPr>
      <w:spacing w:line="480" w:lineRule="atLeast"/>
      <w:ind w:firstLine="200" w:firstLineChars="200"/>
      <w:jc w:val="left"/>
      <w:outlineLvl w:val="3"/>
    </w:pPr>
    <w:rPr>
      <w:rFonts w:ascii="宋体" w:hAnsi="宋体" w:eastAsia="Times New Roman" w:cs="宋体"/>
      <w:sz w:val="24"/>
      <w:szCs w:val="24"/>
    </w:rPr>
  </w:style>
  <w:style w:type="paragraph" w:customStyle="1" w:styleId="2656">
    <w:name w:val="样式 项标题 + (西文) Garamond (中文) 仿宋_GB2312 13 磅 非加粗 段前: 1 行 行距: ..."/>
    <w:basedOn w:val="2192"/>
    <w:qFormat/>
    <w:uiPriority w:val="0"/>
    <w:pPr>
      <w:keepNext/>
      <w:keepLines/>
      <w:widowControl w:val="0"/>
      <w:snapToGrid w:val="0"/>
      <w:spacing w:beforeLines="100" w:afterLines="200" w:line="240" w:lineRule="atLeast"/>
      <w:ind w:firstLine="0" w:firstLineChars="0"/>
      <w:textAlignment w:val="auto"/>
      <w:outlineLvl w:val="3"/>
    </w:pPr>
    <w:rPr>
      <w:rFonts w:ascii="Garamond" w:hAnsi="Garamond" w:eastAsia="仿宋_GB2312" w:cs="宋体"/>
      <w:b w:val="0"/>
      <w:kern w:val="2"/>
      <w:szCs w:val="20"/>
    </w:rPr>
  </w:style>
  <w:style w:type="character" w:customStyle="1" w:styleId="2657">
    <w:name w:val="xl51 Char"/>
    <w:link w:val="1720"/>
    <w:qFormat/>
    <w:uiPriority w:val="0"/>
    <w:rPr>
      <w:rFonts w:ascii="Arial Unicode MS" w:hAnsi="Arial Unicode MS" w:eastAsia="Arial Unicode MS" w:cs="Times New Roman"/>
      <w:color w:val="000000"/>
      <w:kern w:val="0"/>
      <w:sz w:val="28"/>
      <w:szCs w:val="28"/>
    </w:rPr>
  </w:style>
  <w:style w:type="character" w:customStyle="1" w:styleId="2658">
    <w:name w:val="样式 表格名称 + 蓝色 Char"/>
    <w:link w:val="1572"/>
    <w:qFormat/>
    <w:uiPriority w:val="0"/>
    <w:rPr>
      <w:rFonts w:ascii="宋体" w:hAnsi="宋体" w:eastAsia="宋体" w:cs="Times New Roman"/>
      <w:b/>
      <w:bCs/>
      <w:color w:val="0000FF"/>
      <w:kern w:val="0"/>
      <w:sz w:val="26"/>
      <w:szCs w:val="20"/>
      <w:u w:color="000000"/>
    </w:rPr>
  </w:style>
  <w:style w:type="paragraph" w:customStyle="1" w:styleId="2659">
    <w:name w:val="Char Char13 Char Char Char Char Char1"/>
    <w:basedOn w:val="1"/>
    <w:qFormat/>
    <w:uiPriority w:val="0"/>
    <w:pPr>
      <w:spacing w:line="480" w:lineRule="atLeast"/>
      <w:ind w:firstLine="200" w:firstLineChars="200"/>
      <w:jc w:val="left"/>
      <w:outlineLvl w:val="3"/>
    </w:pPr>
    <w:rPr>
      <w:rFonts w:ascii="宋体" w:hAnsi="宋体" w:cs="宋体"/>
      <w:sz w:val="24"/>
      <w:szCs w:val="24"/>
    </w:rPr>
  </w:style>
  <w:style w:type="character" w:customStyle="1" w:styleId="2660">
    <w:name w:val="cddsb-31"/>
    <w:qFormat/>
    <w:uiPriority w:val="0"/>
    <w:rPr>
      <w:sz w:val="19"/>
      <w:szCs w:val="19"/>
    </w:rPr>
  </w:style>
  <w:style w:type="paragraph" w:customStyle="1" w:styleId="2661">
    <w:name w:val="tc"/>
    <w:basedOn w:val="1"/>
    <w:qFormat/>
    <w:uiPriority w:val="0"/>
    <w:pPr>
      <w:widowControl/>
      <w:jc w:val="center"/>
    </w:pPr>
    <w:rPr>
      <w:rFonts w:ascii="黑体" w:hAnsi="宋体" w:eastAsia="黑体" w:cs="Times New Roman"/>
      <w:color w:val="000000"/>
      <w:kern w:val="0"/>
      <w:sz w:val="36"/>
      <w:szCs w:val="36"/>
    </w:rPr>
  </w:style>
  <w:style w:type="character" w:customStyle="1" w:styleId="2662">
    <w:name w:val="ht1"/>
    <w:qFormat/>
    <w:uiPriority w:val="0"/>
    <w:rPr>
      <w:rFonts w:ascii="黑体" w:eastAsia="黑体"/>
      <w:b/>
      <w:bCs/>
    </w:rPr>
  </w:style>
  <w:style w:type="character" w:customStyle="1" w:styleId="2663">
    <w:name w:val="grame"/>
    <w:qFormat/>
    <w:uiPriority w:val="0"/>
  </w:style>
  <w:style w:type="paragraph" w:customStyle="1" w:styleId="2664">
    <w:name w:val="样式 标题 2二级 标题 2标题 2 Char节标题 1.11.1标题2b2k标题 2Chapter Title...2"/>
    <w:basedOn w:val="4"/>
    <w:link w:val="2665"/>
    <w:qFormat/>
    <w:uiPriority w:val="0"/>
    <w:pPr>
      <w:spacing w:before="10" w:line="560" w:lineRule="exact"/>
      <w:jc w:val="both"/>
    </w:pPr>
    <w:rPr>
      <w:rFonts w:cs="Times New Roman" w:eastAsiaTheme="minorEastAsia"/>
      <w:bCs w:val="0"/>
      <w:color w:val="000000" w:themeColor="text1"/>
      <w:sz w:val="30"/>
      <w:szCs w:val="30"/>
      <w14:textFill>
        <w14:solidFill>
          <w14:schemeClr w14:val="tx1"/>
        </w14:solidFill>
      </w14:textFill>
    </w:rPr>
  </w:style>
  <w:style w:type="character" w:customStyle="1" w:styleId="2665">
    <w:name w:val="样式 标题 2二级 标题 2标题 2 Char节标题 1.11.1标题2b2k标题 2Chapter Title...2 Char"/>
    <w:link w:val="2664"/>
    <w:qFormat/>
    <w:locked/>
    <w:uiPriority w:val="0"/>
    <w:rPr>
      <w:rFonts w:ascii="Times New Roman" w:hAnsi="Times New Roman" w:cs="Times New Roman"/>
      <w:b/>
      <w:color w:val="000000" w:themeColor="text1"/>
      <w:sz w:val="30"/>
      <w:szCs w:val="30"/>
      <w14:textFill>
        <w14:solidFill>
          <w14:schemeClr w14:val="tx1"/>
        </w14:solidFill>
      </w14:textFill>
    </w:rPr>
  </w:style>
  <w:style w:type="paragraph" w:customStyle="1" w:styleId="2666">
    <w:name w:val="00"/>
    <w:basedOn w:val="1"/>
    <w:qFormat/>
    <w:uiPriority w:val="0"/>
    <w:pPr>
      <w:spacing w:line="360" w:lineRule="auto"/>
      <w:ind w:firstLine="200" w:firstLineChars="200"/>
      <w:jc w:val="left"/>
    </w:pPr>
    <w:rPr>
      <w:rFonts w:ascii="宋体" w:hAnsi="宋体" w:cs="宋体"/>
      <w:color w:val="000000"/>
      <w:kern w:val="0"/>
      <w:sz w:val="24"/>
      <w:szCs w:val="24"/>
    </w:rPr>
  </w:style>
  <w:style w:type="paragraph" w:customStyle="1" w:styleId="2667">
    <w:name w:val="Char Char4 Char Char Char Char1 Char Char Char Char Char Char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paragraph" w:customStyle="1" w:styleId="2668">
    <w:name w:val="表(5号)"/>
    <w:basedOn w:val="1"/>
    <w:semiHidden/>
    <w:qFormat/>
    <w:uiPriority w:val="0"/>
    <w:pPr>
      <w:spacing w:line="200" w:lineRule="atLeast"/>
      <w:jc w:val="center"/>
    </w:pPr>
    <w:rPr>
      <w:rFonts w:ascii="宋体" w:hAnsi="宋体" w:cs="Times New Roman"/>
      <w:szCs w:val="20"/>
    </w:rPr>
  </w:style>
  <w:style w:type="character" w:customStyle="1" w:styleId="2669">
    <w:name w:val="正文缩2字 Char Char"/>
    <w:qFormat/>
    <w:uiPriority w:val="0"/>
    <w:rPr>
      <w:rFonts w:eastAsia="宋体"/>
      <w:kern w:val="2"/>
      <w:sz w:val="24"/>
      <w:szCs w:val="24"/>
      <w:lang w:val="en-US" w:eastAsia="zh-CN" w:bidi="ar-SA"/>
    </w:rPr>
  </w:style>
  <w:style w:type="character" w:customStyle="1" w:styleId="2670">
    <w:name w:val="Output"/>
    <w:qFormat/>
    <w:uiPriority w:val="0"/>
    <w:rPr>
      <w:rFonts w:ascii="Courier New" w:hAnsi="Courier New"/>
      <w:color w:val="0000FF"/>
      <w:sz w:val="20"/>
    </w:rPr>
  </w:style>
  <w:style w:type="character" w:customStyle="1" w:styleId="2671">
    <w:name w:val="正文文字缩进 2 Char Char3"/>
    <w:qFormat/>
    <w:uiPriority w:val="0"/>
    <w:rPr>
      <w:rFonts w:eastAsia="宋体"/>
      <w:kern w:val="2"/>
      <w:sz w:val="24"/>
      <w:szCs w:val="24"/>
      <w:lang w:val="zh-CN" w:eastAsia="zh-CN" w:bidi="ar-SA"/>
    </w:rPr>
  </w:style>
  <w:style w:type="character" w:customStyle="1" w:styleId="2672">
    <w:name w:val="正文文字 3 Char Char"/>
    <w:qFormat/>
    <w:uiPriority w:val="0"/>
    <w:rPr>
      <w:rFonts w:eastAsia="仿宋_GB2312"/>
      <w:kern w:val="2"/>
      <w:sz w:val="24"/>
      <w:lang w:val="en-US" w:eastAsia="zh-CN" w:bidi="ar-SA"/>
    </w:rPr>
  </w:style>
  <w:style w:type="paragraph" w:customStyle="1" w:styleId="2673">
    <w:name w:val="Table Title"/>
    <w:basedOn w:val="1"/>
    <w:next w:val="1"/>
    <w:qFormat/>
    <w:uiPriority w:val="0"/>
    <w:pPr>
      <w:widowControl/>
      <w:jc w:val="center"/>
    </w:pPr>
    <w:rPr>
      <w:rFonts w:ascii="Arial" w:hAnsi="Arial" w:cs="Arial"/>
      <w:b/>
      <w:bCs/>
      <w:kern w:val="0"/>
      <w:sz w:val="22"/>
      <w:szCs w:val="24"/>
    </w:rPr>
  </w:style>
  <w:style w:type="paragraph" w:customStyle="1" w:styleId="2674">
    <w:name w:val="TZR Paragraph"/>
    <w:basedOn w:val="1"/>
    <w:qFormat/>
    <w:uiPriority w:val="0"/>
    <w:pPr>
      <w:widowControl/>
      <w:tabs>
        <w:tab w:val="left" w:pos="495"/>
      </w:tabs>
      <w:ind w:left="495" w:hanging="495"/>
      <w:jc w:val="left"/>
    </w:pPr>
    <w:rPr>
      <w:rFonts w:ascii="Arial" w:hAnsi="Arial" w:cs="Arial"/>
      <w:b/>
      <w:bCs/>
      <w:color w:val="000000"/>
      <w:kern w:val="0"/>
      <w:sz w:val="22"/>
      <w:lang w:eastAsia="en-US"/>
    </w:rPr>
  </w:style>
  <w:style w:type="paragraph" w:customStyle="1" w:styleId="2675">
    <w:name w:val="Style TZR Paragraph + Not Bold Justified"/>
    <w:basedOn w:val="2674"/>
    <w:qFormat/>
    <w:uiPriority w:val="0"/>
    <w:pPr>
      <w:spacing w:after="240"/>
    </w:pPr>
    <w:rPr>
      <w:rFonts w:ascii="宋体" w:hAnsi="宋体" w:cs="Times New Roman"/>
      <w:b w:val="0"/>
      <w:color w:val="auto"/>
      <w:sz w:val="24"/>
      <w:szCs w:val="24"/>
      <w:lang w:eastAsia="zh-CN"/>
    </w:rPr>
  </w:style>
  <w:style w:type="character" w:customStyle="1" w:styleId="2676">
    <w:name w:val="dectext1"/>
    <w:qFormat/>
    <w:uiPriority w:val="0"/>
    <w:rPr>
      <w:rFonts w:hint="eastAsia" w:ascii="宋体" w:hAnsi="宋体" w:eastAsia="宋体"/>
      <w:color w:val="333333"/>
      <w:sz w:val="28"/>
      <w:szCs w:val="28"/>
      <w:u w:val="none"/>
    </w:rPr>
  </w:style>
  <w:style w:type="character" w:customStyle="1" w:styleId="2677">
    <w:name w:val="unnamed31"/>
    <w:qFormat/>
    <w:uiPriority w:val="0"/>
    <w:rPr>
      <w:color w:val="000000"/>
      <w:sz w:val="20"/>
      <w:szCs w:val="20"/>
      <w:u w:val="none"/>
    </w:rPr>
  </w:style>
  <w:style w:type="character" w:customStyle="1" w:styleId="2678">
    <w:name w:val="f9wen1"/>
    <w:qFormat/>
    <w:uiPriority w:val="0"/>
    <w:rPr>
      <w:spacing w:val="12"/>
      <w:sz w:val="18"/>
      <w:szCs w:val="18"/>
      <w:u w:val="none"/>
    </w:rPr>
  </w:style>
  <w:style w:type="character" w:customStyle="1" w:styleId="2679">
    <w:name w:val="a11"/>
    <w:qFormat/>
    <w:uiPriority w:val="0"/>
    <w:rPr>
      <w:sz w:val="20"/>
      <w:szCs w:val="20"/>
    </w:rPr>
  </w:style>
  <w:style w:type="character" w:customStyle="1" w:styleId="2680">
    <w:name w:val="text-s1"/>
    <w:qFormat/>
    <w:uiPriority w:val="0"/>
    <w:rPr>
      <w:sz w:val="20"/>
      <w:szCs w:val="20"/>
    </w:rPr>
  </w:style>
  <w:style w:type="character" w:customStyle="1" w:styleId="2681">
    <w:name w:val="ss"/>
    <w:qFormat/>
    <w:uiPriority w:val="0"/>
  </w:style>
  <w:style w:type="character" w:customStyle="1" w:styleId="2682">
    <w:name w:val="篇1"/>
    <w:qFormat/>
    <w:uiPriority w:val="0"/>
    <w:rPr>
      <w:rFonts w:ascii="宋体" w:hAnsi="宋体" w:eastAsia="宋体"/>
      <w:b/>
      <w:bCs/>
      <w:kern w:val="44"/>
      <w:sz w:val="32"/>
      <w:szCs w:val="44"/>
      <w:lang w:val="en-US" w:eastAsia="zh-CN" w:bidi="ar-SA"/>
    </w:rPr>
  </w:style>
  <w:style w:type="character" w:customStyle="1" w:styleId="2683">
    <w:name w:val="d1"/>
    <w:qFormat/>
    <w:uiPriority w:val="0"/>
    <w:rPr>
      <w:rFonts w:hint="default"/>
      <w:b/>
      <w:bCs/>
      <w:color w:val="0000CC"/>
      <w:sz w:val="21"/>
      <w:szCs w:val="21"/>
    </w:rPr>
  </w:style>
  <w:style w:type="character" w:customStyle="1" w:styleId="2684">
    <w:name w:val="题目 Char Char"/>
    <w:qFormat/>
    <w:uiPriority w:val="0"/>
    <w:rPr>
      <w:rFonts w:ascii="Arial" w:hAnsi="Arial" w:eastAsia="宋体" w:cs="Arial"/>
      <w:b/>
      <w:bCs/>
      <w:kern w:val="28"/>
      <w:sz w:val="32"/>
      <w:szCs w:val="32"/>
      <w:lang w:val="en-US" w:eastAsia="zh-CN" w:bidi="ar-SA"/>
    </w:rPr>
  </w:style>
  <w:style w:type="character" w:customStyle="1" w:styleId="2685">
    <w:name w:val="d11"/>
    <w:qFormat/>
    <w:uiPriority w:val="0"/>
    <w:rPr>
      <w:sz w:val="20"/>
      <w:szCs w:val="20"/>
    </w:rPr>
  </w:style>
  <w:style w:type="character" w:customStyle="1" w:styleId="2686">
    <w:name w:val="unnamed81"/>
    <w:qFormat/>
    <w:uiPriority w:val="0"/>
    <w:rPr>
      <w:color w:val="CC6633"/>
      <w:sz w:val="18"/>
      <w:szCs w:val="18"/>
    </w:rPr>
  </w:style>
  <w:style w:type="character" w:customStyle="1" w:styleId="2687">
    <w:name w:val="标题  Char"/>
    <w:qFormat/>
    <w:uiPriority w:val="0"/>
    <w:rPr>
      <w:rFonts w:ascii="楷体_GB2312" w:hAnsi="Arial" w:eastAsia="楷体_GB2312"/>
      <w:bCs/>
      <w:kern w:val="2"/>
      <w:sz w:val="28"/>
      <w:szCs w:val="28"/>
      <w:lang w:val="en-US" w:eastAsia="zh-CN" w:bidi="ar-SA"/>
    </w:rPr>
  </w:style>
  <w:style w:type="character" w:customStyle="1" w:styleId="2688">
    <w:name w:val="css-text3"/>
    <w:qFormat/>
    <w:uiPriority w:val="0"/>
  </w:style>
  <w:style w:type="character" w:customStyle="1" w:styleId="2689">
    <w:name w:val="H212 Char"/>
    <w:qFormat/>
    <w:uiPriority w:val="0"/>
    <w:rPr>
      <w:rFonts w:ascii="宋体" w:hAnsi="宋体" w:eastAsia="宋体"/>
      <w:b/>
      <w:spacing w:val="-8"/>
      <w:kern w:val="2"/>
      <w:sz w:val="30"/>
      <w:lang w:val="en-US" w:eastAsia="zh-CN" w:bidi="ar-SA"/>
    </w:rPr>
  </w:style>
  <w:style w:type="character" w:customStyle="1" w:styleId="2690">
    <w:name w:val="Char1 Char"/>
    <w:link w:val="2368"/>
    <w:qFormat/>
    <w:uiPriority w:val="0"/>
    <w:rPr>
      <w:rFonts w:ascii="Times New Roman" w:hAnsi="Times New Roman" w:cs="Times New Roman"/>
      <w:b/>
      <w:sz w:val="24"/>
      <w:szCs w:val="26"/>
    </w:rPr>
  </w:style>
  <w:style w:type="paragraph" w:customStyle="1" w:styleId="2691">
    <w:name w:val="Char Char2 Char Char Char Char Char Char Char Char Char Char"/>
    <w:basedOn w:val="1"/>
    <w:link w:val="2915"/>
    <w:qFormat/>
    <w:uiPriority w:val="0"/>
    <w:pPr>
      <w:spacing w:line="360" w:lineRule="auto"/>
      <w:ind w:firstLine="200" w:firstLineChars="200"/>
      <w:jc w:val="left"/>
    </w:pPr>
    <w:rPr>
      <w:rFonts w:ascii="宋体" w:hAnsi="宋体" w:cs="Times New Roman"/>
      <w:sz w:val="24"/>
      <w:szCs w:val="24"/>
    </w:rPr>
  </w:style>
  <w:style w:type="paragraph" w:customStyle="1" w:styleId="2692">
    <w:name w:val="Char1 Char Char Char Char Char Char1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693">
    <w:name w:val="样式 标题 3标题 3 Char Char Char节，一一黑四（一）条，（一）标题3 Char Char Cha...3"/>
    <w:basedOn w:val="5"/>
    <w:qFormat/>
    <w:uiPriority w:val="0"/>
    <w:pPr>
      <w:tabs>
        <w:tab w:val="left" w:pos="709"/>
      </w:tabs>
      <w:adjustRightInd w:val="0"/>
      <w:spacing w:beforeLines="30" w:after="81" w:line="240" w:lineRule="auto"/>
      <w:ind w:left="709" w:hanging="709"/>
    </w:pPr>
    <w:rPr>
      <w:rFonts w:cs="宋体" w:eastAsiaTheme="minorEastAsia"/>
      <w:b w:val="0"/>
      <w:szCs w:val="20"/>
    </w:rPr>
  </w:style>
  <w:style w:type="paragraph" w:customStyle="1" w:styleId="2694">
    <w:name w:val="样式 样式 标题 3标题 3 Char Char Char节，一一黑四（一）条，（一）标题3 Char Char Cha...3..."/>
    <w:basedOn w:val="2693"/>
    <w:qFormat/>
    <w:uiPriority w:val="0"/>
    <w:pPr>
      <w:spacing w:before="127"/>
    </w:pPr>
  </w:style>
  <w:style w:type="paragraph" w:customStyle="1" w:styleId="2695">
    <w:name w:val="样式 标题 2章宋三一、标题 1.1Title 22 headlinehheadlineS&amp;R2ERMH2...1"/>
    <w:basedOn w:val="4"/>
    <w:qFormat/>
    <w:uiPriority w:val="0"/>
    <w:pPr>
      <w:tabs>
        <w:tab w:val="left" w:pos="0"/>
      </w:tabs>
      <w:adjustRightInd w:val="0"/>
      <w:spacing w:beforeLines="30" w:line="240" w:lineRule="auto"/>
      <w:contextualSpacing/>
    </w:pPr>
    <w:rPr>
      <w:rFonts w:ascii="Arial" w:hAnsi="Arial" w:cs="Times New Roman" w:eastAsiaTheme="minorEastAsia"/>
      <w:color w:val="000000" w:themeColor="text1"/>
      <w:szCs w:val="24"/>
      <w14:textFill>
        <w14:solidFill>
          <w14:schemeClr w14:val="tx1"/>
        </w14:solidFill>
      </w14:textFill>
    </w:rPr>
  </w:style>
  <w:style w:type="paragraph" w:customStyle="1" w:styleId="2696">
    <w:name w:val="样式 样式 标题 2章宋三一、标题 1.1Title 22 headlinehheadlineS&amp;R2ERMH2...1 + 段..."/>
    <w:basedOn w:val="2695"/>
    <w:qFormat/>
    <w:uiPriority w:val="0"/>
    <w:pPr>
      <w:spacing w:before="127"/>
    </w:pPr>
    <w:rPr>
      <w:rFonts w:cs="宋体"/>
      <w:szCs w:val="20"/>
    </w:rPr>
  </w:style>
  <w:style w:type="paragraph" w:customStyle="1" w:styleId="2697">
    <w:name w:val="样式 标题 1篇标题 1 Char标题 1 11 ghostgghost1 ghost1g1ghost11 ..."/>
    <w:basedOn w:val="3"/>
    <w:qFormat/>
    <w:uiPriority w:val="0"/>
    <w:pPr>
      <w:widowControl w:val="0"/>
      <w:tabs>
        <w:tab w:val="left" w:pos="425"/>
      </w:tabs>
      <w:spacing w:afterLines="50" w:line="480" w:lineRule="auto"/>
      <w:ind w:left="425" w:hanging="425"/>
      <w:jc w:val="both"/>
    </w:pPr>
    <w:rPr>
      <w:rFonts w:ascii="黑体" w:cs="宋体"/>
      <w:color w:val="000000" w:themeColor="text1"/>
      <w:kern w:val="0"/>
      <w:sz w:val="32"/>
      <w:szCs w:val="20"/>
      <w14:textFill>
        <w14:solidFill>
          <w14:schemeClr w14:val="tx1"/>
        </w14:solidFill>
      </w14:textFill>
    </w:rPr>
  </w:style>
  <w:style w:type="paragraph" w:customStyle="1" w:styleId="2698">
    <w:name w:val="样式 样式 标题 2章宋三一、标题 1.1Title 22 headlinehheadlineS&amp;R2ERMH2...1 + 段...1"/>
    <w:basedOn w:val="2695"/>
    <w:qFormat/>
    <w:uiPriority w:val="0"/>
    <w:pPr>
      <w:spacing w:before="127"/>
    </w:pPr>
    <w:rPr>
      <w:rFonts w:cs="宋体"/>
      <w:szCs w:val="20"/>
    </w:rPr>
  </w:style>
  <w:style w:type="character" w:customStyle="1" w:styleId="2699">
    <w:name w:val="unnamed21"/>
    <w:qFormat/>
    <w:uiPriority w:val="0"/>
    <w:rPr>
      <w:sz w:val="16"/>
      <w:szCs w:val="16"/>
    </w:rPr>
  </w:style>
  <w:style w:type="paragraph" w:customStyle="1" w:styleId="2700">
    <w:name w:val="Char1 Char Char Char Char Char Char1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2701">
    <w:name w:val="徐萍自正文1"/>
    <w:basedOn w:val="1"/>
    <w:qFormat/>
    <w:uiPriority w:val="0"/>
    <w:pPr>
      <w:keepNext/>
      <w:tabs>
        <w:tab w:val="left" w:pos="0"/>
      </w:tabs>
      <w:adjustRightInd w:val="0"/>
      <w:spacing w:after="50" w:line="360" w:lineRule="auto"/>
      <w:ind w:firstLine="567" w:firstLineChars="218"/>
      <w:jc w:val="left"/>
      <w:textAlignment w:val="baseline"/>
    </w:pPr>
    <w:rPr>
      <w:rFonts w:ascii="宋体" w:hAnsi="Times New Roman" w:cs="Times New Roman"/>
      <w:bCs/>
      <w:color w:val="000000"/>
      <w:kern w:val="24"/>
      <w:sz w:val="24"/>
      <w:szCs w:val="20"/>
    </w:rPr>
  </w:style>
  <w:style w:type="paragraph" w:customStyle="1" w:styleId="2702">
    <w:name w:val="徐萍居中表格名称"/>
    <w:basedOn w:val="1583"/>
    <w:qFormat/>
    <w:uiPriority w:val="0"/>
    <w:pPr>
      <w:keepNext/>
      <w:autoSpaceDE w:val="0"/>
      <w:autoSpaceDN w:val="0"/>
      <w:adjustRightInd w:val="0"/>
      <w:spacing w:beforeLines="50" w:afterLines="50" w:line="240" w:lineRule="auto"/>
      <w:ind w:firstLine="1179" w:firstLineChars="450"/>
      <w:jc w:val="left"/>
      <w:textAlignment w:val="baseline"/>
    </w:pPr>
    <w:rPr>
      <w:rFonts w:eastAsia="宋体"/>
      <w:b/>
      <w:kern w:val="0"/>
      <w:sz w:val="26"/>
      <w:szCs w:val="26"/>
    </w:rPr>
  </w:style>
  <w:style w:type="paragraph" w:customStyle="1" w:styleId="2703">
    <w:name w:val="徐萍表格"/>
    <w:basedOn w:val="1"/>
    <w:qFormat/>
    <w:uiPriority w:val="0"/>
    <w:pPr>
      <w:keepNext/>
      <w:autoSpaceDE w:val="0"/>
      <w:autoSpaceDN w:val="0"/>
      <w:adjustRightInd w:val="0"/>
      <w:spacing w:line="240" w:lineRule="exact"/>
      <w:jc w:val="center"/>
      <w:textAlignment w:val="baseline"/>
    </w:pPr>
    <w:rPr>
      <w:rFonts w:ascii="宋体" w:hAnsi="宋体" w:cs="Times New Roman"/>
      <w:kern w:val="0"/>
      <w:szCs w:val="18"/>
    </w:rPr>
  </w:style>
  <w:style w:type="paragraph" w:customStyle="1" w:styleId="2704">
    <w:name w:val="样式 徐萍表格 + 黑色"/>
    <w:basedOn w:val="2703"/>
    <w:qFormat/>
    <w:uiPriority w:val="0"/>
    <w:pPr>
      <w:spacing w:before="120" w:after="120" w:line="240" w:lineRule="auto"/>
    </w:pPr>
    <w:rPr>
      <w:color w:val="000000"/>
    </w:rPr>
  </w:style>
  <w:style w:type="paragraph" w:customStyle="1" w:styleId="2705">
    <w:name w:val="dh2"/>
    <w:basedOn w:val="1"/>
    <w:qFormat/>
    <w:uiPriority w:val="0"/>
    <w:pPr>
      <w:adjustRightInd w:val="0"/>
      <w:spacing w:line="312" w:lineRule="atLeast"/>
      <w:jc w:val="left"/>
      <w:textAlignment w:val="baseline"/>
    </w:pPr>
    <w:rPr>
      <w:rFonts w:ascii="Times New Roman" w:hAnsi="Times New Roman" w:cs="Times New Roman"/>
      <w:kern w:val="0"/>
      <w:szCs w:val="20"/>
    </w:rPr>
  </w:style>
  <w:style w:type="character" w:customStyle="1" w:styleId="2706">
    <w:name w:val="textblack1"/>
    <w:qFormat/>
    <w:uiPriority w:val="0"/>
    <w:rPr>
      <w:color w:val="000000"/>
      <w:sz w:val="24"/>
      <w:szCs w:val="24"/>
      <w:u w:val="none"/>
    </w:rPr>
  </w:style>
  <w:style w:type="paragraph" w:customStyle="1" w:styleId="2707">
    <w:name w:val="正文缩进2字 Char"/>
    <w:qFormat/>
    <w:uiPriority w:val="0"/>
    <w:pPr>
      <w:snapToGrid w:val="0"/>
      <w:spacing w:beforeLines="50" w:line="360" w:lineRule="auto"/>
      <w:ind w:firstLine="200" w:firstLineChars="200"/>
    </w:pPr>
    <w:rPr>
      <w:rFonts w:ascii="Times New Roman" w:hAnsi="Times New Roman" w:eastAsia="仿宋_GB2312" w:cs="Times New Roman"/>
      <w:kern w:val="2"/>
      <w:sz w:val="24"/>
      <w:szCs w:val="24"/>
      <w:lang w:val="en-US" w:eastAsia="zh-CN" w:bidi="ar-SA"/>
    </w:rPr>
  </w:style>
  <w:style w:type="character" w:customStyle="1" w:styleId="2708">
    <w:name w:val="news2"/>
    <w:qFormat/>
    <w:uiPriority w:val="0"/>
  </w:style>
  <w:style w:type="paragraph" w:customStyle="1" w:styleId="2709">
    <w:name w:val="样式 标题 1篇标题 1 Char标题 1 11 ghostgghost1 ghost1g1ghost11 ...1"/>
    <w:basedOn w:val="3"/>
    <w:link w:val="2710"/>
    <w:qFormat/>
    <w:uiPriority w:val="0"/>
    <w:pPr>
      <w:widowControl w:val="0"/>
      <w:tabs>
        <w:tab w:val="left" w:pos="507"/>
      </w:tabs>
      <w:spacing w:afterLines="50"/>
      <w:ind w:left="507" w:hanging="432"/>
      <w:jc w:val="both"/>
    </w:pPr>
    <w:rPr>
      <w:rFonts w:cs="Times New Roman"/>
      <w:color w:val="000000" w:themeColor="text1"/>
      <w:kern w:val="0"/>
      <w:sz w:val="24"/>
      <w:szCs w:val="32"/>
      <w14:textFill>
        <w14:solidFill>
          <w14:schemeClr w14:val="tx1"/>
        </w14:solidFill>
      </w14:textFill>
    </w:rPr>
  </w:style>
  <w:style w:type="character" w:customStyle="1" w:styleId="2710">
    <w:name w:val="样式 标题 1篇标题 1 Char标题 1 11 ghostgghost1 ghost1g1ghost11 ...1 Char"/>
    <w:link w:val="2709"/>
    <w:qFormat/>
    <w:uiPriority w:val="0"/>
    <w:rPr>
      <w:rFonts w:ascii="Times New Roman" w:hAnsi="Times New Roman" w:eastAsia="宋体" w:cs="Times New Roman"/>
      <w:b/>
      <w:bCs/>
      <w:color w:val="000000" w:themeColor="text1"/>
      <w:kern w:val="0"/>
      <w:sz w:val="24"/>
      <w:szCs w:val="32"/>
      <w14:textFill>
        <w14:solidFill>
          <w14:schemeClr w14:val="tx1"/>
        </w14:solidFill>
      </w14:textFill>
    </w:rPr>
  </w:style>
  <w:style w:type="paragraph" w:customStyle="1" w:styleId="2711">
    <w:name w:val="样式 宋体 四号 首行缩进:  0.85 厘米 行距: 1.5 倍行距"/>
    <w:basedOn w:val="1"/>
    <w:qFormat/>
    <w:uiPriority w:val="0"/>
    <w:pPr>
      <w:spacing w:line="360" w:lineRule="auto"/>
      <w:ind w:firstLine="480"/>
      <w:jc w:val="left"/>
    </w:pPr>
    <w:rPr>
      <w:rFonts w:ascii="宋体" w:hAnsi="宋体" w:cs="宋体"/>
      <w:sz w:val="24"/>
      <w:szCs w:val="20"/>
    </w:rPr>
  </w:style>
  <w:style w:type="paragraph" w:customStyle="1" w:styleId="2712">
    <w:name w:val="正文首行缩进2字"/>
    <w:basedOn w:val="1"/>
    <w:qFormat/>
    <w:uiPriority w:val="0"/>
    <w:pPr>
      <w:spacing w:line="360" w:lineRule="auto"/>
      <w:ind w:firstLine="200" w:firstLineChars="200"/>
      <w:jc w:val="left"/>
    </w:pPr>
    <w:rPr>
      <w:rFonts w:ascii="Times New Roman" w:hAnsi="Times New Roman" w:cs="Times New Roman"/>
      <w:kern w:val="0"/>
      <w:sz w:val="24"/>
      <w:szCs w:val="24"/>
    </w:rPr>
  </w:style>
  <w:style w:type="paragraph" w:customStyle="1" w:styleId="2713">
    <w:name w:val="默认段落字体 Para Char Char Char Char Char Char Char Char Char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character" w:customStyle="1" w:styleId="2714">
    <w:name w:val="contentimg1"/>
    <w:qFormat/>
    <w:uiPriority w:val="0"/>
  </w:style>
  <w:style w:type="character" w:customStyle="1" w:styleId="2715">
    <w:name w:val="超链接2"/>
    <w:qFormat/>
    <w:uiPriority w:val="0"/>
    <w:rPr>
      <w:color w:val="000000"/>
      <w:u w:val="none"/>
    </w:rPr>
  </w:style>
  <w:style w:type="character" w:customStyle="1" w:styleId="2716">
    <w:name w:val="tt3"/>
    <w:qFormat/>
    <w:uiPriority w:val="0"/>
    <w:rPr>
      <w:color w:val="000000"/>
    </w:rPr>
  </w:style>
  <w:style w:type="paragraph" w:customStyle="1" w:styleId="2717">
    <w:name w:val="基准标题"/>
    <w:basedOn w:val="1"/>
    <w:next w:val="34"/>
    <w:qFormat/>
    <w:uiPriority w:val="0"/>
    <w:pPr>
      <w:widowControl/>
      <w:adjustRightInd w:val="0"/>
      <w:spacing w:line="360" w:lineRule="auto"/>
      <w:jc w:val="left"/>
    </w:pPr>
    <w:rPr>
      <w:rFonts w:ascii="宋体" w:hAnsi="宋体" w:eastAsia="楷体_GB2312" w:cs="Times New Roman"/>
      <w:sz w:val="44"/>
      <w:szCs w:val="44"/>
    </w:rPr>
  </w:style>
  <w:style w:type="paragraph" w:customStyle="1" w:styleId="2718">
    <w:name w:val="连续正文文字"/>
    <w:basedOn w:val="34"/>
    <w:qFormat/>
    <w:uiPriority w:val="0"/>
    <w:pPr>
      <w:keepNext/>
      <w:widowControl/>
      <w:adjustRightInd/>
      <w:spacing w:beforeLines="0" w:after="120" w:line="240" w:lineRule="auto"/>
    </w:pPr>
    <w:rPr>
      <w:rFonts w:ascii="楷体_GB2312" w:hAnsi="Calibri" w:eastAsia="楷体_GB2312"/>
      <w:snapToGrid/>
      <w:kern w:val="2"/>
      <w:sz w:val="44"/>
      <w:szCs w:val="44"/>
    </w:rPr>
  </w:style>
  <w:style w:type="paragraph" w:customStyle="1" w:styleId="2719">
    <w:name w:val="Char1 Char Char1"/>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paragraph" w:customStyle="1" w:styleId="2720">
    <w:name w:val="Char1 Char Char"/>
    <w:basedOn w:val="1"/>
    <w:qFormat/>
    <w:uiPriority w:val="0"/>
    <w:pPr>
      <w:spacing w:line="360" w:lineRule="auto"/>
      <w:ind w:firstLine="200" w:firstLineChars="200"/>
      <w:jc w:val="left"/>
    </w:pPr>
    <w:rPr>
      <w:rFonts w:ascii="宋体" w:hAnsi="宋体" w:cs="宋体"/>
      <w:sz w:val="24"/>
      <w:szCs w:val="24"/>
    </w:rPr>
  </w:style>
  <w:style w:type="paragraph" w:customStyle="1" w:styleId="2721">
    <w:name w:val="Char3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paragraph" w:customStyle="1" w:styleId="2722">
    <w:name w:val="Char1 Char Char Char Char Char Char1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723">
    <w:name w:val="Char Char2 Char"/>
    <w:basedOn w:val="1"/>
    <w:qFormat/>
    <w:uiPriority w:val="0"/>
    <w:pPr>
      <w:spacing w:line="360" w:lineRule="auto"/>
      <w:ind w:firstLine="200" w:firstLineChars="200"/>
      <w:jc w:val="left"/>
    </w:pPr>
    <w:rPr>
      <w:rFonts w:ascii="宋体" w:hAnsi="宋体" w:cs="宋体"/>
      <w:sz w:val="24"/>
      <w:szCs w:val="24"/>
    </w:rPr>
  </w:style>
  <w:style w:type="paragraph" w:customStyle="1" w:styleId="2724">
    <w:name w:val="Char Char2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725">
    <w:name w:val="样式 标题 3 + 段前: 0 磅 段后: 0 磅 行距: 单倍行距1"/>
    <w:basedOn w:val="5"/>
    <w:qFormat/>
    <w:uiPriority w:val="0"/>
    <w:pPr>
      <w:tabs>
        <w:tab w:val="left" w:pos="360"/>
      </w:tabs>
      <w:spacing w:beforeLines="50" w:afterLines="100" w:line="240" w:lineRule="auto"/>
    </w:pPr>
    <w:rPr>
      <w:rFonts w:cs="宋体" w:eastAsiaTheme="minorEastAsia"/>
      <w:bCs w:val="0"/>
      <w:sz w:val="28"/>
      <w:szCs w:val="20"/>
    </w:rPr>
  </w:style>
  <w:style w:type="paragraph" w:customStyle="1" w:styleId="2726">
    <w:name w:val="Char Char Char Char Char Char1 Char Char Char1 Char Char Char Char"/>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2727">
    <w:name w:val="样式 标题 2 + 首行缩进:  2 字符1"/>
    <w:basedOn w:val="4"/>
    <w:qFormat/>
    <w:uiPriority w:val="0"/>
    <w:pPr>
      <w:spacing w:before="10"/>
      <w:jc w:val="both"/>
    </w:pPr>
    <w:rPr>
      <w:rFonts w:ascii="Arial" w:hAnsi="Arial" w:cs="宋体" w:eastAsiaTheme="minorEastAsia"/>
      <w:b w:val="0"/>
      <w:color w:val="000000" w:themeColor="text1"/>
      <w:szCs w:val="20"/>
      <w14:textFill>
        <w14:solidFill>
          <w14:schemeClr w14:val="tx1"/>
        </w14:solidFill>
      </w14:textFill>
    </w:rPr>
  </w:style>
  <w:style w:type="paragraph" w:customStyle="1" w:styleId="2728">
    <w:name w:val="样式 标题 2 + 首行缩进:  2 字符2"/>
    <w:basedOn w:val="4"/>
    <w:qFormat/>
    <w:uiPriority w:val="0"/>
    <w:pPr>
      <w:spacing w:before="10"/>
      <w:jc w:val="both"/>
    </w:pPr>
    <w:rPr>
      <w:rFonts w:ascii="Arial" w:hAnsi="Arial" w:cs="宋体" w:eastAsiaTheme="minorEastAsia"/>
      <w:b w:val="0"/>
      <w:color w:val="000000" w:themeColor="text1"/>
      <w:szCs w:val="20"/>
      <w14:textFill>
        <w14:solidFill>
          <w14:schemeClr w14:val="tx1"/>
        </w14:solidFill>
      </w14:textFill>
    </w:rPr>
  </w:style>
  <w:style w:type="paragraph" w:customStyle="1" w:styleId="2729">
    <w:name w:val="样式 标题 3 + 首行缩进:  2 字符1"/>
    <w:basedOn w:val="5"/>
    <w:qFormat/>
    <w:uiPriority w:val="0"/>
    <w:pPr>
      <w:spacing w:beforeLines="10" w:after="81" w:line="415" w:lineRule="auto"/>
    </w:pPr>
    <w:rPr>
      <w:rFonts w:cs="宋体" w:eastAsiaTheme="minorEastAsia"/>
      <w:bCs w:val="0"/>
      <w:sz w:val="28"/>
      <w:szCs w:val="20"/>
    </w:rPr>
  </w:style>
  <w:style w:type="paragraph" w:customStyle="1" w:styleId="2730">
    <w:name w:val="样式 宋体 加粗 首行缩进:  2 字符"/>
    <w:basedOn w:val="1"/>
    <w:qFormat/>
    <w:uiPriority w:val="0"/>
    <w:pPr>
      <w:spacing w:line="360" w:lineRule="auto"/>
      <w:jc w:val="left"/>
    </w:pPr>
    <w:rPr>
      <w:rFonts w:ascii="宋体" w:hAnsi="宋体" w:cs="宋体"/>
      <w:b/>
      <w:bCs/>
      <w:sz w:val="24"/>
      <w:szCs w:val="20"/>
    </w:rPr>
  </w:style>
  <w:style w:type="paragraph" w:customStyle="1" w:styleId="2731">
    <w:name w:val="样式 样式3 + 首行缩进:  2 字符"/>
    <w:basedOn w:val="594"/>
    <w:qFormat/>
    <w:uiPriority w:val="0"/>
    <w:pPr>
      <w:keepNext w:val="0"/>
      <w:keepLines w:val="0"/>
      <w:spacing w:line="360" w:lineRule="auto"/>
      <w:outlineLvl w:val="9"/>
    </w:pPr>
    <w:rPr>
      <w:rFonts w:ascii="宋体" w:hAnsi="宋体" w:cs="宋体"/>
      <w:kern w:val="2"/>
      <w:sz w:val="24"/>
      <w:szCs w:val="20"/>
    </w:rPr>
  </w:style>
  <w:style w:type="paragraph" w:customStyle="1" w:styleId="2732">
    <w:name w:val="样式 标题 1 + 首行缩进:  0 字符"/>
    <w:basedOn w:val="4"/>
    <w:qFormat/>
    <w:uiPriority w:val="0"/>
    <w:pPr>
      <w:spacing w:before="10"/>
      <w:jc w:val="both"/>
    </w:pPr>
    <w:rPr>
      <w:rFonts w:ascii="Arial" w:hAnsi="Arial" w:cs="宋体" w:eastAsiaTheme="minorEastAsia"/>
      <w:b w:val="0"/>
      <w:color w:val="000000" w:themeColor="text1"/>
      <w:sz w:val="32"/>
      <w:szCs w:val="20"/>
      <w14:textFill>
        <w14:solidFill>
          <w14:schemeClr w14:val="tx1"/>
        </w14:solidFill>
      </w14:textFill>
    </w:rPr>
  </w:style>
  <w:style w:type="paragraph" w:customStyle="1" w:styleId="2733">
    <w:name w:val="样式 样式 标题 3 + 首行缩进:  2 字符2 + 首行缩进:  2 字符"/>
    <w:basedOn w:val="1"/>
    <w:qFormat/>
    <w:uiPriority w:val="0"/>
    <w:pPr>
      <w:keepNext/>
      <w:keepLines/>
      <w:spacing w:line="360" w:lineRule="auto"/>
      <w:jc w:val="left"/>
      <w:outlineLvl w:val="2"/>
    </w:pPr>
    <w:rPr>
      <w:rFonts w:ascii="Times New Roman" w:hAnsi="Times New Roman" w:cs="宋体"/>
      <w:b/>
      <w:bCs/>
      <w:sz w:val="24"/>
      <w:szCs w:val="20"/>
    </w:rPr>
  </w:style>
  <w:style w:type="character" w:customStyle="1" w:styleId="2734">
    <w:name w:val="explain_word1"/>
    <w:qFormat/>
    <w:uiPriority w:val="0"/>
    <w:rPr>
      <w:rFonts w:hint="default" w:ascii="Verdana" w:hAnsi="Verdana" w:eastAsia="仿宋_GB2312"/>
      <w:b/>
      <w:bCs/>
      <w:color w:val="669900"/>
      <w:sz w:val="21"/>
      <w:szCs w:val="21"/>
      <w:shd w:val="clear" w:color="auto" w:fill="FFFFFF"/>
      <w:lang w:val="en-US" w:eastAsia="en-US" w:bidi="ar-SA"/>
    </w:rPr>
  </w:style>
  <w:style w:type="character" w:customStyle="1" w:styleId="2735">
    <w:name w:val="txt"/>
    <w:qFormat/>
    <w:uiPriority w:val="0"/>
  </w:style>
  <w:style w:type="character" w:customStyle="1" w:styleId="2736">
    <w:name w:val="普通文字2"/>
    <w:qFormat/>
    <w:uiPriority w:val="0"/>
    <w:rPr>
      <w:rFonts w:ascii="仿宋_GB2312" w:hAnsi="仿宋_GB2312" w:eastAsia="宋体"/>
      <w:color w:val="000000"/>
      <w:sz w:val="24"/>
    </w:rPr>
  </w:style>
  <w:style w:type="character" w:customStyle="1" w:styleId="2737">
    <w:name w:val="line1301"/>
    <w:qFormat/>
    <w:uiPriority w:val="0"/>
  </w:style>
  <w:style w:type="character" w:customStyle="1" w:styleId="2738">
    <w:name w:val="条，（一） Char Char"/>
    <w:qFormat/>
    <w:uiPriority w:val="0"/>
    <w:rPr>
      <w:rFonts w:ascii="Verdana" w:hAnsi="Verdana" w:eastAsia="宋体"/>
      <w:b/>
      <w:bCs/>
      <w:kern w:val="2"/>
      <w:sz w:val="32"/>
      <w:szCs w:val="32"/>
      <w:lang w:val="en-US" w:eastAsia="zh-CN" w:bidi="ar-SA"/>
    </w:rPr>
  </w:style>
  <w:style w:type="paragraph" w:customStyle="1" w:styleId="2739">
    <w:name w:val="Char Char Char Char Char Char1 Char Char Char1 Char"/>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character" w:customStyle="1" w:styleId="2740">
    <w:name w:val="ehong1"/>
    <w:qFormat/>
    <w:uiPriority w:val="0"/>
    <w:rPr>
      <w:b/>
      <w:bCs/>
      <w:color w:val="FF3333"/>
      <w:sz w:val="20"/>
      <w:szCs w:val="20"/>
      <w:u w:val="none"/>
    </w:rPr>
  </w:style>
  <w:style w:type="character" w:customStyle="1" w:styleId="2741">
    <w:name w:val="unnamed1"/>
    <w:qFormat/>
    <w:uiPriority w:val="0"/>
  </w:style>
  <w:style w:type="character" w:customStyle="1" w:styleId="2742">
    <w:name w:val="cgray1"/>
    <w:qFormat/>
    <w:uiPriority w:val="0"/>
    <w:rPr>
      <w:color w:val="4F544D"/>
    </w:rPr>
  </w:style>
  <w:style w:type="paragraph" w:customStyle="1" w:styleId="2743">
    <w:name w:val="样式 样式 小四 行距: 1.5 倍行距 首行缩进:  2 字符1 + 首行缩进:  2 字符1"/>
    <w:basedOn w:val="1"/>
    <w:qFormat/>
    <w:uiPriority w:val="0"/>
    <w:pPr>
      <w:ind w:firstLine="200" w:firstLineChars="200"/>
      <w:jc w:val="left"/>
    </w:pPr>
    <w:rPr>
      <w:rFonts w:ascii="Times New Roman" w:hAnsi="Times New Roman" w:cs="宋体"/>
      <w:sz w:val="24"/>
      <w:szCs w:val="20"/>
    </w:rPr>
  </w:style>
  <w:style w:type="paragraph" w:customStyle="1" w:styleId="2744">
    <w:name w:val="缺省文本"/>
    <w:basedOn w:val="1"/>
    <w:qFormat/>
    <w:uiPriority w:val="0"/>
    <w:pPr>
      <w:autoSpaceDE w:val="0"/>
      <w:autoSpaceDN w:val="0"/>
      <w:adjustRightInd w:val="0"/>
      <w:jc w:val="left"/>
    </w:pPr>
    <w:rPr>
      <w:rFonts w:ascii="Times New Roman" w:hAnsi="Times New Roman" w:cs="Times New Roman"/>
      <w:kern w:val="0"/>
      <w:sz w:val="24"/>
      <w:szCs w:val="20"/>
    </w:rPr>
  </w:style>
  <w:style w:type="paragraph" w:customStyle="1" w:styleId="2745">
    <w:name w:val="样式 标题二 + 首行缩进:  2 字符 段前: 0.8 行 段后: 0.8 行1"/>
    <w:basedOn w:val="1"/>
    <w:qFormat/>
    <w:uiPriority w:val="0"/>
    <w:pPr>
      <w:adjustRightInd w:val="0"/>
      <w:spacing w:beforeLines="50" w:afterLines="50"/>
      <w:ind w:firstLine="200" w:firstLineChars="200"/>
      <w:jc w:val="left"/>
    </w:pPr>
    <w:rPr>
      <w:rFonts w:ascii="Times New Roman" w:hAnsi="Times New Roman" w:cs="Times New Roman"/>
      <w:b/>
      <w:bCs/>
      <w:sz w:val="24"/>
      <w:szCs w:val="20"/>
    </w:rPr>
  </w:style>
  <w:style w:type="paragraph" w:customStyle="1" w:styleId="2746">
    <w:name w:val="样式 章一 + 段前: 1 行 段后: 1 行1"/>
    <w:basedOn w:val="1"/>
    <w:qFormat/>
    <w:uiPriority w:val="0"/>
    <w:pPr>
      <w:spacing w:beforeLines="50" w:afterLines="100"/>
      <w:jc w:val="center"/>
    </w:pPr>
    <w:rPr>
      <w:rFonts w:ascii="Times New Roman" w:hAnsi="Times New Roman" w:eastAsia="黑体" w:cs="Times New Roman"/>
      <w:b/>
      <w:bCs/>
      <w:sz w:val="24"/>
      <w:szCs w:val="20"/>
    </w:rPr>
  </w:style>
  <w:style w:type="paragraph" w:customStyle="1" w:styleId="2747">
    <w:name w:val="样式 标题一 + 首行缩进:  2 字符 段前: 0.5 行 段后: 0.8 行"/>
    <w:basedOn w:val="1"/>
    <w:qFormat/>
    <w:uiPriority w:val="0"/>
    <w:pPr>
      <w:adjustRightInd w:val="0"/>
      <w:spacing w:beforeLines="50" w:afterLines="50"/>
      <w:ind w:firstLine="200" w:firstLineChars="200"/>
      <w:jc w:val="left"/>
    </w:pPr>
    <w:rPr>
      <w:rFonts w:ascii="Times New Roman" w:hAnsi="Times New Roman" w:eastAsia="黑体" w:cs="Times New Roman"/>
      <w:b/>
      <w:bCs/>
      <w:sz w:val="24"/>
      <w:szCs w:val="20"/>
    </w:rPr>
  </w:style>
  <w:style w:type="paragraph" w:customStyle="1" w:styleId="2748">
    <w:name w:val="许克亮段落"/>
    <w:next w:val="87"/>
    <w:qFormat/>
    <w:uiPriority w:val="0"/>
    <w:pPr>
      <w:adjustRightInd w:val="0"/>
      <w:snapToGrid w:val="0"/>
      <w:ind w:firstLine="200" w:firstLineChars="200"/>
      <w:jc w:val="both"/>
    </w:pPr>
    <w:rPr>
      <w:rFonts w:ascii="Times New Roman" w:hAnsi="Times New Roman" w:eastAsia="宋体" w:cs="Times New Roman"/>
      <w:kern w:val="2"/>
      <w:sz w:val="28"/>
      <w:szCs w:val="28"/>
      <w:lang w:val="en-US" w:eastAsia="zh-CN" w:bidi="ar-SA"/>
    </w:rPr>
  </w:style>
  <w:style w:type="paragraph" w:customStyle="1" w:styleId="2749">
    <w:name w:val="许克亮标一"/>
    <w:qFormat/>
    <w:uiPriority w:val="0"/>
    <w:pPr>
      <w:adjustRightInd w:val="0"/>
      <w:snapToGrid w:val="0"/>
      <w:spacing w:line="360" w:lineRule="auto"/>
      <w:ind w:firstLine="561"/>
      <w:jc w:val="both"/>
    </w:pPr>
    <w:rPr>
      <w:rFonts w:ascii="Times New Roman" w:hAnsi="Times New Roman" w:eastAsia="黑体" w:cs="Times New Roman"/>
      <w:b/>
      <w:bCs/>
      <w:kern w:val="2"/>
      <w:sz w:val="28"/>
      <w:szCs w:val="28"/>
      <w:lang w:val="en-US" w:eastAsia="zh-CN" w:bidi="ar-SA"/>
    </w:rPr>
  </w:style>
  <w:style w:type="paragraph" w:customStyle="1" w:styleId="2750">
    <w:name w:val="许克亮标二"/>
    <w:qFormat/>
    <w:uiPriority w:val="0"/>
    <w:pPr>
      <w:adjustRightInd w:val="0"/>
      <w:snapToGrid w:val="0"/>
      <w:spacing w:line="360" w:lineRule="auto"/>
      <w:ind w:firstLine="561"/>
      <w:jc w:val="both"/>
    </w:pPr>
    <w:rPr>
      <w:rFonts w:ascii="Times New Roman" w:hAnsi="Times New Roman" w:eastAsia="宋体" w:cs="Times New Roman"/>
      <w:b/>
      <w:bCs/>
      <w:kern w:val="2"/>
      <w:sz w:val="28"/>
      <w:szCs w:val="28"/>
      <w:lang w:val="en-US" w:eastAsia="zh-CN" w:bidi="ar-SA"/>
    </w:rPr>
  </w:style>
  <w:style w:type="paragraph" w:customStyle="1" w:styleId="2751">
    <w:name w:val="许克亮标三"/>
    <w:qFormat/>
    <w:uiPriority w:val="0"/>
    <w:pPr>
      <w:adjustRightInd w:val="0"/>
      <w:snapToGrid w:val="0"/>
      <w:ind w:firstLine="561"/>
      <w:jc w:val="both"/>
    </w:pPr>
    <w:rPr>
      <w:rFonts w:ascii="Times New Roman" w:hAnsi="Times New Roman" w:eastAsia="宋体" w:cs="Times New Roman"/>
      <w:kern w:val="2"/>
      <w:sz w:val="28"/>
      <w:szCs w:val="28"/>
      <w:lang w:val="en-US" w:eastAsia="zh-CN" w:bidi="ar-SA"/>
    </w:rPr>
  </w:style>
  <w:style w:type="paragraph" w:customStyle="1" w:styleId="2752">
    <w:name w:val="表格来源"/>
    <w:basedOn w:val="35"/>
    <w:qFormat/>
    <w:uiPriority w:val="0"/>
    <w:pPr>
      <w:spacing w:beforeLines="10" w:after="0" w:line="240" w:lineRule="auto"/>
      <w:ind w:left="0" w:leftChars="0" w:right="22" w:rightChars="22" w:firstLine="0" w:firstLineChars="0"/>
      <w:jc w:val="right"/>
    </w:pPr>
    <w:rPr>
      <w:rFonts w:ascii="Calibri" w:hAnsi="Calibri" w:eastAsiaTheme="minorEastAsia"/>
      <w:snapToGrid w:val="0"/>
      <w:kern w:val="0"/>
      <w:sz w:val="18"/>
      <w:szCs w:val="20"/>
    </w:rPr>
  </w:style>
  <w:style w:type="paragraph" w:customStyle="1" w:styleId="2753">
    <w:name w:val="表格5号字"/>
    <w:basedOn w:val="1"/>
    <w:qFormat/>
    <w:uiPriority w:val="0"/>
    <w:pPr>
      <w:widowControl/>
      <w:adjustRightInd w:val="0"/>
      <w:spacing w:line="240" w:lineRule="exact"/>
      <w:jc w:val="center"/>
    </w:pPr>
    <w:rPr>
      <w:rFonts w:ascii="宋体" w:hAnsi="宋体" w:cs="Times New Roman"/>
      <w:kern w:val="0"/>
      <w:sz w:val="24"/>
      <w:szCs w:val="24"/>
    </w:rPr>
  </w:style>
  <w:style w:type="character" w:customStyle="1" w:styleId="2754">
    <w:name w:val="Char Char Char Char Char Char Char Char Char Char Char Char Char Char Char Char Char Char Char Char Char Char Char Char Char Char Char Char Char Char Char Char Char Char Char Char Char Char Char Char Char Char Char Char Char Char Char Char Char Char  C"/>
    <w:qFormat/>
    <w:uiPriority w:val="0"/>
    <w:rPr>
      <w:rFonts w:ascii="宋体" w:hAnsi="Courier New" w:eastAsia="宋体"/>
      <w:kern w:val="2"/>
      <w:sz w:val="21"/>
      <w:lang w:val="en-US" w:eastAsia="zh-CN" w:bidi="ar-SA"/>
    </w:rPr>
  </w:style>
  <w:style w:type="paragraph" w:customStyle="1" w:styleId="2755">
    <w:name w:val="样式 小四 行距: 1.5 倍行距 首行缩进:  2 字符"/>
    <w:basedOn w:val="1"/>
    <w:qFormat/>
    <w:uiPriority w:val="0"/>
    <w:pPr>
      <w:spacing w:line="360" w:lineRule="auto"/>
      <w:ind w:firstLine="200" w:firstLineChars="200"/>
      <w:jc w:val="left"/>
    </w:pPr>
    <w:rPr>
      <w:rFonts w:ascii="Times New Roman" w:hAnsi="Times New Roman" w:cs="宋体"/>
      <w:sz w:val="24"/>
      <w:szCs w:val="20"/>
    </w:rPr>
  </w:style>
  <w:style w:type="paragraph" w:customStyle="1" w:styleId="2756">
    <w:name w:val="样式 样式 样式 小四 行距: 1.5 倍行距 首行缩进:  2 字符1 + 首行缩进:  2 字符1 + 首行缩进:  2 字符"/>
    <w:basedOn w:val="2743"/>
    <w:qFormat/>
    <w:uiPriority w:val="0"/>
    <w:pPr>
      <w:spacing w:line="360" w:lineRule="auto"/>
    </w:pPr>
  </w:style>
  <w:style w:type="paragraph" w:customStyle="1" w:styleId="2757">
    <w:name w:val="czg样式"/>
    <w:basedOn w:val="1"/>
    <w:link w:val="2758"/>
    <w:qFormat/>
    <w:uiPriority w:val="0"/>
    <w:pPr>
      <w:ind w:firstLine="200" w:firstLineChars="200"/>
      <w:jc w:val="left"/>
    </w:pPr>
    <w:rPr>
      <w:rFonts w:ascii="宋体" w:hAnsi="Times New Roman" w:cs="Times New Roman"/>
      <w:color w:val="000000"/>
      <w:sz w:val="24"/>
      <w:szCs w:val="24"/>
    </w:rPr>
  </w:style>
  <w:style w:type="character" w:customStyle="1" w:styleId="2758">
    <w:name w:val="czg样式 Char Char"/>
    <w:link w:val="2757"/>
    <w:qFormat/>
    <w:uiPriority w:val="0"/>
    <w:rPr>
      <w:rFonts w:ascii="宋体" w:hAnsi="Times New Roman" w:cs="Times New Roman"/>
      <w:color w:val="000000"/>
      <w:sz w:val="24"/>
      <w:szCs w:val="24"/>
    </w:rPr>
  </w:style>
  <w:style w:type="paragraph" w:customStyle="1" w:styleId="2759">
    <w:name w:val="宁波至温州正文"/>
    <w:basedOn w:val="1"/>
    <w:qFormat/>
    <w:uiPriority w:val="0"/>
    <w:pPr>
      <w:keepNext/>
      <w:spacing w:line="360" w:lineRule="exact"/>
      <w:ind w:firstLine="200" w:firstLineChars="200"/>
      <w:jc w:val="left"/>
    </w:pPr>
    <w:rPr>
      <w:rFonts w:ascii="Times New Roman" w:hAnsi="Times New Roman" w:cs="Times New Roman"/>
      <w:sz w:val="24"/>
      <w:szCs w:val="20"/>
    </w:rPr>
  </w:style>
  <w:style w:type="character" w:customStyle="1" w:styleId="2760">
    <w:name w:val="ss1"/>
    <w:qFormat/>
    <w:uiPriority w:val="0"/>
    <w:rPr>
      <w:color w:val="0066CC"/>
      <w:sz w:val="28"/>
      <w:szCs w:val="28"/>
    </w:rPr>
  </w:style>
  <w:style w:type="character" w:customStyle="1" w:styleId="2761">
    <w:name w:val="标题55 Char"/>
    <w:qFormat/>
    <w:uiPriority w:val="0"/>
    <w:rPr>
      <w:rFonts w:ascii="宋体" w:hAnsi="宋体" w:eastAsia="宋体"/>
      <w:b/>
      <w:bCs/>
      <w:kern w:val="2"/>
      <w:sz w:val="24"/>
      <w:szCs w:val="28"/>
      <w:lang w:val="en-US" w:eastAsia="zh-CN" w:bidi="ar-SA"/>
    </w:rPr>
  </w:style>
  <w:style w:type="character" w:customStyle="1" w:styleId="2762">
    <w:name w:val="ourfont1"/>
    <w:qFormat/>
    <w:uiPriority w:val="0"/>
    <w:rPr>
      <w:color w:val="000000"/>
      <w:sz w:val="24"/>
      <w:szCs w:val="24"/>
    </w:rPr>
  </w:style>
  <w:style w:type="paragraph" w:customStyle="1" w:styleId="2763">
    <w:name w:val="表内大文字"/>
    <w:qFormat/>
    <w:uiPriority w:val="0"/>
    <w:pPr>
      <w:jc w:val="center"/>
    </w:pPr>
    <w:rPr>
      <w:rFonts w:ascii="宋体" w:hAnsi="宋体" w:eastAsia="宋体" w:cs="Times New Roman"/>
      <w:sz w:val="21"/>
      <w:lang w:val="en-US" w:eastAsia="zh-CN" w:bidi="ar-SA"/>
    </w:rPr>
  </w:style>
  <w:style w:type="paragraph" w:customStyle="1" w:styleId="2764">
    <w:name w:val="样式 样式 样式 样式 标题 1 + 左侧:  2 字符 + 左  0 字符 + 段前: 0.5 行 段后: 0.5 行 + 段..."/>
    <w:basedOn w:val="1"/>
    <w:qFormat/>
    <w:uiPriority w:val="0"/>
    <w:pPr>
      <w:keepNext/>
      <w:keepLines/>
      <w:spacing w:beforeLines="10" w:afterLines="10"/>
      <w:jc w:val="left"/>
      <w:outlineLvl w:val="0"/>
    </w:pPr>
    <w:rPr>
      <w:rFonts w:ascii="Times New Roman" w:hAnsi="Times New Roman" w:cs="宋体"/>
      <w:b/>
      <w:bCs/>
      <w:kern w:val="44"/>
      <w:sz w:val="24"/>
      <w:szCs w:val="20"/>
    </w:rPr>
  </w:style>
  <w:style w:type="paragraph" w:customStyle="1" w:styleId="2765">
    <w:name w:val="样式 标题 2 + 宋体 四号"/>
    <w:basedOn w:val="4"/>
    <w:qFormat/>
    <w:uiPriority w:val="0"/>
    <w:pPr>
      <w:spacing w:before="10" w:line="240" w:lineRule="auto"/>
      <w:jc w:val="both"/>
    </w:pPr>
    <w:rPr>
      <w:rFonts w:ascii="宋体" w:hAnsi="宋体" w:cs="Times New Roman" w:eastAsiaTheme="minorEastAsia"/>
      <w:b w:val="0"/>
      <w:bCs w:val="0"/>
      <w:color w:val="000000" w:themeColor="text1"/>
      <w:szCs w:val="24"/>
      <w14:textFill>
        <w14:solidFill>
          <w14:schemeClr w14:val="tx1"/>
        </w14:solidFill>
      </w14:textFill>
    </w:rPr>
  </w:style>
  <w:style w:type="paragraph" w:customStyle="1" w:styleId="2766">
    <w:name w:val="样式 行距: 固定值 16 磅"/>
    <w:basedOn w:val="1"/>
    <w:qFormat/>
    <w:uiPriority w:val="0"/>
    <w:pPr>
      <w:jc w:val="left"/>
    </w:pPr>
    <w:rPr>
      <w:rFonts w:ascii="Times New Roman" w:hAnsi="Times New Roman" w:cs="宋体"/>
      <w:sz w:val="24"/>
      <w:szCs w:val="20"/>
    </w:rPr>
  </w:style>
  <w:style w:type="character" w:customStyle="1" w:styleId="2767">
    <w:name w:val="样式 宋体 四号"/>
    <w:qFormat/>
    <w:uiPriority w:val="0"/>
    <w:rPr>
      <w:rFonts w:ascii="宋体" w:hAnsi="宋体"/>
      <w:sz w:val="28"/>
    </w:rPr>
  </w:style>
  <w:style w:type="paragraph" w:customStyle="1" w:styleId="2768">
    <w:name w:val="样式 标题 2 + 四号 行距: 固定值 18 磅"/>
    <w:basedOn w:val="4"/>
    <w:qFormat/>
    <w:uiPriority w:val="0"/>
    <w:pPr>
      <w:spacing w:before="100" w:beforeAutospacing="1" w:after="100" w:afterAutospacing="1" w:line="240" w:lineRule="auto"/>
      <w:jc w:val="both"/>
    </w:pPr>
    <w:rPr>
      <w:rFonts w:ascii="Arial" w:hAnsi="Arial" w:cs="宋体" w:eastAsiaTheme="minorEastAsia"/>
      <w:b w:val="0"/>
      <w:bCs w:val="0"/>
      <w:color w:val="000000" w:themeColor="text1"/>
      <w:szCs w:val="20"/>
      <w14:textFill>
        <w14:solidFill>
          <w14:schemeClr w14:val="tx1"/>
        </w14:solidFill>
      </w14:textFill>
    </w:rPr>
  </w:style>
  <w:style w:type="paragraph" w:customStyle="1" w:styleId="2769">
    <w:name w:val="表格（小4）"/>
    <w:basedOn w:val="1"/>
    <w:qFormat/>
    <w:uiPriority w:val="0"/>
    <w:pPr>
      <w:spacing w:line="360" w:lineRule="auto"/>
      <w:jc w:val="center"/>
    </w:pPr>
    <w:rPr>
      <w:rFonts w:ascii="宋体" w:hAnsi="宋体" w:cs="Times New Roman"/>
      <w:sz w:val="24"/>
      <w:szCs w:val="20"/>
    </w:rPr>
  </w:style>
  <w:style w:type="paragraph" w:customStyle="1" w:styleId="2770">
    <w:name w:val="表格，内容"/>
    <w:basedOn w:val="1"/>
    <w:qFormat/>
    <w:uiPriority w:val="0"/>
    <w:pPr>
      <w:jc w:val="center"/>
    </w:pPr>
    <w:rPr>
      <w:rFonts w:ascii="Times New Roman" w:hAnsi="Times New Roman" w:cs="Times New Roman"/>
      <w:spacing w:val="10"/>
      <w:kern w:val="44"/>
      <w:szCs w:val="24"/>
    </w:rPr>
  </w:style>
  <w:style w:type="paragraph" w:customStyle="1" w:styleId="2771">
    <w:name w:val="文章正文 Char"/>
    <w:basedOn w:val="1"/>
    <w:qFormat/>
    <w:uiPriority w:val="0"/>
    <w:pPr>
      <w:spacing w:beforeLines="50" w:afterLines="50" w:line="360" w:lineRule="auto"/>
      <w:ind w:firstLine="480" w:firstLineChars="200"/>
      <w:jc w:val="left"/>
    </w:pPr>
    <w:rPr>
      <w:rFonts w:ascii="宋体" w:hAnsi="宋体" w:cs="Times New Roman"/>
      <w:sz w:val="24"/>
      <w:szCs w:val="24"/>
    </w:rPr>
  </w:style>
  <w:style w:type="paragraph" w:customStyle="1" w:styleId="2772">
    <w:name w:val="默认段落字体 Para Char Char Char Char Char Char Char Char Char Char Char Char Char Char Char Char"/>
    <w:basedOn w:val="1"/>
    <w:qFormat/>
    <w:uiPriority w:val="0"/>
    <w:pPr>
      <w:spacing w:line="480" w:lineRule="exact"/>
      <w:ind w:firstLine="200" w:firstLineChars="200"/>
      <w:jc w:val="left"/>
    </w:pPr>
    <w:rPr>
      <w:rFonts w:ascii="宋体" w:hAnsi="宋体" w:cs="宋体"/>
      <w:sz w:val="24"/>
      <w:szCs w:val="24"/>
    </w:rPr>
  </w:style>
  <w:style w:type="paragraph" w:customStyle="1" w:styleId="2773">
    <w:name w:val="Char Char5 Char"/>
    <w:basedOn w:val="1"/>
    <w:qFormat/>
    <w:uiPriority w:val="0"/>
    <w:pPr>
      <w:spacing w:line="360" w:lineRule="auto"/>
      <w:ind w:firstLine="200" w:firstLineChars="200"/>
      <w:jc w:val="left"/>
    </w:pPr>
    <w:rPr>
      <w:rFonts w:ascii="宋体" w:hAnsi="宋体" w:cs="宋体"/>
      <w:sz w:val="24"/>
      <w:szCs w:val="24"/>
    </w:rPr>
  </w:style>
  <w:style w:type="paragraph" w:customStyle="1" w:styleId="2774">
    <w:name w:val="（1）"/>
    <w:basedOn w:val="1"/>
    <w:qFormat/>
    <w:uiPriority w:val="0"/>
    <w:pPr>
      <w:jc w:val="left"/>
    </w:pPr>
    <w:rPr>
      <w:rFonts w:ascii="仿宋_GB2312" w:hAnsi="宋体" w:eastAsia="仿宋_GB2312" w:cs="Times New Roman"/>
      <w:bCs/>
      <w:kern w:val="0"/>
      <w:sz w:val="24"/>
      <w:szCs w:val="24"/>
    </w:rPr>
  </w:style>
  <w:style w:type="paragraph" w:customStyle="1" w:styleId="2775">
    <w:name w:val="Char1 Char Char Char Char Char Char Char Char Char Char Char Char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paragraph" w:customStyle="1" w:styleId="2776">
    <w:name w:val="图表题"/>
    <w:basedOn w:val="1"/>
    <w:next w:val="1"/>
    <w:link w:val="2777"/>
    <w:qFormat/>
    <w:uiPriority w:val="0"/>
    <w:pPr>
      <w:spacing w:line="360" w:lineRule="auto"/>
      <w:jc w:val="center"/>
    </w:pPr>
    <w:rPr>
      <w:rFonts w:ascii="黑体" w:hAnsi="宋体" w:eastAsia="黑体" w:cs="Times New Roman"/>
      <w:b/>
      <w:bCs/>
      <w:sz w:val="24"/>
      <w:szCs w:val="24"/>
    </w:rPr>
  </w:style>
  <w:style w:type="character" w:customStyle="1" w:styleId="2777">
    <w:name w:val="图表题 Char"/>
    <w:link w:val="2776"/>
    <w:qFormat/>
    <w:uiPriority w:val="0"/>
    <w:rPr>
      <w:rFonts w:ascii="黑体" w:hAnsi="宋体" w:eastAsia="黑体" w:cs="Times New Roman"/>
      <w:b/>
      <w:bCs/>
      <w:sz w:val="24"/>
      <w:szCs w:val="24"/>
    </w:rPr>
  </w:style>
  <w:style w:type="paragraph" w:customStyle="1" w:styleId="2778">
    <w:name w:val="www"/>
    <w:basedOn w:val="1"/>
    <w:qFormat/>
    <w:uiPriority w:val="0"/>
    <w:pPr>
      <w:widowControl/>
      <w:spacing w:beforeAutospacing="1" w:after="100" w:afterAutospacing="1"/>
      <w:jc w:val="left"/>
    </w:pPr>
    <w:rPr>
      <w:rFonts w:ascii="宋体" w:hAnsi="宋体" w:cs="宋体"/>
      <w:kern w:val="0"/>
      <w:sz w:val="24"/>
      <w:szCs w:val="24"/>
    </w:rPr>
  </w:style>
  <w:style w:type="character" w:customStyle="1" w:styleId="2779">
    <w:name w:val="lh131"/>
    <w:qFormat/>
    <w:uiPriority w:val="0"/>
  </w:style>
  <w:style w:type="paragraph" w:customStyle="1" w:styleId="2780">
    <w:name w:val="Char Char Char2 Char Char"/>
    <w:basedOn w:val="1"/>
    <w:link w:val="2914"/>
    <w:qFormat/>
    <w:uiPriority w:val="0"/>
    <w:pPr>
      <w:spacing w:line="360" w:lineRule="auto"/>
      <w:ind w:firstLine="200" w:firstLineChars="200"/>
      <w:jc w:val="left"/>
    </w:pPr>
    <w:rPr>
      <w:rFonts w:ascii="宋体" w:hAnsi="宋体" w:cs="Times New Roman"/>
      <w:sz w:val="24"/>
      <w:szCs w:val="24"/>
    </w:rPr>
  </w:style>
  <w:style w:type="character" w:customStyle="1" w:styleId="2781">
    <w:name w:val="style71"/>
    <w:qFormat/>
    <w:uiPriority w:val="0"/>
    <w:rPr>
      <w:color w:val="333300"/>
    </w:rPr>
  </w:style>
  <w:style w:type="character" w:customStyle="1" w:styleId="2782">
    <w:name w:val="style231"/>
    <w:qFormat/>
    <w:uiPriority w:val="0"/>
    <w:rPr>
      <w:rFonts w:hint="eastAsia" w:ascii="宋体" w:hAnsi="宋体" w:eastAsia="宋体"/>
      <w:color w:val="000000"/>
      <w:sz w:val="18"/>
      <w:szCs w:val="18"/>
    </w:rPr>
  </w:style>
  <w:style w:type="paragraph" w:customStyle="1" w:styleId="2783">
    <w:name w:val="Char Char4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2784">
    <w:name w:val="Char1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2785">
    <w:name w:val="Char3 Char Char Char Char Char Char Char Char Char Char Char Char Char Char Char Char Char Char"/>
    <w:basedOn w:val="1"/>
    <w:semiHidden/>
    <w:qFormat/>
    <w:uiPriority w:val="0"/>
    <w:pPr>
      <w:spacing w:line="360" w:lineRule="auto"/>
      <w:ind w:firstLine="480" w:firstLineChars="200"/>
      <w:jc w:val="left"/>
    </w:pPr>
    <w:rPr>
      <w:rFonts w:ascii="仿宋_GB2312" w:hAnsi="Times New Roman" w:cs="Times New Roman"/>
      <w:b/>
      <w:szCs w:val="32"/>
    </w:rPr>
  </w:style>
  <w:style w:type="character" w:customStyle="1" w:styleId="2786">
    <w:name w:val="表格，五宋 Char"/>
    <w:link w:val="2262"/>
    <w:qFormat/>
    <w:uiPriority w:val="0"/>
    <w:rPr>
      <w:rFonts w:ascii="Times New Roman" w:hAnsi="Times New Roman" w:eastAsia="宋体" w:cs="Times New Roman"/>
      <w:kern w:val="0"/>
      <w:szCs w:val="20"/>
    </w:rPr>
  </w:style>
  <w:style w:type="paragraph" w:customStyle="1" w:styleId="2787">
    <w:name w:val="Char3 Char Char Char Char Char Char Char Char Char Char Char Char Char Char Char"/>
    <w:basedOn w:val="1"/>
    <w:semiHidden/>
    <w:qFormat/>
    <w:uiPriority w:val="0"/>
    <w:pPr>
      <w:spacing w:line="360" w:lineRule="auto"/>
      <w:ind w:firstLine="480" w:firstLineChars="200"/>
      <w:jc w:val="left"/>
    </w:pPr>
    <w:rPr>
      <w:rFonts w:ascii="仿宋_GB2312" w:hAnsi="Times New Roman" w:cs="Times New Roman"/>
      <w:b/>
      <w:szCs w:val="32"/>
    </w:rPr>
  </w:style>
  <w:style w:type="paragraph" w:customStyle="1" w:styleId="2788">
    <w:name w:val="Char Char Char Char2"/>
    <w:basedOn w:val="1"/>
    <w:qFormat/>
    <w:uiPriority w:val="0"/>
    <w:pPr>
      <w:spacing w:line="360" w:lineRule="auto"/>
      <w:ind w:firstLine="200" w:firstLineChars="200"/>
      <w:jc w:val="left"/>
    </w:pPr>
    <w:rPr>
      <w:rFonts w:ascii="宋体" w:hAnsi="宋体" w:cs="宋体"/>
      <w:sz w:val="24"/>
      <w:szCs w:val="24"/>
    </w:rPr>
  </w:style>
  <w:style w:type="paragraph" w:customStyle="1" w:styleId="2789">
    <w:name w:val="样式 首行缩进:  2 字符 段前: 0.5 行"/>
    <w:basedOn w:val="1"/>
    <w:qFormat/>
    <w:uiPriority w:val="0"/>
    <w:pPr>
      <w:adjustRightInd w:val="0"/>
      <w:spacing w:line="480" w:lineRule="exact"/>
      <w:ind w:firstLine="560" w:firstLineChars="200"/>
      <w:jc w:val="left"/>
    </w:pPr>
    <w:rPr>
      <w:rFonts w:ascii="Times New Roman" w:hAnsi="Times New Roman" w:cs="宋体"/>
      <w:sz w:val="28"/>
      <w:szCs w:val="20"/>
    </w:rPr>
  </w:style>
  <w:style w:type="paragraph" w:customStyle="1" w:styleId="2790">
    <w:name w:val="样式 首行缩进:  2 字符 段前: 0.5 行 行距: 1.5 倍行距"/>
    <w:basedOn w:val="1"/>
    <w:qFormat/>
    <w:uiPriority w:val="0"/>
    <w:pPr>
      <w:adjustRightInd w:val="0"/>
      <w:spacing w:line="480" w:lineRule="exact"/>
      <w:ind w:firstLine="560" w:firstLineChars="200"/>
      <w:jc w:val="left"/>
    </w:pPr>
    <w:rPr>
      <w:rFonts w:ascii="Times New Roman" w:hAnsi="Times New Roman" w:cs="宋体"/>
      <w:sz w:val="28"/>
      <w:szCs w:val="20"/>
    </w:rPr>
  </w:style>
  <w:style w:type="paragraph" w:customStyle="1" w:styleId="2791">
    <w:name w:val="Char1 Char Char Char Char Char Char1"/>
    <w:basedOn w:val="26"/>
    <w:link w:val="3298"/>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8"/>
    </w:rPr>
  </w:style>
  <w:style w:type="paragraph" w:customStyle="1" w:styleId="2792">
    <w:name w:val="Char Char Char Char Char Char3 Char"/>
    <w:basedOn w:val="1"/>
    <w:qFormat/>
    <w:uiPriority w:val="0"/>
    <w:pPr>
      <w:spacing w:line="480" w:lineRule="exact"/>
      <w:ind w:firstLine="200" w:firstLineChars="200"/>
      <w:jc w:val="left"/>
    </w:pPr>
    <w:rPr>
      <w:rFonts w:ascii="宋体" w:hAnsi="宋体" w:cs="宋体"/>
      <w:sz w:val="28"/>
      <w:szCs w:val="24"/>
    </w:rPr>
  </w:style>
  <w:style w:type="paragraph" w:customStyle="1" w:styleId="2793">
    <w:name w:val="x1"/>
    <w:basedOn w:val="1"/>
    <w:qFormat/>
    <w:uiPriority w:val="0"/>
    <w:pPr>
      <w:jc w:val="center"/>
    </w:pPr>
    <w:rPr>
      <w:rFonts w:ascii="Times New Roman" w:hAnsi="Times New Roman" w:cs="Times New Roman"/>
      <w:sz w:val="15"/>
      <w:szCs w:val="20"/>
    </w:rPr>
  </w:style>
  <w:style w:type="character" w:customStyle="1" w:styleId="2794">
    <w:name w:val="f10wentitle"/>
    <w:qFormat/>
    <w:uiPriority w:val="0"/>
  </w:style>
  <w:style w:type="paragraph" w:customStyle="1" w:styleId="2795">
    <w:name w:val="图表号"/>
    <w:basedOn w:val="5"/>
    <w:qFormat/>
    <w:uiPriority w:val="0"/>
    <w:pPr>
      <w:keepNext w:val="0"/>
      <w:keepLines w:val="0"/>
      <w:spacing w:beforeLines="10" w:line="500" w:lineRule="exact"/>
      <w:jc w:val="center"/>
    </w:pPr>
    <w:rPr>
      <w:rFonts w:eastAsia="黑体" w:cs="Times New Roman"/>
      <w:b w:val="0"/>
      <w:kern w:val="0"/>
      <w:szCs w:val="28"/>
    </w:rPr>
  </w:style>
  <w:style w:type="paragraph" w:customStyle="1" w:styleId="2796">
    <w:name w:val="样式 (中文) 仿宋_GB2312 四号 首行缩进:  2 字符 行距: 固定值 23 磅"/>
    <w:basedOn w:val="1"/>
    <w:qFormat/>
    <w:uiPriority w:val="0"/>
    <w:pPr>
      <w:spacing w:line="400" w:lineRule="exact"/>
      <w:ind w:firstLine="200" w:firstLineChars="200"/>
      <w:jc w:val="left"/>
    </w:pPr>
    <w:rPr>
      <w:rFonts w:ascii="Times New Roman" w:hAnsi="Times New Roman" w:cs="Times New Roman"/>
      <w:sz w:val="24"/>
      <w:szCs w:val="20"/>
    </w:rPr>
  </w:style>
  <w:style w:type="character" w:customStyle="1" w:styleId="2797">
    <w:name w:val="big"/>
    <w:qFormat/>
    <w:uiPriority w:val="0"/>
  </w:style>
  <w:style w:type="character" w:customStyle="1" w:styleId="2798">
    <w:name w:val="newsfont1"/>
    <w:qFormat/>
    <w:uiPriority w:val="0"/>
    <w:rPr>
      <w:color w:val="000000"/>
      <w:sz w:val="20"/>
      <w:szCs w:val="20"/>
    </w:rPr>
  </w:style>
  <w:style w:type="paragraph" w:customStyle="1" w:styleId="2799">
    <w:name w:val="正文首行缩进2字符"/>
    <w:basedOn w:val="1"/>
    <w:link w:val="2820"/>
    <w:qFormat/>
    <w:uiPriority w:val="0"/>
    <w:pPr>
      <w:spacing w:line="480" w:lineRule="exact"/>
      <w:ind w:firstLine="200" w:firstLineChars="200"/>
      <w:jc w:val="left"/>
    </w:pPr>
    <w:rPr>
      <w:rFonts w:ascii="Times New Roman" w:hAnsi="Times New Roman" w:cs="Times New Roman"/>
      <w:sz w:val="28"/>
      <w:szCs w:val="24"/>
    </w:rPr>
  </w:style>
  <w:style w:type="paragraph" w:customStyle="1" w:styleId="2800">
    <w:name w:val="标题4－99"/>
    <w:basedOn w:val="6"/>
    <w:qFormat/>
    <w:uiPriority w:val="0"/>
    <w:pPr>
      <w:keepNext w:val="0"/>
      <w:keepLines w:val="0"/>
      <w:tabs>
        <w:tab w:val="left" w:pos="0"/>
      </w:tabs>
      <w:spacing w:line="360" w:lineRule="exact"/>
      <w:jc w:val="both"/>
    </w:pPr>
    <w:rPr>
      <w:rFonts w:cs="Times New Roman" w:eastAsiaTheme="minorEastAsia"/>
      <w:b w:val="0"/>
      <w:bCs w:val="0"/>
      <w:sz w:val="28"/>
      <w:szCs w:val="20"/>
    </w:rPr>
  </w:style>
  <w:style w:type="character" w:customStyle="1" w:styleId="2801">
    <w:name w:val="p21"/>
    <w:qFormat/>
    <w:uiPriority w:val="0"/>
    <w:rPr>
      <w:rFonts w:hint="eastAsia" w:ascii="宋体" w:hAnsi="宋体" w:eastAsia="宋体"/>
      <w:sz w:val="18"/>
      <w:szCs w:val="18"/>
    </w:rPr>
  </w:style>
  <w:style w:type="paragraph" w:customStyle="1" w:styleId="2802">
    <w:name w:val="样式1 Char Char Char"/>
    <w:basedOn w:val="1"/>
    <w:link w:val="2803"/>
    <w:semiHidden/>
    <w:qFormat/>
    <w:uiPriority w:val="0"/>
    <w:pPr>
      <w:widowControl/>
      <w:adjustRightInd w:val="0"/>
      <w:jc w:val="center"/>
    </w:pPr>
    <w:rPr>
      <w:rFonts w:ascii="宋体" w:hAnsi="宋体" w:cs="Times New Roman"/>
      <w:szCs w:val="24"/>
    </w:rPr>
  </w:style>
  <w:style w:type="character" w:customStyle="1" w:styleId="2803">
    <w:name w:val="样式1 Char Char Char Char"/>
    <w:link w:val="2802"/>
    <w:semiHidden/>
    <w:qFormat/>
    <w:uiPriority w:val="0"/>
    <w:rPr>
      <w:rFonts w:ascii="宋体" w:hAnsi="宋体" w:cs="Times New Roman"/>
      <w:szCs w:val="24"/>
    </w:rPr>
  </w:style>
  <w:style w:type="paragraph" w:customStyle="1" w:styleId="2804">
    <w:name w:val="表名（标题）"/>
    <w:basedOn w:val="1"/>
    <w:qFormat/>
    <w:uiPriority w:val="0"/>
    <w:pPr>
      <w:spacing w:line="480" w:lineRule="atLeast"/>
      <w:jc w:val="left"/>
    </w:pPr>
    <w:rPr>
      <w:rFonts w:ascii="Times New Roman" w:hAnsi="Times New Roman" w:cs="Times New Roman"/>
      <w:sz w:val="28"/>
      <w:szCs w:val="24"/>
    </w:rPr>
  </w:style>
  <w:style w:type="paragraph" w:customStyle="1" w:styleId="2805">
    <w:name w:val="样式 样式 首行缩进:  2 字符1 + 首行缩进:  2 字符"/>
    <w:basedOn w:val="1991"/>
    <w:qFormat/>
    <w:uiPriority w:val="0"/>
    <w:pPr>
      <w:spacing w:line="480" w:lineRule="exact"/>
      <w:ind w:firstLine="200"/>
      <w:textAlignment w:val="auto"/>
    </w:pPr>
    <w:rPr>
      <w:rFonts w:hAnsi="Times New Roman" w:cs="宋体"/>
      <w:kern w:val="2"/>
      <w:sz w:val="28"/>
      <w:szCs w:val="20"/>
    </w:rPr>
  </w:style>
  <w:style w:type="paragraph" w:customStyle="1" w:styleId="2806">
    <w:name w:val="Char Char Char Char Char Char2"/>
    <w:basedOn w:val="1"/>
    <w:qFormat/>
    <w:uiPriority w:val="0"/>
    <w:pPr>
      <w:spacing w:line="480" w:lineRule="exact"/>
      <w:ind w:firstLine="200" w:firstLineChars="200"/>
      <w:jc w:val="left"/>
    </w:pPr>
    <w:rPr>
      <w:rFonts w:ascii="宋体" w:hAnsi="宋体" w:cs="宋体"/>
      <w:sz w:val="28"/>
      <w:szCs w:val="24"/>
    </w:rPr>
  </w:style>
  <w:style w:type="paragraph" w:customStyle="1" w:styleId="2807">
    <w:name w:val="样式 宋体 四号 首行缩进:  2 字符"/>
    <w:basedOn w:val="1"/>
    <w:qFormat/>
    <w:uiPriority w:val="0"/>
    <w:pPr>
      <w:spacing w:line="360" w:lineRule="auto"/>
      <w:jc w:val="left"/>
    </w:pPr>
    <w:rPr>
      <w:rFonts w:ascii="Times New Roman" w:hAnsi="Times New Roman" w:cs="Times New Roman"/>
      <w:color w:val="FF0000"/>
      <w:sz w:val="24"/>
      <w:szCs w:val="26"/>
    </w:rPr>
  </w:style>
  <w:style w:type="paragraph" w:customStyle="1" w:styleId="2808">
    <w:name w:val="款，1."/>
    <w:basedOn w:val="1"/>
    <w:link w:val="3078"/>
    <w:qFormat/>
    <w:uiPriority w:val="0"/>
    <w:pPr>
      <w:spacing w:line="480" w:lineRule="atLeast"/>
      <w:ind w:firstLine="567"/>
      <w:jc w:val="left"/>
      <w:outlineLvl w:val="2"/>
    </w:pPr>
    <w:rPr>
      <w:rFonts w:ascii="Times New Roman" w:hAnsi="Times New Roman" w:eastAsia="仿宋_GB2312" w:cs="Times New Roman"/>
      <w:sz w:val="28"/>
      <w:szCs w:val="20"/>
    </w:rPr>
  </w:style>
  <w:style w:type="paragraph" w:customStyle="1" w:styleId="2809">
    <w:name w:val="正文表标题"/>
    <w:next w:val="1"/>
    <w:qFormat/>
    <w:uiPriority w:val="0"/>
    <w:pPr>
      <w:widowControl w:val="0"/>
      <w:adjustRightInd w:val="0"/>
      <w:snapToGrid w:val="0"/>
      <w:spacing w:line="300" w:lineRule="auto"/>
      <w:jc w:val="both"/>
    </w:pPr>
    <w:rPr>
      <w:rFonts w:ascii="Times New Roman" w:hAnsi="Times New Roman" w:eastAsia="宋体" w:cs="Times New Roman"/>
      <w:kern w:val="2"/>
      <w:sz w:val="24"/>
      <w:lang w:val="en-US" w:eastAsia="zh-CN" w:bidi="ar-SA"/>
    </w:rPr>
  </w:style>
  <w:style w:type="paragraph" w:customStyle="1" w:styleId="2810">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2811">
    <w:name w:val="e"/>
    <w:basedOn w:val="1"/>
    <w:qFormat/>
    <w:uiPriority w:val="0"/>
    <w:pPr>
      <w:jc w:val="left"/>
    </w:pPr>
    <w:rPr>
      <w:rFonts w:ascii="Times New Roman" w:hAnsi="Times New Roman" w:cs="Times New Roman"/>
      <w:szCs w:val="24"/>
    </w:rPr>
  </w:style>
  <w:style w:type="paragraph" w:customStyle="1" w:styleId="2812">
    <w:name w:val="样式 正文首行缩进 2 Char"/>
    <w:basedOn w:val="87"/>
    <w:next w:val="1"/>
    <w:link w:val="2813"/>
    <w:qFormat/>
    <w:uiPriority w:val="0"/>
    <w:pPr>
      <w:adjustRightInd/>
      <w:snapToGrid/>
      <w:spacing w:beforeLines="0" w:line="480" w:lineRule="exact"/>
      <w:ind w:left="0" w:leftChars="0" w:firstLine="200"/>
    </w:pPr>
    <w:rPr>
      <w:rFonts w:ascii="宋体" w:hAnsi="Calibri"/>
      <w:snapToGrid/>
      <w:kern w:val="2"/>
      <w:sz w:val="28"/>
    </w:rPr>
  </w:style>
  <w:style w:type="character" w:customStyle="1" w:styleId="2813">
    <w:name w:val="样式 正文首行缩进 2 Char Char"/>
    <w:link w:val="2812"/>
    <w:qFormat/>
    <w:uiPriority w:val="0"/>
    <w:rPr>
      <w:rFonts w:ascii="宋体" w:hAnsi="Calibri" w:cs="Times New Roman"/>
      <w:sz w:val="28"/>
      <w:szCs w:val="24"/>
    </w:rPr>
  </w:style>
  <w:style w:type="character" w:customStyle="1" w:styleId="2814">
    <w:name w:val="样式 首行缩进:  2 字符 Char Char Char"/>
    <w:qFormat/>
    <w:uiPriority w:val="0"/>
    <w:rPr>
      <w:rFonts w:ascii="宋体" w:eastAsia="宋体" w:cs="宋体"/>
      <w:kern w:val="2"/>
      <w:sz w:val="28"/>
      <w:szCs w:val="24"/>
      <w:lang w:val="en-US" w:eastAsia="zh-CN" w:bidi="ar-SA"/>
    </w:rPr>
  </w:style>
  <w:style w:type="paragraph" w:customStyle="1" w:styleId="2815">
    <w:name w:val="样式0表换行"/>
    <w:basedOn w:val="1"/>
    <w:qFormat/>
    <w:uiPriority w:val="0"/>
    <w:pPr>
      <w:spacing w:line="300" w:lineRule="auto"/>
      <w:jc w:val="center"/>
    </w:pPr>
    <w:rPr>
      <w:rFonts w:ascii="Times New Roman" w:hAnsi="Times New Roman" w:cs="Times New Roman"/>
      <w:szCs w:val="20"/>
    </w:rPr>
  </w:style>
  <w:style w:type="paragraph" w:customStyle="1" w:styleId="2816">
    <w:name w:val="范表格1"/>
    <w:basedOn w:val="1"/>
    <w:next w:val="1"/>
    <w:qFormat/>
    <w:uiPriority w:val="0"/>
    <w:pPr>
      <w:widowControl/>
      <w:spacing w:after="60"/>
      <w:jc w:val="center"/>
    </w:pPr>
    <w:rPr>
      <w:rFonts w:ascii="Times New Roman" w:hAnsi="Times New Roman" w:cs="Times New Roman"/>
      <w:kern w:val="0"/>
      <w:szCs w:val="20"/>
    </w:rPr>
  </w:style>
  <w:style w:type="paragraph" w:customStyle="1" w:styleId="2817">
    <w:name w:val="Char Char Char Char Char Char3"/>
    <w:basedOn w:val="1"/>
    <w:qFormat/>
    <w:uiPriority w:val="0"/>
    <w:pPr>
      <w:spacing w:line="480" w:lineRule="exact"/>
      <w:ind w:firstLine="200" w:firstLineChars="200"/>
      <w:jc w:val="left"/>
    </w:pPr>
    <w:rPr>
      <w:rFonts w:ascii="宋体" w:hAnsi="宋体" w:cs="宋体"/>
      <w:sz w:val="28"/>
      <w:szCs w:val="24"/>
    </w:rPr>
  </w:style>
  <w:style w:type="paragraph" w:customStyle="1" w:styleId="2818">
    <w:name w:val="Char Char Char Char Char Char3 Char1"/>
    <w:basedOn w:val="1"/>
    <w:qFormat/>
    <w:uiPriority w:val="0"/>
    <w:pPr>
      <w:spacing w:line="480" w:lineRule="exact"/>
      <w:ind w:firstLine="200" w:firstLineChars="200"/>
      <w:jc w:val="left"/>
    </w:pPr>
    <w:rPr>
      <w:rFonts w:ascii="宋体" w:hAnsi="宋体" w:cs="宋体"/>
      <w:sz w:val="28"/>
      <w:szCs w:val="24"/>
    </w:rPr>
  </w:style>
  <w:style w:type="paragraph" w:customStyle="1" w:styleId="2819">
    <w:name w:val="Char Char Char Char Char Char3 Char1 Char Char"/>
    <w:basedOn w:val="1"/>
    <w:qFormat/>
    <w:uiPriority w:val="0"/>
    <w:pPr>
      <w:spacing w:line="480" w:lineRule="exact"/>
      <w:ind w:firstLine="200" w:firstLineChars="200"/>
      <w:jc w:val="left"/>
    </w:pPr>
    <w:rPr>
      <w:rFonts w:ascii="宋体" w:hAnsi="宋体" w:cs="宋体"/>
      <w:sz w:val="28"/>
      <w:szCs w:val="24"/>
    </w:rPr>
  </w:style>
  <w:style w:type="character" w:customStyle="1" w:styleId="2820">
    <w:name w:val="正文首行缩进2字符 Char"/>
    <w:link w:val="2799"/>
    <w:qFormat/>
    <w:uiPriority w:val="0"/>
    <w:rPr>
      <w:rFonts w:ascii="Times New Roman" w:hAnsi="Times New Roman" w:cs="Times New Roman"/>
      <w:sz w:val="28"/>
      <w:szCs w:val="24"/>
    </w:rPr>
  </w:style>
  <w:style w:type="paragraph" w:customStyle="1" w:styleId="2821">
    <w:name w:val="Char Char Char Char Char Char31"/>
    <w:basedOn w:val="1"/>
    <w:qFormat/>
    <w:uiPriority w:val="0"/>
    <w:pPr>
      <w:spacing w:line="480" w:lineRule="exact"/>
      <w:ind w:firstLine="200" w:firstLineChars="200"/>
      <w:jc w:val="left"/>
    </w:pPr>
    <w:rPr>
      <w:rFonts w:ascii="宋体" w:hAnsi="宋体" w:cs="宋体"/>
      <w:sz w:val="28"/>
      <w:szCs w:val="24"/>
    </w:rPr>
  </w:style>
  <w:style w:type="paragraph" w:customStyle="1" w:styleId="2822">
    <w:name w:val="Char Char Char Char Char Char3 Char1 Char Char Char"/>
    <w:basedOn w:val="1"/>
    <w:qFormat/>
    <w:uiPriority w:val="0"/>
    <w:pPr>
      <w:spacing w:line="480" w:lineRule="exact"/>
      <w:ind w:firstLine="200" w:firstLineChars="200"/>
      <w:jc w:val="left"/>
    </w:pPr>
    <w:rPr>
      <w:rFonts w:ascii="宋体" w:hAnsi="宋体" w:cs="宋体"/>
      <w:sz w:val="28"/>
      <w:szCs w:val="24"/>
    </w:rPr>
  </w:style>
  <w:style w:type="paragraph" w:customStyle="1" w:styleId="2823">
    <w:name w:val="Char Char Char Char Char Char3 Char1 Char Char Char Char Char Char Char Char Char Char Char Char Char Char"/>
    <w:basedOn w:val="1"/>
    <w:qFormat/>
    <w:uiPriority w:val="0"/>
    <w:pPr>
      <w:spacing w:line="480" w:lineRule="exact"/>
      <w:ind w:firstLine="200" w:firstLineChars="200"/>
      <w:jc w:val="left"/>
    </w:pPr>
    <w:rPr>
      <w:rFonts w:ascii="宋体" w:hAnsi="宋体" w:cs="宋体"/>
      <w:sz w:val="28"/>
      <w:szCs w:val="24"/>
    </w:rPr>
  </w:style>
  <w:style w:type="character" w:customStyle="1" w:styleId="2824">
    <w:name w:val="正文首行缩进2字符 Char1"/>
    <w:qFormat/>
    <w:uiPriority w:val="0"/>
    <w:rPr>
      <w:rFonts w:eastAsia="宋体"/>
      <w:kern w:val="2"/>
      <w:sz w:val="28"/>
      <w:szCs w:val="24"/>
      <w:lang w:val="en-US" w:eastAsia="zh-CN" w:bidi="ar-SA"/>
    </w:rPr>
  </w:style>
  <w:style w:type="paragraph" w:customStyle="1" w:styleId="2825">
    <w:name w:val="样式 正文首行缩进 2"/>
    <w:basedOn w:val="87"/>
    <w:next w:val="1"/>
    <w:qFormat/>
    <w:uiPriority w:val="0"/>
    <w:pPr>
      <w:adjustRightInd/>
      <w:snapToGrid/>
      <w:spacing w:beforeLines="0" w:line="480" w:lineRule="exact"/>
      <w:ind w:left="0" w:leftChars="0" w:firstLine="200"/>
    </w:pPr>
    <w:rPr>
      <w:rFonts w:ascii="宋体" w:hAnsi="Calibri" w:cs="宋体"/>
      <w:snapToGrid/>
      <w:kern w:val="2"/>
      <w:sz w:val="28"/>
    </w:rPr>
  </w:style>
  <w:style w:type="paragraph" w:customStyle="1" w:styleId="2826">
    <w:name w:val="Char Char4 Char Char Char Char1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character" w:customStyle="1" w:styleId="2827">
    <w:name w:val="正文缩进4号（首行缩进两字） Char Char"/>
    <w:qFormat/>
    <w:uiPriority w:val="0"/>
    <w:rPr>
      <w:rFonts w:eastAsia="宋体"/>
      <w:kern w:val="2"/>
      <w:sz w:val="28"/>
      <w:lang w:val="en-US" w:eastAsia="zh-CN" w:bidi="he-IL"/>
    </w:rPr>
  </w:style>
  <w:style w:type="paragraph" w:customStyle="1" w:styleId="2828">
    <w:name w:val="p19"/>
    <w:basedOn w:val="1"/>
    <w:qFormat/>
    <w:uiPriority w:val="0"/>
    <w:pPr>
      <w:widowControl/>
      <w:ind w:firstLine="567"/>
      <w:jc w:val="left"/>
    </w:pPr>
    <w:rPr>
      <w:rFonts w:ascii="Times New Roman" w:hAnsi="Times New Roman" w:cs="宋体"/>
      <w:kern w:val="0"/>
      <w:sz w:val="28"/>
      <w:szCs w:val="28"/>
    </w:rPr>
  </w:style>
  <w:style w:type="paragraph" w:customStyle="1" w:styleId="2829">
    <w:name w:val="p20"/>
    <w:basedOn w:val="1"/>
    <w:qFormat/>
    <w:uiPriority w:val="0"/>
    <w:pPr>
      <w:widowControl/>
      <w:ind w:firstLine="567"/>
      <w:jc w:val="left"/>
    </w:pPr>
    <w:rPr>
      <w:rFonts w:ascii="Times New Roman" w:hAnsi="Times New Roman" w:cs="宋体"/>
      <w:kern w:val="0"/>
      <w:sz w:val="28"/>
      <w:szCs w:val="28"/>
    </w:rPr>
  </w:style>
  <w:style w:type="paragraph" w:customStyle="1" w:styleId="2830">
    <w:name w:val="p23"/>
    <w:basedOn w:val="1"/>
    <w:qFormat/>
    <w:uiPriority w:val="0"/>
    <w:pPr>
      <w:widowControl/>
      <w:spacing w:line="360" w:lineRule="atLeast"/>
      <w:jc w:val="center"/>
    </w:pPr>
    <w:rPr>
      <w:rFonts w:ascii="宋体" w:hAnsi="宋体" w:cs="宋体"/>
      <w:kern w:val="0"/>
      <w:sz w:val="24"/>
    </w:rPr>
  </w:style>
  <w:style w:type="paragraph" w:customStyle="1" w:styleId="2831">
    <w:name w:val="样式 正文首行缩进 + 首行缩进:  2 字符1"/>
    <w:basedOn w:val="1"/>
    <w:link w:val="2832"/>
    <w:qFormat/>
    <w:uiPriority w:val="0"/>
    <w:pPr>
      <w:widowControl/>
      <w:ind w:firstLine="200" w:firstLineChars="200"/>
      <w:jc w:val="left"/>
    </w:pPr>
    <w:rPr>
      <w:rFonts w:ascii="Book Antiqua" w:hAnsi="Book Antiqua" w:cs="Times New Roman"/>
      <w:kern w:val="0"/>
      <w:sz w:val="28"/>
      <w:szCs w:val="20"/>
    </w:rPr>
  </w:style>
  <w:style w:type="character" w:customStyle="1" w:styleId="2832">
    <w:name w:val="样式 正文首行缩进 + 首行缩进:  2 字符1 Char"/>
    <w:link w:val="2831"/>
    <w:qFormat/>
    <w:uiPriority w:val="0"/>
    <w:rPr>
      <w:rFonts w:ascii="Book Antiqua" w:hAnsi="Book Antiqua" w:cs="Times New Roman"/>
      <w:kern w:val="0"/>
      <w:sz w:val="28"/>
      <w:szCs w:val="20"/>
    </w:rPr>
  </w:style>
  <w:style w:type="paragraph" w:customStyle="1" w:styleId="2833">
    <w:name w:val="Char Char8 Char Char Char"/>
    <w:basedOn w:val="1"/>
    <w:qFormat/>
    <w:uiPriority w:val="0"/>
    <w:pPr>
      <w:widowControl/>
      <w:spacing w:line="360" w:lineRule="auto"/>
      <w:ind w:firstLine="200" w:firstLineChars="200"/>
      <w:jc w:val="left"/>
    </w:pPr>
    <w:rPr>
      <w:rFonts w:ascii="Times New Roman" w:hAnsi="Times New Roman" w:cs="宋体"/>
      <w:kern w:val="0"/>
      <w:sz w:val="24"/>
      <w:szCs w:val="20"/>
    </w:rPr>
  </w:style>
  <w:style w:type="character" w:customStyle="1" w:styleId="2834">
    <w:name w:val="样式 标题 4 + 非加粗 Char"/>
    <w:link w:val="1834"/>
    <w:qFormat/>
    <w:uiPriority w:val="0"/>
    <w:rPr>
      <w:rFonts w:ascii="Arial" w:hAnsi="Arial" w:cs="Times New Roman"/>
      <w:i/>
      <w:sz w:val="24"/>
      <w:szCs w:val="28"/>
    </w:rPr>
  </w:style>
  <w:style w:type="paragraph" w:customStyle="1" w:styleId="2835">
    <w:name w:val="Char Char Char Char Char Char4"/>
    <w:qFormat/>
    <w:uiPriority w:val="0"/>
    <w:pPr>
      <w:framePr w:wrap="notBeside" w:vAnchor="text" w:hAnchor="text" w:xAlign="center" w:y="1"/>
      <w:adjustRightInd w:val="0"/>
      <w:jc w:val="center"/>
      <w:outlineLvl w:val="3"/>
    </w:pPr>
    <w:rPr>
      <w:rFonts w:ascii="Tahoma" w:hAnsi="Tahoma" w:eastAsia="宋体" w:cs="Times New Roman"/>
      <w:b/>
      <w:kern w:val="2"/>
      <w:sz w:val="24"/>
      <w:szCs w:val="28"/>
      <w:lang w:val="en-US" w:eastAsia="zh-CN" w:bidi="ar-SA"/>
    </w:rPr>
  </w:style>
  <w:style w:type="paragraph" w:customStyle="1" w:styleId="2836">
    <w:name w:val="表头1"/>
    <w:basedOn w:val="1"/>
    <w:link w:val="2837"/>
    <w:qFormat/>
    <w:uiPriority w:val="0"/>
    <w:pPr>
      <w:widowControl/>
      <w:jc w:val="right"/>
    </w:pPr>
    <w:rPr>
      <w:rFonts w:ascii="宋体" w:hAnsi="Times New Roman" w:cs="Times New Roman"/>
      <w:b/>
      <w:color w:val="000000"/>
      <w:kern w:val="0"/>
      <w:sz w:val="28"/>
      <w:szCs w:val="28"/>
    </w:rPr>
  </w:style>
  <w:style w:type="character" w:customStyle="1" w:styleId="2837">
    <w:name w:val="表头1 Char"/>
    <w:link w:val="2836"/>
    <w:qFormat/>
    <w:uiPriority w:val="0"/>
    <w:rPr>
      <w:rFonts w:ascii="宋体" w:hAnsi="Times New Roman" w:cs="Times New Roman"/>
      <w:b/>
      <w:color w:val="000000"/>
      <w:kern w:val="0"/>
      <w:sz w:val="28"/>
      <w:szCs w:val="28"/>
    </w:rPr>
  </w:style>
  <w:style w:type="paragraph" w:customStyle="1" w:styleId="2838">
    <w:name w:val="表格一"/>
    <w:basedOn w:val="2836"/>
    <w:qFormat/>
    <w:uiPriority w:val="0"/>
    <w:pPr>
      <w:spacing w:line="240" w:lineRule="exact"/>
      <w:jc w:val="center"/>
    </w:pPr>
    <w:rPr>
      <w:b w:val="0"/>
      <w:sz w:val="18"/>
      <w:szCs w:val="18"/>
    </w:rPr>
  </w:style>
  <w:style w:type="character" w:customStyle="1" w:styleId="2839">
    <w:name w:val="pv110title"/>
    <w:qFormat/>
    <w:uiPriority w:val="0"/>
  </w:style>
  <w:style w:type="paragraph" w:customStyle="1" w:styleId="2840">
    <w:name w:val="Char Char4 Char"/>
    <w:basedOn w:val="1"/>
    <w:qFormat/>
    <w:uiPriority w:val="0"/>
    <w:pPr>
      <w:widowControl/>
      <w:spacing w:line="360" w:lineRule="auto"/>
      <w:ind w:firstLine="200" w:firstLineChars="200"/>
      <w:jc w:val="left"/>
    </w:pPr>
    <w:rPr>
      <w:rFonts w:ascii="宋体" w:hAnsi="宋体" w:cs="宋体"/>
      <w:kern w:val="0"/>
      <w:sz w:val="24"/>
      <w:szCs w:val="24"/>
    </w:rPr>
  </w:style>
  <w:style w:type="character" w:customStyle="1" w:styleId="2841">
    <w:name w:val="frd1"/>
    <w:qFormat/>
    <w:uiPriority w:val="0"/>
    <w:rPr>
      <w:color w:val="E10900"/>
    </w:rPr>
  </w:style>
  <w:style w:type="character" w:customStyle="1" w:styleId="2842">
    <w:name w:val="标题 Char1"/>
    <w:qFormat/>
    <w:uiPriority w:val="0"/>
    <w:rPr>
      <w:rFonts w:ascii="Arial" w:hAnsi="Arial" w:eastAsia="宋体" w:cs="Arial"/>
      <w:b/>
      <w:bCs/>
      <w:kern w:val="2"/>
      <w:sz w:val="32"/>
      <w:szCs w:val="32"/>
      <w:lang w:val="en-US" w:eastAsia="zh-CN" w:bidi="ar-SA"/>
    </w:rPr>
  </w:style>
  <w:style w:type="paragraph" w:customStyle="1" w:styleId="2843">
    <w:name w:val="正文内容1"/>
    <w:basedOn w:val="1"/>
    <w:next w:val="1"/>
    <w:qFormat/>
    <w:uiPriority w:val="0"/>
    <w:pPr>
      <w:widowControl/>
      <w:spacing w:beforeLines="50" w:afterLines="50" w:line="360" w:lineRule="auto"/>
      <w:ind w:firstLine="200" w:firstLineChars="200"/>
      <w:jc w:val="left"/>
    </w:pPr>
    <w:rPr>
      <w:rFonts w:ascii="Times New Roman" w:hAnsi="Times New Roman" w:eastAsia="仿宋_GB2312" w:cs="宋体"/>
      <w:color w:val="000000"/>
      <w:kern w:val="0"/>
      <w:sz w:val="28"/>
      <w:szCs w:val="36"/>
    </w:rPr>
  </w:style>
  <w:style w:type="paragraph" w:customStyle="1" w:styleId="2844">
    <w:name w:val="正文首行缩进:2字符"/>
    <w:basedOn w:val="1"/>
    <w:qFormat/>
    <w:uiPriority w:val="0"/>
    <w:pPr>
      <w:widowControl/>
      <w:ind w:firstLine="560" w:firstLineChars="200"/>
      <w:jc w:val="left"/>
    </w:pPr>
    <w:rPr>
      <w:rFonts w:ascii="Times New Roman" w:hAnsi="Times New Roman" w:cs="宋体"/>
      <w:kern w:val="0"/>
      <w:sz w:val="28"/>
      <w:szCs w:val="20"/>
    </w:rPr>
  </w:style>
  <w:style w:type="character" w:customStyle="1" w:styleId="2845">
    <w:name w:val="postbody"/>
    <w:qFormat/>
    <w:uiPriority w:val="0"/>
  </w:style>
  <w:style w:type="paragraph" w:customStyle="1" w:styleId="2846">
    <w:name w:val="正文（标题5下正文）"/>
    <w:basedOn w:val="1"/>
    <w:qFormat/>
    <w:uiPriority w:val="0"/>
    <w:pPr>
      <w:widowControl/>
      <w:tabs>
        <w:tab w:val="left" w:pos="0"/>
      </w:tabs>
      <w:spacing w:after="100" w:afterAutospacing="1" w:line="440" w:lineRule="atLeast"/>
      <w:ind w:firstLine="540" w:firstLineChars="225"/>
      <w:jc w:val="left"/>
    </w:pPr>
    <w:rPr>
      <w:rFonts w:ascii="宋体" w:hAnsi="宋体" w:cs="宋体"/>
      <w:bCs/>
      <w:kern w:val="0"/>
      <w:sz w:val="24"/>
      <w:szCs w:val="24"/>
    </w:rPr>
  </w:style>
  <w:style w:type="character" w:customStyle="1" w:styleId="2847">
    <w:name w:val="postbody1"/>
    <w:qFormat/>
    <w:uiPriority w:val="0"/>
    <w:rPr>
      <w:sz w:val="28"/>
      <w:szCs w:val="28"/>
    </w:rPr>
  </w:style>
  <w:style w:type="paragraph" w:customStyle="1" w:styleId="2848">
    <w:name w:val="无悬挂正文5号"/>
    <w:basedOn w:val="1"/>
    <w:qFormat/>
    <w:uiPriority w:val="0"/>
    <w:pPr>
      <w:widowControl/>
      <w:jc w:val="center"/>
    </w:pPr>
    <w:rPr>
      <w:rFonts w:ascii="Times New Roman" w:hAnsi="Times New Roman" w:cs="宋体"/>
      <w:kern w:val="0"/>
    </w:rPr>
  </w:style>
  <w:style w:type="paragraph" w:customStyle="1" w:styleId="2849">
    <w:name w:val="文件"/>
    <w:basedOn w:val="1"/>
    <w:qFormat/>
    <w:uiPriority w:val="0"/>
    <w:pPr>
      <w:widowControl/>
      <w:adjustRightInd w:val="0"/>
      <w:spacing w:after="120" w:line="360" w:lineRule="auto"/>
      <w:jc w:val="left"/>
    </w:pPr>
    <w:rPr>
      <w:rFonts w:ascii="黑体" w:hAnsi="Times New Roman" w:eastAsia="黑体" w:cs="宋体"/>
      <w:kern w:val="0"/>
      <w:sz w:val="28"/>
      <w:szCs w:val="20"/>
    </w:rPr>
  </w:style>
  <w:style w:type="paragraph" w:customStyle="1" w:styleId="2850">
    <w:name w:val="Char2 Char Char Char Char Char Char1 Char Char Char Char Char Char1"/>
    <w:basedOn w:val="1"/>
    <w:qFormat/>
    <w:uiPriority w:val="0"/>
    <w:pPr>
      <w:widowControl/>
      <w:spacing w:line="360" w:lineRule="auto"/>
      <w:ind w:firstLine="200" w:firstLineChars="200"/>
      <w:jc w:val="left"/>
    </w:pPr>
    <w:rPr>
      <w:rFonts w:ascii="宋体" w:hAnsi="宋体" w:cs="宋体"/>
      <w:kern w:val="0"/>
      <w:sz w:val="24"/>
      <w:szCs w:val="24"/>
    </w:rPr>
  </w:style>
  <w:style w:type="character" w:customStyle="1" w:styleId="2851">
    <w:name w:val="Char Char181"/>
    <w:qFormat/>
    <w:uiPriority w:val="0"/>
    <w:rPr>
      <w:rFonts w:eastAsia="黑体"/>
      <w:kern w:val="44"/>
      <w:sz w:val="30"/>
      <w:lang w:val="en-US" w:eastAsia="zh-CN" w:bidi="ar-SA"/>
    </w:rPr>
  </w:style>
  <w:style w:type="character" w:customStyle="1" w:styleId="2852">
    <w:name w:val="Char Char171"/>
    <w:qFormat/>
    <w:uiPriority w:val="0"/>
    <w:rPr>
      <w:rFonts w:ascii="Arial" w:hAnsi="Arial" w:eastAsia="黑体"/>
      <w:sz w:val="28"/>
      <w:lang w:val="en-US" w:eastAsia="zh-CN" w:bidi="ar-SA"/>
    </w:rPr>
  </w:style>
  <w:style w:type="character" w:customStyle="1" w:styleId="2853">
    <w:name w:val="Char Char161"/>
    <w:qFormat/>
    <w:uiPriority w:val="0"/>
    <w:rPr>
      <w:rFonts w:eastAsia="黑体"/>
      <w:sz w:val="28"/>
      <w:lang w:val="en-US" w:eastAsia="zh-CN" w:bidi="ar-SA"/>
    </w:rPr>
  </w:style>
  <w:style w:type="character" w:customStyle="1" w:styleId="2854">
    <w:name w:val="ourfont21"/>
    <w:qFormat/>
    <w:uiPriority w:val="0"/>
    <w:rPr>
      <w:spacing w:val="220"/>
      <w:sz w:val="18"/>
      <w:szCs w:val="18"/>
    </w:rPr>
  </w:style>
  <w:style w:type="character" w:customStyle="1" w:styleId="2855">
    <w:name w:val="c141"/>
    <w:qFormat/>
    <w:uiPriority w:val="0"/>
    <w:rPr>
      <w:rFonts w:hint="default"/>
      <w:color w:val="733900"/>
      <w:sz w:val="17"/>
      <w:szCs w:val="17"/>
    </w:rPr>
  </w:style>
  <w:style w:type="character" w:customStyle="1" w:styleId="2856">
    <w:name w:val="style141"/>
    <w:qFormat/>
    <w:uiPriority w:val="0"/>
    <w:rPr>
      <w:sz w:val="23"/>
      <w:szCs w:val="23"/>
    </w:rPr>
  </w:style>
  <w:style w:type="paragraph" w:customStyle="1" w:styleId="2857">
    <w:name w:val="Char41"/>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2858">
    <w:name w:val="样式 标题 2 +"/>
    <w:basedOn w:val="4"/>
    <w:link w:val="3100"/>
    <w:qFormat/>
    <w:uiPriority w:val="0"/>
    <w:pPr>
      <w:tabs>
        <w:tab w:val="left" w:pos="-108"/>
      </w:tabs>
      <w:spacing w:before="10" w:line="300" w:lineRule="auto"/>
    </w:pPr>
    <w:rPr>
      <w:rFonts w:ascii="宋体" w:cs="Times New Roman" w:eastAsiaTheme="minorEastAsia"/>
      <w:color w:val="000000" w:themeColor="text1"/>
      <w:spacing w:val="-8"/>
      <w:kern w:val="0"/>
      <w:szCs w:val="20"/>
      <w14:textFill>
        <w14:solidFill>
          <w14:schemeClr w14:val="tx1"/>
        </w14:solidFill>
      </w14:textFill>
    </w:rPr>
  </w:style>
  <w:style w:type="character" w:customStyle="1" w:styleId="2859">
    <w:name w:val="sun icon texticon"/>
    <w:qFormat/>
    <w:uiPriority w:val="0"/>
  </w:style>
  <w:style w:type="character" w:customStyle="1" w:styleId="2860">
    <w:name w:val="table-xiayou"/>
    <w:qFormat/>
    <w:uiPriority w:val="0"/>
  </w:style>
  <w:style w:type="character" w:customStyle="1" w:styleId="2861">
    <w:name w:val="menu"/>
    <w:qFormat/>
    <w:uiPriority w:val="0"/>
  </w:style>
  <w:style w:type="paragraph" w:customStyle="1" w:styleId="2862">
    <w:name w:val="样式 宋体 8 磅 居中"/>
    <w:basedOn w:val="1"/>
    <w:qFormat/>
    <w:uiPriority w:val="0"/>
    <w:pPr>
      <w:widowControl/>
      <w:spacing w:line="240" w:lineRule="atLeast"/>
      <w:jc w:val="center"/>
    </w:pPr>
    <w:rPr>
      <w:rFonts w:ascii="宋体" w:hAnsi="宋体" w:cs="宋体"/>
      <w:kern w:val="0"/>
      <w:sz w:val="16"/>
      <w:szCs w:val="20"/>
    </w:rPr>
  </w:style>
  <w:style w:type="paragraph" w:customStyle="1" w:styleId="2863">
    <w:name w:val="Char Char3 Char Char"/>
    <w:basedOn w:val="26"/>
    <w:qFormat/>
    <w:uiPriority w:val="0"/>
    <w:pPr>
      <w:widowControl/>
      <w:shd w:val="clear" w:color="auto" w:fill="000080"/>
      <w:spacing w:beforeLines="10" w:line="436" w:lineRule="exact"/>
      <w:ind w:left="357" w:firstLine="0" w:firstLineChars="0"/>
      <w:outlineLvl w:val="3"/>
    </w:pPr>
    <w:rPr>
      <w:rFonts w:ascii="Tahoma" w:hAnsi="Tahoma" w:cs="宋体" w:eastAsiaTheme="minorEastAsia"/>
      <w:b/>
      <w:snapToGrid w:val="0"/>
      <w:kern w:val="0"/>
      <w:sz w:val="26"/>
      <w:szCs w:val="24"/>
    </w:rPr>
  </w:style>
  <w:style w:type="paragraph" w:customStyle="1" w:styleId="2864">
    <w:name w:val="Char Char Char Char Char Char Char Char"/>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2865">
    <w:name w:val="Char1 Char Char2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cs="宋体"/>
      <w:kern w:val="0"/>
      <w:sz w:val="30"/>
      <w:szCs w:val="30"/>
      <w:lang w:eastAsia="en-US"/>
    </w:rPr>
  </w:style>
  <w:style w:type="character" w:customStyle="1" w:styleId="2866">
    <w:name w:val="名录 Char Char"/>
    <w:link w:val="1958"/>
    <w:qFormat/>
    <w:uiPriority w:val="0"/>
    <w:rPr>
      <w:rFonts w:ascii="Times New Roman" w:hAnsi="Times New Roman" w:cs="Times New Roman"/>
      <w:spacing w:val="6"/>
      <w:szCs w:val="24"/>
    </w:rPr>
  </w:style>
  <w:style w:type="paragraph" w:customStyle="1" w:styleId="2867">
    <w:name w:val="名录 + 倾斜"/>
    <w:basedOn w:val="1958"/>
    <w:link w:val="2868"/>
    <w:qFormat/>
    <w:uiPriority w:val="0"/>
    <w:pPr>
      <w:spacing w:line="240" w:lineRule="auto"/>
      <w:jc w:val="both"/>
    </w:pPr>
    <w:rPr>
      <w:i/>
      <w:iCs/>
      <w:szCs w:val="21"/>
    </w:rPr>
  </w:style>
  <w:style w:type="character" w:customStyle="1" w:styleId="2868">
    <w:name w:val="名录 + 倾斜 Char Char"/>
    <w:link w:val="2867"/>
    <w:qFormat/>
    <w:uiPriority w:val="0"/>
    <w:rPr>
      <w:rFonts w:ascii="Times New Roman" w:hAnsi="Times New Roman" w:cs="Times New Roman"/>
      <w:i/>
      <w:iCs/>
      <w:spacing w:val="6"/>
      <w:szCs w:val="21"/>
    </w:rPr>
  </w:style>
  <w:style w:type="paragraph" w:customStyle="1" w:styleId="2869">
    <w:name w:val="样式 样式 加粗 + 首行缩进:  10.07 字符 段前: 0.5 行1"/>
    <w:basedOn w:val="1"/>
    <w:qFormat/>
    <w:uiPriority w:val="0"/>
    <w:pPr>
      <w:spacing w:beforeLines="50" w:line="480" w:lineRule="auto"/>
      <w:ind w:firstLine="2426" w:firstLineChars="1007"/>
      <w:jc w:val="left"/>
    </w:pPr>
    <w:rPr>
      <w:rFonts w:ascii="Times New Roman" w:hAnsi="Times New Roman" w:cs="宋体"/>
      <w:b/>
      <w:bCs/>
      <w:sz w:val="24"/>
      <w:szCs w:val="20"/>
    </w:rPr>
  </w:style>
  <w:style w:type="paragraph" w:customStyle="1" w:styleId="2870">
    <w:name w:val="样式 首行缩进:  2 字符2"/>
    <w:basedOn w:val="1"/>
    <w:qFormat/>
    <w:uiPriority w:val="0"/>
    <w:pPr>
      <w:spacing w:line="360" w:lineRule="auto"/>
      <w:ind w:firstLine="480" w:firstLineChars="200"/>
      <w:jc w:val="left"/>
    </w:pPr>
    <w:rPr>
      <w:rFonts w:ascii="Times New Roman" w:hAnsi="Times New Roman" w:cs="Times New Roman"/>
      <w:snapToGrid w:val="0"/>
      <w:color w:val="FF0000"/>
      <w:kern w:val="0"/>
      <w:sz w:val="24"/>
      <w:szCs w:val="24"/>
      <w:u w:color="000000"/>
    </w:rPr>
  </w:style>
  <w:style w:type="paragraph" w:customStyle="1" w:styleId="2871">
    <w:name w:val="Char Char4 Char Char Char Char1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character" w:customStyle="1" w:styleId="2872">
    <w:name w:val="gray12 c_time"/>
    <w:qFormat/>
    <w:uiPriority w:val="0"/>
  </w:style>
  <w:style w:type="paragraph" w:customStyle="1" w:styleId="2873">
    <w:name w:val="样式 首行缩进:  0.74 厘米 段前: 7.8 磅 段后: 7.8 磅 行距: 固定值 18 磅"/>
    <w:basedOn w:val="1"/>
    <w:qFormat/>
    <w:uiPriority w:val="0"/>
    <w:pPr>
      <w:spacing w:line="400" w:lineRule="exact"/>
      <w:ind w:firstLine="420"/>
      <w:jc w:val="left"/>
    </w:pPr>
    <w:rPr>
      <w:rFonts w:ascii="Times New Roman" w:hAnsi="Times New Roman" w:cs="宋体"/>
    </w:rPr>
  </w:style>
  <w:style w:type="paragraph" w:customStyle="1" w:styleId="2874">
    <w:name w:val="二级标题 + 段前: 4 行"/>
    <w:basedOn w:val="834"/>
    <w:qFormat/>
    <w:uiPriority w:val="0"/>
    <w:pPr>
      <w:keepNext/>
      <w:keepLines/>
      <w:spacing w:before="400" w:line="360" w:lineRule="auto"/>
      <w:jc w:val="both"/>
    </w:pPr>
    <w:rPr>
      <w:rFonts w:ascii="宋体" w:hAnsi="宋体" w:eastAsia="黑体" w:cs="宋体"/>
      <w:b w:val="0"/>
      <w:bCs/>
      <w:sz w:val="28"/>
      <w:szCs w:val="20"/>
    </w:rPr>
  </w:style>
  <w:style w:type="paragraph" w:customStyle="1" w:styleId="2875">
    <w:name w:val="正文体"/>
    <w:basedOn w:val="1"/>
    <w:link w:val="2876"/>
    <w:qFormat/>
    <w:uiPriority w:val="0"/>
    <w:pPr>
      <w:widowControl/>
      <w:spacing w:line="360" w:lineRule="auto"/>
      <w:ind w:firstLine="200" w:firstLineChars="200"/>
      <w:jc w:val="left"/>
    </w:pPr>
    <w:rPr>
      <w:rFonts w:ascii="宋体" w:hAnsi="宋体" w:cs="Times New Roman"/>
      <w:kern w:val="0"/>
      <w:sz w:val="24"/>
      <w:szCs w:val="20"/>
    </w:rPr>
  </w:style>
  <w:style w:type="character" w:customStyle="1" w:styleId="2876">
    <w:name w:val="正文体 Char"/>
    <w:link w:val="2875"/>
    <w:qFormat/>
    <w:uiPriority w:val="0"/>
    <w:rPr>
      <w:rFonts w:ascii="宋体" w:hAnsi="宋体" w:cs="Times New Roman"/>
      <w:kern w:val="0"/>
      <w:sz w:val="24"/>
      <w:szCs w:val="20"/>
    </w:rPr>
  </w:style>
  <w:style w:type="paragraph" w:customStyle="1" w:styleId="2877">
    <w:name w:val="样式 表头 + 段后: 4 行"/>
    <w:basedOn w:val="45"/>
    <w:qFormat/>
    <w:uiPriority w:val="0"/>
    <w:pPr>
      <w:spacing w:beforeLines="10" w:after="60"/>
      <w:jc w:val="center"/>
    </w:pPr>
    <w:rPr>
      <w:rFonts w:hAnsi="宋体" w:cs="宋体" w:eastAsiaTheme="minorEastAsia"/>
      <w:b/>
      <w:bCs/>
      <w:snapToGrid w:val="0"/>
      <w:kern w:val="0"/>
      <w:sz w:val="20"/>
      <w:szCs w:val="20"/>
    </w:rPr>
  </w:style>
  <w:style w:type="paragraph" w:customStyle="1" w:styleId="2878">
    <w:name w:val="条例"/>
    <w:basedOn w:val="1"/>
    <w:qFormat/>
    <w:uiPriority w:val="0"/>
    <w:pPr>
      <w:spacing w:line="360" w:lineRule="auto"/>
      <w:jc w:val="left"/>
    </w:pPr>
    <w:rPr>
      <w:rFonts w:ascii="宋体" w:hAnsi="宋体" w:cs="宋体"/>
      <w:sz w:val="24"/>
      <w:szCs w:val="20"/>
    </w:rPr>
  </w:style>
  <w:style w:type="paragraph" w:customStyle="1" w:styleId="2879">
    <w:name w:val="正文-第几条"/>
    <w:basedOn w:val="1"/>
    <w:qFormat/>
    <w:uiPriority w:val="0"/>
    <w:pPr>
      <w:spacing w:line="360" w:lineRule="auto"/>
      <w:jc w:val="left"/>
    </w:pPr>
    <w:rPr>
      <w:rFonts w:ascii="Times New Roman" w:hAnsi="Times New Roman" w:cs="Times New Roman"/>
      <w:b/>
      <w:sz w:val="24"/>
      <w:szCs w:val="24"/>
    </w:rPr>
  </w:style>
  <w:style w:type="paragraph" w:customStyle="1" w:styleId="2880">
    <w:name w:val="样式 样式 样式 样式 样式 段后: 0.5 行 + 段后: 0.5 行 + 段后: 0.5 行 + 段后: 0.5 行 + 段..."/>
    <w:basedOn w:val="1"/>
    <w:qFormat/>
    <w:uiPriority w:val="0"/>
    <w:pPr>
      <w:tabs>
        <w:tab w:val="left" w:pos="420"/>
      </w:tabs>
      <w:spacing w:afterLines="50" w:line="360" w:lineRule="auto"/>
      <w:ind w:left="420" w:hanging="420"/>
      <w:jc w:val="left"/>
    </w:pPr>
    <w:rPr>
      <w:rFonts w:ascii="Times New Roman" w:hAnsi="Times New Roman" w:cs="宋体"/>
      <w:sz w:val="28"/>
      <w:szCs w:val="20"/>
    </w:rPr>
  </w:style>
  <w:style w:type="paragraph" w:customStyle="1" w:styleId="2881">
    <w:name w:val="样式 小四 左 行距: 1.5 倍行距"/>
    <w:basedOn w:val="1"/>
    <w:qFormat/>
    <w:uiPriority w:val="0"/>
    <w:pPr>
      <w:spacing w:line="360" w:lineRule="auto"/>
      <w:ind w:left="514" w:leftChars="514"/>
      <w:jc w:val="left"/>
    </w:pPr>
    <w:rPr>
      <w:rFonts w:ascii="Times New Roman" w:hAnsi="Times New Roman" w:cs="宋体"/>
      <w:sz w:val="24"/>
      <w:szCs w:val="20"/>
    </w:rPr>
  </w:style>
  <w:style w:type="paragraph" w:customStyle="1" w:styleId="2882">
    <w:name w:val="李恒正文"/>
    <w:basedOn w:val="1"/>
    <w:qFormat/>
    <w:uiPriority w:val="0"/>
    <w:pPr>
      <w:spacing w:line="360" w:lineRule="auto"/>
      <w:ind w:firstLine="480" w:firstLineChars="200"/>
      <w:jc w:val="left"/>
    </w:pPr>
    <w:rPr>
      <w:rFonts w:ascii="Times New Roman" w:hAnsi="Times New Roman" w:cs="宋体"/>
      <w:sz w:val="24"/>
      <w:szCs w:val="20"/>
    </w:rPr>
  </w:style>
  <w:style w:type="paragraph" w:customStyle="1" w:styleId="2883">
    <w:name w:val="样式 正文首行缩进 2 + 段后: 15.6 磅"/>
    <w:basedOn w:val="87"/>
    <w:qFormat/>
    <w:uiPriority w:val="0"/>
    <w:pPr>
      <w:tabs>
        <w:tab w:val="left" w:pos="1802"/>
      </w:tabs>
      <w:adjustRightInd/>
      <w:spacing w:beforeLines="0" w:after="0" w:line="360" w:lineRule="auto"/>
      <w:ind w:left="1802" w:leftChars="0" w:hanging="1200" w:firstLineChars="0"/>
    </w:pPr>
    <w:rPr>
      <w:rFonts w:ascii="宋体" w:hAnsi="宋体"/>
      <w:bCs/>
      <w:snapToGrid/>
      <w:color w:val="FF0000"/>
      <w:szCs w:val="28"/>
    </w:rPr>
  </w:style>
  <w:style w:type="character" w:customStyle="1" w:styleId="2884">
    <w:name w:val="bt"/>
    <w:qFormat/>
    <w:uiPriority w:val="0"/>
  </w:style>
  <w:style w:type="character" w:customStyle="1" w:styleId="2885">
    <w:name w:val="14pt15h1"/>
    <w:qFormat/>
    <w:uiPriority w:val="0"/>
    <w:rPr>
      <w:sz w:val="28"/>
      <w:szCs w:val="28"/>
    </w:rPr>
  </w:style>
  <w:style w:type="paragraph" w:customStyle="1" w:styleId="2886">
    <w:name w:val="默认段落字体 Para Char Char Char Char Char Char Char Char Char Char Char Char Char Char Char Char Char Char Char"/>
    <w:basedOn w:val="1"/>
    <w:qFormat/>
    <w:uiPriority w:val="0"/>
    <w:pPr>
      <w:spacing w:line="480" w:lineRule="exact"/>
      <w:ind w:firstLine="200" w:firstLineChars="200"/>
      <w:jc w:val="left"/>
    </w:pPr>
    <w:rPr>
      <w:rFonts w:ascii="宋体" w:hAnsi="宋体" w:cs="宋体"/>
      <w:sz w:val="28"/>
      <w:szCs w:val="24"/>
    </w:rPr>
  </w:style>
  <w:style w:type="paragraph" w:customStyle="1" w:styleId="2887">
    <w:name w:val="标准格式"/>
    <w:basedOn w:val="1"/>
    <w:link w:val="2888"/>
    <w:qFormat/>
    <w:uiPriority w:val="0"/>
    <w:pPr>
      <w:spacing w:line="480" w:lineRule="exact"/>
      <w:ind w:firstLine="200" w:firstLineChars="200"/>
      <w:jc w:val="left"/>
    </w:pPr>
    <w:rPr>
      <w:rFonts w:ascii="Times New Roman" w:hAnsi="Times New Roman" w:cs="Times New Roman"/>
      <w:color w:val="0000FF"/>
      <w:sz w:val="28"/>
      <w:szCs w:val="20"/>
    </w:rPr>
  </w:style>
  <w:style w:type="character" w:customStyle="1" w:styleId="2888">
    <w:name w:val="标准格式 Char"/>
    <w:link w:val="2887"/>
    <w:qFormat/>
    <w:uiPriority w:val="0"/>
    <w:rPr>
      <w:rFonts w:ascii="Times New Roman" w:hAnsi="Times New Roman" w:cs="Times New Roman"/>
      <w:color w:val="0000FF"/>
      <w:sz w:val="28"/>
      <w:szCs w:val="20"/>
    </w:rPr>
  </w:style>
  <w:style w:type="paragraph" w:customStyle="1" w:styleId="2889">
    <w:name w:val="Char Char Char1 Char Char Char Char Char Char Char Char Char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8"/>
    </w:rPr>
  </w:style>
  <w:style w:type="character" w:customStyle="1" w:styleId="2890">
    <w:name w:val="small1"/>
    <w:qFormat/>
    <w:uiPriority w:val="0"/>
    <w:rPr>
      <w:sz w:val="18"/>
      <w:szCs w:val="18"/>
    </w:rPr>
  </w:style>
  <w:style w:type="character" w:customStyle="1" w:styleId="2891">
    <w:name w:val="p91"/>
    <w:qFormat/>
    <w:uiPriority w:val="0"/>
    <w:rPr>
      <w:rFonts w:hint="eastAsia" w:ascii="宋体" w:hAnsi="宋体" w:eastAsia="宋体"/>
      <w:sz w:val="18"/>
      <w:szCs w:val="18"/>
    </w:rPr>
  </w:style>
  <w:style w:type="character" w:customStyle="1" w:styleId="2892">
    <w:name w:val="defaultfont1"/>
    <w:qFormat/>
    <w:uiPriority w:val="0"/>
  </w:style>
  <w:style w:type="character" w:customStyle="1" w:styleId="2893">
    <w:name w:val="main1"/>
    <w:qFormat/>
    <w:uiPriority w:val="0"/>
    <w:rPr>
      <w:color w:val="333333"/>
      <w:sz w:val="18"/>
      <w:szCs w:val="18"/>
    </w:rPr>
  </w:style>
  <w:style w:type="character" w:customStyle="1" w:styleId="2894">
    <w:name w:val="f221"/>
    <w:qFormat/>
    <w:uiPriority w:val="0"/>
    <w:rPr>
      <w:b/>
      <w:sz w:val="33"/>
    </w:rPr>
  </w:style>
  <w:style w:type="paragraph" w:customStyle="1" w:styleId="2895">
    <w:name w:val="_Style 14"/>
    <w:basedOn w:val="1"/>
    <w:next w:val="34"/>
    <w:qFormat/>
    <w:uiPriority w:val="0"/>
    <w:pPr>
      <w:jc w:val="left"/>
    </w:pPr>
    <w:rPr>
      <w:rFonts w:ascii="Times New Roman" w:hAnsi="Times New Roman" w:cs="Times New Roman"/>
      <w:sz w:val="28"/>
      <w:szCs w:val="20"/>
    </w:rPr>
  </w:style>
  <w:style w:type="paragraph" w:customStyle="1" w:styleId="2896">
    <w:name w:val="Char Char5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2897">
    <w:name w:val="标题三"/>
    <w:basedOn w:val="1"/>
    <w:qFormat/>
    <w:uiPriority w:val="0"/>
    <w:pPr>
      <w:jc w:val="left"/>
    </w:pPr>
    <w:rPr>
      <w:rFonts w:ascii="楷体_GB2312" w:hAnsi="Times New Roman" w:eastAsia="楷体_GB2312" w:cs="Times New Roman"/>
      <w:b/>
      <w:color w:val="000000"/>
      <w:sz w:val="28"/>
      <w:szCs w:val="28"/>
    </w:rPr>
  </w:style>
  <w:style w:type="paragraph" w:customStyle="1" w:styleId="2898">
    <w:name w:val="Char5 Char Char"/>
    <w:basedOn w:val="1"/>
    <w:qFormat/>
    <w:uiPriority w:val="0"/>
    <w:pPr>
      <w:spacing w:line="360" w:lineRule="auto"/>
      <w:ind w:firstLine="200" w:firstLineChars="200"/>
      <w:jc w:val="left"/>
    </w:pPr>
    <w:rPr>
      <w:rFonts w:ascii="宋体" w:hAnsi="宋体" w:cs="宋体"/>
      <w:sz w:val="24"/>
      <w:szCs w:val="24"/>
    </w:rPr>
  </w:style>
  <w:style w:type="character" w:customStyle="1" w:styleId="2899">
    <w:name w:val="1标题2 Char"/>
    <w:link w:val="1974"/>
    <w:qFormat/>
    <w:uiPriority w:val="0"/>
    <w:rPr>
      <w:rFonts w:ascii="Times New Roman" w:hAnsi="Times New Roman" w:eastAsia="宋体" w:cs="Times New Roman"/>
      <w:b/>
      <w:bCs/>
      <w:color w:val="000000" w:themeColor="text1"/>
      <w:kern w:val="0"/>
      <w:sz w:val="30"/>
      <w:szCs w:val="32"/>
      <w14:textFill>
        <w14:solidFill>
          <w14:schemeClr w14:val="tx1"/>
        </w14:solidFill>
      </w14:textFill>
    </w:rPr>
  </w:style>
  <w:style w:type="paragraph" w:customStyle="1" w:styleId="2900">
    <w:name w:val="标准样式1"/>
    <w:qFormat/>
    <w:uiPriority w:val="0"/>
    <w:pPr>
      <w:widowControl w:val="0"/>
      <w:spacing w:line="600" w:lineRule="exact"/>
      <w:ind w:firstLine="567"/>
      <w:jc w:val="both"/>
    </w:pPr>
    <w:rPr>
      <w:rFonts w:ascii="Times New Roman" w:hAnsi="Times New Roman" w:eastAsia="宋体" w:cs="Times New Roman"/>
      <w:sz w:val="28"/>
      <w:lang w:val="en-US" w:eastAsia="zh-CN" w:bidi="ar-SA"/>
    </w:rPr>
  </w:style>
  <w:style w:type="character" w:customStyle="1" w:styleId="2901">
    <w:name w:val="标准样式 Char"/>
    <w:qFormat/>
    <w:uiPriority w:val="0"/>
    <w:rPr>
      <w:rFonts w:eastAsia="宋体"/>
      <w:sz w:val="28"/>
      <w:lang w:val="en-US" w:eastAsia="zh-CN" w:bidi="ar-SA"/>
    </w:rPr>
  </w:style>
  <w:style w:type="character" w:customStyle="1" w:styleId="2902">
    <w:name w:val="a121"/>
    <w:qFormat/>
    <w:uiPriority w:val="0"/>
    <w:rPr>
      <w:rFonts w:hint="eastAsia" w:ascii="宋体" w:hAnsi="宋体" w:eastAsia="宋体"/>
      <w:sz w:val="21"/>
      <w:szCs w:val="21"/>
    </w:rPr>
  </w:style>
  <w:style w:type="paragraph" w:customStyle="1" w:styleId="2903">
    <w:name w:val="王迪正文"/>
    <w:basedOn w:val="1"/>
    <w:qFormat/>
    <w:uiPriority w:val="0"/>
    <w:pPr>
      <w:spacing w:line="360" w:lineRule="auto"/>
      <w:ind w:firstLine="480" w:firstLineChars="200"/>
      <w:jc w:val="left"/>
    </w:pPr>
    <w:rPr>
      <w:rFonts w:ascii="宋体" w:hAnsi="宋体" w:cs="宋体"/>
      <w:sz w:val="24"/>
      <w:szCs w:val="20"/>
    </w:rPr>
  </w:style>
  <w:style w:type="paragraph" w:customStyle="1" w:styleId="2904">
    <w:name w:val="样式 标题 1 + 左侧:  0.39 厘米"/>
    <w:basedOn w:val="3"/>
    <w:qFormat/>
    <w:uiPriority w:val="0"/>
    <w:pPr>
      <w:keepLines w:val="0"/>
      <w:widowControl w:val="0"/>
      <w:ind w:left="1644" w:hanging="1644"/>
      <w:jc w:val="left"/>
    </w:pPr>
    <w:rPr>
      <w:rFonts w:ascii="宋体" w:cs="Times New Roman"/>
      <w:b w:val="0"/>
      <w:bCs w:val="0"/>
      <w:color w:val="000000" w:themeColor="text1"/>
      <w:kern w:val="0"/>
      <w:sz w:val="30"/>
      <w:szCs w:val="20"/>
      <w14:textFill>
        <w14:solidFill>
          <w14:schemeClr w14:val="tx1"/>
        </w14:solidFill>
      </w14:textFill>
    </w:rPr>
  </w:style>
  <w:style w:type="paragraph" w:customStyle="1" w:styleId="2905">
    <w:name w:val="正文+ 首行缩进:  2 字符 Char Char"/>
    <w:basedOn w:val="1"/>
    <w:qFormat/>
    <w:uiPriority w:val="0"/>
    <w:pPr>
      <w:spacing w:line="360" w:lineRule="auto"/>
      <w:ind w:firstLine="559" w:firstLineChars="200"/>
      <w:jc w:val="left"/>
    </w:pPr>
    <w:rPr>
      <w:rFonts w:ascii="Times New Roman" w:hAnsi="Times New Roman" w:cs="宋体"/>
      <w:sz w:val="24"/>
      <w:szCs w:val="28"/>
    </w:rPr>
  </w:style>
  <w:style w:type="character" w:customStyle="1" w:styleId="2906">
    <w:name w:val="正文+ 首行缩进:  2 字符 Char Char Char"/>
    <w:qFormat/>
    <w:uiPriority w:val="0"/>
    <w:rPr>
      <w:rFonts w:ascii="幼圆" w:eastAsia="宋体" w:cs="宋体"/>
      <w:kern w:val="2"/>
      <w:sz w:val="24"/>
      <w:szCs w:val="24"/>
      <w:lang w:val="en-US" w:eastAsia="zh-CN" w:bidi="ar-SA"/>
    </w:rPr>
  </w:style>
  <w:style w:type="character" w:customStyle="1" w:styleId="2907">
    <w:name w:val="a141"/>
    <w:qFormat/>
    <w:uiPriority w:val="0"/>
    <w:rPr>
      <w:b/>
      <w:bCs/>
      <w:sz w:val="18"/>
      <w:szCs w:val="18"/>
    </w:rPr>
  </w:style>
  <w:style w:type="paragraph" w:customStyle="1" w:styleId="2908">
    <w:name w:val="正文 + 三号"/>
    <w:basedOn w:val="1"/>
    <w:qFormat/>
    <w:uiPriority w:val="0"/>
    <w:pPr>
      <w:jc w:val="left"/>
    </w:pPr>
    <w:rPr>
      <w:rFonts w:ascii="宋体" w:hAnsi="宋体" w:cs="Times New Roman"/>
      <w:sz w:val="32"/>
      <w:szCs w:val="32"/>
    </w:rPr>
  </w:style>
  <w:style w:type="paragraph" w:customStyle="1" w:styleId="2909">
    <w:name w:val="王 正文 四宋"/>
    <w:basedOn w:val="1"/>
    <w:link w:val="2910"/>
    <w:qFormat/>
    <w:uiPriority w:val="0"/>
    <w:pPr>
      <w:spacing w:line="360" w:lineRule="auto"/>
      <w:ind w:firstLine="560" w:firstLineChars="200"/>
      <w:jc w:val="left"/>
    </w:pPr>
    <w:rPr>
      <w:rFonts w:ascii="Times New Roman" w:hAnsi="Times New Roman" w:cs="Times New Roman"/>
      <w:color w:val="FF0000"/>
      <w:sz w:val="28"/>
      <w:szCs w:val="28"/>
    </w:rPr>
  </w:style>
  <w:style w:type="character" w:customStyle="1" w:styleId="2910">
    <w:name w:val="王 正文 四宋 Char"/>
    <w:link w:val="2909"/>
    <w:qFormat/>
    <w:uiPriority w:val="0"/>
    <w:rPr>
      <w:rFonts w:ascii="Times New Roman" w:hAnsi="Times New Roman" w:cs="Times New Roman"/>
      <w:color w:val="FF0000"/>
      <w:sz w:val="28"/>
      <w:szCs w:val="28"/>
    </w:rPr>
  </w:style>
  <w:style w:type="character" w:customStyle="1" w:styleId="2911">
    <w:name w:val="htd01"/>
    <w:qFormat/>
    <w:uiPriority w:val="0"/>
  </w:style>
  <w:style w:type="paragraph" w:customStyle="1" w:styleId="2912">
    <w:name w:val="正文格式"/>
    <w:basedOn w:val="1"/>
    <w:link w:val="2913"/>
    <w:qFormat/>
    <w:uiPriority w:val="0"/>
    <w:pPr>
      <w:spacing w:line="360" w:lineRule="auto"/>
      <w:ind w:firstLine="482"/>
      <w:jc w:val="left"/>
    </w:pPr>
    <w:rPr>
      <w:rFonts w:ascii="宋体" w:hAnsi="宋体" w:cs="Times New Roman"/>
      <w:sz w:val="24"/>
      <w:szCs w:val="24"/>
    </w:rPr>
  </w:style>
  <w:style w:type="character" w:customStyle="1" w:styleId="2913">
    <w:name w:val="正文格式 Char"/>
    <w:link w:val="2912"/>
    <w:qFormat/>
    <w:uiPriority w:val="0"/>
    <w:rPr>
      <w:rFonts w:ascii="宋体" w:hAnsi="宋体" w:cs="Times New Roman"/>
      <w:sz w:val="24"/>
      <w:szCs w:val="24"/>
    </w:rPr>
  </w:style>
  <w:style w:type="character" w:customStyle="1" w:styleId="2914">
    <w:name w:val="Char Char Char2 Char Char Char"/>
    <w:link w:val="2780"/>
    <w:qFormat/>
    <w:uiPriority w:val="0"/>
    <w:rPr>
      <w:rFonts w:ascii="宋体" w:hAnsi="宋体" w:cs="Times New Roman"/>
      <w:sz w:val="24"/>
      <w:szCs w:val="24"/>
    </w:rPr>
  </w:style>
  <w:style w:type="character" w:customStyle="1" w:styleId="2915">
    <w:name w:val="Char Char2 Char Char Char Char Char Char Char Char Char Char Char"/>
    <w:link w:val="2691"/>
    <w:qFormat/>
    <w:uiPriority w:val="0"/>
    <w:rPr>
      <w:rFonts w:ascii="宋体" w:hAnsi="宋体" w:cs="Times New Roman"/>
      <w:sz w:val="24"/>
      <w:szCs w:val="24"/>
    </w:rPr>
  </w:style>
  <w:style w:type="paragraph" w:customStyle="1" w:styleId="2916">
    <w:name w:val="表格居中"/>
    <w:basedOn w:val="1"/>
    <w:qFormat/>
    <w:uiPriority w:val="0"/>
    <w:pPr>
      <w:overflowPunct w:val="0"/>
      <w:jc w:val="left"/>
    </w:pPr>
    <w:rPr>
      <w:rFonts w:ascii="宋体" w:hAnsi="宋体" w:cs="Times New Roman"/>
      <w:kern w:val="0"/>
      <w:sz w:val="18"/>
      <w:szCs w:val="18"/>
    </w:rPr>
  </w:style>
  <w:style w:type="paragraph" w:customStyle="1" w:styleId="2917">
    <w:name w:val="图表内文"/>
    <w:basedOn w:val="1"/>
    <w:qFormat/>
    <w:uiPriority w:val="0"/>
    <w:pPr>
      <w:spacing w:line="360" w:lineRule="exact"/>
      <w:jc w:val="center"/>
    </w:pPr>
    <w:rPr>
      <w:rFonts w:ascii="Times New Roman" w:hAnsi="Times New Roman" w:cs="Times New Roman"/>
      <w:sz w:val="24"/>
      <w:szCs w:val="24"/>
    </w:rPr>
  </w:style>
  <w:style w:type="paragraph" w:customStyle="1" w:styleId="2918">
    <w:name w:val="报告插图"/>
    <w:basedOn w:val="1524"/>
    <w:next w:val="1524"/>
    <w:qFormat/>
    <w:uiPriority w:val="0"/>
    <w:pPr>
      <w:ind w:firstLine="617"/>
    </w:pPr>
    <w:rPr>
      <w:rFonts w:hAnsi="宋体"/>
      <w:b/>
      <w:color w:val="auto"/>
      <w:kern w:val="0"/>
      <w:sz w:val="28"/>
      <w:szCs w:val="28"/>
    </w:rPr>
  </w:style>
  <w:style w:type="paragraph" w:customStyle="1" w:styleId="2919">
    <w:name w:val="样式 目录 4 +"/>
    <w:basedOn w:val="1"/>
    <w:qFormat/>
    <w:uiPriority w:val="0"/>
    <w:pPr>
      <w:tabs>
        <w:tab w:val="left" w:pos="2415"/>
        <w:tab w:val="right" w:leader="dot" w:pos="9060"/>
      </w:tabs>
      <w:spacing w:line="360" w:lineRule="auto"/>
      <w:ind w:left="300" w:leftChars="300" w:firstLine="480" w:firstLineChars="200"/>
      <w:jc w:val="left"/>
    </w:pPr>
    <w:rPr>
      <w:rFonts w:ascii="Times New Roman" w:hAnsi="Times New Roman" w:cs="Times New Roman"/>
      <w:kern w:val="0"/>
      <w:sz w:val="28"/>
      <w:szCs w:val="20"/>
    </w:rPr>
  </w:style>
  <w:style w:type="paragraph" w:customStyle="1" w:styleId="2920">
    <w:name w:val="样式 样式 目录 4 + + 左侧:  3 字符"/>
    <w:basedOn w:val="2919"/>
    <w:qFormat/>
    <w:uiPriority w:val="0"/>
    <w:pPr>
      <w:ind w:left="714"/>
    </w:pPr>
  </w:style>
  <w:style w:type="paragraph" w:customStyle="1" w:styleId="2921">
    <w:name w:val="样式 报告插图 + 首行缩进:  0 字符"/>
    <w:basedOn w:val="2918"/>
    <w:qFormat/>
    <w:uiPriority w:val="0"/>
    <w:pPr>
      <w:ind w:firstLine="0"/>
    </w:pPr>
    <w:rPr>
      <w:rFonts w:cs="宋体"/>
      <w:bCs/>
      <w:sz w:val="24"/>
      <w:szCs w:val="20"/>
    </w:rPr>
  </w:style>
  <w:style w:type="paragraph" w:customStyle="1" w:styleId="2922">
    <w:name w:val="单位"/>
    <w:basedOn w:val="1"/>
    <w:qFormat/>
    <w:uiPriority w:val="0"/>
    <w:pPr>
      <w:adjustRightInd w:val="0"/>
      <w:spacing w:after="120" w:line="0" w:lineRule="atLeast"/>
      <w:ind w:firstLine="595" w:firstLineChars="200"/>
      <w:jc w:val="right"/>
    </w:pPr>
    <w:rPr>
      <w:rFonts w:ascii="Times New Roman" w:hAnsi="Times New Roman" w:eastAsia="黑体" w:cs="Times New Roman"/>
      <w:color w:val="000000"/>
      <w:kern w:val="0"/>
      <w:sz w:val="24"/>
      <w:szCs w:val="20"/>
    </w:rPr>
  </w:style>
  <w:style w:type="paragraph" w:customStyle="1" w:styleId="2923">
    <w:name w:val="封面1"/>
    <w:basedOn w:val="1"/>
    <w:qFormat/>
    <w:uiPriority w:val="0"/>
    <w:pPr>
      <w:adjustRightInd w:val="0"/>
      <w:ind w:firstLine="480" w:firstLineChars="200"/>
      <w:jc w:val="left"/>
    </w:pPr>
    <w:rPr>
      <w:rFonts w:ascii="华文新魏" w:hAnsi="Times New Roman" w:eastAsia="华文新魏" w:cs="Times New Roman"/>
      <w:kern w:val="0"/>
      <w:sz w:val="24"/>
      <w:szCs w:val="20"/>
    </w:rPr>
  </w:style>
  <w:style w:type="paragraph" w:customStyle="1" w:styleId="2924">
    <w:name w:val="封面3"/>
    <w:basedOn w:val="1"/>
    <w:next w:val="1"/>
    <w:qFormat/>
    <w:uiPriority w:val="0"/>
    <w:pPr>
      <w:adjustRightInd w:val="0"/>
      <w:spacing w:after="240" w:line="360" w:lineRule="auto"/>
      <w:ind w:firstLine="480" w:firstLineChars="200"/>
      <w:jc w:val="center"/>
    </w:pPr>
    <w:rPr>
      <w:rFonts w:ascii="Times New Roman" w:hAnsi="Times New Roman" w:eastAsia="黑体" w:cs="Times New Roman"/>
      <w:kern w:val="0"/>
      <w:sz w:val="36"/>
      <w:szCs w:val="20"/>
    </w:rPr>
  </w:style>
  <w:style w:type="paragraph" w:customStyle="1" w:styleId="2925">
    <w:name w:val="封面4"/>
    <w:basedOn w:val="1"/>
    <w:qFormat/>
    <w:uiPriority w:val="0"/>
    <w:pPr>
      <w:adjustRightInd w:val="0"/>
      <w:spacing w:line="0" w:lineRule="atLeast"/>
      <w:ind w:firstLine="480" w:firstLineChars="200"/>
      <w:jc w:val="center"/>
    </w:pPr>
    <w:rPr>
      <w:rFonts w:ascii="华文中宋" w:hAnsi="华文中宋" w:eastAsia="华文中宋" w:cs="Times New Roman"/>
      <w:color w:val="000000"/>
      <w:spacing w:val="40"/>
      <w:kern w:val="0"/>
      <w:sz w:val="32"/>
      <w:szCs w:val="20"/>
    </w:rPr>
  </w:style>
  <w:style w:type="paragraph" w:customStyle="1" w:styleId="2926">
    <w:name w:val="封面5"/>
    <w:basedOn w:val="1"/>
    <w:next w:val="1"/>
    <w:qFormat/>
    <w:uiPriority w:val="0"/>
    <w:pPr>
      <w:adjustRightInd w:val="0"/>
      <w:spacing w:beforeLines="200" w:afterLines="200" w:line="0" w:lineRule="atLeast"/>
      <w:ind w:firstLine="480" w:firstLineChars="200"/>
      <w:jc w:val="center"/>
    </w:pPr>
    <w:rPr>
      <w:rFonts w:ascii="Times New Roman" w:hAnsi="Times New Roman" w:eastAsia="华文新魏" w:cs="Times New Roman"/>
      <w:b/>
      <w:kern w:val="0"/>
      <w:sz w:val="72"/>
      <w:szCs w:val="20"/>
    </w:rPr>
  </w:style>
  <w:style w:type="paragraph" w:customStyle="1" w:styleId="2927">
    <w:name w:val="封面6"/>
    <w:basedOn w:val="2923"/>
    <w:next w:val="1"/>
    <w:qFormat/>
    <w:uiPriority w:val="0"/>
    <w:rPr>
      <w:sz w:val="32"/>
    </w:rPr>
  </w:style>
  <w:style w:type="paragraph" w:customStyle="1" w:styleId="2928">
    <w:name w:val="表格左齐"/>
    <w:basedOn w:val="1"/>
    <w:qFormat/>
    <w:uiPriority w:val="0"/>
    <w:pPr>
      <w:overflowPunct w:val="0"/>
      <w:spacing w:line="240" w:lineRule="exact"/>
      <w:ind w:firstLine="480" w:firstLineChars="200"/>
      <w:jc w:val="left"/>
    </w:pPr>
    <w:rPr>
      <w:rFonts w:ascii="Times New Roman" w:hAnsi="Times New Roman" w:cs="Times New Roman"/>
      <w:kern w:val="0"/>
      <w:sz w:val="24"/>
    </w:rPr>
  </w:style>
  <w:style w:type="paragraph" w:customStyle="1" w:styleId="2929">
    <w:name w:val="表头居中"/>
    <w:basedOn w:val="1"/>
    <w:qFormat/>
    <w:uiPriority w:val="0"/>
    <w:pPr>
      <w:overflowPunct w:val="0"/>
      <w:spacing w:line="240" w:lineRule="exact"/>
      <w:ind w:left="-1" w:leftChars="-1" w:hanging="2" w:hangingChars="1"/>
      <w:jc w:val="center"/>
    </w:pPr>
    <w:rPr>
      <w:rFonts w:ascii="Times New Roman" w:hAnsi="Times New Roman" w:eastAsia="楷体_GB2312" w:cs="Times New Roman"/>
      <w:kern w:val="0"/>
      <w:sz w:val="18"/>
      <w:szCs w:val="18"/>
    </w:rPr>
  </w:style>
  <w:style w:type="paragraph" w:customStyle="1" w:styleId="2930">
    <w:name w:val="页眉头"/>
    <w:basedOn w:val="57"/>
    <w:qFormat/>
    <w:uiPriority w:val="0"/>
    <w:pPr>
      <w:pBdr>
        <w:bottom w:val="none" w:color="auto" w:sz="0" w:space="0"/>
      </w:pBdr>
      <w:adjustRightInd w:val="0"/>
      <w:snapToGrid/>
      <w:spacing w:beforeLines="50" w:afterLines="50"/>
      <w:ind w:left="476" w:right="476" w:firstLine="454"/>
    </w:pPr>
    <w:rPr>
      <w:rFonts w:ascii="Calibri" w:hAnsi="Calibri" w:cs="Times New Roman"/>
      <w:snapToGrid w:val="0"/>
      <w:color w:val="000000"/>
      <w:kern w:val="0"/>
    </w:rPr>
  </w:style>
  <w:style w:type="paragraph" w:customStyle="1" w:styleId="2931">
    <w:name w:val="封面2"/>
    <w:basedOn w:val="1"/>
    <w:qFormat/>
    <w:uiPriority w:val="0"/>
    <w:pPr>
      <w:adjustRightInd w:val="0"/>
      <w:spacing w:afterLines="50" w:line="312" w:lineRule="auto"/>
      <w:jc w:val="center"/>
    </w:pPr>
    <w:rPr>
      <w:rFonts w:ascii="Times New Roman" w:hAnsi="Times New Roman" w:eastAsia="黑体" w:cs="Times New Roman"/>
      <w:color w:val="000000"/>
      <w:kern w:val="0"/>
      <w:sz w:val="48"/>
      <w:szCs w:val="24"/>
    </w:rPr>
  </w:style>
  <w:style w:type="paragraph" w:customStyle="1" w:styleId="2932">
    <w:name w:val="协作单位"/>
    <w:basedOn w:val="1"/>
    <w:qFormat/>
    <w:uiPriority w:val="0"/>
    <w:pPr>
      <w:spacing w:line="312" w:lineRule="auto"/>
      <w:ind w:firstLine="1260"/>
      <w:jc w:val="left"/>
    </w:pPr>
    <w:rPr>
      <w:rFonts w:ascii="Times New Roman" w:hAnsi="Times New Roman" w:eastAsia="黑体" w:cs="Times New Roman"/>
      <w:color w:val="000000"/>
      <w:kern w:val="0"/>
      <w:sz w:val="28"/>
      <w:szCs w:val="20"/>
    </w:rPr>
  </w:style>
  <w:style w:type="paragraph" w:customStyle="1" w:styleId="2933">
    <w:name w:val="abc"/>
    <w:basedOn w:val="86"/>
    <w:qFormat/>
    <w:uiPriority w:val="0"/>
    <w:pPr>
      <w:spacing w:beforeLines="0" w:after="0" w:line="360" w:lineRule="atLeast"/>
      <w:ind w:firstLine="624" w:firstLineChars="0"/>
      <w:textAlignment w:val="baseline"/>
    </w:pPr>
    <w:rPr>
      <w:rFonts w:ascii="宋体" w:hAnsi="宋体"/>
      <w:b/>
      <w:kern w:val="2"/>
    </w:rPr>
  </w:style>
  <w:style w:type="paragraph" w:customStyle="1" w:styleId="2934">
    <w:name w:val="Char Char Char Char Char Char1 Char2"/>
    <w:basedOn w:val="1"/>
    <w:qFormat/>
    <w:uiPriority w:val="0"/>
    <w:pPr>
      <w:widowControl/>
      <w:spacing w:line="360" w:lineRule="auto"/>
      <w:ind w:firstLine="200" w:firstLineChars="200"/>
      <w:jc w:val="left"/>
    </w:pPr>
    <w:rPr>
      <w:rFonts w:ascii="宋体" w:hAnsi="宋体" w:cs="宋体"/>
      <w:kern w:val="0"/>
      <w:sz w:val="24"/>
      <w:szCs w:val="24"/>
    </w:rPr>
  </w:style>
  <w:style w:type="character" w:customStyle="1" w:styleId="2935">
    <w:name w:val="wen1"/>
    <w:qFormat/>
    <w:uiPriority w:val="0"/>
  </w:style>
  <w:style w:type="paragraph" w:customStyle="1" w:styleId="2936">
    <w:name w:val="Char Char1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character" w:customStyle="1" w:styleId="2937">
    <w:name w:val="slkk"/>
    <w:qFormat/>
    <w:uiPriority w:val="0"/>
  </w:style>
  <w:style w:type="paragraph" w:customStyle="1" w:styleId="2938">
    <w:name w:val="Char Char1 Char1"/>
    <w:basedOn w:val="1"/>
    <w:qFormat/>
    <w:uiPriority w:val="0"/>
    <w:pPr>
      <w:spacing w:line="360" w:lineRule="auto"/>
      <w:ind w:firstLine="200" w:firstLineChars="200"/>
      <w:jc w:val="left"/>
    </w:pPr>
    <w:rPr>
      <w:rFonts w:ascii="宋体" w:hAnsi="宋体" w:cs="宋体"/>
      <w:sz w:val="24"/>
      <w:szCs w:val="24"/>
    </w:rPr>
  </w:style>
  <w:style w:type="paragraph" w:customStyle="1" w:styleId="2939">
    <w:name w:val="缩五"/>
    <w:basedOn w:val="1"/>
    <w:qFormat/>
    <w:uiPriority w:val="0"/>
    <w:pPr>
      <w:tabs>
        <w:tab w:val="right" w:pos="8320"/>
      </w:tabs>
      <w:spacing w:line="240" w:lineRule="exact"/>
      <w:jc w:val="left"/>
    </w:pPr>
    <w:rPr>
      <w:rFonts w:ascii="宋体" w:hAnsi="宋体" w:cs="Times New Roman"/>
      <w:b/>
      <w:color w:val="000000"/>
    </w:rPr>
  </w:style>
  <w:style w:type="paragraph" w:customStyle="1" w:styleId="2940">
    <w:name w:val="Char Char Char Char Char Char Char Char Char Char Char Char Char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paragraph" w:customStyle="1" w:styleId="2941">
    <w:name w:val="正文 1"/>
    <w:basedOn w:val="1"/>
    <w:link w:val="2942"/>
    <w:qFormat/>
    <w:uiPriority w:val="0"/>
    <w:pPr>
      <w:spacing w:line="360" w:lineRule="atLeast"/>
      <w:ind w:firstLine="425"/>
      <w:jc w:val="left"/>
    </w:pPr>
    <w:rPr>
      <w:rFonts w:ascii="Times New Roman" w:hAnsi="Times New Roman" w:cs="Times New Roman"/>
    </w:rPr>
  </w:style>
  <w:style w:type="character" w:customStyle="1" w:styleId="2942">
    <w:name w:val="正文 1 Char"/>
    <w:link w:val="2941"/>
    <w:qFormat/>
    <w:uiPriority w:val="0"/>
    <w:rPr>
      <w:rFonts w:ascii="Times New Roman" w:hAnsi="Times New Roman" w:cs="Times New Roman"/>
      <w:szCs w:val="21"/>
    </w:rPr>
  </w:style>
  <w:style w:type="character" w:customStyle="1" w:styleId="2943">
    <w:name w:val="style54"/>
    <w:qFormat/>
    <w:uiPriority w:val="0"/>
  </w:style>
  <w:style w:type="character" w:customStyle="1" w:styleId="2944">
    <w:name w:val="(use for appendix) Char Char"/>
    <w:qFormat/>
    <w:uiPriority w:val="0"/>
    <w:rPr>
      <w:rFonts w:eastAsia="宋体"/>
      <w:b/>
      <w:bCs/>
      <w:kern w:val="2"/>
      <w:sz w:val="24"/>
      <w:szCs w:val="24"/>
      <w:lang w:val="en-US" w:eastAsia="zh-CN" w:bidi="ar-SA"/>
    </w:rPr>
  </w:style>
  <w:style w:type="character" w:customStyle="1" w:styleId="2945">
    <w:name w:val="123YJ Char Char2"/>
    <w:qFormat/>
    <w:uiPriority w:val="0"/>
    <w:rPr>
      <w:rFonts w:eastAsia="宋体"/>
      <w:kern w:val="2"/>
      <w:sz w:val="18"/>
      <w:lang w:val="en-US" w:eastAsia="zh-CN" w:bidi="ar-SA"/>
    </w:rPr>
  </w:style>
  <w:style w:type="paragraph" w:customStyle="1" w:styleId="2946">
    <w:name w:val="环小四（一级章节）"/>
    <w:qFormat/>
    <w:uiPriority w:val="0"/>
    <w:pPr>
      <w:widowControl w:val="0"/>
      <w:spacing w:beforeLines="50" w:afterLines="50"/>
      <w:jc w:val="center"/>
      <w:outlineLvl w:val="0"/>
    </w:pPr>
    <w:rPr>
      <w:rFonts w:ascii="宋体" w:hAnsi="宋体" w:eastAsia="宋体" w:cs="Times New Roman"/>
      <w:b/>
      <w:bCs/>
      <w:color w:val="000000"/>
      <w:kern w:val="2"/>
      <w:sz w:val="30"/>
      <w:szCs w:val="32"/>
      <w:lang w:val="en-US" w:eastAsia="zh-CN" w:bidi="ar-SA"/>
    </w:rPr>
  </w:style>
  <w:style w:type="paragraph" w:customStyle="1" w:styleId="2947">
    <w:name w:val="环小四1.1（二级）"/>
    <w:qFormat/>
    <w:uiPriority w:val="0"/>
    <w:pPr>
      <w:widowControl w:val="0"/>
      <w:outlineLvl w:val="1"/>
    </w:pPr>
    <w:rPr>
      <w:rFonts w:ascii="宋体" w:hAnsi="宋体" w:eastAsia="宋体" w:cs="Times New Roman"/>
      <w:b/>
      <w:bCs/>
      <w:color w:val="000000"/>
      <w:kern w:val="24"/>
      <w:sz w:val="24"/>
      <w:szCs w:val="24"/>
      <w:lang w:val="en-US" w:eastAsia="zh-CN" w:bidi="ar-SA"/>
    </w:rPr>
  </w:style>
  <w:style w:type="paragraph" w:customStyle="1" w:styleId="2948">
    <w:name w:val="环小四1.1.1（三级）"/>
    <w:qFormat/>
    <w:uiPriority w:val="0"/>
    <w:pPr>
      <w:widowControl w:val="0"/>
      <w:outlineLvl w:val="2"/>
    </w:pPr>
    <w:rPr>
      <w:rFonts w:ascii="楷体_GB2312" w:hAnsi="宋体" w:eastAsia="楷体_GB2312" w:cs="Times New Roman"/>
      <w:b/>
      <w:bCs/>
      <w:color w:val="000000"/>
      <w:kern w:val="24"/>
      <w:sz w:val="24"/>
      <w:szCs w:val="24"/>
      <w:lang w:val="en-US" w:eastAsia="zh-CN" w:bidi="ar-SA"/>
    </w:rPr>
  </w:style>
  <w:style w:type="paragraph" w:customStyle="1" w:styleId="2949">
    <w:name w:val="环小四文中说明"/>
    <w:link w:val="2950"/>
    <w:qFormat/>
    <w:uiPriority w:val="0"/>
    <w:pPr>
      <w:widowControl w:val="0"/>
      <w:ind w:firstLine="200" w:firstLineChars="200"/>
      <w:jc w:val="both"/>
    </w:pPr>
    <w:rPr>
      <w:rFonts w:ascii="宋体" w:hAnsi="宋体" w:eastAsia="宋体" w:cs="Times New Roman"/>
      <w:kern w:val="2"/>
      <w:sz w:val="24"/>
      <w:szCs w:val="24"/>
      <w:lang w:val="en-US" w:eastAsia="zh-CN" w:bidi="ar-SA"/>
    </w:rPr>
  </w:style>
  <w:style w:type="character" w:customStyle="1" w:styleId="2950">
    <w:name w:val="环小四文中说明 Char"/>
    <w:link w:val="2949"/>
    <w:qFormat/>
    <w:uiPriority w:val="0"/>
    <w:rPr>
      <w:rFonts w:ascii="宋体" w:hAnsi="宋体" w:eastAsia="宋体" w:cs="Times New Roman"/>
      <w:sz w:val="24"/>
      <w:szCs w:val="24"/>
    </w:rPr>
  </w:style>
  <w:style w:type="paragraph" w:customStyle="1" w:styleId="2951">
    <w:name w:val="样式 样式 样式 样式 正文编号（1） +1 Char Char Char Char Char + 行距: 固定值 22 磅 +..."/>
    <w:basedOn w:val="1"/>
    <w:semiHidden/>
    <w:qFormat/>
    <w:uiPriority w:val="0"/>
    <w:pPr>
      <w:tabs>
        <w:tab w:val="left" w:pos="1741"/>
      </w:tabs>
      <w:adjustRightInd w:val="0"/>
      <w:spacing w:line="800" w:lineRule="exact"/>
      <w:ind w:left="567"/>
      <w:jc w:val="left"/>
    </w:pPr>
    <w:rPr>
      <w:rFonts w:ascii="Times New Roman" w:hAnsi="Times New Roman" w:eastAsia="黑体" w:cs="Times New Roman"/>
      <w:b/>
      <w:bCs/>
      <w:color w:val="FF0000"/>
      <w:kern w:val="0"/>
      <w:sz w:val="48"/>
      <w:szCs w:val="48"/>
    </w:rPr>
  </w:style>
  <w:style w:type="paragraph" w:customStyle="1" w:styleId="2952">
    <w:name w:val="样式 样式 样式 标题 1 + 段前: 1 行 + 行距: 固定值 22 磅 + 加粗"/>
    <w:basedOn w:val="1"/>
    <w:semiHidden/>
    <w:qFormat/>
    <w:uiPriority w:val="0"/>
    <w:pPr>
      <w:keepNext/>
      <w:keepLines/>
      <w:tabs>
        <w:tab w:val="left" w:pos="432"/>
      </w:tabs>
      <w:adjustRightInd w:val="0"/>
      <w:spacing w:beforeLines="100" w:after="100" w:afterAutospacing="1" w:line="740" w:lineRule="exact"/>
      <w:ind w:left="432"/>
      <w:jc w:val="center"/>
      <w:outlineLvl w:val="0"/>
    </w:pPr>
    <w:rPr>
      <w:rFonts w:ascii="Times New Roman" w:hAnsi="Times New Roman" w:eastAsia="黑体" w:cs="Times New Roman"/>
      <w:b/>
      <w:bCs/>
      <w:color w:val="FF0000"/>
      <w:kern w:val="44"/>
      <w:sz w:val="52"/>
      <w:szCs w:val="52"/>
    </w:rPr>
  </w:style>
  <w:style w:type="paragraph" w:customStyle="1" w:styleId="2953">
    <w:name w:val="样式 标题 2 + 行距: 固定值 22 磅"/>
    <w:basedOn w:val="4"/>
    <w:semiHidden/>
    <w:qFormat/>
    <w:uiPriority w:val="0"/>
    <w:pPr>
      <w:tabs>
        <w:tab w:val="left" w:pos="432"/>
      </w:tabs>
      <w:adjustRightInd w:val="0"/>
      <w:spacing w:before="100" w:beforeAutospacing="1" w:after="100" w:afterAutospacing="1" w:line="600" w:lineRule="exact"/>
      <w:ind w:left="432" w:hanging="432"/>
    </w:pPr>
    <w:rPr>
      <w:rFonts w:cs="Times New Roman" w:eastAsiaTheme="minorEastAsia"/>
      <w:color w:val="0000FF"/>
      <w:kern w:val="0"/>
      <w:sz w:val="48"/>
      <w:szCs w:val="48"/>
    </w:rPr>
  </w:style>
  <w:style w:type="paragraph" w:customStyle="1" w:styleId="2954">
    <w:name w:val="样式 样式 标题 3 + 行距: 固定值 22 磅 + 加粗"/>
    <w:basedOn w:val="1"/>
    <w:semiHidden/>
    <w:qFormat/>
    <w:uiPriority w:val="0"/>
    <w:pPr>
      <w:keepNext/>
      <w:keepLines/>
      <w:tabs>
        <w:tab w:val="left" w:pos="897"/>
        <w:tab w:val="left" w:pos="1361"/>
      </w:tabs>
      <w:adjustRightInd w:val="0"/>
      <w:spacing w:beforeAutospacing="1" w:after="100" w:afterAutospacing="1" w:line="600" w:lineRule="exact"/>
      <w:jc w:val="left"/>
      <w:outlineLvl w:val="2"/>
    </w:pPr>
    <w:rPr>
      <w:rFonts w:ascii="Times New Roman" w:hAnsi="Times New Roman" w:eastAsia="黑体" w:cs="Times New Roman"/>
      <w:b/>
      <w:bCs/>
      <w:color w:val="0000FF"/>
      <w:kern w:val="0"/>
      <w:sz w:val="48"/>
      <w:szCs w:val="48"/>
    </w:rPr>
  </w:style>
  <w:style w:type="paragraph" w:customStyle="1" w:styleId="2955">
    <w:name w:val="样式 标题 4 + 行距: 固定值 22 磅"/>
    <w:basedOn w:val="6"/>
    <w:semiHidden/>
    <w:qFormat/>
    <w:uiPriority w:val="0"/>
    <w:pPr>
      <w:tabs>
        <w:tab w:val="left" w:pos="0"/>
        <w:tab w:val="left" w:pos="432"/>
      </w:tabs>
      <w:spacing w:beforeAutospacing="1" w:afterAutospacing="1" w:line="600" w:lineRule="exact"/>
      <w:ind w:left="432" w:hanging="432"/>
      <w:jc w:val="both"/>
    </w:pPr>
    <w:rPr>
      <w:rFonts w:eastAsia="楷体_GB2312" w:cs="Times New Roman"/>
      <w:bCs w:val="0"/>
      <w:color w:val="0000FF"/>
      <w:sz w:val="48"/>
      <w:szCs w:val="48"/>
    </w:rPr>
  </w:style>
  <w:style w:type="character" w:customStyle="1" w:styleId="2956">
    <w:name w:val="正文(a) Char"/>
    <w:link w:val="1526"/>
    <w:qFormat/>
    <w:uiPriority w:val="0"/>
    <w:rPr>
      <w:rFonts w:ascii="宋体" w:hAnsi="Calibri" w:cs="Times New Roman"/>
      <w:color w:val="000000"/>
      <w:spacing w:val="20"/>
      <w:kern w:val="24"/>
      <w:sz w:val="26"/>
      <w:szCs w:val="20"/>
      <w:u w:color="000000"/>
    </w:rPr>
  </w:style>
  <w:style w:type="paragraph" w:customStyle="1" w:styleId="2957">
    <w:name w:val="正文+宋体"/>
    <w:basedOn w:val="1"/>
    <w:semiHidden/>
    <w:qFormat/>
    <w:uiPriority w:val="0"/>
    <w:pPr>
      <w:jc w:val="center"/>
    </w:pPr>
    <w:rPr>
      <w:rFonts w:ascii="仿宋_GB2312" w:hAnsi="宋体" w:eastAsia="仿宋_GB2312" w:cs="Times New Roman"/>
    </w:rPr>
  </w:style>
  <w:style w:type="paragraph" w:customStyle="1" w:styleId="2958">
    <w:name w:val="表格对中正文"/>
    <w:basedOn w:val="1"/>
    <w:link w:val="2959"/>
    <w:semiHidden/>
    <w:qFormat/>
    <w:uiPriority w:val="0"/>
    <w:pPr>
      <w:spacing w:beforeLines="10" w:afterLines="10"/>
      <w:jc w:val="center"/>
    </w:pPr>
    <w:rPr>
      <w:rFonts w:ascii="Times New Roman" w:hAnsi="Times New Roman" w:cs="Times New Roman"/>
      <w:kern w:val="0"/>
      <w:szCs w:val="20"/>
    </w:rPr>
  </w:style>
  <w:style w:type="character" w:customStyle="1" w:styleId="2959">
    <w:name w:val="表格对中正文 Char"/>
    <w:link w:val="2958"/>
    <w:semiHidden/>
    <w:qFormat/>
    <w:uiPriority w:val="0"/>
    <w:rPr>
      <w:rFonts w:ascii="Times New Roman" w:hAnsi="Times New Roman" w:cs="Times New Roman"/>
      <w:kern w:val="0"/>
      <w:szCs w:val="20"/>
    </w:rPr>
  </w:style>
  <w:style w:type="character" w:customStyle="1" w:styleId="2960">
    <w:name w:val="表格题头 Char"/>
    <w:link w:val="1837"/>
    <w:qFormat/>
    <w:uiPriority w:val="0"/>
    <w:rPr>
      <w:rFonts w:ascii="Times New Roman" w:hAnsi="Times New Roman" w:eastAsia="黑体" w:cs="Times New Roman"/>
      <w:bCs/>
      <w:snapToGrid w:val="0"/>
      <w:kern w:val="0"/>
      <w:sz w:val="24"/>
      <w:szCs w:val="21"/>
    </w:rPr>
  </w:style>
  <w:style w:type="paragraph" w:customStyle="1" w:styleId="2961">
    <w:name w:val="表格编号正文"/>
    <w:basedOn w:val="2958"/>
    <w:semiHidden/>
    <w:qFormat/>
    <w:uiPriority w:val="0"/>
    <w:pPr>
      <w:tabs>
        <w:tab w:val="left" w:pos="8080"/>
      </w:tabs>
      <w:wordWrap w:val="0"/>
      <w:ind w:right="370" w:rightChars="132"/>
      <w:jc w:val="right"/>
    </w:pPr>
    <w:rPr>
      <w:rFonts w:cs="宋体"/>
    </w:rPr>
  </w:style>
  <w:style w:type="paragraph" w:customStyle="1" w:styleId="2962">
    <w:name w:val="表格两端对齐正文"/>
    <w:basedOn w:val="2958"/>
    <w:link w:val="2963"/>
    <w:semiHidden/>
    <w:qFormat/>
    <w:uiPriority w:val="0"/>
    <w:pPr>
      <w:adjustRightInd w:val="0"/>
      <w:spacing w:beforeLines="0" w:afterLines="0" w:line="280" w:lineRule="exact"/>
      <w:ind w:left="-17"/>
    </w:pPr>
    <w:rPr>
      <w:kern w:val="10"/>
      <w:szCs w:val="21"/>
    </w:rPr>
  </w:style>
  <w:style w:type="character" w:customStyle="1" w:styleId="2963">
    <w:name w:val="表格两端对齐正文 Char"/>
    <w:link w:val="2962"/>
    <w:semiHidden/>
    <w:qFormat/>
    <w:uiPriority w:val="0"/>
    <w:rPr>
      <w:rFonts w:ascii="Times New Roman" w:hAnsi="Times New Roman" w:cs="Times New Roman"/>
      <w:kern w:val="10"/>
      <w:szCs w:val="21"/>
    </w:rPr>
  </w:style>
  <w:style w:type="paragraph" w:customStyle="1" w:styleId="2964">
    <w:name w:val="我的文章内容"/>
    <w:basedOn w:val="1"/>
    <w:link w:val="2965"/>
    <w:semiHidden/>
    <w:qFormat/>
    <w:uiPriority w:val="0"/>
    <w:pPr>
      <w:ind w:firstLine="200" w:firstLineChars="200"/>
      <w:jc w:val="left"/>
    </w:pPr>
    <w:rPr>
      <w:rFonts w:ascii="宋体" w:hAnsi="Times New Roman" w:cs="Times New Roman"/>
      <w:kern w:val="28"/>
      <w:sz w:val="24"/>
      <w:szCs w:val="24"/>
    </w:rPr>
  </w:style>
  <w:style w:type="character" w:customStyle="1" w:styleId="2965">
    <w:name w:val="我的文章内容 Char"/>
    <w:link w:val="2964"/>
    <w:semiHidden/>
    <w:qFormat/>
    <w:uiPriority w:val="0"/>
    <w:rPr>
      <w:rFonts w:ascii="宋体" w:hAnsi="Times New Roman" w:cs="Times New Roman"/>
      <w:kern w:val="28"/>
      <w:sz w:val="24"/>
      <w:szCs w:val="24"/>
    </w:rPr>
  </w:style>
  <w:style w:type="paragraph" w:customStyle="1" w:styleId="2966">
    <w:name w:val="内容"/>
    <w:basedOn w:val="1"/>
    <w:link w:val="2967"/>
    <w:semiHidden/>
    <w:qFormat/>
    <w:uiPriority w:val="0"/>
    <w:pPr>
      <w:ind w:firstLine="200" w:firstLineChars="200"/>
      <w:jc w:val="left"/>
    </w:pPr>
    <w:rPr>
      <w:rFonts w:ascii="宋体" w:hAnsi="宋体" w:cs="Times New Roman"/>
      <w:bCs/>
      <w:kern w:val="0"/>
      <w:sz w:val="24"/>
      <w:szCs w:val="24"/>
    </w:rPr>
  </w:style>
  <w:style w:type="character" w:customStyle="1" w:styleId="2967">
    <w:name w:val="内容 Char"/>
    <w:link w:val="2966"/>
    <w:semiHidden/>
    <w:qFormat/>
    <w:uiPriority w:val="0"/>
    <w:rPr>
      <w:rFonts w:ascii="宋体" w:hAnsi="宋体" w:cs="Times New Roman"/>
      <w:bCs/>
      <w:kern w:val="0"/>
      <w:sz w:val="24"/>
      <w:szCs w:val="24"/>
    </w:rPr>
  </w:style>
  <w:style w:type="paragraph" w:customStyle="1" w:styleId="2968">
    <w:name w:val="1.123级"/>
    <w:basedOn w:val="1"/>
    <w:link w:val="3225"/>
    <w:semiHidden/>
    <w:qFormat/>
    <w:uiPriority w:val="0"/>
    <w:pPr>
      <w:jc w:val="left"/>
      <w:outlineLvl w:val="1"/>
    </w:pPr>
    <w:rPr>
      <w:rFonts w:ascii="宋体" w:hAnsi="宋体" w:cs="Times New Roman"/>
      <w:b/>
      <w:bCs/>
      <w:sz w:val="24"/>
      <w:szCs w:val="24"/>
    </w:rPr>
  </w:style>
  <w:style w:type="paragraph" w:customStyle="1" w:styleId="2969">
    <w:name w:val="123 级"/>
    <w:basedOn w:val="1"/>
    <w:semiHidden/>
    <w:qFormat/>
    <w:uiPriority w:val="0"/>
    <w:pPr>
      <w:spacing w:beforeLines="50" w:afterLines="50"/>
      <w:jc w:val="center"/>
      <w:outlineLvl w:val="0"/>
    </w:pPr>
    <w:rPr>
      <w:rFonts w:ascii="宋体" w:hAnsi="宋体" w:cs="Times New Roman"/>
      <w:b/>
      <w:bCs/>
      <w:sz w:val="32"/>
      <w:szCs w:val="32"/>
    </w:rPr>
  </w:style>
  <w:style w:type="paragraph" w:customStyle="1" w:styleId="2970">
    <w:name w:val="1.1.123级"/>
    <w:basedOn w:val="1"/>
    <w:link w:val="2971"/>
    <w:semiHidden/>
    <w:qFormat/>
    <w:uiPriority w:val="0"/>
    <w:pPr>
      <w:jc w:val="left"/>
      <w:outlineLvl w:val="2"/>
    </w:pPr>
    <w:rPr>
      <w:rFonts w:ascii="楷体_GB2312" w:hAnsi="宋体" w:eastAsia="楷体_GB2312" w:cs="Times New Roman"/>
      <w:b/>
      <w:bCs/>
      <w:sz w:val="24"/>
      <w:szCs w:val="24"/>
    </w:rPr>
  </w:style>
  <w:style w:type="character" w:customStyle="1" w:styleId="2971">
    <w:name w:val="1.1.123级 Char"/>
    <w:link w:val="2970"/>
    <w:semiHidden/>
    <w:qFormat/>
    <w:uiPriority w:val="0"/>
    <w:rPr>
      <w:rFonts w:ascii="楷体_GB2312" w:hAnsi="宋体" w:eastAsia="楷体_GB2312" w:cs="Times New Roman"/>
      <w:b/>
      <w:bCs/>
      <w:sz w:val="24"/>
      <w:szCs w:val="24"/>
    </w:rPr>
  </w:style>
  <w:style w:type="character" w:customStyle="1" w:styleId="2972">
    <w:name w:val="正文部分 Char"/>
    <w:semiHidden/>
    <w:qFormat/>
    <w:uiPriority w:val="0"/>
    <w:rPr>
      <w:rFonts w:ascii="宋体" w:hAnsi="宋体" w:eastAsia="宋体" w:cs="Times New Roman"/>
      <w:snapToGrid w:val="0"/>
      <w:kern w:val="28"/>
      <w:sz w:val="24"/>
      <w:szCs w:val="24"/>
    </w:rPr>
  </w:style>
  <w:style w:type="paragraph" w:customStyle="1" w:styleId="2973">
    <w:name w:val="正文蓝色"/>
    <w:basedOn w:val="919"/>
    <w:link w:val="2974"/>
    <w:semiHidden/>
    <w:qFormat/>
    <w:uiPriority w:val="0"/>
    <w:pPr>
      <w:adjustRightInd/>
      <w:spacing w:line="240" w:lineRule="auto"/>
      <w:ind w:firstLine="560"/>
    </w:pPr>
    <w:rPr>
      <w:bCs w:val="0"/>
      <w:snapToGrid w:val="0"/>
      <w:color w:val="0000FF"/>
      <w:sz w:val="24"/>
      <w:szCs w:val="24"/>
    </w:rPr>
  </w:style>
  <w:style w:type="character" w:customStyle="1" w:styleId="2974">
    <w:name w:val="正文蓝色 Char"/>
    <w:link w:val="2973"/>
    <w:semiHidden/>
    <w:qFormat/>
    <w:uiPriority w:val="0"/>
    <w:rPr>
      <w:rFonts w:ascii="宋体" w:hAnsi="宋体" w:cs="宋体"/>
      <w:snapToGrid w:val="0"/>
      <w:color w:val="0000FF"/>
      <w:sz w:val="24"/>
      <w:szCs w:val="24"/>
    </w:rPr>
  </w:style>
  <w:style w:type="paragraph" w:customStyle="1" w:styleId="2975">
    <w:name w:val="（一）楷体"/>
    <w:basedOn w:val="1"/>
    <w:link w:val="2976"/>
    <w:semiHidden/>
    <w:qFormat/>
    <w:uiPriority w:val="0"/>
    <w:pPr>
      <w:ind w:firstLine="200" w:firstLineChars="200"/>
      <w:jc w:val="left"/>
      <w:outlineLvl w:val="2"/>
    </w:pPr>
    <w:rPr>
      <w:rFonts w:ascii="楷体_GB2312" w:hAnsi="宋体" w:eastAsia="楷体_GB2312" w:cs="Times New Roman"/>
      <w:b/>
      <w:kern w:val="28"/>
      <w:sz w:val="24"/>
      <w:szCs w:val="24"/>
    </w:rPr>
  </w:style>
  <w:style w:type="character" w:customStyle="1" w:styleId="2976">
    <w:name w:val="（一）楷体 Char"/>
    <w:link w:val="2975"/>
    <w:semiHidden/>
    <w:qFormat/>
    <w:uiPriority w:val="0"/>
    <w:rPr>
      <w:rFonts w:ascii="楷体_GB2312" w:hAnsi="宋体" w:eastAsia="楷体_GB2312" w:cs="Times New Roman"/>
      <w:b/>
      <w:kern w:val="28"/>
      <w:sz w:val="24"/>
      <w:szCs w:val="24"/>
    </w:rPr>
  </w:style>
  <w:style w:type="paragraph" w:customStyle="1" w:styleId="2977">
    <w:name w:val="内1"/>
    <w:basedOn w:val="1"/>
    <w:link w:val="2980"/>
    <w:semiHidden/>
    <w:qFormat/>
    <w:uiPriority w:val="0"/>
    <w:pPr>
      <w:ind w:firstLine="200" w:firstLineChars="200"/>
      <w:jc w:val="left"/>
    </w:pPr>
    <w:rPr>
      <w:rFonts w:ascii="宋体" w:hAnsi="Times New Roman" w:cs="Times New Roman"/>
      <w:sz w:val="24"/>
      <w:szCs w:val="24"/>
    </w:rPr>
  </w:style>
  <w:style w:type="paragraph" w:customStyle="1" w:styleId="2978">
    <w:name w:val="第一章"/>
    <w:basedOn w:val="1"/>
    <w:semiHidden/>
    <w:qFormat/>
    <w:uiPriority w:val="0"/>
    <w:pPr>
      <w:spacing w:beforeLines="50" w:afterLines="50"/>
      <w:jc w:val="center"/>
      <w:outlineLvl w:val="0"/>
    </w:pPr>
    <w:rPr>
      <w:rFonts w:ascii="黑体" w:hAnsi="宋体" w:cs="Times New Roman"/>
      <w:b/>
      <w:sz w:val="32"/>
      <w:szCs w:val="24"/>
    </w:rPr>
  </w:style>
  <w:style w:type="paragraph" w:customStyle="1" w:styleId="2979">
    <w:name w:val="标3"/>
    <w:basedOn w:val="1"/>
    <w:link w:val="3169"/>
    <w:semiHidden/>
    <w:qFormat/>
    <w:uiPriority w:val="0"/>
    <w:pPr>
      <w:ind w:firstLine="200" w:firstLineChars="200"/>
      <w:jc w:val="left"/>
    </w:pPr>
    <w:rPr>
      <w:rFonts w:ascii="宋体" w:hAnsi="宋体" w:cs="Times New Roman"/>
      <w:b/>
      <w:snapToGrid w:val="0"/>
      <w:color w:val="000000"/>
      <w:sz w:val="24"/>
      <w:szCs w:val="24"/>
    </w:rPr>
  </w:style>
  <w:style w:type="character" w:customStyle="1" w:styleId="2980">
    <w:name w:val="内1 Char"/>
    <w:link w:val="2977"/>
    <w:semiHidden/>
    <w:qFormat/>
    <w:uiPriority w:val="0"/>
    <w:rPr>
      <w:rFonts w:ascii="宋体" w:hAnsi="Times New Roman" w:cs="Times New Roman"/>
      <w:sz w:val="24"/>
      <w:szCs w:val="24"/>
    </w:rPr>
  </w:style>
  <w:style w:type="paragraph" w:customStyle="1" w:styleId="2981">
    <w:name w:val="文中说明"/>
    <w:basedOn w:val="1"/>
    <w:link w:val="3124"/>
    <w:semiHidden/>
    <w:qFormat/>
    <w:uiPriority w:val="0"/>
    <w:pPr>
      <w:ind w:firstLine="200" w:firstLineChars="200"/>
      <w:jc w:val="left"/>
    </w:pPr>
    <w:rPr>
      <w:rFonts w:ascii="宋体" w:hAnsi="宋体" w:cs="Times New Roman"/>
      <w:kern w:val="28"/>
      <w:sz w:val="24"/>
      <w:szCs w:val="24"/>
    </w:rPr>
  </w:style>
  <w:style w:type="paragraph" w:customStyle="1" w:styleId="2982">
    <w:name w:val="表苡"/>
    <w:basedOn w:val="1"/>
    <w:link w:val="2984"/>
    <w:semiHidden/>
    <w:qFormat/>
    <w:uiPriority w:val="0"/>
    <w:pPr>
      <w:wordWrap w:val="0"/>
      <w:spacing w:line="240" w:lineRule="exact"/>
      <w:jc w:val="center"/>
    </w:pPr>
    <w:rPr>
      <w:rFonts w:ascii="宋体" w:hAnsi="宋体" w:cs="Times New Roman"/>
      <w:sz w:val="18"/>
    </w:rPr>
  </w:style>
  <w:style w:type="paragraph" w:customStyle="1" w:styleId="2983">
    <w:name w:val="12345"/>
    <w:basedOn w:val="1"/>
    <w:link w:val="3226"/>
    <w:semiHidden/>
    <w:qFormat/>
    <w:uiPriority w:val="0"/>
    <w:pPr>
      <w:spacing w:line="360" w:lineRule="auto"/>
      <w:jc w:val="left"/>
    </w:pPr>
    <w:rPr>
      <w:rFonts w:ascii="宋体" w:hAnsi="Times New Roman" w:cs="Times New Roman"/>
      <w:snapToGrid w:val="0"/>
      <w:color w:val="000000"/>
      <w:sz w:val="24"/>
      <w:szCs w:val="24"/>
    </w:rPr>
  </w:style>
  <w:style w:type="character" w:customStyle="1" w:styleId="2984">
    <w:name w:val="表苡 Char"/>
    <w:link w:val="2982"/>
    <w:semiHidden/>
    <w:qFormat/>
    <w:uiPriority w:val="0"/>
    <w:rPr>
      <w:rFonts w:ascii="宋体" w:hAnsi="宋体" w:cs="Times New Roman"/>
      <w:sz w:val="18"/>
      <w:szCs w:val="21"/>
    </w:rPr>
  </w:style>
  <w:style w:type="paragraph" w:customStyle="1" w:styleId="2985">
    <w:name w:val="1.1.1.123"/>
    <w:basedOn w:val="1"/>
    <w:link w:val="2986"/>
    <w:semiHidden/>
    <w:qFormat/>
    <w:uiPriority w:val="0"/>
    <w:pPr>
      <w:jc w:val="left"/>
    </w:pPr>
    <w:rPr>
      <w:rFonts w:ascii="宋体" w:hAnsi="宋体" w:cs="Times New Roman"/>
      <w:b/>
      <w:sz w:val="24"/>
      <w:szCs w:val="24"/>
    </w:rPr>
  </w:style>
  <w:style w:type="character" w:customStyle="1" w:styleId="2986">
    <w:name w:val="1.1.1.123 Char"/>
    <w:link w:val="2985"/>
    <w:semiHidden/>
    <w:qFormat/>
    <w:uiPriority w:val="0"/>
    <w:rPr>
      <w:rFonts w:ascii="宋体" w:hAnsi="宋体" w:cs="Times New Roman"/>
      <w:b/>
      <w:sz w:val="24"/>
      <w:szCs w:val="24"/>
    </w:rPr>
  </w:style>
  <w:style w:type="paragraph" w:customStyle="1" w:styleId="2987">
    <w:name w:val="1.1.1级"/>
    <w:basedOn w:val="1"/>
    <w:link w:val="2988"/>
    <w:semiHidden/>
    <w:qFormat/>
    <w:uiPriority w:val="0"/>
    <w:pPr>
      <w:jc w:val="left"/>
      <w:outlineLvl w:val="2"/>
    </w:pPr>
    <w:rPr>
      <w:rFonts w:ascii="宋体" w:hAnsi="宋体" w:eastAsia="楷体_GB2312" w:cs="Times New Roman"/>
      <w:b/>
      <w:bCs/>
      <w:sz w:val="24"/>
      <w:szCs w:val="24"/>
    </w:rPr>
  </w:style>
  <w:style w:type="character" w:customStyle="1" w:styleId="2988">
    <w:name w:val="1.1.1级 Char"/>
    <w:link w:val="2987"/>
    <w:semiHidden/>
    <w:qFormat/>
    <w:uiPriority w:val="0"/>
    <w:rPr>
      <w:rFonts w:ascii="宋体" w:hAnsi="宋体" w:eastAsia="楷体_GB2312" w:cs="Times New Roman"/>
      <w:b/>
      <w:bCs/>
      <w:sz w:val="24"/>
      <w:szCs w:val="24"/>
    </w:rPr>
  </w:style>
  <w:style w:type="paragraph" w:customStyle="1" w:styleId="2989">
    <w:name w:val="环 2级 1.1"/>
    <w:basedOn w:val="1"/>
    <w:semiHidden/>
    <w:qFormat/>
    <w:uiPriority w:val="0"/>
    <w:pPr>
      <w:jc w:val="left"/>
      <w:outlineLvl w:val="0"/>
    </w:pPr>
    <w:rPr>
      <w:rFonts w:ascii="宋体" w:hAnsi="宋体" w:cs="Times New Roman"/>
      <w:bCs/>
      <w:sz w:val="24"/>
      <w:szCs w:val="24"/>
    </w:rPr>
  </w:style>
  <w:style w:type="paragraph" w:customStyle="1" w:styleId="2990">
    <w:name w:val="环 内容"/>
    <w:basedOn w:val="1"/>
    <w:link w:val="3000"/>
    <w:semiHidden/>
    <w:qFormat/>
    <w:uiPriority w:val="0"/>
    <w:pPr>
      <w:ind w:firstLine="200" w:firstLineChars="200"/>
      <w:jc w:val="left"/>
    </w:pPr>
    <w:rPr>
      <w:rFonts w:ascii="宋体" w:hAnsi="宋体" w:cs="Times New Roman"/>
      <w:snapToGrid w:val="0"/>
      <w:sz w:val="24"/>
      <w:szCs w:val="24"/>
    </w:rPr>
  </w:style>
  <w:style w:type="paragraph" w:customStyle="1" w:styleId="2991">
    <w:name w:val="环 表内容"/>
    <w:basedOn w:val="1"/>
    <w:link w:val="3147"/>
    <w:semiHidden/>
    <w:qFormat/>
    <w:uiPriority w:val="0"/>
    <w:pPr>
      <w:wordWrap w:val="0"/>
      <w:spacing w:line="240" w:lineRule="exact"/>
      <w:jc w:val="center"/>
    </w:pPr>
    <w:rPr>
      <w:rFonts w:ascii="宋体" w:hAnsi="宋体" w:cs="Times New Roman"/>
      <w:sz w:val="18"/>
    </w:rPr>
  </w:style>
  <w:style w:type="paragraph" w:customStyle="1" w:styleId="2992">
    <w:name w:val="环 表题"/>
    <w:basedOn w:val="1"/>
    <w:link w:val="3159"/>
    <w:semiHidden/>
    <w:qFormat/>
    <w:uiPriority w:val="0"/>
    <w:pPr>
      <w:wordWrap w:val="0"/>
      <w:jc w:val="center"/>
    </w:pPr>
    <w:rPr>
      <w:rFonts w:ascii="宋体" w:hAnsi="Times New Roman" w:cs="Times New Roman"/>
      <w:b/>
      <w:sz w:val="24"/>
      <w:szCs w:val="24"/>
    </w:rPr>
  </w:style>
  <w:style w:type="paragraph" w:customStyle="1" w:styleId="2993">
    <w:name w:val="环 3级 1.1.1"/>
    <w:basedOn w:val="1"/>
    <w:semiHidden/>
    <w:qFormat/>
    <w:uiPriority w:val="0"/>
    <w:pPr>
      <w:jc w:val="left"/>
    </w:pPr>
    <w:rPr>
      <w:rFonts w:ascii="宋体" w:hAnsi="宋体" w:cs="Times New Roman"/>
      <w:b/>
      <w:bCs/>
      <w:sz w:val="24"/>
      <w:szCs w:val="24"/>
    </w:rPr>
  </w:style>
  <w:style w:type="paragraph" w:customStyle="1" w:styleId="2994">
    <w:name w:val="章节号"/>
    <w:basedOn w:val="1"/>
    <w:semiHidden/>
    <w:qFormat/>
    <w:uiPriority w:val="0"/>
    <w:pPr>
      <w:spacing w:beforeLines="50" w:afterLines="50"/>
      <w:jc w:val="center"/>
      <w:outlineLvl w:val="0"/>
    </w:pPr>
    <w:rPr>
      <w:rFonts w:ascii="宋体" w:hAnsi="Times New Roman" w:cs="Times New Roman"/>
      <w:b/>
      <w:sz w:val="32"/>
      <w:szCs w:val="32"/>
    </w:rPr>
  </w:style>
  <w:style w:type="character" w:customStyle="1" w:styleId="2995">
    <w:name w:val="小四题注1 Char"/>
    <w:semiHidden/>
    <w:qFormat/>
    <w:uiPriority w:val="0"/>
    <w:rPr>
      <w:rFonts w:ascii="宋体" w:hAnsi="宋体" w:eastAsia="黑体" w:cs="宋体"/>
      <w:b/>
      <w:bCs/>
      <w:color w:val="FF0000"/>
      <w:kern w:val="2"/>
      <w:sz w:val="24"/>
      <w:szCs w:val="24"/>
      <w:lang w:val="en-US" w:eastAsia="zh-CN" w:bidi="ar-SA"/>
    </w:rPr>
  </w:style>
  <w:style w:type="paragraph" w:customStyle="1" w:styleId="2996">
    <w:name w:val="我的表号"/>
    <w:basedOn w:val="1"/>
    <w:link w:val="2997"/>
    <w:semiHidden/>
    <w:qFormat/>
    <w:uiPriority w:val="0"/>
    <w:pPr>
      <w:spacing w:line="360" w:lineRule="exact"/>
      <w:jc w:val="right"/>
    </w:pPr>
    <w:rPr>
      <w:rFonts w:ascii="宋体" w:hAnsi="Times New Roman" w:cs="Times New Roman"/>
      <w:b/>
      <w:kern w:val="28"/>
    </w:rPr>
  </w:style>
  <w:style w:type="character" w:customStyle="1" w:styleId="2997">
    <w:name w:val="我的表号 Char"/>
    <w:link w:val="2996"/>
    <w:semiHidden/>
    <w:qFormat/>
    <w:uiPriority w:val="0"/>
    <w:rPr>
      <w:rFonts w:ascii="宋体" w:hAnsi="Times New Roman" w:cs="Times New Roman"/>
      <w:b/>
      <w:kern w:val="28"/>
      <w:szCs w:val="21"/>
    </w:rPr>
  </w:style>
  <w:style w:type="paragraph" w:customStyle="1" w:styleId="2998">
    <w:name w:val="表格名"/>
    <w:basedOn w:val="1"/>
    <w:link w:val="3234"/>
    <w:semiHidden/>
    <w:qFormat/>
    <w:uiPriority w:val="0"/>
    <w:pPr>
      <w:jc w:val="right"/>
    </w:pPr>
    <w:rPr>
      <w:rFonts w:ascii="宋体" w:hAnsi="宋体" w:cs="Times New Roman"/>
      <w:b/>
      <w:kern w:val="28"/>
      <w:sz w:val="24"/>
      <w:szCs w:val="24"/>
    </w:rPr>
  </w:style>
  <w:style w:type="character" w:customStyle="1" w:styleId="2999">
    <w:name w:val="图名 Char"/>
    <w:link w:val="366"/>
    <w:qFormat/>
    <w:uiPriority w:val="0"/>
    <w:rPr>
      <w:rFonts w:ascii="Arial" w:hAnsi="Arial" w:eastAsia="楷体_GB2312" w:cs="Times New Roman"/>
      <w:b/>
      <w:bCs/>
      <w:sz w:val="24"/>
      <w:szCs w:val="24"/>
    </w:rPr>
  </w:style>
  <w:style w:type="character" w:customStyle="1" w:styleId="3000">
    <w:name w:val="环 内容 Char"/>
    <w:link w:val="2990"/>
    <w:semiHidden/>
    <w:qFormat/>
    <w:uiPriority w:val="0"/>
    <w:rPr>
      <w:rFonts w:ascii="宋体" w:hAnsi="宋体" w:cs="Times New Roman"/>
      <w:snapToGrid w:val="0"/>
      <w:sz w:val="24"/>
      <w:szCs w:val="24"/>
    </w:rPr>
  </w:style>
  <w:style w:type="paragraph" w:customStyle="1" w:styleId="3001">
    <w:name w:val="内苡"/>
    <w:basedOn w:val="1"/>
    <w:link w:val="3002"/>
    <w:semiHidden/>
    <w:qFormat/>
    <w:uiPriority w:val="0"/>
    <w:pPr>
      <w:ind w:firstLine="560" w:firstLineChars="200"/>
      <w:jc w:val="left"/>
    </w:pPr>
    <w:rPr>
      <w:rFonts w:ascii="宋体" w:hAnsi="宋体" w:cs="Times New Roman"/>
      <w:sz w:val="24"/>
      <w:szCs w:val="24"/>
    </w:rPr>
  </w:style>
  <w:style w:type="character" w:customStyle="1" w:styleId="3002">
    <w:name w:val="内苡 Char"/>
    <w:link w:val="3001"/>
    <w:semiHidden/>
    <w:qFormat/>
    <w:uiPriority w:val="0"/>
    <w:rPr>
      <w:rFonts w:ascii="宋体" w:hAnsi="宋体" w:cs="Times New Roman"/>
      <w:sz w:val="24"/>
      <w:szCs w:val="24"/>
    </w:rPr>
  </w:style>
  <w:style w:type="paragraph" w:customStyle="1" w:styleId="3003">
    <w:name w:val="正文内容"/>
    <w:basedOn w:val="1"/>
    <w:link w:val="3004"/>
    <w:semiHidden/>
    <w:qFormat/>
    <w:uiPriority w:val="0"/>
    <w:pPr>
      <w:adjustRightInd w:val="0"/>
      <w:ind w:firstLine="200" w:firstLineChars="200"/>
      <w:jc w:val="left"/>
    </w:pPr>
    <w:rPr>
      <w:rFonts w:ascii="宋体" w:hAnsi="宋体" w:cs="Times New Roman"/>
      <w:sz w:val="24"/>
      <w:szCs w:val="24"/>
    </w:rPr>
  </w:style>
  <w:style w:type="character" w:customStyle="1" w:styleId="3004">
    <w:name w:val="正文内容 Char"/>
    <w:link w:val="3003"/>
    <w:semiHidden/>
    <w:qFormat/>
    <w:uiPriority w:val="0"/>
    <w:rPr>
      <w:rFonts w:ascii="宋体" w:hAnsi="宋体" w:cs="Times New Roman"/>
      <w:sz w:val="24"/>
      <w:szCs w:val="24"/>
    </w:rPr>
  </w:style>
  <w:style w:type="paragraph" w:customStyle="1" w:styleId="3005">
    <w:name w:val="1.1级"/>
    <w:basedOn w:val="1"/>
    <w:semiHidden/>
    <w:qFormat/>
    <w:uiPriority w:val="0"/>
    <w:pPr>
      <w:jc w:val="left"/>
      <w:outlineLvl w:val="1"/>
    </w:pPr>
    <w:rPr>
      <w:rFonts w:ascii="宋体" w:hAnsi="宋体" w:cs="Times New Roman"/>
      <w:b/>
      <w:bCs/>
      <w:sz w:val="24"/>
      <w:szCs w:val="24"/>
    </w:rPr>
  </w:style>
  <w:style w:type="character" w:customStyle="1" w:styleId="3006">
    <w:name w:val="表注 Char"/>
    <w:link w:val="1584"/>
    <w:qFormat/>
    <w:uiPriority w:val="0"/>
    <w:rPr>
      <w:rFonts w:ascii="Times New Roman" w:hAnsi="Times New Roman" w:cs="Times New Roman"/>
      <w:b/>
      <w:spacing w:val="20"/>
      <w:kern w:val="0"/>
      <w:sz w:val="28"/>
      <w:szCs w:val="20"/>
    </w:rPr>
  </w:style>
  <w:style w:type="paragraph" w:customStyle="1" w:styleId="3007">
    <w:name w:val="样式 标题 3 + 宋体 四号"/>
    <w:basedOn w:val="5"/>
    <w:semiHidden/>
    <w:qFormat/>
    <w:uiPriority w:val="0"/>
    <w:pPr>
      <w:spacing w:beforeLines="10" w:after="260" w:line="416" w:lineRule="auto"/>
    </w:pPr>
    <w:rPr>
      <w:rFonts w:ascii="宋体" w:hAnsi="宋体" w:cs="Times New Roman" w:eastAsiaTheme="minorEastAsia"/>
      <w:b w:val="0"/>
      <w:bCs w:val="0"/>
      <w:sz w:val="28"/>
      <w:szCs w:val="28"/>
    </w:rPr>
  </w:style>
  <w:style w:type="paragraph" w:customStyle="1" w:styleId="3008">
    <w:name w:val="3级（2.1.1）"/>
    <w:basedOn w:val="1"/>
    <w:semiHidden/>
    <w:qFormat/>
    <w:uiPriority w:val="0"/>
    <w:pPr>
      <w:jc w:val="left"/>
    </w:pPr>
    <w:rPr>
      <w:rFonts w:ascii="宋体" w:hAnsi="宋体" w:cs="Times New Roman"/>
      <w:b/>
      <w:color w:val="000000"/>
      <w:sz w:val="24"/>
      <w:szCs w:val="24"/>
    </w:rPr>
  </w:style>
  <w:style w:type="character" w:customStyle="1" w:styleId="3009">
    <w:name w:val="subject31"/>
    <w:semiHidden/>
    <w:qFormat/>
    <w:uiPriority w:val="0"/>
    <w:rPr>
      <w:rFonts w:ascii="Tahoma" w:hAnsi="Tahoma" w:eastAsia="宋体"/>
      <w:color w:val="FF0000"/>
      <w:kern w:val="2"/>
      <w:sz w:val="28"/>
      <w:szCs w:val="28"/>
      <w:lang w:val="en-US" w:eastAsia="zh-CN" w:bidi="ar-SA"/>
    </w:rPr>
  </w:style>
  <w:style w:type="character" w:customStyle="1" w:styleId="3010">
    <w:name w:val="style2 style3"/>
    <w:semiHidden/>
    <w:qFormat/>
    <w:uiPriority w:val="0"/>
    <w:rPr>
      <w:rFonts w:ascii="Tahoma" w:hAnsi="Tahoma" w:eastAsia="宋体"/>
      <w:color w:val="FF0000"/>
      <w:kern w:val="2"/>
      <w:sz w:val="21"/>
      <w:szCs w:val="21"/>
      <w:lang w:val="en-US" w:eastAsia="zh-CN" w:bidi="ar-SA"/>
    </w:rPr>
  </w:style>
  <w:style w:type="paragraph" w:customStyle="1" w:styleId="3011">
    <w:name w:val="样式 题注 + 首行缩进:  2 字符1"/>
    <w:basedOn w:val="22"/>
    <w:qFormat/>
    <w:uiPriority w:val="0"/>
    <w:pPr>
      <w:spacing w:beforeLines="10" w:after="160" w:line="400" w:lineRule="exact"/>
      <w:ind w:firstLine="400"/>
      <w:jc w:val="center"/>
    </w:pPr>
    <w:rPr>
      <w:rFonts w:ascii="Arial" w:hAnsi="Arial" w:eastAsia="宋体" w:cs="Times New Roman"/>
      <w:b/>
      <w:snapToGrid w:val="0"/>
      <w:kern w:val="0"/>
      <w:sz w:val="26"/>
    </w:rPr>
  </w:style>
  <w:style w:type="paragraph" w:customStyle="1" w:styleId="3012">
    <w:name w:val="一级条标题"/>
    <w:basedOn w:val="3"/>
    <w:next w:val="1"/>
    <w:qFormat/>
    <w:uiPriority w:val="0"/>
    <w:pPr>
      <w:keepNext w:val="0"/>
      <w:keepLines w:val="0"/>
      <w:widowControl w:val="0"/>
      <w:tabs>
        <w:tab w:val="left" w:pos="1260"/>
      </w:tabs>
      <w:ind w:left="1260" w:hanging="420"/>
      <w:jc w:val="both"/>
      <w:outlineLvl w:val="2"/>
    </w:pPr>
    <w:rPr>
      <w:rFonts w:ascii="黑体" w:cs="Times New Roman"/>
      <w:b w:val="0"/>
      <w:bCs w:val="0"/>
      <w:color w:val="000000" w:themeColor="text1"/>
      <w:kern w:val="0"/>
      <w:sz w:val="21"/>
      <w:szCs w:val="20"/>
      <w14:textFill>
        <w14:solidFill>
          <w14:schemeClr w14:val="tx1"/>
        </w14:solidFill>
      </w14:textFill>
    </w:rPr>
  </w:style>
  <w:style w:type="paragraph" w:customStyle="1" w:styleId="3013">
    <w:name w:val="二级条标题"/>
    <w:basedOn w:val="3012"/>
    <w:next w:val="1"/>
    <w:qFormat/>
    <w:uiPriority w:val="0"/>
    <w:pPr>
      <w:tabs>
        <w:tab w:val="left" w:pos="1680"/>
        <w:tab w:val="clear" w:pos="1260"/>
      </w:tabs>
      <w:ind w:left="1680"/>
      <w:outlineLvl w:val="3"/>
    </w:pPr>
  </w:style>
  <w:style w:type="paragraph" w:customStyle="1" w:styleId="3014">
    <w:name w:val="三级条标题"/>
    <w:basedOn w:val="3013"/>
    <w:next w:val="1"/>
    <w:qFormat/>
    <w:uiPriority w:val="0"/>
    <w:pPr>
      <w:tabs>
        <w:tab w:val="left" w:pos="2100"/>
        <w:tab w:val="clear" w:pos="1680"/>
      </w:tabs>
      <w:ind w:left="2100"/>
      <w:outlineLvl w:val="4"/>
    </w:pPr>
  </w:style>
  <w:style w:type="paragraph" w:customStyle="1" w:styleId="3015">
    <w:name w:val="四级条标题"/>
    <w:basedOn w:val="3014"/>
    <w:next w:val="1"/>
    <w:qFormat/>
    <w:uiPriority w:val="0"/>
    <w:pPr>
      <w:tabs>
        <w:tab w:val="left" w:pos="2520"/>
        <w:tab w:val="clear" w:pos="2100"/>
      </w:tabs>
      <w:ind w:left="2520"/>
      <w:outlineLvl w:val="5"/>
    </w:pPr>
  </w:style>
  <w:style w:type="paragraph" w:customStyle="1" w:styleId="3016">
    <w:name w:val="五级条标题"/>
    <w:basedOn w:val="3015"/>
    <w:next w:val="1"/>
    <w:qFormat/>
    <w:uiPriority w:val="0"/>
    <w:pPr>
      <w:tabs>
        <w:tab w:val="left" w:pos="2940"/>
        <w:tab w:val="clear" w:pos="2520"/>
      </w:tabs>
      <w:ind w:left="2940"/>
      <w:outlineLvl w:val="6"/>
    </w:pPr>
  </w:style>
  <w:style w:type="paragraph" w:customStyle="1" w:styleId="3017">
    <w:name w:val="样式 题注 + 首行缩进:  2 字符2"/>
    <w:basedOn w:val="22"/>
    <w:semiHidden/>
    <w:qFormat/>
    <w:uiPriority w:val="0"/>
    <w:pPr>
      <w:adjustRightInd w:val="0"/>
      <w:spacing w:beforeLines="10" w:after="160" w:line="400" w:lineRule="exact"/>
      <w:ind w:firstLine="400"/>
      <w:jc w:val="center"/>
    </w:pPr>
    <w:rPr>
      <w:rFonts w:ascii="Arial" w:hAnsi="Arial" w:eastAsia="宋体" w:cs="Times New Roman"/>
      <w:snapToGrid w:val="0"/>
      <w:kern w:val="0"/>
      <w:sz w:val="24"/>
      <w:szCs w:val="24"/>
    </w:rPr>
  </w:style>
  <w:style w:type="paragraph" w:customStyle="1" w:styleId="3018">
    <w:name w:val="样式 四号 居中"/>
    <w:basedOn w:val="1"/>
    <w:qFormat/>
    <w:uiPriority w:val="0"/>
    <w:pPr>
      <w:jc w:val="center"/>
    </w:pPr>
    <w:rPr>
      <w:rFonts w:ascii="宋体" w:hAnsi="Times New Roman" w:cs="Times New Roman"/>
      <w:sz w:val="24"/>
      <w:szCs w:val="20"/>
    </w:rPr>
  </w:style>
  <w:style w:type="paragraph" w:customStyle="1" w:styleId="3019">
    <w:name w:val="样式 样式 题注 + 居中 首行缩进:  2 字符 + 首行缩进:  2 字符"/>
    <w:basedOn w:val="1"/>
    <w:semiHidden/>
    <w:qFormat/>
    <w:uiPriority w:val="0"/>
    <w:pPr>
      <w:adjustRightInd w:val="0"/>
      <w:spacing w:after="160" w:line="400" w:lineRule="exact"/>
      <w:ind w:firstLine="560" w:firstLineChars="200"/>
      <w:jc w:val="center"/>
    </w:pPr>
    <w:rPr>
      <w:rFonts w:ascii="宋体" w:hAnsi="Times New Roman" w:cs="Times New Roman"/>
      <w:sz w:val="24"/>
      <w:szCs w:val="24"/>
    </w:rPr>
  </w:style>
  <w:style w:type="paragraph" w:customStyle="1" w:styleId="3020">
    <w:name w:val="样式 样式 样式 普通文字 + (西文) Times New Roman (中文) 仿宋_GB2312 四号 首行缩进:  2 ...2"/>
    <w:basedOn w:val="1"/>
    <w:semiHidden/>
    <w:qFormat/>
    <w:uiPriority w:val="0"/>
    <w:pPr>
      <w:adjustRightInd w:val="0"/>
      <w:spacing w:line="300" w:lineRule="auto"/>
      <w:ind w:left="-4" w:firstLine="423" w:firstLineChars="151"/>
      <w:jc w:val="left"/>
    </w:pPr>
    <w:rPr>
      <w:rFonts w:ascii="宋体" w:hAnsi="Times New Roman" w:cs="Times New Roman"/>
      <w:color w:val="FF0000"/>
      <w:sz w:val="24"/>
      <w:szCs w:val="24"/>
    </w:rPr>
  </w:style>
  <w:style w:type="paragraph" w:customStyle="1" w:styleId="3021">
    <w:name w:val="正文－other"/>
    <w:basedOn w:val="1"/>
    <w:semiHidden/>
    <w:qFormat/>
    <w:uiPriority w:val="0"/>
    <w:pPr>
      <w:spacing w:line="400" w:lineRule="exact"/>
      <w:ind w:firstLine="480" w:firstLineChars="200"/>
      <w:jc w:val="left"/>
    </w:pPr>
    <w:rPr>
      <w:rFonts w:ascii="宋体" w:hAnsi="Times New Roman" w:cs="Times New Roman"/>
      <w:sz w:val="24"/>
      <w:szCs w:val="20"/>
    </w:rPr>
  </w:style>
  <w:style w:type="paragraph" w:customStyle="1" w:styleId="3022">
    <w:name w:val="样式 题注 + 居中 首行缩进:  2 字符"/>
    <w:basedOn w:val="1"/>
    <w:semiHidden/>
    <w:qFormat/>
    <w:uiPriority w:val="0"/>
    <w:pPr>
      <w:adjustRightInd w:val="0"/>
      <w:spacing w:after="160" w:line="400" w:lineRule="exact"/>
      <w:ind w:firstLine="480" w:firstLineChars="200"/>
      <w:jc w:val="center"/>
    </w:pPr>
    <w:rPr>
      <w:rFonts w:ascii="Arial" w:hAnsi="Arial" w:eastAsia="黑体" w:cs="Times New Roman"/>
      <w:sz w:val="24"/>
      <w:szCs w:val="20"/>
    </w:rPr>
  </w:style>
  <w:style w:type="paragraph" w:customStyle="1" w:styleId="3023">
    <w:name w:val="样式 样式 普通文字 + (西文) Times New Roman (中文) 仿宋_GB2312 四号 首行缩进:  2 字符...."/>
    <w:basedOn w:val="1"/>
    <w:semiHidden/>
    <w:qFormat/>
    <w:uiPriority w:val="0"/>
    <w:pPr>
      <w:spacing w:line="400" w:lineRule="exact"/>
      <w:ind w:firstLine="200" w:firstLineChars="200"/>
      <w:jc w:val="left"/>
    </w:pPr>
    <w:rPr>
      <w:rFonts w:ascii="宋体" w:hAnsi="Times New Roman" w:cs="Times New Roman"/>
      <w:sz w:val="24"/>
      <w:szCs w:val="24"/>
    </w:rPr>
  </w:style>
  <w:style w:type="paragraph" w:customStyle="1" w:styleId="3024">
    <w:name w:val="样式 题注 + 首行缩进:  2 字符4"/>
    <w:basedOn w:val="22"/>
    <w:semiHidden/>
    <w:qFormat/>
    <w:uiPriority w:val="0"/>
    <w:pPr>
      <w:adjustRightInd w:val="0"/>
      <w:spacing w:beforeLines="10" w:after="160" w:line="400" w:lineRule="exact"/>
      <w:ind w:firstLine="400"/>
      <w:jc w:val="center"/>
    </w:pPr>
    <w:rPr>
      <w:rFonts w:ascii="Arial" w:hAnsi="Arial" w:eastAsia="宋体" w:cs="Times New Roman"/>
      <w:b/>
      <w:snapToGrid w:val="0"/>
      <w:kern w:val="0"/>
      <w:sz w:val="24"/>
    </w:rPr>
  </w:style>
  <w:style w:type="character" w:customStyle="1" w:styleId="3025">
    <w:name w:val="样式 (中文) 仿宋_GB2312 四号"/>
    <w:semiHidden/>
    <w:qFormat/>
    <w:uiPriority w:val="0"/>
    <w:rPr>
      <w:rFonts w:ascii="Tahoma" w:hAnsi="Tahoma" w:eastAsia="宋体"/>
      <w:color w:val="FF0000"/>
      <w:kern w:val="2"/>
      <w:sz w:val="24"/>
      <w:szCs w:val="21"/>
      <w:lang w:val="en-US" w:eastAsia="zh-CN" w:bidi="ar-SA"/>
    </w:rPr>
  </w:style>
  <w:style w:type="paragraph" w:customStyle="1" w:styleId="3026">
    <w:name w:val="标题2－99"/>
    <w:basedOn w:val="4"/>
    <w:semiHidden/>
    <w:qFormat/>
    <w:uiPriority w:val="0"/>
    <w:pPr>
      <w:spacing w:after="120" w:line="240" w:lineRule="auto"/>
      <w:jc w:val="both"/>
    </w:pPr>
    <w:rPr>
      <w:rFonts w:ascii="Arial" w:hAnsi="Arial" w:cs="Times New Roman" w:eastAsiaTheme="minorEastAsia"/>
      <w:b w:val="0"/>
      <w:bCs w:val="0"/>
      <w:color w:val="000000" w:themeColor="text1"/>
      <w:szCs w:val="28"/>
      <w14:textFill>
        <w14:solidFill>
          <w14:schemeClr w14:val="tx1"/>
        </w14:solidFill>
      </w14:textFill>
    </w:rPr>
  </w:style>
  <w:style w:type="paragraph" w:customStyle="1" w:styleId="3027">
    <w:name w:val="样式 样式 样式 普通文字 + (西文) Times New Roman (中文) 仿宋_GB2312 四号 首行缩进:  2 ...1"/>
    <w:basedOn w:val="1"/>
    <w:semiHidden/>
    <w:qFormat/>
    <w:uiPriority w:val="0"/>
    <w:pPr>
      <w:spacing w:line="480" w:lineRule="atLeast"/>
      <w:ind w:firstLine="600" w:firstLineChars="200"/>
      <w:jc w:val="left"/>
    </w:pPr>
    <w:rPr>
      <w:rFonts w:ascii="宋体" w:hAnsi="Times New Roman" w:cs="Times New Roman"/>
      <w:sz w:val="30"/>
      <w:szCs w:val="20"/>
    </w:rPr>
  </w:style>
  <w:style w:type="character" w:customStyle="1" w:styleId="3028">
    <w:name w:val="lineheight"/>
    <w:semiHidden/>
    <w:qFormat/>
    <w:uiPriority w:val="0"/>
    <w:rPr>
      <w:rFonts w:ascii="Tahoma" w:hAnsi="Tahoma" w:eastAsia="宋体"/>
      <w:color w:val="FF0000"/>
      <w:kern w:val="2"/>
      <w:sz w:val="21"/>
      <w:szCs w:val="21"/>
      <w:lang w:val="en-US" w:eastAsia="zh-CN" w:bidi="ar-SA"/>
    </w:rPr>
  </w:style>
  <w:style w:type="paragraph" w:customStyle="1" w:styleId="3029">
    <w:name w:val="标题1－99"/>
    <w:basedOn w:val="3"/>
    <w:semiHidden/>
    <w:qFormat/>
    <w:uiPriority w:val="0"/>
    <w:pPr>
      <w:widowControl w:val="0"/>
      <w:tabs>
        <w:tab w:val="left" w:pos="851"/>
      </w:tabs>
      <w:adjustRightInd w:val="0"/>
      <w:spacing w:beforeLines="200" w:line="400" w:lineRule="exact"/>
      <w:ind w:left="851" w:hanging="851" w:firstLineChars="200"/>
    </w:pPr>
    <w:rPr>
      <w:rFonts w:ascii="宋体" w:cs="Times New Roman"/>
      <w:bCs w:val="0"/>
      <w:color w:val="000000" w:themeColor="text1"/>
      <w:kern w:val="0"/>
      <w:sz w:val="32"/>
      <w:szCs w:val="28"/>
      <w14:textFill>
        <w14:solidFill>
          <w14:schemeClr w14:val="tx1"/>
        </w14:solidFill>
      </w14:textFill>
    </w:rPr>
  </w:style>
  <w:style w:type="paragraph" w:customStyle="1" w:styleId="3030">
    <w:name w:val="样式 标题4－99 + 倾斜"/>
    <w:basedOn w:val="2800"/>
    <w:semiHidden/>
    <w:qFormat/>
    <w:uiPriority w:val="0"/>
    <w:pPr>
      <w:tabs>
        <w:tab w:val="left" w:pos="904"/>
        <w:tab w:val="clear" w:pos="0"/>
      </w:tabs>
      <w:ind w:left="904" w:hanging="484"/>
    </w:pPr>
    <w:rPr>
      <w:rFonts w:eastAsia="黑体"/>
      <w:b/>
      <w:i/>
      <w:iCs/>
      <w:sz w:val="24"/>
      <w:szCs w:val="28"/>
    </w:rPr>
  </w:style>
  <w:style w:type="paragraph" w:customStyle="1" w:styleId="3031">
    <w:name w:val="样式 标题 2 + 段前: 7.8 磅 段后: 0 磅 行距: 固定值 20 磅"/>
    <w:basedOn w:val="4"/>
    <w:semiHidden/>
    <w:qFormat/>
    <w:uiPriority w:val="0"/>
    <w:pPr>
      <w:tabs>
        <w:tab w:val="left" w:pos="1260"/>
      </w:tabs>
      <w:adjustRightInd w:val="0"/>
      <w:spacing w:before="156" w:line="400" w:lineRule="exact"/>
      <w:ind w:left="1260" w:hanging="420"/>
    </w:pPr>
    <w:rPr>
      <w:rFonts w:ascii="宋体" w:cs="Times New Roman" w:eastAsiaTheme="minorEastAsia"/>
      <w:bCs w:val="0"/>
      <w:color w:val="000000" w:themeColor="text1"/>
      <w:szCs w:val="28"/>
      <w14:textFill>
        <w14:solidFill>
          <w14:schemeClr w14:val="tx1"/>
        </w14:solidFill>
      </w14:textFill>
    </w:rPr>
  </w:style>
  <w:style w:type="paragraph" w:customStyle="1" w:styleId="3032">
    <w:name w:val="样式 标题 3 + 左侧:  1 厘米 悬挂缩进: 5.67 字符 段后: 0 磅 行距: 固定值 20 磅"/>
    <w:basedOn w:val="5"/>
    <w:semiHidden/>
    <w:qFormat/>
    <w:uiPriority w:val="0"/>
    <w:pPr>
      <w:keepLines w:val="0"/>
      <w:tabs>
        <w:tab w:val="left" w:pos="1260"/>
      </w:tabs>
      <w:adjustRightInd w:val="0"/>
      <w:spacing w:beforeLines="10" w:after="81" w:line="400" w:lineRule="exact"/>
      <w:ind w:left="1260" w:hanging="420"/>
    </w:pPr>
    <w:rPr>
      <w:rFonts w:ascii="宋体" w:eastAsia="黑体" w:cs="Times New Roman"/>
      <w:bCs w:val="0"/>
      <w:szCs w:val="20"/>
    </w:rPr>
  </w:style>
  <w:style w:type="paragraph" w:customStyle="1" w:styleId="3033">
    <w:name w:val="样式 题注 + 首行缩进:  2 字符"/>
    <w:basedOn w:val="22"/>
    <w:qFormat/>
    <w:uiPriority w:val="0"/>
    <w:pPr>
      <w:spacing w:beforeLines="10" w:after="160" w:line="400" w:lineRule="exact"/>
      <w:ind w:firstLine="400"/>
      <w:jc w:val="center"/>
    </w:pPr>
    <w:rPr>
      <w:rFonts w:ascii="Arial" w:hAnsi="Arial" w:eastAsia="宋体" w:cs="Times New Roman"/>
      <w:b/>
      <w:snapToGrid w:val="0"/>
      <w:kern w:val="0"/>
      <w:sz w:val="26"/>
    </w:rPr>
  </w:style>
  <w:style w:type="paragraph" w:customStyle="1" w:styleId="3034">
    <w:name w:val="样式 正文（首行缩进两字） + 首行缩进:  2 字符 行距: 固定值 23 磅"/>
    <w:basedOn w:val="1"/>
    <w:semiHidden/>
    <w:qFormat/>
    <w:uiPriority w:val="0"/>
    <w:pPr>
      <w:spacing w:afterLines="600" w:line="400" w:lineRule="exact"/>
      <w:ind w:firstLine="200" w:firstLineChars="200"/>
      <w:jc w:val="left"/>
    </w:pPr>
    <w:rPr>
      <w:rFonts w:ascii="宋体" w:hAnsi="Calibri" w:cs="Times New Roman"/>
      <w:sz w:val="24"/>
      <w:szCs w:val="20"/>
    </w:rPr>
  </w:style>
  <w:style w:type="paragraph" w:customStyle="1" w:styleId="3035">
    <w:name w:val="小四题注1"/>
    <w:basedOn w:val="3017"/>
    <w:semiHidden/>
    <w:qFormat/>
    <w:uiPriority w:val="0"/>
    <w:rPr>
      <w:rFonts w:ascii="宋体" w:hAnsi="宋体"/>
      <w:bCs/>
    </w:rPr>
  </w:style>
  <w:style w:type="paragraph" w:customStyle="1" w:styleId="3036">
    <w:name w:val="样式 宋体 首行缩进:  2 字符 行距: 固定值 23 磅"/>
    <w:basedOn w:val="1"/>
    <w:semiHidden/>
    <w:qFormat/>
    <w:uiPriority w:val="0"/>
    <w:pPr>
      <w:spacing w:line="400" w:lineRule="exact"/>
      <w:ind w:firstLine="200" w:firstLineChars="200"/>
      <w:jc w:val="left"/>
    </w:pPr>
    <w:rPr>
      <w:rFonts w:ascii="宋体" w:hAnsi="宋体" w:cs="Times New Roman"/>
      <w:sz w:val="24"/>
      <w:szCs w:val="20"/>
    </w:rPr>
  </w:style>
  <w:style w:type="paragraph" w:customStyle="1" w:styleId="3037">
    <w:name w:val="章  一、"/>
    <w:semiHidden/>
    <w:qFormat/>
    <w:uiPriority w:val="0"/>
    <w:pPr>
      <w:spacing w:line="480" w:lineRule="auto"/>
      <w:jc w:val="both"/>
    </w:pPr>
    <w:rPr>
      <w:rFonts w:ascii="Times New Roman" w:hAnsi="Times New Roman" w:eastAsia="宋体" w:cs="Times New Roman"/>
      <w:b/>
      <w:sz w:val="32"/>
      <w:lang w:val="en-US" w:eastAsia="zh-CN" w:bidi="ar-SA"/>
    </w:rPr>
  </w:style>
  <w:style w:type="character" w:customStyle="1" w:styleId="3038">
    <w:name w:val="px14-zw1"/>
    <w:semiHidden/>
    <w:qFormat/>
    <w:uiPriority w:val="0"/>
    <w:rPr>
      <w:rFonts w:ascii="Tahoma" w:hAnsi="Tahoma" w:eastAsia="宋体"/>
      <w:color w:val="303030"/>
      <w:kern w:val="2"/>
      <w:sz w:val="21"/>
      <w:szCs w:val="21"/>
      <w:u w:val="none"/>
      <w:lang w:val="en-US" w:eastAsia="zh-CN" w:bidi="ar-SA"/>
    </w:rPr>
  </w:style>
  <w:style w:type="paragraph" w:customStyle="1" w:styleId="3039">
    <w:name w:val="正文 + 14 磅"/>
    <w:basedOn w:val="1"/>
    <w:semiHidden/>
    <w:qFormat/>
    <w:uiPriority w:val="0"/>
    <w:pPr>
      <w:adjustRightInd w:val="0"/>
      <w:spacing w:line="300" w:lineRule="auto"/>
      <w:jc w:val="left"/>
    </w:pPr>
    <w:rPr>
      <w:rFonts w:ascii="宋体" w:hAnsi="Times New Roman" w:cs="Times New Roman"/>
      <w:sz w:val="24"/>
      <w:szCs w:val="24"/>
    </w:rPr>
  </w:style>
  <w:style w:type="paragraph" w:customStyle="1" w:styleId="3040">
    <w:name w:val="bullet list"/>
    <w:basedOn w:val="1"/>
    <w:semiHidden/>
    <w:qFormat/>
    <w:uiPriority w:val="0"/>
    <w:pPr>
      <w:widowControl/>
      <w:tabs>
        <w:tab w:val="left" w:pos="576"/>
        <w:tab w:val="left" w:pos="1080"/>
      </w:tabs>
      <w:spacing w:line="264" w:lineRule="auto"/>
      <w:ind w:left="1080" w:hanging="450"/>
      <w:jc w:val="left"/>
    </w:pPr>
    <w:rPr>
      <w:rFonts w:ascii="Arial" w:hAnsi="Arial" w:eastAsia="仿宋_GB2312" w:cs="Times New Roman"/>
      <w:color w:val="000000"/>
      <w:kern w:val="0"/>
      <w:sz w:val="22"/>
      <w:szCs w:val="20"/>
      <w:lang w:eastAsia="en-US"/>
    </w:rPr>
  </w:style>
  <w:style w:type="paragraph" w:customStyle="1" w:styleId="3041">
    <w:name w:val="正文 居中"/>
    <w:basedOn w:val="1"/>
    <w:semiHidden/>
    <w:qFormat/>
    <w:uiPriority w:val="0"/>
    <w:pPr>
      <w:widowControl/>
      <w:spacing w:line="240" w:lineRule="exact"/>
      <w:ind w:left="-59" w:leftChars="-21" w:firstLine="1"/>
      <w:jc w:val="center"/>
    </w:pPr>
    <w:rPr>
      <w:rFonts w:ascii="宋体" w:hAnsi="宋体" w:cs="Times New Roman"/>
      <w:snapToGrid w:val="0"/>
      <w:kern w:val="0"/>
      <w:sz w:val="24"/>
      <w:szCs w:val="24"/>
      <w:lang w:val="zh-CN"/>
    </w:rPr>
  </w:style>
  <w:style w:type="character" w:customStyle="1" w:styleId="3042">
    <w:name w:val="样式 宋体 四号 首行缩进:  0.35 厘米 行距: 1.5 倍行距"/>
    <w:semiHidden/>
    <w:qFormat/>
    <w:uiPriority w:val="0"/>
    <w:rPr>
      <w:rFonts w:ascii="宋体" w:hAnsi="宋体" w:eastAsia="宋体"/>
      <w:color w:val="FF0000"/>
      <w:kern w:val="2"/>
      <w:sz w:val="28"/>
      <w:szCs w:val="28"/>
      <w:lang w:val="en-US" w:eastAsia="zh-CN" w:bidi="ar-SA"/>
    </w:rPr>
  </w:style>
  <w:style w:type="paragraph" w:customStyle="1" w:styleId="3043">
    <w:name w:val="样式 行距: 最小值 12 磅"/>
    <w:basedOn w:val="1"/>
    <w:semiHidden/>
    <w:qFormat/>
    <w:uiPriority w:val="0"/>
    <w:pPr>
      <w:ind w:firstLine="560" w:firstLineChars="200"/>
      <w:jc w:val="left"/>
    </w:pPr>
    <w:rPr>
      <w:rFonts w:ascii="宋体" w:hAnsi="宋体" w:eastAsia="楷体_GB2312" w:cs="宋体"/>
      <w:sz w:val="24"/>
      <w:szCs w:val="24"/>
    </w:rPr>
  </w:style>
  <w:style w:type="paragraph" w:customStyle="1" w:styleId="3044">
    <w:name w:val="表 5号"/>
    <w:basedOn w:val="1"/>
    <w:semiHidden/>
    <w:qFormat/>
    <w:uiPriority w:val="0"/>
    <w:pPr>
      <w:spacing w:line="240" w:lineRule="exact"/>
      <w:jc w:val="left"/>
    </w:pPr>
    <w:rPr>
      <w:rFonts w:ascii="宋体" w:hAnsi="Times New Roman" w:cs="Times New Roman"/>
      <w:sz w:val="24"/>
    </w:rPr>
  </w:style>
  <w:style w:type="paragraph" w:customStyle="1" w:styleId="3045">
    <w:name w:val="样式 表 5号 + 居中 首行缩进:  0.97 厘米"/>
    <w:basedOn w:val="3044"/>
    <w:semiHidden/>
    <w:qFormat/>
    <w:uiPriority w:val="0"/>
    <w:pPr>
      <w:jc w:val="center"/>
    </w:pPr>
    <w:rPr>
      <w:rFonts w:cs="宋体"/>
      <w:szCs w:val="20"/>
    </w:rPr>
  </w:style>
  <w:style w:type="paragraph" w:customStyle="1" w:styleId="3046">
    <w:name w:val="样式 标题 6 + 首行缩进:  2 字符"/>
    <w:basedOn w:val="8"/>
    <w:semiHidden/>
    <w:qFormat/>
    <w:uiPriority w:val="0"/>
    <w:pPr>
      <w:keepNext w:val="0"/>
      <w:keepLines w:val="0"/>
      <w:adjustRightInd/>
      <w:spacing w:beforeLines="10" w:after="0" w:line="360" w:lineRule="auto"/>
    </w:pPr>
    <w:rPr>
      <w:rFonts w:ascii="Arial" w:hAnsi="Arial" w:eastAsia="黑体" w:cs="宋体"/>
      <w:b w:val="0"/>
      <w:bCs w:val="0"/>
      <w:snapToGrid w:val="0"/>
      <w:color w:val="000000"/>
      <w:kern w:val="0"/>
      <w:sz w:val="28"/>
      <w:szCs w:val="28"/>
    </w:rPr>
  </w:style>
  <w:style w:type="paragraph" w:customStyle="1" w:styleId="3047">
    <w:name w:val="样式 样式 标题 6 + 首行缩进:  2 字符 + 首行缩进:  2 字符"/>
    <w:basedOn w:val="3046"/>
    <w:semiHidden/>
    <w:qFormat/>
    <w:uiPriority w:val="0"/>
    <w:pPr>
      <w:spacing w:line="240" w:lineRule="atLeast"/>
    </w:pPr>
    <w:rPr>
      <w:szCs w:val="20"/>
    </w:rPr>
  </w:style>
  <w:style w:type="paragraph" w:customStyle="1" w:styleId="3048">
    <w:name w:val="样式 样式 样式 标题 6 + 首行缩进:  2 字符 + 首行缩进:  2 字符 + 首行缩进:  2 字符"/>
    <w:basedOn w:val="3047"/>
    <w:semiHidden/>
    <w:qFormat/>
    <w:uiPriority w:val="0"/>
  </w:style>
  <w:style w:type="paragraph" w:customStyle="1" w:styleId="3049">
    <w:name w:val="样式 样式 样式 样式 标题 6 + 首行缩进:  2 字符 + 首行缩进:  2 字符 + 首行缩进:  2 字符 + 首行缩..."/>
    <w:basedOn w:val="3048"/>
    <w:semiHidden/>
    <w:qFormat/>
    <w:uiPriority w:val="0"/>
  </w:style>
  <w:style w:type="paragraph" w:customStyle="1" w:styleId="3050">
    <w:name w:val="样式 正文 居中 + (中文) 黑体 四号 两端对齐 行距: 最小值 12 磅"/>
    <w:basedOn w:val="3041"/>
    <w:semiHidden/>
    <w:qFormat/>
    <w:uiPriority w:val="0"/>
    <w:pPr>
      <w:widowControl w:val="0"/>
      <w:spacing w:line="340" w:lineRule="exact"/>
      <w:ind w:firstLine="420" w:firstLineChars="200"/>
      <w:jc w:val="both"/>
    </w:pPr>
    <w:rPr>
      <w:rFonts w:ascii="楷体_GB2312" w:eastAsia="楷体_GB2312" w:cs="宋体"/>
      <w:color w:val="000000"/>
      <w:kern w:val="28"/>
    </w:rPr>
  </w:style>
  <w:style w:type="paragraph" w:customStyle="1" w:styleId="3051">
    <w:name w:val="样式 (西文) 宋体 (中文) 黑体 四号 居中 行距: 固定值 12 磅"/>
    <w:basedOn w:val="1"/>
    <w:semiHidden/>
    <w:qFormat/>
    <w:uiPriority w:val="0"/>
    <w:pPr>
      <w:wordWrap w:val="0"/>
      <w:spacing w:beforeLines="50" w:afterLines="50" w:line="240" w:lineRule="exact"/>
      <w:jc w:val="right"/>
    </w:pPr>
    <w:rPr>
      <w:rFonts w:ascii="宋体" w:hAnsi="宋体" w:cs="宋体"/>
      <w:b/>
      <w:kern w:val="28"/>
      <w:sz w:val="24"/>
      <w:szCs w:val="24"/>
    </w:rPr>
  </w:style>
  <w:style w:type="paragraph" w:customStyle="1" w:styleId="3052">
    <w:name w:val="样式 (西文) 宋体 (中文) 黑体 四号"/>
    <w:basedOn w:val="1"/>
    <w:semiHidden/>
    <w:qFormat/>
    <w:uiPriority w:val="0"/>
    <w:pPr>
      <w:ind w:firstLine="480" w:firstLineChars="200"/>
      <w:jc w:val="left"/>
    </w:pPr>
    <w:rPr>
      <w:rFonts w:ascii="宋体" w:hAnsi="宋体" w:cs="宋体"/>
      <w:kern w:val="28"/>
      <w:sz w:val="24"/>
      <w:szCs w:val="24"/>
      <w:lang w:val="zh-CN"/>
    </w:rPr>
  </w:style>
  <w:style w:type="paragraph" w:customStyle="1" w:styleId="3053">
    <w:name w:val="样式 (西文) 宋体 (中文) 黑体 四号 左侧:  0.63 厘米"/>
    <w:basedOn w:val="1"/>
    <w:semiHidden/>
    <w:qFormat/>
    <w:uiPriority w:val="0"/>
    <w:pPr>
      <w:ind w:left="360"/>
      <w:jc w:val="left"/>
    </w:pPr>
    <w:rPr>
      <w:rFonts w:ascii="宋体" w:hAnsi="宋体" w:cs="宋体"/>
      <w:kern w:val="28"/>
      <w:sz w:val="24"/>
      <w:szCs w:val="20"/>
    </w:rPr>
  </w:style>
  <w:style w:type="character" w:customStyle="1" w:styleId="3054">
    <w:name w:val="样式 (西文) 宋体 (中文) 黑体 四号2"/>
    <w:semiHidden/>
    <w:qFormat/>
    <w:uiPriority w:val="0"/>
    <w:rPr>
      <w:rFonts w:ascii="宋体" w:hAnsi="宋体" w:eastAsia="宋体"/>
      <w:color w:val="FF0000"/>
      <w:kern w:val="2"/>
      <w:sz w:val="28"/>
      <w:szCs w:val="21"/>
      <w:lang w:val="en-US" w:eastAsia="zh-CN" w:bidi="ar-SA"/>
    </w:rPr>
  </w:style>
  <w:style w:type="paragraph" w:customStyle="1" w:styleId="3055">
    <w:name w:val="样式 (西文) 宋体 (中文) 黑体 四号 首行缩进:  0.99 厘米"/>
    <w:basedOn w:val="1"/>
    <w:semiHidden/>
    <w:qFormat/>
    <w:uiPriority w:val="0"/>
    <w:pPr>
      <w:ind w:firstLine="420" w:firstLineChars="150"/>
      <w:jc w:val="left"/>
    </w:pPr>
    <w:rPr>
      <w:rFonts w:ascii="宋体" w:hAnsi="宋体" w:cs="宋体"/>
      <w:kern w:val="28"/>
      <w:sz w:val="24"/>
      <w:szCs w:val="24"/>
      <w:lang w:val="zh-CN"/>
    </w:rPr>
  </w:style>
  <w:style w:type="paragraph" w:customStyle="1" w:styleId="3056">
    <w:name w:val="样式 (西文) 宋体 (中文) 黑体 四号1"/>
    <w:basedOn w:val="1"/>
    <w:semiHidden/>
    <w:qFormat/>
    <w:uiPriority w:val="0"/>
    <w:pPr>
      <w:ind w:firstLine="480" w:firstLineChars="200"/>
      <w:jc w:val="left"/>
    </w:pPr>
    <w:rPr>
      <w:rFonts w:ascii="宋体" w:hAnsi="宋体" w:cs="宋体"/>
      <w:kern w:val="28"/>
      <w:sz w:val="24"/>
      <w:szCs w:val="24"/>
      <w:lang w:val="zh-CN"/>
    </w:rPr>
  </w:style>
  <w:style w:type="paragraph" w:customStyle="1" w:styleId="3057">
    <w:name w:val="样式 标题 4标题 4 Char4 dashd3dash Char Chardash Char + (西文) 宋体"/>
    <w:basedOn w:val="6"/>
    <w:link w:val="3058"/>
    <w:semiHidden/>
    <w:qFormat/>
    <w:uiPriority w:val="0"/>
    <w:pPr>
      <w:tabs>
        <w:tab w:val="left" w:pos="0"/>
      </w:tabs>
      <w:spacing w:line="240" w:lineRule="auto"/>
      <w:ind w:firstLine="560" w:firstLineChars="200"/>
      <w:jc w:val="both"/>
    </w:pPr>
    <w:rPr>
      <w:rFonts w:cs="Times New Roman" w:eastAsiaTheme="minorEastAsia"/>
      <w:b w:val="0"/>
      <w:bCs w:val="0"/>
      <w:szCs w:val="20"/>
      <w:lang w:val="zh-CN"/>
    </w:rPr>
  </w:style>
  <w:style w:type="character" w:customStyle="1" w:styleId="3058">
    <w:name w:val="样式 标题 4标题 4 Char4 dashd3dash Char Chardash Char + (西文) 宋体 Char"/>
    <w:link w:val="3057"/>
    <w:semiHidden/>
    <w:qFormat/>
    <w:uiPriority w:val="0"/>
    <w:rPr>
      <w:rFonts w:ascii="Times New Roman" w:hAnsi="Times New Roman" w:cs="Times New Roman"/>
      <w:sz w:val="24"/>
      <w:szCs w:val="20"/>
      <w:lang w:val="zh-CN"/>
    </w:rPr>
  </w:style>
  <w:style w:type="paragraph" w:customStyle="1" w:styleId="3059">
    <w:name w:val="样式 标题 4标题 4 Char4 dashd3dash Char Chardash Char + (西文) 宋体1"/>
    <w:basedOn w:val="6"/>
    <w:link w:val="3060"/>
    <w:semiHidden/>
    <w:qFormat/>
    <w:uiPriority w:val="0"/>
    <w:pPr>
      <w:tabs>
        <w:tab w:val="left" w:pos="0"/>
      </w:tabs>
      <w:spacing w:line="240" w:lineRule="auto"/>
      <w:ind w:firstLine="560" w:firstLineChars="200"/>
      <w:jc w:val="both"/>
    </w:pPr>
    <w:rPr>
      <w:rFonts w:eastAsia="黑体" w:cs="Times New Roman"/>
      <w:b w:val="0"/>
      <w:bCs w:val="0"/>
      <w:kern w:val="28"/>
      <w:szCs w:val="24"/>
      <w:lang w:val="zh-CN"/>
    </w:rPr>
  </w:style>
  <w:style w:type="character" w:customStyle="1" w:styleId="3060">
    <w:name w:val="样式 标题 4标题 4 Char4 dashd3dash Char Chardash Char + (西文) 宋体1 Char"/>
    <w:link w:val="3059"/>
    <w:semiHidden/>
    <w:qFormat/>
    <w:uiPriority w:val="0"/>
    <w:rPr>
      <w:rFonts w:ascii="Times New Roman" w:hAnsi="Times New Roman" w:eastAsia="黑体" w:cs="Times New Roman"/>
      <w:kern w:val="28"/>
      <w:sz w:val="24"/>
      <w:szCs w:val="24"/>
      <w:lang w:val="zh-CN"/>
    </w:rPr>
  </w:style>
  <w:style w:type="paragraph" w:customStyle="1" w:styleId="3061">
    <w:name w:val="样式 标题 33 bullet2 Char Char标题 313 bullet12 Char Char Char2 ..."/>
    <w:basedOn w:val="5"/>
    <w:link w:val="3062"/>
    <w:semiHidden/>
    <w:qFormat/>
    <w:uiPriority w:val="0"/>
    <w:pPr>
      <w:spacing w:beforeLines="10" w:after="81" w:line="240" w:lineRule="auto"/>
    </w:pPr>
    <w:rPr>
      <w:rFonts w:ascii="楷体_GB2312" w:hAnsi="宋体" w:eastAsia="楷体_GB2312" w:cs="Times New Roman"/>
      <w:bCs w:val="0"/>
      <w:color w:val="000000"/>
      <w:kern w:val="0"/>
      <w:sz w:val="28"/>
      <w:szCs w:val="28"/>
      <w:lang w:val="zh-CN"/>
    </w:rPr>
  </w:style>
  <w:style w:type="character" w:customStyle="1" w:styleId="3062">
    <w:name w:val="样式 标题 33 bullet2 Char Char标题 313 bullet12 Char Char Char2 ... Char"/>
    <w:link w:val="3061"/>
    <w:semiHidden/>
    <w:qFormat/>
    <w:uiPriority w:val="0"/>
    <w:rPr>
      <w:rFonts w:ascii="楷体_GB2312" w:hAnsi="宋体" w:eastAsia="楷体_GB2312" w:cs="Times New Roman"/>
      <w:b/>
      <w:color w:val="000000"/>
      <w:kern w:val="0"/>
      <w:sz w:val="28"/>
      <w:szCs w:val="28"/>
      <w:lang w:val="zh-CN"/>
    </w:rPr>
  </w:style>
  <w:style w:type="paragraph" w:customStyle="1" w:styleId="3063">
    <w:name w:val="样式 标题 2节，一宋三标题 2 Char2 headlinehheadlineS&amp;R2ERMH2 Char C..."/>
    <w:basedOn w:val="4"/>
    <w:semiHidden/>
    <w:qFormat/>
    <w:uiPriority w:val="0"/>
    <w:pPr>
      <w:tabs>
        <w:tab w:val="left" w:pos="-108"/>
      </w:tabs>
      <w:spacing w:before="10" w:line="240" w:lineRule="auto"/>
      <w:jc w:val="both"/>
    </w:pPr>
    <w:rPr>
      <w:rFonts w:ascii="宋体" w:hAnsi="宋体" w:cs="Times New Roman" w:eastAsiaTheme="minorEastAsia"/>
      <w:bCs w:val="0"/>
      <w:color w:val="000000" w:themeColor="text1"/>
      <w:szCs w:val="24"/>
      <w14:textFill>
        <w14:solidFill>
          <w14:schemeClr w14:val="tx1"/>
        </w14:solidFill>
      </w14:textFill>
    </w:rPr>
  </w:style>
  <w:style w:type="paragraph" w:customStyle="1" w:styleId="3064">
    <w:name w:val="样式 标题 1章名11121314151111211311611212213217113123..."/>
    <w:basedOn w:val="3"/>
    <w:semiHidden/>
    <w:qFormat/>
    <w:uiPriority w:val="0"/>
    <w:pPr>
      <w:widowControl w:val="0"/>
      <w:spacing w:beforeLines="50" w:afterLines="50"/>
      <w:ind w:firstLine="200" w:firstLineChars="200"/>
    </w:pPr>
    <w:rPr>
      <w:rFonts w:ascii="宋体" w:hAnsi="宋体" w:cs="Times New Roman"/>
      <w:color w:val="000000" w:themeColor="text1"/>
      <w:kern w:val="2"/>
      <w:sz w:val="32"/>
      <w:szCs w:val="32"/>
      <w14:textFill>
        <w14:solidFill>
          <w14:schemeClr w14:val="tx1"/>
        </w14:solidFill>
      </w14:textFill>
    </w:rPr>
  </w:style>
  <w:style w:type="paragraph" w:customStyle="1" w:styleId="3065">
    <w:name w:val="样式 标题 4标题 4 Char4 dashd3dash Char Chardash Char + (符号) 宋体"/>
    <w:basedOn w:val="6"/>
    <w:semiHidden/>
    <w:qFormat/>
    <w:uiPriority w:val="0"/>
    <w:pPr>
      <w:tabs>
        <w:tab w:val="left" w:pos="0"/>
      </w:tabs>
      <w:ind w:firstLine="540" w:firstLineChars="225"/>
      <w:jc w:val="both"/>
    </w:pPr>
    <w:rPr>
      <w:rFonts w:eastAsia="黑体" w:cs="Times New Roman"/>
      <w:b w:val="0"/>
      <w:bCs w:val="0"/>
      <w:kern w:val="28"/>
      <w:szCs w:val="24"/>
    </w:rPr>
  </w:style>
  <w:style w:type="paragraph" w:customStyle="1" w:styleId="3066">
    <w:name w:val="样式 样式 标题 4标题 4 Char4 dashd3dash Char Chardash Char + (西文) 宋体 + A..."/>
    <w:basedOn w:val="3057"/>
    <w:link w:val="3067"/>
    <w:semiHidden/>
    <w:qFormat/>
    <w:uiPriority w:val="0"/>
    <w:rPr>
      <w:rFonts w:ascii="Arial" w:hAnsi="Arial"/>
    </w:rPr>
  </w:style>
  <w:style w:type="character" w:customStyle="1" w:styleId="3067">
    <w:name w:val="样式 样式 标题 4标题 4 Char4 dashd3dash Char Chardash Char + (西文) 宋体 + A... Char"/>
    <w:link w:val="3066"/>
    <w:semiHidden/>
    <w:qFormat/>
    <w:uiPriority w:val="0"/>
    <w:rPr>
      <w:rFonts w:ascii="Arial" w:hAnsi="Arial" w:cs="Times New Roman"/>
      <w:sz w:val="24"/>
      <w:szCs w:val="20"/>
      <w:lang w:val="zh-CN"/>
    </w:rPr>
  </w:style>
  <w:style w:type="paragraph" w:customStyle="1" w:styleId="3068">
    <w:name w:val="王 表名四黑"/>
    <w:basedOn w:val="1"/>
    <w:link w:val="3072"/>
    <w:semiHidden/>
    <w:qFormat/>
    <w:uiPriority w:val="0"/>
    <w:pPr>
      <w:jc w:val="center"/>
    </w:pPr>
    <w:rPr>
      <w:rFonts w:ascii="Times New Roman" w:hAnsi="Times New Roman" w:eastAsia="黑体" w:cs="Times New Roman"/>
      <w:bCs/>
      <w:sz w:val="24"/>
    </w:rPr>
  </w:style>
  <w:style w:type="paragraph" w:customStyle="1" w:styleId="3069">
    <w:name w:val="王 表格，五宋"/>
    <w:semiHidden/>
    <w:qFormat/>
    <w:uiPriority w:val="0"/>
    <w:pPr>
      <w:widowControl w:val="0"/>
      <w:adjustRightInd w:val="0"/>
      <w:spacing w:line="240" w:lineRule="atLeast"/>
      <w:jc w:val="center"/>
    </w:pPr>
    <w:rPr>
      <w:rFonts w:ascii="Times New Roman" w:hAnsi="Times New Roman" w:eastAsia="宋体" w:cs="Times New Roman"/>
      <w:color w:val="000000"/>
      <w:sz w:val="21"/>
      <w:szCs w:val="21"/>
      <w:lang w:val="en-US" w:eastAsia="zh-CN" w:bidi="ar-SA"/>
    </w:rPr>
  </w:style>
  <w:style w:type="paragraph" w:customStyle="1" w:styleId="3070">
    <w:name w:val="表格头"/>
    <w:semiHidden/>
    <w:qFormat/>
    <w:uiPriority w:val="0"/>
    <w:pPr>
      <w:keepNext/>
      <w:widowControl w:val="0"/>
      <w:adjustRightInd w:val="0"/>
      <w:spacing w:line="360" w:lineRule="exact"/>
      <w:jc w:val="both"/>
    </w:pPr>
    <w:rPr>
      <w:rFonts w:ascii="Times New Roman" w:hAnsi="Times New Roman" w:eastAsia="宋体" w:cs="Times New Roman"/>
      <w:b/>
      <w:sz w:val="28"/>
      <w:lang w:val="en-US" w:eastAsia="zh-CN" w:bidi="ar-SA"/>
    </w:rPr>
  </w:style>
  <w:style w:type="paragraph" w:customStyle="1" w:styleId="3071">
    <w:name w:val="王 标题三 一、"/>
    <w:basedOn w:val="1"/>
    <w:semiHidden/>
    <w:qFormat/>
    <w:uiPriority w:val="0"/>
    <w:pPr>
      <w:ind w:firstLine="560" w:firstLineChars="200"/>
      <w:jc w:val="left"/>
      <w:outlineLvl w:val="0"/>
    </w:pPr>
    <w:rPr>
      <w:rFonts w:ascii="楷体_GB2312" w:hAnsi="Times New Roman" w:eastAsia="楷体_GB2312" w:cs="Times New Roman"/>
      <w:b/>
      <w:bCs/>
      <w:sz w:val="24"/>
      <w:szCs w:val="24"/>
    </w:rPr>
  </w:style>
  <w:style w:type="character" w:customStyle="1" w:styleId="3072">
    <w:name w:val="王 表名四黑 Char"/>
    <w:link w:val="3068"/>
    <w:semiHidden/>
    <w:qFormat/>
    <w:uiPriority w:val="0"/>
    <w:rPr>
      <w:rFonts w:ascii="Times New Roman" w:hAnsi="Times New Roman" w:eastAsia="黑体" w:cs="Times New Roman"/>
      <w:bCs/>
      <w:sz w:val="24"/>
      <w:szCs w:val="21"/>
    </w:rPr>
  </w:style>
  <w:style w:type="paragraph" w:customStyle="1" w:styleId="3073">
    <w:name w:val="王 标题四（一）"/>
    <w:basedOn w:val="445"/>
    <w:semiHidden/>
    <w:qFormat/>
    <w:uiPriority w:val="0"/>
    <w:pPr>
      <w:tabs>
        <w:tab w:val="left" w:pos="5320"/>
      </w:tabs>
      <w:adjustRightInd/>
      <w:spacing w:beforeLines="0" w:line="240" w:lineRule="auto"/>
      <w:ind w:firstLine="560" w:firstLineChars="200"/>
      <w:jc w:val="both"/>
      <w:outlineLvl w:val="1"/>
    </w:pPr>
    <w:rPr>
      <w:rFonts w:ascii="宋体" w:hAnsi="宋体"/>
      <w:b/>
      <w:bCs/>
      <w:szCs w:val="24"/>
    </w:rPr>
  </w:style>
  <w:style w:type="paragraph" w:customStyle="1" w:styleId="3074">
    <w:name w:val="王 标题二  章"/>
    <w:basedOn w:val="1"/>
    <w:semiHidden/>
    <w:qFormat/>
    <w:uiPriority w:val="0"/>
    <w:pPr>
      <w:spacing w:line="560" w:lineRule="exact"/>
      <w:jc w:val="center"/>
    </w:pPr>
    <w:rPr>
      <w:rFonts w:ascii="宋体" w:hAnsi="Times New Roman" w:cs="Times New Roman"/>
      <w:sz w:val="44"/>
      <w:szCs w:val="24"/>
    </w:rPr>
  </w:style>
  <w:style w:type="paragraph" w:customStyle="1" w:styleId="3075">
    <w:name w:val="封面4，小二中"/>
    <w:semiHidden/>
    <w:qFormat/>
    <w:uiPriority w:val="0"/>
    <w:pPr>
      <w:keepNext/>
      <w:widowControl w:val="0"/>
      <w:snapToGrid w:val="0"/>
      <w:spacing w:beforeLines="25" w:afterLines="25"/>
      <w:jc w:val="center"/>
    </w:pPr>
    <w:rPr>
      <w:rFonts w:ascii="Times New Roman" w:hAnsi="Times New Roman" w:eastAsia="宋体" w:cs="Times New Roman"/>
      <w:kern w:val="2"/>
      <w:sz w:val="36"/>
      <w:lang w:val="en-US" w:eastAsia="zh-CN" w:bidi="ar-SA"/>
    </w:rPr>
  </w:style>
  <w:style w:type="paragraph" w:customStyle="1" w:styleId="3076">
    <w:name w:val="王 表单位五宋"/>
    <w:basedOn w:val="2909"/>
    <w:semiHidden/>
    <w:qFormat/>
    <w:uiPriority w:val="0"/>
    <w:pPr>
      <w:spacing w:line="240" w:lineRule="auto"/>
      <w:ind w:firstLine="0" w:firstLineChars="0"/>
      <w:jc w:val="right"/>
    </w:pPr>
    <w:rPr>
      <w:rFonts w:ascii="宋体"/>
      <w:color w:val="auto"/>
      <w:kern w:val="0"/>
      <w:sz w:val="21"/>
      <w:szCs w:val="24"/>
    </w:rPr>
  </w:style>
  <w:style w:type="paragraph" w:customStyle="1" w:styleId="3077">
    <w:name w:val="封面 2"/>
    <w:semiHidden/>
    <w:qFormat/>
    <w:uiPriority w:val="0"/>
    <w:pPr>
      <w:keepNext/>
      <w:widowControl w:val="0"/>
      <w:spacing w:before="240" w:after="240" w:line="480" w:lineRule="exact"/>
      <w:jc w:val="center"/>
    </w:pPr>
    <w:rPr>
      <w:rFonts w:ascii="Times New Roman" w:hAnsi="Times New Roman" w:eastAsia="宋体" w:cs="Times New Roman"/>
      <w:sz w:val="44"/>
      <w:lang w:val="en-US" w:eastAsia="zh-CN" w:bidi="ar-SA"/>
    </w:rPr>
  </w:style>
  <w:style w:type="character" w:customStyle="1" w:styleId="3078">
    <w:name w:val="款，1. Char"/>
    <w:link w:val="2808"/>
    <w:qFormat/>
    <w:uiPriority w:val="0"/>
    <w:rPr>
      <w:rFonts w:ascii="Times New Roman" w:hAnsi="Times New Roman" w:eastAsia="仿宋_GB2312" w:cs="Times New Roman"/>
      <w:sz w:val="28"/>
      <w:szCs w:val="20"/>
    </w:rPr>
  </w:style>
  <w:style w:type="character" w:customStyle="1" w:styleId="3079">
    <w:name w:val="五宋1 Char"/>
    <w:link w:val="1004"/>
    <w:qFormat/>
    <w:uiPriority w:val="0"/>
    <w:rPr>
      <w:rFonts w:ascii="宋体" w:hAnsi="Times New Roman" w:cs="Times New Roman"/>
      <w:kern w:val="0"/>
      <w:szCs w:val="20"/>
    </w:rPr>
  </w:style>
  <w:style w:type="paragraph" w:customStyle="1" w:styleId="3080">
    <w:name w:val="封面 1"/>
    <w:semiHidden/>
    <w:qFormat/>
    <w:uiPriority w:val="0"/>
    <w:pPr>
      <w:keepNext/>
      <w:widowControl w:val="0"/>
      <w:spacing w:before="480" w:after="720" w:line="800" w:lineRule="exact"/>
      <w:jc w:val="center"/>
    </w:pPr>
    <w:rPr>
      <w:rFonts w:ascii="Times New Roman" w:hAnsi="Times New Roman" w:eastAsia="黑体" w:cs="Times New Roman"/>
      <w:sz w:val="84"/>
      <w:lang w:val="en-US" w:eastAsia="zh-CN" w:bidi="ar-SA"/>
    </w:rPr>
  </w:style>
  <w:style w:type="paragraph" w:customStyle="1" w:styleId="3081">
    <w:name w:val="节，一、"/>
    <w:basedOn w:val="1"/>
    <w:next w:val="5"/>
    <w:semiHidden/>
    <w:qFormat/>
    <w:uiPriority w:val="0"/>
    <w:pPr>
      <w:adjustRightInd w:val="0"/>
      <w:spacing w:after="120" w:line="360" w:lineRule="exact"/>
      <w:ind w:firstLine="567"/>
      <w:jc w:val="left"/>
      <w:outlineLvl w:val="2"/>
    </w:pPr>
    <w:rPr>
      <w:rFonts w:ascii="Times New Roman" w:hAnsi="Times New Roman" w:cs="Times New Roman"/>
      <w:sz w:val="32"/>
      <w:szCs w:val="24"/>
    </w:rPr>
  </w:style>
  <w:style w:type="character" w:customStyle="1" w:styleId="3082">
    <w:name w:val="p201"/>
    <w:semiHidden/>
    <w:qFormat/>
    <w:uiPriority w:val="0"/>
    <w:rPr>
      <w:rFonts w:ascii="Tahoma" w:hAnsi="Tahoma" w:eastAsia="宋体"/>
      <w:color w:val="FF0000"/>
      <w:kern w:val="2"/>
      <w:sz w:val="21"/>
      <w:szCs w:val="21"/>
      <w:lang w:val="en-US" w:eastAsia="zh-CN" w:bidi="ar-SA"/>
    </w:rPr>
  </w:style>
  <w:style w:type="character" w:customStyle="1" w:styleId="3083">
    <w:name w:val="zhenwen1"/>
    <w:semiHidden/>
    <w:qFormat/>
    <w:uiPriority w:val="0"/>
    <w:rPr>
      <w:rFonts w:hint="eastAsia" w:ascii="宋体" w:hAnsi="宋体" w:eastAsia="宋体"/>
      <w:color w:val="000000"/>
      <w:kern w:val="2"/>
      <w:sz w:val="24"/>
      <w:szCs w:val="24"/>
      <w:lang w:val="en-US" w:eastAsia="zh-CN" w:bidi="ar-SA"/>
    </w:rPr>
  </w:style>
  <w:style w:type="paragraph" w:customStyle="1" w:styleId="3084">
    <w:name w:val="样式（正文）"/>
    <w:basedOn w:val="1"/>
    <w:semiHidden/>
    <w:qFormat/>
    <w:uiPriority w:val="0"/>
    <w:pPr>
      <w:spacing w:line="360" w:lineRule="auto"/>
      <w:ind w:firstLine="554"/>
      <w:jc w:val="left"/>
    </w:pPr>
    <w:rPr>
      <w:rFonts w:ascii="仿宋_GB2312" w:hAnsi="Times New Roman" w:eastAsia="仿宋_GB2312" w:cs="Times New Roman"/>
      <w:sz w:val="24"/>
      <w:szCs w:val="24"/>
    </w:rPr>
  </w:style>
  <w:style w:type="character" w:customStyle="1" w:styleId="3085">
    <w:name w:val="2 Char Char Char Char Char"/>
    <w:semiHidden/>
    <w:qFormat/>
    <w:uiPriority w:val="0"/>
    <w:rPr>
      <w:rFonts w:ascii="Tahoma" w:hAnsi="Tahoma" w:eastAsia="宋体"/>
      <w:color w:val="FF0000"/>
      <w:kern w:val="2"/>
      <w:sz w:val="21"/>
      <w:szCs w:val="21"/>
      <w:lang w:val="en-US" w:eastAsia="zh-CN" w:bidi="ar-SA"/>
    </w:rPr>
  </w:style>
  <w:style w:type="paragraph" w:customStyle="1" w:styleId="3086">
    <w:name w:val="样式1 正文居中"/>
    <w:basedOn w:val="1"/>
    <w:semiHidden/>
    <w:qFormat/>
    <w:uiPriority w:val="0"/>
    <w:pPr>
      <w:jc w:val="center"/>
    </w:pPr>
    <w:rPr>
      <w:rFonts w:ascii="宋体" w:hAnsi="宋体" w:cs="Times New Roman"/>
      <w:b/>
      <w:sz w:val="32"/>
      <w:szCs w:val="24"/>
    </w:rPr>
  </w:style>
  <w:style w:type="paragraph" w:customStyle="1" w:styleId="3087">
    <w:name w:val="Paragraphe 3"/>
    <w:basedOn w:val="1"/>
    <w:semiHidden/>
    <w:qFormat/>
    <w:uiPriority w:val="0"/>
    <w:pPr>
      <w:widowControl/>
      <w:jc w:val="left"/>
    </w:pPr>
    <w:rPr>
      <w:rFonts w:ascii="Times New Roman" w:hAnsi="Times New Roman" w:cs="Times New Roman"/>
      <w:kern w:val="0"/>
      <w:sz w:val="24"/>
      <w:szCs w:val="24"/>
      <w:lang w:val="en-GB"/>
    </w:rPr>
  </w:style>
  <w:style w:type="paragraph" w:customStyle="1" w:styleId="3088">
    <w:name w:val="表格内文字"/>
    <w:basedOn w:val="1"/>
    <w:qFormat/>
    <w:uiPriority w:val="0"/>
    <w:pPr>
      <w:spacing w:line="360" w:lineRule="exact"/>
      <w:jc w:val="center"/>
    </w:pPr>
    <w:rPr>
      <w:rFonts w:ascii="宋体" w:hAnsi="Times New Roman" w:cs="Times New Roman"/>
      <w:color w:val="FF0000"/>
      <w:sz w:val="18"/>
      <w:szCs w:val="18"/>
    </w:rPr>
  </w:style>
  <w:style w:type="paragraph" w:customStyle="1" w:styleId="3089">
    <w:name w:val="表 8"/>
    <w:basedOn w:val="1"/>
    <w:semiHidden/>
    <w:qFormat/>
    <w:uiPriority w:val="0"/>
    <w:pPr>
      <w:spacing w:line="240" w:lineRule="exact"/>
      <w:jc w:val="center"/>
    </w:pPr>
    <w:rPr>
      <w:rFonts w:ascii="宋体" w:hAnsi="宋体" w:cs="Times New Roman"/>
      <w:spacing w:val="-6"/>
      <w:sz w:val="18"/>
    </w:rPr>
  </w:style>
  <w:style w:type="paragraph" w:customStyle="1" w:styleId="3090">
    <w:name w:val="样式 标题 3标题 3 Char + 两端对齐"/>
    <w:basedOn w:val="5"/>
    <w:semiHidden/>
    <w:qFormat/>
    <w:uiPriority w:val="0"/>
    <w:pPr>
      <w:keepNext w:val="0"/>
      <w:keepLines w:val="0"/>
      <w:spacing w:beforeLines="10" w:after="81" w:line="240" w:lineRule="auto"/>
      <w:ind w:firstLine="560"/>
      <w:outlineLvl w:val="9"/>
    </w:pPr>
    <w:rPr>
      <w:rFonts w:ascii="宋体" w:hAnsi="宋体" w:eastAsia="黑体" w:cs="Times New Roman"/>
      <w:b w:val="0"/>
      <w:sz w:val="28"/>
      <w:szCs w:val="28"/>
    </w:rPr>
  </w:style>
  <w:style w:type="paragraph" w:customStyle="1" w:styleId="3091">
    <w:name w:val="标题一"/>
    <w:basedOn w:val="1"/>
    <w:semiHidden/>
    <w:qFormat/>
    <w:uiPriority w:val="0"/>
    <w:pPr>
      <w:ind w:firstLine="200" w:firstLineChars="200"/>
      <w:jc w:val="left"/>
      <w:outlineLvl w:val="0"/>
    </w:pPr>
    <w:rPr>
      <w:rFonts w:ascii="宋体" w:hAnsi="宋体" w:cs="Times New Roman"/>
      <w:b/>
      <w:sz w:val="24"/>
      <w:szCs w:val="24"/>
    </w:rPr>
  </w:style>
  <w:style w:type="paragraph" w:customStyle="1" w:styleId="3092">
    <w:name w:val="标题二"/>
    <w:basedOn w:val="1"/>
    <w:semiHidden/>
    <w:qFormat/>
    <w:uiPriority w:val="0"/>
    <w:pPr>
      <w:ind w:firstLine="200" w:firstLineChars="200"/>
      <w:jc w:val="left"/>
      <w:outlineLvl w:val="1"/>
    </w:pPr>
    <w:rPr>
      <w:rFonts w:ascii="楷体_GB2312" w:hAnsi="宋体" w:eastAsia="楷体_GB2312" w:cs="Times New Roman"/>
      <w:b/>
      <w:sz w:val="24"/>
      <w:szCs w:val="24"/>
    </w:rPr>
  </w:style>
  <w:style w:type="paragraph" w:customStyle="1" w:styleId="3093">
    <w:name w:val="样式 标题 1 + 黑体 四号"/>
    <w:basedOn w:val="3"/>
    <w:semiHidden/>
    <w:qFormat/>
    <w:uiPriority w:val="0"/>
    <w:pPr>
      <w:widowControl w:val="0"/>
      <w:spacing w:line="578" w:lineRule="auto"/>
      <w:ind w:firstLine="200" w:firstLineChars="200"/>
      <w:jc w:val="both"/>
    </w:pPr>
    <w:rPr>
      <w:rFonts w:ascii="黑体" w:hAnsi="黑体" w:cs="Times New Roman"/>
      <w:b w:val="0"/>
      <w:bCs w:val="0"/>
      <w:color w:val="000000" w:themeColor="text1"/>
      <w:kern w:val="0"/>
      <w:szCs w:val="28"/>
      <w14:textFill>
        <w14:solidFill>
          <w14:schemeClr w14:val="tx1"/>
        </w14:solidFill>
      </w14:textFill>
    </w:rPr>
  </w:style>
  <w:style w:type="paragraph" w:customStyle="1" w:styleId="3094">
    <w:name w:val="原则正文"/>
    <w:basedOn w:val="1"/>
    <w:semiHidden/>
    <w:qFormat/>
    <w:uiPriority w:val="0"/>
    <w:pPr>
      <w:ind w:firstLine="560" w:firstLineChars="200"/>
      <w:jc w:val="left"/>
    </w:pPr>
    <w:rPr>
      <w:rFonts w:ascii="Times New Roman" w:hAnsi="Times New Roman" w:eastAsia="仿宋_GB2312" w:cs="Times New Roman"/>
      <w:sz w:val="24"/>
      <w:szCs w:val="24"/>
    </w:rPr>
  </w:style>
  <w:style w:type="paragraph" w:customStyle="1" w:styleId="3095">
    <w:name w:val="我的（一）"/>
    <w:basedOn w:val="1"/>
    <w:semiHidden/>
    <w:qFormat/>
    <w:uiPriority w:val="0"/>
    <w:pPr>
      <w:ind w:firstLine="562" w:firstLineChars="200"/>
      <w:jc w:val="left"/>
      <w:outlineLvl w:val="2"/>
    </w:pPr>
    <w:rPr>
      <w:rFonts w:ascii="楷体_GB2312" w:hAnsi="Times New Roman" w:eastAsia="楷体_GB2312" w:cs="Times New Roman"/>
      <w:b/>
      <w:kern w:val="0"/>
      <w:sz w:val="24"/>
      <w:szCs w:val="24"/>
    </w:rPr>
  </w:style>
  <w:style w:type="paragraph" w:customStyle="1" w:styleId="3096">
    <w:name w:val="我的1、"/>
    <w:basedOn w:val="1"/>
    <w:link w:val="3101"/>
    <w:semiHidden/>
    <w:qFormat/>
    <w:uiPriority w:val="0"/>
    <w:pPr>
      <w:ind w:firstLine="200" w:firstLineChars="200"/>
      <w:jc w:val="left"/>
    </w:pPr>
    <w:rPr>
      <w:rFonts w:ascii="宋体" w:hAnsi="Times New Roman" w:cs="Times New Roman"/>
      <w:b/>
      <w:kern w:val="28"/>
      <w:sz w:val="24"/>
      <w:szCs w:val="24"/>
    </w:rPr>
  </w:style>
  <w:style w:type="paragraph" w:customStyle="1" w:styleId="3097">
    <w:name w:val="Checkboxes"/>
    <w:basedOn w:val="1"/>
    <w:semiHidden/>
    <w:qFormat/>
    <w:uiPriority w:val="0"/>
    <w:pPr>
      <w:spacing w:after="360"/>
      <w:jc w:val="left"/>
    </w:pPr>
    <w:rPr>
      <w:rFonts w:ascii="宋体" w:hAnsi="宋体" w:cs="Times New Roman"/>
      <w:szCs w:val="20"/>
    </w:rPr>
  </w:style>
  <w:style w:type="character" w:customStyle="1" w:styleId="3098">
    <w:name w:val="y21"/>
    <w:semiHidden/>
    <w:qFormat/>
    <w:uiPriority w:val="0"/>
    <w:rPr>
      <w:rFonts w:hint="eastAsia" w:ascii="新宋体" w:hAnsi="Tahoma" w:eastAsia="新宋体"/>
      <w:color w:val="FF0000"/>
      <w:kern w:val="2"/>
      <w:sz w:val="18"/>
      <w:szCs w:val="18"/>
      <w:lang w:val="en-US" w:eastAsia="zh-CN" w:bidi="ar-SA"/>
    </w:rPr>
  </w:style>
  <w:style w:type="paragraph" w:customStyle="1" w:styleId="3099">
    <w:name w:val="样式 方正书宋简体 小四 行距: 1.5 倍行距"/>
    <w:basedOn w:val="1"/>
    <w:semiHidden/>
    <w:qFormat/>
    <w:uiPriority w:val="0"/>
    <w:pPr>
      <w:jc w:val="left"/>
    </w:pPr>
    <w:rPr>
      <w:rFonts w:ascii="方正书宋简体" w:hAnsi="宋体" w:eastAsia="方正书宋简体" w:cs="Times New Roman"/>
      <w:spacing w:val="20"/>
      <w:sz w:val="24"/>
      <w:szCs w:val="20"/>
    </w:rPr>
  </w:style>
  <w:style w:type="character" w:customStyle="1" w:styleId="3100">
    <w:name w:val="样式 标题 2 + Char"/>
    <w:link w:val="2858"/>
    <w:qFormat/>
    <w:uiPriority w:val="0"/>
    <w:rPr>
      <w:rFonts w:ascii="宋体" w:hAnsi="Times New Roman" w:cs="Times New Roman"/>
      <w:b/>
      <w:bCs/>
      <w:color w:val="000000" w:themeColor="text1"/>
      <w:spacing w:val="-8"/>
      <w:kern w:val="0"/>
      <w:sz w:val="24"/>
      <w:szCs w:val="20"/>
      <w14:textFill>
        <w14:solidFill>
          <w14:schemeClr w14:val="tx1"/>
        </w14:solidFill>
      </w14:textFill>
    </w:rPr>
  </w:style>
  <w:style w:type="character" w:customStyle="1" w:styleId="3101">
    <w:name w:val="我的1、 Char"/>
    <w:link w:val="3096"/>
    <w:semiHidden/>
    <w:qFormat/>
    <w:uiPriority w:val="0"/>
    <w:rPr>
      <w:rFonts w:ascii="宋体" w:hAnsi="Times New Roman" w:cs="Times New Roman"/>
      <w:b/>
      <w:kern w:val="28"/>
      <w:sz w:val="24"/>
      <w:szCs w:val="24"/>
    </w:rPr>
  </w:style>
  <w:style w:type="paragraph" w:customStyle="1" w:styleId="3102">
    <w:name w:val="我的表格内容"/>
    <w:basedOn w:val="1"/>
    <w:semiHidden/>
    <w:qFormat/>
    <w:uiPriority w:val="0"/>
    <w:pPr>
      <w:spacing w:line="240" w:lineRule="exact"/>
      <w:jc w:val="center"/>
    </w:pPr>
    <w:rPr>
      <w:rFonts w:ascii="宋体" w:hAnsi="Times New Roman" w:cs="Times New Roman"/>
      <w:kern w:val="28"/>
      <w:sz w:val="18"/>
      <w:szCs w:val="24"/>
    </w:rPr>
  </w:style>
  <w:style w:type="character" w:customStyle="1" w:styleId="3103">
    <w:name w:val="hzt21"/>
    <w:semiHidden/>
    <w:qFormat/>
    <w:uiPriority w:val="0"/>
    <w:rPr>
      <w:rFonts w:ascii="Tahoma" w:hAnsi="Tahoma" w:eastAsia="宋体"/>
      <w:color w:val="000000"/>
      <w:kern w:val="2"/>
      <w:sz w:val="24"/>
      <w:szCs w:val="24"/>
      <w:u w:val="none"/>
      <w:lang w:val="en-US" w:eastAsia="zh-CN" w:bidi="ar-SA"/>
    </w:rPr>
  </w:style>
  <w:style w:type="paragraph" w:customStyle="1" w:styleId="3104">
    <w:name w:val="我的表头"/>
    <w:basedOn w:val="1"/>
    <w:link w:val="3105"/>
    <w:semiHidden/>
    <w:qFormat/>
    <w:uiPriority w:val="0"/>
    <w:pPr>
      <w:jc w:val="center"/>
    </w:pPr>
    <w:rPr>
      <w:rFonts w:ascii="宋体" w:hAnsi="Times New Roman" w:cs="Times New Roman"/>
      <w:b/>
      <w:kern w:val="28"/>
      <w:sz w:val="24"/>
      <w:szCs w:val="24"/>
    </w:rPr>
  </w:style>
  <w:style w:type="character" w:customStyle="1" w:styleId="3105">
    <w:name w:val="我的表头 Char"/>
    <w:link w:val="3104"/>
    <w:semiHidden/>
    <w:qFormat/>
    <w:uiPriority w:val="0"/>
    <w:rPr>
      <w:rFonts w:ascii="宋体" w:hAnsi="Times New Roman" w:cs="Times New Roman"/>
      <w:b/>
      <w:kern w:val="28"/>
      <w:sz w:val="24"/>
      <w:szCs w:val="24"/>
    </w:rPr>
  </w:style>
  <w:style w:type="character" w:customStyle="1" w:styleId="3106">
    <w:name w:val="9p1"/>
    <w:semiHidden/>
    <w:qFormat/>
    <w:uiPriority w:val="0"/>
    <w:rPr>
      <w:rFonts w:hint="eastAsia" w:ascii="宋体" w:hAnsi="宋体" w:eastAsia="宋体"/>
      <w:sz w:val="18"/>
      <w:szCs w:val="18"/>
    </w:rPr>
  </w:style>
  <w:style w:type="paragraph" w:customStyle="1" w:styleId="3107">
    <w:name w:val="集团正文"/>
    <w:basedOn w:val="1"/>
    <w:semiHidden/>
    <w:qFormat/>
    <w:uiPriority w:val="0"/>
    <w:pPr>
      <w:spacing w:line="480" w:lineRule="atLeast"/>
      <w:ind w:firstLine="560" w:firstLineChars="200"/>
      <w:jc w:val="left"/>
    </w:pPr>
    <w:rPr>
      <w:rFonts w:ascii="仿宋_GB2312" w:hAnsi="华文仿宋" w:eastAsia="仿宋_GB2312" w:cs="Times New Roman"/>
      <w:sz w:val="24"/>
      <w:szCs w:val="24"/>
    </w:rPr>
  </w:style>
  <w:style w:type="character" w:customStyle="1" w:styleId="3108">
    <w:name w:val="样式 纯文本 + 首行缩进:  2 字符 Char"/>
    <w:semiHidden/>
    <w:qFormat/>
    <w:uiPriority w:val="0"/>
    <w:rPr>
      <w:rFonts w:ascii="仿宋_GB2312" w:hAnsi="Courier New" w:eastAsia="仿宋_GB2312" w:cs="宋体"/>
      <w:kern w:val="2"/>
      <w:sz w:val="28"/>
      <w:szCs w:val="21"/>
      <w:lang w:val="en-US" w:eastAsia="zh-CN" w:bidi="ar-SA"/>
    </w:rPr>
  </w:style>
  <w:style w:type="character" w:customStyle="1" w:styleId="3109">
    <w:name w:val="样式 纯文本 + 首行缩进:  2 字符 Char Char Char Char Char Char"/>
    <w:semiHidden/>
    <w:qFormat/>
    <w:uiPriority w:val="0"/>
    <w:rPr>
      <w:rFonts w:ascii="仿宋_GB2312" w:hAnsi="Courier New" w:eastAsia="仿宋_GB2312" w:cs="宋体"/>
      <w:kern w:val="2"/>
      <w:sz w:val="28"/>
      <w:szCs w:val="21"/>
      <w:lang w:val="en-US" w:eastAsia="zh-CN" w:bidi="ar-SA"/>
    </w:rPr>
  </w:style>
  <w:style w:type="character" w:customStyle="1" w:styleId="3110">
    <w:name w:val="content22"/>
    <w:semiHidden/>
    <w:qFormat/>
    <w:uiPriority w:val="0"/>
  </w:style>
  <w:style w:type="paragraph" w:customStyle="1" w:styleId="3111">
    <w:name w:val="样式 正文文本 + 二号"/>
    <w:basedOn w:val="34"/>
    <w:semiHidden/>
    <w:qFormat/>
    <w:uiPriority w:val="0"/>
    <w:pPr>
      <w:keepNext/>
      <w:adjustRightInd/>
      <w:spacing w:beforeLines="0" w:line="240" w:lineRule="auto"/>
      <w:jc w:val="center"/>
    </w:pPr>
    <w:rPr>
      <w:rFonts w:ascii="Calibri" w:hAnsi="Calibri" w:eastAsia="黑体"/>
      <w:snapToGrid/>
      <w:kern w:val="28"/>
      <w:sz w:val="44"/>
    </w:rPr>
  </w:style>
  <w:style w:type="paragraph" w:customStyle="1" w:styleId="3112">
    <w:name w:val="Default Text"/>
    <w:basedOn w:val="1"/>
    <w:semiHidden/>
    <w:qFormat/>
    <w:uiPriority w:val="0"/>
    <w:pPr>
      <w:widowControl/>
      <w:overflowPunct w:val="0"/>
      <w:autoSpaceDE w:val="0"/>
      <w:autoSpaceDN w:val="0"/>
      <w:adjustRightInd w:val="0"/>
      <w:jc w:val="left"/>
      <w:textAlignment w:val="baseline"/>
    </w:pPr>
    <w:rPr>
      <w:rFonts w:ascii="宋体" w:hAnsi="Times New Roman" w:cs="Times New Roman"/>
      <w:snapToGrid w:val="0"/>
      <w:kern w:val="0"/>
      <w:sz w:val="24"/>
      <w:szCs w:val="20"/>
    </w:rPr>
  </w:style>
  <w:style w:type="paragraph" w:customStyle="1" w:styleId="3113">
    <w:name w:val="标题 4条(一)"/>
    <w:basedOn w:val="1"/>
    <w:semiHidden/>
    <w:qFormat/>
    <w:uiPriority w:val="0"/>
    <w:pPr>
      <w:keepNext/>
      <w:ind w:left="1190" w:leftChars="150" w:hanging="770" w:hangingChars="275"/>
      <w:jc w:val="left"/>
      <w:outlineLvl w:val="3"/>
    </w:pPr>
    <w:rPr>
      <w:rFonts w:ascii="宋体" w:hAnsi="Times New Roman" w:eastAsia="黑体" w:cs="Times New Roman"/>
      <w:snapToGrid w:val="0"/>
      <w:kern w:val="0"/>
      <w:sz w:val="24"/>
      <w:szCs w:val="20"/>
    </w:rPr>
  </w:style>
  <w:style w:type="paragraph" w:customStyle="1" w:styleId="3114">
    <w:name w:val="样式 标题 5款，11款 + (中文) 楷体_GB2312"/>
    <w:basedOn w:val="7"/>
    <w:semiHidden/>
    <w:qFormat/>
    <w:uiPriority w:val="0"/>
    <w:pPr>
      <w:keepLines w:val="0"/>
      <w:spacing w:beforeLines="10" w:after="0" w:line="240" w:lineRule="auto"/>
      <w:ind w:left="325" w:leftChars="200" w:hanging="125" w:hangingChars="125"/>
      <w:jc w:val="left"/>
    </w:pPr>
    <w:rPr>
      <w:rFonts w:ascii="宋体" w:hAnsi="Times New Roman" w:eastAsia="楷体_GB2312" w:cs="Times New Roman"/>
      <w:b w:val="0"/>
      <w:bCs w:val="0"/>
      <w:snapToGrid w:val="0"/>
      <w:kern w:val="0"/>
      <w:sz w:val="24"/>
      <w:szCs w:val="20"/>
    </w:rPr>
  </w:style>
  <w:style w:type="character" w:customStyle="1" w:styleId="3115">
    <w:name w:val="lxm11"/>
    <w:semiHidden/>
    <w:qFormat/>
    <w:uiPriority w:val="0"/>
    <w:rPr>
      <w:sz w:val="18"/>
      <w:szCs w:val="18"/>
    </w:rPr>
  </w:style>
  <w:style w:type="paragraph" w:customStyle="1" w:styleId="3116">
    <w:name w:val="封页标题"/>
    <w:basedOn w:val="1"/>
    <w:next w:val="1"/>
    <w:semiHidden/>
    <w:qFormat/>
    <w:uiPriority w:val="0"/>
    <w:pPr>
      <w:keepNext/>
      <w:keepLines/>
      <w:widowControl/>
      <w:spacing w:after="170"/>
      <w:ind w:left="357"/>
      <w:jc w:val="center"/>
    </w:pPr>
    <w:rPr>
      <w:rFonts w:ascii="宋体" w:hAnsi="Times New Roman" w:eastAsia="华文行楷" w:cs="Times New Roman"/>
      <w:caps/>
      <w:snapToGrid w:val="0"/>
      <w:spacing w:val="65"/>
      <w:kern w:val="20"/>
      <w:sz w:val="32"/>
      <w:szCs w:val="20"/>
    </w:rPr>
  </w:style>
  <w:style w:type="paragraph" w:customStyle="1" w:styleId="3117">
    <w:name w:val="公司名"/>
    <w:basedOn w:val="34"/>
    <w:semiHidden/>
    <w:qFormat/>
    <w:uiPriority w:val="0"/>
    <w:pPr>
      <w:keepLines/>
      <w:framePr w:w="8640" w:h="855" w:wrap="notBeside" w:vAnchor="page" w:hAnchor="page" w:x="874" w:y="1876" w:anchorLock="1"/>
      <w:widowControl/>
      <w:adjustRightInd/>
      <w:spacing w:beforeLines="0" w:after="170" w:line="240" w:lineRule="auto"/>
      <w:jc w:val="center"/>
    </w:pPr>
    <w:rPr>
      <w:rFonts w:ascii="Calibri" w:hAnsi="Calibri" w:eastAsia="隶书"/>
      <w:b/>
      <w:caps/>
      <w:snapToGrid/>
      <w:kern w:val="18"/>
      <w:sz w:val="48"/>
      <w:szCs w:val="20"/>
    </w:rPr>
  </w:style>
  <w:style w:type="paragraph" w:customStyle="1" w:styleId="3118">
    <w:name w:val="font-14"/>
    <w:basedOn w:val="1"/>
    <w:semiHidden/>
    <w:qFormat/>
    <w:uiPriority w:val="0"/>
    <w:pPr>
      <w:widowControl/>
      <w:spacing w:beforeAutospacing="1" w:after="100" w:afterAutospacing="1" w:line="375" w:lineRule="atLeast"/>
      <w:jc w:val="left"/>
    </w:pPr>
    <w:rPr>
      <w:rFonts w:ascii="宋体" w:hAnsi="宋体" w:cs="Times New Roman"/>
      <w:snapToGrid w:val="0"/>
      <w:kern w:val="0"/>
      <w:sz w:val="24"/>
    </w:rPr>
  </w:style>
  <w:style w:type="paragraph" w:customStyle="1" w:styleId="3119">
    <w:name w:val="样式 标题 （一） + 右侧:  1 字符"/>
    <w:basedOn w:val="1"/>
    <w:semiHidden/>
    <w:qFormat/>
    <w:uiPriority w:val="0"/>
    <w:pPr>
      <w:tabs>
        <w:tab w:val="left" w:pos="917"/>
      </w:tabs>
      <w:spacing w:line="360" w:lineRule="auto"/>
      <w:ind w:left="176" w:right="100" w:hanging="435"/>
      <w:jc w:val="left"/>
      <w:outlineLvl w:val="1"/>
    </w:pPr>
    <w:rPr>
      <w:rFonts w:ascii="宋体" w:hAnsi="宋体" w:eastAsia="华文仿宋" w:cs="Times New Roman"/>
      <w:snapToGrid w:val="0"/>
      <w:kern w:val="28"/>
      <w:sz w:val="24"/>
      <w:szCs w:val="20"/>
    </w:rPr>
  </w:style>
  <w:style w:type="paragraph" w:customStyle="1" w:styleId="3120">
    <w:name w:val="style1"/>
    <w:basedOn w:val="1"/>
    <w:qFormat/>
    <w:uiPriority w:val="0"/>
    <w:pPr>
      <w:widowControl/>
      <w:spacing w:beforeAutospacing="1" w:after="100" w:afterAutospacing="1"/>
      <w:jc w:val="left"/>
    </w:pPr>
    <w:rPr>
      <w:rFonts w:ascii="Arial Unicode MS" w:hAnsi="Arial Unicode MS" w:cs="Times New Roman"/>
      <w:snapToGrid w:val="0"/>
      <w:kern w:val="0"/>
      <w:sz w:val="24"/>
      <w:szCs w:val="24"/>
    </w:rPr>
  </w:style>
  <w:style w:type="paragraph" w:customStyle="1" w:styleId="3121">
    <w:name w:val="表格，五送"/>
    <w:next w:val="34"/>
    <w:semiHidden/>
    <w:qFormat/>
    <w:uiPriority w:val="0"/>
    <w:pPr>
      <w:keepNext/>
      <w:widowControl w:val="0"/>
      <w:spacing w:line="360" w:lineRule="exact"/>
      <w:jc w:val="both"/>
    </w:pPr>
    <w:rPr>
      <w:rFonts w:ascii="Times New Roman" w:hAnsi="Times New Roman" w:eastAsia="宋体" w:cs="Times New Roman"/>
      <w:sz w:val="21"/>
      <w:lang w:val="en-US" w:eastAsia="zh-CN" w:bidi="ar-SA"/>
    </w:rPr>
  </w:style>
  <w:style w:type="character" w:customStyle="1" w:styleId="3122">
    <w:name w:val="样式 表名，四宋 + 小四 Char"/>
    <w:semiHidden/>
    <w:qFormat/>
    <w:uiPriority w:val="0"/>
    <w:rPr>
      <w:rFonts w:eastAsia="宋体"/>
      <w:b/>
      <w:bCs/>
      <w:sz w:val="21"/>
      <w:szCs w:val="21"/>
      <w:lang w:val="en-US" w:eastAsia="zh-CN" w:bidi="ar-SA"/>
    </w:rPr>
  </w:style>
  <w:style w:type="character" w:customStyle="1" w:styleId="3123">
    <w:name w:val="f121"/>
    <w:semiHidden/>
    <w:qFormat/>
    <w:uiPriority w:val="0"/>
    <w:rPr>
      <w:sz w:val="24"/>
      <w:szCs w:val="24"/>
    </w:rPr>
  </w:style>
  <w:style w:type="character" w:customStyle="1" w:styleId="3124">
    <w:name w:val="文中说明 Char"/>
    <w:link w:val="2981"/>
    <w:semiHidden/>
    <w:qFormat/>
    <w:uiPriority w:val="0"/>
    <w:rPr>
      <w:rFonts w:ascii="宋体" w:hAnsi="宋体" w:cs="Times New Roman"/>
      <w:kern w:val="28"/>
      <w:sz w:val="24"/>
      <w:szCs w:val="24"/>
    </w:rPr>
  </w:style>
  <w:style w:type="paragraph" w:customStyle="1" w:styleId="3125">
    <w:name w:val="xl168"/>
    <w:basedOn w:val="1"/>
    <w:qFormat/>
    <w:uiPriority w:val="0"/>
    <w:pPr>
      <w:widowControl/>
      <w:pBdr>
        <w:top w:val="single" w:color="auto" w:sz="4" w:space="0"/>
        <w:left w:val="single" w:color="auto" w:sz="4" w:space="0"/>
        <w:bottom w:val="single" w:color="auto" w:sz="4" w:space="0"/>
      </w:pBdr>
      <w:shd w:val="clear" w:color="auto" w:fill="FFFFFF"/>
      <w:spacing w:beforeAutospacing="1" w:after="100" w:afterAutospacing="1"/>
      <w:jc w:val="right"/>
    </w:pPr>
    <w:rPr>
      <w:rFonts w:ascii="Arial Unicode MS" w:hAnsi="Arial Unicode MS" w:eastAsia="Arial Unicode MS" w:cs="Arial Unicode MS"/>
      <w:color w:val="FF0000"/>
      <w:kern w:val="0"/>
      <w:sz w:val="22"/>
    </w:rPr>
  </w:style>
  <w:style w:type="paragraph" w:customStyle="1" w:styleId="3126">
    <w:name w:val="xl169"/>
    <w:basedOn w:val="1"/>
    <w:qFormat/>
    <w:uiPriority w:val="0"/>
    <w:pPr>
      <w:widowControl/>
      <w:pBdr>
        <w:top w:val="single" w:color="auto" w:sz="4" w:space="0"/>
        <w:bottom w:val="single" w:color="auto" w:sz="4" w:space="0"/>
        <w:right w:val="single" w:color="auto" w:sz="4" w:space="0"/>
      </w:pBdr>
      <w:shd w:val="clear" w:color="auto" w:fill="FFFFFF"/>
      <w:spacing w:beforeAutospacing="1" w:after="100" w:afterAutospacing="1"/>
      <w:jc w:val="right"/>
    </w:pPr>
    <w:rPr>
      <w:rFonts w:ascii="Arial Unicode MS" w:hAnsi="Arial Unicode MS" w:eastAsia="Arial Unicode MS" w:cs="Arial Unicode MS"/>
      <w:color w:val="FF0000"/>
      <w:kern w:val="0"/>
      <w:sz w:val="22"/>
    </w:rPr>
  </w:style>
  <w:style w:type="paragraph" w:customStyle="1" w:styleId="3127">
    <w:name w:val="xl170"/>
    <w:basedOn w:val="1"/>
    <w:qFormat/>
    <w:uiPriority w:val="0"/>
    <w:pPr>
      <w:widowControl/>
      <w:pBdr>
        <w:top w:val="single" w:color="auto" w:sz="4" w:space="0"/>
        <w:bottom w:val="single" w:color="auto" w:sz="4" w:space="0"/>
      </w:pBdr>
      <w:shd w:val="clear" w:color="auto" w:fill="FFFFFF"/>
      <w:spacing w:beforeAutospacing="1" w:after="100" w:afterAutospacing="1"/>
      <w:jc w:val="right"/>
    </w:pPr>
    <w:rPr>
      <w:rFonts w:ascii="Arial Unicode MS" w:hAnsi="Arial Unicode MS" w:eastAsia="Arial Unicode MS" w:cs="Arial Unicode MS"/>
      <w:color w:val="000000"/>
      <w:kern w:val="0"/>
      <w:sz w:val="22"/>
    </w:rPr>
  </w:style>
  <w:style w:type="paragraph" w:customStyle="1" w:styleId="3128">
    <w:name w:val="xl171"/>
    <w:basedOn w:val="1"/>
    <w:qFormat/>
    <w:uiPriority w:val="0"/>
    <w:pPr>
      <w:widowControl/>
      <w:pBdr>
        <w:top w:val="single" w:color="auto" w:sz="4" w:space="0"/>
        <w:bottom w:val="single" w:color="auto" w:sz="4" w:space="0"/>
        <w:right w:val="single" w:color="auto" w:sz="4" w:space="0"/>
      </w:pBdr>
      <w:shd w:val="clear" w:color="auto" w:fill="FFFFFF"/>
      <w:spacing w:beforeAutospacing="1" w:after="100" w:afterAutospacing="1"/>
      <w:jc w:val="right"/>
    </w:pPr>
    <w:rPr>
      <w:rFonts w:ascii="Arial Unicode MS" w:hAnsi="Arial Unicode MS" w:eastAsia="Arial Unicode MS" w:cs="Arial Unicode MS"/>
      <w:color w:val="FF0000"/>
      <w:kern w:val="0"/>
      <w:sz w:val="22"/>
    </w:rPr>
  </w:style>
  <w:style w:type="paragraph" w:customStyle="1" w:styleId="3129">
    <w:name w:val="xl172"/>
    <w:basedOn w:val="1"/>
    <w:qFormat/>
    <w:uiPriority w:val="0"/>
    <w:pPr>
      <w:widowControl/>
      <w:pBdr>
        <w:top w:val="single" w:color="auto" w:sz="4" w:space="0"/>
        <w:bottom w:val="single" w:color="auto" w:sz="4" w:space="0"/>
      </w:pBdr>
      <w:shd w:val="clear" w:color="auto" w:fill="FFFFFF"/>
      <w:spacing w:beforeAutospacing="1" w:after="100" w:afterAutospacing="1"/>
      <w:jc w:val="right"/>
    </w:pPr>
    <w:rPr>
      <w:rFonts w:ascii="Arial Unicode MS" w:hAnsi="Arial Unicode MS" w:eastAsia="Arial Unicode MS" w:cs="Arial Unicode MS"/>
      <w:color w:val="000000"/>
      <w:kern w:val="0"/>
      <w:sz w:val="22"/>
    </w:rPr>
  </w:style>
  <w:style w:type="paragraph" w:customStyle="1" w:styleId="3130">
    <w:name w:val="xl173"/>
    <w:basedOn w:val="1"/>
    <w:qFormat/>
    <w:uiPriority w:val="0"/>
    <w:pPr>
      <w:widowControl/>
      <w:pBdr>
        <w:top w:val="single" w:color="auto" w:sz="4" w:space="0"/>
        <w:right w:val="single" w:color="auto" w:sz="4" w:space="0"/>
      </w:pBdr>
      <w:shd w:val="clear" w:color="auto" w:fill="FFFFFF"/>
      <w:spacing w:beforeAutospacing="1" w:after="100" w:afterAutospacing="1"/>
      <w:jc w:val="center"/>
    </w:pPr>
    <w:rPr>
      <w:rFonts w:ascii="Arial Unicode MS" w:hAnsi="Arial Unicode MS" w:eastAsia="Arial Unicode MS" w:cs="Arial Unicode MS"/>
      <w:b/>
      <w:bCs/>
      <w:color w:val="000000"/>
      <w:kern w:val="0"/>
      <w:sz w:val="22"/>
    </w:rPr>
  </w:style>
  <w:style w:type="paragraph" w:customStyle="1" w:styleId="3131">
    <w:name w:val="xl174"/>
    <w:basedOn w:val="1"/>
    <w:qFormat/>
    <w:uiPriority w:val="0"/>
    <w:pPr>
      <w:widowControl/>
      <w:pBdr>
        <w:top w:val="single" w:color="auto" w:sz="4" w:space="0"/>
        <w:bottom w:val="single" w:color="auto" w:sz="4" w:space="0"/>
      </w:pBdr>
      <w:shd w:val="clear" w:color="auto" w:fill="FFFFFF"/>
      <w:spacing w:beforeAutospacing="1" w:after="100" w:afterAutospacing="1"/>
      <w:jc w:val="right"/>
    </w:pPr>
    <w:rPr>
      <w:rFonts w:ascii="Arial Unicode MS" w:hAnsi="Arial Unicode MS" w:eastAsia="Arial Unicode MS" w:cs="Arial Unicode MS"/>
      <w:color w:val="000000"/>
      <w:kern w:val="0"/>
      <w:sz w:val="22"/>
    </w:rPr>
  </w:style>
  <w:style w:type="paragraph" w:customStyle="1" w:styleId="3132">
    <w:name w:val="1、宋体"/>
    <w:basedOn w:val="1"/>
    <w:semiHidden/>
    <w:qFormat/>
    <w:uiPriority w:val="0"/>
    <w:pPr>
      <w:ind w:firstLine="200" w:firstLineChars="200"/>
      <w:jc w:val="left"/>
      <w:outlineLvl w:val="3"/>
    </w:pPr>
    <w:rPr>
      <w:rFonts w:ascii="宋体" w:hAnsi="宋体" w:cs="Times New Roman"/>
      <w:b/>
      <w:kern w:val="28"/>
      <w:sz w:val="24"/>
      <w:szCs w:val="24"/>
    </w:rPr>
  </w:style>
  <w:style w:type="paragraph" w:customStyle="1" w:styleId="3133">
    <w:name w:val="xl175"/>
    <w:basedOn w:val="1"/>
    <w:qFormat/>
    <w:uiPriority w:val="0"/>
    <w:pPr>
      <w:widowControl/>
      <w:pBdr>
        <w:top w:val="single" w:color="auto" w:sz="4" w:space="0"/>
        <w:left w:val="single" w:color="auto" w:sz="4" w:space="0"/>
        <w:bottom w:val="single" w:color="auto" w:sz="4" w:space="0"/>
      </w:pBdr>
      <w:shd w:val="clear" w:color="auto" w:fill="FFFFFF"/>
      <w:spacing w:beforeAutospacing="1" w:after="100" w:afterAutospacing="1"/>
      <w:jc w:val="center"/>
    </w:pPr>
    <w:rPr>
      <w:rFonts w:ascii="宋体" w:hAnsi="宋体" w:cs="宋体"/>
      <w:b/>
      <w:bCs/>
      <w:color w:val="000000"/>
      <w:kern w:val="0"/>
      <w:sz w:val="22"/>
    </w:rPr>
  </w:style>
  <w:style w:type="paragraph" w:customStyle="1" w:styleId="3134">
    <w:name w:val="xl176"/>
    <w:basedOn w:val="1"/>
    <w:qFormat/>
    <w:uiPriority w:val="0"/>
    <w:pPr>
      <w:widowControl/>
      <w:pBdr>
        <w:top w:val="single" w:color="auto" w:sz="4" w:space="0"/>
        <w:bottom w:val="single" w:color="auto" w:sz="4" w:space="0"/>
      </w:pBdr>
      <w:shd w:val="clear" w:color="auto" w:fill="FFFFFF"/>
      <w:spacing w:beforeAutospacing="1" w:after="100" w:afterAutospacing="1"/>
      <w:jc w:val="center"/>
    </w:pPr>
    <w:rPr>
      <w:rFonts w:ascii="宋体" w:hAnsi="宋体" w:cs="宋体"/>
      <w:b/>
      <w:bCs/>
      <w:color w:val="000000"/>
      <w:kern w:val="0"/>
      <w:sz w:val="22"/>
    </w:rPr>
  </w:style>
  <w:style w:type="paragraph" w:customStyle="1" w:styleId="3135">
    <w:name w:val="xl177"/>
    <w:basedOn w:val="1"/>
    <w:qFormat/>
    <w:uiPriority w:val="0"/>
    <w:pPr>
      <w:widowControl/>
      <w:pBdr>
        <w:top w:val="single" w:color="auto" w:sz="4" w:space="0"/>
        <w:bottom w:val="single" w:color="auto" w:sz="4" w:space="0"/>
        <w:right w:val="single" w:color="auto" w:sz="4" w:space="0"/>
      </w:pBdr>
      <w:shd w:val="clear" w:color="auto" w:fill="FFFFFF"/>
      <w:spacing w:beforeAutospacing="1" w:after="100" w:afterAutospacing="1"/>
      <w:jc w:val="center"/>
    </w:pPr>
    <w:rPr>
      <w:rFonts w:ascii="宋体" w:hAnsi="宋体" w:cs="宋体"/>
      <w:b/>
      <w:bCs/>
      <w:color w:val="000000"/>
      <w:kern w:val="0"/>
      <w:sz w:val="22"/>
    </w:rPr>
  </w:style>
  <w:style w:type="paragraph" w:customStyle="1" w:styleId="3136">
    <w:name w:val="1、"/>
    <w:basedOn w:val="1"/>
    <w:link w:val="3154"/>
    <w:semiHidden/>
    <w:qFormat/>
    <w:uiPriority w:val="0"/>
    <w:pPr>
      <w:ind w:firstLine="200" w:firstLineChars="200"/>
      <w:jc w:val="left"/>
    </w:pPr>
    <w:rPr>
      <w:rFonts w:ascii="宋体" w:hAnsi="Times New Roman" w:cs="Times New Roman"/>
      <w:b/>
      <w:color w:val="000000"/>
      <w:sz w:val="24"/>
      <w:szCs w:val="24"/>
    </w:rPr>
  </w:style>
  <w:style w:type="paragraph" w:customStyle="1" w:styleId="3137">
    <w:name w:val="表头头"/>
    <w:basedOn w:val="1"/>
    <w:link w:val="3138"/>
    <w:semiHidden/>
    <w:qFormat/>
    <w:uiPriority w:val="0"/>
    <w:pPr>
      <w:adjustRightInd w:val="0"/>
      <w:jc w:val="right"/>
      <w:textAlignment w:val="baseline"/>
    </w:pPr>
    <w:rPr>
      <w:rFonts w:ascii="宋体" w:hAnsi="Times New Roman" w:cs="Times New Roman"/>
      <w:b/>
      <w:color w:val="000000"/>
      <w:kern w:val="28"/>
      <w:sz w:val="24"/>
      <w:szCs w:val="20"/>
    </w:rPr>
  </w:style>
  <w:style w:type="character" w:customStyle="1" w:styleId="3138">
    <w:name w:val="表头头 Char"/>
    <w:link w:val="3137"/>
    <w:semiHidden/>
    <w:qFormat/>
    <w:uiPriority w:val="0"/>
    <w:rPr>
      <w:rFonts w:ascii="宋体" w:hAnsi="Times New Roman" w:cs="Times New Roman"/>
      <w:b/>
      <w:color w:val="000000"/>
      <w:kern w:val="28"/>
      <w:sz w:val="24"/>
      <w:szCs w:val="20"/>
    </w:rPr>
  </w:style>
  <w:style w:type="paragraph" w:customStyle="1" w:styleId="3139">
    <w:name w:val="表文文"/>
    <w:basedOn w:val="1"/>
    <w:semiHidden/>
    <w:qFormat/>
    <w:uiPriority w:val="0"/>
    <w:pPr>
      <w:spacing w:line="240" w:lineRule="exact"/>
      <w:jc w:val="center"/>
    </w:pPr>
    <w:rPr>
      <w:rFonts w:ascii="宋体" w:hAnsi="宋体" w:cs="Times New Roman"/>
      <w:color w:val="000000"/>
      <w:sz w:val="18"/>
      <w:szCs w:val="18"/>
    </w:rPr>
  </w:style>
  <w:style w:type="paragraph" w:customStyle="1" w:styleId="3140">
    <w:name w:val="环四号内容"/>
    <w:link w:val="3141"/>
    <w:semiHidden/>
    <w:qFormat/>
    <w:uiPriority w:val="0"/>
    <w:pPr>
      <w:widowControl w:val="0"/>
      <w:ind w:firstLine="200" w:firstLineChars="200"/>
      <w:jc w:val="both"/>
    </w:pPr>
    <w:rPr>
      <w:rFonts w:ascii="宋体" w:hAnsi="宋体" w:eastAsia="宋体" w:cs="Times New Roman"/>
      <w:color w:val="000000"/>
      <w:kern w:val="2"/>
      <w:sz w:val="28"/>
      <w:szCs w:val="28"/>
      <w:lang w:val="en-US" w:eastAsia="zh-CN" w:bidi="ar-SA"/>
    </w:rPr>
  </w:style>
  <w:style w:type="character" w:customStyle="1" w:styleId="3141">
    <w:name w:val="环四号内容 Char Char"/>
    <w:link w:val="3140"/>
    <w:semiHidden/>
    <w:qFormat/>
    <w:uiPriority w:val="0"/>
    <w:rPr>
      <w:rFonts w:ascii="宋体" w:hAnsi="宋体" w:eastAsia="宋体" w:cs="Times New Roman"/>
      <w:color w:val="000000"/>
      <w:sz w:val="28"/>
      <w:szCs w:val="28"/>
    </w:rPr>
  </w:style>
  <w:style w:type="paragraph" w:customStyle="1" w:styleId="3142">
    <w:name w:val="表格字"/>
    <w:basedOn w:val="1"/>
    <w:link w:val="3179"/>
    <w:semiHidden/>
    <w:qFormat/>
    <w:uiPriority w:val="0"/>
    <w:pPr>
      <w:spacing w:line="240" w:lineRule="exact"/>
      <w:jc w:val="center"/>
    </w:pPr>
    <w:rPr>
      <w:rFonts w:ascii="宋体" w:hAnsi="宋体" w:cs="Times New Roman"/>
      <w:kern w:val="0"/>
      <w:sz w:val="18"/>
    </w:rPr>
  </w:style>
  <w:style w:type="paragraph" w:customStyle="1" w:styleId="3143">
    <w:name w:val="环四号1.1.1（三级楷）"/>
    <w:link w:val="3144"/>
    <w:semiHidden/>
    <w:qFormat/>
    <w:uiPriority w:val="0"/>
    <w:pPr>
      <w:widowControl w:val="0"/>
      <w:outlineLvl w:val="2"/>
    </w:pPr>
    <w:rPr>
      <w:rFonts w:ascii="楷体_GB2312" w:hAnsi="宋体" w:eastAsia="楷体_GB2312" w:cs="Times New Roman"/>
      <w:b/>
      <w:bCs/>
      <w:color w:val="000000"/>
      <w:kern w:val="2"/>
      <w:sz w:val="28"/>
      <w:szCs w:val="28"/>
      <w:lang w:val="en-US" w:eastAsia="zh-CN" w:bidi="ar-SA"/>
    </w:rPr>
  </w:style>
  <w:style w:type="character" w:customStyle="1" w:styleId="3144">
    <w:name w:val="环四号1.1.1（三级楷） Char Char"/>
    <w:link w:val="3143"/>
    <w:semiHidden/>
    <w:qFormat/>
    <w:uiPriority w:val="0"/>
    <w:rPr>
      <w:rFonts w:ascii="楷体_GB2312" w:hAnsi="宋体" w:eastAsia="楷体_GB2312" w:cs="Times New Roman"/>
      <w:b/>
      <w:bCs/>
      <w:color w:val="000000"/>
      <w:sz w:val="28"/>
      <w:szCs w:val="28"/>
    </w:rPr>
  </w:style>
  <w:style w:type="paragraph" w:customStyle="1" w:styleId="3145">
    <w:name w:val="环 表号"/>
    <w:basedOn w:val="1"/>
    <w:link w:val="3146"/>
    <w:semiHidden/>
    <w:qFormat/>
    <w:uiPriority w:val="0"/>
    <w:pPr>
      <w:jc w:val="left"/>
    </w:pPr>
    <w:rPr>
      <w:rFonts w:ascii="宋体" w:hAnsi="Times New Roman" w:cs="Times New Roman"/>
      <w:b/>
      <w:bCs/>
    </w:rPr>
  </w:style>
  <w:style w:type="character" w:customStyle="1" w:styleId="3146">
    <w:name w:val="环 表号 Char"/>
    <w:link w:val="3145"/>
    <w:semiHidden/>
    <w:qFormat/>
    <w:uiPriority w:val="0"/>
    <w:rPr>
      <w:rFonts w:ascii="宋体" w:hAnsi="Times New Roman" w:cs="Times New Roman"/>
      <w:b/>
      <w:bCs/>
      <w:szCs w:val="21"/>
    </w:rPr>
  </w:style>
  <w:style w:type="character" w:customStyle="1" w:styleId="3147">
    <w:name w:val="环 表内容 Char Char"/>
    <w:link w:val="2991"/>
    <w:semiHidden/>
    <w:qFormat/>
    <w:uiPriority w:val="0"/>
    <w:rPr>
      <w:rFonts w:ascii="宋体" w:hAnsi="宋体" w:cs="Times New Roman"/>
      <w:sz w:val="18"/>
      <w:szCs w:val="21"/>
    </w:rPr>
  </w:style>
  <w:style w:type="paragraph" w:customStyle="1" w:styleId="3148">
    <w:name w:val="封面2，二宋"/>
    <w:semiHidden/>
    <w:qFormat/>
    <w:uiPriority w:val="0"/>
    <w:pPr>
      <w:keepNext/>
      <w:widowControl w:val="0"/>
      <w:snapToGrid w:val="0"/>
      <w:jc w:val="distribute"/>
    </w:pPr>
    <w:rPr>
      <w:rFonts w:ascii="Times New Roman" w:hAnsi="Times New Roman" w:eastAsia="宋体" w:cs="Times New Roman"/>
      <w:sz w:val="44"/>
      <w:lang w:val="en-US" w:eastAsia="zh-CN" w:bidi="ar-SA"/>
    </w:rPr>
  </w:style>
  <w:style w:type="paragraph" w:customStyle="1" w:styleId="3149">
    <w:name w:val="封面3，小二"/>
    <w:semiHidden/>
    <w:qFormat/>
    <w:uiPriority w:val="0"/>
    <w:pPr>
      <w:keepNext/>
      <w:widowControl w:val="0"/>
      <w:snapToGrid w:val="0"/>
      <w:jc w:val="distribute"/>
    </w:pPr>
    <w:rPr>
      <w:rFonts w:ascii="Times New Roman" w:hAnsi="Times New Roman" w:eastAsia="宋体" w:cs="Times New Roman"/>
      <w:sz w:val="36"/>
      <w:lang w:val="en-US" w:eastAsia="zh-CN" w:bidi="ar-SA"/>
    </w:rPr>
  </w:style>
  <w:style w:type="paragraph" w:customStyle="1" w:styleId="3150">
    <w:name w:val="封面1，初黑"/>
    <w:semiHidden/>
    <w:qFormat/>
    <w:uiPriority w:val="0"/>
    <w:pPr>
      <w:keepNext/>
      <w:widowControl w:val="0"/>
      <w:snapToGrid w:val="0"/>
      <w:jc w:val="distribute"/>
    </w:pPr>
    <w:rPr>
      <w:rFonts w:ascii="Times New Roman" w:hAnsi="Times New Roman" w:eastAsia="黑体" w:cs="Times New Roman"/>
      <w:sz w:val="84"/>
      <w:lang w:val="en-US" w:eastAsia="zh-CN" w:bidi="ar-SA"/>
    </w:rPr>
  </w:style>
  <w:style w:type="paragraph" w:customStyle="1" w:styleId="3151">
    <w:name w:val="样式 首行缩进:  2 字符 行距: 固定值 26 磅 Char Char Char"/>
    <w:basedOn w:val="1"/>
    <w:semiHidden/>
    <w:qFormat/>
    <w:uiPriority w:val="0"/>
    <w:pPr>
      <w:spacing w:line="500" w:lineRule="exact"/>
      <w:ind w:firstLine="200" w:firstLineChars="200"/>
      <w:jc w:val="left"/>
    </w:pPr>
    <w:rPr>
      <w:rFonts w:ascii="Times New Roman" w:hAnsi="Times New Roman" w:cs="Times New Roman"/>
      <w:sz w:val="24"/>
      <w:szCs w:val="24"/>
    </w:rPr>
  </w:style>
  <w:style w:type="paragraph" w:customStyle="1" w:styleId="3152">
    <w:name w:val="表格-1"/>
    <w:basedOn w:val="1"/>
    <w:link w:val="3153"/>
    <w:semiHidden/>
    <w:qFormat/>
    <w:uiPriority w:val="0"/>
    <w:pPr>
      <w:jc w:val="center"/>
      <w:textAlignment w:val="center"/>
    </w:pPr>
    <w:rPr>
      <w:rFonts w:ascii="Times New Roman" w:hAnsi="Times New Roman" w:cs="Times New Roman"/>
    </w:rPr>
  </w:style>
  <w:style w:type="character" w:customStyle="1" w:styleId="3153">
    <w:name w:val="表格-1 Char"/>
    <w:link w:val="3152"/>
    <w:semiHidden/>
    <w:qFormat/>
    <w:uiPriority w:val="0"/>
    <w:rPr>
      <w:rFonts w:ascii="Times New Roman" w:hAnsi="Times New Roman" w:cs="Times New Roman"/>
      <w:szCs w:val="21"/>
    </w:rPr>
  </w:style>
  <w:style w:type="character" w:customStyle="1" w:styleId="3154">
    <w:name w:val="1、 Char"/>
    <w:link w:val="3136"/>
    <w:semiHidden/>
    <w:qFormat/>
    <w:uiPriority w:val="0"/>
    <w:rPr>
      <w:rFonts w:ascii="宋体" w:hAnsi="Times New Roman" w:cs="Times New Roman"/>
      <w:b/>
      <w:color w:val="000000"/>
      <w:sz w:val="24"/>
      <w:szCs w:val="24"/>
    </w:rPr>
  </w:style>
  <w:style w:type="paragraph" w:customStyle="1" w:styleId="3155">
    <w:name w:val="环 5级 1"/>
    <w:basedOn w:val="2990"/>
    <w:link w:val="3156"/>
    <w:semiHidden/>
    <w:qFormat/>
    <w:uiPriority w:val="0"/>
    <w:rPr>
      <w:b/>
    </w:rPr>
  </w:style>
  <w:style w:type="character" w:customStyle="1" w:styleId="3156">
    <w:name w:val="环 5级 1 Char"/>
    <w:link w:val="3155"/>
    <w:semiHidden/>
    <w:qFormat/>
    <w:uiPriority w:val="0"/>
    <w:rPr>
      <w:rFonts w:ascii="宋体" w:hAnsi="宋体" w:cs="Times New Roman"/>
      <w:b/>
      <w:snapToGrid w:val="0"/>
      <w:sz w:val="24"/>
      <w:szCs w:val="24"/>
    </w:rPr>
  </w:style>
  <w:style w:type="paragraph" w:customStyle="1" w:styleId="3157">
    <w:name w:val="Char1 Char Char Char Char Char Char Char Char Char Char Char Char Char Char Char Char Char Char"/>
    <w:basedOn w:val="26"/>
    <w:semiHidden/>
    <w:qFormat/>
    <w:uiPriority w:val="0"/>
    <w:pPr>
      <w:shd w:val="clear" w:color="auto" w:fill="000080"/>
      <w:spacing w:beforeLines="10" w:line="436" w:lineRule="exact"/>
      <w:ind w:left="357" w:firstLine="0" w:firstLineChars="0"/>
      <w:outlineLvl w:val="3"/>
    </w:pPr>
    <w:rPr>
      <w:rFonts w:ascii="楷体_GB2312" w:hAnsi="Tahoma" w:eastAsia="楷体_GB2312"/>
      <w:b/>
      <w:snapToGrid w:val="0"/>
      <w:kern w:val="28"/>
      <w:sz w:val="26"/>
      <w:szCs w:val="24"/>
    </w:rPr>
  </w:style>
  <w:style w:type="paragraph" w:customStyle="1" w:styleId="3158">
    <w:name w:val="环 1级 1"/>
    <w:basedOn w:val="1"/>
    <w:semiHidden/>
    <w:qFormat/>
    <w:uiPriority w:val="0"/>
    <w:pPr>
      <w:spacing w:beforeLines="50" w:afterLines="50"/>
      <w:jc w:val="center"/>
      <w:outlineLvl w:val="0"/>
    </w:pPr>
    <w:rPr>
      <w:rFonts w:ascii="宋体" w:hAnsi="宋体" w:cs="Times New Roman"/>
      <w:b/>
      <w:sz w:val="32"/>
      <w:szCs w:val="24"/>
    </w:rPr>
  </w:style>
  <w:style w:type="character" w:customStyle="1" w:styleId="3159">
    <w:name w:val="环 表题 Char"/>
    <w:link w:val="2992"/>
    <w:semiHidden/>
    <w:qFormat/>
    <w:uiPriority w:val="0"/>
    <w:rPr>
      <w:rFonts w:ascii="宋体" w:hAnsi="Times New Roman" w:cs="Times New Roman"/>
      <w:b/>
      <w:sz w:val="24"/>
      <w:szCs w:val="24"/>
    </w:rPr>
  </w:style>
  <w:style w:type="paragraph" w:customStyle="1" w:styleId="3160">
    <w:name w:val="Char2 Char Char Char Char Char Char"/>
    <w:basedOn w:val="1"/>
    <w:next w:val="1"/>
    <w:qFormat/>
    <w:uiPriority w:val="0"/>
    <w:pPr>
      <w:pBdr>
        <w:right w:val="single" w:color="auto" w:sz="12" w:space="4"/>
      </w:pBdr>
      <w:spacing w:line="360" w:lineRule="auto"/>
      <w:ind w:firstLine="200" w:firstLineChars="200"/>
      <w:jc w:val="left"/>
    </w:pPr>
    <w:rPr>
      <w:rFonts w:ascii="宋体" w:hAnsi="宋体" w:cs="宋体"/>
      <w:sz w:val="24"/>
      <w:szCs w:val="24"/>
    </w:rPr>
  </w:style>
  <w:style w:type="paragraph" w:customStyle="1" w:styleId="3161">
    <w:name w:val="Char Char Char Char Zchn Zchn Char Char Zchn Zchn"/>
    <w:basedOn w:val="26"/>
    <w:semiHidden/>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28"/>
      <w:sz w:val="26"/>
      <w:szCs w:val="24"/>
    </w:rPr>
  </w:style>
  <w:style w:type="paragraph" w:customStyle="1" w:styleId="3162">
    <w:name w:val="环小四1.1.1.1（四级）"/>
    <w:qFormat/>
    <w:uiPriority w:val="0"/>
    <w:pPr>
      <w:widowControl w:val="0"/>
      <w:outlineLvl w:val="3"/>
    </w:pPr>
    <w:rPr>
      <w:rFonts w:ascii="宋体" w:hAnsi="宋体" w:eastAsia="宋体" w:cs="Times New Roman"/>
      <w:b/>
      <w:color w:val="000000"/>
      <w:kern w:val="2"/>
      <w:sz w:val="24"/>
      <w:szCs w:val="24"/>
      <w:lang w:val="en-US" w:eastAsia="zh-CN" w:bidi="ar-SA"/>
    </w:rPr>
  </w:style>
  <w:style w:type="paragraph" w:customStyle="1" w:styleId="3163">
    <w:name w:val="环小四12345"/>
    <w:qFormat/>
    <w:uiPriority w:val="0"/>
    <w:pPr>
      <w:widowControl w:val="0"/>
      <w:ind w:firstLine="200" w:firstLineChars="200"/>
    </w:pPr>
    <w:rPr>
      <w:rFonts w:ascii="宋体" w:hAnsi="宋体" w:eastAsia="宋体" w:cs="Times New Roman"/>
      <w:b/>
      <w:snapToGrid w:val="0"/>
      <w:kern w:val="2"/>
      <w:sz w:val="24"/>
      <w:szCs w:val="24"/>
      <w:lang w:val="en-US" w:eastAsia="zh-CN" w:bidi="ar-SA"/>
    </w:rPr>
  </w:style>
  <w:style w:type="paragraph" w:customStyle="1" w:styleId="3164">
    <w:name w:val="环小四表内容"/>
    <w:basedOn w:val="1"/>
    <w:qFormat/>
    <w:uiPriority w:val="0"/>
    <w:pPr>
      <w:wordWrap w:val="0"/>
      <w:spacing w:line="240" w:lineRule="exact"/>
      <w:jc w:val="center"/>
    </w:pPr>
    <w:rPr>
      <w:rFonts w:ascii="宋体" w:hAnsi="宋体" w:cs="Times New Roman"/>
      <w:sz w:val="18"/>
    </w:rPr>
  </w:style>
  <w:style w:type="paragraph" w:customStyle="1" w:styleId="3165">
    <w:name w:val="环小四表题"/>
    <w:basedOn w:val="1"/>
    <w:link w:val="3167"/>
    <w:qFormat/>
    <w:uiPriority w:val="0"/>
    <w:pPr>
      <w:wordWrap w:val="0"/>
      <w:spacing w:line="400" w:lineRule="exact"/>
      <w:jc w:val="right"/>
    </w:pPr>
    <w:rPr>
      <w:rFonts w:ascii="宋体" w:hAnsi="Times New Roman" w:cs="Times New Roman"/>
      <w:b/>
      <w:sz w:val="24"/>
      <w:szCs w:val="24"/>
    </w:rPr>
  </w:style>
  <w:style w:type="paragraph" w:customStyle="1" w:styleId="3166">
    <w:name w:val="环小四图名"/>
    <w:basedOn w:val="1"/>
    <w:link w:val="3264"/>
    <w:qFormat/>
    <w:uiPriority w:val="0"/>
    <w:pPr>
      <w:jc w:val="center"/>
    </w:pPr>
    <w:rPr>
      <w:rFonts w:ascii="宋体" w:hAnsi="宋体" w:cs="Times New Roman"/>
      <w:b/>
    </w:rPr>
  </w:style>
  <w:style w:type="character" w:customStyle="1" w:styleId="3167">
    <w:name w:val="环小四表题 Char"/>
    <w:link w:val="3165"/>
    <w:qFormat/>
    <w:uiPriority w:val="0"/>
    <w:rPr>
      <w:rFonts w:ascii="宋体" w:hAnsi="Times New Roman" w:cs="Times New Roman"/>
      <w:b/>
      <w:sz w:val="24"/>
      <w:szCs w:val="24"/>
    </w:rPr>
  </w:style>
  <w:style w:type="paragraph" w:customStyle="1" w:styleId="3168">
    <w:name w:val="5级"/>
    <w:semiHidden/>
    <w:qFormat/>
    <w:uiPriority w:val="0"/>
    <w:pPr>
      <w:ind w:firstLine="200" w:firstLineChars="200"/>
    </w:pPr>
    <w:rPr>
      <w:rFonts w:ascii="宋体" w:hAnsi="宋体" w:eastAsia="宋体" w:cs="Times New Roman"/>
      <w:b/>
      <w:snapToGrid w:val="0"/>
      <w:color w:val="000000"/>
      <w:kern w:val="2"/>
      <w:sz w:val="28"/>
      <w:szCs w:val="28"/>
      <w:lang w:val="en-US" w:eastAsia="zh-CN" w:bidi="ar-SA"/>
    </w:rPr>
  </w:style>
  <w:style w:type="character" w:customStyle="1" w:styleId="3169">
    <w:name w:val="标3 Char"/>
    <w:link w:val="2979"/>
    <w:semiHidden/>
    <w:qFormat/>
    <w:uiPriority w:val="0"/>
    <w:rPr>
      <w:rFonts w:ascii="宋体" w:hAnsi="宋体" w:cs="Times New Roman"/>
      <w:b/>
      <w:snapToGrid w:val="0"/>
      <w:color w:val="000000"/>
      <w:sz w:val="24"/>
      <w:szCs w:val="24"/>
    </w:rPr>
  </w:style>
  <w:style w:type="paragraph" w:customStyle="1" w:styleId="3170">
    <w:name w:val="标0"/>
    <w:basedOn w:val="1"/>
    <w:semiHidden/>
    <w:qFormat/>
    <w:uiPriority w:val="0"/>
    <w:pPr>
      <w:spacing w:beforeLines="50" w:afterLines="50"/>
      <w:jc w:val="center"/>
      <w:outlineLvl w:val="0"/>
    </w:pPr>
    <w:rPr>
      <w:rFonts w:ascii="宋体" w:hAnsi="宋体" w:cs="Times New Roman"/>
      <w:b/>
      <w:sz w:val="32"/>
      <w:szCs w:val="32"/>
    </w:rPr>
  </w:style>
  <w:style w:type="paragraph" w:customStyle="1" w:styleId="3171">
    <w:name w:val="表题目"/>
    <w:basedOn w:val="1"/>
    <w:link w:val="3172"/>
    <w:semiHidden/>
    <w:qFormat/>
    <w:uiPriority w:val="0"/>
    <w:pPr>
      <w:wordWrap w:val="0"/>
      <w:jc w:val="center"/>
    </w:pPr>
    <w:rPr>
      <w:rFonts w:ascii="宋体" w:hAnsi="宋体" w:cs="Times New Roman"/>
      <w:b/>
      <w:color w:val="000000"/>
      <w:sz w:val="28"/>
      <w:szCs w:val="28"/>
    </w:rPr>
  </w:style>
  <w:style w:type="character" w:customStyle="1" w:styleId="3172">
    <w:name w:val="表题目 Char"/>
    <w:link w:val="3171"/>
    <w:semiHidden/>
    <w:qFormat/>
    <w:uiPriority w:val="0"/>
    <w:rPr>
      <w:rFonts w:ascii="宋体" w:hAnsi="宋体" w:cs="Times New Roman"/>
      <w:b/>
      <w:color w:val="000000"/>
      <w:sz w:val="28"/>
      <w:szCs w:val="28"/>
    </w:rPr>
  </w:style>
  <w:style w:type="paragraph" w:customStyle="1" w:styleId="3173">
    <w:name w:val="MFS表格表头 Char Char"/>
    <w:basedOn w:val="1"/>
    <w:semiHidden/>
    <w:qFormat/>
    <w:uiPriority w:val="0"/>
    <w:pPr>
      <w:spacing w:beforeLines="50" w:afterLines="50" w:line="360" w:lineRule="auto"/>
      <w:ind w:firstLine="241" w:firstLineChars="100"/>
      <w:jc w:val="center"/>
    </w:pPr>
    <w:rPr>
      <w:rFonts w:ascii="Times New Roman" w:hAnsi="Times New Roman" w:cs="Times New Roman"/>
      <w:b/>
      <w:sz w:val="24"/>
      <w:szCs w:val="24"/>
    </w:rPr>
  </w:style>
  <w:style w:type="paragraph" w:customStyle="1" w:styleId="3174">
    <w:name w:val="标题2级"/>
    <w:basedOn w:val="1"/>
    <w:semiHidden/>
    <w:qFormat/>
    <w:uiPriority w:val="0"/>
    <w:pPr>
      <w:ind w:firstLine="200" w:firstLineChars="200"/>
      <w:jc w:val="left"/>
      <w:outlineLvl w:val="1"/>
    </w:pPr>
    <w:rPr>
      <w:rFonts w:ascii="黑体" w:hAnsi="宋体" w:eastAsia="黑体" w:cs="Times New Roman"/>
      <w:bCs/>
      <w:sz w:val="28"/>
      <w:szCs w:val="28"/>
    </w:rPr>
  </w:style>
  <w:style w:type="paragraph" w:customStyle="1" w:styleId="3175">
    <w:name w:val="标题3级"/>
    <w:basedOn w:val="1"/>
    <w:semiHidden/>
    <w:qFormat/>
    <w:uiPriority w:val="0"/>
    <w:pPr>
      <w:ind w:firstLine="200" w:firstLineChars="200"/>
      <w:jc w:val="left"/>
      <w:outlineLvl w:val="2"/>
    </w:pPr>
    <w:rPr>
      <w:rFonts w:ascii="楷体_GB2312" w:hAnsi="宋体" w:eastAsia="楷体_GB2312" w:cs="Times New Roman"/>
      <w:b/>
      <w:bCs/>
      <w:sz w:val="28"/>
      <w:szCs w:val="28"/>
    </w:rPr>
  </w:style>
  <w:style w:type="paragraph" w:customStyle="1" w:styleId="3176">
    <w:name w:val="内容正文"/>
    <w:basedOn w:val="1"/>
    <w:link w:val="3177"/>
    <w:semiHidden/>
    <w:qFormat/>
    <w:uiPriority w:val="0"/>
    <w:pPr>
      <w:ind w:firstLine="200" w:firstLineChars="200"/>
      <w:jc w:val="left"/>
    </w:pPr>
    <w:rPr>
      <w:rFonts w:ascii="宋体" w:hAnsi="Times New Roman" w:cs="Times New Roman"/>
      <w:sz w:val="28"/>
      <w:szCs w:val="28"/>
    </w:rPr>
  </w:style>
  <w:style w:type="character" w:customStyle="1" w:styleId="3177">
    <w:name w:val="内容正文 Char"/>
    <w:link w:val="3176"/>
    <w:semiHidden/>
    <w:qFormat/>
    <w:uiPriority w:val="0"/>
    <w:rPr>
      <w:rFonts w:ascii="宋体" w:hAnsi="Times New Roman" w:cs="Times New Roman"/>
      <w:sz w:val="28"/>
      <w:szCs w:val="28"/>
    </w:rPr>
  </w:style>
  <w:style w:type="character" w:customStyle="1" w:styleId="3178">
    <w:name w:val="标题 5 Char Char Char"/>
    <w:qFormat/>
    <w:uiPriority w:val="0"/>
    <w:rPr>
      <w:rFonts w:eastAsia="宋体"/>
      <w:b/>
      <w:kern w:val="2"/>
      <w:sz w:val="24"/>
      <w:lang w:val="en-US" w:eastAsia="zh-CN" w:bidi="ar-SA"/>
    </w:rPr>
  </w:style>
  <w:style w:type="character" w:customStyle="1" w:styleId="3179">
    <w:name w:val="表格字 Char"/>
    <w:link w:val="3142"/>
    <w:semiHidden/>
    <w:qFormat/>
    <w:uiPriority w:val="0"/>
    <w:rPr>
      <w:rFonts w:ascii="宋体" w:hAnsi="宋体" w:cs="Times New Roman"/>
      <w:kern w:val="0"/>
      <w:sz w:val="18"/>
      <w:szCs w:val="21"/>
    </w:rPr>
  </w:style>
  <w:style w:type="paragraph" w:customStyle="1" w:styleId="3180">
    <w:name w:val="2、"/>
    <w:basedOn w:val="44"/>
    <w:semiHidden/>
    <w:qFormat/>
    <w:uiPriority w:val="0"/>
    <w:pPr>
      <w:tabs>
        <w:tab w:val="right" w:leader="dot" w:pos="8947"/>
      </w:tabs>
      <w:adjustRightInd/>
      <w:spacing w:beforeLines="10" w:line="240" w:lineRule="auto"/>
      <w:ind w:left="200" w:leftChars="200" w:hanging="300" w:hangingChars="300"/>
    </w:pPr>
    <w:rPr>
      <w:rFonts w:ascii="宋体" w:hAnsi="宋体" w:eastAsia="楷体_GB2312"/>
      <w:b/>
      <w:snapToGrid w:val="0"/>
      <w:kern w:val="0"/>
      <w:sz w:val="28"/>
      <w:szCs w:val="28"/>
    </w:rPr>
  </w:style>
  <w:style w:type="paragraph" w:customStyle="1" w:styleId="3181">
    <w:name w:val="标题1级"/>
    <w:basedOn w:val="1"/>
    <w:semiHidden/>
    <w:qFormat/>
    <w:uiPriority w:val="0"/>
    <w:pPr>
      <w:spacing w:beforeLines="50" w:afterLines="50"/>
      <w:jc w:val="center"/>
      <w:outlineLvl w:val="0"/>
    </w:pPr>
    <w:rPr>
      <w:rFonts w:ascii="黑体" w:hAnsi="宋体" w:eastAsia="黑体" w:cs="Times New Roman"/>
      <w:bCs/>
      <w:sz w:val="32"/>
      <w:szCs w:val="32"/>
    </w:rPr>
  </w:style>
  <w:style w:type="paragraph" w:customStyle="1" w:styleId="3182">
    <w:name w:val="标题4级"/>
    <w:basedOn w:val="1"/>
    <w:semiHidden/>
    <w:qFormat/>
    <w:uiPriority w:val="0"/>
    <w:pPr>
      <w:ind w:firstLine="200" w:firstLineChars="200"/>
      <w:jc w:val="left"/>
    </w:pPr>
    <w:rPr>
      <w:rFonts w:ascii="宋体" w:hAnsi="宋体" w:cs="Times New Roman"/>
      <w:b/>
      <w:sz w:val="28"/>
      <w:szCs w:val="28"/>
    </w:rPr>
  </w:style>
  <w:style w:type="paragraph" w:customStyle="1" w:styleId="3183">
    <w:name w:val="表号名称"/>
    <w:basedOn w:val="1"/>
    <w:link w:val="3184"/>
    <w:semiHidden/>
    <w:qFormat/>
    <w:uiPriority w:val="0"/>
    <w:pPr>
      <w:jc w:val="right"/>
    </w:pPr>
    <w:rPr>
      <w:rFonts w:ascii="宋体" w:hAnsi="Times New Roman" w:cs="Times New Roman"/>
      <w:b/>
    </w:rPr>
  </w:style>
  <w:style w:type="character" w:customStyle="1" w:styleId="3184">
    <w:name w:val="表号名称 Char"/>
    <w:link w:val="3183"/>
    <w:semiHidden/>
    <w:qFormat/>
    <w:uiPriority w:val="0"/>
    <w:rPr>
      <w:rFonts w:ascii="宋体" w:hAnsi="Times New Roman" w:cs="Times New Roman"/>
      <w:b/>
      <w:szCs w:val="21"/>
    </w:rPr>
  </w:style>
  <w:style w:type="paragraph" w:customStyle="1" w:styleId="3185">
    <w:name w:val="图名称"/>
    <w:basedOn w:val="1"/>
    <w:semiHidden/>
    <w:qFormat/>
    <w:uiPriority w:val="0"/>
    <w:pPr>
      <w:jc w:val="center"/>
    </w:pPr>
    <w:rPr>
      <w:rFonts w:ascii="宋体" w:hAnsi="Times New Roman" w:cs="Times New Roman"/>
      <w:b/>
      <w:spacing w:val="-3"/>
      <w:sz w:val="24"/>
      <w:szCs w:val="28"/>
    </w:rPr>
  </w:style>
  <w:style w:type="paragraph" w:customStyle="1" w:styleId="3186">
    <w:name w:val="宋体1、"/>
    <w:basedOn w:val="1"/>
    <w:link w:val="3187"/>
    <w:semiHidden/>
    <w:qFormat/>
    <w:uiPriority w:val="0"/>
    <w:pPr>
      <w:ind w:firstLine="200" w:firstLineChars="200"/>
      <w:jc w:val="left"/>
    </w:pPr>
    <w:rPr>
      <w:rFonts w:ascii="宋体" w:hAnsi="Times New Roman" w:cs="Times New Roman"/>
      <w:b/>
      <w:sz w:val="28"/>
      <w:szCs w:val="28"/>
    </w:rPr>
  </w:style>
  <w:style w:type="character" w:customStyle="1" w:styleId="3187">
    <w:name w:val="宋体1、 Char"/>
    <w:link w:val="3186"/>
    <w:semiHidden/>
    <w:qFormat/>
    <w:uiPriority w:val="0"/>
    <w:rPr>
      <w:rFonts w:ascii="宋体" w:hAnsi="Times New Roman" w:cs="Times New Roman"/>
      <w:b/>
      <w:sz w:val="28"/>
      <w:szCs w:val="28"/>
    </w:rPr>
  </w:style>
  <w:style w:type="paragraph" w:customStyle="1" w:styleId="3188">
    <w:name w:val="Char1 Char Char Char Char Char Char Char Char Char Char Char Char"/>
    <w:basedOn w:val="26"/>
    <w:semiHidden/>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28"/>
      <w:sz w:val="26"/>
      <w:szCs w:val="24"/>
    </w:rPr>
  </w:style>
  <w:style w:type="paragraph" w:customStyle="1" w:styleId="3189">
    <w:name w:val="楷体（一）"/>
    <w:basedOn w:val="1"/>
    <w:semiHidden/>
    <w:qFormat/>
    <w:uiPriority w:val="0"/>
    <w:pPr>
      <w:ind w:firstLine="200" w:firstLineChars="200"/>
      <w:jc w:val="left"/>
      <w:outlineLvl w:val="2"/>
    </w:pPr>
    <w:rPr>
      <w:rFonts w:ascii="楷体_GB2312" w:hAnsi="Times New Roman" w:eastAsia="楷体_GB2312" w:cs="Times New Roman"/>
      <w:b/>
      <w:sz w:val="28"/>
      <w:szCs w:val="28"/>
    </w:rPr>
  </w:style>
  <w:style w:type="paragraph" w:customStyle="1" w:styleId="3190">
    <w:name w:val="3标题"/>
    <w:basedOn w:val="34"/>
    <w:link w:val="3191"/>
    <w:semiHidden/>
    <w:qFormat/>
    <w:uiPriority w:val="0"/>
    <w:pPr>
      <w:adjustRightInd/>
      <w:spacing w:beforeLines="0" w:line="240" w:lineRule="auto"/>
      <w:ind w:firstLine="480" w:firstLineChars="200"/>
      <w:outlineLvl w:val="2"/>
    </w:pPr>
    <w:rPr>
      <w:rFonts w:ascii="宋体" w:hAnsi="Calibri" w:eastAsiaTheme="minorEastAsia"/>
      <w:snapToGrid/>
      <w:kern w:val="2"/>
      <w:sz w:val="26"/>
      <w:szCs w:val="28"/>
    </w:rPr>
  </w:style>
  <w:style w:type="character" w:customStyle="1" w:styleId="3191">
    <w:name w:val="3标题 Char"/>
    <w:link w:val="3190"/>
    <w:semiHidden/>
    <w:qFormat/>
    <w:uiPriority w:val="0"/>
    <w:rPr>
      <w:rFonts w:ascii="宋体" w:hAnsi="Calibri" w:cs="Times New Roman"/>
      <w:sz w:val="26"/>
      <w:szCs w:val="28"/>
    </w:rPr>
  </w:style>
  <w:style w:type="paragraph" w:customStyle="1" w:styleId="3192">
    <w:name w:val="Plain Text1"/>
    <w:basedOn w:val="1"/>
    <w:semiHidden/>
    <w:qFormat/>
    <w:uiPriority w:val="0"/>
    <w:pPr>
      <w:adjustRightInd w:val="0"/>
      <w:jc w:val="left"/>
      <w:textAlignment w:val="baseline"/>
    </w:pPr>
    <w:rPr>
      <w:rFonts w:ascii="宋体" w:hAnsi="Courier New" w:cs="Times New Roman"/>
      <w:sz w:val="28"/>
      <w:szCs w:val="20"/>
    </w:rPr>
  </w:style>
  <w:style w:type="character" w:customStyle="1" w:styleId="3193">
    <w:name w:val="样式 黑色"/>
    <w:semiHidden/>
    <w:qFormat/>
    <w:uiPriority w:val="0"/>
    <w:rPr>
      <w:rFonts w:eastAsia="宋体"/>
      <w:color w:val="000000"/>
    </w:rPr>
  </w:style>
  <w:style w:type="paragraph" w:customStyle="1" w:styleId="3194">
    <w:name w:val="附注，五仿"/>
    <w:semiHidden/>
    <w:qFormat/>
    <w:uiPriority w:val="0"/>
    <w:pPr>
      <w:keepNext/>
      <w:widowControl w:val="0"/>
      <w:snapToGrid w:val="0"/>
      <w:spacing w:line="360" w:lineRule="exact"/>
      <w:ind w:left="200" w:hanging="200" w:hangingChars="200"/>
      <w:jc w:val="both"/>
    </w:pPr>
    <w:rPr>
      <w:rFonts w:ascii="Arial Narrow" w:hAnsi="Arial Narrow" w:eastAsia="仿宋_GB2312" w:cs="Times New Roman"/>
      <w:snapToGrid w:val="0"/>
      <w:kern w:val="2"/>
      <w:sz w:val="21"/>
      <w:lang w:val="en-US" w:eastAsia="zh-CN" w:bidi="ar-SA"/>
    </w:rPr>
  </w:style>
  <w:style w:type="paragraph" w:customStyle="1" w:styleId="3195">
    <w:name w:val="小目"/>
    <w:basedOn w:val="6"/>
    <w:semiHidden/>
    <w:qFormat/>
    <w:uiPriority w:val="0"/>
    <w:pPr>
      <w:tabs>
        <w:tab w:val="left" w:pos="0"/>
      </w:tabs>
      <w:spacing w:beforeLines="30" w:afterLines="30" w:line="240" w:lineRule="auto"/>
      <w:jc w:val="both"/>
    </w:pPr>
    <w:rPr>
      <w:rFonts w:ascii="Arial" w:hAnsi="Arial" w:eastAsia="黑体" w:cs="Times New Roman"/>
      <w:b w:val="0"/>
      <w:bCs w:val="0"/>
      <w:sz w:val="21"/>
      <w:szCs w:val="21"/>
    </w:rPr>
  </w:style>
  <w:style w:type="paragraph" w:customStyle="1" w:styleId="3196">
    <w:name w:val="样式 目 + 段前: 0.5 行 段后: 0.5 行2"/>
    <w:basedOn w:val="4"/>
    <w:semiHidden/>
    <w:qFormat/>
    <w:uiPriority w:val="0"/>
    <w:pPr>
      <w:spacing w:beforeLines="10" w:after="120" w:line="240" w:lineRule="auto"/>
      <w:jc w:val="both"/>
    </w:pPr>
    <w:rPr>
      <w:rFonts w:ascii="Arial" w:hAnsi="Arial" w:cs="宋体" w:eastAsiaTheme="minorEastAsia"/>
      <w:b w:val="0"/>
      <w:color w:val="000000" w:themeColor="text1"/>
      <w:szCs w:val="24"/>
      <w14:textFill>
        <w14:solidFill>
          <w14:schemeClr w14:val="tx1"/>
        </w14:solidFill>
      </w14:textFill>
    </w:rPr>
  </w:style>
  <w:style w:type="paragraph" w:customStyle="1" w:styleId="3197">
    <w:name w:val="1标题"/>
    <w:basedOn w:val="34"/>
    <w:semiHidden/>
    <w:qFormat/>
    <w:uiPriority w:val="0"/>
    <w:pPr>
      <w:adjustRightInd/>
      <w:spacing w:beforeLines="0" w:line="240" w:lineRule="auto"/>
      <w:ind w:firstLine="560" w:firstLineChars="200"/>
      <w:outlineLvl w:val="0"/>
    </w:pPr>
    <w:rPr>
      <w:rFonts w:ascii="黑体" w:hAnsi="宋体" w:eastAsia="黑体" w:cs="宋体"/>
      <w:snapToGrid/>
      <w:kern w:val="2"/>
      <w:sz w:val="28"/>
      <w:szCs w:val="28"/>
    </w:rPr>
  </w:style>
  <w:style w:type="paragraph" w:customStyle="1" w:styleId="3198">
    <w:name w:val="2标题"/>
    <w:basedOn w:val="34"/>
    <w:link w:val="3199"/>
    <w:semiHidden/>
    <w:qFormat/>
    <w:uiPriority w:val="0"/>
    <w:pPr>
      <w:adjustRightInd/>
      <w:spacing w:beforeLines="0" w:line="240" w:lineRule="auto"/>
      <w:ind w:firstLine="562" w:firstLineChars="200"/>
      <w:outlineLvl w:val="1"/>
    </w:pPr>
    <w:rPr>
      <w:rFonts w:ascii="楷体_GB2312" w:hAnsi="Calibri" w:eastAsia="楷体_GB2312"/>
      <w:b/>
      <w:snapToGrid/>
      <w:color w:val="339966"/>
      <w:kern w:val="2"/>
      <w:sz w:val="28"/>
      <w:szCs w:val="28"/>
    </w:rPr>
  </w:style>
  <w:style w:type="character" w:customStyle="1" w:styleId="3199">
    <w:name w:val="2标题 Char"/>
    <w:link w:val="3198"/>
    <w:semiHidden/>
    <w:qFormat/>
    <w:uiPriority w:val="0"/>
    <w:rPr>
      <w:rFonts w:ascii="楷体_GB2312" w:hAnsi="Calibri" w:eastAsia="楷体_GB2312" w:cs="Times New Roman"/>
      <w:b/>
      <w:color w:val="339966"/>
      <w:sz w:val="28"/>
      <w:szCs w:val="28"/>
    </w:rPr>
  </w:style>
  <w:style w:type="paragraph" w:customStyle="1" w:styleId="3200">
    <w:name w:val="样式 标题 2 + 左侧:  2 字符"/>
    <w:basedOn w:val="4"/>
    <w:semiHidden/>
    <w:qFormat/>
    <w:uiPriority w:val="0"/>
    <w:pPr>
      <w:spacing w:before="10" w:line="324" w:lineRule="auto"/>
      <w:ind w:left="100" w:leftChars="100"/>
      <w:jc w:val="both"/>
    </w:pPr>
    <w:rPr>
      <w:rFonts w:ascii="Arial" w:hAnsi="Arial" w:cs="黑体" w:eastAsiaTheme="minorEastAsia"/>
      <w:color w:val="000000" w:themeColor="text1"/>
      <w:kern w:val="28"/>
      <w:szCs w:val="20"/>
      <w14:textFill>
        <w14:solidFill>
          <w14:schemeClr w14:val="tx1"/>
        </w14:solidFill>
      </w14:textFill>
    </w:rPr>
  </w:style>
  <w:style w:type="paragraph" w:customStyle="1" w:styleId="3201">
    <w:name w:val="jint正文"/>
    <w:basedOn w:val="1"/>
    <w:semiHidden/>
    <w:qFormat/>
    <w:uiPriority w:val="0"/>
    <w:pPr>
      <w:jc w:val="left"/>
    </w:pPr>
    <w:rPr>
      <w:rFonts w:ascii="Times" w:hAnsi="Times" w:cs="Times New Roman"/>
      <w:sz w:val="28"/>
      <w:szCs w:val="28"/>
    </w:rPr>
  </w:style>
  <w:style w:type="paragraph" w:customStyle="1" w:styleId="3202">
    <w:name w:val="表内"/>
    <w:basedOn w:val="1"/>
    <w:semiHidden/>
    <w:qFormat/>
    <w:uiPriority w:val="0"/>
    <w:pPr>
      <w:spacing w:line="360" w:lineRule="auto"/>
      <w:jc w:val="center"/>
    </w:pPr>
    <w:rPr>
      <w:rFonts w:ascii="宋体" w:hAnsi="宋体" w:cs="Times New Roman"/>
      <w:kern w:val="0"/>
      <w:sz w:val="18"/>
    </w:rPr>
  </w:style>
  <w:style w:type="paragraph" w:customStyle="1" w:styleId="3203">
    <w:name w:val="样式 居中 + 右侧:  1.22 厘米 段前: 7.8 磅"/>
    <w:basedOn w:val="1"/>
    <w:semiHidden/>
    <w:qFormat/>
    <w:uiPriority w:val="0"/>
    <w:pPr>
      <w:spacing w:line="480" w:lineRule="auto"/>
      <w:jc w:val="center"/>
    </w:pPr>
    <w:rPr>
      <w:rFonts w:ascii="宋体" w:hAnsi="Times New Roman" w:cs="Times New Roman"/>
      <w:sz w:val="28"/>
      <w:szCs w:val="20"/>
    </w:rPr>
  </w:style>
  <w:style w:type="paragraph" w:customStyle="1" w:styleId="3204">
    <w:name w:val="样式 样式 样式 样式 样式 宋体 四号 行距: 1.5 倍行距 + 首行缩进:  2.03 字符 + 首行缩进:  2.03 ..."/>
    <w:basedOn w:val="1"/>
    <w:semiHidden/>
    <w:qFormat/>
    <w:uiPriority w:val="0"/>
    <w:pPr>
      <w:spacing w:line="360" w:lineRule="auto"/>
      <w:ind w:firstLine="446" w:firstLineChars="197"/>
      <w:jc w:val="left"/>
    </w:pPr>
    <w:rPr>
      <w:rFonts w:ascii="宋体" w:hAnsi="宋体" w:cs="宋体"/>
      <w:spacing w:val="20"/>
      <w:sz w:val="24"/>
      <w:szCs w:val="24"/>
    </w:rPr>
  </w:style>
  <w:style w:type="paragraph" w:customStyle="1" w:styleId="3205">
    <w:name w:val="样式 样式 样式 宋体 四号 行距: 1.5 倍行距 + 首行缩进:  2.03 字符 + 首行缩进:  2.03 字符 行距..."/>
    <w:basedOn w:val="1"/>
    <w:semiHidden/>
    <w:qFormat/>
    <w:uiPriority w:val="0"/>
    <w:pPr>
      <w:spacing w:line="360" w:lineRule="auto"/>
      <w:ind w:firstLine="197" w:firstLineChars="197"/>
      <w:jc w:val="left"/>
    </w:pPr>
    <w:rPr>
      <w:rFonts w:ascii="宋体" w:hAnsi="宋体" w:cs="宋体"/>
      <w:spacing w:val="6"/>
      <w:sz w:val="24"/>
      <w:szCs w:val="20"/>
    </w:rPr>
  </w:style>
  <w:style w:type="paragraph" w:customStyle="1" w:styleId="3206">
    <w:name w:val="样式 样式 正文样式 + 首行缩进:  2.03 字符 + 首行缩进:  2.03 字符"/>
    <w:basedOn w:val="1"/>
    <w:semiHidden/>
    <w:qFormat/>
    <w:uiPriority w:val="0"/>
    <w:pPr>
      <w:autoSpaceDE w:val="0"/>
      <w:autoSpaceDN w:val="0"/>
      <w:adjustRightInd w:val="0"/>
      <w:spacing w:line="360" w:lineRule="auto"/>
      <w:ind w:firstLine="197" w:firstLineChars="197"/>
      <w:jc w:val="left"/>
    </w:pPr>
    <w:rPr>
      <w:rFonts w:ascii="宋体" w:hAnsi="Times New Roman" w:cs="宋体"/>
      <w:spacing w:val="20"/>
      <w:kern w:val="0"/>
      <w:position w:val="-20"/>
      <w:sz w:val="24"/>
      <w:szCs w:val="24"/>
      <w:lang w:val="zh-CN"/>
    </w:rPr>
  </w:style>
  <w:style w:type="paragraph" w:customStyle="1" w:styleId="3207">
    <w:name w:val="样式 样式 宋体 四号 行距: 1.5 倍行距 + 首行缩进:  2.03 字符"/>
    <w:basedOn w:val="1"/>
    <w:semiHidden/>
    <w:qFormat/>
    <w:uiPriority w:val="0"/>
    <w:pPr>
      <w:ind w:firstLine="203" w:firstLineChars="203"/>
      <w:jc w:val="left"/>
    </w:pPr>
    <w:rPr>
      <w:rFonts w:ascii="宋体" w:hAnsi="宋体" w:cs="宋体"/>
      <w:sz w:val="24"/>
      <w:szCs w:val="20"/>
    </w:rPr>
  </w:style>
  <w:style w:type="paragraph" w:customStyle="1" w:styleId="3208">
    <w:name w:val="样式 正文样式 + 首行缩进:  2.03 字符"/>
    <w:basedOn w:val="1"/>
    <w:semiHidden/>
    <w:qFormat/>
    <w:uiPriority w:val="0"/>
    <w:pPr>
      <w:autoSpaceDE w:val="0"/>
      <w:autoSpaceDN w:val="0"/>
      <w:adjustRightInd w:val="0"/>
      <w:ind w:firstLine="203" w:firstLineChars="203"/>
      <w:jc w:val="left"/>
    </w:pPr>
    <w:rPr>
      <w:rFonts w:ascii="宋体" w:hAnsi="Times New Roman" w:cs="宋体"/>
      <w:spacing w:val="8"/>
      <w:kern w:val="0"/>
      <w:position w:val="-20"/>
      <w:sz w:val="24"/>
      <w:szCs w:val="20"/>
      <w:lang w:val="zh-CN"/>
    </w:rPr>
  </w:style>
  <w:style w:type="paragraph" w:customStyle="1" w:styleId="3209">
    <w:name w:val="样式 样式 正文样式 + 首行缩进:  2.03 字符 + 首行缩进:  1.97 字符"/>
    <w:basedOn w:val="1"/>
    <w:semiHidden/>
    <w:qFormat/>
    <w:uiPriority w:val="0"/>
    <w:pPr>
      <w:autoSpaceDE w:val="0"/>
      <w:autoSpaceDN w:val="0"/>
      <w:adjustRightInd w:val="0"/>
      <w:spacing w:line="360" w:lineRule="auto"/>
      <w:ind w:firstLine="197" w:firstLineChars="197"/>
      <w:jc w:val="left"/>
    </w:pPr>
    <w:rPr>
      <w:rFonts w:ascii="宋体" w:hAnsi="Times New Roman" w:cs="宋体"/>
      <w:spacing w:val="8"/>
      <w:kern w:val="0"/>
      <w:position w:val="-20"/>
      <w:sz w:val="24"/>
      <w:szCs w:val="20"/>
      <w:lang w:val="zh-CN"/>
    </w:rPr>
  </w:style>
  <w:style w:type="paragraph" w:customStyle="1" w:styleId="3210">
    <w:name w:val="样式 (中文) 仿宋_GB2312"/>
    <w:basedOn w:val="1"/>
    <w:link w:val="3662"/>
    <w:semiHidden/>
    <w:qFormat/>
    <w:uiPriority w:val="0"/>
    <w:pPr>
      <w:ind w:firstLine="560" w:firstLineChars="200"/>
      <w:jc w:val="left"/>
    </w:pPr>
    <w:rPr>
      <w:rFonts w:ascii="Times New Roman" w:hAnsi="Times New Roman" w:eastAsia="仿宋_GB2312" w:cs="Times New Roman"/>
      <w:sz w:val="28"/>
      <w:szCs w:val="20"/>
    </w:rPr>
  </w:style>
  <w:style w:type="paragraph" w:customStyle="1" w:styleId="3211">
    <w:name w:val="单位表号"/>
    <w:basedOn w:val="1"/>
    <w:link w:val="3212"/>
    <w:semiHidden/>
    <w:qFormat/>
    <w:uiPriority w:val="0"/>
    <w:pPr>
      <w:jc w:val="right"/>
    </w:pPr>
    <w:rPr>
      <w:rFonts w:ascii="宋体" w:hAnsi="Times New Roman" w:cs="Times New Roman"/>
      <w:b/>
      <w:bCs/>
    </w:rPr>
  </w:style>
  <w:style w:type="character" w:customStyle="1" w:styleId="3212">
    <w:name w:val="单位表号 Char"/>
    <w:link w:val="3211"/>
    <w:semiHidden/>
    <w:qFormat/>
    <w:uiPriority w:val="0"/>
    <w:rPr>
      <w:rFonts w:ascii="宋体" w:hAnsi="Times New Roman" w:cs="Times New Roman"/>
      <w:b/>
      <w:bCs/>
      <w:szCs w:val="21"/>
    </w:rPr>
  </w:style>
  <w:style w:type="character" w:customStyle="1" w:styleId="3213">
    <w:name w:val="标题 (a) Char Char"/>
    <w:semiHidden/>
    <w:qFormat/>
    <w:uiPriority w:val="0"/>
    <w:rPr>
      <w:rFonts w:ascii="宋体" w:hAnsi="宋体" w:eastAsia="宋体" w:cs="Times New Roman"/>
      <w:b/>
      <w:bCs/>
      <w:color w:val="FF0000"/>
      <w:sz w:val="28"/>
      <w:szCs w:val="28"/>
    </w:rPr>
  </w:style>
  <w:style w:type="character" w:customStyle="1" w:styleId="3214">
    <w:name w:val="tt Char Char"/>
    <w:semiHidden/>
    <w:qFormat/>
    <w:uiPriority w:val="0"/>
    <w:rPr>
      <w:rFonts w:ascii="Times New Roman" w:hAnsi="Times New Roman" w:eastAsia="宋体" w:cs="Times New Roman"/>
      <w:sz w:val="18"/>
      <w:szCs w:val="18"/>
    </w:rPr>
  </w:style>
  <w:style w:type="character" w:customStyle="1" w:styleId="3215">
    <w:name w:val="样式2 宋体"/>
    <w:semiHidden/>
    <w:qFormat/>
    <w:uiPriority w:val="0"/>
    <w:rPr>
      <w:rFonts w:hAnsi="宋体" w:eastAsia="宋体"/>
      <w:sz w:val="28"/>
      <w:szCs w:val="18"/>
    </w:rPr>
  </w:style>
  <w:style w:type="character" w:customStyle="1" w:styleId="3216">
    <w:name w:val="样式 纯文本 + 首行缩进:  2 字符 Char Char Char Char Char Char Char Char Char Char Char Char Char Char Char Char Char Char Char Char Char Char Char Char Char Char Char"/>
    <w:semiHidden/>
    <w:qFormat/>
    <w:uiPriority w:val="0"/>
    <w:rPr>
      <w:rFonts w:ascii="仿宋_GB2312" w:hAnsi="Courier New" w:eastAsia="宋体" w:cs="宋体"/>
      <w:kern w:val="2"/>
      <w:sz w:val="28"/>
      <w:szCs w:val="21"/>
      <w:lang w:val="en-US" w:eastAsia="zh-CN" w:bidi="ar-SA"/>
    </w:rPr>
  </w:style>
  <w:style w:type="paragraph" w:customStyle="1" w:styleId="3217">
    <w:name w:val="w（一）"/>
    <w:basedOn w:val="3"/>
    <w:semiHidden/>
    <w:qFormat/>
    <w:uiPriority w:val="0"/>
    <w:pPr>
      <w:keepNext w:val="0"/>
      <w:keepLines w:val="0"/>
      <w:widowControl w:val="0"/>
      <w:ind w:firstLine="200" w:firstLineChars="200"/>
      <w:jc w:val="both"/>
      <w:outlineLvl w:val="2"/>
    </w:pPr>
    <w:rPr>
      <w:rFonts w:ascii="楷体_GB2312" w:eastAsia="楷体_GB2312" w:cs="Times New Roman"/>
      <w:color w:val="000000" w:themeColor="text1"/>
      <w:kern w:val="0"/>
      <w:szCs w:val="28"/>
      <w14:textFill>
        <w14:solidFill>
          <w14:schemeClr w14:val="tx1"/>
        </w14:solidFill>
      </w14:textFill>
    </w:rPr>
  </w:style>
  <w:style w:type="character" w:customStyle="1" w:styleId="3218">
    <w:name w:val="表尾 Char"/>
    <w:link w:val="970"/>
    <w:qFormat/>
    <w:uiPriority w:val="0"/>
    <w:rPr>
      <w:rFonts w:ascii="Times New Roman" w:hAnsi="Times New Roman" w:cs="Times New Roman"/>
      <w:sz w:val="10"/>
      <w:szCs w:val="20"/>
    </w:rPr>
  </w:style>
  <w:style w:type="character" w:customStyle="1" w:styleId="3219">
    <w:name w:val="black0001"/>
    <w:semiHidden/>
    <w:qFormat/>
    <w:uiPriority w:val="0"/>
    <w:rPr>
      <w:b/>
      <w:bCs/>
      <w:color w:val="000000"/>
      <w:sz w:val="24"/>
      <w:szCs w:val="24"/>
    </w:rPr>
  </w:style>
  <w:style w:type="paragraph" w:customStyle="1" w:styleId="3220">
    <w:name w:val="样式 四号 行距: 固定值 25 磅"/>
    <w:basedOn w:val="1"/>
    <w:semiHidden/>
    <w:qFormat/>
    <w:uiPriority w:val="0"/>
    <w:pPr>
      <w:spacing w:line="480" w:lineRule="exact"/>
      <w:ind w:firstLine="560" w:firstLineChars="200"/>
      <w:jc w:val="left"/>
    </w:pPr>
    <w:rPr>
      <w:rFonts w:ascii="宋体" w:hAnsi="宋体" w:cs="宋体"/>
      <w:color w:val="000000"/>
      <w:sz w:val="28"/>
      <w:szCs w:val="28"/>
    </w:rPr>
  </w:style>
  <w:style w:type="paragraph" w:customStyle="1" w:styleId="3221">
    <w:name w:val="环小四表尾"/>
    <w:link w:val="3222"/>
    <w:qFormat/>
    <w:uiPriority w:val="0"/>
    <w:pPr>
      <w:spacing w:line="560" w:lineRule="exact"/>
      <w:jc w:val="right"/>
    </w:pPr>
    <w:rPr>
      <w:rFonts w:ascii="宋体" w:hAnsi="Times New Roman" w:eastAsia="宋体" w:cs="Times New Roman"/>
      <w:b/>
      <w:bCs/>
      <w:sz w:val="21"/>
      <w:szCs w:val="21"/>
      <w:lang w:val="en-US" w:eastAsia="zh-CN" w:bidi="ar-SA"/>
    </w:rPr>
  </w:style>
  <w:style w:type="character" w:customStyle="1" w:styleId="3222">
    <w:name w:val="环小四表尾 Char"/>
    <w:link w:val="3221"/>
    <w:qFormat/>
    <w:uiPriority w:val="0"/>
    <w:rPr>
      <w:rFonts w:ascii="宋体" w:hAnsi="Times New Roman" w:eastAsia="宋体" w:cs="Times New Roman"/>
      <w:b/>
      <w:bCs/>
      <w:kern w:val="0"/>
      <w:szCs w:val="21"/>
    </w:rPr>
  </w:style>
  <w:style w:type="paragraph" w:customStyle="1" w:styleId="3223">
    <w:name w:val="框图"/>
    <w:basedOn w:val="1"/>
    <w:semiHidden/>
    <w:qFormat/>
    <w:uiPriority w:val="0"/>
    <w:pPr>
      <w:ind w:firstLine="560" w:firstLineChars="200"/>
      <w:jc w:val="left"/>
    </w:pPr>
    <w:rPr>
      <w:rFonts w:ascii="宋体" w:hAnsi="Times New Roman" w:cs="Times New Roman"/>
      <w:sz w:val="24"/>
      <w:szCs w:val="24"/>
    </w:rPr>
  </w:style>
  <w:style w:type="paragraph" w:customStyle="1" w:styleId="3224">
    <w:name w:val="Char Char2 Char Char Char Char Char Char Char Char Char Char1"/>
    <w:basedOn w:val="1"/>
    <w:semiHidden/>
    <w:qFormat/>
    <w:uiPriority w:val="0"/>
    <w:pPr>
      <w:spacing w:line="360" w:lineRule="auto"/>
      <w:jc w:val="left"/>
    </w:pPr>
    <w:rPr>
      <w:rFonts w:ascii="宋体" w:hAnsi="宋体" w:cs="宋体"/>
      <w:sz w:val="24"/>
      <w:szCs w:val="24"/>
    </w:rPr>
  </w:style>
  <w:style w:type="character" w:customStyle="1" w:styleId="3225">
    <w:name w:val="1.123级 Char"/>
    <w:link w:val="2968"/>
    <w:semiHidden/>
    <w:qFormat/>
    <w:uiPriority w:val="0"/>
    <w:rPr>
      <w:rFonts w:ascii="宋体" w:hAnsi="宋体" w:cs="Times New Roman"/>
      <w:b/>
      <w:bCs/>
      <w:sz w:val="24"/>
      <w:szCs w:val="24"/>
    </w:rPr>
  </w:style>
  <w:style w:type="character" w:customStyle="1" w:styleId="3226">
    <w:name w:val="12345 Char"/>
    <w:link w:val="2983"/>
    <w:semiHidden/>
    <w:qFormat/>
    <w:uiPriority w:val="0"/>
    <w:rPr>
      <w:rFonts w:ascii="宋体" w:hAnsi="Times New Roman" w:cs="Times New Roman"/>
      <w:snapToGrid w:val="0"/>
      <w:color w:val="000000"/>
      <w:sz w:val="24"/>
      <w:szCs w:val="24"/>
    </w:rPr>
  </w:style>
  <w:style w:type="character" w:customStyle="1" w:styleId="3227">
    <w:name w:val="f18bt"/>
    <w:semiHidden/>
    <w:qFormat/>
    <w:uiPriority w:val="0"/>
  </w:style>
  <w:style w:type="paragraph" w:customStyle="1" w:styleId="3228">
    <w:name w:val="c4正文"/>
    <w:basedOn w:val="1"/>
    <w:semiHidden/>
    <w:qFormat/>
    <w:uiPriority w:val="0"/>
    <w:pPr>
      <w:tabs>
        <w:tab w:val="left" w:pos="1050"/>
      </w:tabs>
      <w:topLinePunct/>
      <w:spacing w:afterLines="25" w:line="288" w:lineRule="auto"/>
      <w:ind w:firstLine="560" w:firstLineChars="200"/>
      <w:jc w:val="left"/>
    </w:pPr>
    <w:rPr>
      <w:rFonts w:ascii="Times New Roman" w:hAnsi="Times New Roman" w:cs="Times New Roman"/>
      <w:kern w:val="0"/>
      <w:sz w:val="24"/>
      <w:szCs w:val="20"/>
    </w:rPr>
  </w:style>
  <w:style w:type="paragraph" w:customStyle="1" w:styleId="3229">
    <w:name w:val="Char Char5 Char Char Char Char"/>
    <w:basedOn w:val="1"/>
    <w:semiHidden/>
    <w:qFormat/>
    <w:uiPriority w:val="0"/>
    <w:pPr>
      <w:spacing w:line="360" w:lineRule="auto"/>
      <w:ind w:firstLine="471" w:firstLineChars="200"/>
      <w:jc w:val="left"/>
    </w:pPr>
    <w:rPr>
      <w:rFonts w:ascii="宋体" w:hAnsi="宋体" w:cs="宋体"/>
      <w:sz w:val="24"/>
      <w:szCs w:val="24"/>
    </w:rPr>
  </w:style>
  <w:style w:type="paragraph" w:customStyle="1" w:styleId="3230">
    <w:name w:val="小内容"/>
    <w:basedOn w:val="1"/>
    <w:link w:val="3231"/>
    <w:semiHidden/>
    <w:qFormat/>
    <w:uiPriority w:val="0"/>
    <w:pPr>
      <w:spacing w:line="500" w:lineRule="exact"/>
      <w:ind w:firstLine="200" w:firstLineChars="200"/>
      <w:jc w:val="left"/>
    </w:pPr>
    <w:rPr>
      <w:rFonts w:ascii="宋体" w:hAnsi="宋体" w:cs="Times New Roman"/>
      <w:sz w:val="24"/>
      <w:szCs w:val="24"/>
    </w:rPr>
  </w:style>
  <w:style w:type="character" w:customStyle="1" w:styleId="3231">
    <w:name w:val="小内容 Char"/>
    <w:link w:val="3230"/>
    <w:semiHidden/>
    <w:qFormat/>
    <w:uiPriority w:val="0"/>
    <w:rPr>
      <w:rFonts w:ascii="宋体" w:hAnsi="宋体" w:cs="Times New Roman"/>
      <w:sz w:val="24"/>
      <w:szCs w:val="24"/>
    </w:rPr>
  </w:style>
  <w:style w:type="paragraph" w:customStyle="1" w:styleId="3232">
    <w:name w:val="小5级"/>
    <w:basedOn w:val="1"/>
    <w:link w:val="3256"/>
    <w:semiHidden/>
    <w:qFormat/>
    <w:uiPriority w:val="0"/>
    <w:pPr>
      <w:spacing w:line="500" w:lineRule="exact"/>
      <w:ind w:firstLine="200" w:firstLineChars="200"/>
      <w:jc w:val="left"/>
    </w:pPr>
    <w:rPr>
      <w:rFonts w:ascii="宋体" w:hAnsi="宋体" w:cs="Times New Roman"/>
      <w:b/>
      <w:snapToGrid w:val="0"/>
      <w:sz w:val="24"/>
      <w:szCs w:val="24"/>
    </w:rPr>
  </w:style>
  <w:style w:type="paragraph" w:customStyle="1" w:styleId="3233">
    <w:name w:val="小图名"/>
    <w:basedOn w:val="1"/>
    <w:semiHidden/>
    <w:qFormat/>
    <w:uiPriority w:val="0"/>
    <w:pPr>
      <w:jc w:val="center"/>
    </w:pPr>
    <w:rPr>
      <w:rFonts w:ascii="宋体" w:hAnsi="Times New Roman" w:cs="Times New Roman"/>
      <w:b/>
      <w:snapToGrid w:val="0"/>
      <w:sz w:val="24"/>
      <w:szCs w:val="24"/>
    </w:rPr>
  </w:style>
  <w:style w:type="character" w:customStyle="1" w:styleId="3234">
    <w:name w:val="表格名 Char"/>
    <w:link w:val="2998"/>
    <w:semiHidden/>
    <w:qFormat/>
    <w:uiPriority w:val="0"/>
    <w:rPr>
      <w:rFonts w:ascii="宋体" w:hAnsi="宋体" w:cs="Times New Roman"/>
      <w:b/>
      <w:kern w:val="28"/>
      <w:sz w:val="24"/>
      <w:szCs w:val="24"/>
    </w:rPr>
  </w:style>
  <w:style w:type="paragraph" w:customStyle="1" w:styleId="3235">
    <w:name w:val="表中说明"/>
    <w:basedOn w:val="1"/>
    <w:semiHidden/>
    <w:qFormat/>
    <w:uiPriority w:val="0"/>
    <w:pPr>
      <w:spacing w:line="240" w:lineRule="exact"/>
      <w:jc w:val="center"/>
    </w:pPr>
    <w:rPr>
      <w:rFonts w:ascii="宋体" w:hAnsi="宋体" w:cs="Times New Roman"/>
      <w:snapToGrid w:val="0"/>
      <w:sz w:val="18"/>
      <w:szCs w:val="18"/>
    </w:rPr>
  </w:style>
  <w:style w:type="paragraph" w:customStyle="1" w:styleId="3236">
    <w:name w:val="小1级"/>
    <w:basedOn w:val="1"/>
    <w:semiHidden/>
    <w:qFormat/>
    <w:uiPriority w:val="0"/>
    <w:pPr>
      <w:spacing w:beforeLines="50" w:afterLines="50"/>
      <w:jc w:val="center"/>
      <w:outlineLvl w:val="0"/>
    </w:pPr>
    <w:rPr>
      <w:rFonts w:ascii="宋体" w:hAnsi="宋体" w:cs="Times New Roman"/>
      <w:b/>
      <w:bCs/>
      <w:color w:val="000000"/>
      <w:sz w:val="30"/>
      <w:szCs w:val="32"/>
    </w:rPr>
  </w:style>
  <w:style w:type="paragraph" w:customStyle="1" w:styleId="3237">
    <w:name w:val="小2级"/>
    <w:basedOn w:val="1"/>
    <w:link w:val="3257"/>
    <w:semiHidden/>
    <w:qFormat/>
    <w:uiPriority w:val="0"/>
    <w:pPr>
      <w:spacing w:line="500" w:lineRule="exact"/>
      <w:jc w:val="left"/>
      <w:outlineLvl w:val="1"/>
    </w:pPr>
    <w:rPr>
      <w:rFonts w:ascii="宋体" w:hAnsi="Times New Roman" w:cs="Times New Roman"/>
      <w:b/>
      <w:bCs/>
      <w:color w:val="000000"/>
      <w:kern w:val="24"/>
      <w:sz w:val="24"/>
      <w:szCs w:val="24"/>
    </w:rPr>
  </w:style>
  <w:style w:type="paragraph" w:customStyle="1" w:styleId="3238">
    <w:name w:val="小3级"/>
    <w:basedOn w:val="1"/>
    <w:link w:val="3255"/>
    <w:semiHidden/>
    <w:qFormat/>
    <w:uiPriority w:val="0"/>
    <w:pPr>
      <w:spacing w:line="500" w:lineRule="exact"/>
      <w:jc w:val="left"/>
      <w:outlineLvl w:val="2"/>
    </w:pPr>
    <w:rPr>
      <w:rFonts w:ascii="宋体" w:hAnsi="宋体" w:eastAsia="楷体_GB2312" w:cs="Times New Roman"/>
      <w:b/>
      <w:bCs/>
      <w:color w:val="000000"/>
      <w:kern w:val="24"/>
      <w:sz w:val="24"/>
      <w:szCs w:val="24"/>
    </w:rPr>
  </w:style>
  <w:style w:type="paragraph" w:customStyle="1" w:styleId="3239">
    <w:name w:val="小表内容"/>
    <w:basedOn w:val="1"/>
    <w:link w:val="3254"/>
    <w:semiHidden/>
    <w:qFormat/>
    <w:uiPriority w:val="0"/>
    <w:pPr>
      <w:wordWrap w:val="0"/>
      <w:spacing w:line="240" w:lineRule="exact"/>
      <w:jc w:val="center"/>
    </w:pPr>
    <w:rPr>
      <w:rFonts w:ascii="宋体" w:hAnsi="宋体" w:cs="Times New Roman"/>
      <w:sz w:val="18"/>
    </w:rPr>
  </w:style>
  <w:style w:type="paragraph" w:customStyle="1" w:styleId="3240">
    <w:name w:val="小表头"/>
    <w:basedOn w:val="1"/>
    <w:link w:val="3258"/>
    <w:semiHidden/>
    <w:qFormat/>
    <w:uiPriority w:val="0"/>
    <w:pPr>
      <w:wordWrap w:val="0"/>
      <w:spacing w:line="400" w:lineRule="exact"/>
      <w:jc w:val="right"/>
    </w:pPr>
    <w:rPr>
      <w:rFonts w:ascii="宋体" w:hAnsi="Times New Roman" w:cs="Times New Roman"/>
      <w:b/>
      <w:sz w:val="24"/>
      <w:szCs w:val="24"/>
    </w:rPr>
  </w:style>
  <w:style w:type="character" w:customStyle="1" w:styleId="3241">
    <w:name w:val="表名1 Char"/>
    <w:link w:val="2103"/>
    <w:qFormat/>
    <w:uiPriority w:val="0"/>
    <w:rPr>
      <w:rFonts w:ascii="宋体" w:hAnsi="Times New Roman" w:eastAsia="黑体" w:cs="Times New Roman"/>
      <w:b/>
      <w:color w:val="000000"/>
      <w:szCs w:val="28"/>
    </w:rPr>
  </w:style>
  <w:style w:type="paragraph" w:customStyle="1" w:styleId="3242">
    <w:name w:val="标题33"/>
    <w:basedOn w:val="1"/>
    <w:semiHidden/>
    <w:qFormat/>
    <w:uiPriority w:val="0"/>
    <w:pPr>
      <w:ind w:firstLine="200" w:firstLineChars="200"/>
      <w:jc w:val="left"/>
    </w:pPr>
    <w:rPr>
      <w:rFonts w:ascii="宋体" w:hAnsi="Times New Roman" w:cs="Times New Roman"/>
      <w:b/>
      <w:color w:val="000000"/>
      <w:kern w:val="0"/>
      <w:sz w:val="28"/>
      <w:szCs w:val="28"/>
    </w:rPr>
  </w:style>
  <w:style w:type="paragraph" w:customStyle="1" w:styleId="3243">
    <w:name w:val="表格内"/>
    <w:basedOn w:val="1"/>
    <w:qFormat/>
    <w:uiPriority w:val="0"/>
    <w:pPr>
      <w:tabs>
        <w:tab w:val="left" w:pos="560"/>
      </w:tabs>
      <w:adjustRightInd w:val="0"/>
      <w:spacing w:line="300" w:lineRule="auto"/>
      <w:ind w:right="-426" w:rightChars="-152"/>
      <w:jc w:val="left"/>
    </w:pPr>
    <w:rPr>
      <w:rFonts w:ascii="Times New Roman" w:hAnsi="Times New Roman" w:eastAsia="仿宋_GB2312" w:cs="Times New Roman"/>
      <w:kern w:val="0"/>
      <w:szCs w:val="24"/>
    </w:rPr>
  </w:style>
  <w:style w:type="character" w:customStyle="1" w:styleId="3244">
    <w:name w:val="正文，四宋 Char"/>
    <w:link w:val="2168"/>
    <w:qFormat/>
    <w:uiPriority w:val="0"/>
    <w:rPr>
      <w:rFonts w:ascii="Times New Roman" w:hAnsi="Times New Roman" w:cs="Times New Roman"/>
      <w:sz w:val="28"/>
      <w:szCs w:val="20"/>
    </w:rPr>
  </w:style>
  <w:style w:type="paragraph" w:customStyle="1" w:styleId="3245">
    <w:name w:val="内容一"/>
    <w:basedOn w:val="1"/>
    <w:link w:val="3246"/>
    <w:semiHidden/>
    <w:qFormat/>
    <w:uiPriority w:val="0"/>
    <w:pPr>
      <w:ind w:firstLine="560"/>
      <w:contextualSpacing/>
      <w:jc w:val="left"/>
    </w:pPr>
    <w:rPr>
      <w:rFonts w:ascii="宋体" w:hAnsi="Times New Roman" w:cs="Times New Roman"/>
      <w:sz w:val="28"/>
      <w:szCs w:val="28"/>
    </w:rPr>
  </w:style>
  <w:style w:type="character" w:customStyle="1" w:styleId="3246">
    <w:name w:val="内容一 Char"/>
    <w:link w:val="3245"/>
    <w:semiHidden/>
    <w:qFormat/>
    <w:uiPriority w:val="0"/>
    <w:rPr>
      <w:rFonts w:ascii="宋体" w:hAnsi="Times New Roman" w:cs="Times New Roman"/>
      <w:sz w:val="28"/>
      <w:szCs w:val="28"/>
    </w:rPr>
  </w:style>
  <w:style w:type="character" w:customStyle="1" w:styleId="3247">
    <w:name w:val="标4 Char"/>
    <w:link w:val="1776"/>
    <w:qFormat/>
    <w:uiPriority w:val="0"/>
    <w:rPr>
      <w:rFonts w:ascii="宋体" w:hAnsi="宋体" w:cs="Times New Roman"/>
      <w:snapToGrid w:val="0"/>
      <w:kern w:val="0"/>
      <w:sz w:val="24"/>
      <w:szCs w:val="30"/>
    </w:rPr>
  </w:style>
  <w:style w:type="paragraph" w:customStyle="1" w:styleId="3248">
    <w:name w:val="表说明"/>
    <w:link w:val="3249"/>
    <w:semiHidden/>
    <w:qFormat/>
    <w:uiPriority w:val="0"/>
    <w:pPr>
      <w:widowControl w:val="0"/>
      <w:spacing w:line="240" w:lineRule="exact"/>
      <w:jc w:val="center"/>
    </w:pPr>
    <w:rPr>
      <w:rFonts w:ascii="宋体" w:hAnsi="Times New Roman" w:eastAsia="宋体" w:cs="Times New Roman"/>
      <w:kern w:val="2"/>
      <w:sz w:val="18"/>
      <w:szCs w:val="18"/>
      <w:lang w:val="en-US" w:eastAsia="zh-CN" w:bidi="ar-SA"/>
    </w:rPr>
  </w:style>
  <w:style w:type="character" w:customStyle="1" w:styleId="3249">
    <w:name w:val="表说明 Char"/>
    <w:link w:val="3248"/>
    <w:semiHidden/>
    <w:qFormat/>
    <w:uiPriority w:val="0"/>
    <w:rPr>
      <w:rFonts w:ascii="宋体" w:hAnsi="Times New Roman" w:eastAsia="宋体" w:cs="Times New Roman"/>
      <w:sz w:val="18"/>
      <w:szCs w:val="18"/>
    </w:rPr>
  </w:style>
  <w:style w:type="paragraph" w:customStyle="1" w:styleId="3250">
    <w:name w:val="样式 一级标题"/>
    <w:basedOn w:val="1"/>
    <w:semiHidden/>
    <w:qFormat/>
    <w:uiPriority w:val="0"/>
    <w:pPr>
      <w:tabs>
        <w:tab w:val="left" w:pos="340"/>
      </w:tabs>
      <w:spacing w:line="360" w:lineRule="auto"/>
      <w:ind w:firstLine="340"/>
      <w:jc w:val="center"/>
      <w:outlineLvl w:val="0"/>
    </w:pPr>
    <w:rPr>
      <w:rFonts w:ascii="黑体" w:hAnsi="宋体" w:eastAsia="黑体" w:cs="宋体"/>
      <w:sz w:val="44"/>
      <w:szCs w:val="44"/>
    </w:rPr>
  </w:style>
  <w:style w:type="paragraph" w:customStyle="1" w:styleId="3251">
    <w:name w:val="四级标题 + 四号"/>
    <w:basedOn w:val="1"/>
    <w:semiHidden/>
    <w:qFormat/>
    <w:uiPriority w:val="0"/>
    <w:pPr>
      <w:keepNext/>
      <w:keepLines/>
      <w:tabs>
        <w:tab w:val="left" w:pos="851"/>
      </w:tabs>
      <w:spacing w:after="290" w:line="360" w:lineRule="auto"/>
      <w:ind w:left="851" w:hanging="851"/>
      <w:jc w:val="left"/>
      <w:outlineLvl w:val="3"/>
    </w:pPr>
    <w:rPr>
      <w:rFonts w:ascii="Times New Roman" w:hAnsi="Times New Roman" w:eastAsia="黑体" w:cs="Times New Roman"/>
      <w:bCs/>
      <w:kern w:val="0"/>
      <w:sz w:val="28"/>
      <w:szCs w:val="28"/>
    </w:rPr>
  </w:style>
  <w:style w:type="paragraph" w:customStyle="1" w:styleId="3252">
    <w:name w:val="特2"/>
    <w:basedOn w:val="1"/>
    <w:semiHidden/>
    <w:qFormat/>
    <w:uiPriority w:val="0"/>
    <w:pPr>
      <w:tabs>
        <w:tab w:val="left" w:pos="5977"/>
      </w:tabs>
      <w:jc w:val="left"/>
      <w:outlineLvl w:val="1"/>
    </w:pPr>
    <w:rPr>
      <w:rFonts w:ascii="宋体" w:hAnsi="宋体" w:cs="Times New Roman"/>
      <w:b/>
      <w:color w:val="000000"/>
      <w:sz w:val="28"/>
      <w:szCs w:val="28"/>
      <w:lang w:val="zh-CN"/>
    </w:rPr>
  </w:style>
  <w:style w:type="paragraph" w:customStyle="1" w:styleId="3253">
    <w:name w:val="小4级"/>
    <w:basedOn w:val="1"/>
    <w:semiHidden/>
    <w:qFormat/>
    <w:uiPriority w:val="0"/>
    <w:pPr>
      <w:spacing w:line="500" w:lineRule="exact"/>
      <w:jc w:val="left"/>
      <w:outlineLvl w:val="3"/>
    </w:pPr>
    <w:rPr>
      <w:rFonts w:ascii="宋体" w:hAnsi="宋体" w:cs="Times New Roman"/>
      <w:b/>
      <w:color w:val="000000"/>
      <w:sz w:val="24"/>
      <w:szCs w:val="24"/>
    </w:rPr>
  </w:style>
  <w:style w:type="character" w:customStyle="1" w:styleId="3254">
    <w:name w:val="小表内容 Char Char"/>
    <w:link w:val="3239"/>
    <w:semiHidden/>
    <w:qFormat/>
    <w:uiPriority w:val="0"/>
    <w:rPr>
      <w:rFonts w:ascii="宋体" w:hAnsi="宋体" w:cs="Times New Roman"/>
      <w:sz w:val="18"/>
      <w:szCs w:val="21"/>
    </w:rPr>
  </w:style>
  <w:style w:type="character" w:customStyle="1" w:styleId="3255">
    <w:name w:val="小3级 Char Char"/>
    <w:link w:val="3238"/>
    <w:semiHidden/>
    <w:qFormat/>
    <w:uiPriority w:val="0"/>
    <w:rPr>
      <w:rFonts w:ascii="宋体" w:hAnsi="宋体" w:eastAsia="楷体_GB2312" w:cs="Times New Roman"/>
      <w:b/>
      <w:bCs/>
      <w:color w:val="000000"/>
      <w:kern w:val="24"/>
      <w:sz w:val="24"/>
      <w:szCs w:val="24"/>
    </w:rPr>
  </w:style>
  <w:style w:type="character" w:customStyle="1" w:styleId="3256">
    <w:name w:val="小5级 Char Char"/>
    <w:link w:val="3232"/>
    <w:semiHidden/>
    <w:qFormat/>
    <w:uiPriority w:val="0"/>
    <w:rPr>
      <w:rFonts w:ascii="宋体" w:hAnsi="宋体" w:cs="Times New Roman"/>
      <w:b/>
      <w:snapToGrid w:val="0"/>
      <w:sz w:val="24"/>
      <w:szCs w:val="24"/>
    </w:rPr>
  </w:style>
  <w:style w:type="character" w:customStyle="1" w:styleId="3257">
    <w:name w:val="小2级 Char Char"/>
    <w:link w:val="3237"/>
    <w:semiHidden/>
    <w:qFormat/>
    <w:uiPriority w:val="0"/>
    <w:rPr>
      <w:rFonts w:ascii="宋体" w:hAnsi="Times New Roman" w:cs="Times New Roman"/>
      <w:b/>
      <w:bCs/>
      <w:color w:val="000000"/>
      <w:kern w:val="24"/>
      <w:sz w:val="24"/>
      <w:szCs w:val="24"/>
    </w:rPr>
  </w:style>
  <w:style w:type="character" w:customStyle="1" w:styleId="3258">
    <w:name w:val="小表头 Char"/>
    <w:link w:val="3240"/>
    <w:semiHidden/>
    <w:qFormat/>
    <w:uiPriority w:val="0"/>
    <w:rPr>
      <w:rFonts w:ascii="宋体" w:hAnsi="Times New Roman" w:cs="Times New Roman"/>
      <w:b/>
      <w:sz w:val="24"/>
      <w:szCs w:val="24"/>
    </w:rPr>
  </w:style>
  <w:style w:type="paragraph" w:customStyle="1" w:styleId="3259">
    <w:name w:val="续上表"/>
    <w:basedOn w:val="2998"/>
    <w:semiHidden/>
    <w:qFormat/>
    <w:uiPriority w:val="0"/>
    <w:pPr>
      <w:spacing w:line="340" w:lineRule="exact"/>
    </w:pPr>
    <w:rPr>
      <w:sz w:val="21"/>
      <w:szCs w:val="28"/>
    </w:rPr>
  </w:style>
  <w:style w:type="character" w:customStyle="1" w:styleId="3260">
    <w:name w:val="14black"/>
    <w:semiHidden/>
    <w:qFormat/>
    <w:uiPriority w:val="0"/>
    <w:rPr>
      <w:rFonts w:ascii="Tahoma" w:hAnsi="Tahoma" w:eastAsia="宋体"/>
      <w:color w:val="FF0000"/>
      <w:kern w:val="2"/>
      <w:sz w:val="21"/>
      <w:szCs w:val="21"/>
      <w:lang w:val="en-US" w:eastAsia="zh-CN" w:bidi="ar-SA"/>
    </w:rPr>
  </w:style>
  <w:style w:type="character" w:customStyle="1" w:styleId="3261">
    <w:name w:val="图号 Char"/>
    <w:link w:val="1676"/>
    <w:qFormat/>
    <w:uiPriority w:val="0"/>
    <w:rPr>
      <w:rFonts w:ascii="Times New Roman" w:hAnsi="Times New Roman" w:cs="Times New Roman"/>
      <w:snapToGrid w:val="0"/>
      <w:kern w:val="0"/>
      <w:szCs w:val="20"/>
    </w:rPr>
  </w:style>
  <w:style w:type="character" w:customStyle="1" w:styleId="3262">
    <w:name w:val="表内容 Char"/>
    <w:link w:val="1615"/>
    <w:qFormat/>
    <w:uiPriority w:val="0"/>
    <w:rPr>
      <w:rFonts w:ascii="Times New Roman" w:hAnsi="Times New Roman" w:eastAsia="仿宋_GB2312" w:cs="Times New Roman"/>
      <w:color w:val="000000"/>
      <w:sz w:val="24"/>
      <w:szCs w:val="20"/>
    </w:rPr>
  </w:style>
  <w:style w:type="paragraph" w:customStyle="1" w:styleId="3263">
    <w:name w:val="正文文"/>
    <w:basedOn w:val="1"/>
    <w:semiHidden/>
    <w:qFormat/>
    <w:uiPriority w:val="0"/>
    <w:pPr>
      <w:tabs>
        <w:tab w:val="left" w:pos="5977"/>
      </w:tabs>
      <w:ind w:firstLine="200" w:firstLineChars="200"/>
      <w:jc w:val="left"/>
    </w:pPr>
    <w:rPr>
      <w:rFonts w:ascii="宋体" w:hAnsi="Times New Roman" w:cs="Times New Roman"/>
      <w:color w:val="000000"/>
      <w:sz w:val="28"/>
      <w:szCs w:val="28"/>
    </w:rPr>
  </w:style>
  <w:style w:type="character" w:customStyle="1" w:styleId="3264">
    <w:name w:val="环小四图名 Char"/>
    <w:link w:val="3166"/>
    <w:qFormat/>
    <w:uiPriority w:val="0"/>
    <w:rPr>
      <w:rFonts w:ascii="宋体" w:hAnsi="宋体" w:cs="Times New Roman"/>
      <w:b/>
      <w:szCs w:val="21"/>
    </w:rPr>
  </w:style>
  <w:style w:type="paragraph" w:customStyle="1" w:styleId="3265">
    <w:name w:val="样式 纯文本普通文字 + (符号) 宋体 小四 左 行距: 固定值 28 磅"/>
    <w:basedOn w:val="45"/>
    <w:semiHidden/>
    <w:qFormat/>
    <w:uiPriority w:val="0"/>
    <w:pPr>
      <w:spacing w:beforeLines="10"/>
    </w:pPr>
    <w:rPr>
      <w:rFonts w:eastAsiaTheme="minorEastAsia"/>
      <w:snapToGrid w:val="0"/>
      <w:kern w:val="0"/>
      <w:sz w:val="20"/>
      <w:szCs w:val="20"/>
    </w:rPr>
  </w:style>
  <w:style w:type="character" w:customStyle="1" w:styleId="3266">
    <w:name w:val="样式 华文仿宋 四号 加粗"/>
    <w:semiHidden/>
    <w:qFormat/>
    <w:uiPriority w:val="0"/>
    <w:rPr>
      <w:rFonts w:ascii="Times New Roman" w:hAnsi="Times New Roman" w:eastAsia="华文仿宋"/>
      <w:b/>
      <w:bCs/>
      <w:sz w:val="28"/>
      <w:szCs w:val="28"/>
    </w:rPr>
  </w:style>
  <w:style w:type="character" w:customStyle="1" w:styleId="3267">
    <w:name w:val="样式 华文仿宋 小四 加粗"/>
    <w:semiHidden/>
    <w:qFormat/>
    <w:uiPriority w:val="0"/>
    <w:rPr>
      <w:rFonts w:ascii="Times New Roman" w:hAnsi="Times New Roman" w:eastAsia="华文仿宋"/>
      <w:b/>
      <w:bCs/>
      <w:sz w:val="24"/>
      <w:szCs w:val="24"/>
    </w:rPr>
  </w:style>
  <w:style w:type="character" w:customStyle="1" w:styleId="3268">
    <w:name w:val="3号宋体居中行距1.5倍 Char Char"/>
    <w:semiHidden/>
    <w:qFormat/>
    <w:uiPriority w:val="0"/>
    <w:rPr>
      <w:rFonts w:ascii="宋体" w:hAnsi="宋体"/>
      <w:b/>
      <w:snapToGrid w:val="0"/>
      <w:color w:val="000000"/>
      <w:sz w:val="28"/>
    </w:rPr>
  </w:style>
  <w:style w:type="paragraph" w:customStyle="1" w:styleId="3269">
    <w:name w:val="正文文本缩进 211"/>
    <w:basedOn w:val="1"/>
    <w:semiHidden/>
    <w:qFormat/>
    <w:uiPriority w:val="0"/>
    <w:pPr>
      <w:adjustRightInd w:val="0"/>
      <w:ind w:firstLine="600"/>
      <w:jc w:val="left"/>
      <w:textAlignment w:val="baseline"/>
    </w:pPr>
    <w:rPr>
      <w:rFonts w:ascii="宋体" w:hAnsi="Times New Roman" w:eastAsia="仿宋_GB2312" w:cs="Times New Roman"/>
      <w:snapToGrid w:val="0"/>
      <w:sz w:val="28"/>
      <w:szCs w:val="20"/>
    </w:rPr>
  </w:style>
  <w:style w:type="paragraph" w:customStyle="1" w:styleId="3270">
    <w:name w:val="标题--表格"/>
    <w:basedOn w:val="1"/>
    <w:semiHidden/>
    <w:qFormat/>
    <w:uiPriority w:val="0"/>
    <w:pPr>
      <w:adjustRightInd w:val="0"/>
      <w:spacing w:beforeLines="50"/>
      <w:ind w:firstLine="560" w:firstLineChars="200"/>
      <w:jc w:val="center"/>
      <w:textAlignment w:val="baseline"/>
    </w:pPr>
    <w:rPr>
      <w:rFonts w:ascii="黑体" w:hAnsi="宋体" w:eastAsia="黑体" w:cs="Times New Roman"/>
      <w:snapToGrid w:val="0"/>
      <w:color w:val="FF00FF"/>
      <w:kern w:val="0"/>
      <w:sz w:val="28"/>
    </w:rPr>
  </w:style>
  <w:style w:type="paragraph" w:customStyle="1" w:styleId="3271">
    <w:name w:val="清除格式"/>
    <w:basedOn w:val="1"/>
    <w:semiHidden/>
    <w:qFormat/>
    <w:uiPriority w:val="0"/>
    <w:pPr>
      <w:jc w:val="left"/>
    </w:pPr>
    <w:rPr>
      <w:rFonts w:ascii="宋体" w:hAnsi="宋体" w:cs="Times New Roman"/>
      <w:snapToGrid w:val="0"/>
      <w:sz w:val="24"/>
      <w:szCs w:val="24"/>
    </w:rPr>
  </w:style>
  <w:style w:type="paragraph" w:customStyle="1" w:styleId="3272">
    <w:name w:val="样式 小四"/>
    <w:basedOn w:val="1"/>
    <w:semiHidden/>
    <w:qFormat/>
    <w:uiPriority w:val="0"/>
    <w:pPr>
      <w:ind w:firstLine="200" w:firstLineChars="200"/>
      <w:jc w:val="left"/>
    </w:pPr>
    <w:rPr>
      <w:rFonts w:ascii="Times New Roman" w:hAnsi="Times New Roman" w:cs="Times New Roman"/>
      <w:sz w:val="24"/>
      <w:szCs w:val="24"/>
    </w:rPr>
  </w:style>
  <w:style w:type="character" w:customStyle="1" w:styleId="3273">
    <w:name w:val="style111"/>
    <w:qFormat/>
    <w:uiPriority w:val="0"/>
    <w:rPr>
      <w:sz w:val="21"/>
      <w:szCs w:val="21"/>
    </w:rPr>
  </w:style>
  <w:style w:type="paragraph" w:customStyle="1" w:styleId="3274">
    <w:name w:val="样式 标题 21.1.1X.1标题2节标题 1.11.1标题 22nd levelh2Header 2Head..."/>
    <w:basedOn w:val="4"/>
    <w:semiHidden/>
    <w:qFormat/>
    <w:uiPriority w:val="0"/>
    <w:pPr>
      <w:spacing w:before="10"/>
      <w:jc w:val="both"/>
    </w:pPr>
    <w:rPr>
      <w:rFonts w:ascii="黑体" w:hAnsi="黑体" w:cs="宋体" w:eastAsiaTheme="minorEastAsia"/>
      <w:color w:val="000000" w:themeColor="text1"/>
      <w:spacing w:val="6"/>
      <w:szCs w:val="20"/>
      <w14:textFill>
        <w14:solidFill>
          <w14:schemeClr w14:val="tx1"/>
        </w14:solidFill>
      </w14:textFill>
    </w:rPr>
  </w:style>
  <w:style w:type="paragraph" w:customStyle="1" w:styleId="3275">
    <w:name w:val="样式 标题 21.1.1X.1标题2节标题 1.11.1标题 22nd levelh2Header 2Head...1"/>
    <w:basedOn w:val="4"/>
    <w:semiHidden/>
    <w:qFormat/>
    <w:uiPriority w:val="0"/>
    <w:pPr>
      <w:spacing w:before="10"/>
      <w:jc w:val="both"/>
    </w:pPr>
    <w:rPr>
      <w:rFonts w:ascii="宋体" w:hAnsi="宋体" w:cs="宋体" w:eastAsiaTheme="minorEastAsia"/>
      <w:color w:val="000000" w:themeColor="text1"/>
      <w:szCs w:val="20"/>
      <w14:textFill>
        <w14:solidFill>
          <w14:schemeClr w14:val="tx1"/>
        </w14:solidFill>
      </w14:textFill>
    </w:rPr>
  </w:style>
  <w:style w:type="character" w:customStyle="1" w:styleId="3276">
    <w:name w:val="txt141"/>
    <w:semiHidden/>
    <w:qFormat/>
    <w:uiPriority w:val="0"/>
    <w:rPr>
      <w:rFonts w:hint="default" w:ascii="Arial" w:hAnsi="Arial" w:cs="Arial"/>
      <w:color w:val="000000"/>
      <w:sz w:val="21"/>
      <w:szCs w:val="21"/>
      <w:u w:val="none"/>
    </w:rPr>
  </w:style>
  <w:style w:type="paragraph" w:customStyle="1" w:styleId="3277">
    <w:name w:val="样式 小四 加粗"/>
    <w:basedOn w:val="1"/>
    <w:link w:val="3278"/>
    <w:semiHidden/>
    <w:qFormat/>
    <w:uiPriority w:val="0"/>
    <w:pPr>
      <w:spacing w:line="360" w:lineRule="auto"/>
      <w:ind w:firstLine="200" w:firstLineChars="200"/>
      <w:jc w:val="left"/>
    </w:pPr>
    <w:rPr>
      <w:rFonts w:ascii="宋体" w:hAnsi="Times New Roman" w:cs="Times New Roman"/>
      <w:b/>
      <w:bCs/>
      <w:sz w:val="24"/>
      <w:szCs w:val="24"/>
    </w:rPr>
  </w:style>
  <w:style w:type="character" w:customStyle="1" w:styleId="3278">
    <w:name w:val="样式 小四 加粗 Char"/>
    <w:link w:val="3277"/>
    <w:semiHidden/>
    <w:qFormat/>
    <w:uiPriority w:val="0"/>
    <w:rPr>
      <w:rFonts w:ascii="宋体" w:hAnsi="Times New Roman" w:cs="Times New Roman"/>
      <w:b/>
      <w:bCs/>
      <w:sz w:val="24"/>
      <w:szCs w:val="24"/>
    </w:rPr>
  </w:style>
  <w:style w:type="character" w:customStyle="1" w:styleId="3279">
    <w:name w:val="l15"/>
    <w:semiHidden/>
    <w:qFormat/>
    <w:uiPriority w:val="0"/>
  </w:style>
  <w:style w:type="character" w:customStyle="1" w:styleId="3280">
    <w:name w:val="zhengw1"/>
    <w:semiHidden/>
    <w:qFormat/>
    <w:uiPriority w:val="0"/>
    <w:rPr>
      <w:rFonts w:hint="default"/>
      <w:spacing w:val="450"/>
      <w:sz w:val="24"/>
      <w:szCs w:val="24"/>
    </w:rPr>
  </w:style>
  <w:style w:type="character" w:customStyle="1" w:styleId="3281">
    <w:name w:val="content"/>
    <w:qFormat/>
    <w:uiPriority w:val="0"/>
  </w:style>
  <w:style w:type="paragraph" w:customStyle="1" w:styleId="3282">
    <w:name w:val="Char1 Char Char Char Char Char11"/>
    <w:basedOn w:val="1"/>
    <w:semiHidden/>
    <w:qFormat/>
    <w:uiPriority w:val="0"/>
    <w:pPr>
      <w:spacing w:line="360" w:lineRule="auto"/>
      <w:ind w:firstLine="200" w:firstLineChars="200"/>
      <w:jc w:val="left"/>
    </w:pPr>
    <w:rPr>
      <w:rFonts w:ascii="宋体" w:hAnsi="宋体" w:cs="宋体"/>
      <w:sz w:val="24"/>
      <w:szCs w:val="24"/>
    </w:rPr>
  </w:style>
  <w:style w:type="character" w:customStyle="1" w:styleId="3283">
    <w:name w:val="正文文字 Char5"/>
    <w:qFormat/>
    <w:uiPriority w:val="0"/>
    <w:rPr>
      <w:rFonts w:eastAsia="宋体"/>
      <w:kern w:val="2"/>
      <w:sz w:val="24"/>
      <w:szCs w:val="24"/>
      <w:lang w:val="en-US" w:eastAsia="zh-CN" w:bidi="ar-SA"/>
    </w:rPr>
  </w:style>
  <w:style w:type="character" w:customStyle="1" w:styleId="3284">
    <w:name w:val="even Char4"/>
    <w:semiHidden/>
    <w:qFormat/>
    <w:uiPriority w:val="0"/>
    <w:rPr>
      <w:rFonts w:eastAsia="宋体"/>
      <w:kern w:val="2"/>
      <w:sz w:val="18"/>
      <w:szCs w:val="18"/>
      <w:lang w:val="en-US" w:eastAsia="zh-CN" w:bidi="ar-SA"/>
    </w:rPr>
  </w:style>
  <w:style w:type="character" w:customStyle="1" w:styleId="3285">
    <w:name w:val="123YJ Char Char5"/>
    <w:semiHidden/>
    <w:qFormat/>
    <w:uiPriority w:val="0"/>
    <w:rPr>
      <w:rFonts w:eastAsia="汉仪仿宋简"/>
      <w:lang w:val="en-US" w:eastAsia="zh-CN" w:bidi="ar-SA"/>
    </w:rPr>
  </w:style>
  <w:style w:type="paragraph" w:customStyle="1" w:styleId="3286">
    <w:name w:val="编号-1"/>
    <w:basedOn w:val="1"/>
    <w:qFormat/>
    <w:uiPriority w:val="0"/>
    <w:pPr>
      <w:adjustRightInd w:val="0"/>
      <w:spacing w:line="520" w:lineRule="exact"/>
      <w:jc w:val="left"/>
    </w:pPr>
    <w:rPr>
      <w:rFonts w:ascii="Times New Roman" w:hAnsi="Times New Roman" w:eastAsia="黑体" w:cs="Times New Roman"/>
      <w:sz w:val="24"/>
      <w:szCs w:val="20"/>
    </w:rPr>
  </w:style>
  <w:style w:type="paragraph" w:customStyle="1" w:styleId="3287">
    <w:name w:val="样式 正文文本缩进 + 行距: 单倍行距"/>
    <w:basedOn w:val="35"/>
    <w:qFormat/>
    <w:uiPriority w:val="0"/>
    <w:pPr>
      <w:snapToGrid w:val="0"/>
      <w:spacing w:beforeLines="10" w:after="0" w:line="240" w:lineRule="auto"/>
      <w:ind w:left="0" w:leftChars="0"/>
    </w:pPr>
    <w:rPr>
      <w:rFonts w:ascii="宋体" w:hAnsi="宋体" w:eastAsiaTheme="minorEastAsia"/>
      <w:snapToGrid w:val="0"/>
      <w:kern w:val="0"/>
      <w:sz w:val="28"/>
      <w:szCs w:val="20"/>
    </w:rPr>
  </w:style>
  <w:style w:type="table" w:customStyle="1" w:styleId="3288">
    <w:name w:val="qiu"/>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tcPr>
    <w:tblStylePr w:type="firstRow">
      <w:tcPr>
        <w:shd w:val="clear" w:color="auto" w:fill="99CCFF"/>
      </w:tcPr>
    </w:tblStylePr>
  </w:style>
  <w:style w:type="character" w:customStyle="1" w:styleId="3289">
    <w:name w:val="b91"/>
    <w:qFormat/>
    <w:uiPriority w:val="0"/>
    <w:rPr>
      <w:rFonts w:hint="default"/>
      <w:color w:val="0000CC"/>
      <w:sz w:val="18"/>
      <w:szCs w:val="18"/>
      <w:u w:val="none"/>
    </w:rPr>
  </w:style>
  <w:style w:type="character" w:customStyle="1" w:styleId="3290">
    <w:name w:val="p11"/>
    <w:qFormat/>
    <w:uiPriority w:val="0"/>
    <w:rPr>
      <w:rFonts w:hint="eastAsia" w:ascii="宋体" w:hAnsi="宋体" w:eastAsia="宋体"/>
      <w:sz w:val="18"/>
      <w:szCs w:val="18"/>
    </w:rPr>
  </w:style>
  <w:style w:type="paragraph" w:customStyle="1" w:styleId="3291">
    <w:name w:val="小四正"/>
    <w:basedOn w:val="1"/>
    <w:qFormat/>
    <w:uiPriority w:val="0"/>
    <w:pPr>
      <w:ind w:firstLine="480" w:firstLineChars="200"/>
      <w:jc w:val="left"/>
    </w:pPr>
    <w:rPr>
      <w:rFonts w:ascii="Times New Roman" w:hAnsi="Times New Roman" w:cs="Times New Roman"/>
      <w:sz w:val="24"/>
      <w:szCs w:val="24"/>
    </w:rPr>
  </w:style>
  <w:style w:type="character" w:customStyle="1" w:styleId="3292">
    <w:name w:val="表格2 Char"/>
    <w:qFormat/>
    <w:uiPriority w:val="0"/>
    <w:rPr>
      <w:b/>
      <w:bCs/>
      <w:sz w:val="21"/>
      <w:lang w:val="en-US" w:eastAsia="zh-CN" w:bidi="ar-SA"/>
    </w:rPr>
  </w:style>
  <w:style w:type="character" w:customStyle="1" w:styleId="3293">
    <w:name w:val="123YJ Char Char3"/>
    <w:qFormat/>
    <w:uiPriority w:val="0"/>
    <w:rPr>
      <w:rFonts w:eastAsia="汉仪仿宋简"/>
      <w:lang w:val="en-US" w:eastAsia="zh-CN" w:bidi="ar-SA"/>
    </w:rPr>
  </w:style>
  <w:style w:type="paragraph" w:customStyle="1" w:styleId="3294">
    <w:name w:val="Normal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3295">
    <w:name w:val="Body Text Indent 21"/>
    <w:basedOn w:val="1"/>
    <w:qFormat/>
    <w:uiPriority w:val="0"/>
    <w:pPr>
      <w:adjustRightInd w:val="0"/>
      <w:spacing w:line="360" w:lineRule="auto"/>
      <w:ind w:firstLine="480"/>
      <w:jc w:val="left"/>
      <w:textAlignment w:val="baseline"/>
    </w:pPr>
    <w:rPr>
      <w:rFonts w:ascii="宋体" w:hAnsi="Times New Roman" w:cs="Times New Roman"/>
      <w:kern w:val="0"/>
      <w:sz w:val="24"/>
      <w:szCs w:val="20"/>
    </w:rPr>
  </w:style>
  <w:style w:type="character" w:customStyle="1" w:styleId="3296">
    <w:name w:val="Char Char2"/>
    <w:qFormat/>
    <w:locked/>
    <w:uiPriority w:val="0"/>
    <w:rPr>
      <w:rFonts w:ascii="宋体" w:hAnsi="宋体" w:eastAsia="宋体"/>
      <w:kern w:val="2"/>
      <w:sz w:val="18"/>
      <w:szCs w:val="18"/>
      <w:lang w:val="en-US" w:eastAsia="zh-CN" w:bidi="ar-SA"/>
    </w:rPr>
  </w:style>
  <w:style w:type="character" w:customStyle="1" w:styleId="3297">
    <w:name w:val="Char Char310"/>
    <w:qFormat/>
    <w:locked/>
    <w:uiPriority w:val="0"/>
    <w:rPr>
      <w:rFonts w:ascii="宋体" w:hAnsi="宋体" w:eastAsia="宋体"/>
      <w:kern w:val="2"/>
      <w:sz w:val="24"/>
      <w:szCs w:val="24"/>
      <w:lang w:val="en-US" w:eastAsia="zh-CN" w:bidi="ar-SA"/>
    </w:rPr>
  </w:style>
  <w:style w:type="character" w:customStyle="1" w:styleId="3298">
    <w:name w:val="Char1 Char Char Char Char Char Char Char1"/>
    <w:link w:val="2791"/>
    <w:qFormat/>
    <w:locked/>
    <w:uiPriority w:val="0"/>
    <w:rPr>
      <w:rFonts w:ascii="Tahoma" w:hAnsi="Tahoma" w:cs="Times New Roman"/>
      <w:b/>
      <w:snapToGrid w:val="0"/>
      <w:kern w:val="0"/>
      <w:sz w:val="26"/>
      <w:szCs w:val="28"/>
      <w:shd w:val="clear" w:color="auto" w:fill="000080"/>
    </w:rPr>
  </w:style>
  <w:style w:type="character" w:customStyle="1" w:styleId="3299">
    <w:name w:val="Char1 Char1"/>
    <w:link w:val="275"/>
    <w:qFormat/>
    <w:locked/>
    <w:uiPriority w:val="0"/>
    <w:rPr>
      <w:rFonts w:ascii="宋体" w:hAnsi="宋体" w:eastAsia="宋体" w:cs="宋体"/>
      <w:sz w:val="24"/>
      <w:szCs w:val="26"/>
    </w:rPr>
  </w:style>
  <w:style w:type="paragraph" w:customStyle="1" w:styleId="3300">
    <w:name w:val="Char Char Char Char Char Char1 Char Char Char1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3301">
    <w:name w:val="Char Char2 Char Char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3302">
    <w:name w:val="Char1 Char Char Char2"/>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paragraph" w:customStyle="1" w:styleId="3303">
    <w:name w:val="Char Char Char Char Char Char1 Char Char Char1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3304">
    <w:name w:val="Char Char Char Char Char Char Char Char Char Char Char Char Char Char Char Char Char Char Char1"/>
    <w:basedOn w:val="1"/>
    <w:qFormat/>
    <w:uiPriority w:val="0"/>
    <w:pPr>
      <w:jc w:val="left"/>
    </w:pPr>
    <w:rPr>
      <w:rFonts w:ascii="Times New Roman" w:hAnsi="Times New Roman" w:cs="Times New Roman"/>
      <w:szCs w:val="24"/>
    </w:rPr>
  </w:style>
  <w:style w:type="paragraph" w:customStyle="1" w:styleId="3305">
    <w:name w:val="Char1 Char Char Char Char Char2"/>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paragraph" w:customStyle="1" w:styleId="3306">
    <w:name w:val="Char Char Char Char Char Char1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3307">
    <w:name w:val="Char Char8 Char1"/>
    <w:basedOn w:val="1"/>
    <w:qFormat/>
    <w:uiPriority w:val="0"/>
    <w:pPr>
      <w:spacing w:line="360" w:lineRule="auto"/>
      <w:ind w:firstLine="200" w:firstLineChars="200"/>
      <w:jc w:val="left"/>
    </w:pPr>
    <w:rPr>
      <w:rFonts w:ascii="宋体" w:hAnsi="宋体" w:cs="宋体"/>
      <w:sz w:val="24"/>
      <w:szCs w:val="24"/>
    </w:rPr>
  </w:style>
  <w:style w:type="paragraph" w:customStyle="1" w:styleId="3308">
    <w:name w:val="Char Char Char Char Char Char11"/>
    <w:basedOn w:val="1"/>
    <w:qFormat/>
    <w:uiPriority w:val="0"/>
    <w:pPr>
      <w:spacing w:line="360" w:lineRule="auto"/>
      <w:ind w:firstLine="200" w:firstLineChars="200"/>
      <w:jc w:val="left"/>
    </w:pPr>
    <w:rPr>
      <w:rFonts w:ascii="Times New Roman" w:hAnsi="Times New Roman" w:cs="Times New Roman"/>
      <w:szCs w:val="20"/>
    </w:rPr>
  </w:style>
  <w:style w:type="paragraph" w:customStyle="1" w:styleId="3309">
    <w:name w:val="Char Char5 Char1"/>
    <w:basedOn w:val="1"/>
    <w:qFormat/>
    <w:uiPriority w:val="0"/>
    <w:pPr>
      <w:spacing w:line="360" w:lineRule="auto"/>
      <w:ind w:firstLine="200" w:firstLineChars="200"/>
      <w:jc w:val="left"/>
    </w:pPr>
    <w:rPr>
      <w:rFonts w:ascii="宋体" w:hAnsi="宋体" w:cs="宋体"/>
      <w:sz w:val="24"/>
      <w:szCs w:val="24"/>
    </w:rPr>
  </w:style>
  <w:style w:type="paragraph" w:customStyle="1" w:styleId="3310">
    <w:name w:val="Char1 Char Char Char Char Char Char Char Char Char Char Char Char Char Char Char1"/>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4"/>
    </w:rPr>
  </w:style>
  <w:style w:type="character" w:customStyle="1" w:styleId="3311">
    <w:name w:val="Char Char Char Char Char Char Char Char Char Char Char Char Char Char Char Char Char Char Char Char Char Char Char Char Char Char Char Char Char Char Char Char Char Char Char Char Char Char Char Char Char Char Char Char Char Char Char Char Char Char  C1"/>
    <w:qFormat/>
    <w:uiPriority w:val="0"/>
    <w:rPr>
      <w:rFonts w:hint="eastAsia" w:ascii="宋体" w:hAnsi="Courier New" w:eastAsia="宋体"/>
      <w:kern w:val="2"/>
      <w:sz w:val="21"/>
      <w:lang w:val="en-US" w:eastAsia="zh-CN" w:bidi="ar-SA"/>
    </w:rPr>
  </w:style>
  <w:style w:type="paragraph" w:customStyle="1" w:styleId="3312">
    <w:name w:val="样式 样式 标题 4项 + 非加粗 段前: 0.5 行 段后: 0.5 行 + 段前: 0.5 行 段后: 0.5 行"/>
    <w:basedOn w:val="1"/>
    <w:qFormat/>
    <w:uiPriority w:val="0"/>
    <w:pPr>
      <w:keepLines/>
      <w:adjustRightInd w:val="0"/>
      <w:spacing w:line="360" w:lineRule="auto"/>
      <w:ind w:firstLine="480" w:firstLineChars="200"/>
      <w:jc w:val="center"/>
    </w:pPr>
    <w:rPr>
      <w:rFonts w:ascii="Times New Roman" w:hAnsi="Times New Roman" w:cs="Times New Roman"/>
      <w:bCs/>
      <w:color w:val="000000"/>
      <w:sz w:val="24"/>
      <w:szCs w:val="24"/>
    </w:rPr>
  </w:style>
  <w:style w:type="character" w:customStyle="1" w:styleId="3313">
    <w:name w:val="even Char Char1"/>
    <w:semiHidden/>
    <w:qFormat/>
    <w:uiPriority w:val="0"/>
    <w:rPr>
      <w:rFonts w:eastAsia="宋体"/>
      <w:kern w:val="2"/>
      <w:sz w:val="18"/>
      <w:szCs w:val="18"/>
      <w:lang w:val="en-US" w:eastAsia="zh-CN" w:bidi="ar-SA"/>
    </w:rPr>
  </w:style>
  <w:style w:type="paragraph" w:customStyle="1" w:styleId="3314">
    <w:name w:val="Char Char4 Char Char Char Char1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paragraph" w:customStyle="1" w:styleId="3315">
    <w:name w:val="样式 首行缩进:  0.99 厘米"/>
    <w:basedOn w:val="1"/>
    <w:qFormat/>
    <w:uiPriority w:val="0"/>
    <w:pPr>
      <w:ind w:firstLine="560"/>
      <w:jc w:val="left"/>
    </w:pPr>
    <w:rPr>
      <w:rFonts w:ascii="Times New Roman" w:hAnsi="Times New Roman" w:cs="宋体"/>
      <w:sz w:val="24"/>
      <w:szCs w:val="20"/>
    </w:rPr>
  </w:style>
  <w:style w:type="paragraph" w:customStyle="1" w:styleId="3316">
    <w:name w:val="Char Char Char Char Char Char Char Char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3317">
    <w:name w:val="Char1 Char Char11"/>
    <w:basedOn w:val="26"/>
    <w:qFormat/>
    <w:uiPriority w:val="0"/>
    <w:pPr>
      <w:shd w:val="clear" w:color="auto" w:fill="000080"/>
      <w:spacing w:beforeLines="10" w:line="436" w:lineRule="exact"/>
      <w:ind w:left="357" w:firstLine="0" w:firstLineChars="0"/>
      <w:outlineLvl w:val="3"/>
    </w:pPr>
    <w:rPr>
      <w:rFonts w:hint="eastAsia" w:ascii="Tahoma" w:hAnsi="Tahoma" w:eastAsiaTheme="minorEastAsia"/>
      <w:b/>
      <w:snapToGrid w:val="0"/>
      <w:kern w:val="0"/>
      <w:sz w:val="26"/>
      <w:szCs w:val="28"/>
    </w:rPr>
  </w:style>
  <w:style w:type="paragraph" w:customStyle="1" w:styleId="3318">
    <w:name w:val="Char1 Char Char2"/>
    <w:basedOn w:val="1"/>
    <w:qFormat/>
    <w:uiPriority w:val="0"/>
    <w:pPr>
      <w:spacing w:line="360" w:lineRule="auto"/>
      <w:ind w:firstLine="200" w:firstLineChars="200"/>
      <w:jc w:val="left"/>
    </w:pPr>
    <w:rPr>
      <w:rFonts w:ascii="宋体" w:hAnsi="宋体" w:cs="宋体"/>
      <w:sz w:val="24"/>
      <w:szCs w:val="24"/>
    </w:rPr>
  </w:style>
  <w:style w:type="paragraph" w:customStyle="1" w:styleId="3319">
    <w:name w:val="Char3 Char Char1"/>
    <w:basedOn w:val="26"/>
    <w:qFormat/>
    <w:uiPriority w:val="0"/>
    <w:pPr>
      <w:shd w:val="clear" w:color="auto" w:fill="000080"/>
      <w:spacing w:beforeLines="10" w:line="436" w:lineRule="exact"/>
      <w:ind w:left="357" w:firstLine="0" w:firstLineChars="0"/>
      <w:outlineLvl w:val="3"/>
    </w:pPr>
    <w:rPr>
      <w:rFonts w:hint="eastAsia" w:ascii="Tahoma" w:hAnsi="Tahoma" w:eastAsiaTheme="minorEastAsia"/>
      <w:b/>
      <w:snapToGrid w:val="0"/>
      <w:kern w:val="0"/>
      <w:sz w:val="26"/>
      <w:szCs w:val="28"/>
    </w:rPr>
  </w:style>
  <w:style w:type="paragraph" w:customStyle="1" w:styleId="3320">
    <w:name w:val="Char1 Char Char Char Char Char Char1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3321">
    <w:name w:val="Char Char2 Char1"/>
    <w:basedOn w:val="1"/>
    <w:qFormat/>
    <w:uiPriority w:val="0"/>
    <w:pPr>
      <w:spacing w:line="360" w:lineRule="auto"/>
      <w:ind w:firstLine="200" w:firstLineChars="200"/>
      <w:jc w:val="left"/>
    </w:pPr>
    <w:rPr>
      <w:rFonts w:ascii="宋体" w:hAnsi="宋体" w:cs="宋体"/>
      <w:sz w:val="24"/>
      <w:szCs w:val="24"/>
    </w:rPr>
  </w:style>
  <w:style w:type="character" w:customStyle="1" w:styleId="3322">
    <w:name w:val="Char Char510"/>
    <w:qFormat/>
    <w:uiPriority w:val="0"/>
    <w:rPr>
      <w:rFonts w:hint="eastAsia" w:ascii="宋体" w:hAnsi="Courier New" w:eastAsia="宋体" w:cs="Courier New"/>
      <w:kern w:val="2"/>
      <w:sz w:val="21"/>
      <w:szCs w:val="21"/>
      <w:lang w:val="en-US" w:eastAsia="zh-CN" w:bidi="ar-SA"/>
    </w:rPr>
  </w:style>
  <w:style w:type="paragraph" w:customStyle="1" w:styleId="3323">
    <w:name w:val="样式 样式 样式 样式 标题 2 + 段后: 0.5 行 + 段前: 0.5 行1 + 段前: 0.5 行 + 段前: 0.5 行"/>
    <w:basedOn w:val="1"/>
    <w:qFormat/>
    <w:uiPriority w:val="0"/>
    <w:pPr>
      <w:keepNext/>
      <w:keepLines/>
      <w:spacing w:beforeLines="50" w:line="420" w:lineRule="exact"/>
      <w:jc w:val="left"/>
      <w:outlineLvl w:val="1"/>
    </w:pPr>
    <w:rPr>
      <w:rFonts w:ascii="Arial" w:hAnsi="Arial" w:eastAsia="黑体" w:cs="Times New Roman"/>
      <w:sz w:val="28"/>
      <w:szCs w:val="20"/>
    </w:rPr>
  </w:style>
  <w:style w:type="paragraph" w:customStyle="1" w:styleId="3324">
    <w:name w:val="Char Char Char Char Char Char Char Char Char Char Char Char Char Char Char Char Char Char Char Char Char Char Char Char Char Char Char Char Char Char2 Char Char Char1 Char Char Char Char Char Char Char"/>
    <w:basedOn w:val="1"/>
    <w:qFormat/>
    <w:uiPriority w:val="0"/>
    <w:pPr>
      <w:jc w:val="left"/>
    </w:pPr>
    <w:rPr>
      <w:rFonts w:ascii="Times New Roman" w:hAnsi="Times New Roman" w:cs="Times New Roman"/>
      <w:szCs w:val="24"/>
    </w:rPr>
  </w:style>
  <w:style w:type="table" w:customStyle="1" w:styleId="3325">
    <w:name w:val="qiu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tcPr>
    <w:tblStylePr w:type="firstRow">
      <w:tcPr>
        <w:shd w:val="clear" w:color="auto" w:fill="99CCFF"/>
      </w:tcPr>
    </w:tblStylePr>
  </w:style>
  <w:style w:type="paragraph" w:customStyle="1" w:styleId="3326">
    <w:name w:val="Char Char Char Char Char Char1 Char1"/>
    <w:basedOn w:val="1"/>
    <w:qFormat/>
    <w:uiPriority w:val="0"/>
    <w:pPr>
      <w:widowControl/>
      <w:spacing w:after="160" w:line="240" w:lineRule="exact"/>
      <w:jc w:val="left"/>
    </w:pPr>
    <w:rPr>
      <w:rFonts w:ascii="Verdana" w:hAnsi="Verdana" w:eastAsia="仿宋_GB2312" w:cs="Verdana"/>
      <w:kern w:val="0"/>
      <w:sz w:val="30"/>
      <w:szCs w:val="30"/>
      <w:lang w:eastAsia="en-US"/>
    </w:rPr>
  </w:style>
  <w:style w:type="paragraph" w:customStyle="1" w:styleId="3327">
    <w:name w:val="Char11"/>
    <w:basedOn w:val="1"/>
    <w:qFormat/>
    <w:uiPriority w:val="0"/>
    <w:pPr>
      <w:spacing w:line="360" w:lineRule="auto"/>
      <w:ind w:firstLine="200" w:firstLineChars="200"/>
      <w:jc w:val="left"/>
    </w:pPr>
    <w:rPr>
      <w:rFonts w:ascii="宋体" w:hAnsi="宋体" w:cs="宋体"/>
      <w:sz w:val="24"/>
      <w:szCs w:val="28"/>
    </w:rPr>
  </w:style>
  <w:style w:type="character" w:customStyle="1" w:styleId="3328">
    <w:name w:val="new"/>
    <w:qFormat/>
    <w:uiPriority w:val="0"/>
  </w:style>
  <w:style w:type="paragraph" w:customStyle="1" w:styleId="3329">
    <w:name w:val="Char Char Char Char Char Char Char Char Char Char Char Char Char Char Char Char Char Char"/>
    <w:basedOn w:val="1"/>
    <w:qFormat/>
    <w:uiPriority w:val="0"/>
    <w:pPr>
      <w:jc w:val="left"/>
    </w:pPr>
    <w:rPr>
      <w:rFonts w:ascii="Times New Roman" w:hAnsi="Times New Roman" w:cs="Times New Roman"/>
      <w:szCs w:val="28"/>
    </w:rPr>
  </w:style>
  <w:style w:type="paragraph" w:customStyle="1" w:styleId="3330">
    <w:name w:val="Char Char Char Char Char Char Char Char Char Char Char Char Char Char Char Char Char Char Char Char Char"/>
    <w:basedOn w:val="1"/>
    <w:qFormat/>
    <w:uiPriority w:val="0"/>
    <w:pPr>
      <w:jc w:val="left"/>
    </w:pPr>
    <w:rPr>
      <w:rFonts w:ascii="Times New Roman" w:hAnsi="Times New Roman" w:cs="Times New Roman"/>
      <w:szCs w:val="28"/>
    </w:rPr>
  </w:style>
  <w:style w:type="character" w:customStyle="1" w:styleId="3331">
    <w:name w:val="font_black_12px1"/>
    <w:qFormat/>
    <w:uiPriority w:val="0"/>
    <w:rPr>
      <w:rFonts w:hint="default" w:ascii="ˎ̥" w:hAnsi="ˎ̥"/>
      <w:color w:val="333333"/>
      <w:sz w:val="20"/>
      <w:szCs w:val="20"/>
      <w:u w:val="none"/>
    </w:rPr>
  </w:style>
  <w:style w:type="paragraph" w:customStyle="1" w:styleId="3332">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character" w:customStyle="1" w:styleId="3333">
    <w:name w:val="xw1"/>
    <w:qFormat/>
    <w:uiPriority w:val="0"/>
  </w:style>
  <w:style w:type="character" w:customStyle="1" w:styleId="3334">
    <w:name w:val="f141"/>
    <w:qFormat/>
    <w:uiPriority w:val="0"/>
    <w:rPr>
      <w:rFonts w:hint="default" w:ascii="ˎ̥" w:hAnsi="ˎ̥"/>
      <w:sz w:val="21"/>
      <w:szCs w:val="21"/>
    </w:rPr>
  </w:style>
  <w:style w:type="table" w:customStyle="1" w:styleId="3335">
    <w:name w:val="我的样式"/>
    <w:basedOn w:val="90"/>
    <w:qFormat/>
    <w:uiPriority w:val="0"/>
    <w:pPr>
      <w:jc w:val="both"/>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cPr>
      <w:shd w:val="clear" w:color="auto" w:fill="E6E6E6"/>
      <w:vAlign w:val="center"/>
    </w:tcPr>
    <w:tblStylePr w:type="firstRow">
      <w:rPr>
        <w:rFonts w:eastAsia="宋体"/>
        <w:color w:val="FFFFFF"/>
      </w:rPr>
      <w:tcPr>
        <w:tcBorders>
          <w:top w:val="single" w:color="FFFFFF" w:sz="4" w:space="0"/>
          <w:left w:val="single" w:color="FFFFFF" w:sz="4" w:space="0"/>
          <w:bottom w:val="single" w:color="FFFFFF" w:sz="4" w:space="0"/>
          <w:right w:val="single" w:color="FFFFFF" w:sz="4" w:space="0"/>
          <w:insideH w:val="single" w:sz="4" w:space="0"/>
          <w:insideV w:val="single" w:sz="4" w:space="0"/>
          <w:tl2br w:val="nil"/>
          <w:tr2bl w:val="nil"/>
        </w:tcBorders>
        <w:shd w:val="clear" w:color="auto" w:fill="00CCFF"/>
      </w:tcPr>
    </w:tblStylePr>
  </w:style>
  <w:style w:type="paragraph" w:customStyle="1" w:styleId="3336">
    <w:name w:val="Char Char Char Char Char Char Char Char Char Char Char Char Char Char Char Char Char Char Char Char Char Char Char Char Char1"/>
    <w:basedOn w:val="1"/>
    <w:qFormat/>
    <w:uiPriority w:val="0"/>
    <w:pPr>
      <w:jc w:val="left"/>
    </w:pPr>
    <w:rPr>
      <w:rFonts w:ascii="Times New Roman" w:hAnsi="Times New Roman" w:cs="Times New Roman"/>
      <w:sz w:val="24"/>
      <w:szCs w:val="28"/>
    </w:rPr>
  </w:style>
  <w:style w:type="character" w:customStyle="1" w:styleId="3337">
    <w:name w:val="一样式 Char"/>
    <w:qFormat/>
    <w:uiPriority w:val="0"/>
    <w:rPr>
      <w:rFonts w:ascii="Arial" w:hAnsi="Arial" w:eastAsia="宋体"/>
      <w:sz w:val="28"/>
      <w:szCs w:val="28"/>
      <w:lang w:val="en-US" w:eastAsia="zh-CN" w:bidi="ar-SA"/>
    </w:rPr>
  </w:style>
  <w:style w:type="paragraph" w:customStyle="1" w:styleId="3338">
    <w:name w:val="Char5 Char Char Char"/>
    <w:basedOn w:val="26"/>
    <w:qFormat/>
    <w:uiPriority w:val="0"/>
    <w:pPr>
      <w:shd w:val="clear" w:color="auto" w:fill="000080"/>
      <w:spacing w:beforeLines="10" w:line="436" w:lineRule="exact"/>
      <w:ind w:left="357" w:firstLine="0" w:firstLineChars="0"/>
      <w:outlineLvl w:val="3"/>
    </w:pPr>
    <w:rPr>
      <w:rFonts w:ascii="Tahoma" w:hAnsi="Tahoma" w:eastAsiaTheme="minorEastAsia"/>
      <w:b/>
      <w:snapToGrid w:val="0"/>
      <w:kern w:val="0"/>
      <w:sz w:val="26"/>
      <w:szCs w:val="28"/>
    </w:rPr>
  </w:style>
  <w:style w:type="paragraph" w:customStyle="1" w:styleId="3339">
    <w:name w:val="图1"/>
    <w:basedOn w:val="1"/>
    <w:next w:val="1"/>
    <w:qFormat/>
    <w:uiPriority w:val="0"/>
    <w:pPr>
      <w:widowControl/>
      <w:tabs>
        <w:tab w:val="left" w:pos="777"/>
      </w:tabs>
      <w:spacing w:beforeLines="50" w:afterLines="100" w:line="360" w:lineRule="auto"/>
      <w:ind w:left="2210" w:hanging="748"/>
      <w:jc w:val="center"/>
    </w:pPr>
    <w:rPr>
      <w:rFonts w:ascii="宋体" w:hAnsi="宋体" w:cs="宋体"/>
      <w:kern w:val="0"/>
      <w:sz w:val="24"/>
      <w:szCs w:val="28"/>
    </w:rPr>
  </w:style>
  <w:style w:type="character" w:customStyle="1" w:styleId="3340">
    <w:name w:val="style121"/>
    <w:qFormat/>
    <w:uiPriority w:val="0"/>
    <w:rPr>
      <w:sz w:val="24"/>
      <w:szCs w:val="24"/>
    </w:rPr>
  </w:style>
  <w:style w:type="character" w:customStyle="1" w:styleId="3341">
    <w:name w:val="blackfont"/>
    <w:qFormat/>
    <w:uiPriority w:val="0"/>
  </w:style>
  <w:style w:type="paragraph" w:customStyle="1" w:styleId="3342">
    <w:name w:val="Char Char8 Char Char Char Char1"/>
    <w:basedOn w:val="1"/>
    <w:qFormat/>
    <w:uiPriority w:val="0"/>
    <w:pPr>
      <w:spacing w:line="360" w:lineRule="auto"/>
      <w:ind w:firstLine="200" w:firstLineChars="200"/>
      <w:jc w:val="left"/>
    </w:pPr>
    <w:rPr>
      <w:rFonts w:ascii="宋体" w:hAnsi="宋体" w:cs="宋体"/>
      <w:sz w:val="24"/>
      <w:szCs w:val="28"/>
    </w:rPr>
  </w:style>
  <w:style w:type="paragraph" w:customStyle="1" w:styleId="3343">
    <w:name w:val="Char Char Char1 Char Char Char2 Char Char Char Char"/>
    <w:basedOn w:val="1"/>
    <w:qFormat/>
    <w:uiPriority w:val="0"/>
    <w:pPr>
      <w:spacing w:line="360" w:lineRule="auto"/>
      <w:ind w:firstLine="200" w:firstLineChars="200"/>
      <w:jc w:val="left"/>
    </w:pPr>
    <w:rPr>
      <w:rFonts w:ascii="宋体" w:hAnsi="宋体" w:cs="宋体"/>
      <w:sz w:val="24"/>
      <w:szCs w:val="28"/>
    </w:rPr>
  </w:style>
  <w:style w:type="paragraph" w:customStyle="1" w:styleId="3344">
    <w:name w:val="Char Char Char1 Char Char Char2 Char Char Char Char1"/>
    <w:basedOn w:val="1"/>
    <w:qFormat/>
    <w:uiPriority w:val="0"/>
    <w:pPr>
      <w:spacing w:line="360" w:lineRule="auto"/>
      <w:ind w:firstLine="200" w:firstLineChars="200"/>
      <w:jc w:val="left"/>
    </w:pPr>
    <w:rPr>
      <w:rFonts w:ascii="宋体" w:hAnsi="宋体" w:cs="宋体"/>
      <w:sz w:val="24"/>
      <w:szCs w:val="28"/>
    </w:rPr>
  </w:style>
  <w:style w:type="paragraph" w:customStyle="1" w:styleId="3345">
    <w:name w:val="Char1 Char Char Char Char Char1 Char Char Char Char Char Char Char Char Char Char"/>
    <w:basedOn w:val="1"/>
    <w:qFormat/>
    <w:uiPriority w:val="0"/>
    <w:pPr>
      <w:spacing w:line="360" w:lineRule="auto"/>
      <w:ind w:firstLine="200" w:firstLineChars="200"/>
      <w:jc w:val="left"/>
    </w:pPr>
    <w:rPr>
      <w:rFonts w:ascii="宋体" w:hAnsi="宋体" w:cs="宋体"/>
      <w:sz w:val="24"/>
      <w:szCs w:val="28"/>
    </w:rPr>
  </w:style>
  <w:style w:type="paragraph" w:customStyle="1" w:styleId="3346">
    <w:name w:val="Char1 Char Char Char Char Char1 Char Char Char Char Char Char Char"/>
    <w:basedOn w:val="1"/>
    <w:qFormat/>
    <w:uiPriority w:val="0"/>
    <w:pPr>
      <w:spacing w:line="360" w:lineRule="auto"/>
      <w:ind w:firstLine="200" w:firstLineChars="200"/>
      <w:jc w:val="left"/>
    </w:pPr>
    <w:rPr>
      <w:rFonts w:ascii="宋体" w:hAnsi="宋体" w:cs="宋体"/>
      <w:sz w:val="24"/>
      <w:szCs w:val="28"/>
    </w:rPr>
  </w:style>
  <w:style w:type="character" w:customStyle="1" w:styleId="3347">
    <w:name w:val="style91"/>
    <w:qFormat/>
    <w:uiPriority w:val="0"/>
    <w:rPr>
      <w:sz w:val="18"/>
      <w:szCs w:val="18"/>
    </w:rPr>
  </w:style>
  <w:style w:type="paragraph" w:customStyle="1" w:styleId="3348">
    <w:name w:val="乐山-正文 Char"/>
    <w:basedOn w:val="1"/>
    <w:next w:val="1"/>
    <w:qFormat/>
    <w:uiPriority w:val="0"/>
    <w:pPr>
      <w:spacing w:line="440" w:lineRule="exact"/>
      <w:ind w:firstLine="200" w:firstLineChars="200"/>
      <w:jc w:val="left"/>
    </w:pPr>
    <w:rPr>
      <w:rFonts w:ascii="Arial" w:hAnsi="Arial" w:eastAsia="华文细黑" w:cs="宋体"/>
      <w:szCs w:val="20"/>
    </w:rPr>
  </w:style>
  <w:style w:type="paragraph" w:customStyle="1" w:styleId="3349">
    <w:name w:val="乐山-标题 1"/>
    <w:basedOn w:val="3"/>
    <w:qFormat/>
    <w:uiPriority w:val="0"/>
    <w:pPr>
      <w:keepNext w:val="0"/>
      <w:widowControl w:val="0"/>
      <w:ind w:left="425" w:hanging="425"/>
      <w:jc w:val="both"/>
    </w:pPr>
    <w:rPr>
      <w:rFonts w:ascii="隶书" w:hAnsi="隶书" w:eastAsia="华文细黑" w:cs="Times New Roman"/>
      <w:color w:val="000000" w:themeColor="text1"/>
      <w:kern w:val="0"/>
      <w:sz w:val="48"/>
      <w:szCs w:val="48"/>
      <w14:textFill>
        <w14:solidFill>
          <w14:schemeClr w14:val="tx1"/>
        </w14:solidFill>
      </w14:textFill>
    </w:rPr>
  </w:style>
  <w:style w:type="paragraph" w:customStyle="1" w:styleId="3350">
    <w:name w:val="乐山-标题 2"/>
    <w:basedOn w:val="4"/>
    <w:qFormat/>
    <w:uiPriority w:val="0"/>
    <w:pPr>
      <w:shd w:val="clear" w:color="CC9900" w:fill="auto"/>
      <w:overflowPunct w:val="0"/>
      <w:spacing w:after="120" w:line="440" w:lineRule="exact"/>
      <w:ind w:left="927" w:hanging="567"/>
      <w:jc w:val="both"/>
    </w:pPr>
    <w:rPr>
      <w:rFonts w:ascii="华文细黑" w:hAnsi="隶书" w:eastAsia="华文细黑" w:cs="宋体"/>
      <w:color w:val="000000" w:themeColor="text1"/>
      <w:kern w:val="44"/>
      <w:szCs w:val="30"/>
      <w14:textFill>
        <w14:solidFill>
          <w14:schemeClr w14:val="tx1"/>
        </w14:solidFill>
      </w14:textFill>
    </w:rPr>
  </w:style>
  <w:style w:type="paragraph" w:customStyle="1" w:styleId="3351">
    <w:name w:val="乐山-标题 3"/>
    <w:basedOn w:val="1"/>
    <w:qFormat/>
    <w:uiPriority w:val="0"/>
    <w:pPr>
      <w:keepNext/>
      <w:keepLines/>
      <w:overflowPunct w:val="0"/>
      <w:spacing w:line="440" w:lineRule="exact"/>
      <w:ind w:left="-311"/>
      <w:jc w:val="left"/>
      <w:outlineLvl w:val="2"/>
    </w:pPr>
    <w:rPr>
      <w:rFonts w:ascii="华文细黑" w:hAnsi="华文细黑" w:eastAsia="华文细黑" w:cs="宋体"/>
      <w:kern w:val="0"/>
      <w:sz w:val="24"/>
      <w:szCs w:val="28"/>
    </w:rPr>
  </w:style>
  <w:style w:type="paragraph" w:customStyle="1" w:styleId="3352">
    <w:name w:val="乐山-标题 4"/>
    <w:basedOn w:val="1"/>
    <w:next w:val="3348"/>
    <w:qFormat/>
    <w:uiPriority w:val="0"/>
    <w:pPr>
      <w:keepNext/>
      <w:keepLines/>
      <w:overflowPunct w:val="0"/>
      <w:spacing w:line="440" w:lineRule="exact"/>
      <w:jc w:val="left"/>
      <w:outlineLvl w:val="3"/>
    </w:pPr>
    <w:rPr>
      <w:rFonts w:ascii="华文细黑" w:hAnsi="华文细黑" w:eastAsia="华文细黑" w:cs="宋体"/>
      <w:kern w:val="0"/>
      <w:sz w:val="24"/>
      <w:szCs w:val="24"/>
    </w:rPr>
  </w:style>
  <w:style w:type="paragraph" w:customStyle="1" w:styleId="3353">
    <w:name w:val="Char1 Char Char Char Char Char1 Char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354">
    <w:name w:val="font131255"/>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355">
    <w:name w:val="font531255"/>
    <w:basedOn w:val="1"/>
    <w:qFormat/>
    <w:uiPriority w:val="0"/>
    <w:pPr>
      <w:widowControl/>
      <w:spacing w:beforeAutospacing="1" w:after="100" w:afterAutospacing="1"/>
      <w:jc w:val="left"/>
    </w:pPr>
    <w:rPr>
      <w:rFonts w:ascii="宋体" w:hAnsi="宋体" w:cs="宋体"/>
      <w:kern w:val="0"/>
      <w:sz w:val="18"/>
      <w:szCs w:val="18"/>
    </w:rPr>
  </w:style>
  <w:style w:type="paragraph" w:customStyle="1" w:styleId="3356">
    <w:name w:val="font631255"/>
    <w:basedOn w:val="1"/>
    <w:qFormat/>
    <w:uiPriority w:val="0"/>
    <w:pPr>
      <w:widowControl/>
      <w:spacing w:beforeAutospacing="1" w:after="100" w:afterAutospacing="1"/>
      <w:jc w:val="left"/>
    </w:pPr>
    <w:rPr>
      <w:rFonts w:ascii="Times New Roman" w:hAnsi="Times New Roman" w:cs="Times New Roman"/>
      <w:kern w:val="0"/>
      <w:sz w:val="18"/>
      <w:szCs w:val="18"/>
    </w:rPr>
  </w:style>
  <w:style w:type="paragraph" w:customStyle="1" w:styleId="3357">
    <w:name w:val="font731255"/>
    <w:basedOn w:val="1"/>
    <w:qFormat/>
    <w:uiPriority w:val="0"/>
    <w:pPr>
      <w:widowControl/>
      <w:spacing w:beforeAutospacing="1" w:after="100" w:afterAutospacing="1"/>
      <w:jc w:val="left"/>
    </w:pPr>
    <w:rPr>
      <w:rFonts w:ascii="宋体" w:hAnsi="宋体" w:cs="宋体"/>
      <w:color w:val="000000"/>
      <w:kern w:val="0"/>
      <w:sz w:val="18"/>
      <w:szCs w:val="18"/>
    </w:rPr>
  </w:style>
  <w:style w:type="paragraph" w:customStyle="1" w:styleId="3358">
    <w:name w:val="font831255"/>
    <w:basedOn w:val="1"/>
    <w:qFormat/>
    <w:uiPriority w:val="0"/>
    <w:pPr>
      <w:widowControl/>
      <w:spacing w:beforeAutospacing="1" w:after="100" w:afterAutospacing="1"/>
      <w:jc w:val="left"/>
    </w:pPr>
    <w:rPr>
      <w:rFonts w:ascii="Times New Roman" w:hAnsi="Times New Roman" w:cs="Times New Roman"/>
      <w:color w:val="000000"/>
      <w:kern w:val="0"/>
      <w:sz w:val="18"/>
      <w:szCs w:val="18"/>
    </w:rPr>
  </w:style>
  <w:style w:type="paragraph" w:customStyle="1" w:styleId="3359">
    <w:name w:val="xl2431255"/>
    <w:basedOn w:val="1"/>
    <w:qFormat/>
    <w:uiPriority w:val="0"/>
    <w:pPr>
      <w:widowControl/>
      <w:spacing w:beforeAutospacing="1" w:after="100" w:afterAutospacing="1"/>
      <w:jc w:val="center"/>
      <w:textAlignment w:val="center"/>
    </w:pPr>
    <w:rPr>
      <w:rFonts w:ascii="宋体" w:hAnsi="宋体" w:cs="宋体"/>
      <w:kern w:val="0"/>
      <w:sz w:val="18"/>
      <w:szCs w:val="18"/>
    </w:rPr>
  </w:style>
  <w:style w:type="paragraph" w:customStyle="1" w:styleId="3360">
    <w:name w:val="xl25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宋体" w:hAnsi="宋体" w:cs="宋体"/>
      <w:kern w:val="0"/>
      <w:sz w:val="18"/>
      <w:szCs w:val="18"/>
    </w:rPr>
  </w:style>
  <w:style w:type="paragraph" w:customStyle="1" w:styleId="3361">
    <w:name w:val="xl26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62">
    <w:name w:val="xl27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63">
    <w:name w:val="xl2831255"/>
    <w:basedOn w:val="1"/>
    <w:qFormat/>
    <w:uiPriority w:val="0"/>
    <w:pPr>
      <w:widowControl/>
      <w:pBdr>
        <w:top w:val="single" w:color="auto" w:sz="4" w:space="1"/>
        <w:left w:val="single" w:color="auto" w:sz="4" w:space="1"/>
        <w:bottom w:val="single" w:color="auto" w:sz="4" w:space="0"/>
        <w:right w:val="single" w:color="auto" w:sz="4" w:space="1"/>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364">
    <w:name w:val="xl2931255"/>
    <w:basedOn w:val="1"/>
    <w:qFormat/>
    <w:uiPriority w:val="0"/>
    <w:pPr>
      <w:widowControl/>
      <w:pBdr>
        <w:top w:val="single" w:color="auto" w:sz="4" w:space="1"/>
        <w:left w:val="single" w:color="auto" w:sz="4" w:space="1"/>
        <w:bottom w:val="single" w:color="auto" w:sz="4" w:space="0"/>
        <w:right w:val="single" w:color="auto" w:sz="4" w:space="1"/>
      </w:pBdr>
      <w:shd w:val="clear" w:color="auto" w:fill="FFFF00"/>
      <w:spacing w:beforeAutospacing="1" w:after="100" w:afterAutospacing="1"/>
      <w:jc w:val="center"/>
      <w:textAlignment w:val="center"/>
    </w:pPr>
    <w:rPr>
      <w:rFonts w:ascii="Times New Roman" w:hAnsi="Times New Roman" w:cs="Times New Roman"/>
      <w:kern w:val="0"/>
      <w:sz w:val="18"/>
      <w:szCs w:val="18"/>
    </w:rPr>
  </w:style>
  <w:style w:type="paragraph" w:customStyle="1" w:styleId="3365">
    <w:name w:val="xl30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宋体" w:hAnsi="宋体" w:cs="宋体"/>
      <w:kern w:val="0"/>
      <w:sz w:val="18"/>
      <w:szCs w:val="18"/>
    </w:rPr>
  </w:style>
  <w:style w:type="paragraph" w:customStyle="1" w:styleId="3366">
    <w:name w:val="xl31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宋体" w:hAnsi="宋体" w:cs="宋体"/>
      <w:color w:val="000000"/>
      <w:kern w:val="0"/>
      <w:sz w:val="18"/>
      <w:szCs w:val="18"/>
    </w:rPr>
  </w:style>
  <w:style w:type="paragraph" w:customStyle="1" w:styleId="3367">
    <w:name w:val="xl32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宋体" w:hAnsi="宋体" w:cs="宋体"/>
      <w:kern w:val="0"/>
      <w:sz w:val="18"/>
      <w:szCs w:val="18"/>
    </w:rPr>
  </w:style>
  <w:style w:type="paragraph" w:customStyle="1" w:styleId="3368">
    <w:name w:val="xl3331255"/>
    <w:basedOn w:val="1"/>
    <w:qFormat/>
    <w:uiPriority w:val="0"/>
    <w:pPr>
      <w:widowControl/>
      <w:spacing w:beforeAutospacing="1" w:after="100" w:afterAutospacing="1"/>
      <w:jc w:val="center"/>
      <w:textAlignment w:val="center"/>
    </w:pPr>
    <w:rPr>
      <w:rFonts w:ascii="宋体" w:hAnsi="宋体" w:cs="宋体"/>
      <w:color w:val="FF0000"/>
      <w:kern w:val="0"/>
      <w:sz w:val="18"/>
      <w:szCs w:val="18"/>
    </w:rPr>
  </w:style>
  <w:style w:type="paragraph" w:customStyle="1" w:styleId="3369">
    <w:name w:val="xl3431255"/>
    <w:basedOn w:val="1"/>
    <w:qFormat/>
    <w:uiPriority w:val="0"/>
    <w:pPr>
      <w:widowControl/>
      <w:spacing w:beforeAutospacing="1" w:after="100" w:afterAutospacing="1"/>
      <w:jc w:val="center"/>
      <w:textAlignment w:val="center"/>
    </w:pPr>
    <w:rPr>
      <w:rFonts w:ascii="宋体" w:hAnsi="宋体" w:cs="宋体"/>
      <w:kern w:val="0"/>
      <w:sz w:val="18"/>
      <w:szCs w:val="18"/>
    </w:rPr>
  </w:style>
  <w:style w:type="paragraph" w:customStyle="1" w:styleId="3370">
    <w:name w:val="xl35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71">
    <w:name w:val="xl3631255"/>
    <w:basedOn w:val="1"/>
    <w:qFormat/>
    <w:uiPriority w:val="0"/>
    <w:pPr>
      <w:widowControl/>
      <w:pBdr>
        <w:top w:val="single" w:color="auto" w:sz="4" w:space="1"/>
        <w:left w:val="single" w:color="auto" w:sz="4" w:space="1"/>
        <w:right w:val="single" w:color="auto" w:sz="4" w:space="1"/>
      </w:pBdr>
      <w:spacing w:beforeAutospacing="1" w:after="100" w:afterAutospacing="1"/>
      <w:jc w:val="center"/>
      <w:textAlignment w:val="center"/>
    </w:pPr>
    <w:rPr>
      <w:rFonts w:ascii="宋体" w:hAnsi="宋体" w:cs="宋体"/>
      <w:kern w:val="0"/>
      <w:sz w:val="18"/>
      <w:szCs w:val="18"/>
    </w:rPr>
  </w:style>
  <w:style w:type="paragraph" w:customStyle="1" w:styleId="3372">
    <w:name w:val="xl3731255"/>
    <w:basedOn w:val="1"/>
    <w:qFormat/>
    <w:uiPriority w:val="0"/>
    <w:pPr>
      <w:widowControl/>
      <w:pBdr>
        <w:left w:val="single" w:color="auto" w:sz="4" w:space="1"/>
        <w:right w:val="single" w:color="auto" w:sz="4" w:space="1"/>
      </w:pBdr>
      <w:spacing w:beforeAutospacing="1" w:after="100" w:afterAutospacing="1"/>
      <w:jc w:val="center"/>
      <w:textAlignment w:val="center"/>
    </w:pPr>
    <w:rPr>
      <w:rFonts w:ascii="宋体" w:hAnsi="宋体" w:cs="宋体"/>
      <w:kern w:val="0"/>
      <w:sz w:val="18"/>
      <w:szCs w:val="18"/>
    </w:rPr>
  </w:style>
  <w:style w:type="paragraph" w:customStyle="1" w:styleId="3373">
    <w:name w:val="xl3831255"/>
    <w:basedOn w:val="1"/>
    <w:qFormat/>
    <w:uiPriority w:val="0"/>
    <w:pPr>
      <w:widowControl/>
      <w:pBdr>
        <w:left w:val="single" w:color="auto" w:sz="4" w:space="1"/>
        <w:bottom w:val="single" w:color="auto" w:sz="4" w:space="0"/>
        <w:right w:val="single" w:color="auto" w:sz="4" w:space="1"/>
      </w:pBdr>
      <w:spacing w:beforeAutospacing="1" w:after="100" w:afterAutospacing="1"/>
      <w:jc w:val="center"/>
      <w:textAlignment w:val="center"/>
    </w:pPr>
    <w:rPr>
      <w:rFonts w:ascii="宋体" w:hAnsi="宋体" w:cs="宋体"/>
      <w:kern w:val="0"/>
      <w:sz w:val="18"/>
      <w:szCs w:val="18"/>
    </w:rPr>
  </w:style>
  <w:style w:type="paragraph" w:customStyle="1" w:styleId="3374">
    <w:name w:val="xl3931255"/>
    <w:basedOn w:val="1"/>
    <w:qFormat/>
    <w:uiPriority w:val="0"/>
    <w:pPr>
      <w:widowControl/>
      <w:pBdr>
        <w:top w:val="single" w:color="auto" w:sz="4" w:space="1"/>
        <w:left w:val="single" w:color="auto" w:sz="4" w:space="1"/>
        <w:right w:val="single" w:color="auto" w:sz="4" w:space="1"/>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75">
    <w:name w:val="xl4031255"/>
    <w:basedOn w:val="1"/>
    <w:qFormat/>
    <w:uiPriority w:val="0"/>
    <w:pPr>
      <w:widowControl/>
      <w:pBdr>
        <w:left w:val="single" w:color="auto" w:sz="4" w:space="1"/>
        <w:right w:val="single" w:color="auto" w:sz="4" w:space="1"/>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76">
    <w:name w:val="xl4131255"/>
    <w:basedOn w:val="1"/>
    <w:qFormat/>
    <w:uiPriority w:val="0"/>
    <w:pPr>
      <w:widowControl/>
      <w:pBdr>
        <w:left w:val="single" w:color="auto" w:sz="4" w:space="1"/>
        <w:bottom w:val="single" w:color="auto" w:sz="4" w:space="0"/>
        <w:right w:val="single" w:color="auto" w:sz="4" w:space="1"/>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77">
    <w:name w:val="xl4231255"/>
    <w:basedOn w:val="1"/>
    <w:qFormat/>
    <w:uiPriority w:val="0"/>
    <w:pPr>
      <w:widowControl/>
      <w:pBdr>
        <w:top w:val="single" w:color="auto" w:sz="4" w:space="1"/>
        <w:left w:val="single" w:color="auto" w:sz="4" w:space="1"/>
        <w:right w:val="single" w:color="auto" w:sz="4" w:space="1"/>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378">
    <w:name w:val="xl4331255"/>
    <w:basedOn w:val="1"/>
    <w:qFormat/>
    <w:uiPriority w:val="0"/>
    <w:pPr>
      <w:widowControl/>
      <w:pBdr>
        <w:left w:val="single" w:color="auto" w:sz="4" w:space="1"/>
        <w:right w:val="single" w:color="auto" w:sz="4" w:space="1"/>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379">
    <w:name w:val="xl4431255"/>
    <w:basedOn w:val="1"/>
    <w:qFormat/>
    <w:uiPriority w:val="0"/>
    <w:pPr>
      <w:widowControl/>
      <w:pBdr>
        <w:left w:val="single" w:color="auto" w:sz="4" w:space="1"/>
        <w:bottom w:val="single" w:color="auto" w:sz="4" w:space="0"/>
        <w:right w:val="single" w:color="auto" w:sz="4" w:space="1"/>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380">
    <w:name w:val="xl4531255"/>
    <w:basedOn w:val="1"/>
    <w:qFormat/>
    <w:uiPriority w:val="0"/>
    <w:pPr>
      <w:widowControl/>
      <w:pBdr>
        <w:top w:val="single" w:color="auto" w:sz="4" w:space="1"/>
        <w:left w:val="single" w:color="auto" w:sz="4" w:space="1"/>
        <w:right w:val="single" w:color="auto" w:sz="4" w:space="1"/>
      </w:pBdr>
      <w:spacing w:beforeAutospacing="1" w:after="100" w:afterAutospacing="1"/>
      <w:jc w:val="center"/>
      <w:textAlignment w:val="center"/>
    </w:pPr>
    <w:rPr>
      <w:rFonts w:ascii="宋体" w:hAnsi="宋体" w:cs="宋体"/>
      <w:color w:val="FF0000"/>
      <w:kern w:val="0"/>
      <w:sz w:val="18"/>
      <w:szCs w:val="18"/>
    </w:rPr>
  </w:style>
  <w:style w:type="paragraph" w:customStyle="1" w:styleId="3381">
    <w:name w:val="xl4631255"/>
    <w:basedOn w:val="1"/>
    <w:qFormat/>
    <w:uiPriority w:val="0"/>
    <w:pPr>
      <w:widowControl/>
      <w:pBdr>
        <w:left w:val="single" w:color="auto" w:sz="4" w:space="1"/>
        <w:bottom w:val="single" w:color="auto" w:sz="4" w:space="0"/>
        <w:right w:val="single" w:color="auto" w:sz="4" w:space="1"/>
      </w:pBdr>
      <w:spacing w:beforeAutospacing="1" w:after="100" w:afterAutospacing="1"/>
      <w:jc w:val="center"/>
      <w:textAlignment w:val="center"/>
    </w:pPr>
    <w:rPr>
      <w:rFonts w:ascii="宋体" w:hAnsi="宋体" w:cs="宋体"/>
      <w:color w:val="FF0000"/>
      <w:kern w:val="0"/>
      <w:sz w:val="18"/>
      <w:szCs w:val="18"/>
    </w:rPr>
  </w:style>
  <w:style w:type="paragraph" w:customStyle="1" w:styleId="3382">
    <w:name w:val="xl4731255"/>
    <w:basedOn w:val="1"/>
    <w:qFormat/>
    <w:uiPriority w:val="0"/>
    <w:pPr>
      <w:widowControl/>
      <w:pBdr>
        <w:left w:val="single" w:color="auto" w:sz="4" w:space="1"/>
        <w:right w:val="single" w:color="auto" w:sz="4" w:space="1"/>
      </w:pBdr>
      <w:spacing w:beforeAutospacing="1" w:after="100" w:afterAutospacing="1"/>
      <w:jc w:val="center"/>
      <w:textAlignment w:val="center"/>
    </w:pPr>
    <w:rPr>
      <w:rFonts w:ascii="宋体" w:hAnsi="宋体" w:cs="宋体"/>
      <w:color w:val="FF0000"/>
      <w:kern w:val="0"/>
      <w:sz w:val="18"/>
      <w:szCs w:val="18"/>
    </w:rPr>
  </w:style>
  <w:style w:type="paragraph" w:customStyle="1" w:styleId="3383">
    <w:name w:val="xl4831255"/>
    <w:basedOn w:val="1"/>
    <w:qFormat/>
    <w:uiPriority w:val="0"/>
    <w:pPr>
      <w:widowControl/>
      <w:pBdr>
        <w:top w:val="single" w:color="auto" w:sz="4" w:space="1"/>
        <w:left w:val="single" w:color="auto" w:sz="4" w:space="1"/>
        <w:bottom w:val="single" w:color="auto" w:sz="4" w:space="0"/>
        <w:right w:val="single" w:color="auto" w:sz="4" w:space="1"/>
      </w:pBdr>
      <w:spacing w:beforeAutospacing="1" w:after="100" w:afterAutospacing="1"/>
      <w:jc w:val="center"/>
      <w:textAlignment w:val="center"/>
    </w:pPr>
    <w:rPr>
      <w:rFonts w:ascii="宋体" w:hAnsi="宋体" w:cs="宋体"/>
      <w:color w:val="000000"/>
      <w:kern w:val="0"/>
      <w:sz w:val="18"/>
      <w:szCs w:val="18"/>
    </w:rPr>
  </w:style>
  <w:style w:type="paragraph" w:customStyle="1" w:styleId="3384">
    <w:name w:val="xl4931255"/>
    <w:basedOn w:val="1"/>
    <w:qFormat/>
    <w:uiPriority w:val="0"/>
    <w:pPr>
      <w:widowControl/>
      <w:pBdr>
        <w:bottom w:val="single" w:color="auto" w:sz="4" w:space="0"/>
      </w:pBdr>
      <w:spacing w:beforeAutospacing="1" w:after="100" w:afterAutospacing="1"/>
      <w:jc w:val="center"/>
      <w:textAlignment w:val="center"/>
    </w:pPr>
    <w:rPr>
      <w:rFonts w:ascii="宋体" w:hAnsi="宋体" w:cs="宋体"/>
      <w:b/>
      <w:bCs/>
      <w:kern w:val="0"/>
      <w:sz w:val="18"/>
      <w:szCs w:val="18"/>
    </w:rPr>
  </w:style>
  <w:style w:type="paragraph" w:customStyle="1" w:styleId="3385">
    <w:name w:val="font129210"/>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386">
    <w:name w:val="font529210"/>
    <w:basedOn w:val="1"/>
    <w:qFormat/>
    <w:uiPriority w:val="0"/>
    <w:pPr>
      <w:widowControl/>
      <w:spacing w:beforeAutospacing="1" w:after="100" w:afterAutospacing="1"/>
      <w:jc w:val="left"/>
    </w:pPr>
    <w:rPr>
      <w:rFonts w:ascii="宋体" w:hAnsi="宋体" w:cs="宋体"/>
      <w:kern w:val="0"/>
      <w:sz w:val="18"/>
      <w:szCs w:val="18"/>
    </w:rPr>
  </w:style>
  <w:style w:type="paragraph" w:customStyle="1" w:styleId="3387">
    <w:name w:val="font629210"/>
    <w:basedOn w:val="1"/>
    <w:qFormat/>
    <w:uiPriority w:val="0"/>
    <w:pPr>
      <w:widowControl/>
      <w:spacing w:beforeAutospacing="1" w:after="100" w:afterAutospacing="1"/>
      <w:jc w:val="left"/>
    </w:pPr>
    <w:rPr>
      <w:rFonts w:ascii="Times New Roman" w:hAnsi="Times New Roman" w:cs="Times New Roman"/>
      <w:kern w:val="0"/>
      <w:sz w:val="18"/>
      <w:szCs w:val="18"/>
    </w:rPr>
  </w:style>
  <w:style w:type="paragraph" w:customStyle="1" w:styleId="3388">
    <w:name w:val="font729210"/>
    <w:basedOn w:val="1"/>
    <w:qFormat/>
    <w:uiPriority w:val="0"/>
    <w:pPr>
      <w:widowControl/>
      <w:spacing w:beforeAutospacing="1" w:after="100" w:afterAutospacing="1"/>
      <w:jc w:val="left"/>
    </w:pPr>
    <w:rPr>
      <w:rFonts w:ascii="宋体" w:hAnsi="宋体" w:cs="宋体"/>
      <w:color w:val="000000"/>
      <w:kern w:val="0"/>
      <w:sz w:val="18"/>
      <w:szCs w:val="18"/>
    </w:rPr>
  </w:style>
  <w:style w:type="paragraph" w:customStyle="1" w:styleId="3389">
    <w:name w:val="font829210"/>
    <w:basedOn w:val="1"/>
    <w:qFormat/>
    <w:uiPriority w:val="0"/>
    <w:pPr>
      <w:widowControl/>
      <w:spacing w:beforeAutospacing="1" w:after="100" w:afterAutospacing="1"/>
      <w:jc w:val="left"/>
    </w:pPr>
    <w:rPr>
      <w:rFonts w:ascii="Times New Roman" w:hAnsi="Times New Roman" w:cs="Times New Roman"/>
      <w:color w:val="000000"/>
      <w:kern w:val="0"/>
      <w:sz w:val="18"/>
      <w:szCs w:val="18"/>
    </w:rPr>
  </w:style>
  <w:style w:type="paragraph" w:customStyle="1" w:styleId="3390">
    <w:name w:val="font929210"/>
    <w:basedOn w:val="1"/>
    <w:qFormat/>
    <w:uiPriority w:val="0"/>
    <w:pPr>
      <w:widowControl/>
      <w:spacing w:beforeAutospacing="1" w:after="100" w:afterAutospacing="1"/>
      <w:jc w:val="left"/>
    </w:pPr>
    <w:rPr>
      <w:rFonts w:ascii="宋体" w:hAnsi="宋体" w:cs="宋体"/>
      <w:b/>
      <w:bCs/>
      <w:color w:val="000000"/>
      <w:kern w:val="0"/>
      <w:sz w:val="18"/>
      <w:szCs w:val="18"/>
    </w:rPr>
  </w:style>
  <w:style w:type="paragraph" w:customStyle="1" w:styleId="3391">
    <w:name w:val="font1029210"/>
    <w:basedOn w:val="1"/>
    <w:qFormat/>
    <w:uiPriority w:val="0"/>
    <w:pPr>
      <w:widowControl/>
      <w:spacing w:beforeAutospacing="1" w:after="100" w:afterAutospacing="1"/>
      <w:jc w:val="left"/>
    </w:pPr>
    <w:rPr>
      <w:rFonts w:ascii="宋体" w:hAnsi="宋体" w:cs="宋体"/>
      <w:b/>
      <w:bCs/>
      <w:color w:val="FF0000"/>
      <w:kern w:val="0"/>
      <w:sz w:val="28"/>
      <w:szCs w:val="28"/>
    </w:rPr>
  </w:style>
  <w:style w:type="paragraph" w:customStyle="1" w:styleId="3392">
    <w:name w:val="xl2429210"/>
    <w:basedOn w:val="1"/>
    <w:qFormat/>
    <w:uiPriority w:val="0"/>
    <w:pPr>
      <w:widowControl/>
      <w:spacing w:beforeAutospacing="1" w:after="100" w:afterAutospacing="1"/>
      <w:jc w:val="center"/>
      <w:textAlignment w:val="center"/>
    </w:pPr>
    <w:rPr>
      <w:rFonts w:ascii="宋体" w:hAnsi="宋体" w:cs="宋体"/>
      <w:kern w:val="0"/>
      <w:sz w:val="18"/>
      <w:szCs w:val="18"/>
    </w:rPr>
  </w:style>
  <w:style w:type="paragraph" w:customStyle="1" w:styleId="3393">
    <w:name w:val="xl25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394">
    <w:name w:val="xl26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95">
    <w:name w:val="xl27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396">
    <w:name w:val="xl28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397">
    <w:name w:val="xl29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Autospacing="1" w:after="100" w:afterAutospacing="1"/>
      <w:jc w:val="center"/>
      <w:textAlignment w:val="center"/>
    </w:pPr>
    <w:rPr>
      <w:rFonts w:ascii="Times New Roman" w:hAnsi="Times New Roman" w:cs="Times New Roman"/>
      <w:kern w:val="0"/>
      <w:sz w:val="18"/>
      <w:szCs w:val="18"/>
    </w:rPr>
  </w:style>
  <w:style w:type="paragraph" w:customStyle="1" w:styleId="3398">
    <w:name w:val="xl30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399">
    <w:name w:val="xl31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color w:val="000000"/>
      <w:kern w:val="0"/>
      <w:sz w:val="18"/>
      <w:szCs w:val="18"/>
    </w:rPr>
  </w:style>
  <w:style w:type="paragraph" w:customStyle="1" w:styleId="3400">
    <w:name w:val="xl32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401">
    <w:name w:val="xl3329210"/>
    <w:basedOn w:val="1"/>
    <w:qFormat/>
    <w:uiPriority w:val="0"/>
    <w:pPr>
      <w:widowControl/>
      <w:spacing w:beforeAutospacing="1" w:after="100" w:afterAutospacing="1"/>
      <w:jc w:val="center"/>
      <w:textAlignment w:val="center"/>
    </w:pPr>
    <w:rPr>
      <w:rFonts w:ascii="宋体" w:hAnsi="宋体" w:cs="宋体"/>
      <w:kern w:val="0"/>
      <w:sz w:val="18"/>
      <w:szCs w:val="18"/>
    </w:rPr>
  </w:style>
  <w:style w:type="paragraph" w:customStyle="1" w:styleId="3402">
    <w:name w:val="xl34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403">
    <w:name w:val="xl3529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Autospacing="1" w:after="100" w:afterAutospacing="1"/>
      <w:jc w:val="center"/>
      <w:textAlignment w:val="center"/>
    </w:pPr>
    <w:rPr>
      <w:rFonts w:ascii="Times New Roman" w:hAnsi="Times New Roman" w:cs="Times New Roman"/>
      <w:kern w:val="0"/>
      <w:sz w:val="18"/>
      <w:szCs w:val="18"/>
    </w:rPr>
  </w:style>
  <w:style w:type="paragraph" w:customStyle="1" w:styleId="3404">
    <w:name w:val="xl36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color w:val="FF0000"/>
      <w:kern w:val="0"/>
      <w:sz w:val="18"/>
      <w:szCs w:val="18"/>
    </w:rPr>
  </w:style>
  <w:style w:type="paragraph" w:customStyle="1" w:styleId="3405">
    <w:name w:val="xl37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406">
    <w:name w:val="xl38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color w:val="0000FF"/>
      <w:kern w:val="0"/>
      <w:sz w:val="18"/>
      <w:szCs w:val="18"/>
    </w:rPr>
  </w:style>
  <w:style w:type="paragraph" w:customStyle="1" w:styleId="3407">
    <w:name w:val="xl39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408">
    <w:name w:val="xl4029210"/>
    <w:basedOn w:val="1"/>
    <w:qFormat/>
    <w:uiPriority w:val="0"/>
    <w:pPr>
      <w:widowControl/>
      <w:pBdr>
        <w:top w:val="single" w:color="auto" w:sz="4" w:space="0"/>
        <w:left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409">
    <w:name w:val="xl4129210"/>
    <w:basedOn w:val="1"/>
    <w:qFormat/>
    <w:uiPriority w:val="0"/>
    <w:pPr>
      <w:widowControl/>
      <w:pBdr>
        <w:top w:val="single" w:color="auto" w:sz="4" w:space="0"/>
        <w:left w:val="single" w:color="auto" w:sz="4" w:space="0"/>
        <w:bottom w:val="single" w:color="auto" w:sz="4" w:space="0"/>
      </w:pBdr>
      <w:spacing w:beforeAutospacing="1" w:after="100" w:afterAutospacing="1"/>
      <w:jc w:val="center"/>
      <w:textAlignment w:val="center"/>
    </w:pPr>
    <w:rPr>
      <w:rFonts w:ascii="宋体" w:hAnsi="宋体" w:cs="宋体"/>
      <w:color w:val="000000"/>
      <w:kern w:val="0"/>
      <w:sz w:val="18"/>
      <w:szCs w:val="18"/>
    </w:rPr>
  </w:style>
  <w:style w:type="paragraph" w:customStyle="1" w:styleId="3410">
    <w:name w:val="xl4229210"/>
    <w:basedOn w:val="1"/>
    <w:qFormat/>
    <w:uiPriority w:val="0"/>
    <w:pPr>
      <w:widowControl/>
      <w:pBdr>
        <w:top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color w:val="000000"/>
      <w:kern w:val="0"/>
      <w:sz w:val="18"/>
      <w:szCs w:val="18"/>
    </w:rPr>
  </w:style>
  <w:style w:type="paragraph" w:customStyle="1" w:styleId="3411">
    <w:name w:val="xl4329210"/>
    <w:basedOn w:val="1"/>
    <w:qFormat/>
    <w:uiPriority w:val="0"/>
    <w:pPr>
      <w:widowControl/>
      <w:pBdr>
        <w:top w:val="single" w:color="auto" w:sz="4" w:space="0"/>
        <w:left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412">
    <w:name w:val="xl4429210"/>
    <w:basedOn w:val="1"/>
    <w:qFormat/>
    <w:uiPriority w:val="0"/>
    <w:pPr>
      <w:widowControl/>
      <w:pBdr>
        <w:left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413">
    <w:name w:val="xl4529210"/>
    <w:basedOn w:val="1"/>
    <w:qFormat/>
    <w:uiPriority w:val="0"/>
    <w:pPr>
      <w:widowControl/>
      <w:pBdr>
        <w:left w:val="single" w:color="auto" w:sz="4" w:space="0"/>
        <w:bottom w:val="single" w:color="auto" w:sz="4" w:space="0"/>
        <w:right w:val="single" w:color="auto" w:sz="4" w:space="0"/>
      </w:pBdr>
      <w:spacing w:beforeAutospacing="1" w:after="100" w:afterAutospacing="1"/>
      <w:jc w:val="center"/>
      <w:textAlignment w:val="center"/>
    </w:pPr>
    <w:rPr>
      <w:rFonts w:ascii="Times New Roman" w:hAnsi="Times New Roman" w:cs="Times New Roman"/>
      <w:kern w:val="0"/>
      <w:sz w:val="18"/>
      <w:szCs w:val="18"/>
    </w:rPr>
  </w:style>
  <w:style w:type="paragraph" w:customStyle="1" w:styleId="3414">
    <w:name w:val="xl4629210"/>
    <w:basedOn w:val="1"/>
    <w:qFormat/>
    <w:uiPriority w:val="0"/>
    <w:pPr>
      <w:widowControl/>
      <w:pBdr>
        <w:left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415">
    <w:name w:val="xl4729210"/>
    <w:basedOn w:val="1"/>
    <w:qFormat/>
    <w:uiPriority w:val="0"/>
    <w:pPr>
      <w:widowControl/>
      <w:pBdr>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416">
    <w:name w:val="xl4829210"/>
    <w:basedOn w:val="1"/>
    <w:qFormat/>
    <w:uiPriority w:val="0"/>
    <w:pPr>
      <w:widowControl/>
      <w:pBdr>
        <w:top w:val="single" w:color="auto" w:sz="4" w:space="0"/>
        <w:left w:val="single" w:color="auto" w:sz="4" w:space="0"/>
        <w:right w:val="single" w:color="auto" w:sz="4" w:space="0"/>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417">
    <w:name w:val="xl4929210"/>
    <w:basedOn w:val="1"/>
    <w:qFormat/>
    <w:uiPriority w:val="0"/>
    <w:pPr>
      <w:widowControl/>
      <w:pBdr>
        <w:left w:val="single" w:color="auto" w:sz="4" w:space="0"/>
        <w:right w:val="single" w:color="auto" w:sz="4" w:space="0"/>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418">
    <w:name w:val="xl5029210"/>
    <w:basedOn w:val="1"/>
    <w:qFormat/>
    <w:uiPriority w:val="0"/>
    <w:pPr>
      <w:widowControl/>
      <w:pBdr>
        <w:left w:val="single" w:color="auto" w:sz="4" w:space="0"/>
        <w:bottom w:val="single" w:color="auto" w:sz="4" w:space="0"/>
        <w:right w:val="single" w:color="auto" w:sz="4" w:space="0"/>
      </w:pBdr>
      <w:shd w:val="clear" w:color="auto" w:fill="FFFF00"/>
      <w:spacing w:beforeAutospacing="1" w:after="100" w:afterAutospacing="1"/>
      <w:jc w:val="center"/>
      <w:textAlignment w:val="center"/>
    </w:pPr>
    <w:rPr>
      <w:rFonts w:ascii="宋体" w:hAnsi="宋体" w:cs="宋体"/>
      <w:kern w:val="0"/>
      <w:sz w:val="18"/>
      <w:szCs w:val="18"/>
    </w:rPr>
  </w:style>
  <w:style w:type="paragraph" w:customStyle="1" w:styleId="3419">
    <w:name w:val="xl5129210"/>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color w:val="000000"/>
      <w:kern w:val="0"/>
      <w:sz w:val="18"/>
      <w:szCs w:val="18"/>
    </w:rPr>
  </w:style>
  <w:style w:type="paragraph" w:customStyle="1" w:styleId="3420">
    <w:name w:val="xl5229210"/>
    <w:basedOn w:val="1"/>
    <w:qFormat/>
    <w:uiPriority w:val="0"/>
    <w:pPr>
      <w:widowControl/>
      <w:pBdr>
        <w:top w:val="single" w:color="auto" w:sz="4" w:space="0"/>
        <w:left w:val="single" w:color="auto" w:sz="4" w:space="0"/>
        <w:bottom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421">
    <w:name w:val="xl5329210"/>
    <w:basedOn w:val="1"/>
    <w:qFormat/>
    <w:uiPriority w:val="0"/>
    <w:pPr>
      <w:widowControl/>
      <w:pBdr>
        <w:top w:val="single" w:color="auto" w:sz="4" w:space="0"/>
        <w:bottom w:val="single" w:color="auto" w:sz="4" w:space="0"/>
        <w:right w:val="single" w:color="auto" w:sz="4" w:space="0"/>
      </w:pBdr>
      <w:spacing w:beforeAutospacing="1" w:after="100" w:afterAutospacing="1"/>
      <w:jc w:val="center"/>
      <w:textAlignment w:val="center"/>
    </w:pPr>
    <w:rPr>
      <w:rFonts w:ascii="宋体" w:hAnsi="宋体" w:cs="宋体"/>
      <w:kern w:val="0"/>
      <w:sz w:val="18"/>
      <w:szCs w:val="18"/>
    </w:rPr>
  </w:style>
  <w:style w:type="paragraph" w:customStyle="1" w:styleId="3422">
    <w:name w:val="样式 样式 左侧:  1.69 厘米 + 左侧:  1.69 厘米"/>
    <w:basedOn w:val="1"/>
    <w:qFormat/>
    <w:uiPriority w:val="0"/>
    <w:pPr>
      <w:spacing w:line="300" w:lineRule="auto"/>
      <w:ind w:left="720" w:firstLine="480" w:firstLineChars="200"/>
      <w:jc w:val="left"/>
    </w:pPr>
    <w:rPr>
      <w:rFonts w:ascii="Times New Roman" w:hAnsi="Times New Roman" w:cs="宋体"/>
      <w:sz w:val="24"/>
      <w:szCs w:val="20"/>
    </w:rPr>
  </w:style>
  <w:style w:type="paragraph" w:customStyle="1" w:styleId="3423">
    <w:name w:val="标题2 节"/>
    <w:basedOn w:val="1"/>
    <w:qFormat/>
    <w:uiPriority w:val="0"/>
    <w:pPr>
      <w:keepNext/>
      <w:keepLines/>
      <w:spacing w:after="260" w:line="360" w:lineRule="auto"/>
      <w:jc w:val="center"/>
      <w:outlineLvl w:val="1"/>
    </w:pPr>
    <w:rPr>
      <w:rFonts w:ascii="Arial" w:hAnsi="Arial" w:eastAsia="黑体" w:cs="Times New Roman"/>
      <w:sz w:val="28"/>
      <w:szCs w:val="20"/>
    </w:rPr>
  </w:style>
  <w:style w:type="character" w:customStyle="1" w:styleId="3424">
    <w:name w:val="11p"/>
    <w:qFormat/>
    <w:uiPriority w:val="0"/>
  </w:style>
  <w:style w:type="paragraph" w:customStyle="1" w:styleId="3425">
    <w:name w:val="Char Char Char Char Char Char Char Char Char Char Char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3426">
    <w:name w:val="王表格，五宋"/>
    <w:basedOn w:val="1"/>
    <w:semiHidden/>
    <w:qFormat/>
    <w:uiPriority w:val="0"/>
    <w:pPr>
      <w:jc w:val="left"/>
    </w:pPr>
    <w:rPr>
      <w:rFonts w:ascii="Times New Roman" w:hAnsi="Times New Roman" w:cs="Times New Roman"/>
      <w:snapToGrid w:val="0"/>
      <w:kern w:val="0"/>
      <w:sz w:val="18"/>
      <w:szCs w:val="20"/>
    </w:rPr>
  </w:style>
  <w:style w:type="paragraph" w:customStyle="1" w:styleId="3427">
    <w:name w:val="王 表头"/>
    <w:basedOn w:val="1"/>
    <w:qFormat/>
    <w:uiPriority w:val="0"/>
    <w:pPr>
      <w:jc w:val="center"/>
    </w:pPr>
    <w:rPr>
      <w:rFonts w:ascii="Times New Roman" w:hAnsi="Times New Roman" w:eastAsia="黑体" w:cs="Times New Roman"/>
      <w:sz w:val="28"/>
      <w:szCs w:val="28"/>
    </w:rPr>
  </w:style>
  <w:style w:type="paragraph" w:customStyle="1" w:styleId="3428">
    <w:name w:val="山西 王 表名13黑"/>
    <w:basedOn w:val="1"/>
    <w:qFormat/>
    <w:uiPriority w:val="0"/>
    <w:pPr>
      <w:jc w:val="center"/>
    </w:pPr>
    <w:rPr>
      <w:rFonts w:ascii="Times New Roman" w:hAnsi="Times New Roman" w:eastAsia="黑体" w:cs="Times New Roman"/>
      <w:sz w:val="24"/>
      <w:szCs w:val="26"/>
    </w:rPr>
  </w:style>
  <w:style w:type="character" w:customStyle="1" w:styleId="3429">
    <w:name w:val="wz141"/>
    <w:qFormat/>
    <w:uiPriority w:val="0"/>
    <w:rPr>
      <w:rFonts w:hint="default" w:ascii="Arial" w:hAnsi="Arial" w:cs="Arial"/>
      <w:color w:val="245182"/>
      <w:sz w:val="21"/>
      <w:szCs w:val="21"/>
    </w:rPr>
  </w:style>
  <w:style w:type="paragraph" w:customStyle="1" w:styleId="3430">
    <w:name w:val="样式 标题 2 + 左侧:  0.37 厘米 右侧:  0.37 厘米"/>
    <w:basedOn w:val="4"/>
    <w:qFormat/>
    <w:uiPriority w:val="0"/>
    <w:pPr>
      <w:spacing w:before="240" w:after="240" w:line="415" w:lineRule="auto"/>
      <w:ind w:left="1050" w:leftChars="100" w:right="210" w:rightChars="100"/>
      <w:jc w:val="both"/>
    </w:pPr>
    <w:rPr>
      <w:rFonts w:ascii="Arial" w:hAnsi="Arial" w:cs="宋体" w:eastAsiaTheme="minorEastAsia"/>
      <w:color w:val="000000" w:themeColor="text1"/>
      <w:szCs w:val="20"/>
      <w14:textFill>
        <w14:solidFill>
          <w14:schemeClr w14:val="tx1"/>
        </w14:solidFill>
      </w14:textFill>
    </w:rPr>
  </w:style>
  <w:style w:type="paragraph" w:customStyle="1" w:styleId="3431">
    <w:name w:val="height22px"/>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432">
    <w:name w:val="样式 乐山-正文 + 小四 加粗1"/>
    <w:basedOn w:val="1"/>
    <w:qFormat/>
    <w:uiPriority w:val="0"/>
    <w:pPr>
      <w:tabs>
        <w:tab w:val="left" w:pos="1125"/>
      </w:tabs>
      <w:spacing w:line="440" w:lineRule="exact"/>
      <w:ind w:left="1125" w:hanging="1125"/>
      <w:jc w:val="left"/>
    </w:pPr>
    <w:rPr>
      <w:rFonts w:ascii="Arial" w:hAnsi="Arial" w:eastAsia="华文细黑" w:cs="宋体"/>
      <w:b/>
      <w:bCs/>
      <w:sz w:val="24"/>
      <w:szCs w:val="20"/>
    </w:rPr>
  </w:style>
  <w:style w:type="paragraph" w:customStyle="1" w:styleId="3433">
    <w:name w:val="一级"/>
    <w:basedOn w:val="45"/>
    <w:qFormat/>
    <w:uiPriority w:val="0"/>
    <w:pPr>
      <w:spacing w:beforeLines="10" w:after="60"/>
      <w:outlineLvl w:val="0"/>
    </w:pPr>
    <w:rPr>
      <w:rFonts w:ascii="黑体" w:hAnsi="Arial" w:eastAsia="黑体"/>
      <w:snapToGrid w:val="0"/>
      <w:kern w:val="0"/>
      <w:sz w:val="24"/>
      <w:szCs w:val="20"/>
    </w:rPr>
  </w:style>
  <w:style w:type="character" w:customStyle="1" w:styleId="3434">
    <w:name w:val="123YJ Char Char4"/>
    <w:semiHidden/>
    <w:qFormat/>
    <w:uiPriority w:val="0"/>
    <w:rPr>
      <w:rFonts w:eastAsia="汉仪仿宋简"/>
      <w:lang w:val="en-US" w:eastAsia="zh-CN" w:bidi="ar-SA"/>
    </w:rPr>
  </w:style>
  <w:style w:type="character" w:customStyle="1" w:styleId="3435">
    <w:name w:val="正文文字缩进 2 Char Char2"/>
    <w:qFormat/>
    <w:uiPriority w:val="0"/>
    <w:rPr>
      <w:rFonts w:eastAsia="宋体"/>
      <w:kern w:val="2"/>
      <w:sz w:val="24"/>
      <w:szCs w:val="24"/>
      <w:lang w:val="en-US" w:eastAsia="zh-CN" w:bidi="ar-SA"/>
    </w:rPr>
  </w:style>
  <w:style w:type="paragraph" w:customStyle="1" w:styleId="3436">
    <w:name w:val="Char Char4 Char Char Char Char1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paragraph" w:customStyle="1" w:styleId="3437">
    <w:name w:val="电镀表"/>
    <w:basedOn w:val="1"/>
    <w:qFormat/>
    <w:uiPriority w:val="0"/>
    <w:pPr>
      <w:autoSpaceDE w:val="0"/>
      <w:autoSpaceDN w:val="0"/>
      <w:adjustRightInd w:val="0"/>
      <w:spacing w:line="0" w:lineRule="atLeast"/>
      <w:jc w:val="center"/>
      <w:textAlignment w:val="center"/>
    </w:pPr>
    <w:rPr>
      <w:rFonts w:ascii="宋体" w:hAnsi="宋体" w:cs="Arial Unicode MS"/>
      <w:color w:val="000000"/>
      <w:kern w:val="0"/>
    </w:rPr>
  </w:style>
  <w:style w:type="character" w:customStyle="1" w:styleId="3438">
    <w:name w:val="Char Char141"/>
    <w:qFormat/>
    <w:locked/>
    <w:uiPriority w:val="0"/>
    <w:rPr>
      <w:rFonts w:eastAsia="宋体"/>
      <w:b/>
      <w:kern w:val="2"/>
      <w:sz w:val="24"/>
      <w:lang w:val="en-US" w:eastAsia="zh-CN" w:bidi="ar-SA"/>
    </w:rPr>
  </w:style>
  <w:style w:type="character" w:customStyle="1" w:styleId="3439">
    <w:name w:val="Char Char131"/>
    <w:qFormat/>
    <w:locked/>
    <w:uiPriority w:val="0"/>
    <w:rPr>
      <w:rFonts w:ascii="Arial" w:hAnsi="Arial" w:eastAsia="黑体"/>
      <w:kern w:val="2"/>
      <w:sz w:val="24"/>
      <w:lang w:val="en-US" w:eastAsia="zh-CN" w:bidi="ar-SA"/>
    </w:rPr>
  </w:style>
  <w:style w:type="character" w:customStyle="1" w:styleId="3440">
    <w:name w:val="Char Char75"/>
    <w:semiHidden/>
    <w:qFormat/>
    <w:locked/>
    <w:uiPriority w:val="0"/>
    <w:rPr>
      <w:rFonts w:ascii="宋体" w:hAnsi="宋体" w:eastAsia="宋体"/>
      <w:kern w:val="2"/>
      <w:sz w:val="28"/>
      <w:szCs w:val="24"/>
      <w:lang w:val="en-US" w:eastAsia="zh-CN" w:bidi="ar-SA"/>
    </w:rPr>
  </w:style>
  <w:style w:type="character" w:customStyle="1" w:styleId="3441">
    <w:name w:val="Char Char9"/>
    <w:qFormat/>
    <w:locked/>
    <w:uiPriority w:val="0"/>
    <w:rPr>
      <w:rFonts w:ascii="Arial" w:hAnsi="Arial" w:eastAsia="宋体" w:cs="Arial"/>
      <w:b/>
      <w:bCs/>
      <w:kern w:val="2"/>
      <w:sz w:val="32"/>
      <w:szCs w:val="32"/>
      <w:lang w:val="en-US" w:eastAsia="zh-CN" w:bidi="ar-SA"/>
    </w:rPr>
  </w:style>
  <w:style w:type="character" w:customStyle="1" w:styleId="3442">
    <w:name w:val="Char Char101"/>
    <w:qFormat/>
    <w:uiPriority w:val="0"/>
    <w:rPr>
      <w:rFonts w:ascii="宋体" w:hAnsi="宋体" w:eastAsia="宋体"/>
      <w:kern w:val="2"/>
      <w:sz w:val="24"/>
      <w:lang w:val="en-US" w:eastAsia="zh-CN" w:bidi="ar-SA"/>
    </w:rPr>
  </w:style>
  <w:style w:type="character" w:customStyle="1" w:styleId="3443">
    <w:name w:val="Char Char410"/>
    <w:qFormat/>
    <w:locked/>
    <w:uiPriority w:val="0"/>
    <w:rPr>
      <w:rFonts w:ascii="宋体" w:hAnsi="宋体" w:eastAsia="宋体"/>
      <w:kern w:val="2"/>
      <w:sz w:val="24"/>
      <w:szCs w:val="24"/>
      <w:lang w:val="en-US" w:eastAsia="zh-CN" w:bidi="ar-SA"/>
    </w:rPr>
  </w:style>
  <w:style w:type="character" w:customStyle="1" w:styleId="3444">
    <w:name w:val="Char Char84"/>
    <w:qFormat/>
    <w:locked/>
    <w:uiPriority w:val="0"/>
    <w:rPr>
      <w:rFonts w:ascii="宋体" w:hAnsi="宋体" w:eastAsia="宋体"/>
      <w:kern w:val="2"/>
      <w:sz w:val="18"/>
      <w:szCs w:val="18"/>
      <w:lang w:val="en-US" w:eastAsia="zh-CN" w:bidi="ar-SA"/>
    </w:rPr>
  </w:style>
  <w:style w:type="paragraph" w:customStyle="1" w:styleId="3445">
    <w:name w:val="Char Char8 Char Char Char1"/>
    <w:basedOn w:val="1"/>
    <w:qFormat/>
    <w:uiPriority w:val="0"/>
    <w:pPr>
      <w:spacing w:line="360" w:lineRule="auto"/>
      <w:ind w:firstLine="200" w:firstLineChars="200"/>
      <w:jc w:val="left"/>
    </w:pPr>
    <w:rPr>
      <w:rFonts w:ascii="Times New Roman" w:hAnsi="Times New Roman" w:cs="Times New Roman"/>
      <w:sz w:val="24"/>
      <w:szCs w:val="20"/>
    </w:rPr>
  </w:style>
  <w:style w:type="paragraph" w:customStyle="1" w:styleId="3446">
    <w:name w:val="Char Char610"/>
    <w:basedOn w:val="1"/>
    <w:qFormat/>
    <w:uiPriority w:val="0"/>
    <w:pPr>
      <w:spacing w:line="360" w:lineRule="auto"/>
      <w:ind w:firstLine="200" w:firstLineChars="200"/>
      <w:jc w:val="left"/>
    </w:pPr>
    <w:rPr>
      <w:rFonts w:ascii="宋体" w:hAnsi="宋体" w:cs="宋体"/>
      <w:sz w:val="24"/>
      <w:szCs w:val="24"/>
    </w:rPr>
  </w:style>
  <w:style w:type="paragraph" w:customStyle="1" w:styleId="3447">
    <w:name w:val="Char31"/>
    <w:basedOn w:val="1"/>
    <w:qFormat/>
    <w:uiPriority w:val="0"/>
    <w:pPr>
      <w:spacing w:line="360" w:lineRule="auto"/>
      <w:ind w:firstLine="200" w:firstLineChars="200"/>
      <w:jc w:val="left"/>
    </w:pPr>
    <w:rPr>
      <w:rFonts w:ascii="宋体" w:hAnsi="宋体" w:cs="宋体"/>
      <w:sz w:val="24"/>
      <w:szCs w:val="24"/>
    </w:rPr>
  </w:style>
  <w:style w:type="paragraph" w:customStyle="1" w:styleId="3448">
    <w:name w:val="Char Char Char2 Char Char1"/>
    <w:basedOn w:val="1"/>
    <w:qFormat/>
    <w:uiPriority w:val="0"/>
    <w:pPr>
      <w:spacing w:line="360" w:lineRule="auto"/>
      <w:ind w:firstLine="200" w:firstLineChars="200"/>
      <w:jc w:val="left"/>
    </w:pPr>
    <w:rPr>
      <w:rFonts w:ascii="宋体" w:hAnsi="宋体" w:cs="宋体"/>
      <w:sz w:val="24"/>
      <w:szCs w:val="24"/>
    </w:rPr>
  </w:style>
  <w:style w:type="paragraph" w:customStyle="1" w:styleId="3449">
    <w:name w:val="Char61"/>
    <w:basedOn w:val="1"/>
    <w:qFormat/>
    <w:uiPriority w:val="0"/>
    <w:pPr>
      <w:spacing w:line="360" w:lineRule="auto"/>
      <w:ind w:firstLine="200" w:firstLineChars="200"/>
      <w:jc w:val="left"/>
    </w:pPr>
    <w:rPr>
      <w:rFonts w:ascii="宋体" w:hAnsi="宋体" w:cs="宋体"/>
      <w:sz w:val="24"/>
      <w:szCs w:val="24"/>
    </w:rPr>
  </w:style>
  <w:style w:type="paragraph" w:customStyle="1" w:styleId="3450">
    <w:name w:val="Char Char Char Char Char Char Char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3451">
    <w:name w:val="Char Char4 Char1"/>
    <w:basedOn w:val="1"/>
    <w:qFormat/>
    <w:uiPriority w:val="0"/>
    <w:pPr>
      <w:spacing w:line="360" w:lineRule="auto"/>
      <w:ind w:firstLine="200" w:firstLineChars="200"/>
      <w:jc w:val="left"/>
    </w:pPr>
    <w:rPr>
      <w:rFonts w:ascii="宋体" w:hAnsi="宋体" w:cs="宋体"/>
      <w:sz w:val="24"/>
      <w:szCs w:val="24"/>
    </w:rPr>
  </w:style>
  <w:style w:type="paragraph" w:customStyle="1" w:styleId="3452">
    <w:name w:val="Char Char Char1 Char Char Char Char1"/>
    <w:basedOn w:val="26"/>
    <w:qFormat/>
    <w:uiPriority w:val="0"/>
    <w:pPr>
      <w:shd w:val="clear" w:color="auto" w:fill="000080"/>
      <w:spacing w:beforeLines="10" w:line="436" w:lineRule="exact"/>
      <w:ind w:left="357" w:firstLine="0" w:firstLineChars="0"/>
      <w:outlineLvl w:val="3"/>
    </w:pPr>
    <w:rPr>
      <w:rFonts w:hint="eastAsia" w:ascii="Tahoma" w:hAnsi="Tahoma" w:eastAsiaTheme="minorEastAsia"/>
      <w:b/>
      <w:snapToGrid w:val="0"/>
      <w:kern w:val="0"/>
      <w:sz w:val="21"/>
      <w:szCs w:val="28"/>
    </w:rPr>
  </w:style>
  <w:style w:type="paragraph" w:customStyle="1" w:styleId="3453">
    <w:name w:val="Char Char Char Char Zchn Zchn Char Char1"/>
    <w:basedOn w:val="26"/>
    <w:qFormat/>
    <w:uiPriority w:val="0"/>
    <w:pPr>
      <w:shd w:val="clear" w:color="auto" w:fill="000080"/>
      <w:spacing w:beforeLines="10" w:line="436" w:lineRule="exact"/>
      <w:ind w:left="357" w:firstLine="0" w:firstLineChars="0"/>
      <w:outlineLvl w:val="3"/>
    </w:pPr>
    <w:rPr>
      <w:rFonts w:hint="eastAsia" w:ascii="Tahoma" w:hAnsi="Tahoma" w:eastAsiaTheme="minorEastAsia"/>
      <w:b/>
      <w:snapToGrid w:val="0"/>
      <w:kern w:val="0"/>
      <w:sz w:val="21"/>
      <w:szCs w:val="24"/>
    </w:rPr>
  </w:style>
  <w:style w:type="character" w:customStyle="1" w:styleId="3454">
    <w:name w:val="Char71"/>
    <w:qFormat/>
    <w:uiPriority w:val="0"/>
    <w:rPr>
      <w:rFonts w:hint="eastAsia" w:ascii="宋体" w:hAnsi="宋体" w:eastAsia="宋体"/>
      <w:b/>
      <w:bCs/>
      <w:kern w:val="44"/>
      <w:sz w:val="44"/>
      <w:szCs w:val="44"/>
      <w:lang w:val="en-US" w:eastAsia="zh-CN" w:bidi="ar-SA"/>
    </w:rPr>
  </w:style>
  <w:style w:type="character" w:customStyle="1" w:styleId="3455">
    <w:name w:val="Char Char611"/>
    <w:qFormat/>
    <w:uiPriority w:val="0"/>
    <w:rPr>
      <w:rFonts w:hint="eastAsia" w:ascii="宋体" w:hAnsi="宋体" w:eastAsia="宋体"/>
      <w:kern w:val="2"/>
      <w:sz w:val="18"/>
      <w:szCs w:val="18"/>
      <w:lang w:val="en-US" w:eastAsia="zh-CN" w:bidi="ar-SA"/>
    </w:rPr>
  </w:style>
  <w:style w:type="character" w:customStyle="1" w:styleId="3456">
    <w:name w:val="Char Char121"/>
    <w:qFormat/>
    <w:uiPriority w:val="0"/>
    <w:rPr>
      <w:rFonts w:hint="eastAsia" w:ascii="宋体" w:hAnsi="宋体" w:eastAsia="宋体" w:cs="宋体"/>
      <w:kern w:val="0"/>
      <w:sz w:val="24"/>
      <w:szCs w:val="24"/>
    </w:rPr>
  </w:style>
  <w:style w:type="character" w:customStyle="1" w:styleId="3457">
    <w:name w:val="Char Char201"/>
    <w:qFormat/>
    <w:uiPriority w:val="0"/>
    <w:rPr>
      <w:rFonts w:hint="eastAsia" w:ascii="黑体" w:eastAsia="黑体"/>
      <w:kern w:val="44"/>
      <w:sz w:val="30"/>
      <w:lang w:val="en-US" w:eastAsia="zh-CN" w:bidi="ar-SA"/>
    </w:rPr>
  </w:style>
  <w:style w:type="character" w:customStyle="1" w:styleId="3458">
    <w:name w:val="Char Char191"/>
    <w:qFormat/>
    <w:uiPriority w:val="0"/>
    <w:rPr>
      <w:rFonts w:hint="default" w:ascii="Arial" w:hAnsi="Arial" w:eastAsia="黑体" w:cs="Arial"/>
      <w:sz w:val="28"/>
      <w:lang w:val="en-US" w:eastAsia="zh-CN" w:bidi="ar-SA"/>
    </w:rPr>
  </w:style>
  <w:style w:type="character" w:customStyle="1" w:styleId="3459">
    <w:name w:val="Char Char151"/>
    <w:qFormat/>
    <w:uiPriority w:val="0"/>
    <w:rPr>
      <w:rFonts w:hint="default" w:ascii="Arial" w:hAnsi="Arial" w:eastAsia="黑体" w:cs="Arial"/>
      <w:b/>
      <w:sz w:val="24"/>
      <w:lang w:val="en-US" w:eastAsia="zh-CN" w:bidi="ar-SA"/>
    </w:rPr>
  </w:style>
  <w:style w:type="character" w:customStyle="1" w:styleId="3460">
    <w:name w:val="Char Char111"/>
    <w:qFormat/>
    <w:uiPriority w:val="0"/>
    <w:rPr>
      <w:rFonts w:hint="eastAsia" w:ascii="宋体" w:hAnsi="宋体" w:eastAsia="宋体"/>
      <w:kern w:val="2"/>
      <w:sz w:val="21"/>
      <w:szCs w:val="24"/>
      <w:lang w:val="en-US" w:eastAsia="zh-CN" w:bidi="ar-SA"/>
    </w:rPr>
  </w:style>
  <w:style w:type="paragraph" w:customStyle="1" w:styleId="3461">
    <w:name w:val="正文图标题"/>
    <w:next w:val="1"/>
    <w:qFormat/>
    <w:uiPriority w:val="0"/>
    <w:pPr>
      <w:jc w:val="center"/>
    </w:pPr>
    <w:rPr>
      <w:rFonts w:ascii="黑体" w:hAnsi="Times New Roman" w:eastAsia="黑体" w:cs="Times New Roman"/>
      <w:sz w:val="21"/>
      <w:lang w:val="en-US" w:eastAsia="zh-CN" w:bidi="ar-SA"/>
    </w:rPr>
  </w:style>
  <w:style w:type="paragraph" w:customStyle="1" w:styleId="3462">
    <w:name w:val="Char1 Char Char Char Char Char1 Char"/>
    <w:basedOn w:val="1"/>
    <w:qFormat/>
    <w:uiPriority w:val="0"/>
    <w:pPr>
      <w:spacing w:line="360" w:lineRule="auto"/>
      <w:ind w:firstLine="200" w:firstLineChars="200"/>
      <w:jc w:val="left"/>
    </w:pPr>
    <w:rPr>
      <w:rFonts w:ascii="宋体" w:hAnsi="宋体" w:cs="宋体"/>
      <w:sz w:val="24"/>
      <w:szCs w:val="24"/>
    </w:rPr>
  </w:style>
  <w:style w:type="paragraph" w:customStyle="1" w:styleId="3463">
    <w:name w:val="Char1 Char Char Char Char Char1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464">
    <w:name w:val="Char3 Char Char Char Char Char Char Char Char Char1 Char Char Char Char Char Char"/>
    <w:basedOn w:val="1"/>
    <w:semiHidden/>
    <w:qFormat/>
    <w:uiPriority w:val="0"/>
    <w:pPr>
      <w:spacing w:line="360" w:lineRule="auto"/>
      <w:ind w:firstLine="480" w:firstLineChars="200"/>
      <w:jc w:val="left"/>
    </w:pPr>
    <w:rPr>
      <w:rFonts w:ascii="仿宋_GB2312" w:hAnsi="Times New Roman" w:cs="Times New Roman"/>
      <w:b/>
      <w:szCs w:val="32"/>
    </w:rPr>
  </w:style>
  <w:style w:type="character" w:customStyle="1" w:styleId="3465">
    <w:name w:val="项标题(1) Char Char1"/>
    <w:qFormat/>
    <w:uiPriority w:val="0"/>
    <w:rPr>
      <w:rFonts w:ascii="Cambria" w:hAnsi="Cambria"/>
      <w:b/>
      <w:bCs/>
      <w:color w:val="9BBB59"/>
    </w:rPr>
  </w:style>
  <w:style w:type="character" w:customStyle="1" w:styleId="3466">
    <w:name w:val="目标题 1) Char Char1"/>
    <w:qFormat/>
    <w:uiPriority w:val="0"/>
    <w:rPr>
      <w:rFonts w:ascii="Cambria" w:hAnsi="Cambria"/>
      <w:b/>
      <w:bCs/>
      <w:i/>
      <w:iCs/>
      <w:color w:val="9BBB59"/>
    </w:rPr>
  </w:style>
  <w:style w:type="character" w:customStyle="1" w:styleId="3467">
    <w:name w:val="干标题(a) Char Char1"/>
    <w:qFormat/>
    <w:uiPriority w:val="0"/>
    <w:rPr>
      <w:rFonts w:ascii="Cambria" w:hAnsi="Cambria"/>
      <w:i/>
      <w:iCs/>
      <w:color w:val="9BBB59"/>
    </w:rPr>
  </w:style>
  <w:style w:type="character" w:customStyle="1" w:styleId="3468">
    <w:name w:val="页眉00 Char1"/>
    <w:qFormat/>
    <w:uiPriority w:val="0"/>
    <w:rPr>
      <w:sz w:val="18"/>
      <w:szCs w:val="18"/>
    </w:rPr>
  </w:style>
  <w:style w:type="paragraph" w:customStyle="1" w:styleId="3469">
    <w:name w:val="Char Char1 Char Char Char Char Char Char Char1"/>
    <w:basedOn w:val="1"/>
    <w:next w:val="1"/>
    <w:qFormat/>
    <w:uiPriority w:val="0"/>
    <w:pPr>
      <w:jc w:val="left"/>
    </w:pPr>
    <w:rPr>
      <w:rFonts w:ascii="华文楷体" w:hAnsi="华文楷体" w:eastAsia="华文楷体" w:cs="Times New Roman"/>
      <w:b/>
    </w:rPr>
  </w:style>
  <w:style w:type="paragraph" w:customStyle="1" w:styleId="3470">
    <w:name w:val="样式 宋体 四号 行距: 固定值 28 磅"/>
    <w:basedOn w:val="1"/>
    <w:qFormat/>
    <w:uiPriority w:val="0"/>
    <w:pPr>
      <w:spacing w:line="360" w:lineRule="auto"/>
      <w:jc w:val="left"/>
    </w:pPr>
    <w:rPr>
      <w:rFonts w:ascii="宋体" w:hAnsi="宋体" w:cs="宋体"/>
      <w:b/>
      <w:color w:val="000000"/>
      <w:sz w:val="24"/>
      <w:szCs w:val="24"/>
    </w:rPr>
  </w:style>
  <w:style w:type="character" w:customStyle="1" w:styleId="3471">
    <w:name w:val="Char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hAnsi="Courier New" w:eastAsia="宋体"/>
      <w:b/>
      <w:kern w:val="2"/>
      <w:sz w:val="21"/>
      <w:szCs w:val="21"/>
      <w:lang w:val="en-US" w:eastAsia="zh-CN" w:bidi="ar-SA"/>
    </w:rPr>
  </w:style>
  <w:style w:type="paragraph" w:customStyle="1" w:styleId="3472">
    <w:name w:val="Char Char Char Char Char Char Char Char Char Char Char Char Char 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3473">
    <w:name w:val="Char5 Char Char Char1"/>
    <w:basedOn w:val="1"/>
    <w:next w:val="1"/>
    <w:qFormat/>
    <w:uiPriority w:val="0"/>
    <w:pPr>
      <w:spacing w:line="360" w:lineRule="auto"/>
      <w:ind w:firstLine="200" w:firstLineChars="200"/>
      <w:jc w:val="left"/>
    </w:pPr>
    <w:rPr>
      <w:rFonts w:ascii="宋体" w:hAnsi="宋体" w:cs="宋体"/>
      <w:sz w:val="24"/>
      <w:szCs w:val="24"/>
    </w:rPr>
  </w:style>
  <w:style w:type="character" w:customStyle="1" w:styleId="3474">
    <w:name w:val="Char Char1 Char Char Char Char Char Char Char Char"/>
    <w:qFormat/>
    <w:uiPriority w:val="0"/>
    <w:rPr>
      <w:rFonts w:ascii="宋体" w:hAnsi="宋体" w:eastAsia="宋体"/>
      <w:b/>
      <w:kern w:val="2"/>
      <w:sz w:val="24"/>
      <w:szCs w:val="24"/>
      <w:lang w:val="en-US" w:eastAsia="zh-CN" w:bidi="ar-SA"/>
    </w:rPr>
  </w:style>
  <w:style w:type="paragraph" w:customStyle="1" w:styleId="3475">
    <w:name w:val="样式 目录 1 + 左 段前: 6 磅"/>
    <w:basedOn w:val="59"/>
    <w:qFormat/>
    <w:uiPriority w:val="0"/>
    <w:pPr>
      <w:widowControl/>
      <w:tabs>
        <w:tab w:val="right" w:leader="dot" w:pos="560"/>
        <w:tab w:val="right" w:leader="dot" w:pos="8460"/>
        <w:tab w:val="clear" w:pos="260"/>
        <w:tab w:val="clear" w:pos="520"/>
        <w:tab w:val="clear" w:pos="8494"/>
      </w:tabs>
      <w:spacing w:beforeLines="10" w:line="520" w:lineRule="exact"/>
    </w:pPr>
    <w:rPr>
      <w:rFonts w:ascii="华文新魏" w:hAnsi="宋体" w:eastAsia="黑体" w:cs="宋体"/>
      <w:b w:val="0"/>
      <w:bCs/>
      <w:snapToGrid w:val="0"/>
      <w:kern w:val="0"/>
      <w:sz w:val="28"/>
      <w:szCs w:val="20"/>
    </w:rPr>
  </w:style>
  <w:style w:type="paragraph" w:customStyle="1" w:styleId="3476">
    <w:name w:val="样式 目录 1 + 左 段前: 6 磅 行距: 固定值 26 磅1"/>
    <w:basedOn w:val="59"/>
    <w:qFormat/>
    <w:uiPriority w:val="0"/>
    <w:pPr>
      <w:widowControl/>
      <w:tabs>
        <w:tab w:val="right" w:leader="dot" w:pos="8460"/>
        <w:tab w:val="clear" w:pos="260"/>
        <w:tab w:val="clear" w:pos="520"/>
        <w:tab w:val="clear" w:pos="8494"/>
      </w:tabs>
      <w:spacing w:beforeLines="10" w:line="520" w:lineRule="exact"/>
    </w:pPr>
    <w:rPr>
      <w:rFonts w:ascii="华文新魏" w:hAnsi="宋体" w:eastAsia="黑体" w:cs="宋体"/>
      <w:b w:val="0"/>
      <w:bCs/>
      <w:snapToGrid w:val="0"/>
      <w:kern w:val="0"/>
      <w:sz w:val="28"/>
      <w:szCs w:val="20"/>
    </w:rPr>
  </w:style>
  <w:style w:type="paragraph" w:customStyle="1" w:styleId="3477">
    <w:name w:val="Char Char Char Char Char Char Char Char Char Char Char Char Char Char Char Char Char Char1 Char 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3478">
    <w:name w:val="样式 标题 1 + 段后: 7.8 磅"/>
    <w:basedOn w:val="3"/>
    <w:qFormat/>
    <w:uiPriority w:val="0"/>
    <w:pPr>
      <w:keepNext w:val="0"/>
      <w:keepLines w:val="0"/>
      <w:widowControl w:val="0"/>
      <w:pBdr>
        <w:bottom w:val="single" w:color="365F91" w:sz="12" w:space="1"/>
      </w:pBdr>
      <w:jc w:val="left"/>
    </w:pPr>
    <w:rPr>
      <w:rFonts w:ascii="Cambria" w:hAnsi="Cambria" w:cs="宋体"/>
      <w:color w:val="365F91"/>
      <w:kern w:val="0"/>
      <w:sz w:val="24"/>
      <w:szCs w:val="20"/>
    </w:rPr>
  </w:style>
  <w:style w:type="paragraph" w:customStyle="1" w:styleId="3479">
    <w:name w:val="样式 标题 3小节名小节小节标题段头SottoparagrafoReh33heading 3- bodyh..."/>
    <w:basedOn w:val="5"/>
    <w:link w:val="3480"/>
    <w:qFormat/>
    <w:uiPriority w:val="0"/>
    <w:pPr>
      <w:keepNext w:val="0"/>
      <w:keepLines w:val="0"/>
      <w:spacing w:beforeLines="10" w:after="80"/>
    </w:pPr>
    <w:rPr>
      <w:rFonts w:ascii="Calibri" w:hAnsi="Calibri" w:cs="Times New Roman" w:eastAsiaTheme="minorEastAsia"/>
      <w:color w:val="000000"/>
      <w:sz w:val="30"/>
      <w:szCs w:val="20"/>
    </w:rPr>
  </w:style>
  <w:style w:type="character" w:customStyle="1" w:styleId="3480">
    <w:name w:val="样式 标题 3小节名小节小节标题段头SottoparagrafoReh33heading 3- bodyh... Char"/>
    <w:link w:val="3479"/>
    <w:qFormat/>
    <w:uiPriority w:val="0"/>
    <w:rPr>
      <w:rFonts w:ascii="Calibri" w:hAnsi="Calibri" w:cs="Times New Roman"/>
      <w:b/>
      <w:bCs/>
      <w:color w:val="000000"/>
      <w:sz w:val="30"/>
      <w:szCs w:val="20"/>
    </w:rPr>
  </w:style>
  <w:style w:type="paragraph" w:customStyle="1" w:styleId="3481">
    <w:name w:val="样式 样式 样式 样式 标题 3段 + + 段前: 1.5 行 段后: 1.5 行 + 段前: 1.5 行 段后: 1.5 行 ..."/>
    <w:basedOn w:val="1"/>
    <w:qFormat/>
    <w:uiPriority w:val="0"/>
    <w:pPr>
      <w:keepLines/>
      <w:widowControl/>
      <w:spacing w:beforeLines="100" w:afterLines="100"/>
      <w:ind w:firstLine="360"/>
      <w:jc w:val="left"/>
      <w:outlineLvl w:val="2"/>
    </w:pPr>
    <w:rPr>
      <w:rFonts w:ascii="Calibri" w:hAnsi="Calibri" w:eastAsia="黑体" w:cs="宋体"/>
      <w:b/>
      <w:bCs/>
      <w:color w:val="000000"/>
      <w:kern w:val="0"/>
      <w:sz w:val="24"/>
      <w:szCs w:val="20"/>
      <w:lang w:eastAsia="en-US" w:bidi="en-US"/>
    </w:rPr>
  </w:style>
  <w:style w:type="paragraph" w:customStyle="1" w:styleId="3482">
    <w:name w:val="样式 标题 1章 + Times New Roman 二号 非加粗"/>
    <w:basedOn w:val="3"/>
    <w:qFormat/>
    <w:uiPriority w:val="0"/>
    <w:pPr>
      <w:keepNext w:val="0"/>
      <w:keepLines w:val="0"/>
      <w:widowControl w:val="0"/>
      <w:pBdr>
        <w:bottom w:val="single" w:color="365F91" w:sz="12" w:space="1"/>
      </w:pBdr>
      <w:jc w:val="left"/>
    </w:pPr>
    <w:rPr>
      <w:rFonts w:ascii="Cambria" w:hAnsi="Cambria" w:cs="Times New Roman"/>
      <w:bCs w:val="0"/>
      <w:color w:val="000000"/>
      <w:kern w:val="0"/>
      <w:sz w:val="24"/>
      <w:szCs w:val="20"/>
    </w:rPr>
  </w:style>
  <w:style w:type="paragraph" w:customStyle="1" w:styleId="3483">
    <w:name w:val="样式 标题 2节 + 段前: 0.5 行 段后: 0.5 行"/>
    <w:basedOn w:val="4"/>
    <w:qFormat/>
    <w:uiPriority w:val="0"/>
    <w:pPr>
      <w:keepNext w:val="0"/>
      <w:keepLines w:val="0"/>
      <w:spacing w:before="200" w:after="80"/>
    </w:pPr>
    <w:rPr>
      <w:rFonts w:cs="宋体" w:eastAsiaTheme="minorEastAsia"/>
      <w:b w:val="0"/>
      <w:color w:val="000000"/>
      <w:kern w:val="0"/>
      <w:szCs w:val="24"/>
      <w:lang w:eastAsia="en-US" w:bidi="en-US"/>
    </w:rPr>
  </w:style>
  <w:style w:type="paragraph" w:customStyle="1" w:styleId="3484">
    <w:name w:val="样式 标题 4项 + 非加粗 段前: 0.5 行 段后: 0.5 行"/>
    <w:basedOn w:val="6"/>
    <w:qFormat/>
    <w:uiPriority w:val="0"/>
    <w:pPr>
      <w:keepNext w:val="0"/>
      <w:keepLines w:val="0"/>
      <w:tabs>
        <w:tab w:val="left" w:pos="0"/>
      </w:tabs>
      <w:spacing w:line="240" w:lineRule="auto"/>
      <w:jc w:val="center"/>
    </w:pPr>
    <w:rPr>
      <w:rFonts w:ascii="Cambria" w:hAnsi="Cambria" w:cs="宋体" w:eastAsiaTheme="minorEastAsia"/>
      <w:b w:val="0"/>
      <w:bCs w:val="0"/>
      <w:iCs/>
      <w:color w:val="000000"/>
      <w:szCs w:val="24"/>
      <w:lang w:eastAsia="en-US" w:bidi="en-US"/>
    </w:rPr>
  </w:style>
  <w:style w:type="paragraph" w:customStyle="1" w:styleId="3485">
    <w:name w:val="Char Char Char Char Char Char Char Char Char Char Char Char Char Char Char Char Char Char Char Char Char Char Char Char Char Char Char Char Char Char Char"/>
    <w:basedOn w:val="1"/>
    <w:qFormat/>
    <w:uiPriority w:val="0"/>
    <w:pPr>
      <w:widowControl/>
      <w:ind w:firstLine="360"/>
      <w:jc w:val="left"/>
    </w:pPr>
    <w:rPr>
      <w:rFonts w:ascii="Calibri" w:hAnsi="Calibri" w:cs="Times New Roman"/>
      <w:kern w:val="0"/>
      <w:sz w:val="22"/>
      <w:lang w:eastAsia="en-US" w:bidi="en-US"/>
    </w:rPr>
  </w:style>
  <w:style w:type="character" w:customStyle="1" w:styleId="3486">
    <w:name w:val="question-title"/>
    <w:qFormat/>
    <w:uiPriority w:val="0"/>
  </w:style>
  <w:style w:type="character" w:customStyle="1" w:styleId="3487">
    <w:name w:val="正文粗 Char"/>
    <w:qFormat/>
    <w:uiPriority w:val="0"/>
    <w:rPr>
      <w:rFonts w:eastAsia="宋体"/>
      <w:b/>
      <w:sz w:val="24"/>
      <w:lang w:val="en-US" w:eastAsia="zh-CN"/>
    </w:rPr>
  </w:style>
  <w:style w:type="character" w:customStyle="1" w:styleId="3488">
    <w:name w:val="C样式 Char"/>
    <w:link w:val="3489"/>
    <w:qFormat/>
    <w:uiPriority w:val="0"/>
    <w:rPr>
      <w:rFonts w:ascii="宋体" w:hAnsi="宋体"/>
      <w:snapToGrid w:val="0"/>
      <w:kern w:val="24"/>
      <w:sz w:val="24"/>
    </w:rPr>
  </w:style>
  <w:style w:type="paragraph" w:customStyle="1" w:styleId="3489">
    <w:name w:val="C样式"/>
    <w:basedOn w:val="1"/>
    <w:link w:val="3488"/>
    <w:qFormat/>
    <w:uiPriority w:val="0"/>
    <w:pPr>
      <w:spacing w:line="440" w:lineRule="exact"/>
      <w:ind w:firstLine="424" w:firstLineChars="200"/>
      <w:jc w:val="left"/>
    </w:pPr>
    <w:rPr>
      <w:rFonts w:ascii="宋体" w:hAnsi="宋体"/>
      <w:snapToGrid w:val="0"/>
      <w:kern w:val="24"/>
      <w:sz w:val="24"/>
    </w:rPr>
  </w:style>
  <w:style w:type="paragraph" w:customStyle="1" w:styleId="3490">
    <w:name w:val="标准正文格式"/>
    <w:basedOn w:val="1"/>
    <w:link w:val="3732"/>
    <w:qFormat/>
    <w:uiPriority w:val="0"/>
    <w:pPr>
      <w:spacing w:line="360" w:lineRule="auto"/>
      <w:ind w:firstLine="480" w:firstLineChars="200"/>
      <w:jc w:val="left"/>
    </w:pPr>
    <w:rPr>
      <w:rFonts w:ascii="宋体" w:hAnsi="宋体" w:cs="Times New Roman"/>
      <w:color w:val="000000"/>
      <w:kern w:val="0"/>
      <w:sz w:val="24"/>
      <w:szCs w:val="20"/>
    </w:rPr>
  </w:style>
  <w:style w:type="paragraph" w:customStyle="1" w:styleId="3491">
    <w:name w:val="样式 样式 样式 样式 样式4 + 首行缩进:  0.75 字符 + 首行缩进:  2 字符 + 首行缩进:  2 字符 + 首..."/>
    <w:basedOn w:val="1"/>
    <w:qFormat/>
    <w:uiPriority w:val="0"/>
    <w:pPr>
      <w:adjustRightInd w:val="0"/>
      <w:spacing w:line="480" w:lineRule="exact"/>
      <w:ind w:firstLine="560" w:firstLineChars="200"/>
      <w:jc w:val="left"/>
    </w:pPr>
    <w:rPr>
      <w:rFonts w:ascii="仿宋_GB2312" w:hAnsi="宋体" w:eastAsia="仿宋_GB2312" w:cs="Times New Roman"/>
      <w:kern w:val="0"/>
      <w:sz w:val="28"/>
      <w:szCs w:val="20"/>
    </w:rPr>
  </w:style>
  <w:style w:type="paragraph" w:customStyle="1" w:styleId="3492">
    <w:name w:val="标题22"/>
    <w:basedOn w:val="4"/>
    <w:next w:val="4"/>
    <w:qFormat/>
    <w:uiPriority w:val="0"/>
    <w:pPr>
      <w:keepNext w:val="0"/>
      <w:keepLines w:val="0"/>
      <w:spacing w:before="10" w:line="240" w:lineRule="auto"/>
      <w:ind w:firstLine="357"/>
      <w:jc w:val="both"/>
    </w:pPr>
    <w:rPr>
      <w:rFonts w:ascii="黑体" w:hAnsi="宋体" w:cs="Times New Roman" w:eastAsiaTheme="minorEastAsia"/>
      <w:color w:val="000000" w:themeColor="text1"/>
      <w:kern w:val="0"/>
      <w:szCs w:val="20"/>
      <w14:textFill>
        <w14:solidFill>
          <w14:schemeClr w14:val="tx1"/>
        </w14:solidFill>
      </w14:textFill>
    </w:rPr>
  </w:style>
  <w:style w:type="paragraph" w:customStyle="1" w:styleId="3493">
    <w:name w:val="地告正文"/>
    <w:basedOn w:val="1"/>
    <w:qFormat/>
    <w:uiPriority w:val="0"/>
    <w:pPr>
      <w:adjustRightInd w:val="0"/>
      <w:spacing w:line="620" w:lineRule="atLeast"/>
      <w:ind w:firstLine="200" w:firstLineChars="200"/>
      <w:jc w:val="left"/>
    </w:pPr>
    <w:rPr>
      <w:rFonts w:ascii="Times New Roman" w:hAnsi="Times New Roman" w:cs="Times New Roman"/>
      <w:sz w:val="28"/>
      <w:szCs w:val="24"/>
    </w:rPr>
  </w:style>
  <w:style w:type="paragraph" w:customStyle="1" w:styleId="3494">
    <w:name w:val="CM2"/>
    <w:basedOn w:val="1"/>
    <w:next w:val="1"/>
    <w:qFormat/>
    <w:uiPriority w:val="0"/>
    <w:pPr>
      <w:autoSpaceDE w:val="0"/>
      <w:autoSpaceDN w:val="0"/>
      <w:adjustRightInd w:val="0"/>
      <w:spacing w:line="468" w:lineRule="atLeast"/>
      <w:jc w:val="left"/>
    </w:pPr>
    <w:rPr>
      <w:rFonts w:ascii="Times New Roman" w:hAnsi="Times New Roman" w:cs="Times New Roman"/>
      <w:kern w:val="0"/>
      <w:sz w:val="24"/>
      <w:szCs w:val="24"/>
    </w:rPr>
  </w:style>
  <w:style w:type="paragraph" w:customStyle="1" w:styleId="3495">
    <w:name w:val="CM82"/>
    <w:basedOn w:val="1"/>
    <w:next w:val="1"/>
    <w:qFormat/>
    <w:uiPriority w:val="0"/>
    <w:pPr>
      <w:autoSpaceDE w:val="0"/>
      <w:autoSpaceDN w:val="0"/>
      <w:adjustRightInd w:val="0"/>
      <w:spacing w:after="83"/>
      <w:jc w:val="left"/>
    </w:pPr>
    <w:rPr>
      <w:rFonts w:ascii="Times New Roman" w:hAnsi="Times New Roman" w:cs="Times New Roman"/>
      <w:kern w:val="0"/>
      <w:sz w:val="24"/>
      <w:szCs w:val="24"/>
    </w:rPr>
  </w:style>
  <w:style w:type="paragraph" w:customStyle="1" w:styleId="3496">
    <w:name w:val="CM11"/>
    <w:basedOn w:val="251"/>
    <w:next w:val="251"/>
    <w:qFormat/>
    <w:uiPriority w:val="0"/>
    <w:pPr>
      <w:spacing w:line="468" w:lineRule="atLeast"/>
    </w:pPr>
    <w:rPr>
      <w:rFonts w:ascii="Times New Roman" w:cs="Times New Roman"/>
      <w:color w:val="auto"/>
    </w:rPr>
  </w:style>
  <w:style w:type="paragraph" w:customStyle="1" w:styleId="3497">
    <w:name w:val="CM81"/>
    <w:basedOn w:val="251"/>
    <w:next w:val="251"/>
    <w:qFormat/>
    <w:uiPriority w:val="0"/>
    <w:pPr>
      <w:spacing w:after="290"/>
    </w:pPr>
    <w:rPr>
      <w:rFonts w:ascii="Times New Roman" w:cs="Times New Roman"/>
      <w:color w:val="auto"/>
    </w:rPr>
  </w:style>
  <w:style w:type="paragraph" w:customStyle="1" w:styleId="3498">
    <w:name w:val="CM28"/>
    <w:basedOn w:val="251"/>
    <w:next w:val="251"/>
    <w:qFormat/>
    <w:uiPriority w:val="0"/>
    <w:rPr>
      <w:rFonts w:ascii="Times New Roman" w:cs="Times New Roman"/>
      <w:color w:val="auto"/>
    </w:rPr>
  </w:style>
  <w:style w:type="paragraph" w:customStyle="1" w:styleId="3499">
    <w:name w:val="CM1"/>
    <w:basedOn w:val="251"/>
    <w:next w:val="251"/>
    <w:qFormat/>
    <w:uiPriority w:val="0"/>
    <w:rPr>
      <w:rFonts w:ascii="Times New Roman" w:cs="Times New Roman"/>
      <w:color w:val="auto"/>
    </w:rPr>
  </w:style>
  <w:style w:type="paragraph" w:customStyle="1" w:styleId="3500">
    <w:name w:val="CM14"/>
    <w:basedOn w:val="251"/>
    <w:next w:val="251"/>
    <w:qFormat/>
    <w:uiPriority w:val="0"/>
    <w:pPr>
      <w:spacing w:line="468" w:lineRule="atLeast"/>
    </w:pPr>
    <w:rPr>
      <w:rFonts w:ascii="Times New Roman" w:cs="Times New Roman"/>
      <w:color w:val="auto"/>
    </w:rPr>
  </w:style>
  <w:style w:type="paragraph" w:customStyle="1" w:styleId="3501">
    <w:name w:val="CM85"/>
    <w:basedOn w:val="251"/>
    <w:next w:val="251"/>
    <w:qFormat/>
    <w:uiPriority w:val="0"/>
    <w:pPr>
      <w:spacing w:after="165"/>
    </w:pPr>
    <w:rPr>
      <w:rFonts w:ascii="Times New Roman" w:cs="Times New Roman"/>
      <w:color w:val="auto"/>
    </w:rPr>
  </w:style>
  <w:style w:type="paragraph" w:customStyle="1" w:styleId="3502">
    <w:name w:val="CM27"/>
    <w:basedOn w:val="251"/>
    <w:next w:val="251"/>
    <w:qFormat/>
    <w:uiPriority w:val="0"/>
    <w:pPr>
      <w:spacing w:line="468" w:lineRule="atLeast"/>
    </w:pPr>
    <w:rPr>
      <w:rFonts w:ascii="Times New Roman" w:cs="Times New Roman"/>
      <w:color w:val="auto"/>
    </w:rPr>
  </w:style>
  <w:style w:type="paragraph" w:customStyle="1" w:styleId="3503">
    <w:name w:val="CM86"/>
    <w:basedOn w:val="251"/>
    <w:next w:val="251"/>
    <w:qFormat/>
    <w:uiPriority w:val="0"/>
    <w:pPr>
      <w:spacing w:after="403"/>
    </w:pPr>
    <w:rPr>
      <w:rFonts w:ascii="Times New Roman" w:cs="Times New Roman"/>
      <w:color w:val="auto"/>
    </w:rPr>
  </w:style>
  <w:style w:type="paragraph" w:customStyle="1" w:styleId="3504">
    <w:name w:val="CM12"/>
    <w:basedOn w:val="251"/>
    <w:next w:val="251"/>
    <w:qFormat/>
    <w:uiPriority w:val="0"/>
    <w:pPr>
      <w:spacing w:line="468" w:lineRule="atLeast"/>
    </w:pPr>
    <w:rPr>
      <w:rFonts w:ascii="Times New Roman" w:cs="Times New Roman"/>
      <w:color w:val="auto"/>
    </w:rPr>
  </w:style>
  <w:style w:type="paragraph" w:customStyle="1" w:styleId="3505">
    <w:name w:val="CM29"/>
    <w:basedOn w:val="251"/>
    <w:next w:val="251"/>
    <w:qFormat/>
    <w:uiPriority w:val="0"/>
    <w:pPr>
      <w:spacing w:line="468" w:lineRule="atLeast"/>
    </w:pPr>
    <w:rPr>
      <w:rFonts w:ascii="Times New Roman" w:cs="Times New Roman"/>
      <w:color w:val="auto"/>
    </w:rPr>
  </w:style>
  <w:style w:type="paragraph" w:customStyle="1" w:styleId="3506">
    <w:name w:val="CM4"/>
    <w:basedOn w:val="251"/>
    <w:next w:val="251"/>
    <w:qFormat/>
    <w:uiPriority w:val="0"/>
    <w:pPr>
      <w:spacing w:line="468" w:lineRule="atLeast"/>
    </w:pPr>
    <w:rPr>
      <w:rFonts w:ascii="Times New Roman" w:cs="Times New Roman"/>
      <w:color w:val="auto"/>
    </w:rPr>
  </w:style>
  <w:style w:type="paragraph" w:customStyle="1" w:styleId="3507">
    <w:name w:val="CM93"/>
    <w:basedOn w:val="251"/>
    <w:next w:val="251"/>
    <w:qFormat/>
    <w:uiPriority w:val="0"/>
    <w:pPr>
      <w:spacing w:after="238"/>
    </w:pPr>
    <w:rPr>
      <w:rFonts w:ascii="Times New Roman" w:cs="Times New Roman"/>
      <w:color w:val="auto"/>
    </w:rPr>
  </w:style>
  <w:style w:type="paragraph" w:customStyle="1" w:styleId="3508">
    <w:name w:val="CM22"/>
    <w:basedOn w:val="251"/>
    <w:next w:val="251"/>
    <w:qFormat/>
    <w:uiPriority w:val="0"/>
    <w:rPr>
      <w:rFonts w:ascii="Times New Roman" w:cs="Times New Roman"/>
      <w:color w:val="auto"/>
    </w:rPr>
  </w:style>
  <w:style w:type="paragraph" w:customStyle="1" w:styleId="3509">
    <w:name w:val="CM95"/>
    <w:basedOn w:val="251"/>
    <w:next w:val="251"/>
    <w:qFormat/>
    <w:uiPriority w:val="0"/>
    <w:pPr>
      <w:spacing w:after="528"/>
    </w:pPr>
    <w:rPr>
      <w:rFonts w:ascii="Times New Roman" w:cs="Times New Roman"/>
      <w:color w:val="auto"/>
    </w:rPr>
  </w:style>
  <w:style w:type="paragraph" w:customStyle="1" w:styleId="3510">
    <w:name w:val="CM45"/>
    <w:basedOn w:val="251"/>
    <w:next w:val="251"/>
    <w:qFormat/>
    <w:uiPriority w:val="0"/>
    <w:pPr>
      <w:spacing w:line="428" w:lineRule="atLeast"/>
    </w:pPr>
    <w:rPr>
      <w:rFonts w:ascii="Times New Roman" w:cs="Times New Roman"/>
      <w:color w:val="auto"/>
    </w:rPr>
  </w:style>
  <w:style w:type="paragraph" w:customStyle="1" w:styleId="3511">
    <w:name w:val="CM67"/>
    <w:basedOn w:val="251"/>
    <w:next w:val="251"/>
    <w:qFormat/>
    <w:uiPriority w:val="0"/>
    <w:pPr>
      <w:spacing w:line="531" w:lineRule="atLeast"/>
    </w:pPr>
    <w:rPr>
      <w:rFonts w:ascii="Times New Roman" w:cs="Times New Roman"/>
      <w:color w:val="auto"/>
    </w:rPr>
  </w:style>
  <w:style w:type="paragraph" w:customStyle="1" w:styleId="3512">
    <w:name w:val="CM68"/>
    <w:basedOn w:val="251"/>
    <w:next w:val="251"/>
    <w:qFormat/>
    <w:uiPriority w:val="0"/>
    <w:pPr>
      <w:spacing w:line="533" w:lineRule="atLeast"/>
    </w:pPr>
    <w:rPr>
      <w:rFonts w:ascii="Times New Roman" w:cs="Times New Roman"/>
      <w:color w:val="auto"/>
    </w:rPr>
  </w:style>
  <w:style w:type="paragraph" w:customStyle="1" w:styleId="3513">
    <w:name w:val="CM69"/>
    <w:basedOn w:val="251"/>
    <w:next w:val="251"/>
    <w:qFormat/>
    <w:uiPriority w:val="0"/>
    <w:pPr>
      <w:spacing w:line="538" w:lineRule="atLeast"/>
    </w:pPr>
    <w:rPr>
      <w:rFonts w:ascii="Times New Roman" w:cs="Times New Roman"/>
      <w:color w:val="auto"/>
    </w:rPr>
  </w:style>
  <w:style w:type="paragraph" w:customStyle="1" w:styleId="3514">
    <w:name w:val="CM15"/>
    <w:basedOn w:val="251"/>
    <w:next w:val="251"/>
    <w:qFormat/>
    <w:uiPriority w:val="0"/>
    <w:pPr>
      <w:spacing w:line="468" w:lineRule="atLeast"/>
    </w:pPr>
    <w:rPr>
      <w:rFonts w:ascii="Times New Roman" w:cs="Times New Roman"/>
      <w:color w:val="auto"/>
    </w:rPr>
  </w:style>
  <w:style w:type="character" w:customStyle="1" w:styleId="3515">
    <w:name w:val="款标题1.1.1.1 Char Char"/>
    <w:qFormat/>
    <w:uiPriority w:val="0"/>
    <w:rPr>
      <w:rFonts w:ascii="仿宋_GB2312" w:eastAsia="仿宋_GB2312"/>
      <w:kern w:val="2"/>
      <w:sz w:val="28"/>
      <w:lang w:val="en-US" w:eastAsia="zh-CN" w:bidi="ar-SA"/>
    </w:rPr>
  </w:style>
  <w:style w:type="character" w:customStyle="1" w:styleId="3516">
    <w:name w:val="标题1.1.1.1.1 Char Char"/>
    <w:qFormat/>
    <w:uiPriority w:val="0"/>
    <w:rPr>
      <w:rFonts w:ascii="仿宋_GB2312" w:eastAsia="仿宋_GB2312"/>
      <w:b/>
      <w:kern w:val="2"/>
      <w:sz w:val="28"/>
      <w:lang w:val="en-US" w:eastAsia="zh-CN" w:bidi="ar-SA"/>
    </w:rPr>
  </w:style>
  <w:style w:type="character" w:customStyle="1" w:styleId="3517">
    <w:name w:val="目标题 1) Char Char"/>
    <w:qFormat/>
    <w:uiPriority w:val="0"/>
    <w:rPr>
      <w:rFonts w:ascii="Arial" w:hAnsi="Arial" w:eastAsia="黑体"/>
      <w:kern w:val="2"/>
      <w:sz w:val="24"/>
      <w:lang w:val="en-US" w:eastAsia="zh-CN" w:bidi="ar-SA"/>
    </w:rPr>
  </w:style>
  <w:style w:type="character" w:customStyle="1" w:styleId="3518">
    <w:name w:val="干标题(a) Char Char"/>
    <w:qFormat/>
    <w:uiPriority w:val="0"/>
    <w:rPr>
      <w:rFonts w:ascii="Arial" w:hAnsi="Arial" w:eastAsia="黑体"/>
      <w:kern w:val="2"/>
      <w:sz w:val="28"/>
      <w:lang w:val="en-US" w:eastAsia="zh-CN" w:bidi="ar-SA"/>
    </w:rPr>
  </w:style>
  <w:style w:type="character" w:customStyle="1" w:styleId="3519">
    <w:name w:val="仿宋体正文 Char Char"/>
    <w:qFormat/>
    <w:uiPriority w:val="0"/>
    <w:rPr>
      <w:rFonts w:eastAsia="宋体"/>
      <w:kern w:val="2"/>
      <w:sz w:val="28"/>
      <w:lang w:val="en-US" w:eastAsia="zh-CN" w:bidi="ar-SA"/>
    </w:rPr>
  </w:style>
  <w:style w:type="paragraph" w:customStyle="1" w:styleId="3520">
    <w:name w:val="样式 普通(网站) + 段前: 自动 段后: 自动 行距: 最小值 24 磅"/>
    <w:basedOn w:val="81"/>
    <w:qFormat/>
    <w:uiPriority w:val="0"/>
    <w:pPr>
      <w:spacing w:beforeLines="10" w:beforeAutospacing="0" w:after="0" w:afterAutospacing="0" w:line="480" w:lineRule="exact"/>
      <w:ind w:firstLine="200" w:firstLineChars="200"/>
    </w:pPr>
    <w:rPr>
      <w:rFonts w:ascii="Times New Roman" w:hAnsi="Times New Roman" w:eastAsiaTheme="minorEastAsia"/>
      <w:snapToGrid w:val="0"/>
      <w:sz w:val="28"/>
      <w:szCs w:val="20"/>
    </w:rPr>
  </w:style>
  <w:style w:type="paragraph" w:customStyle="1" w:styleId="3521">
    <w:name w:val="Paragraphy"/>
    <w:basedOn w:val="1"/>
    <w:qFormat/>
    <w:uiPriority w:val="0"/>
    <w:pPr>
      <w:spacing w:beforeLines="50" w:line="312" w:lineRule="auto"/>
      <w:ind w:firstLine="250" w:firstLineChars="250"/>
      <w:jc w:val="left"/>
    </w:pPr>
    <w:rPr>
      <w:rFonts w:ascii="Times New Roman" w:hAnsi="Times New Roman" w:cs="Times New Roman"/>
      <w:spacing w:val="6"/>
      <w:sz w:val="28"/>
      <w:szCs w:val="24"/>
    </w:rPr>
  </w:style>
  <w:style w:type="character" w:customStyle="1" w:styleId="3522">
    <w:name w:val="普通文字 Char Char5"/>
    <w:qFormat/>
    <w:uiPriority w:val="0"/>
    <w:rPr>
      <w:rFonts w:ascii="宋体" w:hAnsi="Courier New" w:eastAsia="宋体"/>
      <w:kern w:val="28"/>
      <w:sz w:val="28"/>
      <w:lang w:val="en-US" w:eastAsia="zh-CN"/>
    </w:rPr>
  </w:style>
  <w:style w:type="character" w:customStyle="1" w:styleId="3523">
    <w:name w:val="样式 正文缩进 + 首行缩进:  2 字符 Char"/>
    <w:link w:val="1989"/>
    <w:qFormat/>
    <w:uiPriority w:val="0"/>
    <w:rPr>
      <w:rFonts w:ascii="Calibri" w:hAnsi="Calibri" w:cs="Times New Roman"/>
      <w:sz w:val="24"/>
      <w:szCs w:val="20"/>
    </w:rPr>
  </w:style>
  <w:style w:type="character" w:customStyle="1" w:styleId="3524">
    <w:name w:val="文本条款 Char4"/>
    <w:qFormat/>
    <w:uiPriority w:val="0"/>
    <w:rPr>
      <w:rFonts w:ascii="Times New Roman" w:hAnsi="Times New Roman" w:eastAsia="宋体" w:cs="Times New Roman"/>
      <w:szCs w:val="20"/>
    </w:rPr>
  </w:style>
  <w:style w:type="character" w:customStyle="1" w:styleId="3525">
    <w:name w:val="普通文字 Char Char7"/>
    <w:qFormat/>
    <w:uiPriority w:val="0"/>
    <w:rPr>
      <w:rFonts w:ascii="宋体" w:hAnsi="Courier New" w:eastAsia="宋体"/>
      <w:kern w:val="28"/>
      <w:sz w:val="28"/>
    </w:rPr>
  </w:style>
  <w:style w:type="character" w:customStyle="1" w:styleId="3526">
    <w:name w:val="副标题 Char1"/>
    <w:qFormat/>
    <w:uiPriority w:val="0"/>
    <w:rPr>
      <w:rFonts w:ascii="Cambria" w:hAnsi="Cambria" w:eastAsia="宋体" w:cs="Times New Roman"/>
      <w:b/>
      <w:bCs/>
      <w:kern w:val="28"/>
      <w:sz w:val="32"/>
      <w:szCs w:val="32"/>
    </w:rPr>
  </w:style>
  <w:style w:type="paragraph" w:customStyle="1" w:styleId="3527">
    <w:name w:val="Char Char Char1 Char Char Char Char Char Char Char1"/>
    <w:basedOn w:val="1"/>
    <w:qFormat/>
    <w:uiPriority w:val="0"/>
    <w:pPr>
      <w:jc w:val="left"/>
    </w:pPr>
    <w:rPr>
      <w:rFonts w:ascii="Times New Roman" w:hAnsi="Times New Roman" w:eastAsia="仿宋_GB2312" w:cs="Times New Roman"/>
      <w:sz w:val="32"/>
      <w:szCs w:val="24"/>
    </w:rPr>
  </w:style>
  <w:style w:type="paragraph" w:customStyle="1" w:styleId="3528">
    <w:name w:val="样式 正文首行缩进 2 + 首行缩进:  2 字符"/>
    <w:basedOn w:val="87"/>
    <w:qFormat/>
    <w:uiPriority w:val="0"/>
    <w:pPr>
      <w:adjustRightInd/>
      <w:snapToGrid/>
      <w:spacing w:beforeLines="0" w:after="0" w:line="360" w:lineRule="auto"/>
      <w:ind w:left="0" w:leftChars="0" w:firstLine="480"/>
    </w:pPr>
    <w:rPr>
      <w:rFonts w:ascii="Calibri" w:hAnsi="Calibri" w:cs="宋体"/>
      <w:snapToGrid/>
      <w:kern w:val="2"/>
      <w:szCs w:val="22"/>
    </w:rPr>
  </w:style>
  <w:style w:type="character" w:customStyle="1" w:styleId="3529">
    <w:name w:val="君邦正文 Char2"/>
    <w:link w:val="2328"/>
    <w:qFormat/>
    <w:uiPriority w:val="0"/>
    <w:rPr>
      <w:rFonts w:ascii="宋体" w:hAnsi="宋体" w:eastAsia="宋体" w:cs="Times New Roman"/>
      <w:sz w:val="24"/>
      <w:szCs w:val="20"/>
    </w:rPr>
  </w:style>
  <w:style w:type="character" w:customStyle="1" w:styleId="3530">
    <w:name w:val="标题 2 Char2"/>
    <w:qFormat/>
    <w:uiPriority w:val="0"/>
    <w:rPr>
      <w:rFonts w:ascii="Arial" w:hAnsi="Arial" w:eastAsia="宋体"/>
      <w:b/>
      <w:bCs/>
      <w:kern w:val="2"/>
      <w:sz w:val="21"/>
      <w:szCs w:val="30"/>
      <w:lang w:val="en-US" w:eastAsia="zh-CN" w:bidi="ar-SA"/>
    </w:rPr>
  </w:style>
  <w:style w:type="paragraph" w:customStyle="1" w:styleId="3531">
    <w:name w:val="样式 样式 样式 样式1 + 首行缩进:  2 字符 + 首行缩进:  2 字符 段前: 0.5 行 段后: 0.5 行 + 首..."/>
    <w:semiHidden/>
    <w:qFormat/>
    <w:uiPriority w:val="0"/>
    <w:pPr>
      <w:ind w:firstLine="464"/>
    </w:pPr>
    <w:rPr>
      <w:rFonts w:ascii="Times New Roman" w:hAnsi="Times New Roman" w:eastAsia="宋体" w:cs="Times New Roman"/>
      <w:lang w:val="en-US" w:eastAsia="zh-CN" w:bidi="ar-SA"/>
    </w:rPr>
  </w:style>
  <w:style w:type="paragraph" w:customStyle="1" w:styleId="3532">
    <w:name w:val="样式 样式 样式1 + 首行缩进:  2 字符 + 首行缩进:  2 字符 段前: 0.5 行 段后: 0.5 行"/>
    <w:semiHidden/>
    <w:qFormat/>
    <w:uiPriority w:val="0"/>
    <w:pPr>
      <w:spacing w:before="167" w:after="167"/>
      <w:ind w:firstLine="384"/>
    </w:pPr>
    <w:rPr>
      <w:rFonts w:ascii="Times New Roman" w:hAnsi="Times New Roman" w:eastAsia="宋体" w:cs="Times New Roman"/>
      <w:lang w:val="en-US" w:eastAsia="zh-CN" w:bidi="ar-SA"/>
    </w:rPr>
  </w:style>
  <w:style w:type="paragraph" w:customStyle="1" w:styleId="3533">
    <w:name w:val="样式 样式1 + 首行缩进:  2 字符"/>
    <w:basedOn w:val="169"/>
    <w:semiHidden/>
    <w:qFormat/>
    <w:uiPriority w:val="0"/>
    <w:pPr>
      <w:adjustRightInd/>
      <w:spacing w:beforeLines="50" w:afterLines="50" w:line="480" w:lineRule="atLeast"/>
      <w:ind w:firstLine="200" w:firstLineChars="0"/>
    </w:pPr>
    <w:rPr>
      <w:rFonts w:ascii="仿宋_GB2312" w:cs="宋体" w:eastAsiaTheme="minorEastAsia"/>
      <w:snapToGrid w:val="0"/>
      <w:kern w:val="0"/>
      <w:sz w:val="21"/>
      <w:szCs w:val="20"/>
    </w:rPr>
  </w:style>
  <w:style w:type="character" w:customStyle="1" w:styleId="3534">
    <w:name w:val="样式1 Char1"/>
    <w:qFormat/>
    <w:uiPriority w:val="0"/>
    <w:rPr>
      <w:rFonts w:ascii="宋体" w:hAnsi="Tms Rmn" w:eastAsia="宋体" w:cs="Times New Roman"/>
      <w:color w:val="000000"/>
      <w:kern w:val="0"/>
      <w:sz w:val="24"/>
      <w:szCs w:val="20"/>
    </w:rPr>
  </w:style>
  <w:style w:type="paragraph" w:customStyle="1" w:styleId="3535">
    <w:name w:val="样式 样式 样式 样式1 + 首行缩进:  2 字符 + 首行缩进:  2 字符 段前: 0.5 行 段后: 0.5 行 + 首...1"/>
    <w:basedOn w:val="3532"/>
    <w:semiHidden/>
    <w:qFormat/>
    <w:uiPriority w:val="0"/>
    <w:pPr>
      <w:ind w:firstLine="464"/>
    </w:pPr>
  </w:style>
  <w:style w:type="paragraph" w:customStyle="1" w:styleId="353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Times New Roman" w:hAnsi="Times New Roman" w:cs="Times New Roman"/>
      <w:szCs w:val="20"/>
    </w:rPr>
  </w:style>
  <w:style w:type="character" w:customStyle="1" w:styleId="3537">
    <w:name w:val="表格 5 Char"/>
    <w:link w:val="1748"/>
    <w:qFormat/>
    <w:uiPriority w:val="0"/>
    <w:rPr>
      <w:rFonts w:ascii="宋体" w:hAnsi="Times New Roman" w:cs="Times New Roman"/>
      <w:sz w:val="22"/>
      <w:szCs w:val="26"/>
    </w:rPr>
  </w:style>
  <w:style w:type="paragraph" w:customStyle="1" w:styleId="3538">
    <w:name w:val="样式 样式 宋体 四号 黑色 行距: 固定值 30 磅 + 首行缩进:  2 字符"/>
    <w:basedOn w:val="1"/>
    <w:qFormat/>
    <w:uiPriority w:val="0"/>
    <w:pPr>
      <w:spacing w:line="360" w:lineRule="auto"/>
      <w:ind w:firstLine="480" w:firstLineChars="200"/>
      <w:jc w:val="center"/>
    </w:pPr>
    <w:rPr>
      <w:rFonts w:ascii="宋体" w:hAnsi="宋体" w:cs="Times New Roman"/>
      <w:color w:val="000000"/>
      <w:sz w:val="24"/>
      <w:szCs w:val="20"/>
    </w:rPr>
  </w:style>
  <w:style w:type="paragraph" w:customStyle="1" w:styleId="3539">
    <w:name w:val="表头[BT]"/>
    <w:basedOn w:val="1"/>
    <w:qFormat/>
    <w:uiPriority w:val="0"/>
    <w:pPr>
      <w:adjustRightInd w:val="0"/>
      <w:spacing w:after="120"/>
      <w:jc w:val="center"/>
    </w:pPr>
    <w:rPr>
      <w:rFonts w:hint="eastAsia" w:ascii="楷体_GB2312" w:hAnsi="Times New Roman" w:eastAsia="楷体_GB2312" w:cs="Times New Roman"/>
      <w:kern w:val="0"/>
      <w:szCs w:val="20"/>
    </w:rPr>
  </w:style>
  <w:style w:type="paragraph" w:customStyle="1" w:styleId="3540">
    <w:name w:val="样式 宋体 小四 首行缩进:  0.69 厘米"/>
    <w:basedOn w:val="1"/>
    <w:qFormat/>
    <w:uiPriority w:val="0"/>
    <w:pPr>
      <w:ind w:firstLine="560" w:firstLineChars="200"/>
      <w:jc w:val="left"/>
    </w:pPr>
    <w:rPr>
      <w:rFonts w:ascii="宋体" w:hAnsi="宋体" w:cs="Times New Roman"/>
      <w:sz w:val="28"/>
      <w:szCs w:val="28"/>
    </w:rPr>
  </w:style>
  <w:style w:type="paragraph" w:customStyle="1" w:styleId="3541">
    <w:name w:val="样式 样式 正文首行缩进 + 首行缩进:  2 字符"/>
    <w:basedOn w:val="1"/>
    <w:next w:val="1"/>
    <w:qFormat/>
    <w:uiPriority w:val="0"/>
    <w:pPr>
      <w:spacing w:line="360" w:lineRule="auto"/>
      <w:ind w:firstLine="480"/>
      <w:jc w:val="left"/>
    </w:pPr>
    <w:rPr>
      <w:rFonts w:ascii="Times New Roman" w:hAnsi="Times New Roman" w:cs="Times New Roman"/>
      <w:sz w:val="24"/>
      <w:szCs w:val="20"/>
    </w:rPr>
  </w:style>
  <w:style w:type="paragraph" w:customStyle="1" w:styleId="3542">
    <w:name w:val="样式 正文首行缩进"/>
    <w:basedOn w:val="86"/>
    <w:next w:val="86"/>
    <w:qFormat/>
    <w:uiPriority w:val="0"/>
    <w:pPr>
      <w:adjustRightInd/>
      <w:spacing w:beforeLines="0" w:after="0" w:line="360" w:lineRule="auto"/>
      <w:ind w:firstLine="200" w:firstLineChars="0"/>
    </w:pPr>
    <w:rPr>
      <w:rFonts w:ascii="Calibri" w:hAnsi="Calibri"/>
      <w:b/>
      <w:kern w:val="2"/>
    </w:rPr>
  </w:style>
  <w:style w:type="paragraph" w:customStyle="1" w:styleId="3543">
    <w:name w:val="样式 宋体 四号 黑色 行距: 固定值 30 磅"/>
    <w:basedOn w:val="1"/>
    <w:qFormat/>
    <w:uiPriority w:val="0"/>
    <w:pPr>
      <w:spacing w:line="500" w:lineRule="exact"/>
      <w:ind w:firstLine="200" w:firstLineChars="200"/>
      <w:jc w:val="left"/>
    </w:pPr>
    <w:rPr>
      <w:rFonts w:ascii="宋体" w:hAnsi="宋体" w:cs="Times New Roman"/>
      <w:color w:val="000000"/>
      <w:sz w:val="28"/>
      <w:szCs w:val="20"/>
    </w:rPr>
  </w:style>
  <w:style w:type="paragraph" w:customStyle="1" w:styleId="3544">
    <w:name w:val="样式 标题 1 + 宋体"/>
    <w:basedOn w:val="3"/>
    <w:qFormat/>
    <w:uiPriority w:val="0"/>
    <w:pPr>
      <w:keepLines w:val="0"/>
      <w:widowControl w:val="0"/>
    </w:pPr>
    <w:rPr>
      <w:rFonts w:ascii="宋体" w:hAnsi="宋体" w:cs="Times New Roman"/>
      <w:bCs w:val="0"/>
      <w:snapToGrid w:val="0"/>
      <w:color w:val="000000" w:themeColor="text1"/>
      <w:kern w:val="0"/>
      <w:sz w:val="32"/>
      <w:szCs w:val="32"/>
      <w14:textFill>
        <w14:solidFill>
          <w14:schemeClr w14:val="tx1"/>
        </w14:solidFill>
      </w14:textFill>
    </w:rPr>
  </w:style>
  <w:style w:type="character" w:customStyle="1" w:styleId="3545">
    <w:name w:val="样式 标题 1 + 宋体 Char"/>
    <w:qFormat/>
    <w:uiPriority w:val="0"/>
    <w:rPr>
      <w:rFonts w:ascii="宋体" w:hAnsi="宋体" w:eastAsia="宋体" w:cs="Times New Roman"/>
      <w:b/>
      <w:snapToGrid w:val="0"/>
      <w:kern w:val="44"/>
      <w:sz w:val="32"/>
      <w:szCs w:val="32"/>
      <w:lang w:val="en-US" w:eastAsia="zh-CN" w:bidi="ar-SA"/>
    </w:rPr>
  </w:style>
  <w:style w:type="paragraph" w:customStyle="1" w:styleId="3546">
    <w:name w:val="样式 标题 3 + 宋体 小三"/>
    <w:basedOn w:val="5"/>
    <w:qFormat/>
    <w:uiPriority w:val="0"/>
    <w:pPr>
      <w:spacing w:beforeLines="10" w:line="240" w:lineRule="auto"/>
    </w:pPr>
    <w:rPr>
      <w:rFonts w:ascii="宋体" w:hAnsi="宋体" w:cs="Times New Roman" w:eastAsiaTheme="minorEastAsia"/>
      <w:bCs w:val="0"/>
      <w:sz w:val="30"/>
      <w:szCs w:val="20"/>
    </w:rPr>
  </w:style>
  <w:style w:type="paragraph" w:customStyle="1" w:styleId="3547">
    <w:name w:val="样式 标题 2标题 2 Char + 宋体"/>
    <w:basedOn w:val="4"/>
    <w:qFormat/>
    <w:uiPriority w:val="0"/>
    <w:pPr>
      <w:spacing w:after="120" w:line="240" w:lineRule="auto"/>
      <w:jc w:val="both"/>
    </w:pPr>
    <w:rPr>
      <w:rFonts w:ascii="宋体" w:hAnsi="宋体" w:cs="Times New Roman" w:eastAsiaTheme="minorEastAsia"/>
      <w:bCs w:val="0"/>
      <w:color w:val="000000" w:themeColor="text1"/>
      <w:sz w:val="32"/>
      <w:szCs w:val="24"/>
      <w14:textFill>
        <w14:solidFill>
          <w14:schemeClr w14:val="tx1"/>
        </w14:solidFill>
      </w14:textFill>
    </w:rPr>
  </w:style>
  <w:style w:type="paragraph" w:customStyle="1" w:styleId="3548">
    <w:name w:val="样式 宋体 四号 行距: 固定值 26 磅"/>
    <w:basedOn w:val="1"/>
    <w:qFormat/>
    <w:uiPriority w:val="0"/>
    <w:pPr>
      <w:spacing w:line="500" w:lineRule="exact"/>
      <w:ind w:firstLine="560" w:firstLineChars="200"/>
      <w:jc w:val="left"/>
    </w:pPr>
    <w:rPr>
      <w:rFonts w:ascii="宋体" w:hAnsi="宋体" w:cs="Times New Roman"/>
      <w:sz w:val="28"/>
      <w:szCs w:val="20"/>
    </w:rPr>
  </w:style>
  <w:style w:type="paragraph" w:customStyle="1" w:styleId="3549">
    <w:name w:val="样式 标题 3 + 宋体"/>
    <w:basedOn w:val="5"/>
    <w:qFormat/>
    <w:uiPriority w:val="0"/>
    <w:pPr>
      <w:spacing w:beforeLines="10"/>
    </w:pPr>
    <w:rPr>
      <w:rFonts w:ascii="宋体" w:hAnsi="宋体" w:cs="Times New Roman" w:eastAsiaTheme="minorEastAsia"/>
      <w:bCs w:val="0"/>
      <w:sz w:val="32"/>
      <w:szCs w:val="20"/>
    </w:rPr>
  </w:style>
  <w:style w:type="paragraph" w:customStyle="1" w:styleId="3550">
    <w:name w:val="样式 宋体 四号 首行缩进:  0.74 厘米 行距: 1.5 倍行距"/>
    <w:basedOn w:val="1"/>
    <w:qFormat/>
    <w:uiPriority w:val="0"/>
    <w:pPr>
      <w:spacing w:line="500" w:lineRule="exact"/>
      <w:ind w:firstLine="200" w:firstLineChars="200"/>
      <w:jc w:val="left"/>
    </w:pPr>
    <w:rPr>
      <w:rFonts w:ascii="宋体" w:hAnsi="宋体" w:cs="Times New Roman"/>
      <w:sz w:val="28"/>
      <w:szCs w:val="20"/>
    </w:rPr>
  </w:style>
  <w:style w:type="paragraph" w:customStyle="1" w:styleId="3551">
    <w:name w:val="样式 宋体 四号 黑色 行距: 固定值 26 磅"/>
    <w:basedOn w:val="1"/>
    <w:qFormat/>
    <w:uiPriority w:val="0"/>
    <w:pPr>
      <w:spacing w:line="520" w:lineRule="exact"/>
      <w:ind w:firstLine="560" w:firstLineChars="200"/>
      <w:jc w:val="left"/>
    </w:pPr>
    <w:rPr>
      <w:rFonts w:ascii="宋体" w:hAnsi="宋体" w:cs="Times New Roman"/>
      <w:color w:val="000000"/>
      <w:sz w:val="28"/>
      <w:szCs w:val="20"/>
    </w:rPr>
  </w:style>
  <w:style w:type="paragraph" w:customStyle="1" w:styleId="3552">
    <w:name w:val="样式 正文缩进正文（首行缩进两字）正文（首行缩进两字） Char + (符号) 宋体 首行缩进:  0 厘米"/>
    <w:basedOn w:val="1"/>
    <w:qFormat/>
    <w:uiPriority w:val="0"/>
    <w:pPr>
      <w:spacing w:line="500" w:lineRule="exact"/>
      <w:ind w:firstLine="200" w:firstLineChars="200"/>
      <w:jc w:val="left"/>
    </w:pPr>
    <w:rPr>
      <w:rFonts w:ascii="宋体" w:hAnsi="宋体" w:cs="Times New Roman"/>
      <w:sz w:val="28"/>
      <w:szCs w:val="20"/>
    </w:rPr>
  </w:style>
  <w:style w:type="paragraph" w:customStyle="1" w:styleId="3553">
    <w:name w:val="样式 正文缩进正文（首行缩进两字）正文（首行缩进两字） Char + (符号) 宋体 首行缩进:  0.85 厘米"/>
    <w:basedOn w:val="1"/>
    <w:qFormat/>
    <w:uiPriority w:val="0"/>
    <w:pPr>
      <w:spacing w:line="500" w:lineRule="atLeast"/>
      <w:ind w:firstLine="560" w:firstLineChars="200"/>
      <w:jc w:val="left"/>
    </w:pPr>
    <w:rPr>
      <w:rFonts w:ascii="宋体" w:hAnsi="宋体" w:cs="Times New Roman"/>
      <w:sz w:val="28"/>
      <w:szCs w:val="20"/>
    </w:rPr>
  </w:style>
  <w:style w:type="character" w:customStyle="1" w:styleId="3554">
    <w:name w:val="样式 标题 3小节标题 + 非加粗 Char"/>
    <w:qFormat/>
    <w:uiPriority w:val="0"/>
    <w:rPr>
      <w:rFonts w:eastAsia="宋体"/>
      <w:b/>
      <w:kern w:val="2"/>
      <w:sz w:val="28"/>
      <w:szCs w:val="28"/>
      <w:lang w:val="en-US" w:eastAsia="zh-CN" w:bidi="ar-SA"/>
    </w:rPr>
  </w:style>
  <w:style w:type="character" w:customStyle="1" w:styleId="3555">
    <w:name w:val="样式 加粗"/>
    <w:qFormat/>
    <w:uiPriority w:val="0"/>
    <w:rPr>
      <w:b/>
      <w:bCs/>
    </w:rPr>
  </w:style>
  <w:style w:type="paragraph" w:customStyle="1" w:styleId="3556">
    <w:name w:val="正文111111111"/>
    <w:basedOn w:val="1"/>
    <w:link w:val="3557"/>
    <w:qFormat/>
    <w:uiPriority w:val="0"/>
    <w:pPr>
      <w:adjustRightInd w:val="0"/>
      <w:spacing w:line="480" w:lineRule="atLeast"/>
      <w:ind w:firstLine="200" w:firstLineChars="200"/>
      <w:jc w:val="left"/>
    </w:pPr>
    <w:rPr>
      <w:rFonts w:ascii="Times New Roman" w:hAnsi="Times New Roman" w:eastAsia="仿宋_GB2312" w:cs="Times New Roman"/>
      <w:sz w:val="24"/>
      <w:szCs w:val="20"/>
    </w:rPr>
  </w:style>
  <w:style w:type="character" w:customStyle="1" w:styleId="3557">
    <w:name w:val="正文111111111 Char"/>
    <w:link w:val="3556"/>
    <w:qFormat/>
    <w:uiPriority w:val="0"/>
    <w:rPr>
      <w:rFonts w:ascii="Times New Roman" w:hAnsi="Times New Roman" w:eastAsia="仿宋_GB2312" w:cs="Times New Roman"/>
      <w:sz w:val="24"/>
      <w:szCs w:val="20"/>
    </w:rPr>
  </w:style>
  <w:style w:type="paragraph" w:customStyle="1" w:styleId="3558">
    <w:name w:val="正文11111111"/>
    <w:basedOn w:val="1"/>
    <w:qFormat/>
    <w:uiPriority w:val="0"/>
    <w:pPr>
      <w:spacing w:line="440" w:lineRule="exact"/>
      <w:ind w:firstLine="200" w:firstLineChars="200"/>
      <w:jc w:val="left"/>
    </w:pPr>
    <w:rPr>
      <w:rFonts w:ascii="Times New Roman" w:hAnsi="Times New Roman" w:cs="宋体"/>
      <w:sz w:val="24"/>
      <w:szCs w:val="20"/>
    </w:rPr>
  </w:style>
  <w:style w:type="paragraph" w:customStyle="1" w:styleId="3559">
    <w:name w:val="样式 样式 样式 标题 1 + 段前: 0.5 行 段后: 0.5 行 + 段前: 0.5 行 段后: 0.5 行 + 段前: ..."/>
    <w:basedOn w:val="1"/>
    <w:qFormat/>
    <w:uiPriority w:val="0"/>
    <w:pPr>
      <w:keepNext/>
      <w:pageBreakBefore/>
      <w:widowControl/>
      <w:tabs>
        <w:tab w:val="left" w:pos="1560"/>
      </w:tabs>
      <w:spacing w:beforeLines="50" w:afterLines="50" w:line="360" w:lineRule="auto"/>
      <w:ind w:left="1560" w:hanging="990"/>
      <w:jc w:val="center"/>
      <w:outlineLvl w:val="0"/>
    </w:pPr>
    <w:rPr>
      <w:rFonts w:ascii="Times New Roman" w:hAnsi="Times New Roman" w:eastAsia="黑体" w:cs="宋体"/>
      <w:b/>
      <w:bCs/>
      <w:kern w:val="44"/>
      <w:sz w:val="30"/>
      <w:szCs w:val="20"/>
    </w:rPr>
  </w:style>
  <w:style w:type="paragraph" w:customStyle="1" w:styleId="3560">
    <w:name w:val="样式 行距: 单倍行距"/>
    <w:basedOn w:val="1"/>
    <w:qFormat/>
    <w:uiPriority w:val="0"/>
    <w:pPr>
      <w:jc w:val="left"/>
    </w:pPr>
    <w:rPr>
      <w:rFonts w:ascii="Times New Roman" w:hAnsi="Times New Roman" w:cs="宋体"/>
      <w:sz w:val="24"/>
      <w:szCs w:val="24"/>
    </w:rPr>
  </w:style>
  <w:style w:type="paragraph" w:customStyle="1" w:styleId="3561">
    <w:name w:val="正文1 Char Char Char Char Char"/>
    <w:basedOn w:val="1"/>
    <w:link w:val="3562"/>
    <w:qFormat/>
    <w:uiPriority w:val="0"/>
    <w:pPr>
      <w:spacing w:line="360" w:lineRule="auto"/>
      <w:ind w:firstLine="480" w:firstLineChars="200"/>
      <w:jc w:val="left"/>
    </w:pPr>
    <w:rPr>
      <w:rFonts w:ascii="Times New Roman" w:hAnsi="Times New Roman" w:cs="Times New Roman"/>
      <w:sz w:val="24"/>
      <w:szCs w:val="24"/>
    </w:rPr>
  </w:style>
  <w:style w:type="character" w:customStyle="1" w:styleId="3562">
    <w:name w:val="正文1 Char Char Char Char Char Char"/>
    <w:link w:val="3561"/>
    <w:qFormat/>
    <w:uiPriority w:val="0"/>
    <w:rPr>
      <w:rFonts w:ascii="Times New Roman" w:hAnsi="Times New Roman" w:cs="Times New Roman"/>
      <w:sz w:val="24"/>
      <w:szCs w:val="24"/>
    </w:rPr>
  </w:style>
  <w:style w:type="paragraph" w:customStyle="1" w:styleId="3563">
    <w:name w:val="正文1 Char Char Char"/>
    <w:basedOn w:val="1"/>
    <w:qFormat/>
    <w:uiPriority w:val="0"/>
    <w:pPr>
      <w:spacing w:line="360" w:lineRule="auto"/>
      <w:ind w:firstLine="480" w:firstLineChars="200"/>
      <w:jc w:val="left"/>
    </w:pPr>
    <w:rPr>
      <w:rFonts w:ascii="Times New Roman" w:hAnsi="Times New Roman" w:cs="Times New Roman"/>
      <w:sz w:val="24"/>
      <w:szCs w:val="24"/>
    </w:rPr>
  </w:style>
  <w:style w:type="paragraph" w:customStyle="1" w:styleId="3564">
    <w:name w:val="样式 标题 2 + (中文) 黑体 四号"/>
    <w:basedOn w:val="4"/>
    <w:qFormat/>
    <w:uiPriority w:val="0"/>
    <w:pPr>
      <w:spacing w:before="100" w:beforeAutospacing="1" w:after="100" w:afterAutospacing="1"/>
    </w:pPr>
    <w:rPr>
      <w:rFonts w:eastAsia="Times New Roman" w:cs="Times New Roman"/>
      <w:b w:val="0"/>
      <w:bCs w:val="0"/>
      <w:color w:val="000000" w:themeColor="text1"/>
      <w:szCs w:val="28"/>
      <w14:textFill>
        <w14:solidFill>
          <w14:schemeClr w14:val="tx1"/>
        </w14:solidFill>
      </w14:textFill>
    </w:rPr>
  </w:style>
  <w:style w:type="paragraph" w:customStyle="1" w:styleId="3565">
    <w:name w:val="样式 样式 标题 3 + 左侧:  0.51 厘米 首行缩进:  0 厘米 + 升高量  1 磅 行距: 单倍行距"/>
    <w:basedOn w:val="1"/>
    <w:qFormat/>
    <w:uiPriority w:val="0"/>
    <w:pPr>
      <w:keepNext/>
      <w:keepLines/>
      <w:spacing w:line="560" w:lineRule="exact"/>
      <w:jc w:val="left"/>
      <w:outlineLvl w:val="2"/>
    </w:pPr>
    <w:rPr>
      <w:rFonts w:ascii="Times New Roman" w:hAnsi="Times New Roman" w:cs="宋体"/>
      <w:spacing w:val="10"/>
      <w:position w:val="2"/>
      <w:sz w:val="24"/>
      <w:szCs w:val="20"/>
    </w:rPr>
  </w:style>
  <w:style w:type="paragraph" w:customStyle="1" w:styleId="3566">
    <w:name w:val="样式 标题 4 + 左侧:  1 字符"/>
    <w:basedOn w:val="6"/>
    <w:qFormat/>
    <w:uiPriority w:val="0"/>
    <w:pPr>
      <w:tabs>
        <w:tab w:val="left" w:pos="0"/>
      </w:tabs>
      <w:spacing w:beforeAutospacing="1" w:afterAutospacing="1"/>
      <w:ind w:left="150" w:leftChars="150"/>
      <w:jc w:val="both"/>
    </w:pPr>
    <w:rPr>
      <w:rFonts w:cs="宋体" w:eastAsiaTheme="minorEastAsia"/>
      <w:b w:val="0"/>
      <w:bCs w:val="0"/>
      <w:i/>
      <w:iCs/>
      <w:szCs w:val="24"/>
    </w:rPr>
  </w:style>
  <w:style w:type="paragraph" w:customStyle="1" w:styleId="3567">
    <w:name w:val="样式 标题 4 + 左侧:  1 字符1"/>
    <w:basedOn w:val="6"/>
    <w:qFormat/>
    <w:uiPriority w:val="0"/>
    <w:pPr>
      <w:tabs>
        <w:tab w:val="left" w:pos="0"/>
      </w:tabs>
      <w:spacing w:beforeAutospacing="1" w:afterAutospacing="1" w:line="240" w:lineRule="auto"/>
      <w:ind w:left="100" w:leftChars="100"/>
      <w:jc w:val="both"/>
    </w:pPr>
    <w:rPr>
      <w:rFonts w:cs="宋体" w:eastAsiaTheme="minorEastAsia"/>
      <w:b w:val="0"/>
      <w:bCs w:val="0"/>
      <w:i/>
      <w:iCs/>
      <w:sz w:val="28"/>
    </w:rPr>
  </w:style>
  <w:style w:type="paragraph" w:customStyle="1" w:styleId="3568">
    <w:name w:val="样式 标题 4 + 左侧:  1 字符2"/>
    <w:basedOn w:val="6"/>
    <w:qFormat/>
    <w:uiPriority w:val="0"/>
    <w:pPr>
      <w:tabs>
        <w:tab w:val="left" w:pos="0"/>
      </w:tabs>
      <w:spacing w:beforeAutospacing="1" w:afterAutospacing="1" w:line="240" w:lineRule="auto"/>
      <w:ind w:left="100" w:leftChars="100"/>
      <w:jc w:val="both"/>
    </w:pPr>
    <w:rPr>
      <w:rFonts w:cs="宋体" w:eastAsiaTheme="minorEastAsia"/>
      <w:b w:val="0"/>
      <w:bCs w:val="0"/>
      <w:i/>
      <w:iCs/>
      <w:sz w:val="28"/>
    </w:rPr>
  </w:style>
  <w:style w:type="paragraph" w:customStyle="1" w:styleId="3569">
    <w:name w:val="样式 样式 标题 4 + 左侧:  1 字符2 + 左  0 字符"/>
    <w:basedOn w:val="3568"/>
    <w:qFormat/>
    <w:uiPriority w:val="0"/>
    <w:pPr>
      <w:spacing w:line="240" w:lineRule="exact"/>
      <w:ind w:left="0" w:leftChars="0"/>
    </w:pPr>
    <w:rPr>
      <w:i w:val="0"/>
      <w:sz w:val="24"/>
      <w:szCs w:val="20"/>
    </w:rPr>
  </w:style>
  <w:style w:type="paragraph" w:customStyle="1" w:styleId="3570">
    <w:name w:val="报告表格"/>
    <w:basedOn w:val="1"/>
    <w:qFormat/>
    <w:uiPriority w:val="0"/>
    <w:pPr>
      <w:autoSpaceDE w:val="0"/>
      <w:autoSpaceDN w:val="0"/>
      <w:adjustRightInd w:val="0"/>
      <w:spacing w:after="40"/>
      <w:jc w:val="center"/>
      <w:textAlignment w:val="bottom"/>
    </w:pPr>
    <w:rPr>
      <w:rFonts w:ascii="Times New Roman" w:hAnsi="Times New Roman" w:cs="Times New Roman"/>
      <w:kern w:val="0"/>
      <w:szCs w:val="20"/>
    </w:rPr>
  </w:style>
  <w:style w:type="paragraph" w:customStyle="1" w:styleId="3571">
    <w:name w:val="样式 样式 标题 2 + (中文) 黑体 四号 + (中文) 黑体"/>
    <w:basedOn w:val="3564"/>
    <w:qFormat/>
    <w:uiPriority w:val="0"/>
    <w:pPr>
      <w:spacing w:line="400" w:lineRule="exact"/>
    </w:pPr>
    <w:rPr>
      <w:rFonts w:eastAsia="黑体"/>
      <w:bCs/>
    </w:rPr>
  </w:style>
  <w:style w:type="paragraph" w:customStyle="1" w:styleId="3572">
    <w:name w:val="段落编号"/>
    <w:basedOn w:val="51"/>
    <w:qFormat/>
    <w:uiPriority w:val="0"/>
    <w:pPr>
      <w:tabs>
        <w:tab w:val="left" w:pos="360"/>
      </w:tabs>
      <w:spacing w:beforeLines="10" w:after="60" w:line="400" w:lineRule="exact"/>
      <w:ind w:left="340" w:leftChars="0" w:hanging="340" w:firstLineChars="0"/>
      <w:jc w:val="center"/>
      <w:textAlignment w:val="baseline"/>
    </w:pPr>
    <w:rPr>
      <w:rFonts w:ascii="Calibri" w:hAnsi="Calibri" w:eastAsiaTheme="minorEastAsia"/>
      <w:snapToGrid w:val="0"/>
      <w:spacing w:val="20"/>
      <w:kern w:val="0"/>
      <w:szCs w:val="20"/>
    </w:rPr>
  </w:style>
  <w:style w:type="paragraph" w:customStyle="1" w:styleId="3573">
    <w:name w:val="样式 样式 标题 3 + 段前: 0.5 行 段后: 0.5 行 + 段前: 0.5 行 段后: 0.5 行"/>
    <w:basedOn w:val="1"/>
    <w:qFormat/>
    <w:uiPriority w:val="0"/>
    <w:pPr>
      <w:widowControl/>
      <w:tabs>
        <w:tab w:val="left" w:pos="840"/>
        <w:tab w:val="left" w:pos="1080"/>
      </w:tabs>
      <w:spacing w:beforeLines="50" w:afterLines="50" w:line="360" w:lineRule="auto"/>
      <w:ind w:left="720" w:hanging="720"/>
      <w:jc w:val="left"/>
      <w:outlineLvl w:val="2"/>
    </w:pPr>
    <w:rPr>
      <w:rFonts w:ascii="Times New Roman" w:hAnsi="Times New Roman" w:eastAsia="黑体" w:cs="Courier New"/>
      <w:b/>
      <w:bCs/>
      <w:sz w:val="28"/>
      <w:szCs w:val="20"/>
    </w:rPr>
  </w:style>
  <w:style w:type="paragraph" w:customStyle="1" w:styleId="3574">
    <w:name w:val="样式 样式 样式 标题 4 + 段前: 0.5 行 段后: 0.5 行 + 段前: 0.5 行 段后: 0.5 行 + 段前: ..."/>
    <w:basedOn w:val="1"/>
    <w:qFormat/>
    <w:uiPriority w:val="0"/>
    <w:pPr>
      <w:widowControl/>
      <w:tabs>
        <w:tab w:val="left" w:pos="864"/>
        <w:tab w:val="left" w:pos="1050"/>
      </w:tabs>
      <w:spacing w:beforeLines="50" w:afterLines="50" w:line="360" w:lineRule="auto"/>
      <w:ind w:left="864" w:hanging="864"/>
      <w:jc w:val="left"/>
      <w:outlineLvl w:val="3"/>
    </w:pPr>
    <w:rPr>
      <w:rFonts w:ascii="Times New Roman" w:hAnsi="Times New Roman" w:eastAsia="黑体" w:cs="Courier New"/>
      <w:b/>
      <w:bCs/>
      <w:sz w:val="28"/>
      <w:szCs w:val="20"/>
    </w:rPr>
  </w:style>
  <w:style w:type="paragraph" w:customStyle="1" w:styleId="3575">
    <w:name w:val="样式 样式 标题 1 + 段前: 0.5 行 段后: 0.5 行 + 段前: 0.5 行 段后: 0.5 行"/>
    <w:basedOn w:val="1"/>
    <w:qFormat/>
    <w:uiPriority w:val="0"/>
    <w:pPr>
      <w:keepNext/>
      <w:pageBreakBefore/>
      <w:widowControl/>
      <w:tabs>
        <w:tab w:val="left" w:pos="420"/>
      </w:tabs>
      <w:spacing w:beforeLines="50" w:afterLines="50" w:line="480" w:lineRule="auto"/>
      <w:ind w:left="420" w:hanging="420"/>
      <w:jc w:val="center"/>
      <w:outlineLvl w:val="0"/>
    </w:pPr>
    <w:rPr>
      <w:rFonts w:ascii="Times New Roman" w:hAnsi="Times New Roman" w:eastAsia="黑体" w:cs="宋体"/>
      <w:b/>
      <w:bCs/>
      <w:kern w:val="44"/>
      <w:sz w:val="30"/>
      <w:szCs w:val="20"/>
    </w:rPr>
  </w:style>
  <w:style w:type="paragraph" w:customStyle="1" w:styleId="3576">
    <w:name w:val="cj"/>
    <w:basedOn w:val="3"/>
    <w:qFormat/>
    <w:uiPriority w:val="0"/>
    <w:pPr>
      <w:widowControl w:val="0"/>
      <w:tabs>
        <w:tab w:val="left" w:pos="720"/>
      </w:tabs>
      <w:ind w:left="720" w:hanging="720"/>
      <w:jc w:val="left"/>
    </w:pPr>
    <w:rPr>
      <w:rFonts w:cs="Times New Roman"/>
      <w:b w:val="0"/>
      <w:bCs w:val="0"/>
      <w:color w:val="000000" w:themeColor="text1"/>
      <w:spacing w:val="8"/>
      <w:kern w:val="0"/>
      <w:sz w:val="30"/>
      <w:szCs w:val="20"/>
      <w14:textFill>
        <w14:solidFill>
          <w14:schemeClr w14:val="tx1"/>
        </w14:solidFill>
      </w14:textFill>
    </w:rPr>
  </w:style>
  <w:style w:type="paragraph" w:customStyle="1" w:styleId="3577">
    <w:name w:val="样式 标题 2 + Times New Roman 四号 行距: 单倍行距"/>
    <w:basedOn w:val="4"/>
    <w:qFormat/>
    <w:uiPriority w:val="0"/>
    <w:pPr>
      <w:spacing w:before="10" w:line="240" w:lineRule="auto"/>
      <w:jc w:val="both"/>
    </w:pPr>
    <w:rPr>
      <w:rFonts w:cs="宋体" w:eastAsiaTheme="minorEastAsia"/>
      <w:bCs w:val="0"/>
      <w:color w:val="000000" w:themeColor="text1"/>
      <w:spacing w:val="16"/>
      <w:szCs w:val="20"/>
      <w14:textFill>
        <w14:solidFill>
          <w14:schemeClr w14:val="tx1"/>
        </w14:solidFill>
      </w14:textFill>
    </w:rPr>
  </w:style>
  <w:style w:type="paragraph" w:customStyle="1" w:styleId="3578">
    <w:name w:val="样式 标题 3 + 四号 段前: 0 磅 段后: 0 磅 行距: 单倍行距"/>
    <w:basedOn w:val="5"/>
    <w:qFormat/>
    <w:uiPriority w:val="0"/>
    <w:pPr>
      <w:spacing w:beforeLines="10" w:line="240" w:lineRule="auto"/>
    </w:pPr>
    <w:rPr>
      <w:rFonts w:ascii="黑体" w:eastAsia="黑体" w:cs="Times New Roman"/>
      <w:b w:val="0"/>
      <w:spacing w:val="16"/>
      <w:sz w:val="28"/>
      <w:szCs w:val="20"/>
    </w:rPr>
  </w:style>
  <w:style w:type="paragraph" w:customStyle="1" w:styleId="3579">
    <w:name w:val="标书标题3"/>
    <w:basedOn w:val="5"/>
    <w:qFormat/>
    <w:uiPriority w:val="0"/>
    <w:pPr>
      <w:keepNext w:val="0"/>
      <w:keepLines w:val="0"/>
      <w:adjustRightInd w:val="0"/>
      <w:spacing w:beforeLines="10" w:line="300" w:lineRule="auto"/>
    </w:pPr>
    <w:rPr>
      <w:rFonts w:ascii="黑体" w:hAnsi="Arial Narrow" w:eastAsia="黑体" w:cs="Times New Roman"/>
      <w:b w:val="0"/>
      <w:bCs w:val="0"/>
      <w:kern w:val="0"/>
      <w:sz w:val="28"/>
      <w:szCs w:val="20"/>
    </w:rPr>
  </w:style>
  <w:style w:type="paragraph" w:customStyle="1" w:styleId="3580">
    <w:name w:val="标书标题1"/>
    <w:basedOn w:val="3"/>
    <w:qFormat/>
    <w:uiPriority w:val="0"/>
    <w:pPr>
      <w:keepNext w:val="0"/>
      <w:keepLines w:val="0"/>
      <w:widowControl w:val="0"/>
      <w:adjustRightInd w:val="0"/>
    </w:pPr>
    <w:rPr>
      <w:rFonts w:ascii="黑体" w:hAnsi="Arial Narrow" w:cs="Times New Roman"/>
      <w:color w:val="000000" w:themeColor="text1"/>
      <w:kern w:val="2"/>
      <w:szCs w:val="20"/>
      <w14:textFill>
        <w14:solidFill>
          <w14:schemeClr w14:val="tx1"/>
        </w14:solidFill>
      </w14:textFill>
    </w:rPr>
  </w:style>
  <w:style w:type="paragraph" w:customStyle="1" w:styleId="3581">
    <w:name w:val="标书标题2"/>
    <w:basedOn w:val="4"/>
    <w:qFormat/>
    <w:uiPriority w:val="0"/>
    <w:pPr>
      <w:keepNext w:val="0"/>
      <w:keepLines w:val="0"/>
      <w:tabs>
        <w:tab w:val="left" w:pos="420"/>
        <w:tab w:val="left" w:pos="630"/>
        <w:tab w:val="left" w:pos="840"/>
        <w:tab w:val="left" w:pos="1680"/>
        <w:tab w:val="left" w:pos="6720"/>
      </w:tabs>
      <w:adjustRightInd w:val="0"/>
      <w:spacing w:before="10"/>
    </w:pPr>
    <w:rPr>
      <w:rFonts w:cs="Times New Roman" w:eastAsiaTheme="minorEastAsia"/>
      <w:b w:val="0"/>
      <w:color w:val="000000" w:themeColor="text1"/>
      <w:kern w:val="0"/>
      <w:szCs w:val="28"/>
      <w14:textFill>
        <w14:solidFill>
          <w14:schemeClr w14:val="tx1"/>
        </w14:solidFill>
      </w14:textFill>
    </w:rPr>
  </w:style>
  <w:style w:type="paragraph" w:customStyle="1" w:styleId="3582">
    <w:name w:val="标书正文"/>
    <w:basedOn w:val="34"/>
    <w:link w:val="3791"/>
    <w:qFormat/>
    <w:uiPriority w:val="0"/>
    <w:pPr>
      <w:tabs>
        <w:tab w:val="left" w:pos="3555"/>
      </w:tabs>
      <w:spacing w:beforeLines="50" w:line="240" w:lineRule="auto"/>
      <w:ind w:firstLine="560" w:firstLineChars="200"/>
    </w:pPr>
    <w:rPr>
      <w:rFonts w:ascii="Calibri" w:hAnsi="Calibri" w:eastAsiaTheme="minorEastAsia"/>
      <w:snapToGrid/>
      <w:sz w:val="28"/>
      <w:szCs w:val="28"/>
    </w:rPr>
  </w:style>
  <w:style w:type="paragraph" w:customStyle="1" w:styleId="3583">
    <w:name w:val="Style2"/>
    <w:basedOn w:val="1"/>
    <w:qFormat/>
    <w:uiPriority w:val="0"/>
    <w:pPr>
      <w:autoSpaceDE w:val="0"/>
      <w:autoSpaceDN w:val="0"/>
      <w:adjustRightInd w:val="0"/>
      <w:spacing w:line="360" w:lineRule="auto"/>
      <w:jc w:val="left"/>
      <w:textAlignment w:val="baseline"/>
    </w:pPr>
    <w:rPr>
      <w:rFonts w:ascii="Arial" w:hAnsi="Arial" w:eastAsia="Times New Roman" w:cs="Times New Roman"/>
      <w:spacing w:val="10"/>
      <w:kern w:val="0"/>
      <w:sz w:val="28"/>
      <w:szCs w:val="20"/>
    </w:rPr>
  </w:style>
  <w:style w:type="paragraph" w:customStyle="1" w:styleId="3584">
    <w:name w:val="Style1"/>
    <w:basedOn w:val="1"/>
    <w:qFormat/>
    <w:uiPriority w:val="0"/>
    <w:pPr>
      <w:widowControl/>
      <w:overflowPunct w:val="0"/>
      <w:autoSpaceDE w:val="0"/>
      <w:autoSpaceDN w:val="0"/>
      <w:adjustRightInd w:val="0"/>
      <w:spacing w:line="360" w:lineRule="auto"/>
      <w:jc w:val="left"/>
      <w:textAlignment w:val="baseline"/>
    </w:pPr>
    <w:rPr>
      <w:rFonts w:ascii="宋体" w:hAnsi="Times New Roman" w:cs="Times New Roman"/>
      <w:spacing w:val="6"/>
      <w:kern w:val="0"/>
      <w:sz w:val="24"/>
      <w:szCs w:val="20"/>
    </w:rPr>
  </w:style>
  <w:style w:type="paragraph" w:customStyle="1" w:styleId="3585">
    <w:name w:val="样式 样式 样式 标题 2 + 段前: 0.5 行 段后: 0.5 行 + 段前: 0.5 行 段后: 0.5 行 +"/>
    <w:basedOn w:val="2061"/>
    <w:qFormat/>
    <w:uiPriority w:val="0"/>
    <w:pPr>
      <w:keepNext w:val="0"/>
      <w:keepLines w:val="0"/>
      <w:widowControl/>
      <w:tabs>
        <w:tab w:val="left" w:pos="1410"/>
      </w:tabs>
      <w:spacing w:before="0" w:line="360" w:lineRule="auto"/>
    </w:pPr>
    <w:rPr>
      <w:rFonts w:eastAsia="黑体" w:cs="宋体"/>
      <w:sz w:val="28"/>
      <w:szCs w:val="20"/>
    </w:rPr>
  </w:style>
  <w:style w:type="paragraph" w:customStyle="1" w:styleId="3586">
    <w:name w:val="样式 样式 样式 标题 3 + 段前: 0.5 行 段后: 0.5 行 + 段前: 0.5 行 段后: 0.5 行 + 段前: ..."/>
    <w:basedOn w:val="3573"/>
    <w:qFormat/>
    <w:uiPriority w:val="0"/>
    <w:pPr>
      <w:tabs>
        <w:tab w:val="left" w:pos="1830"/>
        <w:tab w:val="clear" w:pos="840"/>
        <w:tab w:val="clear" w:pos="1080"/>
      </w:tabs>
      <w:spacing w:beforeLines="0" w:afterLines="0"/>
      <w:ind w:left="1830" w:hanging="420"/>
    </w:pPr>
    <w:rPr>
      <w:rFonts w:cs="宋体"/>
    </w:rPr>
  </w:style>
  <w:style w:type="paragraph" w:customStyle="1" w:styleId="3587">
    <w:name w:val="首行缩进 Char Char"/>
    <w:basedOn w:val="1"/>
    <w:qFormat/>
    <w:uiPriority w:val="0"/>
    <w:pPr>
      <w:spacing w:line="360" w:lineRule="auto"/>
      <w:ind w:firstLine="499"/>
      <w:jc w:val="left"/>
    </w:pPr>
    <w:rPr>
      <w:rFonts w:ascii="宋体" w:hAnsi="Times New Roman" w:cs="Times New Roman"/>
      <w:sz w:val="24"/>
      <w:szCs w:val="20"/>
    </w:rPr>
  </w:style>
  <w:style w:type="paragraph" w:customStyle="1" w:styleId="3588">
    <w:name w:val="内容 Char Char"/>
    <w:basedOn w:val="1"/>
    <w:qFormat/>
    <w:uiPriority w:val="0"/>
    <w:pPr>
      <w:spacing w:line="360" w:lineRule="auto"/>
      <w:ind w:firstLine="420"/>
      <w:jc w:val="left"/>
    </w:pPr>
    <w:rPr>
      <w:rFonts w:ascii="Times New Roman" w:hAnsi="Times New Roman" w:cs="Times New Roman"/>
      <w:sz w:val="28"/>
      <w:szCs w:val="20"/>
    </w:rPr>
  </w:style>
  <w:style w:type="character" w:customStyle="1" w:styleId="3589">
    <w:name w:val="标题1 Char Char"/>
    <w:qFormat/>
    <w:uiPriority w:val="0"/>
    <w:rPr>
      <w:rFonts w:ascii="黑体" w:eastAsia="黑体"/>
      <w:b/>
      <w:sz w:val="36"/>
      <w:lang w:val="en-US" w:eastAsia="zh-CN" w:bidi="ar-SA"/>
    </w:rPr>
  </w:style>
  <w:style w:type="paragraph" w:customStyle="1" w:styleId="3590">
    <w:name w:val="RLC元件"/>
    <w:basedOn w:val="1"/>
    <w:next w:val="1"/>
    <w:qFormat/>
    <w:uiPriority w:val="0"/>
    <w:pPr>
      <w:spacing w:line="360" w:lineRule="exact"/>
      <w:jc w:val="left"/>
      <w:textAlignment w:val="center"/>
    </w:pPr>
    <w:rPr>
      <w:rFonts w:ascii="Times New Roman" w:hAnsi="Times New Roman" w:cs="Times New Roman"/>
      <w:sz w:val="24"/>
      <w:szCs w:val="20"/>
    </w:rPr>
  </w:style>
  <w:style w:type="paragraph" w:customStyle="1" w:styleId="3591">
    <w:name w:val="样式 标题 3style3h3H3sect1.2.3标题 3 Char Charsect1.2.31sect1.2..."/>
    <w:basedOn w:val="5"/>
    <w:qFormat/>
    <w:uiPriority w:val="0"/>
    <w:pPr>
      <w:spacing w:beforeLines="10" w:beforeAutospacing="1" w:after="100" w:afterAutospacing="1" w:line="240" w:lineRule="auto"/>
    </w:pPr>
    <w:rPr>
      <w:rFonts w:eastAsia="黑体" w:cs="宋体"/>
      <w:b w:val="0"/>
      <w:szCs w:val="20"/>
    </w:rPr>
  </w:style>
  <w:style w:type="paragraph" w:customStyle="1" w:styleId="3592">
    <w:name w:val="样式 标题 1 + 黑体 三号 非加粗 Char Char Char Char Char Char Char Char Char Char Char Char Char"/>
    <w:basedOn w:val="3"/>
    <w:link w:val="3593"/>
    <w:qFormat/>
    <w:uiPriority w:val="0"/>
    <w:pPr>
      <w:widowControl w:val="0"/>
      <w:spacing w:beforeAutospacing="1" w:afterAutospacing="1" w:line="480" w:lineRule="auto"/>
    </w:pPr>
    <w:rPr>
      <w:rFonts w:ascii="黑体" w:hAnsi="黑体" w:cs="Times New Roman"/>
      <w:color w:val="000000" w:themeColor="text1"/>
      <w:kern w:val="0"/>
      <w:sz w:val="30"/>
      <w:szCs w:val="28"/>
      <w14:textFill>
        <w14:solidFill>
          <w14:schemeClr w14:val="tx1"/>
        </w14:solidFill>
      </w14:textFill>
    </w:rPr>
  </w:style>
  <w:style w:type="character" w:customStyle="1" w:styleId="3593">
    <w:name w:val="样式 标题 1 + 黑体 三号 非加粗 Char Char Char Char Char Char Char Char Char Char Char Char Char Char"/>
    <w:link w:val="3592"/>
    <w:qFormat/>
    <w:uiPriority w:val="0"/>
    <w:rPr>
      <w:rFonts w:ascii="黑体" w:hAnsi="黑体" w:eastAsia="宋体" w:cs="Times New Roman"/>
      <w:b/>
      <w:bCs/>
      <w:color w:val="000000" w:themeColor="text1"/>
      <w:kern w:val="0"/>
      <w:sz w:val="30"/>
      <w:szCs w:val="28"/>
      <w14:textFill>
        <w14:solidFill>
          <w14:schemeClr w14:val="tx1"/>
        </w14:solidFill>
      </w14:textFill>
    </w:rPr>
  </w:style>
  <w:style w:type="paragraph" w:customStyle="1" w:styleId="3594">
    <w:name w:val="样式 正文首行缩进 2 + 四号 首行缩进:  2 字符"/>
    <w:basedOn w:val="87"/>
    <w:qFormat/>
    <w:uiPriority w:val="0"/>
    <w:pPr>
      <w:adjustRightInd/>
      <w:snapToGrid/>
      <w:spacing w:beforeLines="0" w:after="0" w:line="360" w:lineRule="auto"/>
      <w:ind w:left="0" w:leftChars="0" w:firstLine="200"/>
    </w:pPr>
    <w:rPr>
      <w:rFonts w:ascii="Calibri" w:hAnsi="Calibri" w:cs="宋体"/>
      <w:snapToGrid/>
      <w:kern w:val="2"/>
      <w:szCs w:val="22"/>
    </w:rPr>
  </w:style>
  <w:style w:type="paragraph" w:customStyle="1" w:styleId="3595">
    <w:name w:val="样式 标题 1 + (中文) 黑体 三号 Char"/>
    <w:basedOn w:val="3"/>
    <w:link w:val="3596"/>
    <w:qFormat/>
    <w:uiPriority w:val="0"/>
    <w:pPr>
      <w:widowControl w:val="0"/>
      <w:spacing w:beforeAutospacing="1" w:afterAutospacing="1" w:line="480" w:lineRule="auto"/>
    </w:pPr>
    <w:rPr>
      <w:rFonts w:ascii="Arial" w:hAnsi="Arial" w:cs="Times New Roman"/>
      <w:color w:val="000000" w:themeColor="text1"/>
      <w:kern w:val="0"/>
      <w:sz w:val="30"/>
      <w:szCs w:val="28"/>
      <w14:textFill>
        <w14:solidFill>
          <w14:schemeClr w14:val="tx1"/>
        </w14:solidFill>
      </w14:textFill>
    </w:rPr>
  </w:style>
  <w:style w:type="character" w:customStyle="1" w:styleId="3596">
    <w:name w:val="样式 标题 1 + (中文) 黑体 三号 Char Char"/>
    <w:link w:val="3595"/>
    <w:qFormat/>
    <w:uiPriority w:val="0"/>
    <w:rPr>
      <w:rFonts w:ascii="Arial" w:hAnsi="Arial" w:eastAsia="宋体" w:cs="Times New Roman"/>
      <w:b/>
      <w:bCs/>
      <w:color w:val="000000" w:themeColor="text1"/>
      <w:kern w:val="0"/>
      <w:sz w:val="30"/>
      <w:szCs w:val="28"/>
      <w14:textFill>
        <w14:solidFill>
          <w14:schemeClr w14:val="tx1"/>
        </w14:solidFill>
      </w14:textFill>
    </w:rPr>
  </w:style>
  <w:style w:type="paragraph" w:customStyle="1" w:styleId="3597">
    <w:name w:val="样式 标题 1 + (中文) 黑体 三号"/>
    <w:basedOn w:val="3"/>
    <w:qFormat/>
    <w:uiPriority w:val="0"/>
    <w:pPr>
      <w:widowControl w:val="0"/>
      <w:spacing w:beforeAutospacing="1" w:afterAutospacing="1" w:line="480" w:lineRule="auto"/>
    </w:pPr>
    <w:rPr>
      <w:rFonts w:cs="Arial"/>
      <w:b w:val="0"/>
      <w:color w:val="000000" w:themeColor="text1"/>
      <w:kern w:val="0"/>
      <w:sz w:val="30"/>
      <w:szCs w:val="28"/>
      <w14:textFill>
        <w14:solidFill>
          <w14:schemeClr w14:val="tx1"/>
        </w14:solidFill>
      </w14:textFill>
    </w:rPr>
  </w:style>
  <w:style w:type="paragraph" w:customStyle="1" w:styleId="3598">
    <w:name w:val="Char Char Char Char Char Char Char Char1 Char"/>
    <w:basedOn w:val="1"/>
    <w:qFormat/>
    <w:uiPriority w:val="0"/>
    <w:pPr>
      <w:jc w:val="left"/>
    </w:pPr>
    <w:rPr>
      <w:rFonts w:ascii="Tahoma" w:hAnsi="Tahoma" w:eastAsia="仿宋_GB2312" w:cs="Times New Roman"/>
      <w:sz w:val="24"/>
      <w:szCs w:val="20"/>
    </w:rPr>
  </w:style>
  <w:style w:type="character" w:customStyle="1" w:styleId="3599">
    <w:name w:val="contentwordstext1"/>
    <w:qFormat/>
    <w:uiPriority w:val="0"/>
    <w:rPr>
      <w:rFonts w:hint="default" w:ascii="ˎ̥" w:hAnsi="ˎ̥"/>
      <w:sz w:val="21"/>
      <w:szCs w:val="21"/>
    </w:rPr>
  </w:style>
  <w:style w:type="character" w:customStyle="1" w:styleId="3600">
    <w:name w:val="样式 五号"/>
    <w:qFormat/>
    <w:uiPriority w:val="0"/>
    <w:rPr>
      <w:rFonts w:ascii="Times New Roman" w:hAnsi="Times New Roman" w:eastAsia="宋体"/>
      <w:sz w:val="21"/>
      <w:szCs w:val="21"/>
    </w:rPr>
  </w:style>
  <w:style w:type="paragraph" w:customStyle="1" w:styleId="3601">
    <w:name w:val="样式 标题 3 + 左侧:  0.51 厘米 首行缩进:  0 厘米"/>
    <w:basedOn w:val="5"/>
    <w:qFormat/>
    <w:uiPriority w:val="0"/>
    <w:pPr>
      <w:tabs>
        <w:tab w:val="left" w:pos="720"/>
      </w:tabs>
      <w:spacing w:beforeLines="10"/>
      <w:ind w:left="720" w:hanging="432"/>
    </w:pPr>
    <w:rPr>
      <w:rFonts w:cs="宋体" w:eastAsiaTheme="minorEastAsia"/>
      <w:b w:val="0"/>
      <w:szCs w:val="20"/>
    </w:rPr>
  </w:style>
  <w:style w:type="character" w:customStyle="1" w:styleId="3602">
    <w:name w:val="Title Char"/>
    <w:qFormat/>
    <w:locked/>
    <w:uiPriority w:val="0"/>
    <w:rPr>
      <w:rFonts w:ascii="Cambria" w:hAnsi="Cambria" w:eastAsia="宋体"/>
      <w:caps/>
      <w:color w:val="632423"/>
      <w:spacing w:val="50"/>
      <w:sz w:val="44"/>
      <w:szCs w:val="44"/>
      <w:lang w:val="en-US" w:eastAsia="en-US" w:bidi="ar-SA"/>
    </w:rPr>
  </w:style>
  <w:style w:type="character" w:customStyle="1" w:styleId="3603">
    <w:name w:val="No Spacing Char"/>
    <w:qFormat/>
    <w:locked/>
    <w:uiPriority w:val="0"/>
    <w:rPr>
      <w:rFonts w:ascii="Times New Roman" w:hAnsi="Times New Roman" w:eastAsia="宋体" w:cs="Times New Roman"/>
      <w:kern w:val="0"/>
      <w:sz w:val="22"/>
    </w:rPr>
  </w:style>
  <w:style w:type="character" w:customStyle="1" w:styleId="3604">
    <w:name w:val="明显强调11"/>
    <w:qFormat/>
    <w:uiPriority w:val="0"/>
    <w:rPr>
      <w:i/>
      <w:caps/>
      <w:spacing w:val="10"/>
      <w:sz w:val="20"/>
    </w:rPr>
  </w:style>
  <w:style w:type="character" w:customStyle="1" w:styleId="3605">
    <w:name w:val="不明显参考11"/>
    <w:qFormat/>
    <w:uiPriority w:val="0"/>
    <w:rPr>
      <w:rFonts w:ascii="Calibri" w:hAnsi="Calibri" w:eastAsia="宋体" w:cs="Times New Roman"/>
      <w:i/>
      <w:iCs/>
      <w:color w:val="622423"/>
    </w:rPr>
  </w:style>
  <w:style w:type="character" w:customStyle="1" w:styleId="3606">
    <w:name w:val="明显参考11"/>
    <w:qFormat/>
    <w:uiPriority w:val="0"/>
    <w:rPr>
      <w:rFonts w:ascii="Calibri" w:hAnsi="Calibri" w:eastAsia="宋体"/>
      <w:b/>
      <w:i/>
      <w:color w:val="622423"/>
    </w:rPr>
  </w:style>
  <w:style w:type="character" w:customStyle="1" w:styleId="3607">
    <w:name w:val="文本框文字 Char"/>
    <w:link w:val="1997"/>
    <w:qFormat/>
    <w:locked/>
    <w:uiPriority w:val="0"/>
    <w:rPr>
      <w:rFonts w:ascii="Times New Roman" w:hAnsi="Times New Roman" w:cs="Times New Roman"/>
      <w:szCs w:val="24"/>
    </w:rPr>
  </w:style>
  <w:style w:type="paragraph" w:customStyle="1" w:styleId="3608">
    <w:name w:val="Z正文"/>
    <w:qFormat/>
    <w:uiPriority w:val="0"/>
    <w:pPr>
      <w:widowControl w:val="0"/>
      <w:adjustRightInd w:val="0"/>
      <w:spacing w:after="200"/>
      <w:ind w:firstLine="560" w:firstLineChars="200"/>
      <w:jc w:val="both"/>
    </w:pPr>
    <w:rPr>
      <w:rFonts w:ascii="Cambria" w:hAnsi="Cambria" w:eastAsia="仿宋_GB2312" w:cs="Times New Roman"/>
      <w:kern w:val="2"/>
      <w:sz w:val="28"/>
      <w:szCs w:val="28"/>
      <w:lang w:val="en-US" w:eastAsia="en-US" w:bidi="ar-SA"/>
    </w:rPr>
  </w:style>
  <w:style w:type="character" w:customStyle="1" w:styleId="3609">
    <w:name w:val="unamed1"/>
    <w:qFormat/>
    <w:uiPriority w:val="0"/>
    <w:rPr>
      <w:rFonts w:cs="Times New Roman"/>
    </w:rPr>
  </w:style>
  <w:style w:type="paragraph" w:customStyle="1" w:styleId="3610">
    <w:name w:val="Char Char Char Char Char Char Char Char1 Char2"/>
    <w:basedOn w:val="1"/>
    <w:qFormat/>
    <w:uiPriority w:val="0"/>
    <w:pPr>
      <w:jc w:val="left"/>
    </w:pPr>
    <w:rPr>
      <w:rFonts w:ascii="Tahoma" w:hAnsi="Tahoma" w:eastAsia="仿宋_GB2312" w:cs="Times New Roman"/>
      <w:sz w:val="24"/>
      <w:szCs w:val="20"/>
    </w:rPr>
  </w:style>
  <w:style w:type="paragraph" w:customStyle="1" w:styleId="3611">
    <w:name w:val="Char Char Char Char Char Char Char Char1 Char1"/>
    <w:basedOn w:val="1"/>
    <w:qFormat/>
    <w:uiPriority w:val="0"/>
    <w:pPr>
      <w:jc w:val="left"/>
    </w:pPr>
    <w:rPr>
      <w:rFonts w:ascii="Tahoma" w:hAnsi="Tahoma" w:cs="Times New Roman"/>
      <w:sz w:val="24"/>
      <w:szCs w:val="20"/>
    </w:rPr>
  </w:style>
  <w:style w:type="character" w:customStyle="1" w:styleId="3612">
    <w:name w:val="fs"/>
    <w:qFormat/>
    <w:uiPriority w:val="0"/>
  </w:style>
  <w:style w:type="character" w:customStyle="1" w:styleId="3613">
    <w:name w:val="四级目录 Char Char"/>
    <w:link w:val="3614"/>
    <w:qFormat/>
    <w:uiPriority w:val="0"/>
    <w:rPr>
      <w:rFonts w:eastAsia="黑体"/>
      <w:b/>
      <w:bCs/>
      <w:snapToGrid w:val="0"/>
      <w:sz w:val="24"/>
      <w:szCs w:val="24"/>
    </w:rPr>
  </w:style>
  <w:style w:type="paragraph" w:customStyle="1" w:styleId="3614">
    <w:name w:val="四级目录"/>
    <w:next w:val="919"/>
    <w:link w:val="3613"/>
    <w:qFormat/>
    <w:uiPriority w:val="0"/>
    <w:pPr>
      <w:tabs>
        <w:tab w:val="left" w:pos="709"/>
      </w:tabs>
      <w:spacing w:before="140" w:after="140"/>
      <w:outlineLvl w:val="3"/>
    </w:pPr>
    <w:rPr>
      <w:rFonts w:eastAsia="宋体" w:asciiTheme="minorHAnsi" w:hAnsiTheme="minorHAnsi" w:cstheme="minorBidi"/>
      <w:b/>
      <w:bCs/>
      <w:kern w:val="2"/>
      <w:sz w:val="24"/>
      <w:lang w:val="en-US" w:eastAsia="zh-CN" w:bidi="ar-SA"/>
    </w:rPr>
  </w:style>
  <w:style w:type="paragraph" w:customStyle="1" w:styleId="3615">
    <w:name w:val="三级目录"/>
    <w:basedOn w:val="5"/>
    <w:link w:val="3616"/>
    <w:qFormat/>
    <w:uiPriority w:val="0"/>
    <w:pPr>
      <w:tabs>
        <w:tab w:val="left" w:pos="709"/>
      </w:tabs>
      <w:adjustRightInd w:val="0"/>
      <w:spacing w:beforeLines="10" w:after="160" w:line="240" w:lineRule="auto"/>
      <w:textAlignment w:val="baseline"/>
    </w:pPr>
    <w:rPr>
      <w:rFonts w:ascii="Calibri" w:hAnsi="Calibri" w:eastAsia="黑体" w:cs="Times New Roman"/>
      <w:b w:val="0"/>
      <w:bCs w:val="0"/>
      <w:snapToGrid w:val="0"/>
      <w:kern w:val="0"/>
      <w:sz w:val="28"/>
      <w:szCs w:val="24"/>
    </w:rPr>
  </w:style>
  <w:style w:type="character" w:customStyle="1" w:styleId="3616">
    <w:name w:val="三级目录 Char Char"/>
    <w:link w:val="3615"/>
    <w:qFormat/>
    <w:uiPriority w:val="0"/>
    <w:rPr>
      <w:rFonts w:ascii="Calibri" w:hAnsi="Calibri" w:eastAsia="黑体" w:cs="Times New Roman"/>
      <w:snapToGrid w:val="0"/>
      <w:kern w:val="0"/>
      <w:sz w:val="28"/>
      <w:szCs w:val="24"/>
    </w:rPr>
  </w:style>
  <w:style w:type="character" w:customStyle="1" w:styleId="3617">
    <w:name w:val="文本框文字 Char Char"/>
    <w:qFormat/>
    <w:uiPriority w:val="0"/>
    <w:rPr>
      <w:rFonts w:eastAsia="宋体"/>
      <w:sz w:val="22"/>
      <w:szCs w:val="22"/>
      <w:lang w:val="en-US" w:eastAsia="zh-CN" w:bidi="ar-SA"/>
    </w:rPr>
  </w:style>
  <w:style w:type="character" w:customStyle="1" w:styleId="3618">
    <w:name w:val="正文1 Char Char Char Char Char Char Char"/>
    <w:qFormat/>
    <w:uiPriority w:val="0"/>
    <w:rPr>
      <w:rFonts w:eastAsia="宋体" w:cs="宋体"/>
      <w:kern w:val="2"/>
      <w:sz w:val="24"/>
      <w:szCs w:val="24"/>
      <w:lang w:val="en-US" w:eastAsia="zh-CN" w:bidi="ar-SA"/>
    </w:rPr>
  </w:style>
  <w:style w:type="character" w:customStyle="1" w:styleId="3619">
    <w:name w:val="Quote Char Char"/>
    <w:link w:val="3620"/>
    <w:qFormat/>
    <w:uiPriority w:val="0"/>
    <w:rPr>
      <w:rFonts w:ascii="Cambria" w:hAnsi="Cambria"/>
      <w:i/>
      <w:iCs/>
      <w:sz w:val="22"/>
      <w:lang w:eastAsia="en-US"/>
    </w:rPr>
  </w:style>
  <w:style w:type="paragraph" w:customStyle="1" w:styleId="3620">
    <w:name w:val="引用2"/>
    <w:basedOn w:val="1"/>
    <w:next w:val="1"/>
    <w:link w:val="3619"/>
    <w:qFormat/>
    <w:uiPriority w:val="0"/>
    <w:pPr>
      <w:spacing w:line="360" w:lineRule="auto"/>
      <w:ind w:firstLine="482"/>
      <w:jc w:val="left"/>
    </w:pPr>
    <w:rPr>
      <w:rFonts w:ascii="Cambria" w:hAnsi="Cambria"/>
      <w:i/>
      <w:iCs/>
      <w:sz w:val="22"/>
      <w:lang w:eastAsia="en-US"/>
    </w:rPr>
  </w:style>
  <w:style w:type="character" w:customStyle="1" w:styleId="3621">
    <w:name w:val="样式 四号1"/>
    <w:qFormat/>
    <w:uiPriority w:val="0"/>
    <w:rPr>
      <w:sz w:val="24"/>
    </w:rPr>
  </w:style>
  <w:style w:type="character" w:customStyle="1" w:styleId="3622">
    <w:name w:val="No Spacing Char Char"/>
    <w:link w:val="3623"/>
    <w:qFormat/>
    <w:uiPriority w:val="0"/>
    <w:rPr>
      <w:sz w:val="22"/>
    </w:rPr>
  </w:style>
  <w:style w:type="paragraph" w:customStyle="1" w:styleId="3623">
    <w:name w:val="无间隔21"/>
    <w:basedOn w:val="1"/>
    <w:link w:val="3622"/>
    <w:qFormat/>
    <w:uiPriority w:val="0"/>
    <w:pPr>
      <w:ind w:firstLine="482"/>
      <w:jc w:val="left"/>
    </w:pPr>
    <w:rPr>
      <w:sz w:val="22"/>
    </w:rPr>
  </w:style>
  <w:style w:type="character" w:customStyle="1" w:styleId="3624">
    <w:name w:val="样式 标题 1 + 黑体 三号 非加粗 Char Char Char Char Char Char Char Char Char Char Char Char Char Char Char"/>
    <w:qFormat/>
    <w:uiPriority w:val="0"/>
    <w:rPr>
      <w:rFonts w:ascii="黑体" w:hAnsi="黑体" w:eastAsia="宋体" w:cs="Arial"/>
      <w:b/>
      <w:bCs/>
      <w:spacing w:val="26"/>
      <w:kern w:val="44"/>
      <w:sz w:val="30"/>
      <w:szCs w:val="44"/>
      <w:lang w:val="en-US" w:eastAsia="zh-CN" w:bidi="ar-SA"/>
    </w:rPr>
  </w:style>
  <w:style w:type="character" w:customStyle="1" w:styleId="3625">
    <w:name w:val="标题 2 Char Char1"/>
    <w:qFormat/>
    <w:uiPriority w:val="0"/>
    <w:rPr>
      <w:rFonts w:ascii="Arial" w:hAnsi="Arial" w:eastAsia="黑体"/>
      <w:b/>
      <w:bCs/>
      <w:kern w:val="2"/>
      <w:sz w:val="32"/>
      <w:szCs w:val="32"/>
      <w:lang w:val="en-US" w:eastAsia="zh-CN" w:bidi="ar-SA"/>
    </w:rPr>
  </w:style>
  <w:style w:type="character" w:customStyle="1" w:styleId="3626">
    <w:name w:val="Intense Quote Char Char"/>
    <w:link w:val="3627"/>
    <w:qFormat/>
    <w:uiPriority w:val="0"/>
    <w:rPr>
      <w:rFonts w:ascii="Cambria" w:hAnsi="Cambria"/>
      <w:caps/>
      <w:color w:val="622423"/>
      <w:spacing w:val="5"/>
      <w:lang w:eastAsia="en-US"/>
    </w:rPr>
  </w:style>
  <w:style w:type="paragraph" w:customStyle="1" w:styleId="3627">
    <w:name w:val="明显引用2"/>
    <w:basedOn w:val="1"/>
    <w:next w:val="1"/>
    <w:link w:val="3626"/>
    <w:qFormat/>
    <w:uiPriority w:val="0"/>
    <w:pPr>
      <w:pBdr>
        <w:top w:val="dotted" w:color="632423" w:sz="2" w:space="10"/>
        <w:bottom w:val="dotted" w:color="632423" w:sz="2" w:space="4"/>
      </w:pBdr>
      <w:spacing w:line="300" w:lineRule="auto"/>
      <w:ind w:left="1440" w:right="1440" w:firstLine="482"/>
      <w:jc w:val="left"/>
    </w:pPr>
    <w:rPr>
      <w:rFonts w:ascii="Cambria" w:hAnsi="Cambria"/>
      <w:caps/>
      <w:color w:val="622423"/>
      <w:spacing w:val="5"/>
      <w:lang w:eastAsia="en-US"/>
    </w:rPr>
  </w:style>
  <w:style w:type="character" w:customStyle="1" w:styleId="3628">
    <w:name w:val="标准表格 Char Char"/>
    <w:link w:val="3629"/>
    <w:qFormat/>
    <w:uiPriority w:val="0"/>
    <w:rPr>
      <w:rFonts w:eastAsia="黑体"/>
      <w:snapToGrid w:val="0"/>
      <w:szCs w:val="21"/>
    </w:rPr>
  </w:style>
  <w:style w:type="paragraph" w:customStyle="1" w:styleId="3629">
    <w:name w:val="标准表格"/>
    <w:basedOn w:val="1"/>
    <w:link w:val="3628"/>
    <w:qFormat/>
    <w:uiPriority w:val="0"/>
    <w:pPr>
      <w:spacing w:line="480" w:lineRule="atLeast"/>
      <w:jc w:val="center"/>
    </w:pPr>
    <w:rPr>
      <w:rFonts w:eastAsia="黑体"/>
      <w:snapToGrid w:val="0"/>
    </w:rPr>
  </w:style>
  <w:style w:type="character" w:customStyle="1" w:styleId="3630">
    <w:name w:val="样式 标题 1 + (中文) 黑体 三号 Char Char Char"/>
    <w:qFormat/>
    <w:uiPriority w:val="0"/>
    <w:rPr>
      <w:rFonts w:ascii="Arial" w:hAnsi="Arial" w:eastAsia="黑体" w:cs="Arial"/>
      <w:b/>
      <w:spacing w:val="26"/>
      <w:kern w:val="44"/>
      <w:sz w:val="30"/>
      <w:szCs w:val="44"/>
      <w:lang w:val="en-US" w:eastAsia="zh-CN" w:bidi="ar-SA"/>
    </w:rPr>
  </w:style>
  <w:style w:type="paragraph" w:customStyle="1" w:styleId="3631">
    <w:name w:val="样式 正文缩进正文（首行缩进两字）文本条款正文（首行缩进两字） Chars4表正文正文非缩进四号首行缩进特点 ...2"/>
    <w:basedOn w:val="1"/>
    <w:qFormat/>
    <w:uiPriority w:val="0"/>
    <w:pPr>
      <w:spacing w:line="360" w:lineRule="auto"/>
      <w:jc w:val="left"/>
    </w:pPr>
    <w:rPr>
      <w:rFonts w:ascii="宋体" w:hAnsi="宋体" w:cs="宋体"/>
      <w:sz w:val="24"/>
      <w:szCs w:val="20"/>
    </w:rPr>
  </w:style>
  <w:style w:type="paragraph" w:customStyle="1" w:styleId="3632">
    <w:name w:val="样式 标题 1 + 两端对齐"/>
    <w:basedOn w:val="3"/>
    <w:qFormat/>
    <w:uiPriority w:val="0"/>
    <w:pPr>
      <w:widowControl w:val="0"/>
      <w:tabs>
        <w:tab w:val="left" w:pos="425"/>
      </w:tabs>
      <w:spacing w:beforeAutospacing="1" w:afterAutospacing="1" w:line="480" w:lineRule="auto"/>
      <w:jc w:val="both"/>
    </w:pPr>
    <w:rPr>
      <w:rFonts w:cs="宋体"/>
      <w:b w:val="0"/>
      <w:color w:val="000000" w:themeColor="text1"/>
      <w:kern w:val="0"/>
      <w:sz w:val="32"/>
      <w:szCs w:val="32"/>
      <w14:textFill>
        <w14:solidFill>
          <w14:schemeClr w14:val="tx1"/>
        </w14:solidFill>
      </w14:textFill>
    </w:rPr>
  </w:style>
  <w:style w:type="paragraph" w:customStyle="1" w:styleId="3633">
    <w:name w:val="样式 标题 1 + 加粗2"/>
    <w:basedOn w:val="3"/>
    <w:qFormat/>
    <w:uiPriority w:val="0"/>
    <w:pPr>
      <w:widowControl w:val="0"/>
      <w:tabs>
        <w:tab w:val="left" w:pos="425"/>
      </w:tabs>
    </w:pPr>
    <w:rPr>
      <w:rFonts w:cs="Arial"/>
      <w:color w:val="000000" w:themeColor="text1"/>
      <w:kern w:val="0"/>
      <w:sz w:val="32"/>
      <w:szCs w:val="32"/>
      <w14:textFill>
        <w14:solidFill>
          <w14:schemeClr w14:val="tx1"/>
        </w14:solidFill>
      </w14:textFill>
    </w:rPr>
  </w:style>
  <w:style w:type="paragraph" w:customStyle="1" w:styleId="3634">
    <w:name w:val="样式 正文缩进正文（首行缩进两字）文本条款正文（首行缩进两字） Chars4表正文正文非缩进四号首行缩进特点 ...3"/>
    <w:basedOn w:val="1"/>
    <w:qFormat/>
    <w:uiPriority w:val="0"/>
    <w:pPr>
      <w:ind w:firstLine="560" w:firstLineChars="200"/>
      <w:jc w:val="left"/>
    </w:pPr>
    <w:rPr>
      <w:rFonts w:ascii="宋体" w:hAnsi="宋体" w:cs="宋体"/>
      <w:sz w:val="24"/>
      <w:szCs w:val="20"/>
    </w:rPr>
  </w:style>
  <w:style w:type="paragraph" w:customStyle="1" w:styleId="3635">
    <w:name w:val="Z节标题"/>
    <w:qFormat/>
    <w:uiPriority w:val="0"/>
    <w:pPr>
      <w:tabs>
        <w:tab w:val="left" w:pos="432"/>
        <w:tab w:val="left" w:pos="840"/>
        <w:tab w:val="left" w:pos="1320"/>
      </w:tabs>
      <w:spacing w:after="100" w:afterAutospacing="1"/>
      <w:ind w:left="1320" w:hanging="420"/>
      <w:outlineLvl w:val="1"/>
    </w:pPr>
    <w:rPr>
      <w:rFonts w:ascii="Times New Roman" w:hAnsi="Times New Roman" w:eastAsia="黑体" w:cs="Times New Roman"/>
      <w:sz w:val="32"/>
      <w:lang w:val="en-US" w:eastAsia="zh-CN" w:bidi="ar-SA"/>
    </w:rPr>
  </w:style>
  <w:style w:type="paragraph" w:customStyle="1" w:styleId="3636">
    <w:name w:val="Z章标题"/>
    <w:basedOn w:val="3"/>
    <w:next w:val="3"/>
    <w:qFormat/>
    <w:uiPriority w:val="0"/>
    <w:pPr>
      <w:widowControl w:val="0"/>
      <w:tabs>
        <w:tab w:val="left" w:pos="432"/>
        <w:tab w:val="left" w:pos="840"/>
      </w:tabs>
      <w:ind w:left="840" w:hanging="360"/>
    </w:pPr>
    <w:rPr>
      <w:rFonts w:ascii="仿宋_GB2312" w:eastAsia="仿宋_GB2312" w:cs="Times New Roman"/>
      <w:color w:val="000000" w:themeColor="text1"/>
      <w:kern w:val="0"/>
      <w:sz w:val="30"/>
      <w:szCs w:val="32"/>
      <w14:textFill>
        <w14:solidFill>
          <w14:schemeClr w14:val="tx1"/>
        </w14:solidFill>
      </w14:textFill>
    </w:rPr>
  </w:style>
  <w:style w:type="paragraph" w:customStyle="1" w:styleId="3637">
    <w:name w:val="样式 样式 正文缩进正文（首行缩进两字）文本条款正文（首行缩进两字） Chars4表正文正文非缩进四号首行缩进特点 ...3 +..."/>
    <w:basedOn w:val="3634"/>
    <w:qFormat/>
    <w:uiPriority w:val="0"/>
    <w:pPr>
      <w:spacing w:line="360" w:lineRule="auto"/>
      <w:ind w:firstLine="200"/>
    </w:pPr>
  </w:style>
  <w:style w:type="paragraph" w:customStyle="1" w:styleId="3638">
    <w:name w:val="样式 样式 正文缩进正文（首行缩进两字）文本条款正文（首行缩进两字） Chars4表正文正文非缩进四号首行缩进特点 ...1 +..."/>
    <w:qFormat/>
    <w:uiPriority w:val="0"/>
    <w:pPr>
      <w:ind w:firstLine="200"/>
    </w:pPr>
    <w:rPr>
      <w:rFonts w:ascii="Times New Roman" w:hAnsi="Times New Roman" w:eastAsia="宋体" w:cs="Times New Roman"/>
      <w:lang w:val="en-US" w:eastAsia="zh-CN" w:bidi="ar-SA"/>
    </w:rPr>
  </w:style>
  <w:style w:type="paragraph" w:customStyle="1" w:styleId="3639">
    <w:name w:val="样式 正文缩进正文（首行缩进两字）文本条款正文（首行缩进两字） Chars4表正文正文非缩进四号首行缩进特点 ...1"/>
    <w:basedOn w:val="1"/>
    <w:qFormat/>
    <w:uiPriority w:val="0"/>
    <w:pPr>
      <w:spacing w:line="360" w:lineRule="auto"/>
      <w:ind w:firstLine="560" w:firstLineChars="200"/>
      <w:jc w:val="left"/>
    </w:pPr>
    <w:rPr>
      <w:rFonts w:ascii="宋体" w:hAnsi="宋体" w:cs="宋体"/>
      <w:sz w:val="24"/>
      <w:szCs w:val="20"/>
    </w:rPr>
  </w:style>
  <w:style w:type="paragraph" w:customStyle="1" w:styleId="3640">
    <w:name w:val="样式 标题 1 + 加粗"/>
    <w:basedOn w:val="3"/>
    <w:qFormat/>
    <w:uiPriority w:val="0"/>
    <w:pPr>
      <w:widowControl w:val="0"/>
      <w:tabs>
        <w:tab w:val="left" w:pos="425"/>
      </w:tabs>
      <w:spacing w:beforeAutospacing="1" w:afterAutospacing="1" w:line="480" w:lineRule="auto"/>
    </w:pPr>
    <w:rPr>
      <w:rFonts w:cs="Arial"/>
      <w:color w:val="000000" w:themeColor="text1"/>
      <w:kern w:val="0"/>
      <w:szCs w:val="32"/>
      <w14:textFill>
        <w14:solidFill>
          <w14:schemeClr w14:val="tx1"/>
        </w14:solidFill>
      </w14:textFill>
    </w:rPr>
  </w:style>
  <w:style w:type="paragraph" w:customStyle="1" w:styleId="3641">
    <w:name w:val="z正文 Char Char Char"/>
    <w:basedOn w:val="1"/>
    <w:qFormat/>
    <w:uiPriority w:val="0"/>
    <w:pPr>
      <w:spacing w:line="360" w:lineRule="auto"/>
      <w:ind w:firstLine="200" w:firstLineChars="200"/>
      <w:jc w:val="left"/>
    </w:pPr>
    <w:rPr>
      <w:rFonts w:ascii="宋体" w:hAnsi="宋体" w:eastAsia="仿宋_GB2312" w:cs="宋体"/>
      <w:sz w:val="28"/>
      <w:szCs w:val="28"/>
    </w:rPr>
  </w:style>
  <w:style w:type="paragraph" w:customStyle="1" w:styleId="3642">
    <w:name w:val="样式 样式 正文缩进正文（首行缩进两字）文本条款正文（首行缩进两字） Chars4表正文正文非缩进四号首行缩进特点 ...3 +...1"/>
    <w:basedOn w:val="3634"/>
    <w:qFormat/>
    <w:uiPriority w:val="0"/>
    <w:pPr>
      <w:spacing w:line="360" w:lineRule="auto"/>
      <w:ind w:firstLine="200"/>
    </w:pPr>
  </w:style>
  <w:style w:type="paragraph" w:customStyle="1" w:styleId="3643">
    <w:name w:val="二级目录"/>
    <w:basedOn w:val="1"/>
    <w:next w:val="3615"/>
    <w:qFormat/>
    <w:uiPriority w:val="0"/>
    <w:pPr>
      <w:keepNext/>
      <w:keepLines/>
      <w:adjustRightInd w:val="0"/>
      <w:spacing w:after="240"/>
      <w:jc w:val="left"/>
      <w:textAlignment w:val="baseline"/>
      <w:outlineLvl w:val="1"/>
    </w:pPr>
    <w:rPr>
      <w:rFonts w:ascii="Times New Roman" w:hAnsi="Times New Roman" w:eastAsia="黑体" w:cs="Times New Roman"/>
      <w:snapToGrid w:val="0"/>
      <w:kern w:val="0"/>
      <w:sz w:val="28"/>
      <w:szCs w:val="28"/>
    </w:rPr>
  </w:style>
  <w:style w:type="paragraph" w:customStyle="1" w:styleId="3644">
    <w:name w:val="样式 正文缩进正文（首行缩进两字） + 首行缩进:  2 字符"/>
    <w:basedOn w:val="1"/>
    <w:qFormat/>
    <w:uiPriority w:val="0"/>
    <w:pPr>
      <w:spacing w:line="360" w:lineRule="auto"/>
      <w:ind w:firstLine="200" w:firstLineChars="200"/>
      <w:jc w:val="left"/>
    </w:pPr>
    <w:rPr>
      <w:rFonts w:ascii="Calibri" w:hAnsi="Calibri" w:cs="宋体"/>
      <w:sz w:val="28"/>
      <w:szCs w:val="20"/>
    </w:rPr>
  </w:style>
  <w:style w:type="paragraph" w:customStyle="1" w:styleId="3645">
    <w:name w:val="样式 四号"/>
    <w:basedOn w:val="1"/>
    <w:qFormat/>
    <w:uiPriority w:val="0"/>
    <w:pPr>
      <w:ind w:firstLine="560" w:firstLineChars="200"/>
      <w:jc w:val="left"/>
    </w:pPr>
    <w:rPr>
      <w:rFonts w:ascii="Times New Roman" w:hAnsi="Times New Roman" w:cs="宋体"/>
      <w:sz w:val="24"/>
      <w:szCs w:val="20"/>
    </w:rPr>
  </w:style>
  <w:style w:type="paragraph" w:customStyle="1" w:styleId="3646">
    <w:name w:val="标题2a"/>
    <w:basedOn w:val="1"/>
    <w:qFormat/>
    <w:uiPriority w:val="0"/>
    <w:pPr>
      <w:overflowPunct w:val="0"/>
      <w:adjustRightInd w:val="0"/>
      <w:spacing w:line="360" w:lineRule="auto"/>
      <w:jc w:val="left"/>
      <w:textAlignment w:val="baseline"/>
      <w:outlineLvl w:val="0"/>
    </w:pPr>
    <w:rPr>
      <w:rFonts w:ascii="黑体" w:hAnsi="黑体" w:eastAsia="黑体" w:cs="黑体"/>
      <w:b/>
      <w:kern w:val="24"/>
      <w:sz w:val="28"/>
      <w:szCs w:val="20"/>
    </w:rPr>
  </w:style>
  <w:style w:type="paragraph" w:customStyle="1" w:styleId="3647">
    <w:name w:val="样式 标题 4 + 左侧:  0 厘米 首行缩进:  0 厘米"/>
    <w:basedOn w:val="6"/>
    <w:qFormat/>
    <w:uiPriority w:val="0"/>
    <w:pPr>
      <w:tabs>
        <w:tab w:val="left" w:pos="0"/>
        <w:tab w:val="left" w:pos="851"/>
        <w:tab w:val="left" w:pos="2356"/>
      </w:tabs>
      <w:spacing w:line="240" w:lineRule="atLeast"/>
      <w:ind w:hanging="708"/>
      <w:jc w:val="both"/>
    </w:pPr>
    <w:rPr>
      <w:rFonts w:ascii="Arial" w:hAnsi="Arial" w:cs="宋体" w:eastAsiaTheme="minorEastAsia"/>
      <w:b w:val="0"/>
      <w:bCs w:val="0"/>
      <w:spacing w:val="10"/>
      <w:szCs w:val="30"/>
    </w:rPr>
  </w:style>
  <w:style w:type="paragraph" w:customStyle="1" w:styleId="3648">
    <w:name w:val="样式 正文缩进正文（首行缩进两字）文本条款正文（首行缩进两字） Chars4表正文正文非缩进四号首行缩进特点 ..."/>
    <w:basedOn w:val="1"/>
    <w:qFormat/>
    <w:uiPriority w:val="0"/>
    <w:pPr>
      <w:spacing w:line="360" w:lineRule="auto"/>
      <w:ind w:firstLine="560" w:firstLineChars="200"/>
      <w:jc w:val="left"/>
    </w:pPr>
    <w:rPr>
      <w:rFonts w:ascii="Calibri" w:hAnsi="Calibri" w:cs="宋体"/>
      <w:sz w:val="24"/>
      <w:szCs w:val="20"/>
    </w:rPr>
  </w:style>
  <w:style w:type="paragraph" w:customStyle="1" w:styleId="3649">
    <w:name w:val="样式 标题 1 + 加粗1"/>
    <w:basedOn w:val="3"/>
    <w:qFormat/>
    <w:uiPriority w:val="0"/>
    <w:pPr>
      <w:widowControl w:val="0"/>
      <w:tabs>
        <w:tab w:val="left" w:pos="425"/>
      </w:tabs>
      <w:spacing w:beforeAutospacing="1" w:afterAutospacing="1" w:line="480" w:lineRule="auto"/>
    </w:pPr>
    <w:rPr>
      <w:rFonts w:cs="Arial"/>
      <w:color w:val="000000" w:themeColor="text1"/>
      <w:kern w:val="0"/>
      <w:szCs w:val="32"/>
      <w14:textFill>
        <w14:solidFill>
          <w14:schemeClr w14:val="tx1"/>
        </w14:solidFill>
      </w14:textFill>
    </w:rPr>
  </w:style>
  <w:style w:type="paragraph" w:customStyle="1" w:styleId="3650">
    <w:name w:val="样式 样式 样式 正文缩进正文（首行缩进两字）文本条款正文（首行缩进两字） Chars4表正文正文非缩进四号首行缩进特点 ......"/>
    <w:basedOn w:val="3637"/>
    <w:qFormat/>
    <w:uiPriority w:val="0"/>
  </w:style>
  <w:style w:type="paragraph" w:customStyle="1" w:styleId="3651">
    <w:name w:val="样式 样式 样式 样式 四号 + 首行缩进:  2 字符 + 首行缩进:  2 字符 + 首行缩进:  2 字符"/>
    <w:basedOn w:val="1"/>
    <w:qFormat/>
    <w:uiPriority w:val="0"/>
    <w:pPr>
      <w:spacing w:line="360" w:lineRule="auto"/>
      <w:ind w:firstLine="200" w:firstLineChars="200"/>
      <w:jc w:val="left"/>
    </w:pPr>
    <w:rPr>
      <w:rFonts w:ascii="Times New Roman" w:hAnsi="Times New Roman" w:cs="宋体"/>
      <w:sz w:val="24"/>
      <w:szCs w:val="20"/>
    </w:rPr>
  </w:style>
  <w:style w:type="paragraph" w:customStyle="1" w:styleId="3652">
    <w:name w:val="Z小小节标题"/>
    <w:qFormat/>
    <w:uiPriority w:val="0"/>
    <w:pPr>
      <w:tabs>
        <w:tab w:val="left" w:pos="432"/>
        <w:tab w:val="left" w:pos="840"/>
        <w:tab w:val="left" w:pos="1320"/>
      </w:tabs>
      <w:ind w:left="1320" w:hanging="420"/>
      <w:outlineLvl w:val="3"/>
    </w:pPr>
    <w:rPr>
      <w:rFonts w:ascii="Times New Roman" w:hAnsi="Times New Roman" w:eastAsia="仿宋_GB2312" w:cs="Times New Roman"/>
      <w:lang w:val="en-US" w:eastAsia="zh-CN" w:bidi="ar-SA"/>
    </w:rPr>
  </w:style>
  <w:style w:type="paragraph" w:customStyle="1" w:styleId="3653">
    <w:name w:val="Z小节标题"/>
    <w:basedOn w:val="3635"/>
    <w:next w:val="1"/>
    <w:qFormat/>
    <w:uiPriority w:val="0"/>
    <w:pPr>
      <w:outlineLvl w:val="2"/>
    </w:pPr>
    <w:rPr>
      <w:sz w:val="30"/>
    </w:rPr>
  </w:style>
  <w:style w:type="paragraph" w:customStyle="1" w:styleId="3654">
    <w:name w:val="样式 四号2"/>
    <w:basedOn w:val="1"/>
    <w:qFormat/>
    <w:uiPriority w:val="0"/>
    <w:pPr>
      <w:spacing w:line="360" w:lineRule="auto"/>
      <w:ind w:firstLine="200" w:firstLineChars="200"/>
      <w:jc w:val="left"/>
    </w:pPr>
    <w:rPr>
      <w:rFonts w:ascii="Times New Roman" w:hAnsi="Times New Roman" w:cs="宋体"/>
      <w:sz w:val="24"/>
      <w:szCs w:val="20"/>
    </w:rPr>
  </w:style>
  <w:style w:type="paragraph" w:customStyle="1" w:styleId="3655">
    <w:name w:val="Z表格标题"/>
    <w:basedOn w:val="1"/>
    <w:qFormat/>
    <w:uiPriority w:val="0"/>
    <w:pPr>
      <w:tabs>
        <w:tab w:val="left" w:pos="4260"/>
      </w:tabs>
      <w:adjustRightInd w:val="0"/>
      <w:ind w:left="4260" w:hanging="420"/>
      <w:jc w:val="center"/>
      <w:outlineLvl w:val="8"/>
    </w:pPr>
    <w:rPr>
      <w:rFonts w:ascii="黑体" w:hAnsi="Times New Roman" w:eastAsia="黑体" w:cs="Times New Roman"/>
      <w:sz w:val="28"/>
      <w:szCs w:val="24"/>
    </w:rPr>
  </w:style>
  <w:style w:type="paragraph" w:customStyle="1" w:styleId="3656">
    <w:name w:val="标准表头格式"/>
    <w:basedOn w:val="1"/>
    <w:qFormat/>
    <w:uiPriority w:val="0"/>
    <w:pPr>
      <w:tabs>
        <w:tab w:val="left" w:pos="720"/>
      </w:tabs>
      <w:jc w:val="center"/>
    </w:pPr>
    <w:rPr>
      <w:rFonts w:ascii="Times New Roman" w:hAnsi="Times New Roman" w:cs="Times New Roman"/>
      <w:b/>
      <w:kern w:val="0"/>
      <w:sz w:val="24"/>
      <w:szCs w:val="24"/>
    </w:rPr>
  </w:style>
  <w:style w:type="paragraph" w:customStyle="1" w:styleId="3657">
    <w:name w:val="样式 标题 2 + 小三 非加粗 段前: 自动 段后: 自动"/>
    <w:basedOn w:val="4"/>
    <w:qFormat/>
    <w:uiPriority w:val="0"/>
    <w:pPr>
      <w:tabs>
        <w:tab w:val="left" w:pos="567"/>
      </w:tabs>
      <w:spacing w:before="10" w:line="240" w:lineRule="auto"/>
    </w:pPr>
    <w:rPr>
      <w:rFonts w:eastAsia="新宋体" w:cs="宋体"/>
      <w:b w:val="0"/>
      <w:color w:val="000000" w:themeColor="text1"/>
      <w:szCs w:val="30"/>
      <w14:textFill>
        <w14:solidFill>
          <w14:schemeClr w14:val="tx1"/>
        </w14:solidFill>
      </w14:textFill>
    </w:rPr>
  </w:style>
  <w:style w:type="character" w:customStyle="1" w:styleId="3658">
    <w:name w:val="标准表格 Char"/>
    <w:qFormat/>
    <w:uiPriority w:val="0"/>
    <w:rPr>
      <w:rFonts w:eastAsia="黑体"/>
      <w:snapToGrid w:val="0"/>
      <w:sz w:val="21"/>
      <w:szCs w:val="21"/>
      <w:lang w:val="en-US" w:eastAsia="zh-CN" w:bidi="ar-SA"/>
    </w:rPr>
  </w:style>
  <w:style w:type="character" w:customStyle="1" w:styleId="3659">
    <w:name w:val="四级目录 Char"/>
    <w:qFormat/>
    <w:uiPriority w:val="0"/>
    <w:rPr>
      <w:rFonts w:eastAsia="黑体"/>
      <w:snapToGrid w:val="0"/>
      <w:sz w:val="24"/>
      <w:szCs w:val="24"/>
      <w:lang w:val="en-US" w:eastAsia="zh-CN" w:bidi="ar-SA"/>
    </w:rPr>
  </w:style>
  <w:style w:type="character" w:customStyle="1" w:styleId="3660">
    <w:name w:val="三级目录 Char"/>
    <w:qFormat/>
    <w:uiPriority w:val="0"/>
    <w:rPr>
      <w:rFonts w:eastAsia="黑体"/>
      <w:snapToGrid w:val="0"/>
      <w:sz w:val="28"/>
      <w:szCs w:val="24"/>
      <w:lang w:val="en-US" w:eastAsia="zh-CN" w:bidi="ar-SA"/>
    </w:rPr>
  </w:style>
  <w:style w:type="paragraph" w:customStyle="1" w:styleId="3661">
    <w:name w:val="基准页眉样式"/>
    <w:basedOn w:val="1"/>
    <w:qFormat/>
    <w:uiPriority w:val="0"/>
    <w:pPr>
      <w:spacing w:beforeLines="50" w:afterLines="50" w:line="300" w:lineRule="exact"/>
      <w:jc w:val="center"/>
    </w:pPr>
    <w:rPr>
      <w:rFonts w:ascii="Times New Roman" w:hAnsi="Arial" w:cs="Times New Roman"/>
      <w:szCs w:val="20"/>
    </w:rPr>
  </w:style>
  <w:style w:type="character" w:customStyle="1" w:styleId="3662">
    <w:name w:val="样式 (中文) 仿宋_GB2312 Char"/>
    <w:link w:val="3210"/>
    <w:semiHidden/>
    <w:qFormat/>
    <w:uiPriority w:val="0"/>
    <w:rPr>
      <w:rFonts w:ascii="Times New Roman" w:hAnsi="Times New Roman" w:eastAsia="仿宋_GB2312" w:cs="Times New Roman"/>
      <w:sz w:val="28"/>
      <w:szCs w:val="20"/>
    </w:rPr>
  </w:style>
  <w:style w:type="paragraph" w:customStyle="1" w:styleId="3663">
    <w:name w:val="reader-word-layer reader-word-s1-7"/>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664">
    <w:name w:val="样式 标题 1 +"/>
    <w:basedOn w:val="3"/>
    <w:qFormat/>
    <w:uiPriority w:val="0"/>
    <w:pPr>
      <w:widowControl w:val="0"/>
    </w:pPr>
    <w:rPr>
      <w:rFonts w:cs="Times New Roman"/>
      <w:bCs w:val="0"/>
      <w:color w:val="000000"/>
      <w:kern w:val="0"/>
      <w:szCs w:val="28"/>
    </w:rPr>
  </w:style>
  <w:style w:type="character" w:customStyle="1" w:styleId="3665">
    <w:name w:val="样式1 Char2"/>
    <w:qFormat/>
    <w:uiPriority w:val="0"/>
    <w:rPr>
      <w:rFonts w:ascii="仿宋_GB2312" w:eastAsia="宋体"/>
      <w:kern w:val="2"/>
      <w:sz w:val="24"/>
      <w:szCs w:val="24"/>
      <w:lang w:val="en-US" w:eastAsia="zh-CN" w:bidi="ar-SA"/>
    </w:rPr>
  </w:style>
  <w:style w:type="paragraph" w:customStyle="1" w:styleId="3666">
    <w:name w:val="表文排版"/>
    <w:basedOn w:val="34"/>
    <w:qFormat/>
    <w:uiPriority w:val="0"/>
    <w:pPr>
      <w:spacing w:beforeLines="0" w:line="240" w:lineRule="auto"/>
      <w:jc w:val="center"/>
    </w:pPr>
    <w:rPr>
      <w:rFonts w:ascii="Calibri" w:hAnsi="Calibri" w:eastAsiaTheme="minorEastAsia"/>
      <w:snapToGrid/>
      <w:kern w:val="2"/>
      <w:sz w:val="22"/>
    </w:rPr>
  </w:style>
  <w:style w:type="paragraph" w:customStyle="1" w:styleId="3667">
    <w:name w:val="正文a"/>
    <w:basedOn w:val="1"/>
    <w:qFormat/>
    <w:uiPriority w:val="0"/>
    <w:pPr>
      <w:ind w:firstLine="570"/>
      <w:jc w:val="left"/>
    </w:pPr>
    <w:rPr>
      <w:rFonts w:ascii="宋体" w:hAnsi="Times New Roman" w:cs="Times New Roman"/>
      <w:sz w:val="28"/>
      <w:szCs w:val="24"/>
    </w:rPr>
  </w:style>
  <w:style w:type="paragraph" w:customStyle="1" w:styleId="3668">
    <w:name w:val="（一）"/>
    <w:basedOn w:val="1"/>
    <w:qFormat/>
    <w:uiPriority w:val="0"/>
    <w:pPr>
      <w:adjustRightInd w:val="0"/>
      <w:spacing w:line="480" w:lineRule="atLeast"/>
      <w:ind w:firstLine="476"/>
      <w:jc w:val="left"/>
    </w:pPr>
    <w:rPr>
      <w:rFonts w:ascii="Times New Roman" w:hAnsi="Times New Roman" w:cs="Times New Roman"/>
      <w:bCs/>
      <w:sz w:val="24"/>
      <w:szCs w:val="28"/>
    </w:rPr>
  </w:style>
  <w:style w:type="paragraph" w:customStyle="1" w:styleId="3669">
    <w:name w:val="Char Char Char Char Char Char Char Char1 Char3"/>
    <w:basedOn w:val="1"/>
    <w:qFormat/>
    <w:uiPriority w:val="0"/>
    <w:pPr>
      <w:jc w:val="left"/>
    </w:pPr>
    <w:rPr>
      <w:rFonts w:ascii="Tahoma" w:hAnsi="Tahoma" w:eastAsia="仿宋_GB2312" w:cs="Times New Roman"/>
      <w:sz w:val="24"/>
      <w:szCs w:val="20"/>
    </w:rPr>
  </w:style>
  <w:style w:type="paragraph" w:customStyle="1" w:styleId="3670">
    <w:name w:val="无间隔3"/>
    <w:basedOn w:val="1"/>
    <w:qFormat/>
    <w:uiPriority w:val="0"/>
    <w:pPr>
      <w:ind w:firstLine="482"/>
      <w:jc w:val="left"/>
    </w:pPr>
    <w:rPr>
      <w:rFonts w:ascii="Times New Roman" w:hAnsi="Times New Roman" w:cs="Times New Roman"/>
      <w:kern w:val="0"/>
      <w:sz w:val="22"/>
    </w:rPr>
  </w:style>
  <w:style w:type="paragraph" w:customStyle="1" w:styleId="3671">
    <w:name w:val="引用3"/>
    <w:basedOn w:val="1"/>
    <w:next w:val="1"/>
    <w:qFormat/>
    <w:uiPriority w:val="0"/>
    <w:pPr>
      <w:spacing w:line="360" w:lineRule="auto"/>
      <w:ind w:firstLine="482"/>
      <w:jc w:val="left"/>
    </w:pPr>
    <w:rPr>
      <w:rFonts w:ascii="Cambria" w:hAnsi="Cambria" w:cs="Times New Roman"/>
      <w:i/>
      <w:iCs/>
      <w:kern w:val="0"/>
      <w:sz w:val="22"/>
      <w:lang w:eastAsia="en-US"/>
    </w:rPr>
  </w:style>
  <w:style w:type="paragraph" w:customStyle="1" w:styleId="3672">
    <w:name w:val="明显引用3"/>
    <w:basedOn w:val="1"/>
    <w:next w:val="1"/>
    <w:qFormat/>
    <w:uiPriority w:val="0"/>
    <w:pPr>
      <w:pBdr>
        <w:top w:val="dotted" w:color="632423" w:sz="2" w:space="10"/>
        <w:bottom w:val="dotted" w:color="632423" w:sz="2" w:space="4"/>
      </w:pBdr>
      <w:spacing w:line="300" w:lineRule="auto"/>
      <w:ind w:left="1440" w:right="1440" w:firstLine="482"/>
      <w:jc w:val="left"/>
    </w:pPr>
    <w:rPr>
      <w:rFonts w:ascii="Cambria" w:hAnsi="Cambria" w:cs="Times New Roman"/>
      <w:caps/>
      <w:color w:val="622423"/>
      <w:spacing w:val="5"/>
      <w:kern w:val="0"/>
      <w:sz w:val="20"/>
      <w:szCs w:val="20"/>
      <w:lang w:eastAsia="en-US"/>
    </w:rPr>
  </w:style>
  <w:style w:type="character" w:customStyle="1" w:styleId="3673">
    <w:name w:val="不明显强调2"/>
    <w:qFormat/>
    <w:uiPriority w:val="0"/>
    <w:rPr>
      <w:i/>
    </w:rPr>
  </w:style>
  <w:style w:type="character" w:customStyle="1" w:styleId="3674">
    <w:name w:val="明显强调2"/>
    <w:qFormat/>
    <w:uiPriority w:val="0"/>
    <w:rPr>
      <w:i/>
      <w:caps/>
      <w:spacing w:val="10"/>
      <w:sz w:val="20"/>
    </w:rPr>
  </w:style>
  <w:style w:type="character" w:customStyle="1" w:styleId="3675">
    <w:name w:val="不明显参考2"/>
    <w:qFormat/>
    <w:uiPriority w:val="0"/>
    <w:rPr>
      <w:rFonts w:ascii="Calibri" w:hAnsi="Calibri" w:eastAsia="宋体" w:cs="Times New Roman"/>
      <w:i/>
      <w:iCs/>
      <w:color w:val="622423"/>
    </w:rPr>
  </w:style>
  <w:style w:type="character" w:customStyle="1" w:styleId="3676">
    <w:name w:val="明显参考2"/>
    <w:qFormat/>
    <w:uiPriority w:val="0"/>
    <w:rPr>
      <w:rFonts w:ascii="Calibri" w:hAnsi="Calibri" w:eastAsia="宋体"/>
      <w:b/>
      <w:i/>
      <w:color w:val="622423"/>
    </w:rPr>
  </w:style>
  <w:style w:type="character" w:customStyle="1" w:styleId="3677">
    <w:name w:val="书籍标题2"/>
    <w:qFormat/>
    <w:uiPriority w:val="0"/>
    <w:rPr>
      <w:caps/>
      <w:color w:val="622423"/>
      <w:spacing w:val="5"/>
      <w:u w:color="622423"/>
    </w:rPr>
  </w:style>
  <w:style w:type="paragraph" w:customStyle="1" w:styleId="3678">
    <w:name w:val="TOC 标题2"/>
    <w:basedOn w:val="3"/>
    <w:next w:val="1"/>
    <w:qFormat/>
    <w:uiPriority w:val="0"/>
    <w:pPr>
      <w:keepNext w:val="0"/>
      <w:keepLines w:val="0"/>
      <w:widowControl w:val="0"/>
      <w:pBdr>
        <w:bottom w:val="thinThickSmallGap" w:color="943634" w:sz="12" w:space="1"/>
      </w:pBdr>
      <w:outlineLvl w:val="9"/>
    </w:pPr>
    <w:rPr>
      <w:rFonts w:cs="Times New Roman"/>
      <w:b w:val="0"/>
      <w:bCs w:val="0"/>
      <w:caps/>
      <w:color w:val="000000" w:themeColor="text1"/>
      <w:spacing w:val="20"/>
      <w:kern w:val="0"/>
      <w:szCs w:val="28"/>
      <w14:textFill>
        <w14:solidFill>
          <w14:schemeClr w14:val="tx1"/>
        </w14:solidFill>
      </w14:textFill>
    </w:rPr>
  </w:style>
  <w:style w:type="paragraph" w:customStyle="1" w:styleId="3679">
    <w:name w:val="图表脚注"/>
    <w:next w:val="5"/>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3680">
    <w:name w:val="表注（自定义，小四）"/>
    <w:basedOn w:val="45"/>
    <w:qFormat/>
    <w:uiPriority w:val="0"/>
    <w:pPr>
      <w:spacing w:beforeLines="10" w:line="360" w:lineRule="auto"/>
    </w:pPr>
    <w:rPr>
      <w:rFonts w:ascii="Century Gothic" w:hAnsi="Century Gothic" w:cs="宋体" w:eastAsiaTheme="minorEastAsia"/>
      <w:snapToGrid w:val="0"/>
      <w:kern w:val="0"/>
      <w:sz w:val="20"/>
    </w:rPr>
  </w:style>
  <w:style w:type="character" w:customStyle="1" w:styleId="3681">
    <w:name w:val="Char Char90"/>
    <w:qFormat/>
    <w:uiPriority w:val="0"/>
    <w:rPr>
      <w:rFonts w:eastAsia="宋体"/>
      <w:b/>
      <w:kern w:val="2"/>
      <w:sz w:val="28"/>
      <w:szCs w:val="24"/>
      <w:lang w:val="en-US" w:eastAsia="zh-CN" w:bidi="ar-SA"/>
    </w:rPr>
  </w:style>
  <w:style w:type="character" w:customStyle="1" w:styleId="3682">
    <w:name w:val="Char Char88"/>
    <w:qFormat/>
    <w:uiPriority w:val="0"/>
    <w:rPr>
      <w:rFonts w:eastAsia="宋体"/>
      <w:b/>
      <w:kern w:val="2"/>
      <w:sz w:val="18"/>
      <w:szCs w:val="18"/>
      <w:lang w:val="en-US" w:eastAsia="zh-CN" w:bidi="ar-SA"/>
    </w:rPr>
  </w:style>
  <w:style w:type="character" w:customStyle="1" w:styleId="3683">
    <w:name w:val="标题 Char2"/>
    <w:qFormat/>
    <w:uiPriority w:val="10"/>
    <w:rPr>
      <w:rFonts w:ascii="Cambria" w:hAnsi="Cambria" w:eastAsia="宋体" w:cs="Times New Roman"/>
      <w:b/>
      <w:bCs/>
      <w:sz w:val="32"/>
      <w:szCs w:val="32"/>
    </w:rPr>
  </w:style>
  <w:style w:type="paragraph" w:customStyle="1" w:styleId="3684">
    <w:name w:val="正文-仿宋"/>
    <w:basedOn w:val="1"/>
    <w:qFormat/>
    <w:uiPriority w:val="0"/>
    <w:pPr>
      <w:spacing w:line="360" w:lineRule="auto"/>
      <w:ind w:firstLine="480" w:firstLineChars="200"/>
      <w:jc w:val="left"/>
    </w:pPr>
    <w:rPr>
      <w:rFonts w:ascii="宋体" w:hAnsi="宋体" w:cs="Times New Roman"/>
      <w:snapToGrid w:val="0"/>
      <w:color w:val="000000"/>
      <w:kern w:val="0"/>
      <w:sz w:val="24"/>
      <w:szCs w:val="24"/>
      <w:u w:color="000000"/>
    </w:rPr>
  </w:style>
  <w:style w:type="paragraph" w:customStyle="1" w:styleId="3685">
    <w:name w:val="文章附标题"/>
    <w:basedOn w:val="1"/>
    <w:qFormat/>
    <w:uiPriority w:val="0"/>
    <w:pPr>
      <w:widowControl/>
      <w:spacing w:after="175" w:line="374" w:lineRule="atLeast"/>
      <w:jc w:val="center"/>
      <w:textAlignment w:val="baseline"/>
    </w:pPr>
    <w:rPr>
      <w:rFonts w:ascii="Times New Roman" w:hAnsi="Times New Roman" w:cs="Times New Roman"/>
      <w:color w:val="000000"/>
      <w:kern w:val="0"/>
      <w:sz w:val="36"/>
      <w:szCs w:val="20"/>
      <w:u w:color="000000"/>
    </w:rPr>
  </w:style>
  <w:style w:type="paragraph" w:customStyle="1" w:styleId="3686">
    <w:name w:val="样式 样式 报告正文 + 首行缩进:  2 字符 + 首行缩进:  2 字符"/>
    <w:basedOn w:val="1"/>
    <w:qFormat/>
    <w:uiPriority w:val="0"/>
    <w:pPr>
      <w:spacing w:line="440" w:lineRule="exact"/>
      <w:ind w:firstLine="480" w:firstLineChars="200"/>
      <w:jc w:val="left"/>
    </w:pPr>
    <w:rPr>
      <w:rFonts w:ascii="Times New Roman" w:hAnsi="Times New Roman" w:eastAsia="仿宋_GB2312" w:cs="宋体"/>
      <w:sz w:val="24"/>
      <w:szCs w:val="20"/>
      <w:u w:color="000000"/>
    </w:rPr>
  </w:style>
  <w:style w:type="character" w:customStyle="1" w:styleId="3687">
    <w:name w:val="正文一 Char"/>
    <w:qFormat/>
    <w:uiPriority w:val="0"/>
    <w:rPr>
      <w:rFonts w:ascii="仿宋_GB2312" w:hAnsi="Times New Roman" w:eastAsia="仿宋_GB2312" w:cs="宋体"/>
      <w:kern w:val="0"/>
      <w:sz w:val="28"/>
      <w:szCs w:val="28"/>
      <w:u w:color="000000"/>
    </w:rPr>
  </w:style>
  <w:style w:type="paragraph" w:customStyle="1" w:styleId="3688">
    <w:name w:val="样式 标题 2 + 四号 非加粗 左侧:  0.74 厘米"/>
    <w:basedOn w:val="4"/>
    <w:link w:val="3689"/>
    <w:qFormat/>
    <w:uiPriority w:val="0"/>
    <w:pPr>
      <w:tabs>
        <w:tab w:val="left" w:pos="576"/>
      </w:tabs>
      <w:spacing w:before="10"/>
      <w:ind w:left="576" w:hanging="576"/>
      <w:jc w:val="both"/>
    </w:pPr>
    <w:rPr>
      <w:rFonts w:cs="Times New Roman" w:eastAsiaTheme="minorEastAsia"/>
      <w:b w:val="0"/>
      <w:color w:val="000000" w:themeColor="text1"/>
      <w:szCs w:val="28"/>
      <w:u w:color="000000"/>
      <w14:textFill>
        <w14:solidFill>
          <w14:schemeClr w14:val="tx1"/>
        </w14:solidFill>
      </w14:textFill>
    </w:rPr>
  </w:style>
  <w:style w:type="character" w:customStyle="1" w:styleId="3689">
    <w:name w:val="样式 标题 2 + 四号 非加粗 左侧:  0.74 厘米 Char"/>
    <w:link w:val="3688"/>
    <w:qFormat/>
    <w:uiPriority w:val="0"/>
    <w:rPr>
      <w:rFonts w:ascii="Times New Roman" w:hAnsi="Times New Roman" w:cs="Times New Roman"/>
      <w:bCs/>
      <w:color w:val="000000" w:themeColor="text1"/>
      <w:sz w:val="24"/>
      <w:szCs w:val="28"/>
      <w:u w:color="000000"/>
      <w14:textFill>
        <w14:solidFill>
          <w14:schemeClr w14:val="tx1"/>
        </w14:solidFill>
      </w14:textFill>
    </w:rPr>
  </w:style>
  <w:style w:type="paragraph" w:customStyle="1" w:styleId="3690">
    <w:name w:val="样式 正文一 + 首行缩进:  2 字符"/>
    <w:basedOn w:val="1"/>
    <w:qFormat/>
    <w:uiPriority w:val="0"/>
    <w:pPr>
      <w:spacing w:line="360" w:lineRule="auto"/>
      <w:ind w:firstLine="560" w:firstLineChars="200"/>
      <w:jc w:val="left"/>
    </w:pPr>
    <w:rPr>
      <w:rFonts w:ascii="仿宋_GB2312" w:hAnsi="Times New Roman" w:eastAsia="仿宋_GB2312" w:cs="宋体"/>
      <w:kern w:val="0"/>
      <w:szCs w:val="20"/>
      <w:u w:color="000000"/>
    </w:rPr>
  </w:style>
  <w:style w:type="paragraph" w:customStyle="1" w:styleId="3691">
    <w:name w:val="样式 标题 3H3 + 自动设置"/>
    <w:basedOn w:val="5"/>
    <w:qFormat/>
    <w:uiPriority w:val="0"/>
    <w:pPr>
      <w:tabs>
        <w:tab w:val="left" w:pos="1134"/>
        <w:tab w:val="right" w:pos="7371"/>
      </w:tabs>
      <w:overflowPunct w:val="0"/>
      <w:adjustRightInd w:val="0"/>
      <w:spacing w:beforeLines="50"/>
    </w:pPr>
    <w:rPr>
      <w:rFonts w:cs="Times New Roman" w:eastAsiaTheme="minorEastAsia"/>
      <w:b w:val="0"/>
      <w:kern w:val="0"/>
      <w:sz w:val="28"/>
      <w:szCs w:val="20"/>
      <w:u w:color="000000"/>
    </w:rPr>
  </w:style>
  <w:style w:type="paragraph" w:customStyle="1" w:styleId="3692">
    <w:name w:val="样式 标题 1 + 段前: 0 磅 段后: 0 磅"/>
    <w:basedOn w:val="3"/>
    <w:next w:val="63"/>
    <w:qFormat/>
    <w:uiPriority w:val="0"/>
    <w:pPr>
      <w:widowControl w:val="0"/>
      <w:tabs>
        <w:tab w:val="left" w:pos="1125"/>
      </w:tabs>
      <w:ind w:left="1125" w:hanging="1125"/>
      <w:jc w:val="both"/>
    </w:pPr>
    <w:rPr>
      <w:rFonts w:ascii="宋体" w:hAnsi="宋体" w:cs="Times New Roman"/>
      <w:color w:val="000000" w:themeColor="text1"/>
      <w:kern w:val="2"/>
      <w:szCs w:val="36"/>
      <w:u w:color="000000"/>
      <w14:textFill>
        <w14:solidFill>
          <w14:schemeClr w14:val="tx1"/>
        </w14:solidFill>
      </w14:textFill>
    </w:rPr>
  </w:style>
  <w:style w:type="character" w:customStyle="1" w:styleId="3693">
    <w:name w:val="2 标题 2 Char Char"/>
    <w:qFormat/>
    <w:uiPriority w:val="0"/>
    <w:rPr>
      <w:rFonts w:ascii="Arial" w:hAnsi="Arial" w:eastAsia="黑体"/>
      <w:b/>
      <w:bCs/>
      <w:kern w:val="2"/>
      <w:sz w:val="32"/>
      <w:szCs w:val="32"/>
      <w:lang w:val="en-US" w:eastAsia="zh-CN" w:bidi="ar-SA"/>
    </w:rPr>
  </w:style>
  <w:style w:type="paragraph" w:customStyle="1" w:styleId="3694">
    <w:name w:val="样式 样式 样式 标题 2 + 首行缩进:  2 字符1 + 首行缩进:  2 字符 + 首行缩进:  2 字符"/>
    <w:basedOn w:val="1"/>
    <w:qFormat/>
    <w:uiPriority w:val="0"/>
    <w:pPr>
      <w:keepNext/>
      <w:keepLines/>
      <w:spacing w:after="120"/>
      <w:ind w:firstLine="200" w:firstLineChars="200"/>
      <w:jc w:val="left"/>
      <w:outlineLvl w:val="1"/>
    </w:pPr>
    <w:rPr>
      <w:rFonts w:ascii="Times New Roman" w:hAnsi="Times New Roman" w:eastAsia="仿宋_GB2312" w:cs="宋体"/>
      <w:b/>
      <w:bCs/>
      <w:sz w:val="24"/>
      <w:szCs w:val="20"/>
      <w:u w:color="000000"/>
    </w:rPr>
  </w:style>
  <w:style w:type="character" w:customStyle="1" w:styleId="3695">
    <w:name w:val="强调1"/>
    <w:qFormat/>
    <w:uiPriority w:val="0"/>
  </w:style>
  <w:style w:type="paragraph" w:customStyle="1" w:styleId="3696">
    <w:name w:val="5正文"/>
    <w:basedOn w:val="1"/>
    <w:qFormat/>
    <w:uiPriority w:val="0"/>
    <w:pPr>
      <w:spacing w:line="300" w:lineRule="atLeast"/>
      <w:ind w:firstLine="200" w:firstLineChars="200"/>
      <w:jc w:val="left"/>
    </w:pPr>
    <w:rPr>
      <w:rFonts w:ascii="宋体" w:hAnsi="宋体" w:cs="Times New Roman"/>
      <w:kern w:val="0"/>
      <w:szCs w:val="27"/>
    </w:rPr>
  </w:style>
  <w:style w:type="paragraph" w:customStyle="1" w:styleId="3697">
    <w:name w:val="样式 左侧:  0 厘米 首行缩进:  0.85 厘米"/>
    <w:basedOn w:val="1"/>
    <w:qFormat/>
    <w:uiPriority w:val="0"/>
    <w:pPr>
      <w:ind w:firstLine="480"/>
      <w:jc w:val="left"/>
    </w:pPr>
    <w:rPr>
      <w:rFonts w:ascii="Times New Roman" w:hAnsi="Times New Roman" w:eastAsia="仿宋_GB2312" w:cs="Times New Roman"/>
      <w:sz w:val="24"/>
      <w:szCs w:val="20"/>
    </w:rPr>
  </w:style>
  <w:style w:type="paragraph" w:customStyle="1" w:styleId="3698">
    <w:name w:val="附录表标题"/>
    <w:next w:val="536"/>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3699">
    <w:name w:val="样式02"/>
    <w:basedOn w:val="1"/>
    <w:qFormat/>
    <w:uiPriority w:val="0"/>
    <w:pPr>
      <w:keepNext/>
      <w:keepLines/>
      <w:adjustRightInd w:val="0"/>
      <w:spacing w:beforeLines="90" w:afterLines="90" w:line="360" w:lineRule="atLeast"/>
      <w:jc w:val="left"/>
      <w:textAlignment w:val="baseline"/>
      <w:outlineLvl w:val="1"/>
    </w:pPr>
    <w:rPr>
      <w:rFonts w:ascii="Calibri" w:hAnsi="Calibri" w:cs="Times New Roman"/>
      <w:b/>
      <w:sz w:val="30"/>
      <w:szCs w:val="30"/>
    </w:rPr>
  </w:style>
  <w:style w:type="paragraph" w:customStyle="1" w:styleId="3700">
    <w:name w:val="样式03"/>
    <w:basedOn w:val="1"/>
    <w:qFormat/>
    <w:uiPriority w:val="0"/>
    <w:pPr>
      <w:keepNext/>
      <w:keepLines/>
      <w:adjustRightInd w:val="0"/>
      <w:spacing w:beforeLines="30" w:afterLines="30" w:line="500" w:lineRule="exact"/>
      <w:jc w:val="left"/>
      <w:textAlignment w:val="baseline"/>
      <w:outlineLvl w:val="2"/>
    </w:pPr>
    <w:rPr>
      <w:rFonts w:ascii="Calibri" w:hAnsi="Calibri" w:eastAsia="楷体_GB2312" w:cs="Times New Roman"/>
      <w:sz w:val="30"/>
      <w:szCs w:val="30"/>
    </w:rPr>
  </w:style>
  <w:style w:type="paragraph" w:customStyle="1" w:styleId="3701">
    <w:name w:val="样式111"/>
    <w:basedOn w:val="1"/>
    <w:qFormat/>
    <w:uiPriority w:val="0"/>
    <w:pPr>
      <w:keepNext/>
      <w:keepLines/>
      <w:tabs>
        <w:tab w:val="left" w:pos="1620"/>
        <w:tab w:val="center" w:pos="4252"/>
        <w:tab w:val="left" w:pos="6540"/>
      </w:tabs>
      <w:adjustRightInd w:val="0"/>
      <w:spacing w:beforeLines="110" w:afterLines="110" w:line="360" w:lineRule="atLeast"/>
      <w:jc w:val="center"/>
      <w:textAlignment w:val="baseline"/>
      <w:outlineLvl w:val="0"/>
    </w:pPr>
    <w:rPr>
      <w:rFonts w:ascii="Calibri" w:hAnsi="Calibri" w:cs="Times New Roman"/>
      <w:b/>
      <w:bCs/>
      <w:kern w:val="0"/>
      <w:sz w:val="32"/>
      <w:szCs w:val="30"/>
    </w:rPr>
  </w:style>
  <w:style w:type="paragraph" w:customStyle="1" w:styleId="3702">
    <w:name w:val="样式 标题 1 + (中文) 楷体_GB2312 小二 段前: 11 磅 段后: 11 磅 行距: 单倍行距"/>
    <w:basedOn w:val="3"/>
    <w:qFormat/>
    <w:uiPriority w:val="0"/>
    <w:pPr>
      <w:widowControl w:val="0"/>
      <w:tabs>
        <w:tab w:val="center" w:pos="4252"/>
        <w:tab w:val="left" w:pos="6540"/>
      </w:tabs>
      <w:adjustRightInd w:val="0"/>
      <w:textAlignment w:val="baseline"/>
    </w:pPr>
    <w:rPr>
      <w:rFonts w:ascii="Calibri" w:hAnsi="宋体" w:eastAsia="楷体_GB2312" w:cs="宋体"/>
      <w:color w:val="000000" w:themeColor="text1"/>
      <w:kern w:val="2"/>
      <w:szCs w:val="20"/>
      <w14:textFill>
        <w14:solidFill>
          <w14:schemeClr w14:val="tx1"/>
        </w14:solidFill>
      </w14:textFill>
    </w:rPr>
  </w:style>
  <w:style w:type="paragraph" w:customStyle="1" w:styleId="3703">
    <w:name w:val="样式 标题 2 + (西文) Times New Roman (中文) 宋体 小三 段前: 6 磅 段后: 6 磅 行..."/>
    <w:basedOn w:val="4"/>
    <w:qFormat/>
    <w:uiPriority w:val="0"/>
    <w:pPr>
      <w:adjustRightInd w:val="0"/>
      <w:spacing w:beforeLines="10" w:line="500" w:lineRule="exact"/>
      <w:jc w:val="both"/>
      <w:textAlignment w:val="baseline"/>
    </w:pPr>
    <w:rPr>
      <w:rFonts w:ascii="Calibri" w:hAnsi="Calibri" w:cs="宋体" w:eastAsiaTheme="minorEastAsia"/>
      <w:color w:val="000000" w:themeColor="text1"/>
      <w:szCs w:val="30"/>
      <w14:textFill>
        <w14:solidFill>
          <w14:schemeClr w14:val="tx1"/>
        </w14:solidFill>
      </w14:textFill>
    </w:rPr>
  </w:style>
  <w:style w:type="character" w:customStyle="1" w:styleId="3704">
    <w:name w:val="样式 标题 2 + (西文) Times New Roman (中文) 宋体 小三 段前: 6 磅 段后: 6 磅 行... Char"/>
    <w:qFormat/>
    <w:uiPriority w:val="0"/>
    <w:rPr>
      <w:rFonts w:ascii="Cambria" w:hAnsi="Cambria" w:eastAsia="宋体" w:cs="宋体"/>
      <w:b/>
      <w:bCs/>
      <w:kern w:val="2"/>
      <w:sz w:val="30"/>
      <w:szCs w:val="30"/>
      <w:lang w:val="en-US" w:eastAsia="zh-CN" w:bidi="ar-SA"/>
    </w:rPr>
  </w:style>
  <w:style w:type="paragraph" w:customStyle="1" w:styleId="3705">
    <w:name w:val="样式 列表编号 2 + 黑色 左侧:  0 厘米 行距: 最小值 26 磅"/>
    <w:basedOn w:val="14"/>
    <w:qFormat/>
    <w:uiPriority w:val="0"/>
    <w:pPr>
      <w:tabs>
        <w:tab w:val="left" w:pos="206"/>
      </w:tabs>
      <w:adjustRightInd/>
      <w:spacing w:beforeLines="0" w:line="520" w:lineRule="atLeast"/>
      <w:ind w:left="206" w:leftChars="0" w:firstLine="34" w:firstLineChars="0"/>
    </w:pPr>
    <w:rPr>
      <w:rFonts w:ascii="Calibri" w:hAnsi="Calibri" w:eastAsia="黑体" w:cs="宋体"/>
      <w:snapToGrid/>
      <w:color w:val="000000"/>
      <w:kern w:val="2"/>
      <w:szCs w:val="20"/>
    </w:rPr>
  </w:style>
  <w:style w:type="paragraph" w:customStyle="1" w:styleId="3706">
    <w:name w:val="水1"/>
    <w:basedOn w:val="3"/>
    <w:next w:val="39"/>
    <w:qFormat/>
    <w:uiPriority w:val="0"/>
    <w:pPr>
      <w:widowControl w:val="0"/>
      <w:spacing w:beforeLines="50" w:afterLines="50"/>
    </w:pPr>
    <w:rPr>
      <w:rFonts w:ascii="黑体" w:hAnsi="Calibri" w:cs="Times New Roman"/>
      <w:b w:val="0"/>
      <w:bCs w:val="0"/>
      <w:color w:val="0000FF"/>
      <w:kern w:val="0"/>
      <w:szCs w:val="36"/>
    </w:rPr>
  </w:style>
  <w:style w:type="paragraph" w:customStyle="1" w:styleId="3707">
    <w:name w:val="水2"/>
    <w:basedOn w:val="3"/>
    <w:qFormat/>
    <w:uiPriority w:val="0"/>
    <w:pPr>
      <w:widowControl w:val="0"/>
      <w:spacing w:beforeLines="50" w:afterLines="50"/>
      <w:jc w:val="left"/>
    </w:pPr>
    <w:rPr>
      <w:rFonts w:ascii="黑体" w:hAnsi="Calibri" w:cs="Times New Roman"/>
      <w:b w:val="0"/>
      <w:bCs w:val="0"/>
      <w:color w:val="000000" w:themeColor="text1"/>
      <w:spacing w:val="24"/>
      <w:kern w:val="0"/>
      <w:sz w:val="30"/>
      <w:szCs w:val="30"/>
      <w14:textFill>
        <w14:solidFill>
          <w14:schemeClr w14:val="tx1"/>
        </w14:solidFill>
      </w14:textFill>
    </w:rPr>
  </w:style>
  <w:style w:type="paragraph" w:customStyle="1" w:styleId="3708">
    <w:name w:val="水3"/>
    <w:basedOn w:val="3"/>
    <w:next w:val="44"/>
    <w:qFormat/>
    <w:uiPriority w:val="0"/>
    <w:pPr>
      <w:keepNext w:val="0"/>
      <w:widowControl w:val="0"/>
      <w:spacing w:beforeLines="50" w:beforeAutospacing="1" w:afterLines="50" w:afterAutospacing="1"/>
      <w:jc w:val="both"/>
    </w:pPr>
    <w:rPr>
      <w:rFonts w:ascii="宋体" w:hAnsi="宋体" w:cs="Times New Roman"/>
      <w:b w:val="0"/>
      <w:bCs w:val="0"/>
      <w:color w:val="000000" w:themeColor="text1"/>
      <w:kern w:val="0"/>
      <w:sz w:val="30"/>
      <w:szCs w:val="30"/>
      <w14:textFill>
        <w14:solidFill>
          <w14:schemeClr w14:val="tx1"/>
        </w14:solidFill>
      </w14:textFill>
    </w:rPr>
  </w:style>
  <w:style w:type="paragraph" w:customStyle="1" w:styleId="3709">
    <w:name w:val="水4"/>
    <w:basedOn w:val="3"/>
    <w:next w:val="59"/>
    <w:qFormat/>
    <w:uiPriority w:val="0"/>
    <w:pPr>
      <w:widowControl w:val="0"/>
      <w:spacing w:beforeLines="50" w:afterLines="50"/>
      <w:jc w:val="left"/>
    </w:pPr>
    <w:rPr>
      <w:rFonts w:ascii="Calibri" w:hAnsi="Calibri" w:cs="Times New Roman"/>
      <w:b w:val="0"/>
      <w:bCs w:val="0"/>
      <w:color w:val="000000" w:themeColor="text1"/>
      <w:kern w:val="0"/>
      <w:sz w:val="30"/>
      <w:szCs w:val="30"/>
      <w14:textFill>
        <w14:solidFill>
          <w14:schemeClr w14:val="tx1"/>
        </w14:solidFill>
      </w14:textFill>
    </w:rPr>
  </w:style>
  <w:style w:type="paragraph" w:customStyle="1" w:styleId="3710">
    <w:name w:val="水正文"/>
    <w:basedOn w:val="51"/>
    <w:qFormat/>
    <w:uiPriority w:val="0"/>
    <w:pPr>
      <w:adjustRightInd/>
      <w:spacing w:beforeLines="10" w:after="0" w:line="640" w:lineRule="exact"/>
      <w:ind w:left="0" w:leftChars="0" w:firstLine="573" w:firstLineChars="0"/>
    </w:pPr>
    <w:rPr>
      <w:rFonts w:ascii="宋体" w:hAnsi="Calibri" w:eastAsiaTheme="minorEastAsia"/>
      <w:snapToGrid w:val="0"/>
      <w:spacing w:val="10"/>
      <w:kern w:val="0"/>
      <w:sz w:val="30"/>
      <w:szCs w:val="30"/>
    </w:rPr>
  </w:style>
  <w:style w:type="paragraph" w:customStyle="1" w:styleId="3711">
    <w:name w:val="水5"/>
    <w:basedOn w:val="3709"/>
    <w:qFormat/>
    <w:uiPriority w:val="0"/>
    <w:pPr>
      <w:tabs>
        <w:tab w:val="left" w:pos="1653"/>
      </w:tabs>
      <w:ind w:left="573"/>
    </w:pPr>
    <w:rPr>
      <w:b/>
      <w:bCs/>
      <w:color w:val="FF00FF"/>
    </w:rPr>
  </w:style>
  <w:style w:type="paragraph" w:customStyle="1" w:styleId="3712">
    <w:name w:val="zr"/>
    <w:basedOn w:val="1"/>
    <w:qFormat/>
    <w:uiPriority w:val="0"/>
    <w:pPr>
      <w:tabs>
        <w:tab w:val="left" w:pos="360"/>
      </w:tabs>
      <w:adjustRightInd w:val="0"/>
      <w:spacing w:line="312" w:lineRule="atLeast"/>
      <w:ind w:left="360" w:hanging="360"/>
      <w:jc w:val="left"/>
      <w:textAlignment w:val="baseline"/>
    </w:pPr>
    <w:rPr>
      <w:rFonts w:ascii="Calibri" w:hAnsi="Calibri" w:eastAsia="黑体" w:cs="Times New Roman"/>
      <w:b/>
      <w:bCs/>
      <w:kern w:val="0"/>
      <w:sz w:val="32"/>
      <w:szCs w:val="32"/>
    </w:rPr>
  </w:style>
  <w:style w:type="paragraph" w:customStyle="1" w:styleId="3713">
    <w:name w:val="向国兴样式"/>
    <w:basedOn w:val="3"/>
    <w:next w:val="4"/>
    <w:qFormat/>
    <w:uiPriority w:val="0"/>
    <w:pPr>
      <w:widowControl w:val="0"/>
      <w:tabs>
        <w:tab w:val="left" w:pos="1286"/>
      </w:tabs>
      <w:ind w:left="1286" w:hanging="720"/>
      <w:jc w:val="both"/>
    </w:pPr>
    <w:rPr>
      <w:rFonts w:ascii="Calibri" w:hAnsi="Calibri" w:cs="Times New Roman"/>
      <w:color w:val="000000" w:themeColor="text1"/>
      <w:kern w:val="0"/>
      <w:szCs w:val="28"/>
      <w14:textFill>
        <w14:solidFill>
          <w14:schemeClr w14:val="tx1"/>
        </w14:solidFill>
      </w14:textFill>
    </w:rPr>
  </w:style>
  <w:style w:type="paragraph" w:customStyle="1" w:styleId="3714">
    <w:name w:val="样式 标题 4 + (中文) 楷体_GB2312"/>
    <w:basedOn w:val="6"/>
    <w:qFormat/>
    <w:uiPriority w:val="0"/>
    <w:pPr>
      <w:tabs>
        <w:tab w:val="left" w:pos="0"/>
      </w:tabs>
      <w:spacing w:line="240" w:lineRule="auto"/>
      <w:jc w:val="both"/>
    </w:pPr>
    <w:rPr>
      <w:rFonts w:ascii="Calibri" w:eastAsia="楷体_GB2312" w:cs="Times New Roman"/>
      <w:bCs w:val="0"/>
      <w:color w:val="000000"/>
    </w:rPr>
  </w:style>
  <w:style w:type="paragraph" w:customStyle="1" w:styleId="3715">
    <w:name w:val="*1级标题"/>
    <w:qFormat/>
    <w:uiPriority w:val="0"/>
    <w:pPr>
      <w:keepNext/>
      <w:pageBreakBefore/>
      <w:spacing w:beforeLines="100" w:afterLines="100" w:line="360" w:lineRule="auto"/>
      <w:jc w:val="center"/>
      <w:outlineLvl w:val="0"/>
    </w:pPr>
    <w:rPr>
      <w:rFonts w:ascii="Calibri" w:hAnsi="Calibri" w:eastAsia="新宋体" w:cs="Times New Roman"/>
      <w:b/>
      <w:bCs/>
      <w:kern w:val="2"/>
      <w:sz w:val="32"/>
      <w:szCs w:val="32"/>
      <w:lang w:val="en-US" w:eastAsia="zh-CN" w:bidi="ar-SA"/>
    </w:rPr>
  </w:style>
  <w:style w:type="paragraph" w:customStyle="1" w:styleId="3716">
    <w:name w:val="*正文"/>
    <w:qFormat/>
    <w:uiPriority w:val="0"/>
    <w:pPr>
      <w:spacing w:line="360" w:lineRule="auto"/>
      <w:ind w:firstLine="200" w:firstLineChars="200"/>
      <w:jc w:val="both"/>
      <w:textAlignment w:val="baseline"/>
    </w:pPr>
    <w:rPr>
      <w:rFonts w:ascii="Calibri" w:hAnsi="Calibri" w:eastAsia="宋体" w:cs="Times New Roman"/>
      <w:color w:val="000000"/>
      <w:kern w:val="2"/>
      <w:sz w:val="24"/>
      <w:szCs w:val="24"/>
      <w:lang w:val="en-US" w:eastAsia="zh-CN" w:bidi="ar-SA"/>
    </w:rPr>
  </w:style>
  <w:style w:type="paragraph" w:customStyle="1" w:styleId="3717">
    <w:name w:val="*2级标题"/>
    <w:next w:val="3716"/>
    <w:qFormat/>
    <w:uiPriority w:val="0"/>
    <w:pPr>
      <w:keepNext/>
      <w:tabs>
        <w:tab w:val="left" w:pos="1395"/>
      </w:tabs>
      <w:spacing w:beforeLines="50" w:afterLines="50" w:line="360" w:lineRule="auto"/>
      <w:ind w:left="1395" w:hanging="420"/>
      <w:jc w:val="both"/>
      <w:outlineLvl w:val="1"/>
    </w:pPr>
    <w:rPr>
      <w:rFonts w:ascii="Calibri" w:hAnsi="Calibri" w:eastAsia="宋体" w:cs="Times New Roman"/>
      <w:b/>
      <w:bCs/>
      <w:kern w:val="2"/>
      <w:sz w:val="32"/>
      <w:szCs w:val="32"/>
      <w:lang w:val="en-US" w:eastAsia="zh-CN" w:bidi="ar-SA"/>
    </w:rPr>
  </w:style>
  <w:style w:type="paragraph" w:customStyle="1" w:styleId="3718">
    <w:name w:val="*3级标题"/>
    <w:next w:val="3716"/>
    <w:qFormat/>
    <w:uiPriority w:val="0"/>
    <w:pPr>
      <w:keepNext/>
      <w:tabs>
        <w:tab w:val="left" w:pos="1020"/>
      </w:tabs>
      <w:spacing w:beforeLines="50" w:afterLines="50" w:line="360" w:lineRule="auto"/>
      <w:ind w:left="907" w:hanging="709"/>
      <w:jc w:val="both"/>
      <w:outlineLvl w:val="2"/>
    </w:pPr>
    <w:rPr>
      <w:rFonts w:ascii="Calibri" w:hAnsi="Calibri" w:eastAsia="宋体" w:cs="Times New Roman"/>
      <w:b/>
      <w:bCs/>
      <w:kern w:val="2"/>
      <w:sz w:val="30"/>
      <w:szCs w:val="30"/>
      <w:lang w:val="en-US" w:eastAsia="zh-CN" w:bidi="ar-SA"/>
    </w:rPr>
  </w:style>
  <w:style w:type="paragraph" w:customStyle="1" w:styleId="3719">
    <w:name w:val="*4级标题"/>
    <w:next w:val="3716"/>
    <w:qFormat/>
    <w:uiPriority w:val="0"/>
    <w:pPr>
      <w:keepNext/>
      <w:tabs>
        <w:tab w:val="left" w:pos="1395"/>
      </w:tabs>
      <w:spacing w:beforeLines="50" w:afterLines="50" w:line="360" w:lineRule="auto"/>
      <w:ind w:left="1049" w:hanging="851"/>
      <w:jc w:val="both"/>
      <w:outlineLvl w:val="3"/>
    </w:pPr>
    <w:rPr>
      <w:rFonts w:ascii="Calibri" w:hAnsi="Calibri" w:eastAsia="宋体" w:cs="Times New Roman"/>
      <w:b/>
      <w:bCs/>
      <w:kern w:val="2"/>
      <w:sz w:val="28"/>
      <w:szCs w:val="28"/>
      <w:lang w:val="en-US" w:eastAsia="zh-CN" w:bidi="ar-SA"/>
    </w:rPr>
  </w:style>
  <w:style w:type="paragraph" w:customStyle="1" w:styleId="3720">
    <w:name w:val="*A1项"/>
    <w:next w:val="3716"/>
    <w:qFormat/>
    <w:uiPriority w:val="0"/>
    <w:pPr>
      <w:tabs>
        <w:tab w:val="left" w:pos="1815"/>
      </w:tabs>
      <w:spacing w:line="360" w:lineRule="auto"/>
      <w:ind w:firstLine="482"/>
      <w:jc w:val="both"/>
      <w:outlineLvl w:val="4"/>
    </w:pPr>
    <w:rPr>
      <w:rFonts w:ascii="宋体" w:hAnsi="宋体" w:eastAsia="宋体" w:cs="Times New Roman"/>
      <w:color w:val="000000"/>
      <w:kern w:val="2"/>
      <w:sz w:val="24"/>
      <w:szCs w:val="24"/>
      <w:lang w:val="en-US" w:eastAsia="zh-CN" w:bidi="ar-SA"/>
    </w:rPr>
  </w:style>
  <w:style w:type="paragraph" w:customStyle="1" w:styleId="3721">
    <w:name w:val="*A2项"/>
    <w:next w:val="3716"/>
    <w:qFormat/>
    <w:uiPriority w:val="0"/>
    <w:pPr>
      <w:tabs>
        <w:tab w:val="left" w:pos="2235"/>
      </w:tabs>
      <w:spacing w:line="360" w:lineRule="auto"/>
      <w:ind w:firstLine="482"/>
      <w:jc w:val="both"/>
      <w:outlineLvl w:val="4"/>
    </w:pPr>
    <w:rPr>
      <w:rFonts w:ascii="Calibri" w:hAnsi="Calibri" w:eastAsia="宋体" w:cs="Times New Roman"/>
      <w:kern w:val="2"/>
      <w:sz w:val="24"/>
      <w:szCs w:val="24"/>
      <w:lang w:val="en-US" w:eastAsia="zh-CN" w:bidi="ar-SA"/>
    </w:rPr>
  </w:style>
  <w:style w:type="paragraph" w:customStyle="1" w:styleId="3722">
    <w:name w:val="*A3项"/>
    <w:next w:val="3716"/>
    <w:qFormat/>
    <w:uiPriority w:val="0"/>
    <w:pPr>
      <w:tabs>
        <w:tab w:val="left" w:pos="2655"/>
      </w:tabs>
      <w:spacing w:line="360" w:lineRule="auto"/>
      <w:ind w:left="2655" w:hanging="420"/>
      <w:jc w:val="both"/>
      <w:outlineLvl w:val="6"/>
    </w:pPr>
    <w:rPr>
      <w:rFonts w:ascii="Calibri" w:hAnsi="Calibri" w:eastAsia="宋体" w:cs="Times New Roman"/>
      <w:kern w:val="2"/>
      <w:sz w:val="24"/>
      <w:szCs w:val="24"/>
      <w:lang w:val="en-US" w:eastAsia="zh-CN" w:bidi="ar-SA"/>
    </w:rPr>
  </w:style>
  <w:style w:type="paragraph" w:customStyle="1" w:styleId="3723">
    <w:name w:val="*A4项"/>
    <w:next w:val="3716"/>
    <w:qFormat/>
    <w:uiPriority w:val="0"/>
    <w:pPr>
      <w:tabs>
        <w:tab w:val="left" w:pos="3075"/>
      </w:tabs>
      <w:spacing w:line="360" w:lineRule="auto"/>
      <w:ind w:left="3075" w:hanging="420"/>
      <w:jc w:val="both"/>
      <w:outlineLvl w:val="7"/>
    </w:pPr>
    <w:rPr>
      <w:rFonts w:ascii="Calibri" w:hAnsi="Calibri" w:eastAsia="宋体" w:cs="Times New Roman"/>
      <w:kern w:val="2"/>
      <w:sz w:val="24"/>
      <w:szCs w:val="24"/>
      <w:lang w:val="en-US" w:eastAsia="zh-CN" w:bidi="ar-SA"/>
    </w:rPr>
  </w:style>
  <w:style w:type="character" w:customStyle="1" w:styleId="3724">
    <w:name w:val="Char Char Char Char Char Char Char Char Char Char Char Char Char Char Char Char Char Char Char Char Char Char Char Char"/>
    <w:qFormat/>
    <w:uiPriority w:val="0"/>
    <w:rPr>
      <w:rFonts w:ascii="宋体" w:hAnsi="Courier New" w:eastAsia="宋体"/>
      <w:kern w:val="2"/>
      <w:sz w:val="21"/>
      <w:szCs w:val="21"/>
      <w:lang w:val="en-US" w:eastAsia="zh-CN"/>
    </w:rPr>
  </w:style>
  <w:style w:type="paragraph" w:customStyle="1" w:styleId="3725">
    <w:name w:val="页脚线"/>
    <w:basedOn w:val="57"/>
    <w:qFormat/>
    <w:uiPriority w:val="0"/>
    <w:pPr>
      <w:pBdr>
        <w:bottom w:val="none" w:color="auto" w:sz="0" w:space="0"/>
        <w:between w:val="single" w:color="auto" w:sz="6" w:space="1"/>
      </w:pBdr>
      <w:tabs>
        <w:tab w:val="left" w:pos="4224"/>
        <w:tab w:val="center" w:pos="4393"/>
        <w:tab w:val="clear" w:pos="4153"/>
        <w:tab w:val="clear" w:pos="8306"/>
      </w:tabs>
      <w:adjustRightInd w:val="0"/>
      <w:snapToGrid/>
      <w:spacing w:beforeLines="10" w:line="240" w:lineRule="atLeast"/>
      <w:textAlignment w:val="baseline"/>
    </w:pPr>
    <w:rPr>
      <w:rFonts w:ascii="Calibri" w:hAnsi="Calibri" w:cs="Times New Roman"/>
      <w:snapToGrid w:val="0"/>
      <w:kern w:val="0"/>
      <w:sz w:val="21"/>
      <w:szCs w:val="21"/>
    </w:rPr>
  </w:style>
  <w:style w:type="paragraph" w:customStyle="1" w:styleId="3726">
    <w:name w:val="样式 标题 4 + 华文楷体"/>
    <w:basedOn w:val="6"/>
    <w:qFormat/>
    <w:uiPriority w:val="0"/>
    <w:pPr>
      <w:tabs>
        <w:tab w:val="left" w:pos="0"/>
        <w:tab w:val="left" w:pos="1080"/>
        <w:tab w:val="left" w:pos="1620"/>
      </w:tabs>
      <w:spacing w:line="240" w:lineRule="auto"/>
      <w:ind w:left="1620" w:hanging="360"/>
      <w:jc w:val="both"/>
    </w:pPr>
    <w:rPr>
      <w:rFonts w:ascii="Calibri" w:eastAsia="华文楷体" w:cs="Times New Roman"/>
      <w:bCs w:val="0"/>
      <w:color w:val="000000"/>
    </w:rPr>
  </w:style>
  <w:style w:type="paragraph" w:customStyle="1" w:styleId="3727">
    <w:name w:val="*表格"/>
    <w:basedOn w:val="1"/>
    <w:qFormat/>
    <w:uiPriority w:val="0"/>
    <w:pPr>
      <w:widowControl/>
      <w:jc w:val="left"/>
      <w:textAlignment w:val="center"/>
    </w:pPr>
    <w:rPr>
      <w:rFonts w:ascii="Calibri" w:hAnsi="Calibri" w:cs="Times New Roman"/>
    </w:rPr>
  </w:style>
  <w:style w:type="paragraph" w:customStyle="1" w:styleId="3728">
    <w:name w:val="样式 标题 3H3B HeadReHead 3 WSAh3标题 3 Char..条标题1.1.133rd l..."/>
    <w:basedOn w:val="5"/>
    <w:qFormat/>
    <w:uiPriority w:val="0"/>
    <w:pPr>
      <w:spacing w:beforeLines="10" w:line="240" w:lineRule="auto"/>
    </w:pPr>
    <w:rPr>
      <w:rFonts w:ascii="Calibri" w:hAnsi="Calibri" w:eastAsia="楷体_GB2312" w:cs="Times New Roman"/>
      <w:b w:val="0"/>
      <w:color w:val="000000"/>
      <w:kern w:val="0"/>
      <w:sz w:val="28"/>
      <w:szCs w:val="28"/>
    </w:rPr>
  </w:style>
  <w:style w:type="paragraph" w:customStyle="1" w:styleId="3729">
    <w:name w:val="表格表头"/>
    <w:basedOn w:val="1"/>
    <w:qFormat/>
    <w:uiPriority w:val="0"/>
    <w:pPr>
      <w:widowControl/>
      <w:spacing w:after="120" w:line="480" w:lineRule="atLeast"/>
      <w:jc w:val="left"/>
    </w:pPr>
    <w:rPr>
      <w:rFonts w:ascii="宋体" w:hAnsi="宋体" w:cs="Times New Roman"/>
      <w:b/>
      <w:color w:val="000000"/>
      <w:kern w:val="0"/>
      <w:sz w:val="28"/>
      <w:szCs w:val="36"/>
    </w:rPr>
  </w:style>
  <w:style w:type="character" w:customStyle="1" w:styleId="3730">
    <w:name w:val="black14blod1"/>
    <w:qFormat/>
    <w:uiPriority w:val="0"/>
    <w:rPr>
      <w:b/>
      <w:bCs/>
      <w:color w:val="000000"/>
      <w:sz w:val="21"/>
      <w:szCs w:val="21"/>
      <w:u w:val="none"/>
    </w:rPr>
  </w:style>
  <w:style w:type="paragraph" w:customStyle="1" w:styleId="3731">
    <w:name w:val="长山坳正文样式"/>
    <w:basedOn w:val="1"/>
    <w:qFormat/>
    <w:uiPriority w:val="0"/>
    <w:pPr>
      <w:spacing w:line="360" w:lineRule="auto"/>
      <w:ind w:firstLine="560" w:firstLineChars="200"/>
      <w:jc w:val="left"/>
    </w:pPr>
    <w:rPr>
      <w:rFonts w:ascii="Times New Roman" w:hAnsi="Times New Roman" w:cs="Times New Roman"/>
      <w:sz w:val="28"/>
      <w:szCs w:val="28"/>
    </w:rPr>
  </w:style>
  <w:style w:type="character" w:customStyle="1" w:styleId="3732">
    <w:name w:val="标准正文格式 Char"/>
    <w:link w:val="3490"/>
    <w:qFormat/>
    <w:uiPriority w:val="0"/>
    <w:rPr>
      <w:rFonts w:ascii="宋体" w:hAnsi="宋体" w:cs="Times New Roman"/>
      <w:color w:val="000000"/>
      <w:kern w:val="0"/>
      <w:sz w:val="24"/>
      <w:szCs w:val="20"/>
    </w:rPr>
  </w:style>
  <w:style w:type="paragraph" w:customStyle="1" w:styleId="3733">
    <w:name w:val="样式 仿宋_GB2312 四号2"/>
    <w:basedOn w:val="1"/>
    <w:qFormat/>
    <w:uiPriority w:val="0"/>
    <w:pPr>
      <w:ind w:firstLine="536" w:firstLineChars="200"/>
      <w:jc w:val="left"/>
    </w:pPr>
    <w:rPr>
      <w:rFonts w:ascii="仿宋_GB2312" w:hAnsi="宋体" w:eastAsia="仿宋_GB2312" w:cs="Times New Roman"/>
      <w:spacing w:val="-6"/>
      <w:sz w:val="28"/>
      <w:szCs w:val="20"/>
    </w:rPr>
  </w:style>
  <w:style w:type="paragraph" w:customStyle="1" w:styleId="3734">
    <w:name w:val="默认段落字体1 Para Char"/>
    <w:basedOn w:val="1"/>
    <w:next w:val="1"/>
    <w:qFormat/>
    <w:uiPriority w:val="0"/>
    <w:pPr>
      <w:spacing w:line="360" w:lineRule="auto"/>
      <w:ind w:firstLine="200" w:firstLineChars="200"/>
      <w:jc w:val="left"/>
    </w:pPr>
    <w:rPr>
      <w:rFonts w:ascii="Times New Roman" w:hAnsi="Times New Roman" w:eastAsia="楷体_GB2312" w:cs="Times New Roman"/>
      <w:sz w:val="28"/>
      <w:szCs w:val="20"/>
    </w:rPr>
  </w:style>
  <w:style w:type="character" w:customStyle="1" w:styleId="3735">
    <w:name w:val="sell_title2"/>
    <w:qFormat/>
    <w:uiPriority w:val="0"/>
  </w:style>
  <w:style w:type="paragraph" w:customStyle="1" w:styleId="3736">
    <w:name w:val="CM94"/>
    <w:basedOn w:val="251"/>
    <w:next w:val="251"/>
    <w:qFormat/>
    <w:uiPriority w:val="0"/>
    <w:pPr>
      <w:spacing w:after="240"/>
    </w:pPr>
    <w:rPr>
      <w:color w:val="auto"/>
    </w:rPr>
  </w:style>
  <w:style w:type="paragraph" w:customStyle="1" w:styleId="3737">
    <w:name w:val="样式 标题 2标题 1.1标题21.1H2h2第一层条二级标题标题 lxb2二级标题 Char表标题单位名..."/>
    <w:basedOn w:val="4"/>
    <w:link w:val="3738"/>
    <w:qFormat/>
    <w:uiPriority w:val="0"/>
    <w:pPr>
      <w:spacing w:before="10" w:line="415" w:lineRule="auto"/>
      <w:ind w:firstLine="200" w:firstLineChars="200"/>
      <w:jc w:val="both"/>
    </w:pPr>
    <w:rPr>
      <w:rFonts w:cs="Times New Roman" w:eastAsiaTheme="minorEastAsia"/>
      <w:bCs w:val="0"/>
      <w:color w:val="000000" w:themeColor="text1"/>
      <w:szCs w:val="30"/>
      <w14:textFill>
        <w14:solidFill>
          <w14:schemeClr w14:val="tx1"/>
        </w14:solidFill>
      </w14:textFill>
    </w:rPr>
  </w:style>
  <w:style w:type="character" w:customStyle="1" w:styleId="3738">
    <w:name w:val="样式 标题 2标题 1.1标题21.1H2h2第一层条二级标题标题 lxb2二级标题 Char表标题单位名... Char"/>
    <w:link w:val="3737"/>
    <w:qFormat/>
    <w:uiPriority w:val="0"/>
    <w:rPr>
      <w:rFonts w:ascii="Times New Roman" w:hAnsi="Times New Roman" w:cs="Times New Roman"/>
      <w:b/>
      <w:color w:val="000000" w:themeColor="text1"/>
      <w:sz w:val="24"/>
      <w:szCs w:val="30"/>
      <w14:textFill>
        <w14:solidFill>
          <w14:schemeClr w14:val="tx1"/>
        </w14:solidFill>
      </w14:textFill>
    </w:rPr>
  </w:style>
  <w:style w:type="paragraph" w:customStyle="1" w:styleId="3739">
    <w:name w:val="6表中文字"/>
    <w:basedOn w:val="1"/>
    <w:qFormat/>
    <w:uiPriority w:val="0"/>
    <w:pPr>
      <w:topLinePunct/>
      <w:autoSpaceDE w:val="0"/>
      <w:autoSpaceDN w:val="0"/>
      <w:adjustRightInd w:val="0"/>
      <w:jc w:val="center"/>
    </w:pPr>
    <w:rPr>
      <w:rFonts w:ascii="Times New Roman" w:hAnsi="Times New Roman" w:cs="Times New Roman"/>
    </w:rPr>
  </w:style>
  <w:style w:type="paragraph" w:customStyle="1" w:styleId="3740">
    <w:name w:val="样式 正文缩进"/>
    <w:basedOn w:val="1"/>
    <w:next w:val="1"/>
    <w:qFormat/>
    <w:uiPriority w:val="0"/>
    <w:pPr>
      <w:ind w:firstLine="480" w:firstLineChars="200"/>
      <w:jc w:val="left"/>
    </w:pPr>
    <w:rPr>
      <w:rFonts w:ascii="Times New Roman" w:hAnsi="Times New Roman" w:cs="Times New Roman"/>
      <w:sz w:val="24"/>
      <w:szCs w:val="20"/>
      <w:u w:color="000000"/>
    </w:rPr>
  </w:style>
  <w:style w:type="paragraph" w:customStyle="1" w:styleId="3741">
    <w:name w:val="正文15"/>
    <w:basedOn w:val="1"/>
    <w:qFormat/>
    <w:uiPriority w:val="0"/>
    <w:pPr>
      <w:overflowPunct w:val="0"/>
      <w:topLinePunct/>
      <w:spacing w:line="360" w:lineRule="auto"/>
      <w:ind w:firstLine="567"/>
      <w:jc w:val="left"/>
    </w:pPr>
    <w:rPr>
      <w:rFonts w:ascii="Times New Roman" w:hAnsi="Times New Roman" w:cs="Times New Roman"/>
      <w:sz w:val="28"/>
      <w:szCs w:val="28"/>
    </w:rPr>
  </w:style>
  <w:style w:type="paragraph" w:customStyle="1" w:styleId="3742">
    <w:name w:val="Char Char Char Char Char Char2 Char"/>
    <w:basedOn w:val="1"/>
    <w:qFormat/>
    <w:uiPriority w:val="0"/>
    <w:pPr>
      <w:spacing w:line="360" w:lineRule="auto"/>
      <w:ind w:firstLine="200" w:firstLineChars="200"/>
      <w:jc w:val="left"/>
    </w:pPr>
    <w:rPr>
      <w:rFonts w:ascii="宋体" w:hAnsi="宋体" w:cs="宋体"/>
      <w:sz w:val="24"/>
      <w:szCs w:val="24"/>
    </w:rPr>
  </w:style>
  <w:style w:type="paragraph" w:customStyle="1" w:styleId="3743">
    <w:name w:val="Char Char Char Char Char Char Char Char Char1 Char Char Char Char Char Char Char"/>
    <w:basedOn w:val="1"/>
    <w:qFormat/>
    <w:uiPriority w:val="0"/>
    <w:pPr>
      <w:adjustRightInd w:val="0"/>
      <w:spacing w:line="360" w:lineRule="auto"/>
      <w:ind w:firstLine="200" w:firstLineChars="200"/>
      <w:jc w:val="left"/>
      <w:textAlignment w:val="baseline"/>
    </w:pPr>
    <w:rPr>
      <w:rFonts w:ascii="宋体" w:hAnsi="宋体" w:cs="宋体"/>
      <w:sz w:val="24"/>
      <w:szCs w:val="24"/>
    </w:rPr>
  </w:style>
  <w:style w:type="character" w:customStyle="1" w:styleId="3744">
    <w:name w:val="2 标题 2 Char Char1"/>
    <w:qFormat/>
    <w:uiPriority w:val="0"/>
    <w:rPr>
      <w:rFonts w:eastAsia="仿宋_GB2312"/>
      <w:b/>
      <w:bCs/>
      <w:kern w:val="2"/>
      <w:sz w:val="32"/>
      <w:szCs w:val="32"/>
      <w:u w:color="000000"/>
      <w:lang w:val="en-US" w:eastAsia="zh-CN" w:bidi="ar-SA"/>
    </w:rPr>
  </w:style>
  <w:style w:type="paragraph" w:customStyle="1" w:styleId="3745">
    <w:name w:val="表格与插图"/>
    <w:basedOn w:val="1"/>
    <w:qFormat/>
    <w:uiPriority w:val="0"/>
    <w:pPr>
      <w:spacing w:beforeAutospacing="1" w:after="100" w:afterAutospacing="1"/>
      <w:ind w:firstLine="561"/>
      <w:jc w:val="left"/>
    </w:pPr>
    <w:rPr>
      <w:rFonts w:ascii="黑体" w:hAnsi="Times New Roman" w:eastAsia="黑体" w:cs="Times New Roman"/>
      <w:bCs/>
      <w:sz w:val="24"/>
      <w:szCs w:val="24"/>
    </w:rPr>
  </w:style>
  <w:style w:type="character" w:customStyle="1" w:styleId="3746">
    <w:name w:val="H4 Char1"/>
    <w:semiHidden/>
    <w:qFormat/>
    <w:uiPriority w:val="0"/>
    <w:rPr>
      <w:rFonts w:ascii="Cambria" w:hAnsi="Cambria" w:eastAsia="宋体" w:cs="Times New Roman"/>
      <w:b/>
      <w:bCs/>
      <w:kern w:val="2"/>
      <w:sz w:val="28"/>
      <w:szCs w:val="28"/>
      <w:u w:color="000000"/>
    </w:rPr>
  </w:style>
  <w:style w:type="paragraph" w:customStyle="1" w:styleId="3747">
    <w:name w:val="Char Char Char11"/>
    <w:basedOn w:val="1"/>
    <w:qFormat/>
    <w:uiPriority w:val="0"/>
    <w:pPr>
      <w:spacing w:line="360" w:lineRule="auto"/>
      <w:ind w:firstLine="200" w:firstLineChars="200"/>
      <w:jc w:val="left"/>
    </w:pPr>
    <w:rPr>
      <w:rFonts w:ascii="Times New Roman" w:hAnsi="Times New Roman" w:eastAsia="仿宋_GB2312" w:cs="Times New Roman"/>
      <w:sz w:val="24"/>
      <w:szCs w:val="24"/>
      <w:u w:color="000000"/>
    </w:rPr>
  </w:style>
  <w:style w:type="character" w:customStyle="1" w:styleId="3748">
    <w:name w:val="目录1 Char"/>
    <w:link w:val="1660"/>
    <w:qFormat/>
    <w:uiPriority w:val="0"/>
    <w:rPr>
      <w:rFonts w:ascii="Times New Roman" w:hAnsi="Times New Roman" w:cs="Times New Roman"/>
      <w:color w:val="000000"/>
      <w:kern w:val="0"/>
      <w:szCs w:val="20"/>
      <w:u w:color="000000"/>
    </w:rPr>
  </w:style>
  <w:style w:type="paragraph" w:customStyle="1" w:styleId="3749">
    <w:name w:val="采子山表格"/>
    <w:basedOn w:val="1"/>
    <w:next w:val="34"/>
    <w:qFormat/>
    <w:uiPriority w:val="0"/>
    <w:pPr>
      <w:adjustRightInd w:val="0"/>
      <w:spacing w:line="0" w:lineRule="atLeast"/>
      <w:jc w:val="center"/>
      <w:textAlignment w:val="baseline"/>
    </w:pPr>
    <w:rPr>
      <w:rFonts w:ascii="宋体" w:hAnsi="宋体" w:cs="Times New Roman"/>
      <w:bCs/>
      <w:kern w:val="10"/>
    </w:rPr>
  </w:style>
  <w:style w:type="paragraph" w:customStyle="1" w:styleId="3750">
    <w:name w:val="说明书正文"/>
    <w:basedOn w:val="1"/>
    <w:link w:val="3751"/>
    <w:qFormat/>
    <w:uiPriority w:val="0"/>
    <w:pPr>
      <w:spacing w:line="480" w:lineRule="exact"/>
      <w:ind w:firstLine="600" w:firstLineChars="200"/>
      <w:jc w:val="left"/>
    </w:pPr>
    <w:rPr>
      <w:rFonts w:ascii="Times New Roman" w:hAnsi="Times New Roman" w:eastAsia="仿宋_GB2312" w:cs="Times New Roman"/>
      <w:color w:val="000000"/>
      <w:sz w:val="30"/>
      <w:szCs w:val="24"/>
    </w:rPr>
  </w:style>
  <w:style w:type="character" w:customStyle="1" w:styleId="3751">
    <w:name w:val="说明书正文 Char"/>
    <w:link w:val="3750"/>
    <w:qFormat/>
    <w:uiPriority w:val="0"/>
    <w:rPr>
      <w:rFonts w:ascii="Times New Roman" w:hAnsi="Times New Roman" w:eastAsia="仿宋_GB2312" w:cs="Times New Roman"/>
      <w:color w:val="000000"/>
      <w:sz w:val="30"/>
      <w:szCs w:val="24"/>
    </w:rPr>
  </w:style>
  <w:style w:type="paragraph" w:customStyle="1" w:styleId="3752">
    <w:name w:val="样式 标题 5 + 小四 首行缩进:  2 字符"/>
    <w:basedOn w:val="7"/>
    <w:qFormat/>
    <w:uiPriority w:val="0"/>
    <w:pPr>
      <w:spacing w:beforeLines="10" w:after="0" w:line="360" w:lineRule="auto"/>
      <w:ind w:firstLine="482" w:firstLineChars="200"/>
      <w:jc w:val="left"/>
    </w:pPr>
    <w:rPr>
      <w:rFonts w:ascii="Times New Roman" w:hAnsi="Times New Roman" w:cs="宋体"/>
      <w:snapToGrid w:val="0"/>
      <w:color w:val="000000"/>
      <w:kern w:val="0"/>
      <w:szCs w:val="20"/>
    </w:rPr>
  </w:style>
  <w:style w:type="paragraph" w:customStyle="1" w:styleId="3753">
    <w:name w:val="正文首行缩进+"/>
    <w:basedOn w:val="86"/>
    <w:link w:val="3754"/>
    <w:qFormat/>
    <w:uiPriority w:val="0"/>
    <w:pPr>
      <w:adjustRightInd/>
      <w:spacing w:beforeLines="0" w:after="0" w:line="240" w:lineRule="auto"/>
      <w:ind w:firstLine="200" w:firstLineChars="200"/>
    </w:pPr>
    <w:rPr>
      <w:rFonts w:ascii="宋体"/>
      <w:color w:val="000000"/>
      <w:szCs w:val="20"/>
    </w:rPr>
  </w:style>
  <w:style w:type="character" w:customStyle="1" w:styleId="3754">
    <w:name w:val="正文首行缩进+ Char"/>
    <w:link w:val="3753"/>
    <w:qFormat/>
    <w:uiPriority w:val="0"/>
    <w:rPr>
      <w:rFonts w:ascii="宋体" w:hAnsi="Times New Roman" w:cs="Times New Roman"/>
      <w:color w:val="000000"/>
      <w:kern w:val="0"/>
      <w:sz w:val="26"/>
      <w:szCs w:val="20"/>
    </w:rPr>
  </w:style>
  <w:style w:type="paragraph" w:customStyle="1" w:styleId="3755">
    <w:name w:val="样式 样式 样式 首行缩进:  1 厘米 行距: 固定值 25 磅 + Times New Roman 首行缩进:  0.85 ...1"/>
    <w:basedOn w:val="1"/>
    <w:qFormat/>
    <w:uiPriority w:val="0"/>
    <w:pPr>
      <w:adjustRightInd w:val="0"/>
      <w:spacing w:line="360" w:lineRule="auto"/>
      <w:ind w:firstLine="200" w:firstLineChars="200"/>
      <w:jc w:val="left"/>
    </w:pPr>
    <w:rPr>
      <w:rFonts w:ascii="Times New Roman" w:hAnsi="Times New Roman" w:cs="宋体"/>
      <w:snapToGrid w:val="0"/>
      <w:kern w:val="24"/>
      <w:sz w:val="24"/>
      <w:szCs w:val="24"/>
    </w:rPr>
  </w:style>
  <w:style w:type="paragraph" w:customStyle="1" w:styleId="3756">
    <w:name w:val="样式 样式 行距: 1.5 倍行距 + 首行缩进:  2 字符"/>
    <w:basedOn w:val="1"/>
    <w:link w:val="3757"/>
    <w:qFormat/>
    <w:uiPriority w:val="0"/>
    <w:pPr>
      <w:adjustRightInd w:val="0"/>
      <w:spacing w:line="360" w:lineRule="auto"/>
      <w:ind w:firstLine="480" w:firstLineChars="200"/>
      <w:jc w:val="left"/>
    </w:pPr>
    <w:rPr>
      <w:rFonts w:ascii="Calibri" w:hAnsi="Calibri" w:cs="Times New Roman"/>
      <w:sz w:val="24"/>
    </w:rPr>
  </w:style>
  <w:style w:type="character" w:customStyle="1" w:styleId="3757">
    <w:name w:val="样式 样式 行距: 1.5 倍行距 + 首行缩进:  2 字符 Char"/>
    <w:link w:val="3756"/>
    <w:qFormat/>
    <w:uiPriority w:val="0"/>
    <w:rPr>
      <w:rFonts w:ascii="Calibri" w:hAnsi="Calibri" w:cs="Times New Roman"/>
      <w:sz w:val="24"/>
      <w:szCs w:val="21"/>
    </w:rPr>
  </w:style>
  <w:style w:type="character" w:customStyle="1" w:styleId="3758">
    <w:name w:val="1表格文本 Char"/>
    <w:link w:val="3759"/>
    <w:qFormat/>
    <w:uiPriority w:val="0"/>
    <w:rPr>
      <w:color w:val="000000"/>
      <w:szCs w:val="21"/>
    </w:rPr>
  </w:style>
  <w:style w:type="paragraph" w:customStyle="1" w:styleId="3759">
    <w:name w:val="1表格文本"/>
    <w:basedOn w:val="1"/>
    <w:link w:val="3758"/>
    <w:qFormat/>
    <w:uiPriority w:val="0"/>
    <w:pPr>
      <w:adjustRightInd w:val="0"/>
      <w:jc w:val="center"/>
    </w:pPr>
    <w:rPr>
      <w:color w:val="000000"/>
    </w:rPr>
  </w:style>
  <w:style w:type="character" w:customStyle="1" w:styleId="3760">
    <w:name w:val="图表名称 Char"/>
    <w:link w:val="1583"/>
    <w:qFormat/>
    <w:uiPriority w:val="0"/>
    <w:rPr>
      <w:rFonts w:ascii="Times New Roman" w:hAnsi="Times New Roman" w:eastAsia="黑体" w:cs="Times New Roman"/>
      <w:szCs w:val="20"/>
    </w:rPr>
  </w:style>
  <w:style w:type="character" w:customStyle="1" w:styleId="3761">
    <w:name w:val="表头编号 Char"/>
    <w:link w:val="1920"/>
    <w:qFormat/>
    <w:uiPriority w:val="0"/>
    <w:rPr>
      <w:rFonts w:ascii="宋体" w:hAnsi="宋体" w:eastAsia="黑体" w:cs="Times New Roman"/>
      <w:color w:val="000000"/>
      <w:szCs w:val="20"/>
    </w:rPr>
  </w:style>
  <w:style w:type="paragraph" w:customStyle="1" w:styleId="3762">
    <w:name w:val="Char Char Char12"/>
    <w:basedOn w:val="1"/>
    <w:semiHidden/>
    <w:qFormat/>
    <w:uiPriority w:val="0"/>
    <w:pPr>
      <w:adjustRightInd w:val="0"/>
      <w:spacing w:line="360" w:lineRule="auto"/>
      <w:ind w:firstLine="200" w:firstLineChars="200"/>
      <w:jc w:val="left"/>
    </w:pPr>
    <w:rPr>
      <w:rFonts w:ascii="宋体" w:hAnsi="宋体" w:cs="宋体"/>
      <w:sz w:val="24"/>
      <w:szCs w:val="26"/>
    </w:rPr>
  </w:style>
  <w:style w:type="paragraph" w:customStyle="1" w:styleId="3763">
    <w:name w:val="Char Char Char Char Char Char Char Char Char Char Char Char Char Char Char Char Char Char Char Char Char Char Char Char Char2"/>
    <w:basedOn w:val="1"/>
    <w:semiHidden/>
    <w:qFormat/>
    <w:uiPriority w:val="0"/>
    <w:pPr>
      <w:adjustRightInd w:val="0"/>
      <w:spacing w:line="360" w:lineRule="auto"/>
      <w:ind w:firstLine="200" w:firstLineChars="200"/>
      <w:jc w:val="left"/>
    </w:pPr>
    <w:rPr>
      <w:rFonts w:ascii="宋体" w:hAnsi="宋体" w:cs="宋体"/>
      <w:sz w:val="24"/>
      <w:szCs w:val="26"/>
    </w:rPr>
  </w:style>
  <w:style w:type="paragraph" w:customStyle="1" w:styleId="3764">
    <w:name w:val="Char Char Char Char Char Char Char Char Char1 Char Char Char Char1"/>
    <w:basedOn w:val="1"/>
    <w:semiHidden/>
    <w:qFormat/>
    <w:uiPriority w:val="0"/>
    <w:pPr>
      <w:spacing w:line="360" w:lineRule="auto"/>
      <w:ind w:firstLine="200" w:firstLineChars="200"/>
      <w:jc w:val="left"/>
    </w:pPr>
    <w:rPr>
      <w:rFonts w:ascii="宋体" w:hAnsi="宋体" w:cs="宋体"/>
      <w:sz w:val="24"/>
      <w:szCs w:val="26"/>
    </w:rPr>
  </w:style>
  <w:style w:type="paragraph" w:customStyle="1" w:styleId="3765">
    <w:name w:val="Char Char Char Char21"/>
    <w:basedOn w:val="1"/>
    <w:semiHidden/>
    <w:qFormat/>
    <w:uiPriority w:val="0"/>
    <w:pPr>
      <w:spacing w:line="360" w:lineRule="auto"/>
      <w:ind w:firstLine="200" w:firstLineChars="200"/>
      <w:jc w:val="left"/>
    </w:pPr>
    <w:rPr>
      <w:rFonts w:ascii="宋体" w:hAnsi="宋体" w:cs="宋体"/>
      <w:sz w:val="24"/>
      <w:szCs w:val="26"/>
    </w:rPr>
  </w:style>
  <w:style w:type="paragraph" w:customStyle="1" w:styleId="3766">
    <w:name w:val="Char4 Char Char Char1"/>
    <w:basedOn w:val="1"/>
    <w:semiHidden/>
    <w:qFormat/>
    <w:uiPriority w:val="0"/>
    <w:pPr>
      <w:adjustRightInd w:val="0"/>
      <w:spacing w:line="360" w:lineRule="auto"/>
      <w:ind w:firstLine="200" w:firstLineChars="200"/>
      <w:jc w:val="left"/>
    </w:pPr>
    <w:rPr>
      <w:rFonts w:ascii="宋体" w:hAnsi="宋体" w:cs="宋体"/>
      <w:sz w:val="24"/>
      <w:szCs w:val="26"/>
    </w:rPr>
  </w:style>
  <w:style w:type="character" w:customStyle="1" w:styleId="3767">
    <w:name w:val="tdhui011"/>
    <w:qFormat/>
    <w:uiPriority w:val="0"/>
    <w:rPr>
      <w:color w:val="000000"/>
      <w:sz w:val="18"/>
      <w:szCs w:val="18"/>
    </w:rPr>
  </w:style>
  <w:style w:type="paragraph" w:customStyle="1" w:styleId="3768">
    <w:name w:val="1表格"/>
    <w:basedOn w:val="1"/>
    <w:qFormat/>
    <w:uiPriority w:val="0"/>
    <w:pPr>
      <w:spacing w:beforeLines="20" w:afterLines="20"/>
      <w:jc w:val="center"/>
      <w:outlineLvl w:val="4"/>
    </w:pPr>
    <w:rPr>
      <w:rFonts w:ascii="Times New Roman" w:hAnsi="Times New Roman" w:cs="Times New Roman"/>
    </w:rPr>
  </w:style>
  <w:style w:type="paragraph" w:customStyle="1" w:styleId="3769">
    <w:name w:val="表格 32"/>
    <w:basedOn w:val="1"/>
    <w:qFormat/>
    <w:uiPriority w:val="0"/>
    <w:pPr>
      <w:autoSpaceDE w:val="0"/>
      <w:autoSpaceDN w:val="0"/>
      <w:adjustRightInd w:val="0"/>
      <w:spacing w:line="360" w:lineRule="auto"/>
      <w:jc w:val="center"/>
      <w:textAlignment w:val="baseline"/>
    </w:pPr>
    <w:rPr>
      <w:rFonts w:ascii="Times New Roman" w:hAnsi="Times New Roman" w:eastAsia="楷体_GB2312" w:cs="Times New Roman"/>
      <w:kern w:val="0"/>
      <w:sz w:val="24"/>
      <w:szCs w:val="20"/>
    </w:rPr>
  </w:style>
  <w:style w:type="paragraph" w:customStyle="1" w:styleId="3770">
    <w:name w:val="5文章(治)"/>
    <w:basedOn w:val="1"/>
    <w:qFormat/>
    <w:uiPriority w:val="0"/>
    <w:pPr>
      <w:spacing w:line="360" w:lineRule="auto"/>
      <w:ind w:firstLine="560" w:firstLineChars="200"/>
      <w:jc w:val="left"/>
    </w:pPr>
    <w:rPr>
      <w:rFonts w:ascii="Times New Roman" w:hAnsi="Times New Roman" w:eastAsia="楷体_GB2312" w:cs="Times New Roman"/>
      <w:sz w:val="28"/>
      <w:szCs w:val="20"/>
    </w:rPr>
  </w:style>
  <w:style w:type="paragraph" w:customStyle="1" w:styleId="3771">
    <w:name w:val="zhang正文"/>
    <w:basedOn w:val="35"/>
    <w:qFormat/>
    <w:uiPriority w:val="0"/>
    <w:pPr>
      <w:autoSpaceDE w:val="0"/>
      <w:autoSpaceDN w:val="0"/>
      <w:adjustRightInd w:val="0"/>
      <w:snapToGrid w:val="0"/>
      <w:spacing w:beforeLines="10" w:after="0"/>
      <w:ind w:left="0" w:leftChars="0" w:firstLine="539" w:firstLineChars="0"/>
      <w:textAlignment w:val="baseline"/>
    </w:pPr>
    <w:rPr>
      <w:rFonts w:eastAsia="楷体_GB2312"/>
      <w:snapToGrid w:val="0"/>
      <w:kern w:val="0"/>
      <w:sz w:val="28"/>
      <w:szCs w:val="20"/>
    </w:rPr>
  </w:style>
  <w:style w:type="paragraph" w:customStyle="1" w:styleId="3772">
    <w:name w:val="Char Char Char Char12"/>
    <w:basedOn w:val="1"/>
    <w:qFormat/>
    <w:uiPriority w:val="0"/>
    <w:pPr>
      <w:spacing w:line="360" w:lineRule="auto"/>
      <w:ind w:firstLine="200" w:firstLineChars="200"/>
      <w:jc w:val="left"/>
    </w:pPr>
    <w:rPr>
      <w:rFonts w:ascii="宋体" w:hAnsi="宋体" w:cs="宋体"/>
      <w:sz w:val="24"/>
      <w:szCs w:val="24"/>
    </w:rPr>
  </w:style>
  <w:style w:type="paragraph" w:customStyle="1" w:styleId="3773">
    <w:name w:val="Char Char Char Char Char Char Char3"/>
    <w:basedOn w:val="1"/>
    <w:semiHidden/>
    <w:qFormat/>
    <w:uiPriority w:val="0"/>
    <w:pPr>
      <w:adjustRightInd w:val="0"/>
      <w:spacing w:line="360" w:lineRule="auto"/>
      <w:ind w:firstLine="200" w:firstLineChars="200"/>
      <w:jc w:val="left"/>
    </w:pPr>
    <w:rPr>
      <w:rFonts w:ascii="宋体" w:hAnsi="宋体" w:cs="宋体"/>
      <w:sz w:val="24"/>
      <w:szCs w:val="26"/>
    </w:rPr>
  </w:style>
  <w:style w:type="character" w:customStyle="1" w:styleId="3774">
    <w:name w:val="列表 2 Char"/>
    <w:link w:val="37"/>
    <w:qFormat/>
    <w:uiPriority w:val="0"/>
    <w:rPr>
      <w:rFonts w:ascii="Times New Roman" w:hAnsi="Times New Roman" w:cs="Times New Roman"/>
      <w:snapToGrid w:val="0"/>
      <w:kern w:val="0"/>
      <w:sz w:val="24"/>
      <w:szCs w:val="24"/>
    </w:rPr>
  </w:style>
  <w:style w:type="paragraph" w:customStyle="1" w:styleId="3775">
    <w:name w:val="样式 标题 3 + (中文) 楷体_GB2312 四号 黑色 段前: 6 磅 段后: 6 磅 图案: 清除 (白色)..."/>
    <w:basedOn w:val="5"/>
    <w:qFormat/>
    <w:uiPriority w:val="0"/>
    <w:pPr>
      <w:spacing w:beforeLines="10" w:line="240" w:lineRule="auto"/>
      <w:ind w:firstLine="112" w:firstLineChars="112"/>
    </w:pPr>
    <w:rPr>
      <w:rFonts w:eastAsia="楷体_GB2312" w:cs="宋体"/>
      <w:bCs w:val="0"/>
      <w:color w:val="000000"/>
      <w:sz w:val="28"/>
      <w:szCs w:val="20"/>
      <w:shd w:val="clear" w:color="auto" w:fill="FFFFFF"/>
    </w:rPr>
  </w:style>
  <w:style w:type="paragraph" w:customStyle="1" w:styleId="3776">
    <w:name w:val="样式 列表 2 + 华文仿宋 居中"/>
    <w:basedOn w:val="37"/>
    <w:qFormat/>
    <w:uiPriority w:val="0"/>
    <w:pPr>
      <w:adjustRightInd/>
      <w:spacing w:beforeLines="0" w:line="240" w:lineRule="auto"/>
      <w:ind w:left="0" w:leftChars="0" w:firstLine="0" w:firstLineChars="0"/>
      <w:jc w:val="center"/>
    </w:pPr>
    <w:rPr>
      <w:snapToGrid/>
      <w:color w:val="000000"/>
      <w:kern w:val="2"/>
      <w:sz w:val="22"/>
      <w:szCs w:val="22"/>
    </w:rPr>
  </w:style>
  <w:style w:type="character" w:customStyle="1" w:styleId="3777">
    <w:name w:val="m lh15"/>
    <w:qFormat/>
    <w:uiPriority w:val="0"/>
  </w:style>
  <w:style w:type="paragraph" w:customStyle="1" w:styleId="3778">
    <w:name w:val="样式 标题 2 + Times New Roman"/>
    <w:basedOn w:val="4"/>
    <w:link w:val="3779"/>
    <w:qFormat/>
    <w:uiPriority w:val="0"/>
    <w:pPr>
      <w:keepNext w:val="0"/>
      <w:keepLines w:val="0"/>
      <w:spacing w:before="10" w:line="240" w:lineRule="auto"/>
      <w:ind w:firstLine="522" w:firstLineChars="200"/>
      <w:jc w:val="both"/>
    </w:pPr>
    <w:rPr>
      <w:rFonts w:cs="Times New Roman" w:eastAsiaTheme="minorEastAsia"/>
      <w:bCs w:val="0"/>
      <w:color w:val="000000" w:themeColor="text1"/>
      <w:szCs w:val="24"/>
      <w14:textFill>
        <w14:solidFill>
          <w14:schemeClr w14:val="tx1"/>
        </w14:solidFill>
      </w14:textFill>
    </w:rPr>
  </w:style>
  <w:style w:type="character" w:customStyle="1" w:styleId="3779">
    <w:name w:val="样式 标题 2 + Times New Roman Char"/>
    <w:link w:val="3778"/>
    <w:qFormat/>
    <w:uiPriority w:val="0"/>
    <w:rPr>
      <w:rFonts w:ascii="Times New Roman" w:hAnsi="Times New Roman" w:cs="Times New Roman"/>
      <w:b/>
      <w:color w:val="000000" w:themeColor="text1"/>
      <w:sz w:val="24"/>
      <w:szCs w:val="24"/>
      <w14:textFill>
        <w14:solidFill>
          <w14:schemeClr w14:val="tx1"/>
        </w14:solidFill>
      </w14:textFill>
    </w:rPr>
  </w:style>
  <w:style w:type="paragraph" w:customStyle="1" w:styleId="3780">
    <w:name w:val="正文样式"/>
    <w:basedOn w:val="1"/>
    <w:qFormat/>
    <w:uiPriority w:val="0"/>
    <w:pPr>
      <w:adjustRightInd w:val="0"/>
      <w:spacing w:line="480" w:lineRule="atLeast"/>
      <w:ind w:firstLine="200" w:firstLineChars="200"/>
      <w:jc w:val="left"/>
    </w:pPr>
    <w:rPr>
      <w:rFonts w:ascii="Times New Roman" w:hAnsi="Times New Roman" w:cs="Times New Roman"/>
      <w:color w:val="000000"/>
      <w:sz w:val="24"/>
      <w:szCs w:val="26"/>
    </w:rPr>
  </w:style>
  <w:style w:type="paragraph" w:customStyle="1" w:styleId="3781">
    <w:name w:val="标题3 Char Char Char Char"/>
    <w:basedOn w:val="1"/>
    <w:qFormat/>
    <w:uiPriority w:val="0"/>
    <w:pPr>
      <w:spacing w:afterLines="50" w:line="560" w:lineRule="exact"/>
      <w:jc w:val="left"/>
    </w:pPr>
    <w:rPr>
      <w:rFonts w:ascii="Times New Roman" w:hAnsi="Times New Roman" w:eastAsia="黑体" w:cs="Times New Roman"/>
      <w:sz w:val="30"/>
      <w:szCs w:val="30"/>
    </w:rPr>
  </w:style>
  <w:style w:type="character" w:customStyle="1" w:styleId="3782">
    <w:name w:val="样式 宋体 四号 行距: 1.5 倍行距 Char"/>
    <w:qFormat/>
    <w:uiPriority w:val="0"/>
    <w:rPr>
      <w:rFonts w:ascii="宋体" w:hAnsi="宋体" w:eastAsia="宋体" w:cs="宋体"/>
      <w:kern w:val="2"/>
      <w:sz w:val="28"/>
      <w:lang w:val="en-US" w:eastAsia="zh-CN" w:bidi="ar-SA"/>
    </w:rPr>
  </w:style>
  <w:style w:type="character" w:customStyle="1" w:styleId="3783">
    <w:name w:val="样式 左 Char"/>
    <w:qFormat/>
    <w:uiPriority w:val="0"/>
    <w:rPr>
      <w:rFonts w:eastAsia="宋体" w:cs="宋体"/>
      <w:kern w:val="2"/>
      <w:sz w:val="21"/>
      <w:lang w:val="en-US" w:eastAsia="zh-CN" w:bidi="ar-SA"/>
    </w:rPr>
  </w:style>
  <w:style w:type="character" w:customStyle="1" w:styleId="3784">
    <w:name w:val="要点2"/>
    <w:qFormat/>
    <w:uiPriority w:val="0"/>
    <w:rPr>
      <w:rFonts w:ascii="宋体" w:hAnsi="宋体" w:eastAsia="宋体"/>
      <w:b/>
    </w:rPr>
  </w:style>
  <w:style w:type="paragraph" w:customStyle="1" w:styleId="3785">
    <w:name w:val="Char Char Char1 Char Char Char Char Char Char Char Char Char Char Char Char Char"/>
    <w:basedOn w:val="6"/>
    <w:qFormat/>
    <w:uiPriority w:val="0"/>
    <w:pPr>
      <w:tabs>
        <w:tab w:val="left" w:pos="0"/>
      </w:tabs>
      <w:jc w:val="both"/>
    </w:pPr>
    <w:rPr>
      <w:rFonts w:eastAsia="仿宋_GB2312" w:cs="宋体"/>
      <w:bCs w:val="0"/>
      <w:sz w:val="28"/>
    </w:rPr>
  </w:style>
  <w:style w:type="paragraph" w:customStyle="1" w:styleId="3786">
    <w:name w:val="正文（首行缩进两字）"/>
    <w:basedOn w:val="1"/>
    <w:qFormat/>
    <w:uiPriority w:val="0"/>
    <w:pPr>
      <w:spacing w:line="360" w:lineRule="auto"/>
      <w:ind w:firstLine="573"/>
      <w:jc w:val="left"/>
    </w:pPr>
    <w:rPr>
      <w:rFonts w:ascii="Times New Roman" w:hAnsi="Times New Roman" w:cs="Times New Roman"/>
      <w:sz w:val="28"/>
      <w:szCs w:val="28"/>
    </w:rPr>
  </w:style>
  <w:style w:type="paragraph" w:customStyle="1" w:styleId="3787">
    <w:name w:val="表5"/>
    <w:basedOn w:val="1"/>
    <w:qFormat/>
    <w:uiPriority w:val="0"/>
    <w:pPr>
      <w:spacing w:line="0" w:lineRule="atLeast"/>
      <w:jc w:val="right"/>
    </w:pPr>
    <w:rPr>
      <w:rFonts w:ascii="Times New Roman" w:hAnsi="Times New Roman" w:cs="Times New Roman"/>
      <w:szCs w:val="24"/>
    </w:rPr>
  </w:style>
  <w:style w:type="paragraph" w:customStyle="1" w:styleId="3788">
    <w:name w:val="Char Char Char Char Char Char Char Char Char Char Char Char Char2"/>
    <w:basedOn w:val="1"/>
    <w:qFormat/>
    <w:uiPriority w:val="0"/>
    <w:pPr>
      <w:spacing w:beforeLines="50" w:afterLines="50"/>
      <w:ind w:firstLine="200" w:firstLineChars="200"/>
      <w:jc w:val="left"/>
    </w:pPr>
    <w:rPr>
      <w:rFonts w:ascii="宋体" w:hAnsi="宋体" w:cs="Courier New"/>
      <w:spacing w:val="-2"/>
      <w:sz w:val="22"/>
      <w:szCs w:val="32"/>
    </w:rPr>
  </w:style>
  <w:style w:type="character" w:customStyle="1" w:styleId="3789">
    <w:name w:val="标题6"/>
    <w:qFormat/>
    <w:uiPriority w:val="0"/>
  </w:style>
  <w:style w:type="paragraph" w:customStyle="1" w:styleId="3790">
    <w:name w:val="Char Char3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character" w:customStyle="1" w:styleId="3791">
    <w:name w:val="标书正文 Char"/>
    <w:link w:val="3582"/>
    <w:qFormat/>
    <w:uiPriority w:val="0"/>
    <w:rPr>
      <w:rFonts w:ascii="Calibri" w:hAnsi="Calibri" w:cs="Times New Roman"/>
      <w:kern w:val="0"/>
      <w:sz w:val="28"/>
      <w:szCs w:val="28"/>
    </w:rPr>
  </w:style>
  <w:style w:type="paragraph" w:customStyle="1" w:styleId="3792">
    <w:name w:val="标书图表"/>
    <w:basedOn w:val="1"/>
    <w:next w:val="3582"/>
    <w:qFormat/>
    <w:uiPriority w:val="0"/>
    <w:pPr>
      <w:spacing w:line="300" w:lineRule="auto"/>
      <w:jc w:val="center"/>
    </w:pPr>
    <w:rPr>
      <w:rFonts w:ascii="Arial" w:hAnsi="Arial" w:cs="Times New Roman"/>
      <w:szCs w:val="44"/>
    </w:rPr>
  </w:style>
  <w:style w:type="character" w:customStyle="1" w:styleId="3793">
    <w:name w:val="Char Char511"/>
    <w:qFormat/>
    <w:uiPriority w:val="0"/>
    <w:rPr>
      <w:rFonts w:ascii="Arial" w:hAnsi="Arial" w:eastAsia="黑体"/>
      <w:b/>
      <w:bCs/>
      <w:kern w:val="2"/>
      <w:sz w:val="28"/>
      <w:szCs w:val="28"/>
      <w:lang w:val="en-US" w:eastAsia="zh-CN" w:bidi="ar-SA"/>
    </w:rPr>
  </w:style>
  <w:style w:type="paragraph" w:customStyle="1" w:styleId="3794">
    <w:name w:val="王志臣"/>
    <w:basedOn w:val="1"/>
    <w:qFormat/>
    <w:uiPriority w:val="0"/>
    <w:pPr>
      <w:spacing w:line="500" w:lineRule="exact"/>
      <w:ind w:firstLine="556"/>
      <w:jc w:val="left"/>
    </w:pPr>
    <w:rPr>
      <w:rFonts w:ascii="楷体_GB2312" w:hAnsi="Times New Roman" w:eastAsia="楷体_GB2312" w:cs="Times New Roman"/>
      <w:sz w:val="28"/>
      <w:szCs w:val="20"/>
    </w:rPr>
  </w:style>
  <w:style w:type="paragraph" w:customStyle="1" w:styleId="3795">
    <w:name w:val="Char Char Char Char Char Char Char Char Char Char Char Char Char Char Char Char Char Char Char2"/>
    <w:basedOn w:val="1"/>
    <w:semiHidden/>
    <w:qFormat/>
    <w:uiPriority w:val="0"/>
    <w:pPr>
      <w:ind w:left="510"/>
      <w:jc w:val="left"/>
    </w:pPr>
    <w:rPr>
      <w:rFonts w:ascii="Times New Roman" w:hAnsi="Times New Roman" w:cs="Times New Roman"/>
    </w:rPr>
  </w:style>
  <w:style w:type="paragraph" w:customStyle="1" w:styleId="3796">
    <w:name w:val="样式 13 磅 行距: 固定值 25 磅"/>
    <w:basedOn w:val="1"/>
    <w:qFormat/>
    <w:uiPriority w:val="0"/>
    <w:pPr>
      <w:spacing w:line="500" w:lineRule="exact"/>
      <w:ind w:firstLine="520" w:firstLineChars="200"/>
      <w:jc w:val="left"/>
    </w:pPr>
    <w:rPr>
      <w:rFonts w:ascii="Times New Roman" w:hAnsi="Times New Roman" w:cs="宋体"/>
      <w:sz w:val="24"/>
      <w:szCs w:val="20"/>
    </w:rPr>
  </w:style>
  <w:style w:type="paragraph" w:customStyle="1" w:styleId="3797">
    <w:name w:val="表格文字居中 Char"/>
    <w:basedOn w:val="1"/>
    <w:next w:val="1"/>
    <w:link w:val="3798"/>
    <w:qFormat/>
    <w:uiPriority w:val="0"/>
    <w:pPr>
      <w:adjustRightInd w:val="0"/>
      <w:jc w:val="center"/>
    </w:pPr>
    <w:rPr>
      <w:rFonts w:ascii="Times New Roman" w:hAnsi="Times New Roman" w:cs="Times New Roman"/>
      <w:snapToGrid w:val="0"/>
      <w:color w:val="000000"/>
      <w:sz w:val="22"/>
    </w:rPr>
  </w:style>
  <w:style w:type="character" w:customStyle="1" w:styleId="3798">
    <w:name w:val="表格文字居中 Char Char"/>
    <w:link w:val="3797"/>
    <w:qFormat/>
    <w:uiPriority w:val="0"/>
    <w:rPr>
      <w:rFonts w:ascii="Times New Roman" w:hAnsi="Times New Roman" w:cs="Times New Roman"/>
      <w:snapToGrid w:val="0"/>
      <w:color w:val="000000"/>
      <w:sz w:val="22"/>
    </w:rPr>
  </w:style>
  <w:style w:type="paragraph" w:customStyle="1" w:styleId="3799">
    <w:name w:val="样式 样式9 + 宋体"/>
    <w:basedOn w:val="1"/>
    <w:link w:val="3800"/>
    <w:qFormat/>
    <w:uiPriority w:val="0"/>
    <w:pPr>
      <w:adjustRightInd w:val="0"/>
      <w:spacing w:line="480" w:lineRule="exact"/>
      <w:ind w:firstLine="200" w:firstLineChars="200"/>
      <w:jc w:val="left"/>
    </w:pPr>
    <w:rPr>
      <w:rFonts w:ascii="Times New Roman" w:hAnsi="Times New Roman" w:cs="Times New Roman"/>
      <w:sz w:val="24"/>
      <w:szCs w:val="26"/>
    </w:rPr>
  </w:style>
  <w:style w:type="character" w:customStyle="1" w:styleId="3800">
    <w:name w:val="样式 样式9 + 宋体 Char"/>
    <w:link w:val="3799"/>
    <w:qFormat/>
    <w:uiPriority w:val="0"/>
    <w:rPr>
      <w:rFonts w:ascii="Times New Roman" w:hAnsi="Times New Roman" w:cs="Times New Roman"/>
      <w:sz w:val="24"/>
      <w:szCs w:val="26"/>
    </w:rPr>
  </w:style>
  <w:style w:type="paragraph" w:customStyle="1" w:styleId="3801">
    <w:name w:val="！正文"/>
    <w:basedOn w:val="1"/>
    <w:link w:val="3802"/>
    <w:qFormat/>
    <w:uiPriority w:val="0"/>
    <w:pPr>
      <w:ind w:firstLine="560"/>
      <w:jc w:val="left"/>
    </w:pPr>
    <w:rPr>
      <w:rFonts w:ascii="宋体" w:hAnsi="Arial" w:cs="Times New Roman"/>
      <w:sz w:val="28"/>
      <w:szCs w:val="28"/>
    </w:rPr>
  </w:style>
  <w:style w:type="character" w:customStyle="1" w:styleId="3802">
    <w:name w:val="！正文 Char"/>
    <w:link w:val="3801"/>
    <w:qFormat/>
    <w:uiPriority w:val="0"/>
    <w:rPr>
      <w:rFonts w:ascii="宋体" w:hAnsi="Arial" w:cs="Times New Roman"/>
      <w:sz w:val="28"/>
      <w:szCs w:val="28"/>
    </w:rPr>
  </w:style>
  <w:style w:type="paragraph" w:customStyle="1" w:styleId="3803">
    <w:name w:val="！标题2"/>
    <w:basedOn w:val="84"/>
    <w:next w:val="3801"/>
    <w:link w:val="3804"/>
    <w:qFormat/>
    <w:uiPriority w:val="0"/>
    <w:pPr>
      <w:keepNext/>
      <w:tabs>
        <w:tab w:val="left" w:pos="1620"/>
      </w:tabs>
      <w:spacing w:beforeLines="0" w:line="500" w:lineRule="exact"/>
      <w:ind w:left="1620" w:leftChars="600" w:hanging="200" w:hangingChars="200"/>
      <w:jc w:val="left"/>
      <w:outlineLvl w:val="1"/>
    </w:pPr>
    <w:rPr>
      <w:rFonts w:eastAsiaTheme="minorEastAsia"/>
      <w:snapToGrid/>
      <w:kern w:val="2"/>
      <w:sz w:val="28"/>
      <w:szCs w:val="28"/>
    </w:rPr>
  </w:style>
  <w:style w:type="character" w:customStyle="1" w:styleId="3804">
    <w:name w:val="！标题2 Char Char"/>
    <w:link w:val="3803"/>
    <w:qFormat/>
    <w:uiPriority w:val="0"/>
    <w:rPr>
      <w:rFonts w:ascii="Times New Roman" w:hAnsi="Times New Roman" w:cs="Times New Roman"/>
      <w:b/>
      <w:color w:val="000000"/>
      <w:spacing w:val="8"/>
      <w:sz w:val="28"/>
      <w:szCs w:val="28"/>
    </w:rPr>
  </w:style>
  <w:style w:type="paragraph" w:customStyle="1" w:styleId="3805">
    <w:name w:val="！表格五号"/>
    <w:basedOn w:val="1"/>
    <w:link w:val="3806"/>
    <w:qFormat/>
    <w:uiPriority w:val="0"/>
    <w:pPr>
      <w:spacing w:line="320" w:lineRule="exact"/>
      <w:jc w:val="center"/>
    </w:pPr>
    <w:rPr>
      <w:rFonts w:ascii="宋体" w:hAnsi="Arial" w:cs="Times New Roman"/>
    </w:rPr>
  </w:style>
  <w:style w:type="character" w:customStyle="1" w:styleId="3806">
    <w:name w:val="！表格五号 Char"/>
    <w:link w:val="3805"/>
    <w:qFormat/>
    <w:uiPriority w:val="0"/>
    <w:rPr>
      <w:rFonts w:ascii="宋体" w:hAnsi="Arial" w:cs="Times New Roman"/>
      <w:szCs w:val="21"/>
    </w:rPr>
  </w:style>
  <w:style w:type="paragraph" w:customStyle="1" w:styleId="3807">
    <w:name w:val="！正文文本"/>
    <w:basedOn w:val="1"/>
    <w:link w:val="3808"/>
    <w:qFormat/>
    <w:uiPriority w:val="0"/>
    <w:pPr>
      <w:spacing w:line="360" w:lineRule="auto"/>
      <w:ind w:firstLine="200" w:firstLineChars="200"/>
      <w:jc w:val="left"/>
    </w:pPr>
    <w:rPr>
      <w:rFonts w:ascii="宋体" w:hAnsi="宋体" w:cs="Times New Roman"/>
      <w:sz w:val="28"/>
      <w:szCs w:val="28"/>
    </w:rPr>
  </w:style>
  <w:style w:type="character" w:customStyle="1" w:styleId="3808">
    <w:name w:val="！正文文本 Char"/>
    <w:link w:val="3807"/>
    <w:qFormat/>
    <w:uiPriority w:val="0"/>
    <w:rPr>
      <w:rFonts w:ascii="宋体" w:hAnsi="宋体" w:cs="Times New Roman"/>
      <w:sz w:val="28"/>
      <w:szCs w:val="28"/>
    </w:rPr>
  </w:style>
  <w:style w:type="paragraph" w:customStyle="1" w:styleId="3809">
    <w:name w:val="1－正文"/>
    <w:basedOn w:val="1"/>
    <w:link w:val="3810"/>
    <w:qFormat/>
    <w:uiPriority w:val="0"/>
    <w:pPr>
      <w:ind w:firstLine="200" w:firstLineChars="200"/>
      <w:jc w:val="left"/>
    </w:pPr>
    <w:rPr>
      <w:rFonts w:ascii="Times New Roman" w:hAnsi="Times New Roman" w:cs="Times New Roman"/>
      <w:sz w:val="28"/>
      <w:szCs w:val="28"/>
    </w:rPr>
  </w:style>
  <w:style w:type="character" w:customStyle="1" w:styleId="3810">
    <w:name w:val="1－正文 Char"/>
    <w:link w:val="3809"/>
    <w:qFormat/>
    <w:uiPriority w:val="0"/>
    <w:rPr>
      <w:rFonts w:ascii="Times New Roman" w:hAnsi="Times New Roman" w:cs="Times New Roman"/>
      <w:sz w:val="28"/>
      <w:szCs w:val="28"/>
    </w:rPr>
  </w:style>
  <w:style w:type="paragraph" w:customStyle="1" w:styleId="3811">
    <w:name w:val="CM8"/>
    <w:basedOn w:val="1"/>
    <w:next w:val="1"/>
    <w:qFormat/>
    <w:uiPriority w:val="0"/>
    <w:pPr>
      <w:autoSpaceDE w:val="0"/>
      <w:autoSpaceDN w:val="0"/>
      <w:adjustRightInd w:val="0"/>
      <w:spacing w:line="508" w:lineRule="atLeast"/>
      <w:jc w:val="left"/>
    </w:pPr>
    <w:rPr>
      <w:rFonts w:ascii="宋体" w:hAnsi="Times New Roman" w:cs="宋体"/>
      <w:kern w:val="0"/>
      <w:sz w:val="24"/>
      <w:szCs w:val="24"/>
    </w:rPr>
  </w:style>
  <w:style w:type="character" w:customStyle="1" w:styleId="3812">
    <w:name w:val="样式9 Char"/>
    <w:link w:val="1037"/>
    <w:qFormat/>
    <w:uiPriority w:val="0"/>
    <w:rPr>
      <w:rFonts w:ascii="Calibri" w:hAnsi="Calibri" w:cs="Times New Roman"/>
      <w:kern w:val="0"/>
      <w:sz w:val="22"/>
      <w:szCs w:val="20"/>
    </w:rPr>
  </w:style>
  <w:style w:type="character" w:customStyle="1" w:styleId="3813">
    <w:name w:val="正文01 Char"/>
    <w:link w:val="272"/>
    <w:qFormat/>
    <w:uiPriority w:val="0"/>
    <w:rPr>
      <w:rFonts w:ascii="Times New Roman" w:hAnsi="Times New Roman" w:eastAsia="宋体" w:cs="Times New Roman"/>
      <w:bCs/>
      <w:sz w:val="24"/>
      <w:szCs w:val="24"/>
    </w:rPr>
  </w:style>
  <w:style w:type="character" w:customStyle="1" w:styleId="3814">
    <w:name w:val="正文(首行缩进) Char"/>
    <w:link w:val="1940"/>
    <w:qFormat/>
    <w:uiPriority w:val="0"/>
    <w:rPr>
      <w:rFonts w:ascii="宋体" w:hAnsi="宋体" w:cs="Times New Roman"/>
      <w:kern w:val="24"/>
      <w:sz w:val="24"/>
      <w:szCs w:val="20"/>
    </w:rPr>
  </w:style>
  <w:style w:type="character" w:customStyle="1" w:styleId="3815">
    <w:name w:val="本项目正文 Char"/>
    <w:link w:val="3816"/>
    <w:qFormat/>
    <w:uiPriority w:val="0"/>
    <w:rPr>
      <w:rFonts w:cs="宋体"/>
      <w:sz w:val="24"/>
      <w:szCs w:val="24"/>
    </w:rPr>
  </w:style>
  <w:style w:type="paragraph" w:customStyle="1" w:styleId="3816">
    <w:name w:val="本项目正文"/>
    <w:basedOn w:val="1"/>
    <w:link w:val="3815"/>
    <w:qFormat/>
    <w:uiPriority w:val="0"/>
    <w:pPr>
      <w:widowControl/>
      <w:spacing w:line="360" w:lineRule="auto"/>
      <w:ind w:firstLine="200" w:firstLineChars="200"/>
      <w:jc w:val="left"/>
    </w:pPr>
    <w:rPr>
      <w:rFonts w:cs="宋体"/>
      <w:sz w:val="24"/>
      <w:szCs w:val="24"/>
    </w:rPr>
  </w:style>
  <w:style w:type="paragraph" w:customStyle="1" w:styleId="3817">
    <w:name w:val="样式 正文文本缩进 + (中文) 仿宋_GB2312 左侧:  0 厘米 行距: 1.5 倍行距 首行缩进:  2 字符"/>
    <w:basedOn w:val="35"/>
    <w:link w:val="3818"/>
    <w:qFormat/>
    <w:uiPriority w:val="0"/>
    <w:pPr>
      <w:spacing w:beforeLines="10" w:after="0"/>
      <w:ind w:left="0" w:leftChars="0" w:firstLine="560"/>
    </w:pPr>
    <w:rPr>
      <w:rFonts w:ascii="仿宋_GB2312" w:eastAsia="仿宋_GB2312"/>
      <w:snapToGrid w:val="0"/>
      <w:kern w:val="0"/>
      <w:sz w:val="28"/>
      <w:szCs w:val="28"/>
    </w:rPr>
  </w:style>
  <w:style w:type="character" w:customStyle="1" w:styleId="3818">
    <w:name w:val="样式 正文文本缩进 + (中文) 仿宋_GB2312 左侧:  0 厘米 行距: 1.5 倍行距 首行缩进:  2 字符 Char"/>
    <w:link w:val="3817"/>
    <w:qFormat/>
    <w:uiPriority w:val="0"/>
    <w:rPr>
      <w:rFonts w:ascii="仿宋_GB2312" w:hAnsi="Times New Roman" w:eastAsia="仿宋_GB2312" w:cs="Times New Roman"/>
      <w:snapToGrid w:val="0"/>
      <w:kern w:val="0"/>
      <w:sz w:val="28"/>
      <w:szCs w:val="28"/>
    </w:rPr>
  </w:style>
  <w:style w:type="paragraph" w:customStyle="1" w:styleId="3819">
    <w:name w:val="表头排版"/>
    <w:basedOn w:val="1"/>
    <w:link w:val="3820"/>
    <w:qFormat/>
    <w:uiPriority w:val="0"/>
    <w:pPr>
      <w:jc w:val="right"/>
    </w:pPr>
    <w:rPr>
      <w:rFonts w:ascii="Times New Roman" w:hAnsi="Times New Roman" w:cs="Times New Roman"/>
      <w:sz w:val="24"/>
    </w:rPr>
  </w:style>
  <w:style w:type="character" w:customStyle="1" w:styleId="3820">
    <w:name w:val="表头排版 Char"/>
    <w:link w:val="3819"/>
    <w:qFormat/>
    <w:uiPriority w:val="0"/>
    <w:rPr>
      <w:rFonts w:ascii="Times New Roman" w:hAnsi="Times New Roman" w:cs="Times New Roman"/>
      <w:sz w:val="24"/>
      <w:szCs w:val="21"/>
    </w:rPr>
  </w:style>
  <w:style w:type="paragraph" w:customStyle="1" w:styleId="3821">
    <w:name w:val="Char Char Char1 Char2"/>
    <w:basedOn w:val="1"/>
    <w:qFormat/>
    <w:uiPriority w:val="0"/>
    <w:pPr>
      <w:adjustRightInd w:val="0"/>
      <w:spacing w:line="360" w:lineRule="auto"/>
      <w:ind w:firstLine="200" w:firstLineChars="200"/>
      <w:jc w:val="left"/>
    </w:pPr>
    <w:rPr>
      <w:rFonts w:ascii="Times New Roman" w:hAnsi="Times New Roman" w:cs="Times New Roman"/>
      <w:szCs w:val="20"/>
    </w:rPr>
  </w:style>
  <w:style w:type="paragraph" w:customStyle="1" w:styleId="3822">
    <w:name w:val="reader-word-layer reader-word-s1-1"/>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23">
    <w:name w:val="reader-word-layer reader-word-s1-3"/>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24">
    <w:name w:val="reader-word-layer reader-word-s1-0 reader-word-s1-4"/>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25">
    <w:name w:val="reader-word-layer reader-word-s1-6"/>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26">
    <w:name w:val="reader-word-layer reader-word-s1-9"/>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27">
    <w:name w:val="reader-word-layer reader-word-s10-4"/>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28">
    <w:name w:val="reader-word-layer reader-word-s10-6"/>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29">
    <w:name w:val="reader-word-layer reader-word-s10-5"/>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30">
    <w:name w:val="reader-word-layer reader-word-s10-8"/>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831">
    <w:name w:val="reader-word-layer reader-word-s10-1"/>
    <w:basedOn w:val="1"/>
    <w:qFormat/>
    <w:uiPriority w:val="0"/>
    <w:pPr>
      <w:widowControl/>
      <w:spacing w:beforeAutospacing="1" w:after="100" w:afterAutospacing="1"/>
      <w:jc w:val="left"/>
    </w:pPr>
    <w:rPr>
      <w:rFonts w:ascii="宋体" w:hAnsi="宋体" w:cs="宋体"/>
      <w:kern w:val="0"/>
      <w:sz w:val="24"/>
      <w:szCs w:val="24"/>
    </w:rPr>
  </w:style>
  <w:style w:type="character" w:customStyle="1" w:styleId="3832">
    <w:name w:val="x2"/>
    <w:qFormat/>
    <w:uiPriority w:val="0"/>
    <w:rPr>
      <w:color w:val="000000"/>
      <w:sz w:val="16"/>
      <w:szCs w:val="16"/>
    </w:rPr>
  </w:style>
  <w:style w:type="paragraph" w:customStyle="1" w:styleId="3833">
    <w:name w:val="正文T"/>
    <w:basedOn w:val="35"/>
    <w:qFormat/>
    <w:uiPriority w:val="0"/>
    <w:pPr>
      <w:spacing w:beforeLines="10" w:after="0"/>
      <w:ind w:left="0" w:leftChars="0"/>
    </w:pPr>
    <w:rPr>
      <w:rFonts w:eastAsiaTheme="minorEastAsia"/>
      <w:snapToGrid w:val="0"/>
      <w:color w:val="000000"/>
      <w:kern w:val="0"/>
      <w:szCs w:val="24"/>
    </w:rPr>
  </w:style>
  <w:style w:type="paragraph" w:customStyle="1" w:styleId="3834">
    <w:name w:val="首行缩进2字符"/>
    <w:basedOn w:val="1"/>
    <w:link w:val="3835"/>
    <w:qFormat/>
    <w:uiPriority w:val="0"/>
    <w:pPr>
      <w:ind w:firstLine="200" w:firstLineChars="200"/>
      <w:jc w:val="left"/>
    </w:pPr>
    <w:rPr>
      <w:rFonts w:ascii="Times New Roman" w:hAnsi="Times New Roman" w:cs="Times New Roman"/>
      <w:szCs w:val="24"/>
    </w:rPr>
  </w:style>
  <w:style w:type="character" w:customStyle="1" w:styleId="3835">
    <w:name w:val="首行缩进2字符 Char"/>
    <w:link w:val="3834"/>
    <w:qFormat/>
    <w:uiPriority w:val="0"/>
    <w:rPr>
      <w:rFonts w:ascii="Times New Roman" w:hAnsi="Times New Roman" w:cs="Times New Roman"/>
      <w:szCs w:val="24"/>
    </w:rPr>
  </w:style>
  <w:style w:type="paragraph" w:customStyle="1" w:styleId="3836">
    <w:name w:val="表文字 Char"/>
    <w:basedOn w:val="1"/>
    <w:qFormat/>
    <w:uiPriority w:val="0"/>
    <w:pPr>
      <w:spacing w:line="0" w:lineRule="atLeast"/>
      <w:jc w:val="center"/>
    </w:pPr>
    <w:rPr>
      <w:rFonts w:ascii="宋体" w:hAnsi="宋体" w:cs="Times New Roman"/>
      <w:sz w:val="24"/>
      <w:szCs w:val="24"/>
    </w:rPr>
  </w:style>
  <w:style w:type="paragraph" w:customStyle="1" w:styleId="3837">
    <w:name w:val="报告表正文"/>
    <w:basedOn w:val="1"/>
    <w:qFormat/>
    <w:uiPriority w:val="0"/>
    <w:pPr>
      <w:adjustRightInd w:val="0"/>
      <w:spacing w:line="300" w:lineRule="auto"/>
      <w:ind w:left="113" w:right="113"/>
      <w:jc w:val="left"/>
      <w:textAlignment w:val="baseline"/>
    </w:pPr>
    <w:rPr>
      <w:rFonts w:ascii="Times New Roman" w:hAnsi="Times New Roman" w:cs="Times New Roman"/>
      <w:kern w:val="0"/>
      <w:sz w:val="24"/>
      <w:szCs w:val="20"/>
    </w:rPr>
  </w:style>
  <w:style w:type="paragraph" w:customStyle="1" w:styleId="3838">
    <w:name w:val="bg正文首行缩进"/>
    <w:basedOn w:val="1"/>
    <w:link w:val="3839"/>
    <w:qFormat/>
    <w:uiPriority w:val="0"/>
    <w:pPr>
      <w:spacing w:line="360" w:lineRule="exact"/>
      <w:ind w:firstLine="482"/>
      <w:jc w:val="left"/>
    </w:pPr>
    <w:rPr>
      <w:rFonts w:ascii="Times New Roman" w:hAnsi="Times New Roman" w:cs="Times New Roman"/>
      <w:sz w:val="24"/>
      <w:szCs w:val="28"/>
    </w:rPr>
  </w:style>
  <w:style w:type="character" w:customStyle="1" w:styleId="3839">
    <w:name w:val="bg正文首行缩进 Char"/>
    <w:link w:val="3838"/>
    <w:qFormat/>
    <w:uiPriority w:val="0"/>
    <w:rPr>
      <w:rFonts w:ascii="Times New Roman" w:hAnsi="Times New Roman" w:cs="Times New Roman"/>
      <w:sz w:val="24"/>
      <w:szCs w:val="28"/>
    </w:rPr>
  </w:style>
  <w:style w:type="paragraph" w:customStyle="1" w:styleId="3840">
    <w:name w:val="报告正文小四"/>
    <w:basedOn w:val="1"/>
    <w:qFormat/>
    <w:uiPriority w:val="0"/>
    <w:pPr>
      <w:adjustRightInd w:val="0"/>
      <w:spacing w:line="420" w:lineRule="atLeast"/>
      <w:ind w:firstLine="510"/>
      <w:jc w:val="left"/>
    </w:pPr>
    <w:rPr>
      <w:rFonts w:ascii="Times New Roman" w:hAnsi="Times New Roman" w:cs="Times New Roman"/>
      <w:sz w:val="24"/>
      <w:szCs w:val="20"/>
    </w:rPr>
  </w:style>
  <w:style w:type="character" w:customStyle="1" w:styleId="3841">
    <w:name w:val="bg正文首行缩进 Char1"/>
    <w:qFormat/>
    <w:uiPriority w:val="0"/>
    <w:rPr>
      <w:rFonts w:eastAsia="宋体"/>
      <w:kern w:val="2"/>
      <w:sz w:val="28"/>
      <w:szCs w:val="28"/>
      <w:lang w:val="en-US" w:eastAsia="zh-CN" w:bidi="ar-SA"/>
    </w:rPr>
  </w:style>
  <w:style w:type="paragraph" w:customStyle="1" w:styleId="3842">
    <w:name w:val="bg表内容"/>
    <w:basedOn w:val="1"/>
    <w:next w:val="1"/>
    <w:qFormat/>
    <w:uiPriority w:val="0"/>
    <w:pPr>
      <w:ind w:left="-113" w:right="-113"/>
      <w:jc w:val="center"/>
    </w:pPr>
    <w:rPr>
      <w:rFonts w:ascii="Times New Roman" w:hAnsi="Times New Roman" w:cs="Times New Roman"/>
      <w:sz w:val="18"/>
      <w:szCs w:val="18"/>
    </w:rPr>
  </w:style>
  <w:style w:type="paragraph" w:customStyle="1" w:styleId="3843">
    <w:name w:val="bgbt6插图标题"/>
    <w:basedOn w:val="73"/>
    <w:next w:val="1"/>
    <w:link w:val="3844"/>
    <w:qFormat/>
    <w:uiPriority w:val="0"/>
    <w:pPr>
      <w:adjustRightInd/>
      <w:spacing w:beforeLines="0" w:after="60" w:line="240" w:lineRule="auto"/>
      <w:ind w:left="420" w:hanging="420" w:firstLineChars="0"/>
      <w:jc w:val="center"/>
      <w:outlineLvl w:val="5"/>
    </w:pPr>
    <w:rPr>
      <w:rFonts w:eastAsia="黑体"/>
      <w:caps w:val="0"/>
      <w:smallCaps/>
      <w:snapToGrid/>
      <w:kern w:val="2"/>
      <w:sz w:val="20"/>
      <w:szCs w:val="21"/>
    </w:rPr>
  </w:style>
  <w:style w:type="character" w:customStyle="1" w:styleId="3844">
    <w:name w:val="bgbt6插图标题 Char"/>
    <w:link w:val="3843"/>
    <w:qFormat/>
    <w:uiPriority w:val="0"/>
    <w:rPr>
      <w:rFonts w:ascii="Times New Roman" w:hAnsi="Times New Roman" w:eastAsia="黑体" w:cs="Times New Roman"/>
      <w:smallCaps/>
      <w:sz w:val="20"/>
      <w:szCs w:val="21"/>
    </w:rPr>
  </w:style>
  <w:style w:type="paragraph" w:customStyle="1" w:styleId="3845">
    <w:name w:val="bg正文首行缩进 Char Char"/>
    <w:basedOn w:val="1"/>
    <w:qFormat/>
    <w:uiPriority w:val="0"/>
    <w:pPr>
      <w:spacing w:line="360" w:lineRule="exact"/>
      <w:ind w:firstLine="482"/>
      <w:jc w:val="left"/>
    </w:pPr>
    <w:rPr>
      <w:rFonts w:ascii="Times New Roman" w:hAnsi="Times New Roman" w:cs="Times New Roman"/>
      <w:sz w:val="24"/>
      <w:szCs w:val="28"/>
    </w:rPr>
  </w:style>
  <w:style w:type="paragraph" w:customStyle="1" w:styleId="3846">
    <w:name w:val="bgbt5附表标题"/>
    <w:basedOn w:val="1"/>
    <w:next w:val="1"/>
    <w:link w:val="3847"/>
    <w:qFormat/>
    <w:uiPriority w:val="0"/>
    <w:pPr>
      <w:jc w:val="center"/>
      <w:outlineLvl w:val="4"/>
    </w:pPr>
    <w:rPr>
      <w:rFonts w:ascii="Times New Roman" w:hAnsi="Times New Roman" w:eastAsia="黑体" w:cs="Times New Roman"/>
    </w:rPr>
  </w:style>
  <w:style w:type="character" w:customStyle="1" w:styleId="3847">
    <w:name w:val="bgbt5附表标题 Char"/>
    <w:link w:val="3846"/>
    <w:qFormat/>
    <w:uiPriority w:val="0"/>
    <w:rPr>
      <w:rFonts w:ascii="Times New Roman" w:hAnsi="Times New Roman" w:eastAsia="黑体" w:cs="Times New Roman"/>
      <w:szCs w:val="21"/>
    </w:rPr>
  </w:style>
  <w:style w:type="paragraph" w:customStyle="1" w:styleId="3848">
    <w:name w:val="Char Char Char Char Char Char1 Char Char Char1 Char Char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3849">
    <w:name w:val="bgbt2节标题"/>
    <w:basedOn w:val="1"/>
    <w:next w:val="1"/>
    <w:qFormat/>
    <w:uiPriority w:val="0"/>
    <w:pPr>
      <w:spacing w:after="60"/>
      <w:jc w:val="center"/>
      <w:outlineLvl w:val="1"/>
    </w:pPr>
    <w:rPr>
      <w:rFonts w:ascii="Times New Roman" w:hAnsi="Times New Roman" w:eastAsia="黑体" w:cs="Times New Roman"/>
      <w:sz w:val="30"/>
      <w:szCs w:val="30"/>
    </w:rPr>
  </w:style>
  <w:style w:type="paragraph" w:customStyle="1" w:styleId="3850">
    <w:name w:val="Char Char Char Char Char Char1 Char Char Char Char Char Char Char Char Char1 Char Char Char Char Char Char Char Char Char Char Char Char Char"/>
    <w:basedOn w:val="1"/>
    <w:qFormat/>
    <w:uiPriority w:val="0"/>
    <w:pPr>
      <w:widowControl/>
      <w:jc w:val="left"/>
    </w:pPr>
    <w:rPr>
      <w:rFonts w:ascii="宋体" w:hAnsi="宋体" w:cs="宋体"/>
      <w:kern w:val="0"/>
      <w:sz w:val="24"/>
      <w:szCs w:val="24"/>
    </w:rPr>
  </w:style>
  <w:style w:type="paragraph" w:customStyle="1" w:styleId="3851">
    <w:name w:val="水保3级"/>
    <w:basedOn w:val="5"/>
    <w:qFormat/>
    <w:uiPriority w:val="0"/>
    <w:pPr>
      <w:spacing w:beforeLines="10" w:after="260" w:line="500" w:lineRule="exact"/>
      <w:ind w:firstLine="480" w:firstLineChars="200"/>
    </w:pPr>
    <w:rPr>
      <w:rFonts w:cs="Times New Roman" w:eastAsiaTheme="minorEastAsia"/>
      <w:b w:val="0"/>
      <w:bCs w:val="0"/>
      <w:sz w:val="28"/>
      <w:szCs w:val="26"/>
    </w:rPr>
  </w:style>
  <w:style w:type="paragraph" w:customStyle="1" w:styleId="3852">
    <w:name w:val="水保4级"/>
    <w:basedOn w:val="6"/>
    <w:qFormat/>
    <w:uiPriority w:val="0"/>
    <w:pPr>
      <w:tabs>
        <w:tab w:val="left" w:pos="0"/>
      </w:tabs>
      <w:jc w:val="both"/>
    </w:pPr>
    <w:rPr>
      <w:rFonts w:ascii="Arial" w:hAnsi="Arial" w:cs="Times New Roman" w:eastAsiaTheme="minorEastAsia"/>
      <w:bCs w:val="0"/>
    </w:rPr>
  </w:style>
  <w:style w:type="paragraph" w:customStyle="1" w:styleId="3853">
    <w:name w:val="样式 水保3级 + 首行缩进:  2 字符"/>
    <w:basedOn w:val="3851"/>
    <w:qFormat/>
    <w:uiPriority w:val="0"/>
    <w:pPr>
      <w:ind w:firstLine="560"/>
    </w:pPr>
    <w:rPr>
      <w:rFonts w:cs="宋体"/>
      <w:bCs/>
      <w:szCs w:val="20"/>
    </w:rPr>
  </w:style>
  <w:style w:type="paragraph" w:customStyle="1" w:styleId="3854">
    <w:name w:val="305"/>
    <w:basedOn w:val="1"/>
    <w:qFormat/>
    <w:uiPriority w:val="0"/>
    <w:pPr>
      <w:widowControl/>
      <w:spacing w:beforeAutospacing="1" w:after="100" w:afterAutospacing="1"/>
      <w:jc w:val="left"/>
    </w:pPr>
    <w:rPr>
      <w:rFonts w:ascii="宋体" w:hAnsi="宋体" w:cs="Times New Roman"/>
      <w:kern w:val="0"/>
      <w:sz w:val="24"/>
      <w:szCs w:val="24"/>
    </w:rPr>
  </w:style>
  <w:style w:type="paragraph" w:customStyle="1" w:styleId="3855">
    <w:name w:val="样式 样式 样式 样式 标题 3 + 首行缩进:  0 厘米1 + 首行缩进:  0 厘米 + 首行缩进:  0 字符 + 首行..."/>
    <w:basedOn w:val="1"/>
    <w:qFormat/>
    <w:uiPriority w:val="0"/>
    <w:pPr>
      <w:keepNext/>
      <w:keepLines/>
      <w:jc w:val="left"/>
      <w:outlineLvl w:val="2"/>
    </w:pPr>
    <w:rPr>
      <w:rFonts w:ascii="Times New Roman" w:hAnsi="Times New Roman" w:cs="Times New Roman"/>
      <w:sz w:val="28"/>
      <w:szCs w:val="20"/>
    </w:rPr>
  </w:style>
  <w:style w:type="paragraph" w:customStyle="1" w:styleId="3856">
    <w:name w:val="Char Char Char Char Char Char1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857">
    <w:name w:val="Char Char Char Char Char Char12"/>
    <w:basedOn w:val="1"/>
    <w:qFormat/>
    <w:uiPriority w:val="0"/>
    <w:pPr>
      <w:spacing w:line="360" w:lineRule="auto"/>
      <w:ind w:firstLine="200" w:firstLineChars="200"/>
      <w:jc w:val="left"/>
    </w:pPr>
    <w:rPr>
      <w:rFonts w:ascii="宋体" w:hAnsi="宋体" w:cs="宋体"/>
      <w:sz w:val="24"/>
      <w:szCs w:val="24"/>
    </w:rPr>
  </w:style>
  <w:style w:type="paragraph" w:customStyle="1" w:styleId="3858">
    <w:name w:val="Char Char Char Char Char Char32"/>
    <w:basedOn w:val="1"/>
    <w:qFormat/>
    <w:uiPriority w:val="0"/>
    <w:pPr>
      <w:spacing w:line="360" w:lineRule="auto"/>
      <w:ind w:firstLine="200" w:firstLineChars="200"/>
      <w:jc w:val="left"/>
    </w:pPr>
    <w:rPr>
      <w:rFonts w:ascii="宋体" w:hAnsi="宋体" w:cs="宋体"/>
      <w:sz w:val="24"/>
      <w:szCs w:val="24"/>
    </w:rPr>
  </w:style>
  <w:style w:type="paragraph" w:customStyle="1" w:styleId="3859">
    <w:name w:val="Char Char Char Char Char Char3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860">
    <w:name w:val="Char Char Char Char Char Char3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861">
    <w:name w:val="Char Char Char Char Char Char1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3862">
    <w:name w:val="Char Char Char Char Char Char1 Char Char Char1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863">
    <w:name w:val="Char Char Char Char Char Char3 Char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864">
    <w:name w:val="样式 标题 2 + 首行缩进:  0 厘米"/>
    <w:basedOn w:val="4"/>
    <w:qFormat/>
    <w:uiPriority w:val="0"/>
    <w:pPr>
      <w:tabs>
        <w:tab w:val="left" w:pos="0"/>
      </w:tabs>
      <w:spacing w:before="10" w:line="300" w:lineRule="auto"/>
      <w:ind w:left="113"/>
      <w:jc w:val="both"/>
    </w:pPr>
    <w:rPr>
      <w:rFonts w:ascii="Arial" w:hAnsi="Arial" w:cs="宋体" w:eastAsiaTheme="minorEastAsia"/>
      <w:b w:val="0"/>
      <w:color w:val="000000" w:themeColor="text1"/>
      <w:szCs w:val="20"/>
      <w14:textFill>
        <w14:solidFill>
          <w14:schemeClr w14:val="tx1"/>
        </w14:solidFill>
      </w14:textFill>
    </w:rPr>
  </w:style>
  <w:style w:type="paragraph" w:customStyle="1" w:styleId="3865">
    <w:name w:val="样式 标题 3 + 首行缩进:  0 厘米"/>
    <w:basedOn w:val="5"/>
    <w:qFormat/>
    <w:uiPriority w:val="0"/>
    <w:pPr>
      <w:tabs>
        <w:tab w:val="left" w:leader="dot" w:pos="284"/>
      </w:tabs>
      <w:spacing w:beforeLines="10" w:line="240" w:lineRule="auto"/>
      <w:ind w:firstLine="100" w:firstLineChars="100"/>
    </w:pPr>
    <w:rPr>
      <w:rFonts w:cs="宋体" w:eastAsiaTheme="minorEastAsia"/>
      <w:b w:val="0"/>
      <w:sz w:val="28"/>
      <w:szCs w:val="20"/>
    </w:rPr>
  </w:style>
  <w:style w:type="paragraph" w:customStyle="1" w:styleId="3866">
    <w:name w:val="样式 标题 3 + 首行缩进:  0 厘米1"/>
    <w:basedOn w:val="5"/>
    <w:qFormat/>
    <w:uiPriority w:val="0"/>
    <w:pPr>
      <w:spacing w:beforeLines="10" w:line="240" w:lineRule="auto"/>
    </w:pPr>
    <w:rPr>
      <w:rFonts w:cs="宋体" w:eastAsiaTheme="minorEastAsia"/>
      <w:b w:val="0"/>
      <w:sz w:val="28"/>
      <w:szCs w:val="20"/>
    </w:rPr>
  </w:style>
  <w:style w:type="paragraph" w:customStyle="1" w:styleId="3867">
    <w:name w:val="样式 样式 标题 3 + 首行缩进:  0 厘米1 + 首行缩进:  0 厘米"/>
    <w:basedOn w:val="3866"/>
    <w:qFormat/>
    <w:uiPriority w:val="0"/>
    <w:pPr>
      <w:ind w:firstLine="100"/>
    </w:pPr>
  </w:style>
  <w:style w:type="paragraph" w:customStyle="1" w:styleId="3868">
    <w:name w:val="样式 样式 样式 标题 3 + 首行缩进:  0 厘米1 + 首行缩进:  0 厘米 + 首行缩进:  0 字符"/>
    <w:basedOn w:val="3867"/>
    <w:qFormat/>
    <w:uiPriority w:val="0"/>
    <w:pPr>
      <w:ind w:firstLine="0"/>
    </w:pPr>
  </w:style>
  <w:style w:type="paragraph" w:customStyle="1" w:styleId="3869">
    <w:name w:val="Char Char Char Char Char Char21"/>
    <w:basedOn w:val="1"/>
    <w:qFormat/>
    <w:uiPriority w:val="0"/>
    <w:pPr>
      <w:spacing w:line="360" w:lineRule="auto"/>
      <w:ind w:firstLine="200" w:firstLineChars="200"/>
      <w:jc w:val="left"/>
    </w:pPr>
    <w:rPr>
      <w:rFonts w:ascii="宋体" w:hAnsi="宋体" w:cs="宋体"/>
      <w:sz w:val="24"/>
      <w:szCs w:val="24"/>
    </w:rPr>
  </w:style>
  <w:style w:type="paragraph" w:customStyle="1" w:styleId="3870">
    <w:name w:val="Char Char Char Char Char Char1 Char Char Char1 Char2"/>
    <w:basedOn w:val="1"/>
    <w:qFormat/>
    <w:uiPriority w:val="0"/>
    <w:pPr>
      <w:spacing w:line="360" w:lineRule="auto"/>
      <w:ind w:firstLine="200" w:firstLineChars="200"/>
      <w:jc w:val="left"/>
    </w:pPr>
    <w:rPr>
      <w:rFonts w:ascii="宋体" w:hAnsi="宋体" w:cs="宋体"/>
      <w:sz w:val="24"/>
      <w:szCs w:val="24"/>
    </w:rPr>
  </w:style>
  <w:style w:type="paragraph" w:customStyle="1" w:styleId="3871">
    <w:name w:val="Char Char Char Char Char Char1 Char Char Char1 Char Char Char Char Char Char"/>
    <w:basedOn w:val="1"/>
    <w:qFormat/>
    <w:uiPriority w:val="0"/>
    <w:pPr>
      <w:spacing w:line="360" w:lineRule="auto"/>
      <w:ind w:firstLine="200" w:firstLineChars="200"/>
      <w:jc w:val="left"/>
    </w:pPr>
    <w:rPr>
      <w:rFonts w:ascii="宋体" w:hAnsi="宋体" w:cs="宋体"/>
      <w:sz w:val="24"/>
      <w:szCs w:val="24"/>
    </w:rPr>
  </w:style>
  <w:style w:type="paragraph" w:customStyle="1" w:styleId="3872">
    <w:name w:val="Char42"/>
    <w:basedOn w:val="1"/>
    <w:qFormat/>
    <w:uiPriority w:val="0"/>
    <w:pPr>
      <w:spacing w:line="360" w:lineRule="auto"/>
      <w:ind w:firstLine="200" w:firstLineChars="200"/>
      <w:jc w:val="left"/>
    </w:pPr>
    <w:rPr>
      <w:rFonts w:ascii="宋体" w:hAnsi="宋体" w:cs="宋体"/>
      <w:sz w:val="24"/>
      <w:szCs w:val="24"/>
    </w:rPr>
  </w:style>
  <w:style w:type="paragraph" w:customStyle="1" w:styleId="3873">
    <w:name w:val="表名 Char Char Char"/>
    <w:basedOn w:val="1"/>
    <w:qFormat/>
    <w:uiPriority w:val="0"/>
    <w:pPr>
      <w:overflowPunct w:val="0"/>
      <w:spacing w:line="300" w:lineRule="exact"/>
      <w:jc w:val="left"/>
      <w:textAlignment w:val="baseline"/>
    </w:pPr>
    <w:rPr>
      <w:rFonts w:ascii="Times New Roman" w:hAnsi="Times New Roman" w:eastAsia="黑体" w:cs="Times New Roman"/>
      <w:sz w:val="28"/>
      <w:szCs w:val="20"/>
    </w:rPr>
  </w:style>
  <w:style w:type="paragraph" w:customStyle="1" w:styleId="3874">
    <w:name w:val="样式 样式 (符号) 宋体 左侧:  0.74 厘米 首行缩进:  0 厘米 + 左侧:  0.74 厘米 首行缩进:  0 ..."/>
    <w:basedOn w:val="86"/>
    <w:qFormat/>
    <w:uiPriority w:val="0"/>
    <w:pPr>
      <w:spacing w:beforeLines="0" w:beforeAutospacing="1" w:after="0" w:afterAutospacing="1" w:line="360" w:lineRule="auto"/>
      <w:ind w:firstLine="200" w:firstLineChars="200"/>
    </w:pPr>
    <w:rPr>
      <w:kern w:val="2"/>
      <w:sz w:val="28"/>
      <w:szCs w:val="20"/>
    </w:rPr>
  </w:style>
  <w:style w:type="paragraph" w:customStyle="1" w:styleId="3875">
    <w:name w:val="样式 样式1 + 段前: 0.5 行"/>
    <w:basedOn w:val="169"/>
    <w:qFormat/>
    <w:uiPriority w:val="0"/>
    <w:pPr>
      <w:spacing w:beforeLines="10" w:beforeAutospacing="1" w:after="100" w:afterAutospacing="1"/>
      <w:ind w:firstLine="560"/>
    </w:pPr>
    <w:rPr>
      <w:rFonts w:ascii="宋体" w:hAnsi="宋体" w:eastAsiaTheme="minorEastAsia"/>
      <w:bCs/>
      <w:snapToGrid w:val="0"/>
      <w:color w:val="000000"/>
      <w:kern w:val="0"/>
      <w:szCs w:val="20"/>
    </w:rPr>
  </w:style>
  <w:style w:type="paragraph" w:customStyle="1" w:styleId="3876">
    <w:name w:val="Date1"/>
    <w:basedOn w:val="1"/>
    <w:next w:val="1"/>
    <w:qFormat/>
    <w:uiPriority w:val="0"/>
    <w:pPr>
      <w:adjustRightInd w:val="0"/>
      <w:spacing w:beforeAutospacing="1" w:after="100" w:afterAutospacing="1"/>
      <w:ind w:firstLine="200" w:firstLineChars="200"/>
      <w:jc w:val="left"/>
      <w:textAlignment w:val="baseline"/>
    </w:pPr>
    <w:rPr>
      <w:rFonts w:ascii="Times New Roman" w:hAnsi="Times New Roman" w:cs="Times New Roman"/>
      <w:snapToGrid w:val="0"/>
      <w:sz w:val="24"/>
      <w:szCs w:val="20"/>
    </w:rPr>
  </w:style>
  <w:style w:type="paragraph" w:customStyle="1" w:styleId="3877">
    <w:name w:val="样式 标题 2 + Times New Roman 首行缩进:  2 字符"/>
    <w:basedOn w:val="4"/>
    <w:qFormat/>
    <w:uiPriority w:val="0"/>
    <w:pPr>
      <w:adjustRightInd w:val="0"/>
      <w:jc w:val="both"/>
    </w:pPr>
    <w:rPr>
      <w:rFonts w:cs="Times New Roman" w:eastAsiaTheme="minorEastAsia"/>
      <w:bCs w:val="0"/>
      <w:snapToGrid w:val="0"/>
      <w:color w:val="000000" w:themeColor="text1"/>
      <w:szCs w:val="28"/>
      <w14:textFill>
        <w14:solidFill>
          <w14:schemeClr w14:val="tx1"/>
        </w14:solidFill>
      </w14:textFill>
    </w:rPr>
  </w:style>
  <w:style w:type="paragraph" w:customStyle="1" w:styleId="3878">
    <w:name w:val="样式 (符号) 宋体 五号 加粗 居中 段前: 0.5 行 行距: 单倍行距"/>
    <w:basedOn w:val="1"/>
    <w:qFormat/>
    <w:uiPriority w:val="0"/>
    <w:pPr>
      <w:jc w:val="center"/>
    </w:pPr>
    <w:rPr>
      <w:rFonts w:ascii="Times New Roman" w:hAnsi="宋体" w:cs="宋体"/>
      <w:b/>
      <w:bCs/>
      <w:kern w:val="0"/>
      <w:sz w:val="24"/>
      <w:szCs w:val="20"/>
    </w:rPr>
  </w:style>
  <w:style w:type="paragraph" w:customStyle="1" w:styleId="3879">
    <w:name w:val="样式 右侧:  0 厘米 段前: 0.5 行"/>
    <w:basedOn w:val="1"/>
    <w:qFormat/>
    <w:uiPriority w:val="0"/>
    <w:pPr>
      <w:adjustRightInd w:val="0"/>
      <w:spacing w:beforeLines="50" w:line="360" w:lineRule="auto"/>
      <w:ind w:firstLine="200" w:firstLineChars="200"/>
      <w:jc w:val="left"/>
    </w:pPr>
    <w:rPr>
      <w:rFonts w:ascii="Times New Roman" w:hAnsi="Times New Roman" w:cs="宋体"/>
      <w:sz w:val="24"/>
      <w:szCs w:val="24"/>
    </w:rPr>
  </w:style>
  <w:style w:type="character" w:customStyle="1" w:styleId="3880">
    <w:name w:val="样式 右侧:  0 厘米 段前: 0.5 行 Char"/>
    <w:qFormat/>
    <w:uiPriority w:val="0"/>
    <w:rPr>
      <w:rFonts w:eastAsia="宋体" w:cs="宋体"/>
      <w:kern w:val="2"/>
      <w:sz w:val="24"/>
      <w:szCs w:val="24"/>
      <w:lang w:val="en-US" w:eastAsia="zh-CN" w:bidi="ar-SA"/>
    </w:rPr>
  </w:style>
  <w:style w:type="paragraph" w:customStyle="1" w:styleId="3881">
    <w:name w:val="Balloon Text1"/>
    <w:basedOn w:val="1"/>
    <w:qFormat/>
    <w:uiPriority w:val="0"/>
    <w:pPr>
      <w:spacing w:beforeLines="50" w:line="360" w:lineRule="auto"/>
      <w:jc w:val="left"/>
    </w:pPr>
    <w:rPr>
      <w:rFonts w:ascii="Times New Roman" w:hAnsi="Times New Roman" w:cs="Times New Roman"/>
      <w:sz w:val="18"/>
      <w:szCs w:val="18"/>
    </w:rPr>
  </w:style>
  <w:style w:type="paragraph" w:customStyle="1" w:styleId="3882">
    <w:name w:val="样式 表格 + 左侧:  0.98 厘米"/>
    <w:basedOn w:val="1"/>
    <w:qFormat/>
    <w:uiPriority w:val="0"/>
    <w:pPr>
      <w:adjustRightInd w:val="0"/>
      <w:spacing w:beforeAutospacing="1" w:after="100" w:afterAutospacing="1" w:line="300" w:lineRule="auto"/>
      <w:jc w:val="left"/>
    </w:pPr>
    <w:rPr>
      <w:rFonts w:ascii="Arial" w:hAnsi="Arial" w:cs="Times New Roman"/>
      <w:snapToGrid w:val="0"/>
      <w:kern w:val="0"/>
      <w:sz w:val="24"/>
      <w:szCs w:val="20"/>
    </w:rPr>
  </w:style>
  <w:style w:type="paragraph" w:customStyle="1" w:styleId="3883">
    <w:name w:val="样式 样式 正文缩进s4 + 首行缩进:  2 字符 + 首行缩进:  2 字符"/>
    <w:basedOn w:val="1"/>
    <w:qFormat/>
    <w:uiPriority w:val="0"/>
    <w:pPr>
      <w:adjustRightInd w:val="0"/>
      <w:spacing w:line="360" w:lineRule="auto"/>
      <w:ind w:firstLine="480" w:firstLineChars="200"/>
      <w:jc w:val="left"/>
    </w:pPr>
    <w:rPr>
      <w:rFonts w:ascii="Times New Roman" w:hAnsi="Times New Roman" w:eastAsia="仿宋_GB2312" w:cs="Times New Roman"/>
      <w:sz w:val="28"/>
      <w:szCs w:val="20"/>
    </w:rPr>
  </w:style>
  <w:style w:type="paragraph" w:customStyle="1" w:styleId="3884">
    <w:name w:val="zz"/>
    <w:basedOn w:val="1"/>
    <w:qFormat/>
    <w:uiPriority w:val="0"/>
    <w:pPr>
      <w:adjustRightInd w:val="0"/>
      <w:spacing w:line="360" w:lineRule="auto"/>
      <w:ind w:firstLine="567"/>
      <w:jc w:val="left"/>
      <w:textAlignment w:val="baseline"/>
    </w:pPr>
    <w:rPr>
      <w:rFonts w:ascii="宋体" w:hAnsi="Times New Roman" w:cs="Times New Roman"/>
      <w:kern w:val="28"/>
      <w:sz w:val="28"/>
      <w:szCs w:val="20"/>
    </w:rPr>
  </w:style>
  <w:style w:type="paragraph" w:customStyle="1" w:styleId="3885">
    <w:name w:val="表格文字2"/>
    <w:basedOn w:val="1"/>
    <w:qFormat/>
    <w:uiPriority w:val="0"/>
    <w:pPr>
      <w:adjustRightInd w:val="0"/>
      <w:spacing w:line="240" w:lineRule="atLeast"/>
      <w:jc w:val="center"/>
      <w:textAlignment w:val="baseline"/>
    </w:pPr>
    <w:rPr>
      <w:rFonts w:ascii="Times New Roman" w:hAnsi="Times New Roman" w:cs="Times New Roman"/>
      <w:kern w:val="0"/>
      <w:sz w:val="24"/>
      <w:szCs w:val="20"/>
    </w:rPr>
  </w:style>
  <w:style w:type="paragraph" w:customStyle="1" w:styleId="3886">
    <w:name w:val="样式 正文文本缩进 2 + 左侧:  0.98 厘米 首行缩进:  2 字符"/>
    <w:basedOn w:val="51"/>
    <w:qFormat/>
    <w:uiPriority w:val="0"/>
    <w:pPr>
      <w:spacing w:beforeLines="10" w:after="0" w:line="360" w:lineRule="auto"/>
      <w:ind w:left="0" w:leftChars="0" w:firstLine="560"/>
    </w:pPr>
    <w:rPr>
      <w:rFonts w:eastAsia="仿宋_GB2312"/>
      <w:snapToGrid w:val="0"/>
      <w:kern w:val="0"/>
      <w:sz w:val="28"/>
      <w:szCs w:val="20"/>
    </w:rPr>
  </w:style>
  <w:style w:type="paragraph" w:customStyle="1" w:styleId="3887">
    <w:name w:val="Char Char Char Char Char Char3 Char Char Char Char Char Char Char1"/>
    <w:basedOn w:val="1"/>
    <w:qFormat/>
    <w:uiPriority w:val="0"/>
    <w:pPr>
      <w:spacing w:line="360" w:lineRule="auto"/>
      <w:ind w:firstLine="200" w:firstLineChars="200"/>
      <w:jc w:val="left"/>
    </w:pPr>
    <w:rPr>
      <w:rFonts w:ascii="宋体" w:hAnsi="宋体" w:cs="宋体"/>
      <w:sz w:val="24"/>
      <w:szCs w:val="24"/>
    </w:rPr>
  </w:style>
  <w:style w:type="paragraph" w:customStyle="1" w:styleId="3888">
    <w:name w:val="样式 标题 5标题（五） + 左侧:  0 厘米 首行缩进:  0 厘米"/>
    <w:basedOn w:val="7"/>
    <w:qFormat/>
    <w:uiPriority w:val="0"/>
    <w:pPr>
      <w:tabs>
        <w:tab w:val="left" w:pos="0"/>
      </w:tabs>
      <w:adjustRightInd w:val="0"/>
      <w:spacing w:beforeLines="10" w:line="376" w:lineRule="atLeast"/>
      <w:jc w:val="left"/>
      <w:textAlignment w:val="baseline"/>
    </w:pPr>
    <w:rPr>
      <w:rFonts w:ascii="Times New Roman" w:hAnsi="Times New Roman" w:cs="宋体"/>
      <w:snapToGrid w:val="0"/>
      <w:kern w:val="0"/>
      <w:szCs w:val="20"/>
    </w:rPr>
  </w:style>
  <w:style w:type="paragraph" w:customStyle="1" w:styleId="3889">
    <w:name w:val="正文（首行缩进2字符）"/>
    <w:basedOn w:val="1"/>
    <w:qFormat/>
    <w:uiPriority w:val="0"/>
    <w:pPr>
      <w:topLinePunct/>
      <w:spacing w:line="360" w:lineRule="auto"/>
      <w:ind w:firstLine="200" w:firstLineChars="200"/>
      <w:jc w:val="left"/>
    </w:pPr>
    <w:rPr>
      <w:rFonts w:ascii="Times New Roman" w:hAnsi="Times New Roman" w:cs="宋体"/>
      <w:sz w:val="28"/>
      <w:szCs w:val="28"/>
    </w:rPr>
  </w:style>
  <w:style w:type="paragraph" w:customStyle="1" w:styleId="3890">
    <w:name w:val="样式 题注 + 左侧:  0.98 厘米 首行缩进:  2 字符"/>
    <w:basedOn w:val="22"/>
    <w:qFormat/>
    <w:uiPriority w:val="0"/>
    <w:pPr>
      <w:adjustRightInd w:val="0"/>
      <w:spacing w:beforeLines="10" w:line="300" w:lineRule="exact"/>
      <w:ind w:firstLine="480"/>
      <w:jc w:val="center"/>
    </w:pPr>
    <w:rPr>
      <w:rFonts w:ascii="Arial" w:hAnsi="Arial" w:eastAsia="宋体" w:cs="Times New Roman"/>
      <w:b/>
      <w:snapToGrid w:val="0"/>
      <w:color w:val="000000"/>
      <w:kern w:val="0"/>
      <w:sz w:val="24"/>
    </w:rPr>
  </w:style>
  <w:style w:type="paragraph" w:customStyle="1" w:styleId="3891">
    <w:name w:val="正文文字标准"/>
    <w:basedOn w:val="86"/>
    <w:qFormat/>
    <w:uiPriority w:val="0"/>
    <w:pPr>
      <w:adjustRightInd/>
      <w:spacing w:beforeLines="0" w:after="0" w:line="480" w:lineRule="exact"/>
      <w:ind w:firstLine="200" w:firstLineChars="200"/>
    </w:pPr>
    <w:rPr>
      <w:kern w:val="2"/>
      <w:sz w:val="28"/>
    </w:rPr>
  </w:style>
  <w:style w:type="paragraph" w:customStyle="1" w:styleId="3892">
    <w:name w:val="正文小标题"/>
    <w:basedOn w:val="1"/>
    <w:qFormat/>
    <w:uiPriority w:val="0"/>
    <w:pPr>
      <w:tabs>
        <w:tab w:val="left" w:pos="964"/>
      </w:tabs>
      <w:overflowPunct w:val="0"/>
      <w:autoSpaceDE w:val="0"/>
      <w:autoSpaceDN w:val="0"/>
      <w:adjustRightInd w:val="0"/>
      <w:spacing w:line="360" w:lineRule="auto"/>
      <w:jc w:val="left"/>
      <w:textAlignment w:val="baseline"/>
    </w:pPr>
    <w:rPr>
      <w:rFonts w:ascii="Times New Roman" w:hAnsi="Times New Roman" w:cs="Times New Roman"/>
      <w:spacing w:val="10"/>
      <w:kern w:val="0"/>
      <w:sz w:val="24"/>
      <w:szCs w:val="20"/>
    </w:rPr>
  </w:style>
  <w:style w:type="paragraph" w:customStyle="1" w:styleId="3893">
    <w:name w:val="Body Text Indent 31"/>
    <w:basedOn w:val="1"/>
    <w:qFormat/>
    <w:uiPriority w:val="0"/>
    <w:pPr>
      <w:adjustRightInd w:val="0"/>
      <w:spacing w:line="360" w:lineRule="atLeast"/>
      <w:ind w:firstLine="480"/>
      <w:jc w:val="left"/>
      <w:textAlignment w:val="baseline"/>
    </w:pPr>
    <w:rPr>
      <w:rFonts w:ascii="宋体" w:hAnsi="Times New Roman" w:cs="Times New Roman"/>
      <w:kern w:val="0"/>
      <w:sz w:val="24"/>
      <w:szCs w:val="20"/>
    </w:rPr>
  </w:style>
  <w:style w:type="character" w:customStyle="1" w:styleId="3894">
    <w:name w:val="Char Char710"/>
    <w:qFormat/>
    <w:uiPriority w:val="0"/>
    <w:rPr>
      <w:rFonts w:eastAsia="宋体"/>
      <w:kern w:val="2"/>
      <w:sz w:val="21"/>
      <w:lang w:val="en-US" w:eastAsia="zh-CN"/>
    </w:rPr>
  </w:style>
  <w:style w:type="character" w:customStyle="1" w:styleId="3895">
    <w:name w:val="正文宋体小四1.5行 Char Char"/>
    <w:qFormat/>
    <w:uiPriority w:val="0"/>
    <w:rPr>
      <w:rFonts w:ascii="宋体" w:hAnsi="宋体" w:eastAsia="宋体"/>
      <w:kern w:val="2"/>
      <w:sz w:val="28"/>
      <w:lang w:val="en-US" w:eastAsia="zh-CN" w:bidi="ar-SA"/>
    </w:rPr>
  </w:style>
  <w:style w:type="paragraph" w:customStyle="1" w:styleId="3896">
    <w:name w:val="默认段落字体 Char Char Char"/>
    <w:basedOn w:val="1"/>
    <w:qFormat/>
    <w:uiPriority w:val="0"/>
    <w:pPr>
      <w:jc w:val="left"/>
    </w:pPr>
    <w:rPr>
      <w:rFonts w:ascii="Times New Roman" w:hAnsi="Times New Roman" w:cs="Times New Roman"/>
      <w:sz w:val="24"/>
      <w:szCs w:val="24"/>
    </w:rPr>
  </w:style>
  <w:style w:type="character" w:customStyle="1" w:styleId="3897">
    <w:name w:val="zwsx"/>
    <w:qFormat/>
    <w:uiPriority w:val="0"/>
  </w:style>
  <w:style w:type="paragraph" w:customStyle="1" w:styleId="3898">
    <w:name w:val="样式 样式 正文缩进 + (符号) 宋体 小四 首行缩进:  2 字符 行距: 固定值 22 磅1 + 首行缩进:  2 字符"/>
    <w:basedOn w:val="1"/>
    <w:qFormat/>
    <w:uiPriority w:val="0"/>
    <w:pPr>
      <w:spacing w:line="360" w:lineRule="auto"/>
      <w:ind w:firstLine="432"/>
      <w:jc w:val="left"/>
    </w:pPr>
    <w:rPr>
      <w:rFonts w:ascii="宋体" w:hAnsi="宋体" w:cs="Times New Roman"/>
      <w:sz w:val="24"/>
      <w:szCs w:val="24"/>
    </w:rPr>
  </w:style>
  <w:style w:type="paragraph" w:customStyle="1" w:styleId="3899">
    <w:name w:val="基文"/>
    <w:qFormat/>
    <w:uiPriority w:val="0"/>
    <w:pPr>
      <w:spacing w:line="360" w:lineRule="auto"/>
      <w:ind w:firstLine="480" w:firstLineChars="200"/>
    </w:pPr>
    <w:rPr>
      <w:rFonts w:ascii="宋体" w:hAnsi="Courier New" w:eastAsia="宋体" w:cs="Courier New"/>
      <w:bCs/>
      <w:kern w:val="2"/>
      <w:sz w:val="24"/>
      <w:szCs w:val="24"/>
      <w:lang w:val="en-US" w:eastAsia="zh-CN" w:bidi="ar-SA"/>
    </w:rPr>
  </w:style>
  <w:style w:type="paragraph" w:customStyle="1" w:styleId="3900">
    <w:name w:val="样式 样式 样式 首行缩进:  2 字符4 + 首行缩进:  2 字符 + 首行缩进:  2 字符"/>
    <w:basedOn w:val="1"/>
    <w:link w:val="3928"/>
    <w:qFormat/>
    <w:uiPriority w:val="0"/>
    <w:pPr>
      <w:spacing w:line="560" w:lineRule="exact"/>
      <w:ind w:firstLine="560" w:firstLineChars="200"/>
      <w:jc w:val="left"/>
    </w:pPr>
    <w:rPr>
      <w:rFonts w:ascii="仿宋_GB2312" w:hAnsi="Times New Roman" w:eastAsia="仿宋_GB2312" w:cs="Times New Roman"/>
      <w:sz w:val="28"/>
      <w:szCs w:val="20"/>
    </w:rPr>
  </w:style>
  <w:style w:type="paragraph" w:customStyle="1" w:styleId="3901">
    <w:name w:val="样式 样式 ZW + 宋体 小四 自动设置 + 自动设置 首行缩进:  2 字符"/>
    <w:basedOn w:val="1"/>
    <w:semiHidden/>
    <w:qFormat/>
    <w:uiPriority w:val="0"/>
    <w:pPr>
      <w:autoSpaceDE w:val="0"/>
      <w:autoSpaceDN w:val="0"/>
      <w:adjustRightInd w:val="0"/>
      <w:spacing w:line="560" w:lineRule="exact"/>
      <w:ind w:firstLine="560" w:firstLineChars="200"/>
      <w:jc w:val="left"/>
    </w:pPr>
    <w:rPr>
      <w:rFonts w:ascii="仿宋_GB2312" w:hAnsi="宋体" w:eastAsia="仿宋_GB2312" w:cs="宋体"/>
      <w:sz w:val="28"/>
      <w:szCs w:val="20"/>
    </w:rPr>
  </w:style>
  <w:style w:type="paragraph" w:customStyle="1" w:styleId="3902">
    <w:name w:val="样式 表头 + 首行缩进:  1 字符 段前: 0.5 行"/>
    <w:basedOn w:val="84"/>
    <w:link w:val="3904"/>
    <w:qFormat/>
    <w:uiPriority w:val="0"/>
    <w:pPr>
      <w:widowControl/>
      <w:tabs>
        <w:tab w:val="left" w:pos="1620"/>
      </w:tabs>
      <w:adjustRightInd/>
      <w:spacing w:beforeLines="0" w:line="560" w:lineRule="exact"/>
      <w:ind w:left="1620" w:leftChars="600" w:firstLine="100" w:firstLineChars="100"/>
      <w:jc w:val="both"/>
    </w:pPr>
    <w:rPr>
      <w:rFonts w:ascii="黑体" w:hAnsi="宋体" w:eastAsia="黑体"/>
      <w:b w:val="0"/>
      <w:bCs/>
      <w:snapToGrid/>
      <w:kern w:val="44"/>
      <w:szCs w:val="44"/>
    </w:rPr>
  </w:style>
  <w:style w:type="paragraph" w:customStyle="1" w:styleId="3903">
    <w:name w:val="样式 (西文) Times New Roman (中文) 楷体_GB2312 五号 居中 行距: 单倍行距 首行缩进:..."/>
    <w:basedOn w:val="1"/>
    <w:link w:val="3925"/>
    <w:qFormat/>
    <w:uiPriority w:val="0"/>
    <w:pPr>
      <w:spacing w:line="0" w:lineRule="atLeast"/>
      <w:jc w:val="center"/>
    </w:pPr>
    <w:rPr>
      <w:rFonts w:ascii="楷体_GB2312" w:hAnsi="Times New Roman" w:eastAsia="楷体_GB2312" w:cs="Times New Roman"/>
      <w:kern w:val="0"/>
      <w:szCs w:val="20"/>
    </w:rPr>
  </w:style>
  <w:style w:type="character" w:customStyle="1" w:styleId="3904">
    <w:name w:val="样式 表头 + 首行缩进:  1 字符 段前: 0.5 行 Char"/>
    <w:link w:val="3902"/>
    <w:qFormat/>
    <w:uiPriority w:val="0"/>
    <w:rPr>
      <w:rFonts w:ascii="黑体" w:hAnsi="宋体" w:eastAsia="黑体" w:cs="Times New Roman"/>
      <w:bCs/>
      <w:color w:val="000000"/>
      <w:spacing w:val="8"/>
      <w:kern w:val="44"/>
      <w:sz w:val="24"/>
      <w:szCs w:val="44"/>
    </w:rPr>
  </w:style>
  <w:style w:type="character" w:customStyle="1" w:styleId="3905">
    <w:name w:val="公正文 Char"/>
    <w:qFormat/>
    <w:uiPriority w:val="0"/>
    <w:rPr>
      <w:rFonts w:ascii="宋体" w:hAnsi="宋体" w:eastAsia="仿宋_GB2312"/>
      <w:snapToGrid w:val="0"/>
      <w:sz w:val="28"/>
      <w:szCs w:val="28"/>
      <w:lang w:bidi="ar-SA"/>
    </w:rPr>
  </w:style>
  <w:style w:type="paragraph" w:customStyle="1" w:styleId="3906">
    <w:name w:val="样式 标题 4白鹤滩标题 4 Char1标题 4 Char标题 41标题 4 Char Char1标题 4 Char...1"/>
    <w:basedOn w:val="6"/>
    <w:link w:val="3907"/>
    <w:qFormat/>
    <w:uiPriority w:val="0"/>
    <w:pPr>
      <w:tabs>
        <w:tab w:val="left" w:pos="0"/>
      </w:tabs>
      <w:spacing w:line="560" w:lineRule="exact"/>
      <w:jc w:val="both"/>
    </w:pPr>
    <w:rPr>
      <w:rFonts w:ascii="Arial" w:hAnsi="Arial" w:cs="Times New Roman" w:eastAsiaTheme="minorEastAsia"/>
      <w:bCs w:val="0"/>
      <w:sz w:val="28"/>
    </w:rPr>
  </w:style>
  <w:style w:type="character" w:customStyle="1" w:styleId="3907">
    <w:name w:val="样式 标题 4白鹤滩标题 4 Char1标题 4 Char标题 41标题 4 Char Char1标题 4 Char...1 Char"/>
    <w:link w:val="3906"/>
    <w:qFormat/>
    <w:uiPriority w:val="0"/>
    <w:rPr>
      <w:rFonts w:ascii="Arial" w:hAnsi="Arial" w:cs="Times New Roman"/>
      <w:b/>
      <w:sz w:val="28"/>
      <w:szCs w:val="28"/>
    </w:rPr>
  </w:style>
  <w:style w:type="paragraph" w:customStyle="1" w:styleId="3908">
    <w:name w:val="样式 样式 楷体 + 首行缩进:  2 字符 + 首行缩进:  2 字符"/>
    <w:basedOn w:val="1"/>
    <w:qFormat/>
    <w:uiPriority w:val="0"/>
    <w:pPr>
      <w:adjustRightInd w:val="0"/>
      <w:spacing w:line="560" w:lineRule="exact"/>
      <w:ind w:firstLine="560" w:firstLineChars="200"/>
      <w:jc w:val="left"/>
      <w:textAlignment w:val="baseline"/>
    </w:pPr>
    <w:rPr>
      <w:rFonts w:ascii="楷体_GB2312" w:hAnsi="Times New Roman" w:eastAsia="楷体_GB2312" w:cs="宋体"/>
      <w:kern w:val="0"/>
      <w:sz w:val="28"/>
      <w:szCs w:val="20"/>
    </w:rPr>
  </w:style>
  <w:style w:type="paragraph" w:customStyle="1" w:styleId="3909">
    <w:name w:val="样式 楷体 + 首行缩进:  2 字符"/>
    <w:basedOn w:val="1"/>
    <w:qFormat/>
    <w:uiPriority w:val="0"/>
    <w:pPr>
      <w:adjustRightInd w:val="0"/>
      <w:spacing w:line="560" w:lineRule="exact"/>
      <w:ind w:firstLine="200" w:firstLineChars="200"/>
      <w:jc w:val="left"/>
      <w:textAlignment w:val="baseline"/>
    </w:pPr>
    <w:rPr>
      <w:rFonts w:ascii="楷体_GB2312" w:hAnsi="Times New Roman" w:eastAsia="楷体_GB2312" w:cs="宋体"/>
      <w:kern w:val="0"/>
      <w:sz w:val="28"/>
      <w:szCs w:val="20"/>
    </w:rPr>
  </w:style>
  <w:style w:type="character" w:customStyle="1" w:styleId="3910">
    <w:name w:val="样式 首行缩进:  2 字符4 Char"/>
    <w:link w:val="1028"/>
    <w:qFormat/>
    <w:uiPriority w:val="0"/>
    <w:rPr>
      <w:rFonts w:ascii="宋体" w:hAnsi="Times New Roman" w:cs="Times New Roman"/>
      <w:snapToGrid w:val="0"/>
      <w:kern w:val="0"/>
      <w:sz w:val="28"/>
      <w:szCs w:val="20"/>
    </w:rPr>
  </w:style>
  <w:style w:type="paragraph" w:customStyle="1" w:styleId="3911">
    <w:name w:val="样式 样式 首行缩进:  2 字符4 + 首行缩进:  2 字符"/>
    <w:basedOn w:val="1028"/>
    <w:link w:val="3912"/>
    <w:qFormat/>
    <w:uiPriority w:val="0"/>
    <w:pPr>
      <w:keepNext w:val="0"/>
      <w:adjustRightInd/>
      <w:spacing w:line="560" w:lineRule="exact"/>
    </w:pPr>
    <w:rPr>
      <w:rFonts w:ascii="仿宋_GB2312" w:eastAsia="仿宋_GB2312"/>
      <w:snapToGrid/>
      <w:kern w:val="2"/>
    </w:rPr>
  </w:style>
  <w:style w:type="character" w:customStyle="1" w:styleId="3912">
    <w:name w:val="样式 样式 首行缩进:  2 字符4 + 首行缩进:  2 字符 Char"/>
    <w:link w:val="3911"/>
    <w:qFormat/>
    <w:uiPriority w:val="0"/>
    <w:rPr>
      <w:rFonts w:ascii="仿宋_GB2312" w:hAnsi="Times New Roman" w:eastAsia="仿宋_GB2312" w:cs="Times New Roman"/>
      <w:sz w:val="28"/>
      <w:szCs w:val="20"/>
    </w:rPr>
  </w:style>
  <w:style w:type="paragraph" w:customStyle="1" w:styleId="3913">
    <w:name w:val="样式 公正文 + 首行缩进:  2 字符2"/>
    <w:basedOn w:val="880"/>
    <w:link w:val="3914"/>
    <w:qFormat/>
    <w:uiPriority w:val="0"/>
    <w:pPr>
      <w:spacing w:line="560" w:lineRule="exact"/>
    </w:pPr>
    <w:rPr>
      <w:rFonts w:ascii="仿宋_GB2312"/>
    </w:rPr>
  </w:style>
  <w:style w:type="character" w:customStyle="1" w:styleId="3914">
    <w:name w:val="样式 公正文 + 首行缩进:  2 字符2 Char"/>
    <w:link w:val="3913"/>
    <w:qFormat/>
    <w:uiPriority w:val="0"/>
    <w:rPr>
      <w:rFonts w:ascii="仿宋_GB2312" w:hAnsi="宋体" w:eastAsia="仿宋_GB2312"/>
      <w:sz w:val="28"/>
      <w:szCs w:val="24"/>
    </w:rPr>
  </w:style>
  <w:style w:type="paragraph" w:customStyle="1" w:styleId="3915">
    <w:name w:val="样式 样式 样式 样式 样式 样式 公正文 + 首行缩进:  2 字符2 + 首行缩进:  2 字符 + 首行缩进:  2 字符..."/>
    <w:basedOn w:val="1"/>
    <w:link w:val="3916"/>
    <w:qFormat/>
    <w:uiPriority w:val="0"/>
    <w:pPr>
      <w:spacing w:line="560" w:lineRule="exact"/>
      <w:ind w:firstLine="200" w:firstLineChars="200"/>
      <w:jc w:val="left"/>
    </w:pPr>
    <w:rPr>
      <w:rFonts w:ascii="仿宋_GB2312" w:hAnsi="宋体" w:eastAsia="仿宋_GB2312" w:cs="Times New Roman"/>
      <w:sz w:val="28"/>
      <w:szCs w:val="20"/>
    </w:rPr>
  </w:style>
  <w:style w:type="character" w:customStyle="1" w:styleId="3916">
    <w:name w:val="样式 样式 样式 样式 样式 样式 公正文 + 首行缩进:  2 字符2 + 首行缩进:  2 字符 + 首行缩进:  2 字符... Char"/>
    <w:link w:val="3915"/>
    <w:qFormat/>
    <w:uiPriority w:val="0"/>
    <w:rPr>
      <w:rFonts w:ascii="仿宋_GB2312" w:hAnsi="宋体" w:eastAsia="仿宋_GB2312" w:cs="Times New Roman"/>
      <w:sz w:val="28"/>
      <w:szCs w:val="20"/>
    </w:rPr>
  </w:style>
  <w:style w:type="character" w:customStyle="1" w:styleId="3917">
    <w:name w:val="样式 ZW + 宋体 小四 自动设置 Char"/>
    <w:link w:val="3918"/>
    <w:qFormat/>
    <w:uiPriority w:val="0"/>
    <w:rPr>
      <w:rFonts w:ascii="仿宋_GB2312" w:hAnsi="宋体" w:eastAsia="仿宋_GB2312"/>
      <w:color w:val="000000"/>
      <w:sz w:val="28"/>
      <w:szCs w:val="28"/>
    </w:rPr>
  </w:style>
  <w:style w:type="paragraph" w:customStyle="1" w:styleId="3918">
    <w:name w:val="样式 ZW + 宋体 小四 自动设置"/>
    <w:basedOn w:val="1"/>
    <w:link w:val="3917"/>
    <w:qFormat/>
    <w:uiPriority w:val="0"/>
    <w:pPr>
      <w:autoSpaceDE w:val="0"/>
      <w:autoSpaceDN w:val="0"/>
      <w:adjustRightInd w:val="0"/>
      <w:spacing w:line="560" w:lineRule="exact"/>
      <w:ind w:firstLine="200" w:firstLineChars="200"/>
      <w:jc w:val="left"/>
    </w:pPr>
    <w:rPr>
      <w:rFonts w:ascii="仿宋_GB2312" w:hAnsi="宋体" w:eastAsia="仿宋_GB2312"/>
      <w:color w:val="000000"/>
      <w:sz w:val="28"/>
      <w:szCs w:val="28"/>
    </w:rPr>
  </w:style>
  <w:style w:type="paragraph" w:customStyle="1" w:styleId="3919">
    <w:name w:val="样式 宋体6"/>
    <w:basedOn w:val="1"/>
    <w:semiHidden/>
    <w:qFormat/>
    <w:uiPriority w:val="0"/>
    <w:pPr>
      <w:ind w:firstLine="200" w:firstLineChars="200"/>
      <w:jc w:val="left"/>
    </w:pPr>
    <w:rPr>
      <w:rFonts w:ascii="Times New Roman" w:hAnsi="Times New Roman" w:cs="宋体"/>
      <w:sz w:val="24"/>
      <w:szCs w:val="26"/>
    </w:rPr>
  </w:style>
  <w:style w:type="paragraph" w:customStyle="1" w:styleId="3920">
    <w:name w:val="样式 表名 + 首行缩进:  1 字符"/>
    <w:basedOn w:val="363"/>
    <w:link w:val="3921"/>
    <w:qFormat/>
    <w:uiPriority w:val="0"/>
    <w:pPr>
      <w:tabs>
        <w:tab w:val="clear" w:pos="1350"/>
      </w:tabs>
      <w:autoSpaceDE/>
      <w:autoSpaceDN/>
      <w:spacing w:after="60" w:line="560" w:lineRule="exact"/>
      <w:ind w:firstLine="240"/>
      <w:jc w:val="both"/>
      <w:textAlignment w:val="baseline"/>
    </w:pPr>
    <w:rPr>
      <w:rFonts w:ascii="黑体" w:eastAsia="黑体" w:cs="Times New Roman"/>
      <w:b w:val="0"/>
      <w:szCs w:val="20"/>
      <w:shd w:val="clear" w:color="auto" w:fill="auto"/>
    </w:rPr>
  </w:style>
  <w:style w:type="character" w:customStyle="1" w:styleId="3921">
    <w:name w:val="样式 表名 + 首行缩进:  1 字符 Char"/>
    <w:link w:val="3920"/>
    <w:qFormat/>
    <w:uiPriority w:val="0"/>
    <w:rPr>
      <w:rFonts w:ascii="黑体" w:hAnsi="Arial" w:eastAsia="黑体" w:cs="Times New Roman"/>
      <w:sz w:val="24"/>
      <w:szCs w:val="20"/>
    </w:rPr>
  </w:style>
  <w:style w:type="paragraph" w:customStyle="1" w:styleId="3922">
    <w:name w:val="样式 表格hy + 行距: 单倍行距"/>
    <w:basedOn w:val="1"/>
    <w:qFormat/>
    <w:uiPriority w:val="0"/>
    <w:pPr>
      <w:spacing w:line="0" w:lineRule="atLeast"/>
      <w:jc w:val="center"/>
    </w:pPr>
    <w:rPr>
      <w:rFonts w:ascii="楷体_GB2312" w:hAnsi="宋体" w:eastAsia="楷体_GB2312" w:cs="宋体"/>
      <w:szCs w:val="20"/>
    </w:rPr>
  </w:style>
  <w:style w:type="paragraph" w:customStyle="1" w:styleId="3923">
    <w:name w:val="样式 小五 居中 行距: 固定值 12 磅"/>
    <w:basedOn w:val="1"/>
    <w:qFormat/>
    <w:uiPriority w:val="0"/>
    <w:pPr>
      <w:spacing w:line="0" w:lineRule="atLeast"/>
      <w:ind w:firstLine="200" w:firstLineChars="200"/>
      <w:jc w:val="center"/>
    </w:pPr>
    <w:rPr>
      <w:rFonts w:ascii="楷体_GB2312" w:hAnsi="Times New Roman" w:eastAsia="楷体_GB2312" w:cs="宋体"/>
      <w:kern w:val="0"/>
      <w:sz w:val="28"/>
      <w:szCs w:val="20"/>
    </w:rPr>
  </w:style>
  <w:style w:type="paragraph" w:customStyle="1" w:styleId="3924">
    <w:name w:val="括号"/>
    <w:basedOn w:val="3918"/>
    <w:qFormat/>
    <w:uiPriority w:val="0"/>
    <w:rPr>
      <w:rFonts w:ascii="楷体_GB2312" w:eastAsia="楷体_GB2312"/>
    </w:rPr>
  </w:style>
  <w:style w:type="character" w:customStyle="1" w:styleId="3925">
    <w:name w:val="样式 (西文) Times New Roman (中文) 楷体_GB2312 五号 居中 行距: 单倍行距 首行缩进:... Char"/>
    <w:link w:val="3903"/>
    <w:qFormat/>
    <w:uiPriority w:val="0"/>
    <w:rPr>
      <w:rFonts w:ascii="楷体_GB2312" w:hAnsi="Times New Roman" w:eastAsia="楷体_GB2312" w:cs="Times New Roman"/>
      <w:kern w:val="0"/>
      <w:szCs w:val="20"/>
    </w:rPr>
  </w:style>
  <w:style w:type="paragraph" w:customStyle="1" w:styleId="3926">
    <w:name w:val="样式 样式 (西文) Times New Roman (中文) 楷体_GB2312 五号 居中 行距: 单倍行距 首行缩进:....."/>
    <w:basedOn w:val="3903"/>
    <w:link w:val="3927"/>
    <w:qFormat/>
    <w:uiPriority w:val="0"/>
    <w:rPr>
      <w:sz w:val="18"/>
    </w:rPr>
  </w:style>
  <w:style w:type="character" w:customStyle="1" w:styleId="3927">
    <w:name w:val="样式 样式 (西文) Times New Roman (中文) 楷体_GB2312 五号 居中 行距: 单倍行距 首行缩进:..... Char"/>
    <w:link w:val="3926"/>
    <w:qFormat/>
    <w:uiPriority w:val="0"/>
    <w:rPr>
      <w:rFonts w:ascii="楷体_GB2312" w:hAnsi="Times New Roman" w:eastAsia="楷体_GB2312" w:cs="Times New Roman"/>
      <w:kern w:val="0"/>
      <w:sz w:val="18"/>
      <w:szCs w:val="20"/>
    </w:rPr>
  </w:style>
  <w:style w:type="character" w:customStyle="1" w:styleId="3928">
    <w:name w:val="样式 样式 样式 首行缩进:  2 字符4 + 首行缩进:  2 字符 + 首行缩进:  2 字符 Char"/>
    <w:link w:val="3900"/>
    <w:qFormat/>
    <w:uiPriority w:val="0"/>
    <w:rPr>
      <w:rFonts w:ascii="仿宋_GB2312" w:hAnsi="Times New Roman" w:eastAsia="仿宋_GB2312" w:cs="Times New Roman"/>
      <w:sz w:val="28"/>
      <w:szCs w:val="20"/>
    </w:rPr>
  </w:style>
  <w:style w:type="character" w:customStyle="1" w:styleId="3929">
    <w:name w:val="lemmatitleh1"/>
    <w:qFormat/>
    <w:uiPriority w:val="0"/>
  </w:style>
  <w:style w:type="character" w:customStyle="1" w:styleId="3930">
    <w:name w:val="样式 首行缩进:  2 字符1 Char"/>
    <w:link w:val="1991"/>
    <w:qFormat/>
    <w:uiPriority w:val="0"/>
    <w:rPr>
      <w:rFonts w:ascii="宋体" w:hAnsi="宋体" w:cs="Times New Roman"/>
      <w:kern w:val="0"/>
      <w:sz w:val="24"/>
      <w:szCs w:val="24"/>
    </w:rPr>
  </w:style>
  <w:style w:type="character" w:customStyle="1" w:styleId="3931">
    <w:name w:val="r_c"/>
    <w:qFormat/>
    <w:uiPriority w:val="0"/>
  </w:style>
  <w:style w:type="paragraph" w:customStyle="1" w:styleId="3932">
    <w:name w:val="样式 样式 表头 + 首行缩进:  1 字符 段前: 0.5 行 + 首行缩进:  1 字符"/>
    <w:basedOn w:val="3902"/>
    <w:link w:val="3933"/>
    <w:qFormat/>
    <w:uiPriority w:val="0"/>
    <w:pPr>
      <w:outlineLvl w:val="7"/>
    </w:pPr>
  </w:style>
  <w:style w:type="character" w:customStyle="1" w:styleId="3933">
    <w:name w:val="样式 样式 表头 + 首行缩进:  1 字符 段前: 0.5 行 + 首行缩进:  1 字符 Char"/>
    <w:link w:val="3932"/>
    <w:qFormat/>
    <w:uiPriority w:val="0"/>
    <w:rPr>
      <w:rFonts w:ascii="黑体" w:hAnsi="宋体" w:eastAsia="黑体"/>
      <w:bCs/>
      <w:color w:val="000000"/>
      <w:spacing w:val="8"/>
      <w:kern w:val="44"/>
      <w:sz w:val="24"/>
      <w:szCs w:val="44"/>
    </w:rPr>
  </w:style>
  <w:style w:type="paragraph" w:customStyle="1" w:styleId="3934">
    <w:name w:val="Char Char1 Char Char"/>
    <w:basedOn w:val="1"/>
    <w:qFormat/>
    <w:uiPriority w:val="0"/>
    <w:pPr>
      <w:autoSpaceDE w:val="0"/>
      <w:autoSpaceDN w:val="0"/>
      <w:adjustRightInd w:val="0"/>
      <w:spacing w:line="360" w:lineRule="auto"/>
      <w:ind w:firstLine="200" w:firstLineChars="200"/>
      <w:jc w:val="left"/>
      <w:textAlignment w:val="baseline"/>
    </w:pPr>
    <w:rPr>
      <w:rFonts w:ascii="Times New Roman" w:hAnsi="Times New Roman" w:cs="Times New Roman"/>
      <w:szCs w:val="24"/>
    </w:rPr>
  </w:style>
  <w:style w:type="paragraph" w:customStyle="1" w:styleId="3935">
    <w:name w:val="Char Char1 Char Char1"/>
    <w:basedOn w:val="1"/>
    <w:qFormat/>
    <w:uiPriority w:val="0"/>
    <w:pPr>
      <w:autoSpaceDE w:val="0"/>
      <w:autoSpaceDN w:val="0"/>
      <w:adjustRightInd w:val="0"/>
      <w:spacing w:line="360" w:lineRule="auto"/>
      <w:ind w:firstLine="200" w:firstLineChars="200"/>
      <w:jc w:val="left"/>
      <w:textAlignment w:val="baseline"/>
    </w:pPr>
    <w:rPr>
      <w:rFonts w:ascii="Times New Roman" w:hAnsi="Times New Roman" w:cs="Times New Roman"/>
      <w:szCs w:val="24"/>
    </w:rPr>
  </w:style>
  <w:style w:type="character" w:customStyle="1" w:styleId="3936">
    <w:name w:val="样式 宋体3"/>
    <w:qFormat/>
    <w:uiPriority w:val="0"/>
    <w:rPr>
      <w:rFonts w:ascii="Times New Roman" w:hAnsi="Times New Roman" w:eastAsia="宋体"/>
      <w:sz w:val="26"/>
      <w:szCs w:val="26"/>
    </w:rPr>
  </w:style>
  <w:style w:type="character" w:customStyle="1" w:styleId="3937">
    <w:name w:val="Char Char142"/>
    <w:qFormat/>
    <w:uiPriority w:val="0"/>
    <w:rPr>
      <w:rFonts w:ascii="宋体" w:hAnsi="宋体"/>
      <w:b/>
      <w:bCs/>
      <w:color w:val="FF66FF"/>
      <w:kern w:val="2"/>
      <w:sz w:val="24"/>
      <w:szCs w:val="24"/>
    </w:rPr>
  </w:style>
  <w:style w:type="character" w:customStyle="1" w:styleId="3938">
    <w:name w:val="Char Char132"/>
    <w:qFormat/>
    <w:uiPriority w:val="0"/>
    <w:rPr>
      <w:rFonts w:ascii="宋体" w:hAnsi="宋体"/>
      <w:b/>
      <w:bCs/>
      <w:color w:val="FF66FF"/>
      <w:kern w:val="2"/>
      <w:sz w:val="24"/>
      <w:szCs w:val="24"/>
    </w:rPr>
  </w:style>
  <w:style w:type="paragraph" w:customStyle="1" w:styleId="3939">
    <w:name w:val="aa院正文"/>
    <w:basedOn w:val="1"/>
    <w:link w:val="3940"/>
    <w:qFormat/>
    <w:uiPriority w:val="0"/>
    <w:pPr>
      <w:adjustRightInd w:val="0"/>
      <w:spacing w:line="360" w:lineRule="auto"/>
      <w:ind w:firstLine="560" w:firstLineChars="200"/>
      <w:jc w:val="left"/>
    </w:pPr>
    <w:rPr>
      <w:rFonts w:ascii="Times New Roman" w:hAnsi="宋体" w:cs="Times New Roman"/>
      <w:kern w:val="0"/>
      <w:sz w:val="28"/>
      <w:szCs w:val="28"/>
    </w:rPr>
  </w:style>
  <w:style w:type="character" w:customStyle="1" w:styleId="3940">
    <w:name w:val="aa院正文 Char Char"/>
    <w:link w:val="3939"/>
    <w:qFormat/>
    <w:uiPriority w:val="0"/>
    <w:rPr>
      <w:rFonts w:ascii="Times New Roman" w:hAnsi="宋体" w:cs="Times New Roman"/>
      <w:kern w:val="0"/>
      <w:sz w:val="28"/>
      <w:szCs w:val="28"/>
    </w:rPr>
  </w:style>
  <w:style w:type="paragraph" w:customStyle="1" w:styleId="3941">
    <w:name w:val="aa院表名格式"/>
    <w:basedOn w:val="1"/>
    <w:link w:val="3942"/>
    <w:qFormat/>
    <w:uiPriority w:val="0"/>
    <w:pPr>
      <w:spacing w:beforeLines="50" w:afterLines="50"/>
      <w:jc w:val="center"/>
    </w:pPr>
    <w:rPr>
      <w:rFonts w:ascii="黑体" w:hAnsi="Times New Roman" w:eastAsia="黑体" w:cs="Times New Roman"/>
      <w:kern w:val="0"/>
      <w:sz w:val="24"/>
      <w:szCs w:val="24"/>
    </w:rPr>
  </w:style>
  <w:style w:type="character" w:customStyle="1" w:styleId="3942">
    <w:name w:val="aa院表名格式 Char Char"/>
    <w:link w:val="3941"/>
    <w:qFormat/>
    <w:uiPriority w:val="0"/>
    <w:rPr>
      <w:rFonts w:ascii="黑体" w:hAnsi="Times New Roman" w:eastAsia="黑体" w:cs="Times New Roman"/>
      <w:kern w:val="0"/>
      <w:sz w:val="24"/>
      <w:szCs w:val="24"/>
    </w:rPr>
  </w:style>
  <w:style w:type="character" w:customStyle="1" w:styleId="3943">
    <w:name w:val="Char Char112"/>
    <w:qFormat/>
    <w:uiPriority w:val="0"/>
    <w:rPr>
      <w:bCs/>
      <w:kern w:val="2"/>
      <w:sz w:val="24"/>
      <w:szCs w:val="24"/>
    </w:rPr>
  </w:style>
  <w:style w:type="character" w:customStyle="1" w:styleId="3944">
    <w:name w:val="Char Char122"/>
    <w:qFormat/>
    <w:uiPriority w:val="0"/>
    <w:rPr>
      <w:rFonts w:ascii="Arial" w:hAnsi="Arial" w:eastAsia="黑体"/>
      <w:b/>
      <w:bCs/>
      <w:kern w:val="2"/>
      <w:sz w:val="32"/>
      <w:szCs w:val="32"/>
    </w:rPr>
  </w:style>
  <w:style w:type="character" w:customStyle="1" w:styleId="3945">
    <w:name w:val="Char Char85"/>
    <w:qFormat/>
    <w:uiPriority w:val="0"/>
    <w:rPr>
      <w:rFonts w:ascii="宋体"/>
      <w:color w:val="FF0000"/>
      <w:kern w:val="2"/>
      <w:sz w:val="24"/>
      <w:szCs w:val="24"/>
      <w:lang w:val="zh-CN"/>
    </w:rPr>
  </w:style>
  <w:style w:type="character" w:customStyle="1" w:styleId="3946">
    <w:name w:val="Char Char612"/>
    <w:qFormat/>
    <w:uiPriority w:val="0"/>
    <w:rPr>
      <w:kern w:val="2"/>
      <w:sz w:val="18"/>
      <w:szCs w:val="18"/>
    </w:rPr>
  </w:style>
  <w:style w:type="character" w:customStyle="1" w:styleId="3947">
    <w:name w:val="正文首行缩进（中隆） Char"/>
    <w:qFormat/>
    <w:locked/>
    <w:uiPriority w:val="0"/>
    <w:rPr>
      <w:rFonts w:ascii="宋体" w:hAnsi="宋体" w:eastAsia="宋体"/>
      <w:kern w:val="2"/>
      <w:sz w:val="28"/>
      <w:szCs w:val="28"/>
      <w:lang w:val="en-US" w:eastAsia="zh-CN" w:bidi="ar-SA"/>
    </w:rPr>
  </w:style>
  <w:style w:type="paragraph" w:customStyle="1" w:styleId="3948">
    <w:name w:val="正文首行缩进（中隆）"/>
    <w:basedOn w:val="1"/>
    <w:qFormat/>
    <w:uiPriority w:val="0"/>
    <w:pPr>
      <w:spacing w:line="480" w:lineRule="exact"/>
      <w:ind w:firstLine="560" w:firstLineChars="200"/>
      <w:jc w:val="left"/>
    </w:pPr>
    <w:rPr>
      <w:rFonts w:ascii="宋体" w:hAnsi="宋体" w:cs="Times New Roman"/>
      <w:sz w:val="28"/>
      <w:szCs w:val="28"/>
    </w:rPr>
  </w:style>
  <w:style w:type="paragraph" w:customStyle="1" w:styleId="3949">
    <w:name w:val="样式 (中文) 仿宋_GB2312 四号 段前: 7.8 磅 段后: 7.8 磅 行距: 固定值 28 磅"/>
    <w:basedOn w:val="1"/>
    <w:qFormat/>
    <w:uiPriority w:val="0"/>
    <w:pPr>
      <w:spacing w:line="560" w:lineRule="exact"/>
      <w:ind w:firstLine="560" w:firstLineChars="200"/>
      <w:jc w:val="left"/>
    </w:pPr>
    <w:rPr>
      <w:rFonts w:ascii="Times New Roman" w:hAnsi="Times New Roman" w:eastAsia="仿宋_GB2312" w:cs="Times New Roman"/>
      <w:sz w:val="28"/>
      <w:szCs w:val="20"/>
    </w:rPr>
  </w:style>
  <w:style w:type="paragraph" w:customStyle="1" w:styleId="3950">
    <w:name w:val="样式  + 行距: 固定值 26 磅"/>
    <w:basedOn w:val="1"/>
    <w:qFormat/>
    <w:uiPriority w:val="0"/>
    <w:pPr>
      <w:spacing w:line="560" w:lineRule="exact"/>
      <w:ind w:firstLine="560" w:firstLineChars="200"/>
      <w:jc w:val="left"/>
    </w:pPr>
    <w:rPr>
      <w:rFonts w:ascii="Times New Roman" w:hAnsi="Times New Roman" w:eastAsia="仿宋_GB2312" w:cs="Times New Roman"/>
      <w:sz w:val="28"/>
      <w:szCs w:val="20"/>
    </w:rPr>
  </w:style>
  <w:style w:type="paragraph" w:customStyle="1" w:styleId="3951">
    <w:name w:val="样式 样式 正文1 + 段前: 0.5 行 段后: 0.5 行 + Times New Roman"/>
    <w:basedOn w:val="1"/>
    <w:qFormat/>
    <w:uiPriority w:val="0"/>
    <w:pPr>
      <w:overflowPunct w:val="0"/>
      <w:autoSpaceDE w:val="0"/>
      <w:autoSpaceDN w:val="0"/>
      <w:adjustRightInd w:val="0"/>
      <w:spacing w:beforeLines="50" w:afterLines="50" w:line="384" w:lineRule="auto"/>
      <w:ind w:firstLine="560" w:firstLineChars="200"/>
      <w:jc w:val="left"/>
      <w:textAlignment w:val="bottom"/>
    </w:pPr>
    <w:rPr>
      <w:rFonts w:ascii="Times New Roman" w:hAnsi="Times New Roman" w:eastAsia="仿宋_GB2312" w:cs="Times New Roman"/>
      <w:sz w:val="28"/>
      <w:szCs w:val="28"/>
    </w:rPr>
  </w:style>
  <w:style w:type="character" w:customStyle="1" w:styleId="3952">
    <w:name w:val="已访问的超链接1"/>
    <w:qFormat/>
    <w:uiPriority w:val="0"/>
    <w:rPr>
      <w:color w:val="800080"/>
      <w:u w:val="single"/>
    </w:rPr>
  </w:style>
  <w:style w:type="paragraph" w:customStyle="1" w:styleId="3953">
    <w:name w:val="样式 标题 2 + 段前: 0.5 行"/>
    <w:basedOn w:val="4"/>
    <w:qFormat/>
    <w:uiPriority w:val="0"/>
    <w:pPr>
      <w:keepNext w:val="0"/>
      <w:keepLines w:val="0"/>
      <w:suppressLineNumbers/>
      <w:suppressAutoHyphens/>
      <w:adjustRightInd w:val="0"/>
      <w:spacing w:before="10" w:line="240" w:lineRule="atLeast"/>
      <w:jc w:val="both"/>
      <w:textAlignment w:val="center"/>
      <w:outlineLvl w:val="2"/>
    </w:pPr>
    <w:rPr>
      <w:rFonts w:cs="宋体" w:eastAsiaTheme="minorEastAsia"/>
      <w:b w:val="0"/>
      <w:bCs w:val="0"/>
      <w:color w:val="000000" w:themeColor="text1"/>
      <w:kern w:val="0"/>
      <w:szCs w:val="28"/>
      <w14:textFill>
        <w14:solidFill>
          <w14:schemeClr w14:val="tx1"/>
        </w14:solidFill>
      </w14:textFill>
    </w:rPr>
  </w:style>
  <w:style w:type="paragraph" w:customStyle="1" w:styleId="3954">
    <w:name w:val="样式 (中文) 仿宋_GB2312 四号 首行缩进:  1.23 厘米 行距: 固定值 28 磅"/>
    <w:basedOn w:val="1"/>
    <w:qFormat/>
    <w:uiPriority w:val="0"/>
    <w:pPr>
      <w:spacing w:line="560" w:lineRule="exact"/>
      <w:ind w:firstLine="560" w:firstLineChars="200"/>
      <w:jc w:val="left"/>
    </w:pPr>
    <w:rPr>
      <w:rFonts w:ascii="Times New Roman" w:hAnsi="Times New Roman" w:eastAsia="仿宋_GB2312" w:cs="宋体"/>
      <w:sz w:val="28"/>
      <w:szCs w:val="20"/>
    </w:rPr>
  </w:style>
  <w:style w:type="paragraph" w:customStyle="1" w:styleId="3955">
    <w:name w:val="样式 样式 样式 正文文字缩进 + 首行缩进:  2 字符 + 首行缩进:  2 字符 + 首行缩进:  2 字符"/>
    <w:basedOn w:val="1"/>
    <w:qFormat/>
    <w:uiPriority w:val="0"/>
    <w:pPr>
      <w:tabs>
        <w:tab w:val="left" w:pos="6480"/>
      </w:tabs>
      <w:spacing w:line="480" w:lineRule="exact"/>
      <w:ind w:firstLine="420" w:firstLineChars="200"/>
      <w:jc w:val="left"/>
    </w:pPr>
    <w:rPr>
      <w:rFonts w:ascii="Times New Roman" w:hAnsi="Times New Roman" w:eastAsia="黑体" w:cs="宋体"/>
      <w:sz w:val="24"/>
      <w:szCs w:val="20"/>
    </w:rPr>
  </w:style>
  <w:style w:type="paragraph" w:customStyle="1" w:styleId="3956">
    <w:name w:val="样式 标题 3Sottoparagrafo条标题1.1.13h33rd levelH3l3CT + 首行缩进: ..."/>
    <w:basedOn w:val="5"/>
    <w:qFormat/>
    <w:uiPriority w:val="0"/>
    <w:pPr>
      <w:keepNext w:val="0"/>
      <w:keepLines w:val="0"/>
      <w:suppressLineNumbers/>
      <w:suppressAutoHyphens/>
      <w:adjustRightInd w:val="0"/>
      <w:spacing w:beforeLines="10" w:line="560" w:lineRule="exact"/>
      <w:textAlignment w:val="center"/>
    </w:pPr>
    <w:rPr>
      <w:rFonts w:eastAsia="黑体" w:cs="宋体"/>
      <w:b w:val="0"/>
      <w:sz w:val="30"/>
      <w:szCs w:val="28"/>
    </w:rPr>
  </w:style>
  <w:style w:type="paragraph" w:customStyle="1" w:styleId="3957">
    <w:name w:val="样式 标题 1 + Times New Roman 三号 非加粗"/>
    <w:basedOn w:val="3"/>
    <w:qFormat/>
    <w:uiPriority w:val="0"/>
    <w:pPr>
      <w:keepNext w:val="0"/>
      <w:keepLines w:val="0"/>
      <w:widowControl w:val="0"/>
      <w:suppressLineNumbers/>
      <w:suppressAutoHyphens/>
      <w:adjustRightInd w:val="0"/>
      <w:spacing w:line="240" w:lineRule="atLeast"/>
      <w:jc w:val="both"/>
      <w:textAlignment w:val="center"/>
    </w:pPr>
    <w:rPr>
      <w:rFonts w:cs="Times New Roman"/>
      <w:color w:val="000000"/>
      <w:kern w:val="0"/>
      <w:szCs w:val="36"/>
    </w:rPr>
  </w:style>
  <w:style w:type="character" w:customStyle="1" w:styleId="3958">
    <w:name w:val="样式 标题 3 CharSottoparagrafo Char条标题1.1.1 Char3 Charh3 Char3r..."/>
    <w:qFormat/>
    <w:uiPriority w:val="0"/>
    <w:rPr>
      <w:rFonts w:eastAsia="黑体"/>
      <w:b/>
      <w:bCs/>
      <w:kern w:val="2"/>
      <w:sz w:val="28"/>
      <w:lang w:val="en-US" w:eastAsia="zh-CN" w:bidi="ar-SA"/>
    </w:rPr>
  </w:style>
  <w:style w:type="character" w:customStyle="1" w:styleId="3959">
    <w:name w:val="Char Char411"/>
    <w:qFormat/>
    <w:uiPriority w:val="0"/>
    <w:rPr>
      <w:rFonts w:eastAsia="仿宋_GB2312"/>
      <w:kern w:val="2"/>
      <w:sz w:val="16"/>
      <w:szCs w:val="16"/>
    </w:rPr>
  </w:style>
  <w:style w:type="paragraph" w:customStyle="1" w:styleId="3960">
    <w:name w:val="公标题1"/>
    <w:basedOn w:val="880"/>
    <w:qFormat/>
    <w:uiPriority w:val="0"/>
    <w:pPr>
      <w:spacing w:beforeLines="70" w:afterLines="70"/>
      <w:ind w:firstLine="0" w:firstLineChars="0"/>
      <w:outlineLvl w:val="0"/>
    </w:pPr>
    <w:rPr>
      <w:rFonts w:ascii="黑体" w:eastAsia="黑体"/>
      <w:sz w:val="36"/>
    </w:rPr>
  </w:style>
  <w:style w:type="paragraph" w:customStyle="1" w:styleId="3961">
    <w:name w:val="公标题2"/>
    <w:basedOn w:val="3960"/>
    <w:qFormat/>
    <w:uiPriority w:val="0"/>
    <w:pPr>
      <w:spacing w:beforeLines="50" w:afterLines="50"/>
      <w:outlineLvl w:val="1"/>
    </w:pPr>
    <w:rPr>
      <w:sz w:val="32"/>
    </w:rPr>
  </w:style>
  <w:style w:type="paragraph" w:customStyle="1" w:styleId="3962">
    <w:name w:val="公标题3"/>
    <w:basedOn w:val="3961"/>
    <w:qFormat/>
    <w:uiPriority w:val="0"/>
    <w:pPr>
      <w:spacing w:beforeLines="30" w:afterLines="30"/>
      <w:outlineLvl w:val="2"/>
    </w:pPr>
    <w:rPr>
      <w:rFonts w:ascii="宋体" w:eastAsia="方正小标宋简体"/>
      <w:sz w:val="28"/>
    </w:rPr>
  </w:style>
  <w:style w:type="paragraph" w:customStyle="1" w:styleId="3963">
    <w:name w:val="公表序"/>
    <w:basedOn w:val="1"/>
    <w:qFormat/>
    <w:uiPriority w:val="0"/>
    <w:pPr>
      <w:adjustRightInd w:val="0"/>
      <w:spacing w:line="300" w:lineRule="auto"/>
      <w:ind w:firstLine="150" w:firstLineChars="150"/>
      <w:jc w:val="left"/>
    </w:pPr>
    <w:rPr>
      <w:rFonts w:ascii="黑体" w:hAnsi="宋体" w:eastAsia="黑体" w:cs="Times New Roman"/>
      <w:sz w:val="24"/>
      <w:szCs w:val="24"/>
    </w:rPr>
  </w:style>
  <w:style w:type="paragraph" w:customStyle="1" w:styleId="3964">
    <w:name w:val="公表文"/>
    <w:basedOn w:val="1"/>
    <w:qFormat/>
    <w:uiPriority w:val="0"/>
    <w:pPr>
      <w:adjustRightInd w:val="0"/>
      <w:spacing w:beforeLines="30" w:afterLines="30" w:line="360" w:lineRule="auto"/>
      <w:jc w:val="center"/>
    </w:pPr>
    <w:rPr>
      <w:rFonts w:ascii="宋体" w:hAnsi="宋体" w:eastAsia="楷体_GB2312" w:cs="Times New Roman"/>
      <w:sz w:val="24"/>
      <w:szCs w:val="24"/>
    </w:rPr>
  </w:style>
  <w:style w:type="paragraph" w:customStyle="1" w:styleId="3965">
    <w:name w:val="小四+首行缩进"/>
    <w:basedOn w:val="1"/>
    <w:link w:val="3966"/>
    <w:qFormat/>
    <w:uiPriority w:val="0"/>
    <w:pPr>
      <w:spacing w:line="360" w:lineRule="auto"/>
      <w:ind w:firstLine="482"/>
      <w:jc w:val="left"/>
    </w:pPr>
    <w:rPr>
      <w:rFonts w:ascii="宋体" w:hAnsi="宋体" w:cs="Times New Roman"/>
      <w:sz w:val="24"/>
      <w:szCs w:val="24"/>
    </w:rPr>
  </w:style>
  <w:style w:type="character" w:customStyle="1" w:styleId="3966">
    <w:name w:val="小四+首行缩进 Char2"/>
    <w:link w:val="3965"/>
    <w:qFormat/>
    <w:uiPriority w:val="0"/>
    <w:rPr>
      <w:rFonts w:ascii="宋体" w:hAnsi="宋体" w:cs="Times New Roman"/>
      <w:sz w:val="24"/>
      <w:szCs w:val="24"/>
    </w:rPr>
  </w:style>
  <w:style w:type="paragraph" w:customStyle="1" w:styleId="3967">
    <w:name w:val="报告正文文字"/>
    <w:basedOn w:val="1"/>
    <w:qFormat/>
    <w:uiPriority w:val="0"/>
    <w:pPr>
      <w:adjustRightInd w:val="0"/>
      <w:spacing w:line="360" w:lineRule="auto"/>
      <w:ind w:firstLine="560" w:firstLineChars="200"/>
      <w:jc w:val="left"/>
    </w:pPr>
    <w:rPr>
      <w:rFonts w:ascii="仿宋_GB2312" w:hAnsi="Times New Roman" w:eastAsia="仿宋_GB2312" w:cs="Times New Roman"/>
      <w:sz w:val="28"/>
      <w:szCs w:val="20"/>
    </w:rPr>
  </w:style>
  <w:style w:type="character" w:customStyle="1" w:styleId="3968">
    <w:name w:val="正文（首行缩进两字） Char Char Char Char Char Char Char Char Char1 Char Char"/>
    <w:qFormat/>
    <w:uiPriority w:val="0"/>
    <w:rPr>
      <w:rFonts w:eastAsia="仿宋_GB2312"/>
      <w:kern w:val="2"/>
      <w:sz w:val="28"/>
      <w:szCs w:val="24"/>
      <w:lang w:val="en-US" w:eastAsia="zh-CN" w:bidi="ar-SA"/>
    </w:rPr>
  </w:style>
  <w:style w:type="character" w:customStyle="1" w:styleId="3969">
    <w:name w:val="aa院正文 Char"/>
    <w:qFormat/>
    <w:uiPriority w:val="0"/>
    <w:rPr>
      <w:rFonts w:hAnsi="宋体" w:eastAsia="宋体"/>
      <w:kern w:val="2"/>
      <w:sz w:val="28"/>
      <w:szCs w:val="28"/>
      <w:lang w:bidi="ar-SA"/>
    </w:rPr>
  </w:style>
  <w:style w:type="character" w:customStyle="1" w:styleId="3970">
    <w:name w:val="aa院表名格式 Char"/>
    <w:qFormat/>
    <w:uiPriority w:val="0"/>
    <w:rPr>
      <w:rFonts w:ascii="黑体" w:eastAsia="黑体"/>
      <w:kern w:val="2"/>
      <w:sz w:val="24"/>
      <w:szCs w:val="24"/>
      <w:lang w:bidi="ar-SA"/>
    </w:rPr>
  </w:style>
  <w:style w:type="paragraph" w:customStyle="1" w:styleId="3971">
    <w:name w:val="aa院表格内容格式"/>
    <w:basedOn w:val="1"/>
    <w:link w:val="3972"/>
    <w:qFormat/>
    <w:uiPriority w:val="0"/>
    <w:pPr>
      <w:spacing w:line="360" w:lineRule="auto"/>
      <w:jc w:val="center"/>
    </w:pPr>
    <w:rPr>
      <w:rFonts w:ascii="Times New Roman" w:hAnsi="Times New Roman" w:cs="Times New Roman"/>
      <w:szCs w:val="24"/>
    </w:rPr>
  </w:style>
  <w:style w:type="character" w:customStyle="1" w:styleId="3972">
    <w:name w:val="aa院表格内容格式 Char"/>
    <w:link w:val="3971"/>
    <w:qFormat/>
    <w:uiPriority w:val="0"/>
    <w:rPr>
      <w:rFonts w:ascii="Times New Roman" w:hAnsi="Times New Roman" w:cs="Times New Roman"/>
      <w:szCs w:val="24"/>
    </w:rPr>
  </w:style>
  <w:style w:type="paragraph" w:customStyle="1" w:styleId="3973">
    <w:name w:val="aa院标题3"/>
    <w:basedOn w:val="5"/>
    <w:link w:val="3974"/>
    <w:qFormat/>
    <w:uiPriority w:val="0"/>
    <w:pPr>
      <w:spacing w:beforeLines="50" w:afterLines="50" w:line="240" w:lineRule="auto"/>
    </w:pPr>
    <w:rPr>
      <w:rFonts w:ascii="黑体" w:hAnsi="黑体" w:eastAsia="黑体" w:cs="Times New Roman"/>
      <w:b w:val="0"/>
      <w:bCs w:val="0"/>
      <w:sz w:val="28"/>
      <w:szCs w:val="26"/>
    </w:rPr>
  </w:style>
  <w:style w:type="character" w:customStyle="1" w:styleId="3974">
    <w:name w:val="aa院标题3 Char"/>
    <w:link w:val="3973"/>
    <w:qFormat/>
    <w:uiPriority w:val="0"/>
    <w:rPr>
      <w:rFonts w:ascii="黑体" w:hAnsi="黑体" w:eastAsia="黑体" w:cs="Times New Roman"/>
      <w:sz w:val="28"/>
      <w:szCs w:val="26"/>
    </w:rPr>
  </w:style>
  <w:style w:type="paragraph" w:customStyle="1" w:styleId="3975">
    <w:name w:val="aa院标题2"/>
    <w:basedOn w:val="1"/>
    <w:link w:val="3976"/>
    <w:qFormat/>
    <w:uiPriority w:val="0"/>
    <w:pPr>
      <w:keepNext/>
      <w:keepLines/>
      <w:spacing w:beforeLines="100" w:afterLines="100" w:line="360" w:lineRule="auto"/>
      <w:jc w:val="left"/>
      <w:outlineLvl w:val="1"/>
    </w:pPr>
    <w:rPr>
      <w:rFonts w:ascii="黑体" w:hAnsi="黑体" w:eastAsia="黑体" w:cs="Times New Roman"/>
      <w:bCs/>
      <w:sz w:val="32"/>
      <w:szCs w:val="32"/>
    </w:rPr>
  </w:style>
  <w:style w:type="character" w:customStyle="1" w:styleId="3976">
    <w:name w:val="aaaa院标题2 Char"/>
    <w:link w:val="3975"/>
    <w:qFormat/>
    <w:uiPriority w:val="0"/>
    <w:rPr>
      <w:rFonts w:ascii="黑体" w:hAnsi="黑体" w:eastAsia="黑体" w:cs="Times New Roman"/>
      <w:bCs/>
      <w:sz w:val="32"/>
      <w:szCs w:val="32"/>
    </w:rPr>
  </w:style>
  <w:style w:type="paragraph" w:customStyle="1" w:styleId="3977">
    <w:name w:val="样式 ZW + 首行缩进:  2 字符"/>
    <w:basedOn w:val="1"/>
    <w:link w:val="3978"/>
    <w:qFormat/>
    <w:uiPriority w:val="0"/>
    <w:pPr>
      <w:adjustRightInd w:val="0"/>
      <w:spacing w:line="560" w:lineRule="exact"/>
      <w:ind w:firstLine="200" w:firstLineChars="200"/>
      <w:jc w:val="left"/>
    </w:pPr>
    <w:rPr>
      <w:rFonts w:ascii="仿宋_GB2312" w:hAnsi="宋体" w:eastAsia="仿宋_GB2312" w:cs="Times New Roman"/>
      <w:kern w:val="0"/>
      <w:sz w:val="28"/>
      <w:szCs w:val="28"/>
      <w:lang w:val="zh-CN"/>
    </w:rPr>
  </w:style>
  <w:style w:type="character" w:customStyle="1" w:styleId="3978">
    <w:name w:val="样式 ZW + 首行缩进:  2 字符 Char"/>
    <w:link w:val="3977"/>
    <w:qFormat/>
    <w:uiPriority w:val="0"/>
    <w:rPr>
      <w:rFonts w:ascii="仿宋_GB2312" w:hAnsi="宋体" w:eastAsia="仿宋_GB2312" w:cs="Times New Roman"/>
      <w:kern w:val="0"/>
      <w:sz w:val="28"/>
      <w:szCs w:val="28"/>
      <w:lang w:val="zh-CN"/>
    </w:rPr>
  </w:style>
  <w:style w:type="paragraph" w:customStyle="1" w:styleId="3979">
    <w:name w:val="aa院图名格式"/>
    <w:basedOn w:val="1"/>
    <w:link w:val="3980"/>
    <w:qFormat/>
    <w:uiPriority w:val="0"/>
    <w:pPr>
      <w:spacing w:afterLines="50"/>
      <w:jc w:val="center"/>
    </w:pPr>
    <w:rPr>
      <w:rFonts w:ascii="黑体" w:hAnsi="Times New Roman" w:eastAsia="黑体" w:cs="Times New Roman"/>
      <w:sz w:val="24"/>
      <w:szCs w:val="24"/>
    </w:rPr>
  </w:style>
  <w:style w:type="character" w:customStyle="1" w:styleId="3980">
    <w:name w:val="aa院图名格式 Char"/>
    <w:link w:val="3979"/>
    <w:qFormat/>
    <w:uiPriority w:val="0"/>
    <w:rPr>
      <w:rFonts w:ascii="黑体" w:hAnsi="Times New Roman" w:eastAsia="黑体" w:cs="Times New Roman"/>
      <w:sz w:val="24"/>
      <w:szCs w:val="24"/>
    </w:rPr>
  </w:style>
  <w:style w:type="character" w:customStyle="1" w:styleId="3981">
    <w:name w:val="big3"/>
    <w:qFormat/>
    <w:uiPriority w:val="0"/>
  </w:style>
  <w:style w:type="character" w:customStyle="1" w:styleId="3982">
    <w:name w:val="aa院图名格式 Char Char"/>
    <w:qFormat/>
    <w:uiPriority w:val="0"/>
    <w:rPr>
      <w:rFonts w:ascii="黑体" w:hAnsi="Times New Roman" w:eastAsia="黑体" w:cs="Times New Roman"/>
      <w:sz w:val="24"/>
      <w:szCs w:val="24"/>
    </w:rPr>
  </w:style>
  <w:style w:type="paragraph" w:customStyle="1" w:styleId="3983">
    <w:name w:val="aa院标题4"/>
    <w:basedOn w:val="6"/>
    <w:link w:val="3984"/>
    <w:qFormat/>
    <w:uiPriority w:val="0"/>
    <w:pPr>
      <w:tabs>
        <w:tab w:val="left" w:pos="0"/>
      </w:tabs>
      <w:spacing w:beforeLines="50" w:afterLines="50" w:line="500" w:lineRule="exact"/>
      <w:jc w:val="both"/>
    </w:pPr>
    <w:rPr>
      <w:rFonts w:ascii="黑体" w:hAnsi="黑体" w:eastAsia="黑体" w:cs="Times New Roman"/>
      <w:bCs w:val="0"/>
    </w:rPr>
  </w:style>
  <w:style w:type="character" w:customStyle="1" w:styleId="3984">
    <w:name w:val="aa院标题4 Char1"/>
    <w:link w:val="3983"/>
    <w:qFormat/>
    <w:uiPriority w:val="0"/>
    <w:rPr>
      <w:rFonts w:ascii="黑体" w:hAnsi="黑体" w:eastAsia="黑体" w:cs="Times New Roman"/>
      <w:b/>
      <w:sz w:val="24"/>
      <w:szCs w:val="28"/>
    </w:rPr>
  </w:style>
  <w:style w:type="paragraph" w:customStyle="1" w:styleId="3985">
    <w:name w:val="样式 首行缩进:  2 字符9"/>
    <w:basedOn w:val="1"/>
    <w:link w:val="3986"/>
    <w:qFormat/>
    <w:uiPriority w:val="0"/>
    <w:pPr>
      <w:adjustRightInd w:val="0"/>
      <w:spacing w:line="560" w:lineRule="exact"/>
      <w:ind w:firstLine="200" w:firstLineChars="200"/>
      <w:jc w:val="left"/>
    </w:pPr>
    <w:rPr>
      <w:rFonts w:ascii="Times New Roman" w:hAnsi="Times New Roman" w:eastAsia="仿宋_GB2312" w:cs="Times New Roman"/>
      <w:sz w:val="28"/>
      <w:szCs w:val="20"/>
      <w:lang w:val="zh-CN"/>
    </w:rPr>
  </w:style>
  <w:style w:type="character" w:customStyle="1" w:styleId="3986">
    <w:name w:val="样式 首行缩进:  2 字符9 Char"/>
    <w:link w:val="3985"/>
    <w:qFormat/>
    <w:uiPriority w:val="0"/>
    <w:rPr>
      <w:rFonts w:ascii="Times New Roman" w:hAnsi="Times New Roman" w:eastAsia="仿宋_GB2312" w:cs="Times New Roman"/>
      <w:sz w:val="28"/>
      <w:szCs w:val="20"/>
      <w:lang w:val="zh-CN"/>
    </w:rPr>
  </w:style>
  <w:style w:type="paragraph" w:customStyle="1" w:styleId="3987">
    <w:name w:val="样式 样式 样式 正文首行缩进 2 Char + 首行缩进:  2 字符 段后: 0.5 行 + 首行缩进:  2 字符 段后..."/>
    <w:basedOn w:val="1"/>
    <w:link w:val="3988"/>
    <w:qFormat/>
    <w:uiPriority w:val="0"/>
    <w:pPr>
      <w:widowControl/>
      <w:spacing w:afterLines="50" w:line="440" w:lineRule="exact"/>
      <w:ind w:firstLine="200" w:firstLineChars="200"/>
      <w:jc w:val="left"/>
    </w:pPr>
    <w:rPr>
      <w:rFonts w:ascii="宋体" w:hAnsi="宋体" w:cs="Times New Roman"/>
      <w:sz w:val="24"/>
      <w:szCs w:val="28"/>
    </w:rPr>
  </w:style>
  <w:style w:type="character" w:customStyle="1" w:styleId="3988">
    <w:name w:val="样式 样式 样式 正文首行缩进 2 Char + 首行缩进:  2 字符 段后: 0.5 行 + 首行缩进:  2 字符 段后... Char"/>
    <w:link w:val="3987"/>
    <w:qFormat/>
    <w:uiPriority w:val="0"/>
    <w:rPr>
      <w:rFonts w:ascii="宋体" w:hAnsi="宋体" w:cs="Times New Roman"/>
      <w:sz w:val="24"/>
      <w:szCs w:val="28"/>
    </w:rPr>
  </w:style>
  <w:style w:type="paragraph" w:customStyle="1" w:styleId="3989">
    <w:name w:val="reader-word-layer reader-word-s2-2"/>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0">
    <w:name w:val="reader-word-layer reader-word-s2-1"/>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1">
    <w:name w:val="reader-word-layer reader-word-s2-6"/>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2">
    <w:name w:val="reader-word-layer reader-word-s2-13"/>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3">
    <w:name w:val="reader-word-layer reader-word-s2-14"/>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4">
    <w:name w:val="reader-word-layer reader-word-s2-4"/>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5">
    <w:name w:val="reader-word-layer reader-word-s2-1 reader-word-s2-16"/>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6">
    <w:name w:val="reader-word-layer reader-word-s2-9"/>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7">
    <w:name w:val="reader-word-layer reader-word-s2-17"/>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8">
    <w:name w:val="reader-word-layer reader-word-s2-18"/>
    <w:basedOn w:val="1"/>
    <w:qFormat/>
    <w:uiPriority w:val="0"/>
    <w:pPr>
      <w:widowControl/>
      <w:spacing w:beforeAutospacing="1" w:after="100" w:afterAutospacing="1"/>
      <w:jc w:val="left"/>
    </w:pPr>
    <w:rPr>
      <w:rFonts w:ascii="宋体" w:hAnsi="宋体" w:cs="宋体"/>
      <w:kern w:val="0"/>
      <w:sz w:val="24"/>
      <w:szCs w:val="24"/>
    </w:rPr>
  </w:style>
  <w:style w:type="paragraph" w:customStyle="1" w:styleId="3999">
    <w:name w:val="reader-word-layer reader-word-s2-19"/>
    <w:basedOn w:val="1"/>
    <w:qFormat/>
    <w:uiPriority w:val="0"/>
    <w:pPr>
      <w:widowControl/>
      <w:spacing w:beforeAutospacing="1" w:after="100" w:afterAutospacing="1"/>
      <w:jc w:val="left"/>
    </w:pPr>
    <w:rPr>
      <w:rFonts w:ascii="宋体" w:hAnsi="宋体" w:cs="宋体"/>
      <w:kern w:val="0"/>
      <w:sz w:val="24"/>
      <w:szCs w:val="24"/>
    </w:rPr>
  </w:style>
  <w:style w:type="paragraph" w:customStyle="1" w:styleId="4000">
    <w:name w:val="reader-word-layer reader-word-s2-7"/>
    <w:basedOn w:val="1"/>
    <w:qFormat/>
    <w:uiPriority w:val="0"/>
    <w:pPr>
      <w:widowControl/>
      <w:spacing w:beforeAutospacing="1" w:after="100" w:afterAutospacing="1"/>
      <w:jc w:val="left"/>
    </w:pPr>
    <w:rPr>
      <w:rFonts w:ascii="宋体" w:hAnsi="宋体" w:cs="宋体"/>
      <w:kern w:val="0"/>
      <w:sz w:val="24"/>
      <w:szCs w:val="24"/>
    </w:rPr>
  </w:style>
  <w:style w:type="paragraph" w:customStyle="1" w:styleId="4001">
    <w:name w:val="reader-word-layer reader-word-s2-22"/>
    <w:basedOn w:val="1"/>
    <w:qFormat/>
    <w:uiPriority w:val="0"/>
    <w:pPr>
      <w:widowControl/>
      <w:spacing w:beforeAutospacing="1" w:after="100" w:afterAutospacing="1"/>
      <w:jc w:val="left"/>
    </w:pPr>
    <w:rPr>
      <w:rFonts w:ascii="宋体" w:hAnsi="宋体" w:cs="宋体"/>
      <w:kern w:val="0"/>
      <w:sz w:val="24"/>
      <w:szCs w:val="24"/>
    </w:rPr>
  </w:style>
  <w:style w:type="paragraph" w:customStyle="1" w:styleId="4002">
    <w:name w:val="reader-word-layer reader-word-s2-10"/>
    <w:basedOn w:val="1"/>
    <w:qFormat/>
    <w:uiPriority w:val="0"/>
    <w:pPr>
      <w:widowControl/>
      <w:spacing w:beforeAutospacing="1" w:after="100" w:afterAutospacing="1"/>
      <w:jc w:val="left"/>
    </w:pPr>
    <w:rPr>
      <w:rFonts w:ascii="宋体" w:hAnsi="宋体" w:cs="宋体"/>
      <w:kern w:val="0"/>
      <w:sz w:val="24"/>
      <w:szCs w:val="24"/>
    </w:rPr>
  </w:style>
  <w:style w:type="paragraph" w:customStyle="1" w:styleId="4003">
    <w:name w:val="reader-word-layer reader-word-s2-11"/>
    <w:basedOn w:val="1"/>
    <w:qFormat/>
    <w:uiPriority w:val="0"/>
    <w:pPr>
      <w:widowControl/>
      <w:spacing w:beforeAutospacing="1" w:after="100" w:afterAutospacing="1"/>
      <w:jc w:val="left"/>
    </w:pPr>
    <w:rPr>
      <w:rFonts w:ascii="宋体" w:hAnsi="宋体" w:cs="宋体"/>
      <w:kern w:val="0"/>
      <w:sz w:val="24"/>
      <w:szCs w:val="24"/>
    </w:rPr>
  </w:style>
  <w:style w:type="paragraph" w:customStyle="1" w:styleId="4004">
    <w:name w:val="reader-word-layer reader-word-s2-5"/>
    <w:basedOn w:val="1"/>
    <w:qFormat/>
    <w:uiPriority w:val="0"/>
    <w:pPr>
      <w:widowControl/>
      <w:spacing w:beforeAutospacing="1" w:after="100" w:afterAutospacing="1"/>
      <w:jc w:val="left"/>
    </w:pPr>
    <w:rPr>
      <w:rFonts w:ascii="宋体" w:hAnsi="宋体" w:cs="宋体"/>
      <w:kern w:val="0"/>
      <w:sz w:val="24"/>
      <w:szCs w:val="24"/>
    </w:rPr>
  </w:style>
  <w:style w:type="paragraph" w:customStyle="1" w:styleId="4005">
    <w:name w:val="日期2"/>
    <w:basedOn w:val="1"/>
    <w:next w:val="1"/>
    <w:qFormat/>
    <w:uiPriority w:val="0"/>
    <w:pPr>
      <w:adjustRightInd w:val="0"/>
      <w:spacing w:beforeAutospacing="1" w:after="100" w:afterAutospacing="1"/>
      <w:ind w:firstLine="200" w:firstLineChars="200"/>
      <w:jc w:val="left"/>
      <w:textAlignment w:val="baseline"/>
    </w:pPr>
    <w:rPr>
      <w:rFonts w:ascii="Times New Roman" w:hAnsi="Times New Roman" w:cs="Times New Roman"/>
      <w:snapToGrid w:val="0"/>
      <w:sz w:val="24"/>
      <w:szCs w:val="20"/>
    </w:rPr>
  </w:style>
  <w:style w:type="paragraph" w:customStyle="1" w:styleId="4006">
    <w:name w:val="批注框文本2"/>
    <w:basedOn w:val="1"/>
    <w:qFormat/>
    <w:uiPriority w:val="0"/>
    <w:pPr>
      <w:spacing w:beforeLines="50" w:line="360" w:lineRule="auto"/>
      <w:jc w:val="left"/>
    </w:pPr>
    <w:rPr>
      <w:rFonts w:ascii="Times New Roman" w:hAnsi="Times New Roman" w:cs="Times New Roman"/>
      <w:sz w:val="18"/>
      <w:szCs w:val="18"/>
    </w:rPr>
  </w:style>
  <w:style w:type="paragraph" w:customStyle="1" w:styleId="4007">
    <w:name w:val="5号正文"/>
    <w:qFormat/>
    <w:uiPriority w:val="0"/>
    <w:pPr>
      <w:widowControl w:val="0"/>
      <w:adjustRightInd w:val="0"/>
      <w:snapToGrid w:val="0"/>
      <w:spacing w:line="360" w:lineRule="auto"/>
      <w:ind w:firstLine="480" w:firstLineChars="200"/>
      <w:jc w:val="both"/>
    </w:pPr>
    <w:rPr>
      <w:rFonts w:ascii="楷体_GB2312" w:hAnsi="宋体" w:eastAsia="楷体_GB2312" w:cs="Times New Roman"/>
      <w:snapToGrid w:val="0"/>
      <w:sz w:val="24"/>
      <w:szCs w:val="28"/>
      <w:lang w:val="en-US" w:eastAsia="zh-CN" w:bidi="ar-SA"/>
    </w:rPr>
  </w:style>
  <w:style w:type="paragraph" w:customStyle="1" w:styleId="4008">
    <w:name w:val="表首"/>
    <w:basedOn w:val="1"/>
    <w:link w:val="4009"/>
    <w:qFormat/>
    <w:uiPriority w:val="0"/>
    <w:pPr>
      <w:spacing w:beforeLines="50" w:line="520" w:lineRule="exact"/>
      <w:jc w:val="center"/>
    </w:pPr>
    <w:rPr>
      <w:rFonts w:ascii="宋体" w:hAnsi="宋体" w:cs="Times New Roman"/>
      <w:b/>
      <w:kern w:val="0"/>
      <w:sz w:val="28"/>
      <w:szCs w:val="28"/>
    </w:rPr>
  </w:style>
  <w:style w:type="character" w:customStyle="1" w:styleId="4009">
    <w:name w:val="表首 Char"/>
    <w:link w:val="4008"/>
    <w:qFormat/>
    <w:uiPriority w:val="0"/>
    <w:rPr>
      <w:rFonts w:ascii="宋体" w:hAnsi="宋体" w:cs="Times New Roman"/>
      <w:b/>
      <w:kern w:val="0"/>
      <w:sz w:val="28"/>
      <w:szCs w:val="28"/>
    </w:rPr>
  </w:style>
  <w:style w:type="paragraph" w:customStyle="1" w:styleId="4010">
    <w:name w:val="正文文本缩进 32"/>
    <w:basedOn w:val="1"/>
    <w:qFormat/>
    <w:uiPriority w:val="0"/>
    <w:pPr>
      <w:adjustRightInd w:val="0"/>
      <w:spacing w:line="360" w:lineRule="atLeast"/>
      <w:ind w:firstLine="480"/>
      <w:jc w:val="left"/>
      <w:textAlignment w:val="baseline"/>
    </w:pPr>
    <w:rPr>
      <w:rFonts w:ascii="宋体" w:hAnsi="Times New Roman" w:cs="Times New Roman"/>
      <w:kern w:val="0"/>
      <w:sz w:val="24"/>
      <w:szCs w:val="20"/>
    </w:rPr>
  </w:style>
  <w:style w:type="character" w:customStyle="1" w:styleId="4011">
    <w:name w:val="Char Char162"/>
    <w:qFormat/>
    <w:uiPriority w:val="0"/>
    <w:rPr>
      <w:rFonts w:eastAsia="宋体"/>
      <w:kern w:val="2"/>
      <w:sz w:val="21"/>
      <w:szCs w:val="24"/>
      <w:lang w:val="en-US" w:eastAsia="zh-CN" w:bidi="ar-SA"/>
    </w:rPr>
  </w:style>
  <w:style w:type="paragraph" w:customStyle="1" w:styleId="4012">
    <w:name w:val="Char Char Char2 Char Char Char Char Char Char Char Char Char Char Char Char Char"/>
    <w:basedOn w:val="1"/>
    <w:qFormat/>
    <w:uiPriority w:val="0"/>
    <w:pPr>
      <w:jc w:val="left"/>
    </w:pPr>
    <w:rPr>
      <w:rFonts w:ascii="Times New Roman" w:hAnsi="Times New Roman" w:cs="Times New Roman"/>
      <w:szCs w:val="24"/>
    </w:rPr>
  </w:style>
  <w:style w:type="paragraph" w:customStyle="1" w:styleId="4013">
    <w:name w:val="Char Char Char3 Char2"/>
    <w:basedOn w:val="1"/>
    <w:qFormat/>
    <w:uiPriority w:val="0"/>
    <w:pPr>
      <w:autoSpaceDE w:val="0"/>
      <w:autoSpaceDN w:val="0"/>
      <w:adjustRightInd w:val="0"/>
      <w:spacing w:line="360" w:lineRule="auto"/>
      <w:ind w:firstLine="200" w:firstLineChars="200"/>
      <w:jc w:val="left"/>
      <w:textAlignment w:val="baseline"/>
    </w:pPr>
    <w:rPr>
      <w:rFonts w:ascii="Times New Roman" w:hAnsi="Times New Roman" w:cs="Times New Roman"/>
      <w:kern w:val="0"/>
      <w:sz w:val="24"/>
      <w:szCs w:val="20"/>
    </w:rPr>
  </w:style>
  <w:style w:type="paragraph" w:customStyle="1" w:styleId="4014">
    <w:name w:val="样式 样式 样式 样式 样式 样式 标题 2 + 宋体 两端对齐 + 段前: 1 行 + 段前: 1 行 + 段前: 0.5 行..."/>
    <w:basedOn w:val="1"/>
    <w:qFormat/>
    <w:uiPriority w:val="0"/>
    <w:pPr>
      <w:keepNext/>
      <w:keepLines/>
      <w:adjustRightInd w:val="0"/>
      <w:spacing w:beforeLines="50"/>
      <w:jc w:val="left"/>
      <w:outlineLvl w:val="1"/>
    </w:pPr>
    <w:rPr>
      <w:rFonts w:ascii="宋体" w:hAnsi="宋体" w:cs="宋体"/>
      <w:b/>
      <w:bCs/>
      <w:sz w:val="32"/>
      <w:szCs w:val="20"/>
    </w:rPr>
  </w:style>
  <w:style w:type="character" w:customStyle="1" w:styleId="4015">
    <w:name w:val="标准 Char"/>
    <w:link w:val="1665"/>
    <w:qFormat/>
    <w:uiPriority w:val="0"/>
    <w:rPr>
      <w:rFonts w:ascii="Times New Roman" w:hAnsi="Times New Roman" w:cs="Times New Roman"/>
      <w:kern w:val="0"/>
      <w:szCs w:val="20"/>
    </w:rPr>
  </w:style>
  <w:style w:type="paragraph" w:customStyle="1" w:styleId="4016">
    <w:name w:val="xl3227"/>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宋体" w:hAnsi="宋体" w:cs="宋体"/>
      <w:b/>
      <w:bCs/>
      <w:kern w:val="0"/>
      <w:sz w:val="20"/>
      <w:szCs w:val="20"/>
    </w:rPr>
  </w:style>
  <w:style w:type="paragraph" w:customStyle="1" w:styleId="4017">
    <w:name w:val="表头文字小"/>
    <w:basedOn w:val="1"/>
    <w:link w:val="4018"/>
    <w:qFormat/>
    <w:uiPriority w:val="0"/>
    <w:pPr>
      <w:ind w:firstLine="31"/>
      <w:jc w:val="left"/>
    </w:pPr>
    <w:rPr>
      <w:rFonts w:ascii="宋体" w:hAnsi="Times New Roman" w:cs="Times New Roman"/>
    </w:rPr>
  </w:style>
  <w:style w:type="character" w:customStyle="1" w:styleId="4018">
    <w:name w:val="表头文字小 Char"/>
    <w:link w:val="4017"/>
    <w:qFormat/>
    <w:uiPriority w:val="0"/>
    <w:rPr>
      <w:rFonts w:ascii="宋体" w:hAnsi="Times New Roman" w:cs="Times New Roman"/>
      <w:szCs w:val="21"/>
    </w:rPr>
  </w:style>
  <w:style w:type="paragraph" w:customStyle="1" w:styleId="4019">
    <w:name w:val="样式 正文2"/>
    <w:basedOn w:val="1"/>
    <w:qFormat/>
    <w:uiPriority w:val="0"/>
    <w:pPr>
      <w:spacing w:line="520" w:lineRule="exact"/>
      <w:ind w:firstLine="480" w:firstLineChars="200"/>
      <w:jc w:val="left"/>
    </w:pPr>
    <w:rPr>
      <w:rFonts w:ascii="Times New Roman" w:hAnsi="Times New Roman" w:cs="宋体"/>
      <w:sz w:val="24"/>
      <w:szCs w:val="20"/>
    </w:rPr>
  </w:style>
  <w:style w:type="paragraph" w:customStyle="1" w:styleId="4020">
    <w:name w:val="xl1594"/>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宋体" w:hAnsi="宋体" w:cs="宋体"/>
      <w:kern w:val="0"/>
      <w:sz w:val="20"/>
      <w:szCs w:val="20"/>
    </w:rPr>
  </w:style>
  <w:style w:type="paragraph" w:customStyle="1" w:styleId="4021">
    <w:name w:val="xl1595"/>
    <w:basedOn w:val="1"/>
    <w:qFormat/>
    <w:uiPriority w:val="0"/>
    <w:pPr>
      <w:widowControl/>
      <w:pBdr>
        <w:top w:val="single" w:color="auto" w:sz="4" w:space="0"/>
        <w:left w:val="single" w:color="auto" w:sz="4" w:space="0"/>
        <w:bottom w:val="single" w:color="auto" w:sz="4" w:space="0"/>
        <w:right w:val="single" w:color="auto" w:sz="4" w:space="0"/>
      </w:pBdr>
      <w:spacing w:beforeAutospacing="1" w:after="100" w:afterAutospacing="1"/>
      <w:jc w:val="center"/>
    </w:pPr>
    <w:rPr>
      <w:rFonts w:ascii="宋体" w:hAnsi="宋体" w:cs="宋体"/>
      <w:kern w:val="0"/>
      <w:sz w:val="20"/>
      <w:szCs w:val="20"/>
    </w:rPr>
  </w:style>
  <w:style w:type="paragraph" w:customStyle="1" w:styleId="4022">
    <w:name w:val="注解"/>
    <w:basedOn w:val="28"/>
    <w:qFormat/>
    <w:uiPriority w:val="0"/>
    <w:pPr>
      <w:spacing w:beforeLines="10" w:line="240" w:lineRule="auto"/>
      <w:ind w:firstLine="0" w:firstLineChars="0"/>
    </w:pPr>
    <w:rPr>
      <w:rFonts w:eastAsiaTheme="minorEastAsia"/>
      <w:b/>
      <w:snapToGrid w:val="0"/>
      <w:kern w:val="0"/>
      <w:sz w:val="21"/>
      <w:szCs w:val="24"/>
    </w:rPr>
  </w:style>
  <w:style w:type="character" w:customStyle="1" w:styleId="4023">
    <w:name w:val="15"/>
    <w:qFormat/>
    <w:uiPriority w:val="0"/>
    <w:rPr>
      <w:rFonts w:hint="default" w:ascii="Times New Roman" w:hAnsi="Times New Roman" w:cs="Times New Roman"/>
      <w:sz w:val="20"/>
      <w:szCs w:val="20"/>
    </w:rPr>
  </w:style>
  <w:style w:type="paragraph" w:customStyle="1" w:styleId="4024">
    <w:name w:val="表内式样"/>
    <w:qFormat/>
    <w:uiPriority w:val="99"/>
    <w:pPr>
      <w:widowControl w:val="0"/>
      <w:spacing w:line="360" w:lineRule="exact"/>
      <w:jc w:val="center"/>
    </w:pPr>
    <w:rPr>
      <w:rFonts w:ascii="宋体" w:hAnsi="宋体" w:eastAsia="宋体" w:cs="Times New Roman"/>
      <w:kern w:val="2"/>
      <w:sz w:val="21"/>
      <w:szCs w:val="24"/>
      <w:lang w:val="en-US" w:eastAsia="zh-CN" w:bidi="ar-SA"/>
    </w:rPr>
  </w:style>
  <w:style w:type="character" w:customStyle="1" w:styleId="4025">
    <w:name w:val="正文缩进（自定义） Char Char1"/>
    <w:link w:val="4026"/>
    <w:qFormat/>
    <w:uiPriority w:val="0"/>
    <w:rPr>
      <w:rFonts w:ascii="宋体"/>
      <w:sz w:val="24"/>
      <w:szCs w:val="24"/>
    </w:rPr>
  </w:style>
  <w:style w:type="paragraph" w:customStyle="1" w:styleId="4026">
    <w:name w:val="正文缩进（自定义） Char"/>
    <w:basedOn w:val="1"/>
    <w:link w:val="4025"/>
    <w:qFormat/>
    <w:uiPriority w:val="0"/>
    <w:pPr>
      <w:adjustRightInd w:val="0"/>
      <w:spacing w:line="360" w:lineRule="auto"/>
      <w:ind w:firstLine="480" w:firstLineChars="200"/>
      <w:jc w:val="left"/>
    </w:pPr>
    <w:rPr>
      <w:rFonts w:ascii="宋体"/>
      <w:sz w:val="24"/>
      <w:szCs w:val="24"/>
    </w:rPr>
  </w:style>
  <w:style w:type="character" w:customStyle="1" w:styleId="4027">
    <w:name w:val="注释标题 Char"/>
    <w:qFormat/>
    <w:uiPriority w:val="0"/>
    <w:rPr>
      <w:sz w:val="26"/>
      <w:szCs w:val="24"/>
    </w:rPr>
  </w:style>
  <w:style w:type="paragraph" w:customStyle="1" w:styleId="4028">
    <w:name w:val="注释标题1"/>
    <w:basedOn w:val="1"/>
    <w:next w:val="1"/>
    <w:qFormat/>
    <w:uiPriority w:val="0"/>
    <w:pPr>
      <w:adjustRightInd w:val="0"/>
      <w:spacing w:line="320" w:lineRule="atLeast"/>
      <w:jc w:val="left"/>
    </w:pPr>
    <w:rPr>
      <w:rFonts w:ascii="Times New Roman" w:hAnsi="Times New Roman" w:eastAsia="宋体" w:cs="Times New Roman"/>
      <w:sz w:val="24"/>
      <w:szCs w:val="24"/>
    </w:rPr>
  </w:style>
  <w:style w:type="character" w:customStyle="1" w:styleId="4029">
    <w:name w:val="自定义正文 Char Char Char Char Char Char"/>
    <w:qFormat/>
    <w:uiPriority w:val="0"/>
    <w:rPr>
      <w:rFonts w:eastAsia="宋体"/>
      <w:kern w:val="2"/>
      <w:position w:val="-28"/>
      <w:sz w:val="28"/>
      <w:szCs w:val="28"/>
      <w:lang w:val="en-US" w:eastAsia="zh-CN" w:bidi="ar-SA"/>
    </w:rPr>
  </w:style>
  <w:style w:type="character" w:customStyle="1" w:styleId="4030">
    <w:name w:val="正文缩进111"/>
    <w:qFormat/>
    <w:uiPriority w:val="0"/>
    <w:rPr>
      <w:rFonts w:ascii="宋体" w:hAnsi="宋体" w:eastAsia="宋体" w:cs="宋体"/>
      <w:kern w:val="2"/>
      <w:sz w:val="24"/>
      <w:szCs w:val="24"/>
      <w:lang w:val="en-US" w:eastAsia="zh-CN" w:bidi="ar-SA"/>
    </w:rPr>
  </w:style>
  <w:style w:type="character" w:customStyle="1" w:styleId="4031">
    <w:name w:val="正文缩进（自定义） Char Char1 Char"/>
    <w:qFormat/>
    <w:uiPriority w:val="0"/>
    <w:rPr>
      <w:rFonts w:ascii="Century Gothic" w:hAnsi="Century Gothic" w:eastAsia="宋体" w:cs="宋体"/>
      <w:sz w:val="24"/>
      <w:szCs w:val="24"/>
      <w:lang w:val="en-US" w:eastAsia="zh-CN" w:bidi="ar-SA"/>
    </w:rPr>
  </w:style>
  <w:style w:type="character" w:customStyle="1" w:styleId="4032">
    <w:name w:val="制表1 Char Char Char"/>
    <w:qFormat/>
    <w:uiPriority w:val="0"/>
    <w:rPr>
      <w:rFonts w:ascii="宋体" w:eastAsia="宋体"/>
      <w:kern w:val="28"/>
      <w:sz w:val="24"/>
      <w:szCs w:val="24"/>
      <w:lang w:val="en-US" w:eastAsia="zh-CN" w:bidi="ar-SA"/>
    </w:rPr>
  </w:style>
  <w:style w:type="character" w:customStyle="1" w:styleId="4033">
    <w:name w:val="正文缩进（自定义） Char Char"/>
    <w:qFormat/>
    <w:uiPriority w:val="0"/>
    <w:rPr>
      <w:rFonts w:ascii="Century Gothic" w:hAnsi="Century Gothic" w:eastAsia="宋体" w:cs="宋体"/>
      <w:sz w:val="24"/>
      <w:szCs w:val="24"/>
      <w:lang w:val="en-US" w:eastAsia="zh-CN" w:bidi="ar-SA"/>
    </w:rPr>
  </w:style>
  <w:style w:type="character" w:customStyle="1" w:styleId="4034">
    <w:name w:val="自定义正文 Char Char Char Char Char"/>
    <w:qFormat/>
    <w:uiPriority w:val="0"/>
    <w:rPr>
      <w:rFonts w:eastAsia="宋体"/>
      <w:kern w:val="2"/>
      <w:position w:val="-28"/>
      <w:sz w:val="28"/>
      <w:szCs w:val="28"/>
      <w:lang w:val="en-US" w:eastAsia="zh-CN" w:bidi="ar-SA"/>
    </w:rPr>
  </w:style>
  <w:style w:type="character" w:customStyle="1" w:styleId="4035">
    <w:name w:val="正文缩进（自定义） Char Char Char Char Char"/>
    <w:qFormat/>
    <w:uiPriority w:val="0"/>
    <w:rPr>
      <w:rFonts w:ascii="Century Gothic" w:hAnsi="Century Gothic" w:eastAsia="宋体" w:cs="宋体"/>
      <w:sz w:val="24"/>
      <w:szCs w:val="24"/>
      <w:lang w:val="en-US" w:eastAsia="zh-CN" w:bidi="ar-SA"/>
    </w:rPr>
  </w:style>
  <w:style w:type="character" w:customStyle="1" w:styleId="4036">
    <w:name w:val="注释标题 Char Char"/>
    <w:qFormat/>
    <w:uiPriority w:val="0"/>
    <w:rPr>
      <w:rFonts w:eastAsia="宋体"/>
      <w:kern w:val="2"/>
      <w:sz w:val="21"/>
      <w:lang w:val="en-US" w:eastAsia="zh-CN" w:bidi="ar-SA"/>
    </w:rPr>
  </w:style>
  <w:style w:type="character" w:customStyle="1" w:styleId="4037">
    <w:name w:val="自定义正文 Char Char Char Char Char Char Char Char Char Char Char Char Char Char Char"/>
    <w:qFormat/>
    <w:uiPriority w:val="0"/>
    <w:rPr>
      <w:rFonts w:eastAsia="宋体"/>
      <w:kern w:val="2"/>
      <w:position w:val="-28"/>
      <w:sz w:val="28"/>
      <w:szCs w:val="28"/>
      <w:lang w:val="en-US" w:eastAsia="zh-CN" w:bidi="ar-SA"/>
    </w:rPr>
  </w:style>
  <w:style w:type="paragraph" w:customStyle="1" w:styleId="4038">
    <w:name w:val="17"/>
    <w:basedOn w:val="1"/>
    <w:next w:val="81"/>
    <w:qFormat/>
    <w:uiPriority w:val="0"/>
    <w:pPr>
      <w:widowControl/>
      <w:spacing w:beforeAutospacing="1" w:after="100" w:afterAutospacing="1"/>
      <w:jc w:val="left"/>
    </w:pPr>
    <w:rPr>
      <w:rFonts w:ascii="Arial Unicode MS" w:hAnsi="Arial Unicode MS" w:eastAsia="Arial Unicode MS" w:cs="Arial Unicode MS"/>
      <w:kern w:val="0"/>
      <w:sz w:val="24"/>
      <w:szCs w:val="24"/>
    </w:rPr>
  </w:style>
  <w:style w:type="paragraph" w:customStyle="1" w:styleId="4039">
    <w:name w:val="13"/>
    <w:basedOn w:val="1"/>
    <w:next w:val="35"/>
    <w:qFormat/>
    <w:uiPriority w:val="0"/>
    <w:pPr>
      <w:adjustRightInd w:val="0"/>
      <w:spacing w:line="360" w:lineRule="auto"/>
      <w:ind w:firstLine="540"/>
      <w:jc w:val="left"/>
      <w:textAlignment w:val="baseline"/>
    </w:pPr>
    <w:rPr>
      <w:rFonts w:ascii="宋体" w:hAnsi="Times New Roman" w:eastAsia="宋体" w:cs="Times New Roman"/>
      <w:spacing w:val="5"/>
      <w:kern w:val="0"/>
      <w:sz w:val="24"/>
      <w:szCs w:val="20"/>
    </w:rPr>
  </w:style>
  <w:style w:type="paragraph" w:customStyle="1" w:styleId="4040">
    <w:name w:val="制表1 Char"/>
    <w:basedOn w:val="1"/>
    <w:qFormat/>
    <w:uiPriority w:val="0"/>
    <w:pPr>
      <w:keepNext/>
      <w:tabs>
        <w:tab w:val="center" w:pos="4675"/>
        <w:tab w:val="right" w:pos="9350"/>
      </w:tabs>
      <w:jc w:val="left"/>
    </w:pPr>
    <w:rPr>
      <w:rFonts w:ascii="宋体" w:hAnsi="Times New Roman" w:eastAsia="宋体" w:cs="Times New Roman"/>
      <w:kern w:val="28"/>
      <w:sz w:val="24"/>
      <w:szCs w:val="24"/>
    </w:rPr>
  </w:style>
  <w:style w:type="paragraph" w:customStyle="1" w:styleId="4041">
    <w:name w:val="自定义正文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4042">
    <w:name w:val="12"/>
    <w:basedOn w:val="1"/>
    <w:next w:val="35"/>
    <w:qFormat/>
    <w:uiPriority w:val="0"/>
    <w:pPr>
      <w:adjustRightInd w:val="0"/>
      <w:spacing w:line="360" w:lineRule="auto"/>
      <w:ind w:firstLine="540"/>
      <w:jc w:val="left"/>
      <w:textAlignment w:val="baseline"/>
    </w:pPr>
    <w:rPr>
      <w:rFonts w:ascii="宋体" w:hAnsi="Times New Roman" w:eastAsia="宋体" w:cs="Times New Roman"/>
      <w:spacing w:val="5"/>
      <w:kern w:val="0"/>
      <w:sz w:val="24"/>
      <w:szCs w:val="20"/>
    </w:rPr>
  </w:style>
  <w:style w:type="paragraph" w:customStyle="1" w:styleId="4043">
    <w:name w:val="11"/>
    <w:basedOn w:val="1"/>
    <w:next w:val="39"/>
    <w:qFormat/>
    <w:uiPriority w:val="0"/>
    <w:pPr>
      <w:ind w:left="113" w:right="113"/>
      <w:jc w:val="left"/>
    </w:pPr>
    <w:rPr>
      <w:rFonts w:ascii="宋体" w:hAnsi="宋体" w:eastAsia="宋体" w:cs="Arial Unicode MS"/>
      <w:color w:val="0000FF"/>
      <w:szCs w:val="24"/>
    </w:rPr>
  </w:style>
  <w:style w:type="paragraph" w:customStyle="1" w:styleId="4044">
    <w:name w:val="正文缩进（自定义） Char Char Char"/>
    <w:basedOn w:val="1"/>
    <w:qFormat/>
    <w:uiPriority w:val="0"/>
    <w:pPr>
      <w:spacing w:after="120" w:line="360" w:lineRule="auto"/>
      <w:ind w:firstLine="480" w:firstLineChars="200"/>
      <w:jc w:val="left"/>
    </w:pPr>
    <w:rPr>
      <w:rFonts w:ascii="Century Gothic" w:hAnsi="Century Gothic" w:eastAsia="宋体" w:cs="Times New Roman"/>
      <w:kern w:val="0"/>
      <w:sz w:val="24"/>
      <w:szCs w:val="24"/>
    </w:rPr>
  </w:style>
  <w:style w:type="paragraph" w:customStyle="1" w:styleId="4045">
    <w:name w:val="注角"/>
    <w:basedOn w:val="1"/>
    <w:next w:val="1"/>
    <w:qFormat/>
    <w:uiPriority w:val="0"/>
    <w:pPr>
      <w:spacing w:line="340" w:lineRule="exact"/>
      <w:jc w:val="left"/>
    </w:pPr>
    <w:rPr>
      <w:rFonts w:ascii="Times New Roman" w:hAnsi="Times New Roman" w:eastAsia="宋体" w:cs="Times New Roman"/>
      <w:szCs w:val="24"/>
    </w:rPr>
  </w:style>
  <w:style w:type="paragraph" w:customStyle="1" w:styleId="4046">
    <w:name w:val="14"/>
    <w:basedOn w:val="1"/>
    <w:next w:val="64"/>
    <w:qFormat/>
    <w:uiPriority w:val="0"/>
    <w:pPr>
      <w:adjustRightInd w:val="0"/>
      <w:spacing w:after="60" w:line="312" w:lineRule="atLeast"/>
      <w:jc w:val="center"/>
      <w:textAlignment w:val="baseline"/>
      <w:outlineLvl w:val="1"/>
    </w:pPr>
    <w:rPr>
      <w:rFonts w:ascii="Arial" w:hAnsi="Arial" w:eastAsia="宋体" w:cs="Arial"/>
      <w:b/>
      <w:bCs/>
      <w:kern w:val="28"/>
      <w:sz w:val="32"/>
      <w:szCs w:val="32"/>
    </w:rPr>
  </w:style>
  <w:style w:type="paragraph" w:customStyle="1" w:styleId="4047">
    <w:name w:val="自定义正文 Char Char Char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4048">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4049">
    <w:name w:val="自定义正文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4050">
    <w:name w:val="作者"/>
    <w:qFormat/>
    <w:uiPriority w:val="0"/>
    <w:pPr>
      <w:spacing w:line="360" w:lineRule="auto"/>
      <w:jc w:val="center"/>
    </w:pPr>
    <w:rPr>
      <w:rFonts w:ascii="仿宋_GB2312" w:hAnsi="Times New Roman" w:eastAsia="仿宋_GB2312" w:cs="Times New Roman"/>
      <w:sz w:val="28"/>
      <w:szCs w:val="28"/>
      <w:lang w:val="en-US" w:eastAsia="zh-CN" w:bidi="ar-SA"/>
    </w:rPr>
  </w:style>
  <w:style w:type="paragraph" w:customStyle="1" w:styleId="4051">
    <w:name w:val="注"/>
    <w:basedOn w:val="1"/>
    <w:qFormat/>
    <w:uiPriority w:val="0"/>
    <w:pPr>
      <w:spacing w:after="40" w:line="288" w:lineRule="auto"/>
      <w:ind w:firstLine="454"/>
      <w:jc w:val="left"/>
    </w:pPr>
    <w:rPr>
      <w:rFonts w:ascii="Times New Roman" w:hAnsi="Times New Roman" w:eastAsia="宋体" w:cs="Times New Roman"/>
      <w:sz w:val="18"/>
      <w:szCs w:val="18"/>
    </w:rPr>
  </w:style>
  <w:style w:type="paragraph" w:customStyle="1" w:styleId="4052">
    <w:name w:val="123"/>
    <w:basedOn w:val="1"/>
    <w:qFormat/>
    <w:uiPriority w:val="0"/>
    <w:pPr>
      <w:spacing w:line="360" w:lineRule="auto"/>
      <w:ind w:firstLine="200" w:firstLineChars="200"/>
      <w:jc w:val="left"/>
    </w:pPr>
    <w:rPr>
      <w:rFonts w:ascii="宋体" w:hAnsi="宋体" w:eastAsia="宋体" w:cs="宋体"/>
      <w:b/>
      <w:sz w:val="24"/>
      <w:szCs w:val="24"/>
    </w:rPr>
  </w:style>
  <w:style w:type="paragraph" w:customStyle="1" w:styleId="4053">
    <w:name w:val="标题 32"/>
    <w:basedOn w:val="1"/>
    <w:qFormat/>
    <w:uiPriority w:val="0"/>
    <w:pPr>
      <w:widowControl/>
      <w:spacing w:after="96" w:line="640" w:lineRule="atLeast"/>
      <w:ind w:firstLine="419"/>
      <w:jc w:val="left"/>
      <w:textAlignment w:val="baseline"/>
    </w:pPr>
    <w:rPr>
      <w:rFonts w:ascii="Times New Roman" w:hAnsi="Times New Roman" w:eastAsia="宋体" w:cs="Times New Roman"/>
      <w:color w:val="000000"/>
      <w:kern w:val="0"/>
      <w:sz w:val="28"/>
      <w:szCs w:val="20"/>
      <w:u w:color="000000"/>
    </w:rPr>
  </w:style>
  <w:style w:type="paragraph" w:customStyle="1" w:styleId="4054">
    <w:name w:val="正文正文正文"/>
    <w:basedOn w:val="1"/>
    <w:qFormat/>
    <w:uiPriority w:val="0"/>
    <w:pPr>
      <w:widowControl/>
      <w:spacing w:line="360" w:lineRule="auto"/>
      <w:ind w:firstLine="480" w:firstLineChars="200"/>
      <w:jc w:val="left"/>
    </w:pPr>
    <w:rPr>
      <w:rFonts w:ascii="Times New Roman" w:hAnsi="Times New Roman" w:eastAsia="宋体" w:cs="Times New Roman"/>
      <w:kern w:val="0"/>
      <w:sz w:val="24"/>
      <w:szCs w:val="24"/>
    </w:rPr>
  </w:style>
  <w:style w:type="paragraph" w:customStyle="1" w:styleId="4055">
    <w:name w:val="字母编号2"/>
    <w:basedOn w:val="1"/>
    <w:qFormat/>
    <w:uiPriority w:val="0"/>
    <w:pPr>
      <w:tabs>
        <w:tab w:val="left" w:pos="817"/>
      </w:tabs>
      <w:spacing w:line="300" w:lineRule="auto"/>
      <w:ind w:firstLine="200" w:firstLineChars="200"/>
      <w:jc w:val="left"/>
      <w:textAlignment w:val="center"/>
    </w:pPr>
    <w:rPr>
      <w:rFonts w:ascii="Times New Roman" w:hAnsi="Times New Roman" w:eastAsia="宋体" w:cs="Times New Roman"/>
      <w:sz w:val="24"/>
      <w:szCs w:val="24"/>
    </w:rPr>
  </w:style>
  <w:style w:type="paragraph" w:customStyle="1" w:styleId="4056">
    <w:name w:val="自正文1"/>
    <w:basedOn w:val="1"/>
    <w:qFormat/>
    <w:uiPriority w:val="0"/>
    <w:pPr>
      <w:tabs>
        <w:tab w:val="left" w:pos="5670"/>
      </w:tabs>
      <w:adjustRightInd w:val="0"/>
      <w:spacing w:line="360" w:lineRule="auto"/>
      <w:ind w:firstLine="9" w:firstLineChars="4"/>
      <w:jc w:val="center"/>
      <w:textAlignment w:val="baseline"/>
    </w:pPr>
    <w:rPr>
      <w:rFonts w:ascii="Times New Roman" w:hAnsi="Times New Roman" w:eastAsia="黑体" w:cs="Times New Roman"/>
      <w:kern w:val="24"/>
    </w:rPr>
  </w:style>
  <w:style w:type="paragraph" w:customStyle="1" w:styleId="4057">
    <w:name w:val="自定义正文"/>
    <w:basedOn w:val="1"/>
    <w:qFormat/>
    <w:uiPriority w:val="0"/>
    <w:pPr>
      <w:adjustRightInd w:val="0"/>
      <w:spacing w:line="360" w:lineRule="auto"/>
      <w:ind w:firstLine="560" w:firstLineChars="200"/>
      <w:jc w:val="left"/>
      <w:textAlignment w:val="baseline"/>
    </w:pPr>
    <w:rPr>
      <w:rFonts w:ascii="宋体" w:hAnsi="宋体" w:eastAsia="宋体" w:cs="Times New Roman"/>
      <w:kern w:val="0"/>
      <w:sz w:val="24"/>
      <w:szCs w:val="20"/>
    </w:rPr>
  </w:style>
  <w:style w:type="paragraph" w:customStyle="1" w:styleId="4058">
    <w:name w:val="18"/>
    <w:basedOn w:val="1"/>
    <w:qFormat/>
    <w:uiPriority w:val="0"/>
    <w:pPr>
      <w:spacing w:line="360" w:lineRule="auto"/>
      <w:ind w:firstLine="200" w:firstLineChars="200"/>
      <w:jc w:val="left"/>
      <w:outlineLvl w:val="3"/>
    </w:pPr>
    <w:rPr>
      <w:rFonts w:ascii="宋体" w:hAnsi="宋体" w:eastAsia="Times New Roman" w:cs="宋体"/>
      <w:sz w:val="24"/>
      <w:szCs w:val="24"/>
    </w:rPr>
  </w:style>
  <w:style w:type="paragraph" w:customStyle="1" w:styleId="4059">
    <w:name w:val="中文报告书样式"/>
    <w:basedOn w:val="1"/>
    <w:qFormat/>
    <w:uiPriority w:val="0"/>
    <w:pPr>
      <w:adjustRightInd w:val="0"/>
      <w:spacing w:line="500" w:lineRule="atLeast"/>
      <w:ind w:firstLine="480"/>
      <w:jc w:val="left"/>
      <w:textAlignment w:val="baseline"/>
    </w:pPr>
    <w:rPr>
      <w:rFonts w:ascii="Times New Roman" w:hAnsi="Times New Roman" w:eastAsia="宋体" w:cs="Times New Roman"/>
      <w:kern w:val="28"/>
      <w:sz w:val="24"/>
      <w:szCs w:val="20"/>
    </w:rPr>
  </w:style>
  <w:style w:type="character" w:customStyle="1" w:styleId="4060">
    <w:name w:val="disabled"/>
    <w:basedOn w:val="132"/>
    <w:qFormat/>
    <w:uiPriority w:val="0"/>
    <w:rPr>
      <w:vanish/>
    </w:rPr>
  </w:style>
  <w:style w:type="character" w:customStyle="1" w:styleId="4061">
    <w:name w:val="znspantitle"/>
    <w:basedOn w:val="132"/>
    <w:qFormat/>
    <w:uiPriority w:val="0"/>
    <w:rPr>
      <w:b/>
      <w:color w:val="333333"/>
    </w:rPr>
  </w:style>
  <w:style w:type="paragraph" w:customStyle="1" w:styleId="4062">
    <w:name w:val="TOC 标题3"/>
    <w:basedOn w:val="3"/>
    <w:next w:val="1"/>
    <w:semiHidden/>
    <w:unhideWhenUsed/>
    <w:qFormat/>
    <w:uiPriority w:val="39"/>
    <w:pPr>
      <w:tabs>
        <w:tab w:val="left" w:pos="0"/>
      </w:tabs>
      <w:adjustRightInd w:val="0"/>
      <w:spacing w:line="578" w:lineRule="atLeast"/>
      <w:jc w:val="left"/>
      <w:outlineLvl w:val="9"/>
    </w:pPr>
    <w:rPr>
      <w:rFonts w:cs="Times New Roman"/>
      <w:color w:val="000000" w:themeColor="text1"/>
      <w14:textFill>
        <w14:solidFill>
          <w14:schemeClr w14:val="tx1"/>
        </w14:solidFill>
      </w14:textFill>
    </w:rPr>
  </w:style>
  <w:style w:type="paragraph" w:customStyle="1" w:styleId="4063">
    <w:name w:val="TOC 标题4"/>
    <w:basedOn w:val="3"/>
    <w:next w:val="1"/>
    <w:semiHidden/>
    <w:unhideWhenUsed/>
    <w:qFormat/>
    <w:uiPriority w:val="39"/>
    <w:pPr>
      <w:tabs>
        <w:tab w:val="left" w:pos="0"/>
      </w:tabs>
      <w:adjustRightInd w:val="0"/>
      <w:spacing w:line="578" w:lineRule="atLeast"/>
      <w:jc w:val="left"/>
      <w:outlineLvl w:val="9"/>
    </w:pPr>
    <w:rPr>
      <w:rFonts w:cs="Times New Roman"/>
      <w:color w:val="000000" w:themeColor="text1"/>
      <w14:textFill>
        <w14:solidFill>
          <w14:schemeClr w14:val="tx1"/>
        </w14:solidFill>
      </w14:textFill>
    </w:rPr>
  </w:style>
  <w:style w:type="paragraph" w:customStyle="1" w:styleId="4064">
    <w:name w:val="TOC 标题5"/>
    <w:basedOn w:val="3"/>
    <w:next w:val="1"/>
    <w:semiHidden/>
    <w:unhideWhenUsed/>
    <w:qFormat/>
    <w:uiPriority w:val="39"/>
    <w:pPr>
      <w:tabs>
        <w:tab w:val="left" w:pos="0"/>
      </w:tabs>
      <w:adjustRightInd w:val="0"/>
      <w:spacing w:line="578" w:lineRule="atLeast"/>
      <w:jc w:val="left"/>
      <w:outlineLvl w:val="9"/>
    </w:pPr>
    <w:rPr>
      <w:rFonts w:cs="Times New Roman"/>
      <w:color w:val="000000" w:themeColor="text1"/>
      <w14:textFill>
        <w14:solidFill>
          <w14:schemeClr w14:val="tx1"/>
        </w14:solidFill>
      </w14:textFill>
    </w:rPr>
  </w:style>
  <w:style w:type="paragraph" w:customStyle="1" w:styleId="4065">
    <w:name w:val="TOC 标题6"/>
    <w:basedOn w:val="3"/>
    <w:next w:val="1"/>
    <w:semiHidden/>
    <w:unhideWhenUsed/>
    <w:qFormat/>
    <w:uiPriority w:val="39"/>
    <w:pPr>
      <w:tabs>
        <w:tab w:val="left" w:pos="0"/>
      </w:tabs>
      <w:adjustRightInd w:val="0"/>
      <w:spacing w:line="578" w:lineRule="atLeast"/>
      <w:jc w:val="left"/>
      <w:outlineLvl w:val="9"/>
    </w:pPr>
    <w:rPr>
      <w:rFonts w:cs="Times New Roman"/>
      <w:color w:val="000000" w:themeColor="text1"/>
      <w14:textFill>
        <w14:solidFill>
          <w14:schemeClr w14:val="tx1"/>
        </w14:solidFill>
      </w14:textFill>
    </w:rPr>
  </w:style>
  <w:style w:type="paragraph" w:customStyle="1" w:styleId="4066">
    <w:name w:val="TOC 标题7"/>
    <w:basedOn w:val="3"/>
    <w:next w:val="1"/>
    <w:semiHidden/>
    <w:unhideWhenUsed/>
    <w:qFormat/>
    <w:uiPriority w:val="39"/>
    <w:pPr>
      <w:tabs>
        <w:tab w:val="left" w:pos="0"/>
      </w:tabs>
      <w:adjustRightInd w:val="0"/>
      <w:spacing w:line="578" w:lineRule="atLeast"/>
      <w:jc w:val="left"/>
      <w:outlineLvl w:val="9"/>
    </w:pPr>
    <w:rPr>
      <w:rFonts w:cs="Times New Roman"/>
      <w:color w:val="000000" w:themeColor="text1"/>
      <w14:textFill>
        <w14:solidFill>
          <w14:schemeClr w14:val="tx1"/>
        </w14:solidFill>
      </w14:textFill>
    </w:rPr>
  </w:style>
  <w:style w:type="paragraph" w:customStyle="1" w:styleId="4067">
    <w:name w:val="TOC 标题8"/>
    <w:basedOn w:val="3"/>
    <w:next w:val="1"/>
    <w:unhideWhenUsed/>
    <w:qFormat/>
    <w:uiPriority w:val="39"/>
    <w:pPr>
      <w:tabs>
        <w:tab w:val="left" w:pos="0"/>
      </w:tabs>
      <w:adjustRightInd w:val="0"/>
      <w:spacing w:line="578" w:lineRule="atLeast"/>
      <w:jc w:val="left"/>
      <w:outlineLvl w:val="9"/>
    </w:pPr>
    <w:rPr>
      <w:rFonts w:cs="Times New Roman"/>
      <w:color w:val="000000" w:themeColor="text1"/>
      <w14:textFill>
        <w14:solidFill>
          <w14:schemeClr w14:val="tx1"/>
        </w14:solidFill>
      </w14:textFill>
    </w:rPr>
  </w:style>
  <w:style w:type="paragraph" w:customStyle="1" w:styleId="4068">
    <w:name w:val="样式40"/>
    <w:basedOn w:val="1"/>
    <w:next w:val="164"/>
    <w:qFormat/>
    <w:uiPriority w:val="0"/>
    <w:pPr>
      <w:adjustRightInd w:val="0"/>
      <w:spacing w:line="360" w:lineRule="auto"/>
      <w:ind w:firstLine="480" w:firstLineChars="200"/>
      <w:jc w:val="left"/>
    </w:pPr>
    <w:rPr>
      <w:rFonts w:ascii="Times New Roman" w:hAnsi="Times New Roman" w:eastAsia="宋体" w:cs="Times New Roman"/>
      <w:color w:val="000000" w:themeColor="text1"/>
      <w:kern w:val="0"/>
      <w:sz w:val="24"/>
      <w:szCs w:val="26"/>
      <w14:textFill>
        <w14:solidFill>
          <w14:schemeClr w14:val="tx1"/>
        </w14:solidFill>
      </w14:textFill>
    </w:rPr>
  </w:style>
  <w:style w:type="character" w:customStyle="1" w:styleId="4069">
    <w:name w:val="未处理的提及2"/>
    <w:basedOn w:val="132"/>
    <w:semiHidden/>
    <w:unhideWhenUsed/>
    <w:qFormat/>
    <w:uiPriority w:val="99"/>
    <w:rPr>
      <w:color w:val="605E5C"/>
      <w:shd w:val="clear" w:color="auto" w:fill="E1DFDD"/>
    </w:rPr>
  </w:style>
  <w:style w:type="paragraph" w:customStyle="1" w:styleId="4070">
    <w:name w:val="Char Char Char Char Char Char Char4"/>
    <w:basedOn w:val="1"/>
    <w:qFormat/>
    <w:uiPriority w:val="0"/>
    <w:pPr>
      <w:adjustRightInd w:val="0"/>
      <w:snapToGrid w:val="0"/>
      <w:spacing w:line="360" w:lineRule="auto"/>
      <w:ind w:firstLine="200" w:firstLineChars="200"/>
    </w:pPr>
    <w:rPr>
      <w:rFonts w:ascii="宋体" w:hAnsi="宋体" w:eastAsia="宋体" w:cs="宋体"/>
      <w:sz w:val="24"/>
      <w:szCs w:val="26"/>
    </w:rPr>
  </w:style>
  <w:style w:type="character" w:customStyle="1" w:styleId="4071">
    <w:name w:val="表格正文 字符"/>
    <w:qFormat/>
    <w:locked/>
    <w:uiPriority w:val="0"/>
    <w:rPr>
      <w:kern w:val="2"/>
      <w:sz w:val="22"/>
      <w:szCs w:val="24"/>
    </w:rPr>
  </w:style>
  <w:style w:type="paragraph" w:customStyle="1" w:styleId="4072">
    <w:name w:val="leo正文"/>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4073">
    <w:name w:val="m表格文字"/>
    <w:qFormat/>
    <w:uiPriority w:val="0"/>
    <w:pPr>
      <w:jc w:val="center"/>
    </w:pPr>
    <w:rPr>
      <w:rFonts w:ascii="Times New Roman" w:hAnsi="Times New Roman" w:eastAsia="宋体" w:cs="Times New Roman"/>
      <w:sz w:val="21"/>
      <w:lang w:val="en-US" w:eastAsia="zh-CN" w:bidi="ar-SA"/>
    </w:rPr>
  </w:style>
  <w:style w:type="paragraph" w:customStyle="1" w:styleId="4074">
    <w:name w:val="LY-图片放置"/>
    <w:qFormat/>
    <w:uiPriority w:val="0"/>
    <w:pPr>
      <w:adjustRightInd w:val="0"/>
      <w:snapToGrid w:val="0"/>
      <w:jc w:val="center"/>
    </w:pPr>
    <w:rPr>
      <w:rFonts w:ascii="Times New Roman" w:hAnsi="Times New Roman" w:eastAsia="宋体" w:cstheme="minorBidi"/>
      <w:kern w:val="2"/>
      <w:sz w:val="24"/>
      <w:szCs w:val="21"/>
      <w:lang w:val="en-US" w:eastAsia="zh-CN" w:bidi="ar-SA"/>
    </w:rPr>
  </w:style>
  <w:style w:type="paragraph" w:customStyle="1" w:styleId="4075">
    <w:name w:val="LY-项目编号01"/>
    <w:qFormat/>
    <w:uiPriority w:val="0"/>
    <w:pPr>
      <w:adjustRightInd w:val="0"/>
      <w:snapToGrid w:val="0"/>
      <w:spacing w:line="360" w:lineRule="auto"/>
      <w:ind w:firstLine="482"/>
      <w:contextualSpacing/>
    </w:pPr>
    <w:rPr>
      <w:rFonts w:ascii="Times New Roman" w:hAnsi="Times New Roman" w:eastAsia="宋体" w:cs="仿宋_GB2312"/>
      <w:kern w:val="2"/>
      <w:sz w:val="24"/>
      <w:szCs w:val="36"/>
      <w:lang w:val="en-US" w:eastAsia="zh-CN" w:bidi="ar-SA"/>
    </w:rPr>
  </w:style>
  <w:style w:type="paragraph" w:customStyle="1" w:styleId="4076">
    <w:name w:val="LY-项目编号02"/>
    <w:qFormat/>
    <w:uiPriority w:val="0"/>
    <w:pPr>
      <w:spacing w:line="360" w:lineRule="auto"/>
      <w:ind w:firstLine="476"/>
    </w:pPr>
    <w:rPr>
      <w:rFonts w:ascii="Times New Roman" w:hAnsi="Times New Roman" w:eastAsia="宋体" w:cstheme="minorBidi"/>
      <w:kern w:val="2"/>
      <w:sz w:val="24"/>
      <w:szCs w:val="21"/>
      <w:lang w:val="en-US" w:eastAsia="zh-CN" w:bidi="ar-SA"/>
    </w:rPr>
  </w:style>
  <w:style w:type="paragraph" w:customStyle="1" w:styleId="4077">
    <w:name w:val="LY-项目编号03"/>
    <w:qFormat/>
    <w:uiPriority w:val="0"/>
    <w:pPr>
      <w:spacing w:line="360" w:lineRule="auto"/>
      <w:ind w:firstLine="200" w:firstLineChars="200"/>
    </w:pPr>
    <w:rPr>
      <w:rFonts w:ascii="Times New Roman" w:hAnsi="Times New Roman" w:eastAsia="宋体" w:cstheme="minorBidi"/>
      <w:kern w:val="2"/>
      <w:sz w:val="24"/>
      <w:szCs w:val="21"/>
      <w:lang w:val="en-US" w:eastAsia="zh-CN" w:bidi="ar-SA"/>
    </w:rPr>
  </w:style>
  <w:style w:type="paragraph" w:customStyle="1" w:styleId="4078">
    <w:name w:val="LY-项目编号04"/>
    <w:qFormat/>
    <w:uiPriority w:val="0"/>
    <w:pPr>
      <w:spacing w:line="360" w:lineRule="auto"/>
      <w:ind w:firstLine="200" w:firstLineChars="200"/>
    </w:pPr>
    <w:rPr>
      <w:rFonts w:ascii="Times New Roman" w:hAnsi="Times New Roman" w:eastAsia="宋体" w:cstheme="minorBidi"/>
      <w:kern w:val="2"/>
      <w:sz w:val="24"/>
      <w:szCs w:val="21"/>
      <w:lang w:val="en-US" w:eastAsia="zh-CN" w:bidi="ar-SA"/>
    </w:rPr>
  </w:style>
  <w:style w:type="character" w:customStyle="1" w:styleId="4079">
    <w:name w:val="普通(网站) Char"/>
    <w:link w:val="81"/>
    <w:qFormat/>
    <w:locked/>
    <w:uiPriority w:val="0"/>
    <w:rPr>
      <w:rFonts w:ascii="宋体" w:hAnsi="宋体" w:eastAsia="宋体" w:cs="Times New Roman"/>
      <w:kern w:val="0"/>
      <w:sz w:val="24"/>
      <w:szCs w:val="24"/>
    </w:rPr>
  </w:style>
  <w:style w:type="paragraph" w:customStyle="1" w:styleId="408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81">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4082">
    <w:name w:val="4小表"/>
    <w:basedOn w:val="1"/>
    <w:qFormat/>
    <w:uiPriority w:val="0"/>
    <w:pPr>
      <w:adjustRightInd w:val="0"/>
      <w:snapToGrid w:val="0"/>
      <w:spacing w:line="320" w:lineRule="exact"/>
      <w:jc w:val="center"/>
    </w:pPr>
    <w:rPr>
      <w:rFonts w:ascii="Times New Roman" w:hAnsi="Times New Roman" w:eastAsia="宋体" w:cs="Times New Roman"/>
      <w:kern w:val="0"/>
      <w:sz w:val="22"/>
    </w:rPr>
  </w:style>
  <w:style w:type="table" w:customStyle="1" w:styleId="4083">
    <w:name w:val="LY-表格"/>
    <w:basedOn w:val="88"/>
    <w:qFormat/>
    <w:uiPriority w:val="99"/>
    <w:pPr>
      <w:jc w:val="center"/>
    </w:pPr>
    <w:tblPr>
      <w:jc w:val="center"/>
      <w:tblBorders>
        <w:top w:val="single" w:color="auto" w:sz="12" w:space="0"/>
        <w:bottom w:val="single" w:color="auto" w:sz="12"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tblStylePr w:type="firstRow">
      <w:rPr>
        <w:b/>
      </w:rPr>
    </w:tblStylePr>
  </w:style>
  <w:style w:type="paragraph" w:customStyle="1" w:styleId="4084">
    <w:name w:val="修订2"/>
    <w:hidden/>
    <w:semiHidden/>
    <w:qFormat/>
    <w:uiPriority w:val="99"/>
    <w:rPr>
      <w:rFonts w:asciiTheme="minorHAnsi" w:hAnsiTheme="minorHAnsi" w:eastAsiaTheme="minorEastAsia" w:cstheme="minorBidi"/>
      <w:kern w:val="2"/>
      <w:sz w:val="21"/>
      <w:szCs w:val="21"/>
      <w:lang w:val="en-US" w:eastAsia="zh-CN" w:bidi="ar-SA"/>
    </w:rPr>
  </w:style>
  <w:style w:type="character" w:customStyle="1" w:styleId="4085">
    <w:name w:val="正 文 Char"/>
    <w:link w:val="4086"/>
    <w:qFormat/>
    <w:uiPriority w:val="0"/>
    <w:rPr>
      <w:sz w:val="24"/>
    </w:rPr>
  </w:style>
  <w:style w:type="paragraph" w:customStyle="1" w:styleId="4086">
    <w:name w:val="正 文"/>
    <w:basedOn w:val="1"/>
    <w:link w:val="4085"/>
    <w:qFormat/>
    <w:uiPriority w:val="0"/>
    <w:pPr>
      <w:adjustRightInd w:val="0"/>
      <w:spacing w:line="360" w:lineRule="auto"/>
      <w:ind w:firstLine="600" w:firstLineChars="200"/>
    </w:pPr>
    <w:rPr>
      <w:rFonts w:ascii="Times New Roman" w:hAnsi="Times New Roman" w:eastAsia="宋体" w:cs="Times New Roman"/>
      <w:kern w:val="0"/>
      <w:sz w:val="24"/>
      <w:szCs w:val="20"/>
    </w:rPr>
  </w:style>
  <w:style w:type="paragraph" w:customStyle="1" w:styleId="4087">
    <w:name w:val="表内字"/>
    <w:basedOn w:val="66"/>
    <w:link w:val="4088"/>
    <w:qFormat/>
    <w:uiPriority w:val="0"/>
    <w:pPr>
      <w:autoSpaceDE w:val="0"/>
      <w:autoSpaceDN w:val="0"/>
      <w:ind w:left="0" w:firstLine="0" w:firstLineChars="0"/>
      <w:jc w:val="center"/>
    </w:pPr>
    <w:rPr>
      <w:rFonts w:eastAsia="宋体" w:cs="Calibri"/>
      <w:sz w:val="21"/>
      <w:szCs w:val="21"/>
    </w:rPr>
  </w:style>
  <w:style w:type="character" w:customStyle="1" w:styleId="4088">
    <w:name w:val="表内字 Char Char"/>
    <w:link w:val="4087"/>
    <w:qFormat/>
    <w:uiPriority w:val="0"/>
    <w:rPr>
      <w:rFonts w:cs="Calibri"/>
      <w:kern w:val="2"/>
      <w:sz w:val="21"/>
      <w:szCs w:val="21"/>
    </w:rPr>
  </w:style>
  <w:style w:type="paragraph" w:customStyle="1" w:styleId="4089">
    <w:name w:val="5号表文"/>
    <w:qFormat/>
    <w:uiPriority w:val="0"/>
    <w:pPr>
      <w:spacing w:line="360" w:lineRule="auto"/>
      <w:ind w:left="720" w:hanging="720"/>
      <w:jc w:val="both"/>
    </w:pPr>
    <w:rPr>
      <w:rFonts w:ascii="宋体" w:hAnsi="Times New Roman" w:eastAsia="宋体" w:cs="Times New Roman"/>
      <w:snapToGrid w:val="0"/>
      <w:sz w:val="18"/>
      <w:lang w:val="en-US" w:eastAsia="zh-CN" w:bidi="ar-SA"/>
    </w:rPr>
  </w:style>
  <w:style w:type="paragraph" w:customStyle="1" w:styleId="4090">
    <w:name w:val="Body text|3"/>
    <w:basedOn w:val="1"/>
    <w:qFormat/>
    <w:uiPriority w:val="0"/>
    <w:pPr>
      <w:adjustRightInd w:val="0"/>
      <w:snapToGrid w:val="0"/>
      <w:spacing w:after="580" w:line="614" w:lineRule="exact"/>
      <w:ind w:right="240" w:firstLine="480" w:firstLineChars="200"/>
      <w:jc w:val="right"/>
    </w:pPr>
    <w:rPr>
      <w:rFonts w:ascii="宋体" w:hAnsi="宋体" w:eastAsia="宋体" w:cs="宋体"/>
      <w:sz w:val="32"/>
      <w:szCs w:val="32"/>
      <w:lang w:val="zh-TW" w:eastAsia="zh-TW" w:bidi="zh-TW"/>
    </w:rPr>
  </w:style>
  <w:style w:type="paragraph" w:customStyle="1" w:styleId="4091">
    <w:name w:val="1正文段落"/>
    <w:basedOn w:val="1"/>
    <w:qFormat/>
    <w:uiPriority w:val="0"/>
    <w:pPr>
      <w:adjustRightInd w:val="0"/>
      <w:snapToGrid w:val="0"/>
      <w:spacing w:line="360" w:lineRule="auto"/>
      <w:ind w:firstLine="480" w:firstLineChars="200"/>
      <w:jc w:val="left"/>
    </w:pPr>
    <w:rPr>
      <w:rFonts w:ascii="宋体" w:hAnsi="宋体" w:eastAsia="Calibri" w:cs="Times New Roman"/>
      <w:snapToGrid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microsoft.com/office/2006/relationships/keyMapCustomizations" Target="customizations.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wmf"/><Relationship Id="rId27" Type="http://schemas.openxmlformats.org/officeDocument/2006/relationships/oleObject" Target="embeddings/oleObject7.bin"/><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wmf"/><Relationship Id="rId23" Type="http://schemas.openxmlformats.org/officeDocument/2006/relationships/oleObject" Target="embeddings/oleObject5.bin"/><Relationship Id="rId22" Type="http://schemas.openxmlformats.org/officeDocument/2006/relationships/image" Target="media/image10.wmf"/><Relationship Id="rId21" Type="http://schemas.openxmlformats.org/officeDocument/2006/relationships/oleObject" Target="embeddings/oleObject4.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自定义 1">
      <a:majorFont>
        <a:latin typeface="宋体"/>
        <a:ea typeface="宋体"/>
        <a:cs typeface=""/>
      </a:majorFont>
      <a:minorFont>
        <a:latin typeface="宋体"/>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win10com.com</Company>
  <Pages>124</Pages>
  <Words>14282</Words>
  <Characters>81412</Characters>
  <Lines>678</Lines>
  <Paragraphs>191</Paragraphs>
  <TotalTime>8</TotalTime>
  <ScaleCrop>false</ScaleCrop>
  <LinksUpToDate>false</LinksUpToDate>
  <CharactersWithSpaces>95503</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2022-09-19T07:37:00Z</dcterms:created>
  <dc:creator>智德</dc:creator>
  <cp:lastModifiedBy>AAA</cp:lastModifiedBy>
  <cp:lastPrinted>2021-12-25T08:21:00Z</cp:lastPrinted>
  <dcterms:modified xsi:type="dcterms:W3CDTF">2025-03-10T11:03:16Z</dcterms:modified>
  <dc:title>01_空港凯帝板式家具项目报告表_V1.0_20211201（送审版）</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42FB6705710D4A318D582021AC553BF2</vt:lpwstr>
  </property>
</Properties>
</file>