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jc w:val="center"/>
        <w:rPr>
          <w:rFonts w:hint="eastAsia" w:ascii="宋体" w:hAnsi="宋体"/>
          <w:sz w:val="36"/>
        </w:rPr>
      </w:pPr>
    </w:p>
    <w:p>
      <w:pPr>
        <w:spacing w:line="400" w:lineRule="exact"/>
        <w:jc w:val="center"/>
        <w:rPr>
          <w:rFonts w:hint="eastAsia" w:ascii="宋体" w:hAnsi="宋体"/>
          <w:sz w:val="36"/>
        </w:rPr>
      </w:pPr>
    </w:p>
    <w:p>
      <w:pPr>
        <w:spacing w:line="400" w:lineRule="exact"/>
        <w:jc w:val="center"/>
        <w:rPr>
          <w:rFonts w:eastAsia="楷体_GB2312"/>
          <w:b/>
          <w:bCs/>
          <w:sz w:val="44"/>
          <w:szCs w:val="44"/>
        </w:rPr>
      </w:pPr>
    </w:p>
    <w:p>
      <w:pPr>
        <w:adjustRightInd w:val="0"/>
        <w:snapToGrid w:val="0"/>
        <w:jc w:val="center"/>
        <w:outlineLvl w:val="0"/>
        <w:rPr>
          <w:rFonts w:hint="eastAsia" w:ascii="方正小标宋_GBK" w:eastAsia="方正小标宋_GBK"/>
          <w:bCs/>
          <w:sz w:val="72"/>
          <w:szCs w:val="72"/>
        </w:rPr>
      </w:pPr>
      <w:r>
        <w:rPr>
          <w:rFonts w:hint="eastAsia" w:ascii="方正小标宋_GBK" w:eastAsia="方正小标宋_GBK"/>
          <w:bCs/>
          <w:sz w:val="72"/>
          <w:szCs w:val="72"/>
        </w:rPr>
        <w:t>建设项目环境影响报告表</w:t>
      </w:r>
    </w:p>
    <w:p>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（污染影响类）</w:t>
      </w:r>
    </w:p>
    <w:p>
      <w:pPr>
        <w:adjustRightInd w:val="0"/>
        <w:snapToGrid w:val="0"/>
        <w:spacing w:before="192" w:beforeLines="80"/>
        <w:jc w:val="center"/>
        <w:rPr>
          <w:rFonts w:hint="default" w:ascii="楷体_GB2312" w:eastAsia="楷体_GB2312"/>
          <w:bCs/>
          <w:sz w:val="48"/>
          <w:szCs w:val="48"/>
          <w:lang w:val="en-US" w:eastAsia="zh-CN"/>
        </w:rPr>
      </w:pPr>
      <w:r>
        <w:rPr>
          <w:rFonts w:hint="eastAsia" w:ascii="楷体_GB2312" w:eastAsia="楷体_GB2312"/>
          <w:bCs/>
          <w:sz w:val="48"/>
          <w:szCs w:val="48"/>
          <w:lang w:eastAsia="zh-CN"/>
        </w:rPr>
        <w:t>（</w:t>
      </w:r>
      <w:r>
        <w:rPr>
          <w:rFonts w:hint="eastAsia" w:ascii="楷体_GB2312" w:eastAsia="楷体_GB2312"/>
          <w:bCs/>
          <w:sz w:val="48"/>
          <w:szCs w:val="48"/>
          <w:lang w:val="en-US" w:eastAsia="zh-CN"/>
        </w:rPr>
        <w:t>公示版）</w:t>
      </w:r>
    </w:p>
    <w:p>
      <w:pPr>
        <w:pStyle w:val="2"/>
        <w:rPr>
          <w:rFonts w:hint="eastAsia"/>
        </w:rPr>
      </w:pPr>
    </w:p>
    <w:p>
      <w:pPr>
        <w:adjustRightInd w:val="0"/>
        <w:snapToGrid w:val="0"/>
        <w:spacing w:line="288" w:lineRule="auto"/>
        <w:jc w:val="center"/>
        <w:outlineLvl w:val="0"/>
        <w:rPr>
          <w:rFonts w:ascii="华文仿宋" w:hAnsi="华文仿宋" w:eastAsia="华文仿宋" w:cs="华文仿宋"/>
          <w:color w:val="000000"/>
          <w:kern w:val="44"/>
          <w:sz w:val="44"/>
          <w:szCs w:val="44"/>
        </w:rPr>
      </w:pPr>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adjustRightInd w:val="0"/>
        <w:snapToGrid w:val="0"/>
        <w:spacing w:line="360" w:lineRule="auto"/>
        <w:rPr>
          <w:rFonts w:hint="eastAsia" w:ascii="仿宋_GB2312" w:eastAsia="仿宋_GB2312"/>
          <w:sz w:val="36"/>
          <w:szCs w:val="36"/>
          <w:u w:val="single"/>
        </w:rPr>
      </w:pPr>
      <w:r>
        <w:rPr>
          <w:rFonts w:hint="eastAsia" w:ascii="仿宋_GB2312" w:eastAsia="仿宋_GB2312"/>
          <w:sz w:val="36"/>
          <w:szCs w:val="36"/>
        </w:rPr>
        <w:t xml:space="preserve">项目名称： </w:t>
      </w:r>
      <w:r>
        <w:rPr>
          <w:rFonts w:hint="eastAsia" w:ascii="仿宋_GB2312" w:eastAsia="仿宋_GB2312"/>
          <w:sz w:val="36"/>
          <w:szCs w:val="36"/>
          <w:u w:val="single"/>
        </w:rPr>
        <w:t xml:space="preserve">  </w:t>
      </w:r>
      <w:r>
        <w:rPr>
          <w:rFonts w:hint="eastAsia" w:ascii="仿宋_GB2312" w:hAnsi="Times New Roman" w:eastAsia="仿宋_GB2312" w:cs="Times New Roman"/>
          <w:color w:val="auto"/>
          <w:sz w:val="36"/>
          <w:szCs w:val="36"/>
          <w:highlight w:val="none"/>
          <w:u w:val="single"/>
          <w:lang w:val="en-US" w:eastAsia="zh-CN"/>
        </w:rPr>
        <w:t xml:space="preserve">年产包装制品100万套生产项目    </w:t>
      </w:r>
      <w:r>
        <w:rPr>
          <w:rFonts w:hint="eastAsia" w:ascii="仿宋_GB2312" w:eastAsia="仿宋_GB2312" w:cs="Times New Roman"/>
          <w:sz w:val="36"/>
          <w:szCs w:val="36"/>
          <w:u w:val="single"/>
          <w:lang w:val="en-US" w:eastAsia="zh-CN"/>
        </w:rPr>
        <w:t xml:space="preserve">    </w:t>
      </w:r>
      <w:r>
        <w:rPr>
          <w:rFonts w:hint="eastAsia" w:ascii="仿宋_GB2312" w:eastAsia="仿宋_GB2312"/>
          <w:sz w:val="36"/>
          <w:szCs w:val="36"/>
          <w:u w:val="single"/>
          <w:lang w:val="en-US" w:eastAsia="zh-CN"/>
        </w:rPr>
        <w:t xml:space="preserve">         </w:t>
      </w:r>
      <w:r>
        <w:rPr>
          <w:rFonts w:hint="eastAsia" w:ascii="仿宋_GB2312" w:eastAsia="仿宋_GB2312"/>
          <w:sz w:val="36"/>
          <w:szCs w:val="36"/>
          <w:u w:val="single"/>
        </w:rPr>
        <w:t xml:space="preserve">   </w:t>
      </w:r>
    </w:p>
    <w:p>
      <w:pPr>
        <w:adjustRightInd w:val="0"/>
        <w:snapToGrid w:val="0"/>
        <w:spacing w:line="360" w:lineRule="auto"/>
        <w:rPr>
          <w:rFonts w:ascii="仿宋_GB2312" w:eastAsia="仿宋_GB2312"/>
          <w:sz w:val="36"/>
          <w:szCs w:val="36"/>
          <w:u w:val="single"/>
        </w:rPr>
      </w:pPr>
      <w:r>
        <w:rPr>
          <w:rFonts w:hint="eastAsia" w:ascii="仿宋_GB2312" w:eastAsia="仿宋_GB2312"/>
          <w:sz w:val="36"/>
          <w:szCs w:val="36"/>
        </w:rPr>
        <w:t>建设单位：</w:t>
      </w:r>
      <w:r>
        <w:rPr>
          <w:rFonts w:hint="eastAsia" w:ascii="仿宋_GB2312" w:eastAsia="仿宋_GB2312"/>
          <w:sz w:val="36"/>
          <w:szCs w:val="36"/>
          <w:u w:val="single"/>
        </w:rPr>
        <w:t xml:space="preserve"> </w:t>
      </w:r>
      <w:r>
        <w:rPr>
          <w:rFonts w:hint="eastAsia" w:ascii="仿宋_GB2312" w:eastAsia="仿宋_GB2312"/>
          <w:sz w:val="36"/>
          <w:szCs w:val="36"/>
          <w:u w:val="single"/>
          <w:lang w:val="en-US" w:eastAsia="zh-CN"/>
        </w:rPr>
        <w:t xml:space="preserve">  </w:t>
      </w:r>
      <w:r>
        <w:rPr>
          <w:rFonts w:hint="eastAsia" w:ascii="仿宋_GB2312" w:eastAsia="仿宋_GB2312" w:cs="Times New Roman"/>
          <w:color w:val="auto"/>
          <w:sz w:val="36"/>
          <w:szCs w:val="36"/>
          <w:highlight w:val="none"/>
          <w:u w:val="single"/>
          <w:lang w:val="en-US" w:eastAsia="zh-CN"/>
        </w:rPr>
        <w:t xml:space="preserve">重庆翔达包装制品有限公司                         </w:t>
      </w:r>
      <w:r>
        <w:rPr>
          <w:rFonts w:hint="eastAsia" w:ascii="仿宋_GB2312" w:eastAsia="仿宋_GB2312" w:cs="Times New Roman"/>
          <w:sz w:val="36"/>
          <w:szCs w:val="36"/>
          <w:u w:val="single"/>
          <w:lang w:val="en-US" w:eastAsia="zh-CN"/>
        </w:rPr>
        <w:t xml:space="preserve">   </w:t>
      </w:r>
      <w:r>
        <w:rPr>
          <w:rFonts w:hint="eastAsia" w:ascii="仿宋_GB2312" w:hAnsi="Times New Roman" w:eastAsia="仿宋_GB2312" w:cs="Times New Roman"/>
          <w:sz w:val="36"/>
          <w:szCs w:val="36"/>
          <w:u w:val="single"/>
          <w:lang w:val="en-US" w:eastAsia="zh-CN"/>
        </w:rPr>
        <w:t xml:space="preserve">  </w:t>
      </w:r>
      <w:r>
        <w:rPr>
          <w:rFonts w:hint="eastAsia" w:ascii="仿宋_GB2312" w:hAnsi="Times New Roman" w:eastAsia="仿宋_GB2312" w:cs="Times New Roman"/>
          <w:sz w:val="36"/>
          <w:szCs w:val="36"/>
          <w:u w:val="single"/>
        </w:rPr>
        <w:t xml:space="preserve"> </w:t>
      </w:r>
      <w:r>
        <w:rPr>
          <w:rFonts w:hint="eastAsia" w:ascii="仿宋_GB2312" w:hAnsi="Times New Roman" w:eastAsia="仿宋_GB2312" w:cs="Times New Roman"/>
          <w:sz w:val="36"/>
          <w:szCs w:val="36"/>
          <w:u w:val="single"/>
          <w:lang w:val="en-US" w:eastAsia="zh-CN"/>
        </w:rPr>
        <w:t xml:space="preserve">  </w:t>
      </w:r>
      <w:r>
        <w:rPr>
          <w:rFonts w:hint="eastAsia" w:ascii="仿宋_GB2312" w:eastAsia="仿宋_GB2312"/>
          <w:sz w:val="36"/>
          <w:szCs w:val="36"/>
          <w:u w:val="single"/>
        </w:rPr>
        <w:t xml:space="preserve"> </w:t>
      </w:r>
    </w:p>
    <w:p>
      <w:pPr>
        <w:adjustRightInd w:val="0"/>
        <w:snapToGrid w:val="0"/>
        <w:spacing w:line="360" w:lineRule="auto"/>
        <w:rPr>
          <w:rFonts w:hint="eastAsia" w:ascii="仿宋_GB2312" w:eastAsia="仿宋_GB2312"/>
          <w:sz w:val="36"/>
          <w:szCs w:val="36"/>
          <w:u w:val="single"/>
        </w:rPr>
      </w:pPr>
      <w:r>
        <w:rPr>
          <w:rFonts w:hint="eastAsia" w:ascii="仿宋_GB2312" w:eastAsia="仿宋_GB2312"/>
          <w:sz w:val="36"/>
          <w:szCs w:val="36"/>
        </w:rPr>
        <w:t>编制日期：</w:t>
      </w:r>
      <w:r>
        <w:rPr>
          <w:rFonts w:hint="eastAsia" w:ascii="仿宋_GB2312" w:eastAsia="仿宋_GB2312"/>
          <w:sz w:val="36"/>
          <w:szCs w:val="36"/>
          <w:u w:val="single"/>
        </w:rPr>
        <w:t xml:space="preserve"> </w:t>
      </w:r>
      <w:r>
        <w:rPr>
          <w:rFonts w:ascii="仿宋_GB2312" w:eastAsia="仿宋_GB2312"/>
          <w:sz w:val="36"/>
          <w:szCs w:val="36"/>
          <w:u w:val="single"/>
        </w:rPr>
        <w:t xml:space="preserve"> </w:t>
      </w:r>
      <w:r>
        <w:rPr>
          <w:rFonts w:hint="eastAsia" w:ascii="仿宋_GB2312" w:eastAsia="仿宋_GB2312"/>
          <w:sz w:val="36"/>
          <w:szCs w:val="36"/>
          <w:u w:val="single"/>
          <w:lang w:val="en-US" w:eastAsia="zh-CN"/>
        </w:rPr>
        <w:t xml:space="preserve"> 2023年5月</w:t>
      </w:r>
      <w:r>
        <w:rPr>
          <w:rFonts w:ascii="仿宋_GB2312" w:eastAsia="仿宋_GB2312"/>
          <w:sz w:val="36"/>
          <w:szCs w:val="36"/>
          <w:u w:val="single"/>
        </w:rPr>
        <w:t xml:space="preserve">     </w:t>
      </w:r>
      <w:r>
        <w:rPr>
          <w:rFonts w:hint="eastAsia" w:ascii="仿宋_GB2312" w:eastAsia="仿宋_GB2312"/>
          <w:sz w:val="36"/>
          <w:szCs w:val="36"/>
          <w:u w:val="single"/>
          <w:lang w:val="en-US" w:eastAsia="zh-CN"/>
        </w:rPr>
        <w:t xml:space="preserve">   </w:t>
      </w:r>
      <w:r>
        <w:rPr>
          <w:rFonts w:ascii="仿宋_GB2312" w:eastAsia="仿宋_GB2312"/>
          <w:sz w:val="36"/>
          <w:szCs w:val="36"/>
          <w:u w:val="single"/>
        </w:rPr>
        <w:t xml:space="preserve"> </w:t>
      </w:r>
      <w:r>
        <w:rPr>
          <w:rFonts w:hint="eastAsia" w:ascii="仿宋_GB2312" w:eastAsia="仿宋_GB2312"/>
          <w:sz w:val="36"/>
          <w:szCs w:val="36"/>
          <w:u w:val="single"/>
          <w:lang w:val="en-US" w:eastAsia="zh-CN"/>
        </w:rPr>
        <w:t xml:space="preserve">   </w:t>
      </w:r>
      <w:r>
        <w:rPr>
          <w:rFonts w:ascii="仿宋_GB2312" w:eastAsia="仿宋_GB2312"/>
          <w:sz w:val="36"/>
          <w:szCs w:val="36"/>
          <w:u w:val="single"/>
        </w:rPr>
        <w:t xml:space="preserve">  </w:t>
      </w:r>
      <w:r>
        <w:rPr>
          <w:rFonts w:hint="eastAsia" w:ascii="仿宋_GB2312" w:eastAsia="仿宋_GB2312"/>
          <w:sz w:val="36"/>
          <w:szCs w:val="36"/>
          <w:u w:val="single"/>
          <w:lang w:val="en-US" w:eastAsia="zh-CN"/>
        </w:rPr>
        <w:t xml:space="preserve">                    </w:t>
      </w:r>
      <w:r>
        <w:rPr>
          <w:rFonts w:ascii="仿宋_GB2312" w:eastAsia="仿宋_GB2312"/>
          <w:sz w:val="36"/>
          <w:szCs w:val="36"/>
          <w:u w:val="single"/>
        </w:rPr>
        <w:t xml:space="preserve"> </w:t>
      </w:r>
      <w:r>
        <w:rPr>
          <w:rFonts w:hint="eastAsia" w:ascii="仿宋_GB2312" w:eastAsia="仿宋_GB2312"/>
          <w:sz w:val="36"/>
          <w:szCs w:val="36"/>
          <w:u w:val="single"/>
        </w:rPr>
        <w:t xml:space="preserve"> </w:t>
      </w:r>
    </w:p>
    <w:p>
      <w:pPr>
        <w:adjustRightInd w:val="0"/>
        <w:snapToGrid w:val="0"/>
        <w:spacing w:line="288" w:lineRule="auto"/>
        <w:ind w:firstLine="1040"/>
        <w:rPr>
          <w:rFonts w:ascii="仿宋_GB2312" w:eastAsia="仿宋_GB2312"/>
          <w:sz w:val="36"/>
          <w:szCs w:val="36"/>
          <w:u w:val="single"/>
        </w:rPr>
      </w:pPr>
      <w:bookmarkStart w:id="0" w:name="_Hlk57884087"/>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hint="eastAsia" w:ascii="仿宋_GB2312" w:eastAsia="仿宋_GB2312"/>
          <w:sz w:val="36"/>
          <w:szCs w:val="36"/>
        </w:rPr>
      </w:pPr>
    </w:p>
    <w:bookmarkEnd w:id="0"/>
    <w:p>
      <w:pPr>
        <w:adjustRightInd w:val="0"/>
        <w:snapToGrid w:val="0"/>
        <w:spacing w:line="288" w:lineRule="auto"/>
        <w:jc w:val="center"/>
        <w:rPr>
          <w:rFonts w:hint="eastAsia" w:ascii="楷体_GB2312" w:eastAsia="楷体_GB2312"/>
          <w:sz w:val="36"/>
          <w:szCs w:val="36"/>
        </w:rPr>
      </w:pPr>
      <w:r>
        <w:rPr>
          <w:rFonts w:hint="eastAsia" w:ascii="楷体_GB2312" w:eastAsia="楷体_GB2312"/>
          <w:sz w:val="36"/>
          <w:szCs w:val="36"/>
        </w:rPr>
        <w:t>中华人民共和国生态环境部制</w:t>
      </w:r>
    </w:p>
    <w:p>
      <w:pPr>
        <w:rPr>
          <w:rFonts w:hint="eastAsia" w:eastAsia="宋体"/>
          <w:lang w:eastAsia="zh-CN"/>
        </w:rPr>
      </w:pPr>
      <w:r>
        <w:rPr>
          <w:rFonts w:hint="eastAsia" w:eastAsia="宋体"/>
          <w:lang w:eastAsia="zh-CN"/>
        </w:rPr>
        <w:drawing>
          <wp:inline distT="0" distB="0" distL="114300" distR="114300">
            <wp:extent cx="5684520" cy="8042275"/>
            <wp:effectExtent l="0" t="0" r="11430" b="15875"/>
            <wp:docPr id="10" name="图片 10" descr="2-编制人员情况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编制人员情况表"/>
                    <pic:cNvPicPr>
                      <a:picLocks noChangeAspect="1"/>
                    </pic:cNvPicPr>
                  </pic:nvPicPr>
                  <pic:blipFill>
                    <a:blip r:embed="rId5"/>
                    <a:stretch>
                      <a:fillRect/>
                    </a:stretch>
                  </pic:blipFill>
                  <pic:spPr>
                    <a:xfrm>
                      <a:off x="0" y="0"/>
                      <a:ext cx="5684520" cy="8042275"/>
                    </a:xfrm>
                    <a:prstGeom prst="rect">
                      <a:avLst/>
                    </a:prstGeom>
                  </pic:spPr>
                </pic:pic>
              </a:graphicData>
            </a:graphic>
          </wp:inline>
        </w:drawing>
      </w:r>
      <w:bookmarkStart w:id="4" w:name="_GoBack"/>
      <w:r>
        <w:rPr>
          <w:rFonts w:hint="eastAsia" w:eastAsia="宋体"/>
          <w:lang w:eastAsia="zh-CN"/>
        </w:rPr>
        <w:drawing>
          <wp:inline distT="0" distB="0" distL="114300" distR="114300">
            <wp:extent cx="5661660" cy="8492490"/>
            <wp:effectExtent l="0" t="0" r="15240" b="3810"/>
            <wp:docPr id="12" name="图片 12" descr="3-编制承诺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编制承诺书"/>
                    <pic:cNvPicPr>
                      <a:picLocks noChangeAspect="1"/>
                    </pic:cNvPicPr>
                  </pic:nvPicPr>
                  <pic:blipFill>
                    <a:blip r:embed="rId6"/>
                    <a:stretch>
                      <a:fillRect/>
                    </a:stretch>
                  </pic:blipFill>
                  <pic:spPr>
                    <a:xfrm>
                      <a:off x="0" y="0"/>
                      <a:ext cx="5661660" cy="8492490"/>
                    </a:xfrm>
                    <a:prstGeom prst="rect">
                      <a:avLst/>
                    </a:prstGeom>
                  </pic:spPr>
                </pic:pic>
              </a:graphicData>
            </a:graphic>
          </wp:inline>
        </w:drawing>
      </w:r>
      <w:bookmarkEnd w:id="4"/>
    </w:p>
    <w:p>
      <w:pPr>
        <w:rPr>
          <w:rFonts w:hint="eastAsia" w:eastAsia="宋体"/>
          <w:lang w:eastAsia="zh-CN"/>
        </w:rPr>
      </w:pPr>
      <w:r>
        <w:rPr>
          <w:rFonts w:hint="eastAsia" w:eastAsia="宋体"/>
          <w:lang w:eastAsia="zh-CN"/>
        </w:rPr>
        <w:drawing>
          <wp:inline distT="0" distB="0" distL="114300" distR="114300">
            <wp:extent cx="5829300" cy="8547735"/>
            <wp:effectExtent l="0" t="0" r="0" b="5715"/>
            <wp:docPr id="2" name="图片 2" descr="4-公示确认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公示确认函"/>
                    <pic:cNvPicPr>
                      <a:picLocks noChangeAspect="1"/>
                    </pic:cNvPicPr>
                  </pic:nvPicPr>
                  <pic:blipFill>
                    <a:blip r:embed="rId7"/>
                    <a:stretch>
                      <a:fillRect/>
                    </a:stretch>
                  </pic:blipFill>
                  <pic:spPr>
                    <a:xfrm>
                      <a:off x="0" y="0"/>
                      <a:ext cx="5829300" cy="8547735"/>
                    </a:xfrm>
                    <a:prstGeom prst="rect">
                      <a:avLst/>
                    </a:prstGeom>
                  </pic:spPr>
                </pic:pic>
              </a:graphicData>
            </a:graphic>
          </wp:inline>
        </w:drawing>
      </w:r>
      <w:r>
        <w:rPr>
          <w:rFonts w:hint="eastAsia" w:eastAsia="宋体"/>
          <w:lang w:eastAsia="zh-CN"/>
        </w:rPr>
        <w:drawing>
          <wp:inline distT="0" distB="0" distL="114300" distR="114300">
            <wp:extent cx="5958840" cy="8555355"/>
            <wp:effectExtent l="0" t="0" r="3810" b="17145"/>
            <wp:docPr id="9" name="图片 9" descr="5-公示确认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公示确认表"/>
                    <pic:cNvPicPr>
                      <a:picLocks noChangeAspect="1"/>
                    </pic:cNvPicPr>
                  </pic:nvPicPr>
                  <pic:blipFill>
                    <a:blip r:embed="rId8"/>
                    <a:stretch>
                      <a:fillRect/>
                    </a:stretch>
                  </pic:blipFill>
                  <pic:spPr>
                    <a:xfrm>
                      <a:off x="0" y="0"/>
                      <a:ext cx="5958840" cy="8555355"/>
                    </a:xfrm>
                    <a:prstGeom prst="rect">
                      <a:avLst/>
                    </a:prstGeom>
                  </pic:spPr>
                </pic:pic>
              </a:graphicData>
            </a:graphic>
          </wp:inline>
        </w:drawing>
      </w:r>
    </w:p>
    <w:p>
      <w:pPr>
        <w:pStyle w:val="13"/>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一、建设项目基本情况</w:t>
      </w:r>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91"/>
        <w:gridCol w:w="3237"/>
        <w:gridCol w:w="1915"/>
        <w:gridCol w:w="27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91" w:type="dxa"/>
            <w:noWrap w:val="0"/>
            <w:tcMar>
              <w:top w:w="16" w:type="dxa"/>
              <w:left w:w="16" w:type="dxa"/>
              <w:right w:w="16" w:type="dxa"/>
            </w:tcMar>
            <w:vAlign w:val="center"/>
          </w:tcPr>
          <w:p>
            <w:pPr>
              <w:adjustRightInd w:val="0"/>
              <w:snapToGrid w:val="0"/>
              <w:jc w:val="center"/>
              <w:rPr>
                <w:color w:val="auto"/>
                <w:sz w:val="24"/>
              </w:rPr>
            </w:pPr>
            <w:r>
              <w:rPr>
                <w:color w:val="auto"/>
                <w:sz w:val="24"/>
              </w:rPr>
              <w:t>建设项目名称</w:t>
            </w:r>
          </w:p>
        </w:tc>
        <w:tc>
          <w:tcPr>
            <w:tcW w:w="7879" w:type="dxa"/>
            <w:gridSpan w:val="3"/>
            <w:noWrap w:val="0"/>
            <w:vAlign w:val="center"/>
          </w:tcPr>
          <w:p>
            <w:pPr>
              <w:adjustRightInd w:val="0"/>
              <w:snapToGrid w:val="0"/>
              <w:jc w:val="center"/>
              <w:rPr>
                <w:rFonts w:hint="default" w:eastAsia="宋体"/>
                <w:color w:val="auto"/>
                <w:sz w:val="24"/>
                <w:highlight w:val="yellow"/>
                <w:lang w:val="en-US" w:eastAsia="zh-CN"/>
              </w:rPr>
            </w:pPr>
            <w:r>
              <w:rPr>
                <w:rFonts w:hint="eastAsia"/>
                <w:color w:val="auto"/>
                <w:sz w:val="24"/>
                <w:highlight w:val="none"/>
                <w:lang w:val="en-US" w:eastAsia="zh-CN"/>
              </w:rPr>
              <w:t>年产包装制品100万套生产项目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91" w:type="dxa"/>
            <w:noWrap w:val="0"/>
            <w:tcMar>
              <w:top w:w="16" w:type="dxa"/>
              <w:left w:w="16" w:type="dxa"/>
              <w:right w:w="16" w:type="dxa"/>
            </w:tcMar>
            <w:vAlign w:val="center"/>
          </w:tcPr>
          <w:p>
            <w:pPr>
              <w:adjustRightInd w:val="0"/>
              <w:snapToGrid w:val="0"/>
              <w:jc w:val="center"/>
              <w:rPr>
                <w:color w:val="auto"/>
                <w:sz w:val="24"/>
              </w:rPr>
            </w:pPr>
            <w:r>
              <w:rPr>
                <w:color w:val="auto"/>
                <w:sz w:val="24"/>
              </w:rPr>
              <w:t>项目</w:t>
            </w:r>
          </w:p>
          <w:p>
            <w:pPr>
              <w:adjustRightInd w:val="0"/>
              <w:snapToGrid w:val="0"/>
              <w:jc w:val="center"/>
              <w:rPr>
                <w:color w:val="auto"/>
                <w:sz w:val="24"/>
              </w:rPr>
            </w:pPr>
            <w:r>
              <w:rPr>
                <w:color w:val="auto"/>
                <w:sz w:val="24"/>
              </w:rPr>
              <w:t>代码</w:t>
            </w:r>
          </w:p>
        </w:tc>
        <w:tc>
          <w:tcPr>
            <w:tcW w:w="7879" w:type="dxa"/>
            <w:gridSpan w:val="3"/>
            <w:noWrap w:val="0"/>
            <w:vAlign w:val="center"/>
          </w:tcPr>
          <w:p>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2303-500151-04-05-565483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91" w:type="dxa"/>
            <w:noWrap w:val="0"/>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建设单位联系人</w:t>
            </w:r>
          </w:p>
        </w:tc>
        <w:tc>
          <w:tcPr>
            <w:tcW w:w="3237" w:type="dxa"/>
            <w:noWrap w:val="0"/>
            <w:vAlign w:val="center"/>
          </w:tcPr>
          <w:p>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夏吉友</w:t>
            </w:r>
          </w:p>
        </w:tc>
        <w:tc>
          <w:tcPr>
            <w:tcW w:w="1915" w:type="dxa"/>
            <w:noWrap w:val="0"/>
            <w:vAlign w:val="center"/>
          </w:tcPr>
          <w:p>
            <w:pPr>
              <w:adjustRightInd w:val="0"/>
              <w:snapToGrid w:val="0"/>
              <w:jc w:val="center"/>
              <w:rPr>
                <w:color w:val="auto"/>
                <w:sz w:val="24"/>
                <w:highlight w:val="none"/>
              </w:rPr>
            </w:pPr>
            <w:r>
              <w:rPr>
                <w:color w:val="auto"/>
                <w:sz w:val="24"/>
                <w:highlight w:val="none"/>
              </w:rPr>
              <w:t>联系方式</w:t>
            </w:r>
          </w:p>
        </w:tc>
        <w:tc>
          <w:tcPr>
            <w:tcW w:w="2727" w:type="dxa"/>
            <w:noWrap w:val="0"/>
            <w:vAlign w:val="center"/>
          </w:tcPr>
          <w:p>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151********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91" w:type="dxa"/>
            <w:noWrap w:val="0"/>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建设</w:t>
            </w:r>
          </w:p>
          <w:p>
            <w:pPr>
              <w:adjustRightInd w:val="0"/>
              <w:snapToGrid w:val="0"/>
              <w:jc w:val="center"/>
              <w:rPr>
                <w:color w:val="auto"/>
                <w:sz w:val="24"/>
                <w:highlight w:val="none"/>
              </w:rPr>
            </w:pPr>
            <w:r>
              <w:rPr>
                <w:color w:val="auto"/>
                <w:sz w:val="24"/>
                <w:highlight w:val="none"/>
              </w:rPr>
              <w:t>地点</w:t>
            </w:r>
          </w:p>
        </w:tc>
        <w:tc>
          <w:tcPr>
            <w:tcW w:w="7879" w:type="dxa"/>
            <w:gridSpan w:val="3"/>
            <w:noWrap w:val="0"/>
            <w:vAlign w:val="center"/>
          </w:tcPr>
          <w:p>
            <w:pPr>
              <w:adjustRightInd w:val="0"/>
              <w:snapToGrid w:val="0"/>
              <w:jc w:val="center"/>
              <w:rPr>
                <w:rFonts w:hint="default" w:eastAsia="宋体"/>
                <w:color w:val="auto"/>
                <w:sz w:val="24"/>
                <w:highlight w:val="none"/>
                <w:lang w:val="en-US" w:eastAsia="zh-CN"/>
              </w:rPr>
            </w:pPr>
            <w:r>
              <w:rPr>
                <w:rFonts w:hint="eastAsia"/>
                <w:color w:val="auto"/>
                <w:sz w:val="24"/>
                <w:highlight w:val="none"/>
              </w:rPr>
              <w:t>重庆市</w:t>
            </w:r>
            <w:r>
              <w:rPr>
                <w:rFonts w:hint="eastAsia"/>
                <w:color w:val="auto"/>
                <w:sz w:val="24"/>
                <w:highlight w:val="none"/>
                <w:lang w:val="en-US" w:eastAsia="zh-CN"/>
              </w:rPr>
              <w:t>铜梁区侣俸镇工业园区创业路2号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91" w:type="dxa"/>
            <w:noWrap w:val="0"/>
            <w:tcMar>
              <w:top w:w="16" w:type="dxa"/>
              <w:left w:w="16" w:type="dxa"/>
              <w:right w:w="16" w:type="dxa"/>
            </w:tcMar>
            <w:vAlign w:val="center"/>
          </w:tcPr>
          <w:p>
            <w:pPr>
              <w:adjustRightInd w:val="0"/>
              <w:snapToGrid w:val="0"/>
              <w:jc w:val="center"/>
              <w:rPr>
                <w:color w:val="auto"/>
                <w:sz w:val="24"/>
              </w:rPr>
            </w:pPr>
            <w:r>
              <w:rPr>
                <w:color w:val="auto"/>
                <w:sz w:val="24"/>
              </w:rPr>
              <w:t>地理</w:t>
            </w:r>
          </w:p>
          <w:p>
            <w:pPr>
              <w:adjustRightInd w:val="0"/>
              <w:snapToGrid w:val="0"/>
              <w:jc w:val="center"/>
              <w:rPr>
                <w:color w:val="auto"/>
                <w:sz w:val="24"/>
              </w:rPr>
            </w:pPr>
            <w:r>
              <w:rPr>
                <w:color w:val="auto"/>
                <w:sz w:val="24"/>
              </w:rPr>
              <w:t>坐标</w:t>
            </w:r>
          </w:p>
        </w:tc>
        <w:tc>
          <w:tcPr>
            <w:tcW w:w="7879" w:type="dxa"/>
            <w:gridSpan w:val="3"/>
            <w:noWrap w:val="0"/>
            <w:vAlign w:val="center"/>
          </w:tcPr>
          <w:p>
            <w:pPr>
              <w:jc w:val="center"/>
              <w:rPr>
                <w:color w:val="auto"/>
                <w:sz w:val="24"/>
              </w:rPr>
            </w:pPr>
            <w:r>
              <w:rPr>
                <w:color w:val="auto"/>
                <w:sz w:val="24"/>
                <w:highlight w:val="none"/>
              </w:rPr>
              <w:t>（</w:t>
            </w:r>
            <w:r>
              <w:rPr>
                <w:color w:val="auto"/>
                <w:sz w:val="24"/>
                <w:highlight w:val="none"/>
                <w:u w:val="single"/>
              </w:rPr>
              <w:t>1</w:t>
            </w:r>
            <w:r>
              <w:rPr>
                <w:rFonts w:hint="eastAsia"/>
                <w:color w:val="auto"/>
                <w:sz w:val="24"/>
                <w:highlight w:val="none"/>
                <w:u w:val="single"/>
                <w:lang w:val="en-US" w:eastAsia="zh-CN"/>
              </w:rPr>
              <w:t>05</w:t>
            </w:r>
            <w:r>
              <w:rPr>
                <w:color w:val="auto"/>
                <w:sz w:val="24"/>
                <w:highlight w:val="none"/>
              </w:rPr>
              <w:t>度</w:t>
            </w:r>
            <w:r>
              <w:rPr>
                <w:rFonts w:hint="eastAsia"/>
                <w:color w:val="auto"/>
                <w:sz w:val="24"/>
                <w:highlight w:val="none"/>
                <w:u w:val="single"/>
                <w:lang w:val="en-US" w:eastAsia="zh-CN"/>
              </w:rPr>
              <w:t>58</w:t>
            </w:r>
            <w:r>
              <w:rPr>
                <w:color w:val="auto"/>
                <w:sz w:val="24"/>
                <w:highlight w:val="none"/>
              </w:rPr>
              <w:t>分</w:t>
            </w:r>
            <w:r>
              <w:rPr>
                <w:rFonts w:hint="eastAsia"/>
                <w:color w:val="auto"/>
                <w:sz w:val="24"/>
                <w:highlight w:val="none"/>
                <w:u w:val="single"/>
                <w:lang w:val="en-US" w:eastAsia="zh-CN"/>
              </w:rPr>
              <w:t>56.29521</w:t>
            </w:r>
            <w:r>
              <w:rPr>
                <w:color w:val="auto"/>
                <w:sz w:val="24"/>
                <w:highlight w:val="none"/>
              </w:rPr>
              <w:t>秒，</w:t>
            </w:r>
            <w:r>
              <w:rPr>
                <w:color w:val="auto"/>
                <w:sz w:val="24"/>
                <w:highlight w:val="none"/>
                <w:u w:val="single"/>
              </w:rPr>
              <w:t>2</w:t>
            </w:r>
            <w:r>
              <w:rPr>
                <w:rFonts w:hint="eastAsia"/>
                <w:color w:val="auto"/>
                <w:sz w:val="24"/>
                <w:highlight w:val="none"/>
                <w:u w:val="single"/>
                <w:lang w:val="en-US" w:eastAsia="zh-CN"/>
              </w:rPr>
              <w:t>9</w:t>
            </w:r>
            <w:r>
              <w:rPr>
                <w:color w:val="auto"/>
                <w:sz w:val="24"/>
                <w:highlight w:val="none"/>
              </w:rPr>
              <w:t>度</w:t>
            </w:r>
            <w:r>
              <w:rPr>
                <w:rFonts w:hint="eastAsia" w:cs="Times New Roman"/>
                <w:color w:val="auto"/>
                <w:sz w:val="24"/>
                <w:highlight w:val="none"/>
                <w:u w:val="single"/>
                <w:lang w:val="en-US" w:eastAsia="zh-CN"/>
              </w:rPr>
              <w:t>51</w:t>
            </w:r>
            <w:r>
              <w:rPr>
                <w:color w:val="auto"/>
                <w:sz w:val="24"/>
                <w:highlight w:val="none"/>
              </w:rPr>
              <w:t>分</w:t>
            </w:r>
            <w:r>
              <w:rPr>
                <w:rFonts w:hint="eastAsia"/>
                <w:color w:val="auto"/>
                <w:sz w:val="24"/>
                <w:highlight w:val="none"/>
                <w:u w:val="single"/>
                <w:lang w:val="en-US" w:eastAsia="zh-CN"/>
              </w:rPr>
              <w:t>17.17266</w:t>
            </w:r>
            <w:r>
              <w:rPr>
                <w:color w:val="auto"/>
                <w:sz w:val="24"/>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58" w:hRule="atLeast"/>
          <w:jc w:val="center"/>
        </w:trPr>
        <w:tc>
          <w:tcPr>
            <w:tcW w:w="991" w:type="dxa"/>
            <w:noWrap w:val="0"/>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国民经济行业类别</w:t>
            </w:r>
          </w:p>
        </w:tc>
        <w:tc>
          <w:tcPr>
            <w:tcW w:w="3237" w:type="dxa"/>
            <w:noWrap w:val="0"/>
            <w:vAlign w:val="center"/>
          </w:tcPr>
          <w:p>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C2926塑料包装箱及容器制造</w:t>
            </w:r>
          </w:p>
        </w:tc>
        <w:tc>
          <w:tcPr>
            <w:tcW w:w="1915" w:type="dxa"/>
            <w:noWrap w:val="0"/>
            <w:vAlign w:val="center"/>
          </w:tcPr>
          <w:p>
            <w:pPr>
              <w:adjustRightInd w:val="0"/>
              <w:snapToGrid w:val="0"/>
              <w:jc w:val="center"/>
              <w:rPr>
                <w:color w:val="auto"/>
                <w:sz w:val="24"/>
                <w:highlight w:val="none"/>
              </w:rPr>
            </w:pPr>
            <w:r>
              <w:rPr>
                <w:color w:val="auto"/>
                <w:sz w:val="24"/>
                <w:highlight w:val="none"/>
              </w:rPr>
              <w:t>建设项目</w:t>
            </w:r>
          </w:p>
          <w:p>
            <w:pPr>
              <w:adjustRightInd w:val="0"/>
              <w:snapToGrid w:val="0"/>
              <w:jc w:val="center"/>
              <w:rPr>
                <w:color w:val="auto"/>
                <w:sz w:val="24"/>
                <w:highlight w:val="none"/>
              </w:rPr>
            </w:pPr>
            <w:r>
              <w:rPr>
                <w:color w:val="auto"/>
                <w:sz w:val="24"/>
                <w:highlight w:val="none"/>
              </w:rPr>
              <w:t>行业类别</w:t>
            </w:r>
          </w:p>
        </w:tc>
        <w:tc>
          <w:tcPr>
            <w:tcW w:w="2727" w:type="dxa"/>
            <w:noWrap w:val="0"/>
            <w:vAlign w:val="center"/>
          </w:tcPr>
          <w:p>
            <w:pPr>
              <w:numPr>
                <w:ilvl w:val="0"/>
                <w:numId w:val="0"/>
              </w:numPr>
              <w:adjustRightInd w:val="0"/>
              <w:snapToGrid w:val="0"/>
              <w:jc w:val="both"/>
              <w:rPr>
                <w:rFonts w:hint="default"/>
                <w:color w:val="auto"/>
                <w:sz w:val="24"/>
                <w:highlight w:val="none"/>
                <w:lang w:val="en-US" w:eastAsia="zh-CN"/>
              </w:rPr>
            </w:pPr>
            <w:r>
              <w:rPr>
                <w:rFonts w:hint="eastAsia"/>
                <w:color w:val="auto"/>
                <w:sz w:val="24"/>
                <w:highlight w:val="none"/>
                <w:lang w:val="en-US" w:eastAsia="zh-CN"/>
              </w:rPr>
              <w:t>二十六、橡胶和塑料制品业29</w:t>
            </w:r>
          </w:p>
          <w:p>
            <w:pPr>
              <w:numPr>
                <w:ilvl w:val="0"/>
                <w:numId w:val="0"/>
              </w:numPr>
              <w:adjustRightInd w:val="0"/>
              <w:snapToGrid w:val="0"/>
              <w:jc w:val="both"/>
              <w:rPr>
                <w:rFonts w:hint="default"/>
                <w:color w:val="auto"/>
                <w:sz w:val="24"/>
                <w:highlight w:val="none"/>
                <w:lang w:val="en-US" w:eastAsia="zh-CN"/>
              </w:rPr>
            </w:pPr>
            <w:r>
              <w:rPr>
                <w:rFonts w:hint="eastAsia"/>
                <w:color w:val="auto"/>
                <w:sz w:val="24"/>
                <w:highlight w:val="none"/>
                <w:lang w:val="en-US" w:eastAsia="zh-CN"/>
              </w:rPr>
              <w:t>塑料制品业292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991" w:type="dxa"/>
            <w:noWrap w:val="0"/>
            <w:tcMar>
              <w:top w:w="16" w:type="dxa"/>
              <w:left w:w="16" w:type="dxa"/>
              <w:right w:w="16" w:type="dxa"/>
            </w:tcMar>
            <w:vAlign w:val="center"/>
          </w:tcPr>
          <w:p>
            <w:pPr>
              <w:adjustRightInd w:val="0"/>
              <w:snapToGrid w:val="0"/>
              <w:jc w:val="center"/>
              <w:rPr>
                <w:color w:val="auto"/>
                <w:sz w:val="24"/>
              </w:rPr>
            </w:pPr>
            <w:r>
              <w:rPr>
                <w:color w:val="auto"/>
                <w:sz w:val="24"/>
              </w:rPr>
              <w:t>建设</w:t>
            </w:r>
          </w:p>
          <w:p>
            <w:pPr>
              <w:adjustRightInd w:val="0"/>
              <w:snapToGrid w:val="0"/>
              <w:jc w:val="center"/>
              <w:rPr>
                <w:color w:val="auto"/>
                <w:sz w:val="24"/>
              </w:rPr>
            </w:pPr>
            <w:r>
              <w:rPr>
                <w:color w:val="auto"/>
                <w:sz w:val="24"/>
              </w:rPr>
              <w:t>性质</w:t>
            </w:r>
          </w:p>
        </w:tc>
        <w:tc>
          <w:tcPr>
            <w:tcW w:w="3237" w:type="dxa"/>
            <w:noWrap w:val="0"/>
            <w:vAlign w:val="center"/>
          </w:tcPr>
          <w:p>
            <w:pPr>
              <w:jc w:val="left"/>
              <w:rPr>
                <w:color w:val="auto"/>
                <w:sz w:val="24"/>
              </w:rPr>
            </w:pPr>
            <w:r>
              <w:rPr>
                <w:rFonts w:hint="eastAsia" w:ascii="宋体" w:hAnsi="宋体" w:cs="宋体"/>
                <w:color w:val="auto"/>
                <w:sz w:val="24"/>
                <w:lang w:eastAsia="zh-CN"/>
              </w:rPr>
              <w:t>☑</w:t>
            </w:r>
            <w:r>
              <w:rPr>
                <w:color w:val="auto"/>
                <w:sz w:val="24"/>
              </w:rPr>
              <w:t>新建</w:t>
            </w:r>
          </w:p>
          <w:p>
            <w:pPr>
              <w:jc w:val="left"/>
              <w:rPr>
                <w:color w:val="auto"/>
                <w:sz w:val="24"/>
              </w:rPr>
            </w:pPr>
            <w:r>
              <w:rPr>
                <w:rFonts w:hint="eastAsia" w:ascii="宋体" w:hAnsi="宋体" w:cs="宋体"/>
                <w:color w:val="auto"/>
                <w:sz w:val="24"/>
                <w:lang w:eastAsia="zh-CN"/>
              </w:rPr>
              <w:t>□</w:t>
            </w:r>
            <w:r>
              <w:rPr>
                <w:color w:val="auto"/>
                <w:sz w:val="24"/>
              </w:rPr>
              <w:t>改建</w:t>
            </w:r>
          </w:p>
          <w:p>
            <w:pPr>
              <w:jc w:val="left"/>
              <w:rPr>
                <w:color w:val="auto"/>
                <w:sz w:val="24"/>
              </w:rPr>
            </w:pPr>
            <w:r>
              <w:rPr>
                <w:rFonts w:hint="eastAsia" w:ascii="宋体" w:hAnsi="宋体" w:cs="宋体"/>
                <w:color w:val="auto"/>
                <w:sz w:val="24"/>
                <w:lang w:eastAsia="zh-CN"/>
              </w:rPr>
              <w:t>□</w:t>
            </w:r>
            <w:r>
              <w:rPr>
                <w:color w:val="auto"/>
                <w:sz w:val="24"/>
              </w:rPr>
              <w:t>扩建</w:t>
            </w:r>
          </w:p>
          <w:p>
            <w:pPr>
              <w:jc w:val="left"/>
              <w:rPr>
                <w:color w:val="auto"/>
                <w:sz w:val="24"/>
              </w:rPr>
            </w:pPr>
            <w:r>
              <w:rPr>
                <w:rFonts w:hint="eastAsia" w:ascii="宋体" w:hAnsi="宋体" w:cs="宋体"/>
                <w:color w:val="auto"/>
                <w:sz w:val="24"/>
              </w:rPr>
              <w:t>□</w:t>
            </w:r>
            <w:r>
              <w:rPr>
                <w:color w:val="auto"/>
                <w:sz w:val="24"/>
              </w:rPr>
              <w:t>技术改造</w:t>
            </w:r>
          </w:p>
        </w:tc>
        <w:tc>
          <w:tcPr>
            <w:tcW w:w="1915" w:type="dxa"/>
            <w:noWrap w:val="0"/>
            <w:vAlign w:val="center"/>
          </w:tcPr>
          <w:p>
            <w:pPr>
              <w:adjustRightInd w:val="0"/>
              <w:snapToGrid w:val="0"/>
              <w:jc w:val="center"/>
              <w:rPr>
                <w:color w:val="auto"/>
                <w:sz w:val="24"/>
              </w:rPr>
            </w:pPr>
            <w:r>
              <w:rPr>
                <w:color w:val="auto"/>
                <w:sz w:val="24"/>
              </w:rPr>
              <w:t>建设项目</w:t>
            </w:r>
          </w:p>
          <w:p>
            <w:pPr>
              <w:adjustRightInd w:val="0"/>
              <w:snapToGrid w:val="0"/>
              <w:jc w:val="center"/>
              <w:rPr>
                <w:color w:val="auto"/>
                <w:sz w:val="24"/>
              </w:rPr>
            </w:pPr>
            <w:r>
              <w:rPr>
                <w:color w:val="auto"/>
                <w:sz w:val="24"/>
              </w:rPr>
              <w:t>申报情形</w:t>
            </w:r>
          </w:p>
        </w:tc>
        <w:tc>
          <w:tcPr>
            <w:tcW w:w="2727" w:type="dxa"/>
            <w:noWrap w:val="0"/>
            <w:vAlign w:val="center"/>
          </w:tcPr>
          <w:p>
            <w:pPr>
              <w:jc w:val="left"/>
              <w:rPr>
                <w:color w:val="auto"/>
                <w:sz w:val="24"/>
              </w:rPr>
            </w:pPr>
            <w:r>
              <w:rPr>
                <w:rFonts w:hint="eastAsia" w:ascii="宋体" w:hAnsi="宋体" w:cs="宋体"/>
                <w:color w:val="auto"/>
                <w:sz w:val="24"/>
                <w:lang w:eastAsia="zh-CN"/>
              </w:rPr>
              <w:t>☑</w:t>
            </w:r>
            <w:r>
              <w:rPr>
                <w:color w:val="auto"/>
                <w:sz w:val="24"/>
              </w:rPr>
              <w:t>首次申报项目</w:t>
            </w:r>
          </w:p>
          <w:p>
            <w:pPr>
              <w:jc w:val="left"/>
              <w:rPr>
                <w:color w:val="auto"/>
                <w:sz w:val="24"/>
              </w:rPr>
            </w:pPr>
            <w:r>
              <w:rPr>
                <w:rFonts w:hint="eastAsia" w:ascii="宋体" w:hAnsi="宋体" w:cs="宋体"/>
                <w:color w:val="auto"/>
                <w:sz w:val="24"/>
                <w:lang w:eastAsia="zh-CN"/>
              </w:rPr>
              <w:t>□</w:t>
            </w:r>
            <w:r>
              <w:rPr>
                <w:color w:val="auto"/>
                <w:sz w:val="24"/>
              </w:rPr>
              <w:t>不予批准后再次申报项目</w:t>
            </w:r>
          </w:p>
          <w:p>
            <w:pPr>
              <w:jc w:val="left"/>
              <w:rPr>
                <w:color w:val="auto"/>
                <w:sz w:val="24"/>
              </w:rPr>
            </w:pPr>
            <w:r>
              <w:rPr>
                <w:rFonts w:hint="eastAsia" w:ascii="宋体" w:hAnsi="宋体" w:cs="宋体"/>
                <w:color w:val="auto"/>
                <w:sz w:val="24"/>
                <w:lang w:eastAsia="zh-CN"/>
              </w:rPr>
              <w:t>□</w:t>
            </w:r>
            <w:r>
              <w:rPr>
                <w:color w:val="auto"/>
                <w:sz w:val="24"/>
              </w:rPr>
              <w:t>超五年重新审核项目</w:t>
            </w:r>
          </w:p>
          <w:p>
            <w:pPr>
              <w:jc w:val="left"/>
              <w:rPr>
                <w:color w:val="auto"/>
                <w:sz w:val="24"/>
              </w:rPr>
            </w:pPr>
            <w:r>
              <w:rPr>
                <w:rFonts w:hint="eastAsia" w:ascii="宋体" w:hAnsi="宋体" w:cs="宋体"/>
                <w:color w:val="auto"/>
                <w:sz w:val="24"/>
                <w:lang w:eastAsia="zh-CN"/>
              </w:rPr>
              <w:t>□</w:t>
            </w:r>
            <w:r>
              <w:rPr>
                <w:color w:val="auto"/>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991" w:type="dxa"/>
            <w:noWrap w:val="0"/>
            <w:tcMar>
              <w:top w:w="16" w:type="dxa"/>
              <w:left w:w="16" w:type="dxa"/>
              <w:right w:w="16" w:type="dxa"/>
            </w:tcMar>
            <w:vAlign w:val="center"/>
          </w:tcPr>
          <w:p>
            <w:pPr>
              <w:adjustRightInd w:val="0"/>
              <w:snapToGrid w:val="0"/>
              <w:jc w:val="center"/>
              <w:rPr>
                <w:color w:val="auto"/>
                <w:sz w:val="24"/>
              </w:rPr>
            </w:pPr>
            <w:r>
              <w:rPr>
                <w:color w:val="auto"/>
                <w:sz w:val="24"/>
              </w:rPr>
              <w:t>项目审批（核准/备案）部门（选填）</w:t>
            </w:r>
          </w:p>
        </w:tc>
        <w:tc>
          <w:tcPr>
            <w:tcW w:w="3237" w:type="dxa"/>
            <w:noWrap w:val="0"/>
            <w:vAlign w:val="center"/>
          </w:tcPr>
          <w:p>
            <w:pPr>
              <w:adjustRightInd w:val="0"/>
              <w:snapToGrid w:val="0"/>
              <w:jc w:val="center"/>
              <w:rPr>
                <w:rFonts w:hint="default" w:eastAsia="宋体"/>
                <w:color w:val="auto"/>
                <w:sz w:val="24"/>
                <w:lang w:val="en-US" w:eastAsia="zh-CN"/>
              </w:rPr>
            </w:pPr>
            <w:r>
              <w:rPr>
                <w:rFonts w:hint="eastAsia"/>
                <w:color w:val="auto"/>
                <w:sz w:val="24"/>
                <w:lang w:val="en-US" w:eastAsia="zh-CN"/>
              </w:rPr>
              <w:t>重庆市铜梁区发展和改革委员会</w:t>
            </w:r>
          </w:p>
        </w:tc>
        <w:tc>
          <w:tcPr>
            <w:tcW w:w="1915" w:type="dxa"/>
            <w:noWrap w:val="0"/>
            <w:vAlign w:val="center"/>
          </w:tcPr>
          <w:p>
            <w:pPr>
              <w:adjustRightInd w:val="0"/>
              <w:snapToGrid w:val="0"/>
              <w:jc w:val="center"/>
              <w:rPr>
                <w:color w:val="auto"/>
                <w:sz w:val="24"/>
              </w:rPr>
            </w:pPr>
            <w:r>
              <w:rPr>
                <w:color w:val="auto"/>
                <w:sz w:val="24"/>
              </w:rPr>
              <w:t>项目审批（核准/备案）文号（选填）</w:t>
            </w:r>
          </w:p>
        </w:tc>
        <w:tc>
          <w:tcPr>
            <w:tcW w:w="2727" w:type="dxa"/>
            <w:noWrap w:val="0"/>
            <w:vAlign w:val="center"/>
          </w:tcPr>
          <w:p>
            <w:pPr>
              <w:adjustRightInd w:val="0"/>
              <w:snapToGrid w:val="0"/>
              <w:jc w:val="center"/>
              <w:rPr>
                <w:color w:val="auto"/>
                <w:sz w:val="24"/>
              </w:rPr>
            </w:pPr>
            <w:r>
              <w:rPr>
                <w:rFonts w:hint="eastAsia"/>
                <w:color w:val="auto"/>
                <w:sz w:val="24"/>
                <w:highlight w:val="none"/>
                <w:lang w:val="en-US" w:eastAsia="zh-CN"/>
              </w:rPr>
              <w:t>2303-500151-04-05-565483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91" w:type="dxa"/>
            <w:noWrap w:val="0"/>
            <w:tcMar>
              <w:top w:w="16" w:type="dxa"/>
              <w:left w:w="16" w:type="dxa"/>
              <w:right w:w="16" w:type="dxa"/>
            </w:tcMar>
            <w:vAlign w:val="center"/>
          </w:tcPr>
          <w:p>
            <w:pPr>
              <w:adjustRightInd w:val="0"/>
              <w:snapToGrid w:val="0"/>
              <w:jc w:val="center"/>
              <w:rPr>
                <w:color w:val="auto"/>
                <w:sz w:val="24"/>
              </w:rPr>
            </w:pPr>
            <w:r>
              <w:rPr>
                <w:color w:val="auto"/>
                <w:sz w:val="24"/>
              </w:rPr>
              <w:t>总投资（万元）</w:t>
            </w:r>
          </w:p>
        </w:tc>
        <w:tc>
          <w:tcPr>
            <w:tcW w:w="3237" w:type="dxa"/>
            <w:noWrap w:val="0"/>
            <w:vAlign w:val="center"/>
          </w:tcPr>
          <w:p>
            <w:pPr>
              <w:adjustRightInd w:val="0"/>
              <w:snapToGrid w:val="0"/>
              <w:jc w:val="center"/>
              <w:rPr>
                <w:rFonts w:hint="default" w:eastAsia="宋体"/>
                <w:color w:val="auto"/>
                <w:sz w:val="24"/>
                <w:lang w:val="en-US" w:eastAsia="zh-CN"/>
              </w:rPr>
            </w:pPr>
            <w:r>
              <w:rPr>
                <w:rFonts w:hint="eastAsia"/>
                <w:color w:val="auto"/>
                <w:sz w:val="24"/>
                <w:lang w:val="en-US" w:eastAsia="zh-CN"/>
              </w:rPr>
              <w:t>200</w:t>
            </w:r>
          </w:p>
        </w:tc>
        <w:tc>
          <w:tcPr>
            <w:tcW w:w="1915" w:type="dxa"/>
            <w:noWrap w:val="0"/>
            <w:tcMar>
              <w:top w:w="16" w:type="dxa"/>
              <w:left w:w="16" w:type="dxa"/>
              <w:right w:w="16" w:type="dxa"/>
            </w:tcMar>
            <w:vAlign w:val="center"/>
          </w:tcPr>
          <w:p>
            <w:pPr>
              <w:adjustRightInd w:val="0"/>
              <w:snapToGrid w:val="0"/>
              <w:jc w:val="center"/>
              <w:rPr>
                <w:b w:val="0"/>
                <w:bCs w:val="0"/>
                <w:color w:val="auto"/>
                <w:sz w:val="24"/>
                <w:highlight w:val="none"/>
              </w:rPr>
            </w:pPr>
            <w:r>
              <w:rPr>
                <w:b w:val="0"/>
                <w:bCs w:val="0"/>
                <w:color w:val="auto"/>
                <w:sz w:val="24"/>
                <w:highlight w:val="none"/>
              </w:rPr>
              <w:t>环保投资（万元）</w:t>
            </w:r>
          </w:p>
        </w:tc>
        <w:tc>
          <w:tcPr>
            <w:tcW w:w="2727" w:type="dxa"/>
            <w:noWrap w:val="0"/>
            <w:vAlign w:val="center"/>
          </w:tcPr>
          <w:p>
            <w:pPr>
              <w:adjustRightInd w:val="0"/>
              <w:snapToGrid w:val="0"/>
              <w:jc w:val="center"/>
              <w:rPr>
                <w:rFonts w:hint="default" w:eastAsia="宋体"/>
                <w:b w:val="0"/>
                <w:bCs w:val="0"/>
                <w:color w:val="auto"/>
                <w:sz w:val="24"/>
                <w:highlight w:val="none"/>
                <w:lang w:val="en-US" w:eastAsia="zh-CN"/>
              </w:rPr>
            </w:pPr>
            <w:r>
              <w:rPr>
                <w:rFonts w:hint="eastAsia"/>
                <w:b w:val="0"/>
                <w:bCs w:val="0"/>
                <w:color w:val="auto"/>
                <w:sz w:val="24"/>
                <w:highlight w:val="none"/>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91" w:type="dxa"/>
            <w:noWrap w:val="0"/>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环保投资占比（%）</w:t>
            </w:r>
          </w:p>
        </w:tc>
        <w:tc>
          <w:tcPr>
            <w:tcW w:w="3237" w:type="dxa"/>
            <w:noWrap w:val="0"/>
            <w:vAlign w:val="center"/>
          </w:tcPr>
          <w:p>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5</w:t>
            </w:r>
          </w:p>
        </w:tc>
        <w:tc>
          <w:tcPr>
            <w:tcW w:w="1915" w:type="dxa"/>
            <w:noWrap w:val="0"/>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施工工期</w:t>
            </w:r>
          </w:p>
        </w:tc>
        <w:tc>
          <w:tcPr>
            <w:tcW w:w="2727" w:type="dxa"/>
            <w:noWrap w:val="0"/>
            <w:vAlign w:val="center"/>
          </w:tcPr>
          <w:p>
            <w:pPr>
              <w:adjustRightInd w:val="0"/>
              <w:snapToGrid w:val="0"/>
              <w:jc w:val="center"/>
              <w:rPr>
                <w:rFonts w:hint="eastAsia" w:eastAsia="宋体"/>
                <w:color w:val="auto"/>
                <w:sz w:val="24"/>
                <w:highlight w:val="none"/>
                <w:lang w:val="en-US" w:eastAsia="zh-CN"/>
              </w:rPr>
            </w:pPr>
            <w:r>
              <w:rPr>
                <w:rFonts w:hint="eastAsia"/>
                <w:color w:val="auto"/>
                <w:sz w:val="24"/>
                <w:highlight w:val="none"/>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91" w:type="dxa"/>
            <w:noWrap w:val="0"/>
            <w:tcMar>
              <w:top w:w="16" w:type="dxa"/>
              <w:left w:w="16" w:type="dxa"/>
              <w:right w:w="16" w:type="dxa"/>
            </w:tcMar>
            <w:vAlign w:val="center"/>
          </w:tcPr>
          <w:p>
            <w:pPr>
              <w:adjustRightInd w:val="0"/>
              <w:snapToGrid w:val="0"/>
              <w:jc w:val="center"/>
              <w:rPr>
                <w:color w:val="auto"/>
                <w:sz w:val="24"/>
              </w:rPr>
            </w:pPr>
            <w:r>
              <w:rPr>
                <w:color w:val="auto"/>
                <w:sz w:val="24"/>
              </w:rPr>
              <w:t>是否开工建设</w:t>
            </w:r>
          </w:p>
        </w:tc>
        <w:tc>
          <w:tcPr>
            <w:tcW w:w="3237" w:type="dxa"/>
            <w:noWrap w:val="0"/>
            <w:vAlign w:val="center"/>
          </w:tcPr>
          <w:p>
            <w:pPr>
              <w:adjustRightInd w:val="0"/>
              <w:snapToGrid w:val="0"/>
              <w:rPr>
                <w:color w:val="auto"/>
                <w:sz w:val="24"/>
              </w:rPr>
            </w:pPr>
            <w:r>
              <w:rPr>
                <w:rFonts w:hint="eastAsia" w:ascii="宋体" w:hAnsi="宋体" w:cs="宋体"/>
                <w:color w:val="auto"/>
                <w:sz w:val="24"/>
                <w:lang w:eastAsia="zh-CN"/>
              </w:rPr>
              <w:t>☑</w:t>
            </w:r>
            <w:r>
              <w:rPr>
                <w:color w:val="auto"/>
                <w:sz w:val="24"/>
              </w:rPr>
              <w:t>否</w:t>
            </w:r>
          </w:p>
          <w:p>
            <w:pPr>
              <w:adjustRightInd w:val="0"/>
              <w:snapToGrid w:val="0"/>
              <w:rPr>
                <w:rFonts w:hint="default" w:eastAsia="宋体"/>
                <w:color w:val="auto"/>
                <w:sz w:val="24"/>
                <w:lang w:val="en-US" w:eastAsia="zh-CN"/>
              </w:rPr>
            </w:pPr>
            <w:r>
              <w:rPr>
                <w:rFonts w:hint="eastAsia" w:ascii="宋体" w:hAnsi="宋体" w:cs="宋体"/>
                <w:color w:val="auto"/>
                <w:sz w:val="24"/>
                <w:lang w:eastAsia="zh-CN"/>
              </w:rPr>
              <w:t>□</w:t>
            </w:r>
            <w:r>
              <w:rPr>
                <w:color w:val="auto"/>
                <w:sz w:val="24"/>
              </w:rPr>
              <w:t>是：</w:t>
            </w:r>
            <w:r>
              <w:rPr>
                <w:rFonts w:hint="eastAsia"/>
                <w:color w:val="auto"/>
                <w:sz w:val="24"/>
                <w:u w:val="single"/>
                <w:lang w:val="en-US" w:eastAsia="zh-CN"/>
              </w:rPr>
              <w:t xml:space="preserve">          </w:t>
            </w:r>
          </w:p>
        </w:tc>
        <w:tc>
          <w:tcPr>
            <w:tcW w:w="1915" w:type="dxa"/>
            <w:noWrap w:val="0"/>
            <w:tcMar>
              <w:top w:w="16" w:type="dxa"/>
              <w:left w:w="16" w:type="dxa"/>
              <w:right w:w="16" w:type="dxa"/>
            </w:tcMar>
            <w:vAlign w:val="center"/>
          </w:tcPr>
          <w:p>
            <w:pPr>
              <w:adjustRightInd w:val="0"/>
              <w:snapToGrid w:val="0"/>
              <w:jc w:val="center"/>
              <w:rPr>
                <w:color w:val="auto"/>
                <w:spacing w:val="-6"/>
                <w:sz w:val="24"/>
                <w:highlight w:val="none"/>
              </w:rPr>
            </w:pPr>
            <w:r>
              <w:rPr>
                <w:color w:val="auto"/>
                <w:spacing w:val="-6"/>
                <w:sz w:val="24"/>
                <w:highlight w:val="none"/>
              </w:rPr>
              <w:t>用地</w:t>
            </w:r>
          </w:p>
          <w:p>
            <w:pPr>
              <w:adjustRightInd w:val="0"/>
              <w:snapToGrid w:val="0"/>
              <w:jc w:val="center"/>
              <w:rPr>
                <w:color w:val="auto"/>
                <w:sz w:val="24"/>
                <w:highlight w:val="none"/>
              </w:rPr>
            </w:pPr>
            <w:r>
              <w:rPr>
                <w:color w:val="auto"/>
                <w:spacing w:val="-6"/>
                <w:sz w:val="24"/>
                <w:highlight w:val="none"/>
              </w:rPr>
              <w:t>面积（m</w:t>
            </w:r>
            <w:r>
              <w:rPr>
                <w:color w:val="auto"/>
                <w:spacing w:val="-6"/>
                <w:sz w:val="24"/>
                <w:highlight w:val="none"/>
                <w:vertAlign w:val="superscript"/>
              </w:rPr>
              <w:t>2</w:t>
            </w:r>
            <w:r>
              <w:rPr>
                <w:color w:val="auto"/>
                <w:spacing w:val="-6"/>
                <w:sz w:val="24"/>
                <w:highlight w:val="none"/>
              </w:rPr>
              <w:t>）</w:t>
            </w:r>
          </w:p>
        </w:tc>
        <w:tc>
          <w:tcPr>
            <w:tcW w:w="2727" w:type="dxa"/>
            <w:noWrap w:val="0"/>
            <w:vAlign w:val="center"/>
          </w:tcPr>
          <w:p>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3000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91" w:type="dxa"/>
            <w:noWrap w:val="0"/>
            <w:vAlign w:val="center"/>
          </w:tcPr>
          <w:p>
            <w:pPr>
              <w:autoSpaceDE w:val="0"/>
              <w:autoSpaceDN w:val="0"/>
              <w:adjustRightInd w:val="0"/>
              <w:snapToGrid w:val="0"/>
              <w:jc w:val="center"/>
              <w:rPr>
                <w:color w:val="auto"/>
                <w:kern w:val="0"/>
                <w:sz w:val="24"/>
              </w:rPr>
            </w:pPr>
            <w:r>
              <w:rPr>
                <w:color w:val="auto"/>
                <w:kern w:val="0"/>
                <w:sz w:val="24"/>
              </w:rPr>
              <w:t>专项评价设置情况</w:t>
            </w:r>
          </w:p>
        </w:tc>
        <w:tc>
          <w:tcPr>
            <w:tcW w:w="7879" w:type="dxa"/>
            <w:gridSpan w:val="3"/>
            <w:noWrap w:val="0"/>
            <w:vAlign w:val="center"/>
          </w:tcPr>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default" w:ascii="宋体" w:hAnsi="宋体" w:eastAsia="宋体" w:cs="宋体"/>
                <w:bCs/>
                <w:snapToGrid w:val="0"/>
                <w:color w:val="auto"/>
                <w:kern w:val="0"/>
                <w:sz w:val="24"/>
              </w:rPr>
            </w:pPr>
            <w:r>
              <w:rPr>
                <w:rFonts w:hint="default" w:ascii="宋体" w:hAnsi="宋体" w:eastAsia="宋体" w:cs="宋体"/>
                <w:bCs/>
                <w:snapToGrid w:val="0"/>
                <w:color w:val="auto"/>
                <w:kern w:val="0"/>
                <w:sz w:val="24"/>
              </w:rPr>
              <w:t>根据建设项目环境影响报告表编制技术指南（污染影响类）（试行）表</w:t>
            </w:r>
            <w:r>
              <w:rPr>
                <w:rFonts w:hint="default" w:ascii="Times New Roman" w:hAnsi="Times New Roman" w:eastAsia="宋体" w:cs="Times New Roman"/>
                <w:bCs/>
                <w:snapToGrid w:val="0"/>
                <w:color w:val="auto"/>
                <w:kern w:val="0"/>
                <w:sz w:val="24"/>
              </w:rPr>
              <w:t>1</w:t>
            </w:r>
            <w:r>
              <w:rPr>
                <w:rFonts w:hint="default" w:ascii="宋体" w:hAnsi="宋体" w:eastAsia="宋体" w:cs="宋体"/>
                <w:bCs/>
                <w:snapToGrid w:val="0"/>
                <w:color w:val="auto"/>
                <w:kern w:val="0"/>
                <w:sz w:val="24"/>
              </w:rPr>
              <w:t>，本项目</w:t>
            </w:r>
            <w:r>
              <w:rPr>
                <w:rFonts w:hint="eastAsia" w:ascii="宋体" w:hAnsi="宋体" w:cs="宋体"/>
                <w:bCs/>
                <w:snapToGrid w:val="0"/>
                <w:color w:val="auto"/>
                <w:kern w:val="0"/>
                <w:sz w:val="24"/>
                <w:lang w:eastAsia="zh-CN"/>
              </w:rPr>
              <w:t>无</w:t>
            </w:r>
            <w:r>
              <w:rPr>
                <w:rFonts w:hint="eastAsia" w:ascii="宋体" w:hAnsi="宋体" w:cs="宋体"/>
                <w:bCs/>
                <w:snapToGrid w:val="0"/>
                <w:color w:val="auto"/>
                <w:kern w:val="0"/>
                <w:sz w:val="24"/>
                <w:lang w:val="en-US" w:eastAsia="zh-CN"/>
              </w:rPr>
              <w:t>需</w:t>
            </w:r>
            <w:r>
              <w:rPr>
                <w:rFonts w:hint="eastAsia" w:ascii="宋体" w:hAnsi="宋体" w:cs="宋体"/>
                <w:bCs/>
                <w:snapToGrid w:val="0"/>
                <w:color w:val="auto"/>
                <w:kern w:val="0"/>
                <w:sz w:val="24"/>
                <w:lang w:eastAsia="zh-CN"/>
              </w:rPr>
              <w:t>设置</w:t>
            </w:r>
            <w:r>
              <w:rPr>
                <w:rFonts w:hint="default" w:ascii="宋体" w:hAnsi="宋体" w:eastAsia="宋体" w:cs="宋体"/>
                <w:bCs/>
                <w:snapToGrid w:val="0"/>
                <w:color w:val="auto"/>
                <w:kern w:val="0"/>
                <w:sz w:val="24"/>
              </w:rPr>
              <w:t>专项评价，对照情况见下表：</w:t>
            </w:r>
          </w:p>
          <w:p>
            <w:pPr>
              <w:keepNext w:val="0"/>
              <w:keepLines w:val="0"/>
              <w:pageBreakBefore w:val="0"/>
              <w:widowControl/>
              <w:kinsoku/>
              <w:wordWrap/>
              <w:overflowPunct/>
              <w:topLinePunct w:val="0"/>
              <w:autoSpaceDE/>
              <w:autoSpaceDN/>
              <w:bidi w:val="0"/>
              <w:adjustRightInd w:val="0"/>
              <w:snapToGrid/>
              <w:spacing w:line="360" w:lineRule="auto"/>
              <w:ind w:firstLine="0" w:firstLineChars="0"/>
              <w:jc w:val="center"/>
              <w:textAlignment w:val="auto"/>
              <w:rPr>
                <w:rFonts w:hint="default" w:ascii="Times New Roman" w:hAnsi="Times New Roman" w:eastAsia="宋体" w:cs="Times New Roman"/>
                <w:bCs/>
                <w:snapToGrid w:val="0"/>
                <w:color w:val="auto"/>
                <w:kern w:val="0"/>
                <w:sz w:val="24"/>
              </w:rPr>
            </w:pPr>
            <w:r>
              <w:rPr>
                <w:rFonts w:hint="default" w:ascii="Times New Roman" w:hAnsi="Times New Roman" w:eastAsia="宋体" w:cs="Times New Roman"/>
                <w:bCs/>
                <w:snapToGrid w:val="0"/>
                <w:color w:val="auto"/>
                <w:kern w:val="0"/>
                <w:sz w:val="24"/>
              </w:rPr>
              <w:t>表1</w:t>
            </w:r>
            <w:r>
              <w:rPr>
                <w:rFonts w:hint="eastAsia" w:cs="Times New Roman"/>
                <w:bCs/>
                <w:snapToGrid w:val="0"/>
                <w:color w:val="auto"/>
                <w:kern w:val="0"/>
                <w:sz w:val="24"/>
                <w:lang w:val="en-US" w:eastAsia="zh-CN"/>
              </w:rPr>
              <w:t xml:space="preserve">-1 </w:t>
            </w:r>
            <w:r>
              <w:rPr>
                <w:rFonts w:hint="default" w:ascii="Times New Roman" w:hAnsi="Times New Roman" w:eastAsia="宋体" w:cs="Times New Roman"/>
                <w:bCs/>
                <w:snapToGrid w:val="0"/>
                <w:color w:val="auto"/>
                <w:kern w:val="0"/>
                <w:sz w:val="24"/>
              </w:rPr>
              <w:t>专项评价设置原则对照表（截取本项目相关）</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4007"/>
              <w:gridCol w:w="2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pct"/>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rPr>
                  </w:pPr>
                  <w:r>
                    <w:rPr>
                      <w:rFonts w:hint="default" w:ascii="Times New Roman" w:hAnsi="Times New Roman" w:eastAsia="宋体" w:cs="Times New Roman"/>
                      <w:color w:val="auto"/>
                      <w:szCs w:val="21"/>
                      <w:shd w:val="clear" w:color="auto" w:fill="auto"/>
                    </w:rPr>
                    <w:t>专项评价类别</w:t>
                  </w:r>
                </w:p>
              </w:tc>
              <w:tc>
                <w:tcPr>
                  <w:tcW w:w="2618" w:type="pct"/>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rPr>
                  </w:pPr>
                  <w:r>
                    <w:rPr>
                      <w:rFonts w:hint="default" w:ascii="Times New Roman" w:hAnsi="Times New Roman" w:eastAsia="宋体" w:cs="Times New Roman"/>
                      <w:color w:val="auto"/>
                      <w:szCs w:val="21"/>
                      <w:shd w:val="clear" w:color="auto" w:fill="auto"/>
                    </w:rPr>
                    <w:t>设置原则</w:t>
                  </w:r>
                </w:p>
              </w:tc>
              <w:tc>
                <w:tcPr>
                  <w:tcW w:w="1722" w:type="pct"/>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pct"/>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rPr>
                  </w:pPr>
                  <w:r>
                    <w:rPr>
                      <w:rFonts w:hint="default" w:ascii="Times New Roman" w:hAnsi="Times New Roman" w:eastAsia="宋体" w:cs="Times New Roman"/>
                      <w:color w:val="auto"/>
                      <w:szCs w:val="21"/>
                      <w:shd w:val="clear" w:color="auto" w:fill="auto"/>
                    </w:rPr>
                    <w:t>大气</w:t>
                  </w:r>
                </w:p>
              </w:tc>
              <w:tc>
                <w:tcPr>
                  <w:tcW w:w="2618" w:type="pct"/>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rPr>
                  </w:pPr>
                  <w:r>
                    <w:rPr>
                      <w:rFonts w:hint="default" w:ascii="Times New Roman" w:hAnsi="Times New Roman" w:eastAsia="宋体" w:cs="Times New Roman"/>
                      <w:color w:val="auto"/>
                      <w:szCs w:val="21"/>
                      <w:shd w:val="clear" w:color="auto" w:fill="auto"/>
                    </w:rPr>
                    <w:t>排放废气含有毒有害污染物</w:t>
                  </w:r>
                  <w:r>
                    <w:rPr>
                      <w:rFonts w:hint="default" w:ascii="Times New Roman" w:hAnsi="Times New Roman" w:eastAsia="宋体" w:cs="Times New Roman"/>
                      <w:color w:val="auto"/>
                      <w:szCs w:val="21"/>
                      <w:shd w:val="clear" w:color="auto" w:fill="auto"/>
                      <w:vertAlign w:val="superscript"/>
                    </w:rPr>
                    <w:t>1</w:t>
                  </w:r>
                  <w:r>
                    <w:rPr>
                      <w:rFonts w:hint="default" w:ascii="Times New Roman" w:hAnsi="Times New Roman" w:eastAsia="宋体" w:cs="Times New Roman"/>
                      <w:color w:val="auto"/>
                      <w:szCs w:val="21"/>
                      <w:shd w:val="clear" w:color="auto" w:fill="auto"/>
                    </w:rPr>
                    <w:t xml:space="preserve"> 、二噁英、苯并[a]芘、氰化物、氯气且厂界外500米范围内有环境空气保护目标</w:t>
                  </w:r>
                  <w:r>
                    <w:rPr>
                      <w:rFonts w:hint="default" w:ascii="Times New Roman" w:hAnsi="Times New Roman" w:eastAsia="宋体" w:cs="Times New Roman"/>
                      <w:color w:val="auto"/>
                      <w:szCs w:val="21"/>
                      <w:shd w:val="clear" w:color="auto" w:fill="auto"/>
                      <w:vertAlign w:val="superscript"/>
                    </w:rPr>
                    <w:t>2</w:t>
                  </w:r>
                  <w:r>
                    <w:rPr>
                      <w:rFonts w:hint="default" w:ascii="Times New Roman" w:hAnsi="Times New Roman" w:eastAsia="宋体" w:cs="Times New Roman"/>
                      <w:color w:val="auto"/>
                      <w:szCs w:val="21"/>
                      <w:shd w:val="clear" w:color="auto" w:fill="auto"/>
                    </w:rPr>
                    <w:t>的建设项目</w:t>
                  </w:r>
                </w:p>
              </w:tc>
              <w:tc>
                <w:tcPr>
                  <w:tcW w:w="1722" w:type="pct"/>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项目</w:t>
                  </w:r>
                  <w:r>
                    <w:rPr>
                      <w:rFonts w:hint="eastAsia" w:cs="Times New Roman"/>
                      <w:color w:val="auto"/>
                      <w:szCs w:val="21"/>
                      <w:highlight w:val="none"/>
                      <w:shd w:val="clear" w:color="auto" w:fill="auto"/>
                      <w:lang w:val="en-US" w:eastAsia="zh-CN"/>
                    </w:rPr>
                    <w:t>运营期不涉及有毒有害气体排放，无需开展大气专项评价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pct"/>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rPr>
                  </w:pPr>
                  <w:r>
                    <w:rPr>
                      <w:rFonts w:hint="default" w:ascii="Times New Roman" w:hAnsi="Times New Roman" w:eastAsia="宋体" w:cs="Times New Roman"/>
                      <w:color w:val="auto"/>
                      <w:szCs w:val="21"/>
                      <w:shd w:val="clear" w:color="auto" w:fill="auto"/>
                    </w:rPr>
                    <w:t>地表水</w:t>
                  </w:r>
                </w:p>
              </w:tc>
              <w:tc>
                <w:tcPr>
                  <w:tcW w:w="2618" w:type="pct"/>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rPr>
                  </w:pPr>
                  <w:r>
                    <w:rPr>
                      <w:rFonts w:hint="default" w:ascii="Times New Roman" w:hAnsi="Times New Roman" w:eastAsia="宋体" w:cs="Times New Roman"/>
                      <w:color w:val="auto"/>
                      <w:szCs w:val="21"/>
                      <w:shd w:val="clear" w:color="auto" w:fill="auto"/>
                    </w:rPr>
                    <w:t>新增工业废水直排建设项目（槽罐车外送污水处理厂的除外）；新增废水直排的污水集中处理厂</w:t>
                  </w:r>
                </w:p>
              </w:tc>
              <w:tc>
                <w:tcPr>
                  <w:tcW w:w="1722" w:type="pct"/>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项目</w:t>
                  </w:r>
                  <w:r>
                    <w:rPr>
                      <w:rFonts w:hint="eastAsia" w:cs="Times New Roman"/>
                      <w:color w:val="auto"/>
                      <w:szCs w:val="21"/>
                      <w:highlight w:val="none"/>
                      <w:shd w:val="clear" w:color="auto" w:fill="auto"/>
                      <w:lang w:val="en-US" w:eastAsia="zh-CN"/>
                    </w:rPr>
                    <w:t>废水预处理达标后排入铜梁侣俸污水处理厂深度处理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pct"/>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rPr>
                  </w:pPr>
                  <w:r>
                    <w:rPr>
                      <w:rFonts w:hint="default" w:ascii="Times New Roman" w:hAnsi="Times New Roman" w:eastAsia="宋体" w:cs="Times New Roman"/>
                      <w:color w:val="auto"/>
                      <w:szCs w:val="21"/>
                      <w:shd w:val="clear" w:color="auto" w:fill="auto"/>
                    </w:rPr>
                    <w:t>环境风险</w:t>
                  </w:r>
                </w:p>
              </w:tc>
              <w:tc>
                <w:tcPr>
                  <w:tcW w:w="2618" w:type="pct"/>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rPr>
                  </w:pPr>
                  <w:r>
                    <w:rPr>
                      <w:rFonts w:hint="default" w:ascii="Times New Roman" w:hAnsi="Times New Roman" w:eastAsia="宋体" w:cs="Times New Roman"/>
                      <w:color w:val="auto"/>
                      <w:szCs w:val="21"/>
                      <w:shd w:val="clear" w:color="auto" w:fill="auto"/>
                    </w:rPr>
                    <w:t>有毒有害和易燃易爆危险物质存储量超过临界量</w:t>
                  </w:r>
                  <w:r>
                    <w:rPr>
                      <w:rFonts w:hint="default" w:ascii="Times New Roman" w:hAnsi="Times New Roman" w:eastAsia="宋体" w:cs="Times New Roman"/>
                      <w:color w:val="auto"/>
                      <w:szCs w:val="21"/>
                      <w:shd w:val="clear" w:color="auto" w:fill="auto"/>
                      <w:vertAlign w:val="superscript"/>
                    </w:rPr>
                    <w:t>3</w:t>
                  </w:r>
                  <w:r>
                    <w:rPr>
                      <w:rFonts w:hint="default" w:ascii="Times New Roman" w:hAnsi="Times New Roman" w:eastAsia="宋体" w:cs="Times New Roman"/>
                      <w:color w:val="auto"/>
                      <w:szCs w:val="21"/>
                      <w:shd w:val="clear" w:color="auto" w:fill="auto"/>
                    </w:rPr>
                    <w:t>的建设项目</w:t>
                  </w:r>
                </w:p>
              </w:tc>
              <w:tc>
                <w:tcPr>
                  <w:tcW w:w="1722" w:type="pct"/>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rPr>
                  </w:pPr>
                  <w:r>
                    <w:rPr>
                      <w:rFonts w:hint="default" w:ascii="Times New Roman" w:hAnsi="Times New Roman" w:eastAsia="宋体" w:cs="Times New Roman"/>
                      <w:b w:val="0"/>
                      <w:bCs w:val="0"/>
                      <w:color w:val="auto"/>
                      <w:szCs w:val="21"/>
                      <w:shd w:val="clear" w:color="auto" w:fill="auto"/>
                    </w:rPr>
                    <w:t>本项目 Q&lt;1， 无需开展环境风险专项评价。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pct"/>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rPr>
                  </w:pPr>
                  <w:r>
                    <w:rPr>
                      <w:rFonts w:hint="default" w:ascii="Times New Roman" w:hAnsi="Times New Roman" w:eastAsia="宋体" w:cs="Times New Roman"/>
                      <w:color w:val="auto"/>
                      <w:szCs w:val="21"/>
                      <w:shd w:val="clear" w:color="auto" w:fill="auto"/>
                    </w:rPr>
                    <w:t>生态</w:t>
                  </w:r>
                </w:p>
              </w:tc>
              <w:tc>
                <w:tcPr>
                  <w:tcW w:w="2618" w:type="pct"/>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rPr>
                  </w:pPr>
                  <w:r>
                    <w:rPr>
                      <w:rFonts w:hint="default" w:ascii="Times New Roman" w:hAnsi="Times New Roman" w:eastAsia="宋体" w:cs="Times New Roman"/>
                      <w:color w:val="auto"/>
                      <w:szCs w:val="21"/>
                      <w:shd w:val="clear" w:color="auto" w:fill="auto"/>
                    </w:rPr>
                    <w:t>取水口下游500米范围内有重要水生生物的自然产卵场、索饵场、越冬场和洄游通道的新增河道取水的污染类建设项目</w:t>
                  </w:r>
                </w:p>
              </w:tc>
              <w:tc>
                <w:tcPr>
                  <w:tcW w:w="1722" w:type="pct"/>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rPr>
                  </w:pPr>
                  <w:r>
                    <w:rPr>
                      <w:rFonts w:hint="eastAsia" w:ascii="Times New Roman" w:hAnsi="Times New Roman" w:eastAsia="宋体" w:cs="Times New Roman"/>
                      <w:color w:val="auto"/>
                      <w:szCs w:val="21"/>
                      <w:shd w:val="clear" w:color="auto" w:fill="auto"/>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pct"/>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rPr>
                  </w:pPr>
                  <w:r>
                    <w:rPr>
                      <w:rFonts w:hint="default" w:ascii="Times New Roman" w:hAnsi="Times New Roman" w:eastAsia="宋体" w:cs="Times New Roman"/>
                      <w:color w:val="auto"/>
                      <w:szCs w:val="21"/>
                      <w:shd w:val="clear" w:color="auto" w:fill="auto"/>
                    </w:rPr>
                    <w:t>海洋</w:t>
                  </w:r>
                </w:p>
              </w:tc>
              <w:tc>
                <w:tcPr>
                  <w:tcW w:w="2618" w:type="pct"/>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rPr>
                  </w:pPr>
                  <w:r>
                    <w:rPr>
                      <w:rFonts w:hint="default" w:ascii="Times New Roman" w:hAnsi="Times New Roman" w:eastAsia="宋体" w:cs="Times New Roman"/>
                      <w:color w:val="auto"/>
                      <w:szCs w:val="21"/>
                      <w:shd w:val="clear" w:color="auto" w:fill="auto"/>
                    </w:rPr>
                    <w:t>直接向海排放污染物的海洋工程建设项目</w:t>
                  </w:r>
                </w:p>
              </w:tc>
              <w:tc>
                <w:tcPr>
                  <w:tcW w:w="1722" w:type="pct"/>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rPr>
                  </w:pPr>
                  <w:r>
                    <w:rPr>
                      <w:rFonts w:hint="eastAsia" w:ascii="Times New Roman" w:hAnsi="Times New Roman" w:eastAsia="宋体" w:cs="Times New Roman"/>
                      <w:color w:val="auto"/>
                      <w:szCs w:val="21"/>
                      <w:shd w:val="clear" w:color="auto" w:fill="auto"/>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pct"/>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rPr>
                  </w:pPr>
                  <w:r>
                    <w:rPr>
                      <w:rFonts w:hint="default" w:ascii="Times New Roman" w:hAnsi="Times New Roman" w:eastAsia="宋体" w:cs="Times New Roman"/>
                      <w:color w:val="auto"/>
                      <w:szCs w:val="21"/>
                      <w:shd w:val="clear" w:color="auto" w:fill="auto"/>
                    </w:rPr>
                    <w:t>地下水</w:t>
                  </w:r>
                </w:p>
              </w:tc>
              <w:tc>
                <w:tcPr>
                  <w:tcW w:w="2618" w:type="pct"/>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rPr>
                  </w:pPr>
                  <w:r>
                    <w:rPr>
                      <w:rFonts w:hint="default" w:ascii="Times New Roman" w:hAnsi="Times New Roman" w:eastAsia="宋体" w:cs="Times New Roman"/>
                      <w:color w:val="auto"/>
                      <w:szCs w:val="21"/>
                      <w:shd w:val="clear" w:color="auto" w:fill="auto"/>
                    </w:rPr>
                    <w:t>涉及集中式饮用水水源和热水、矿泉水、温泉等特殊地下水资源保护区</w:t>
                  </w:r>
                </w:p>
              </w:tc>
              <w:tc>
                <w:tcPr>
                  <w:tcW w:w="1722" w:type="pct"/>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rPr>
                  </w:pPr>
                  <w:r>
                    <w:rPr>
                      <w:rFonts w:hint="eastAsia" w:ascii="Times New Roman" w:hAnsi="Times New Roman" w:eastAsia="宋体" w:cs="Times New Roman"/>
                      <w:color w:val="auto"/>
                      <w:szCs w:val="21"/>
                      <w:shd w:val="clear" w:color="auto" w:fill="auto"/>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noWrap w:val="0"/>
                  <w:vAlign w:val="center"/>
                </w:tcPr>
                <w:p>
                  <w:pPr>
                    <w:adjustRightInd w:val="0"/>
                    <w:snapToGrid w:val="0"/>
                    <w:spacing w:line="240" w:lineRule="auto"/>
                    <w:jc w:val="left"/>
                    <w:rPr>
                      <w:rFonts w:hint="default" w:ascii="Times New Roman" w:hAnsi="Times New Roman" w:eastAsia="宋体" w:cs="Times New Roman"/>
                      <w:color w:val="auto"/>
                      <w:szCs w:val="21"/>
                      <w:shd w:val="clear" w:color="auto" w:fill="auto"/>
                    </w:rPr>
                  </w:pPr>
                  <w:r>
                    <w:rPr>
                      <w:rFonts w:hint="default" w:ascii="Times New Roman" w:hAnsi="Times New Roman" w:eastAsia="宋体" w:cs="Times New Roman"/>
                      <w:color w:val="auto"/>
                      <w:szCs w:val="21"/>
                      <w:shd w:val="clear" w:color="auto" w:fill="auto"/>
                    </w:rPr>
                    <w:t>注：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 169）附录B、附录C。</w:t>
                  </w:r>
                </w:p>
              </w:tc>
            </w:tr>
          </w:tbl>
          <w:p>
            <w:pPr>
              <w:autoSpaceDE w:val="0"/>
              <w:autoSpaceDN w:val="0"/>
              <w:adjustRightInd w:val="0"/>
              <w:snapToGrid w:val="0"/>
              <w:jc w:val="center"/>
              <w:rPr>
                <w:color w:val="auto"/>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1" w:type="dxa"/>
            <w:noWrap w:val="0"/>
            <w:vAlign w:val="center"/>
          </w:tcPr>
          <w:p>
            <w:pPr>
              <w:adjustRightInd w:val="0"/>
              <w:snapToGrid w:val="0"/>
              <w:jc w:val="center"/>
              <w:rPr>
                <w:color w:val="auto"/>
                <w:sz w:val="24"/>
              </w:rPr>
            </w:pPr>
            <w:r>
              <w:rPr>
                <w:color w:val="auto"/>
                <w:sz w:val="24"/>
              </w:rPr>
              <w:t>规划</w:t>
            </w:r>
          </w:p>
          <w:p>
            <w:pPr>
              <w:adjustRightInd w:val="0"/>
              <w:snapToGrid w:val="0"/>
              <w:jc w:val="center"/>
              <w:rPr>
                <w:color w:val="auto"/>
                <w:sz w:val="24"/>
              </w:rPr>
            </w:pPr>
            <w:r>
              <w:rPr>
                <w:color w:val="auto"/>
                <w:sz w:val="24"/>
              </w:rPr>
              <w:t>情况</w:t>
            </w:r>
          </w:p>
        </w:tc>
        <w:tc>
          <w:tcPr>
            <w:tcW w:w="7879" w:type="dxa"/>
            <w:gridSpan w:val="3"/>
            <w:noWrap w:val="0"/>
            <w:vAlign w:val="center"/>
          </w:tcPr>
          <w:p>
            <w:pPr>
              <w:autoSpaceDE w:val="0"/>
              <w:autoSpaceDN w:val="0"/>
              <w:adjustRightInd w:val="0"/>
              <w:snapToGrid w:val="0"/>
              <w:rPr>
                <w:rFonts w:hint="default"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规划名称</w:t>
            </w:r>
            <w:r>
              <w:rPr>
                <w:rFonts w:hint="eastAsia" w:cs="Times New Roman"/>
                <w:color w:val="auto"/>
                <w:kern w:val="0"/>
                <w:sz w:val="24"/>
                <w:lang w:val="en-US" w:eastAsia="zh-CN"/>
              </w:rPr>
              <w:t>：《重庆市铜梁区镇域工业集聚区发展规划（2021~2025）》</w:t>
            </w:r>
          </w:p>
          <w:p>
            <w:pPr>
              <w:autoSpaceDE w:val="0"/>
              <w:autoSpaceDN w:val="0"/>
              <w:adjustRightInd w:val="0"/>
              <w:snapToGrid w:val="0"/>
              <w:rPr>
                <w:rFonts w:hint="default"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审批机关</w:t>
            </w:r>
            <w:r>
              <w:rPr>
                <w:rFonts w:hint="eastAsia" w:cs="Times New Roman"/>
                <w:color w:val="auto"/>
                <w:kern w:val="0"/>
                <w:sz w:val="24"/>
                <w:lang w:val="en-US" w:eastAsia="zh-CN"/>
              </w:rPr>
              <w:t>：重庆市铜梁区人民政府</w:t>
            </w:r>
          </w:p>
          <w:p>
            <w:pPr>
              <w:autoSpaceDE w:val="0"/>
              <w:autoSpaceDN w:val="0"/>
              <w:adjustRightInd w:val="0"/>
              <w:snapToGrid w:val="0"/>
              <w:rPr>
                <w:rFonts w:hint="default"/>
                <w:color w:val="auto"/>
                <w:sz w:val="24"/>
                <w:lang w:val="en-US" w:eastAsia="zh-CN"/>
              </w:rPr>
            </w:pPr>
            <w:r>
              <w:rPr>
                <w:rFonts w:hint="eastAsia" w:ascii="Times New Roman" w:hAnsi="Times New Roman" w:cs="Times New Roman"/>
                <w:color w:val="auto"/>
                <w:kern w:val="0"/>
                <w:sz w:val="24"/>
                <w:lang w:val="en-US" w:eastAsia="zh-CN"/>
              </w:rPr>
              <w:t>审查文件</w:t>
            </w:r>
            <w:r>
              <w:rPr>
                <w:rFonts w:hint="eastAsia" w:cs="Times New Roman"/>
                <w:color w:val="auto"/>
                <w:kern w:val="0"/>
                <w:sz w:val="24"/>
                <w:lang w:val="en-US" w:eastAsia="zh-CN"/>
              </w:rPr>
              <w:t>：铜梁区第十七届人民政府第122次常务会议纪要（摘录）（铜府纪要[2020]21号）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1" w:type="dxa"/>
            <w:noWrap w:val="0"/>
            <w:vAlign w:val="center"/>
          </w:tcPr>
          <w:p>
            <w:pPr>
              <w:adjustRightInd w:val="0"/>
              <w:snapToGrid w:val="0"/>
              <w:jc w:val="center"/>
              <w:rPr>
                <w:color w:val="auto"/>
                <w:kern w:val="0"/>
                <w:sz w:val="24"/>
              </w:rPr>
            </w:pPr>
            <w:r>
              <w:rPr>
                <w:color w:val="auto"/>
                <w:sz w:val="24"/>
              </w:rPr>
              <w:t>规划环境影响评价情况</w:t>
            </w:r>
          </w:p>
        </w:tc>
        <w:tc>
          <w:tcPr>
            <w:tcW w:w="7879" w:type="dxa"/>
            <w:gridSpan w:val="3"/>
            <w:noWrap w:val="0"/>
            <w:vAlign w:val="center"/>
          </w:tcPr>
          <w:p>
            <w:pPr>
              <w:autoSpaceDE w:val="0"/>
              <w:autoSpaceDN w:val="0"/>
              <w:adjustRightInd w:val="0"/>
              <w:snapToGrid w:val="0"/>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r>
              <w:rPr>
                <w:rFonts w:hint="eastAsia" w:cs="Times New Roman"/>
                <w:color w:val="auto"/>
                <w:kern w:val="0"/>
                <w:sz w:val="24"/>
                <w:lang w:val="en-US" w:eastAsia="zh-CN"/>
              </w:rPr>
              <w:t>重庆市铜梁区镇域工业集聚区发展规划（2021~2025）环境影响报告书</w:t>
            </w:r>
            <w:r>
              <w:rPr>
                <w:rFonts w:hint="default" w:ascii="Times New Roman" w:hAnsi="Times New Roman" w:cs="Times New Roman"/>
                <w:color w:val="auto"/>
                <w:kern w:val="0"/>
                <w:sz w:val="24"/>
              </w:rPr>
              <w:t>》；</w:t>
            </w:r>
          </w:p>
          <w:p>
            <w:pPr>
              <w:autoSpaceDE w:val="0"/>
              <w:autoSpaceDN w:val="0"/>
              <w:adjustRightInd w:val="0"/>
              <w:snapToGrid w:val="0"/>
              <w:rPr>
                <w:rFonts w:hint="default" w:ascii="Times New Roman" w:hAnsi="Times New Roman" w:cs="Times New Roman"/>
                <w:color w:val="auto"/>
                <w:kern w:val="0"/>
                <w:sz w:val="24"/>
              </w:rPr>
            </w:pPr>
            <w:r>
              <w:rPr>
                <w:rFonts w:hint="default" w:ascii="Times New Roman" w:hAnsi="Times New Roman" w:cs="Times New Roman"/>
                <w:color w:val="auto"/>
                <w:kern w:val="0"/>
                <w:sz w:val="24"/>
              </w:rPr>
              <w:t>重庆市</w:t>
            </w:r>
            <w:r>
              <w:rPr>
                <w:rFonts w:hint="eastAsia" w:cs="Times New Roman"/>
                <w:color w:val="auto"/>
                <w:kern w:val="0"/>
                <w:sz w:val="24"/>
                <w:lang w:val="en-US" w:eastAsia="zh-CN"/>
              </w:rPr>
              <w:t>铜梁区</w:t>
            </w:r>
            <w:r>
              <w:rPr>
                <w:rFonts w:hint="default" w:ascii="Times New Roman" w:hAnsi="Times New Roman" w:cs="Times New Roman"/>
                <w:color w:val="auto"/>
                <w:kern w:val="0"/>
                <w:sz w:val="24"/>
              </w:rPr>
              <w:t>生态环境局；</w:t>
            </w:r>
          </w:p>
          <w:p>
            <w:pPr>
              <w:autoSpaceDE w:val="0"/>
              <w:autoSpaceDN w:val="0"/>
              <w:adjustRightInd w:val="0"/>
              <w:snapToGrid w:val="0"/>
              <w:rPr>
                <w:rFonts w:cs="Times New Roman"/>
                <w:color w:val="auto"/>
              </w:rPr>
            </w:pPr>
            <w:r>
              <w:rPr>
                <w:rFonts w:hint="eastAsia" w:cs="Times New Roman"/>
                <w:color w:val="auto"/>
                <w:kern w:val="0"/>
                <w:sz w:val="24"/>
                <w:lang w:val="en-US" w:eastAsia="zh-CN"/>
              </w:rPr>
              <w:t>关于重庆市铜梁区镇域工业集聚区发展规划（2021~2025）环境影响报告书审查意见的函（铜环函[2020]290号）</w:t>
            </w:r>
            <w:r>
              <w:rPr>
                <w:rFonts w:hint="default" w:ascii="Times New Roman" w:hAnsi="Times New Roman" w:cs="Times New Roman"/>
                <w:color w:val="auto"/>
                <w:kern w:val="0"/>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991" w:type="dxa"/>
            <w:noWrap w:val="0"/>
            <w:vAlign w:val="center"/>
          </w:tcPr>
          <w:p>
            <w:pPr>
              <w:adjustRightInd w:val="0"/>
              <w:snapToGrid w:val="0"/>
              <w:spacing w:line="360" w:lineRule="auto"/>
              <w:jc w:val="center"/>
              <w:rPr>
                <w:rFonts w:hint="eastAsia" w:ascii="宋体" w:hAnsi="宋体" w:cs="宋体"/>
                <w:color w:val="auto"/>
                <w:sz w:val="24"/>
                <w:highlight w:val="yellow"/>
              </w:rPr>
            </w:pPr>
            <w:r>
              <w:rPr>
                <w:rFonts w:hint="eastAsia" w:ascii="宋体" w:hAnsi="宋体" w:cs="宋体"/>
                <w:color w:val="auto"/>
                <w:sz w:val="24"/>
                <w:highlight w:val="none"/>
              </w:rPr>
              <w:t>规划及规划环境影响评价符合性分析</w:t>
            </w:r>
          </w:p>
        </w:tc>
        <w:tc>
          <w:tcPr>
            <w:tcW w:w="7879" w:type="dxa"/>
            <w:gridSpan w:val="3"/>
            <w:noWrap w:val="0"/>
            <w:vAlign w:val="center"/>
          </w:tcPr>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default" w:cs="Times New Roman"/>
                <w:b w:val="0"/>
                <w:bCs/>
                <w:snapToGrid w:val="0"/>
                <w:color w:val="auto"/>
                <w:kern w:val="0"/>
                <w:sz w:val="24"/>
                <w:highlight w:val="none"/>
                <w:lang w:val="en-US" w:eastAsia="zh-CN"/>
              </w:rPr>
            </w:pPr>
            <w:r>
              <w:rPr>
                <w:rFonts w:hint="eastAsia" w:cs="Times New Roman"/>
                <w:b w:val="0"/>
                <w:bCs/>
                <w:snapToGrid w:val="0"/>
                <w:color w:val="auto"/>
                <w:kern w:val="0"/>
                <w:sz w:val="24"/>
                <w:highlight w:val="none"/>
                <w:lang w:val="en-US" w:eastAsia="zh-CN"/>
              </w:rPr>
              <w:t>1.</w:t>
            </w:r>
            <w:r>
              <w:rPr>
                <w:rFonts w:hint="default" w:cs="Times New Roman"/>
                <w:b w:val="0"/>
                <w:bCs/>
                <w:snapToGrid w:val="0"/>
                <w:color w:val="auto"/>
                <w:kern w:val="0"/>
                <w:sz w:val="24"/>
                <w:highlight w:val="none"/>
                <w:lang w:val="en-US" w:eastAsia="zh-CN"/>
              </w:rPr>
              <w:t>1</w:t>
            </w:r>
            <w:r>
              <w:rPr>
                <w:rFonts w:hint="eastAsia" w:cs="Times New Roman"/>
                <w:b w:val="0"/>
                <w:bCs/>
                <w:snapToGrid w:val="0"/>
                <w:color w:val="auto"/>
                <w:kern w:val="0"/>
                <w:sz w:val="24"/>
                <w:highlight w:val="none"/>
                <w:lang w:val="en-US" w:eastAsia="zh-CN"/>
              </w:rPr>
              <w:t xml:space="preserve">、与重庆市铜梁区镇域工业发展规划（2021~2025）符合性分析 </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default" w:cs="Times New Roman"/>
                <w:b w:val="0"/>
                <w:bCs/>
                <w:snapToGrid w:val="0"/>
                <w:color w:val="auto"/>
                <w:kern w:val="0"/>
                <w:sz w:val="24"/>
                <w:highlight w:val="none"/>
                <w:lang w:val="en-US" w:eastAsia="zh-CN"/>
              </w:rPr>
            </w:pPr>
            <w:r>
              <w:rPr>
                <w:rFonts w:hint="eastAsia" w:cs="Times New Roman"/>
                <w:b w:val="0"/>
                <w:bCs/>
                <w:snapToGrid w:val="0"/>
                <w:color w:val="auto"/>
                <w:kern w:val="0"/>
                <w:sz w:val="24"/>
                <w:highlight w:val="none"/>
                <w:lang w:val="en-US" w:eastAsia="zh-CN"/>
              </w:rPr>
              <w:t>项目与重庆市铜梁区镇域工业发展规划（2021~2025）符合性分析，详见下表。</w:t>
            </w:r>
          </w:p>
          <w:p>
            <w:pPr>
              <w:keepNext w:val="0"/>
              <w:keepLines w:val="0"/>
              <w:pageBreakBefore w:val="0"/>
              <w:widowControl/>
              <w:kinsoku/>
              <w:wordWrap/>
              <w:overflowPunct/>
              <w:topLinePunct w:val="0"/>
              <w:autoSpaceDE/>
              <w:autoSpaceDN/>
              <w:bidi w:val="0"/>
              <w:adjustRightInd w:val="0"/>
              <w:snapToGrid/>
              <w:spacing w:line="360" w:lineRule="auto"/>
              <w:ind w:firstLine="0" w:firstLineChars="0"/>
              <w:jc w:val="center"/>
              <w:textAlignment w:val="auto"/>
              <w:rPr>
                <w:rFonts w:hint="default" w:ascii="Times New Roman" w:hAnsi="Times New Roman" w:eastAsia="宋体" w:cs="Times New Roman"/>
                <w:bCs/>
                <w:snapToGrid w:val="0"/>
                <w:color w:val="auto"/>
                <w:kern w:val="0"/>
                <w:sz w:val="24"/>
                <w:lang w:val="en-US" w:eastAsia="zh-CN"/>
              </w:rPr>
            </w:pPr>
            <w:r>
              <w:rPr>
                <w:rFonts w:hint="eastAsia" w:ascii="Times New Roman" w:hAnsi="Times New Roman" w:eastAsia="宋体" w:cs="Times New Roman"/>
                <w:bCs/>
                <w:snapToGrid w:val="0"/>
                <w:color w:val="auto"/>
                <w:kern w:val="0"/>
                <w:sz w:val="24"/>
                <w:lang w:val="en-US" w:eastAsia="zh-CN"/>
              </w:rPr>
              <w:t>表1-1 侣俸工业聚集规划符合性分析</w:t>
            </w:r>
          </w:p>
          <w:tbl>
            <w:tblPr>
              <w:tblStyle w:val="16"/>
              <w:tblW w:w="7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645"/>
              <w:gridCol w:w="2745"/>
              <w:gridCol w:w="2940"/>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4" w:type="dxa"/>
                  <w:gridSpan w:val="2"/>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cs="Times New Roman"/>
                      <w:color w:val="auto"/>
                      <w:szCs w:val="21"/>
                      <w:shd w:val="clear" w:color="auto" w:fill="auto"/>
                      <w:lang w:val="en-US" w:eastAsia="zh-CN"/>
                    </w:rPr>
                    <w:t>优化调整</w:t>
                  </w:r>
                </w:p>
              </w:tc>
              <w:tc>
                <w:tcPr>
                  <w:tcW w:w="2745"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cs="Times New Roman"/>
                      <w:color w:val="auto"/>
                      <w:szCs w:val="21"/>
                      <w:shd w:val="clear" w:color="auto" w:fill="auto"/>
                      <w:lang w:val="en-US" w:eastAsia="zh-CN"/>
                    </w:rPr>
                    <w:t>规划内容</w:t>
                  </w:r>
                </w:p>
              </w:tc>
              <w:tc>
                <w:tcPr>
                  <w:tcW w:w="2940"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cs="Times New Roman"/>
                      <w:color w:val="auto"/>
                      <w:szCs w:val="21"/>
                      <w:shd w:val="clear" w:color="auto" w:fill="auto"/>
                      <w:lang w:val="en-US" w:eastAsia="zh-CN"/>
                    </w:rPr>
                    <w:t>项目情况</w:t>
                  </w:r>
                </w:p>
              </w:tc>
              <w:tc>
                <w:tcPr>
                  <w:tcW w:w="694"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cs="Times New Roman"/>
                      <w:color w:val="auto"/>
                      <w:szCs w:val="21"/>
                      <w:shd w:val="clear" w:color="auto" w:fill="auto"/>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gridSpan w:val="2"/>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cs="Times New Roman"/>
                      <w:color w:val="auto"/>
                      <w:szCs w:val="21"/>
                      <w:shd w:val="clear" w:color="auto" w:fill="auto"/>
                      <w:lang w:val="en-US" w:eastAsia="zh-CN"/>
                    </w:rPr>
                    <w:t>规划产业定位</w:t>
                  </w:r>
                </w:p>
              </w:tc>
              <w:tc>
                <w:tcPr>
                  <w:tcW w:w="2745"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cs="Times New Roman"/>
                      <w:color w:val="auto"/>
                      <w:szCs w:val="21"/>
                      <w:shd w:val="clear" w:color="auto" w:fill="auto"/>
                      <w:lang w:val="en-US" w:eastAsia="zh-CN"/>
                    </w:rPr>
                    <w:t>农副食品加工、机械加工、建筑材料制造</w:t>
                  </w:r>
                </w:p>
              </w:tc>
              <w:tc>
                <w:tcPr>
                  <w:tcW w:w="2940"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cs="Times New Roman"/>
                      <w:color w:val="auto"/>
                      <w:sz w:val="21"/>
                      <w:szCs w:val="21"/>
                      <w:shd w:val="clear" w:color="auto" w:fill="auto"/>
                      <w:lang w:val="en-US" w:eastAsia="zh-CN"/>
                    </w:rPr>
                    <w:t>项目属于</w:t>
                  </w:r>
                  <w:r>
                    <w:rPr>
                      <w:rFonts w:hint="eastAsia"/>
                      <w:color w:val="auto"/>
                      <w:sz w:val="21"/>
                      <w:szCs w:val="21"/>
                      <w:highlight w:val="none"/>
                      <w:lang w:val="en-US" w:eastAsia="zh-CN"/>
                    </w:rPr>
                    <w:t>塑料包装箱及容器制造，不属于禁止准入类项目</w:t>
                  </w:r>
                </w:p>
              </w:tc>
              <w:tc>
                <w:tcPr>
                  <w:tcW w:w="694"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cs="Times New Roman"/>
                      <w:color w:val="auto"/>
                      <w:szCs w:val="21"/>
                      <w:shd w:val="clear" w:color="auto" w:fil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cs="Times New Roman"/>
                      <w:color w:val="auto"/>
                      <w:szCs w:val="21"/>
                      <w:shd w:val="clear" w:color="auto" w:fill="auto"/>
                      <w:lang w:val="en-US" w:eastAsia="zh-CN"/>
                    </w:rPr>
                    <w:t>规划布局</w:t>
                  </w:r>
                </w:p>
              </w:tc>
              <w:tc>
                <w:tcPr>
                  <w:tcW w:w="645"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cs="Times New Roman"/>
                      <w:color w:val="auto"/>
                      <w:szCs w:val="21"/>
                      <w:shd w:val="clear" w:color="auto" w:fill="auto"/>
                      <w:lang w:val="en-US" w:eastAsia="zh-CN"/>
                    </w:rPr>
                    <w:t>用地布局</w:t>
                  </w:r>
                </w:p>
              </w:tc>
              <w:tc>
                <w:tcPr>
                  <w:tcW w:w="2745" w:type="dxa"/>
                  <w:vAlign w:val="center"/>
                </w:tcPr>
                <w:p>
                  <w:pPr>
                    <w:adjustRightInd w:val="0"/>
                    <w:snapToGrid w:val="0"/>
                    <w:spacing w:line="240" w:lineRule="auto"/>
                    <w:jc w:val="center"/>
                    <w:rPr>
                      <w:rFonts w:hint="eastAsia"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位于侣俸镇中心镇区西北侧和东南侧，与规划的居住区相邻，目前周边有较为集中的场镇居民</w:t>
                  </w:r>
                </w:p>
              </w:tc>
              <w:tc>
                <w:tcPr>
                  <w:tcW w:w="2940" w:type="dxa"/>
                  <w:vAlign w:val="center"/>
                </w:tcPr>
                <w:p>
                  <w:pPr>
                    <w:adjustRightInd w:val="0"/>
                    <w:snapToGrid w:val="0"/>
                    <w:spacing w:line="240" w:lineRule="auto"/>
                    <w:jc w:val="center"/>
                    <w:rPr>
                      <w:rFonts w:hint="default"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项目位于</w:t>
                  </w:r>
                  <w:r>
                    <w:rPr>
                      <w:rFonts w:hint="eastAsia"/>
                      <w:color w:val="auto"/>
                      <w:sz w:val="21"/>
                      <w:szCs w:val="21"/>
                      <w:highlight w:val="none"/>
                      <w:lang w:val="en-US" w:eastAsia="zh-CN"/>
                    </w:rPr>
                    <w:t>侣俸镇工业园区创业路2号，属于侣俸镇工业聚集区，项目为塑料包装箱及容器制造项目，污染相对较轻</w:t>
                  </w:r>
                </w:p>
              </w:tc>
              <w:tc>
                <w:tcPr>
                  <w:tcW w:w="694" w:type="dxa"/>
                  <w:vAlign w:val="center"/>
                </w:tcPr>
                <w:p>
                  <w:pPr>
                    <w:adjustRightInd w:val="0"/>
                    <w:snapToGrid w:val="0"/>
                    <w:spacing w:line="240" w:lineRule="auto"/>
                    <w:jc w:val="center"/>
                    <w:rPr>
                      <w:rFonts w:hint="eastAsia" w:ascii="Times New Roman" w:hAnsi="Times New Roman" w:eastAsia="宋体" w:cs="Times New Roman"/>
                      <w:color w:val="auto"/>
                      <w:sz w:val="21"/>
                      <w:szCs w:val="21"/>
                      <w:shd w:val="clear" w:color="auto" w:fill="auto"/>
                      <w:lang w:val="en-US" w:eastAsia="zh-CN"/>
                    </w:rPr>
                  </w:pPr>
                  <w:r>
                    <w:rPr>
                      <w:rFonts w:hint="eastAsia" w:cs="Times New Roman"/>
                      <w:color w:val="auto"/>
                      <w:szCs w:val="21"/>
                      <w:shd w:val="clear" w:color="auto" w:fill="auto"/>
                      <w:lang w:val="en-US" w:eastAsia="zh-CN"/>
                    </w:rPr>
                    <w:t>符合</w:t>
                  </w:r>
                </w:p>
              </w:tc>
            </w:tr>
          </w:tbl>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default" w:cs="Times New Roman"/>
                <w:b w:val="0"/>
                <w:bCs/>
                <w:snapToGrid w:val="0"/>
                <w:color w:val="auto"/>
                <w:kern w:val="0"/>
                <w:sz w:val="24"/>
                <w:highlight w:val="none"/>
                <w:lang w:val="en-US" w:eastAsia="zh-CN"/>
              </w:rPr>
            </w:pPr>
            <w:r>
              <w:rPr>
                <w:rFonts w:hint="eastAsia" w:cs="Times New Roman"/>
                <w:b w:val="0"/>
                <w:bCs/>
                <w:snapToGrid w:val="0"/>
                <w:color w:val="auto"/>
                <w:kern w:val="0"/>
                <w:sz w:val="24"/>
                <w:highlight w:val="none"/>
                <w:lang w:val="en-US" w:eastAsia="zh-CN"/>
              </w:rPr>
              <w:t>1.2 与重庆市铜梁区镇域工业发展规划（2021~2025）环境影响报告书及其审查意见的函的符合性分析</w:t>
            </w:r>
          </w:p>
          <w:p>
            <w:pPr>
              <w:keepNext w:val="0"/>
              <w:keepLines w:val="0"/>
              <w:pageBreakBefore w:val="0"/>
              <w:widowControl/>
              <w:kinsoku/>
              <w:wordWrap/>
              <w:overflowPunct/>
              <w:topLinePunct w:val="0"/>
              <w:autoSpaceDE/>
              <w:autoSpaceDN/>
              <w:bidi w:val="0"/>
              <w:adjustRightInd w:val="0"/>
              <w:snapToGrid/>
              <w:spacing w:line="360" w:lineRule="auto"/>
              <w:ind w:firstLine="0" w:firstLineChars="0"/>
              <w:jc w:val="center"/>
              <w:textAlignment w:val="auto"/>
              <w:rPr>
                <w:rFonts w:hint="default" w:ascii="Times New Roman" w:hAnsi="Times New Roman" w:eastAsia="宋体" w:cs="Times New Roman"/>
                <w:bCs/>
                <w:snapToGrid w:val="0"/>
                <w:color w:val="auto"/>
                <w:kern w:val="0"/>
                <w:sz w:val="24"/>
                <w:lang w:val="en-US" w:eastAsia="zh-CN"/>
              </w:rPr>
            </w:pPr>
            <w:r>
              <w:rPr>
                <w:rFonts w:hint="eastAsia" w:ascii="Times New Roman" w:hAnsi="Times New Roman" w:eastAsia="宋体" w:cs="Times New Roman"/>
                <w:bCs/>
                <w:snapToGrid w:val="0"/>
                <w:color w:val="auto"/>
                <w:kern w:val="0"/>
                <w:sz w:val="24"/>
                <w:lang w:val="en-US" w:eastAsia="zh-CN"/>
              </w:rPr>
              <w:t>表1-2 与侣俸镇污染物排放总量管控限值清单的符合性分析 单位：t/a</w:t>
            </w:r>
          </w:p>
          <w:tbl>
            <w:tblPr>
              <w:tblStyle w:val="16"/>
              <w:tblW w:w="7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110"/>
              <w:gridCol w:w="1500"/>
              <w:gridCol w:w="690"/>
              <w:gridCol w:w="1065"/>
              <w:gridCol w:w="1920"/>
              <w:gridCol w:w="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4" w:type="dxa"/>
                  <w:gridSpan w:val="3"/>
                  <w:vMerge w:val="restart"/>
                  <w:vAlign w:val="center"/>
                </w:tcPr>
                <w:p>
                  <w:pPr>
                    <w:adjustRightInd w:val="0"/>
                    <w:snapToGrid w:val="0"/>
                    <w:spacing w:line="240" w:lineRule="auto"/>
                    <w:jc w:val="center"/>
                    <w:rPr>
                      <w:rFonts w:hint="eastAsia" w:cs="Times New Roman"/>
                      <w:color w:val="auto"/>
                      <w:szCs w:val="21"/>
                      <w:shd w:val="clear" w:color="auto" w:fill="auto"/>
                      <w:lang w:val="en-US" w:eastAsia="zh-CN"/>
                    </w:rPr>
                  </w:pPr>
                  <w:r>
                    <w:rPr>
                      <w:rFonts w:hint="eastAsia" w:cs="Times New Roman"/>
                      <w:color w:val="auto"/>
                      <w:szCs w:val="21"/>
                      <w:shd w:val="clear" w:color="auto" w:fill="auto"/>
                      <w:lang w:val="en-US" w:eastAsia="zh-CN"/>
                    </w:rPr>
                    <w:t>规划期（2021~2025）</w:t>
                  </w:r>
                </w:p>
              </w:tc>
              <w:tc>
                <w:tcPr>
                  <w:tcW w:w="1755" w:type="dxa"/>
                  <w:gridSpan w:val="2"/>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规划完成</w:t>
                  </w:r>
                </w:p>
              </w:tc>
              <w:tc>
                <w:tcPr>
                  <w:tcW w:w="1920" w:type="dxa"/>
                  <w:vMerge w:val="restart"/>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项目情况</w:t>
                  </w:r>
                </w:p>
              </w:tc>
              <w:tc>
                <w:tcPr>
                  <w:tcW w:w="724" w:type="dxa"/>
                  <w:vMerge w:val="restart"/>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4" w:type="dxa"/>
                  <w:gridSpan w:val="3"/>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690" w:type="dxa"/>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总量</w:t>
                  </w:r>
                </w:p>
              </w:tc>
              <w:tc>
                <w:tcPr>
                  <w:tcW w:w="1065" w:type="dxa"/>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环境质量变化趋势，能否达环境质量底线</w:t>
                  </w:r>
                </w:p>
              </w:tc>
              <w:tc>
                <w:tcPr>
                  <w:tcW w:w="1920" w:type="dxa"/>
                  <w:vMerge w:val="continue"/>
                  <w:vAlign w:val="center"/>
                </w:tcPr>
                <w:p>
                  <w:pPr>
                    <w:adjustRightInd w:val="0"/>
                    <w:snapToGrid w:val="0"/>
                    <w:spacing w:line="240" w:lineRule="auto"/>
                    <w:jc w:val="center"/>
                    <w:rPr>
                      <w:rFonts w:hint="default" w:cs="Times New Roman"/>
                      <w:color w:val="auto"/>
                      <w:szCs w:val="21"/>
                      <w:shd w:val="clear" w:color="auto" w:fill="auto"/>
                      <w:lang w:val="en-US" w:eastAsia="zh-CN"/>
                    </w:rPr>
                  </w:pPr>
                </w:p>
              </w:tc>
              <w:tc>
                <w:tcPr>
                  <w:tcW w:w="724" w:type="dxa"/>
                  <w:vMerge w:val="continue"/>
                  <w:vAlign w:val="center"/>
                </w:tcPr>
                <w:p>
                  <w:pPr>
                    <w:adjustRightInd w:val="0"/>
                    <w:snapToGrid w:val="0"/>
                    <w:spacing w:line="240" w:lineRule="auto"/>
                    <w:jc w:val="center"/>
                    <w:rPr>
                      <w:rFonts w:hint="default" w:cs="Times New Roman"/>
                      <w:color w:val="auto"/>
                      <w:szCs w:val="21"/>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654" w:type="dxa"/>
                  <w:vMerge w:val="restart"/>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水污染物总量管控限值</w:t>
                  </w:r>
                </w:p>
              </w:tc>
              <w:tc>
                <w:tcPr>
                  <w:tcW w:w="1110" w:type="dxa"/>
                  <w:vMerge w:val="restart"/>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COD</w:t>
                  </w:r>
                </w:p>
              </w:tc>
              <w:tc>
                <w:tcPr>
                  <w:tcW w:w="1500" w:type="dxa"/>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现状排放量</w:t>
                  </w:r>
                </w:p>
              </w:tc>
              <w:tc>
                <w:tcPr>
                  <w:tcW w:w="690" w:type="dxa"/>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4.37</w:t>
                  </w:r>
                </w:p>
              </w:tc>
              <w:tc>
                <w:tcPr>
                  <w:tcW w:w="1065" w:type="dxa"/>
                  <w:vMerge w:val="restart"/>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增加，满足环境质量底线</w:t>
                  </w:r>
                </w:p>
              </w:tc>
              <w:tc>
                <w:tcPr>
                  <w:tcW w:w="1920" w:type="dxa"/>
                  <w:vMerge w:val="restart"/>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废水经自建生化池处理</w:t>
                  </w:r>
                  <w:r>
                    <w:rPr>
                      <w:rFonts w:hint="eastAsia"/>
                      <w:color w:val="auto"/>
                      <w:kern w:val="0"/>
                      <w:szCs w:val="21"/>
                      <w:highlight w:val="none"/>
                      <w:lang w:val="en-US" w:eastAsia="zh-CN" w:bidi="ar"/>
                    </w:rPr>
                    <w:t>达标后排入铜梁侣俸污水处理厂深度处理达标后排入侣俸河。废水新增总量为：COD：0.014t/a；氨氮：0.002t/a</w:t>
                  </w:r>
                </w:p>
              </w:tc>
              <w:tc>
                <w:tcPr>
                  <w:tcW w:w="724" w:type="dxa"/>
                  <w:vMerge w:val="restart"/>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符合，满足总量管控限值要求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110"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500" w:type="dxa"/>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预测新增量</w:t>
                  </w:r>
                </w:p>
              </w:tc>
              <w:tc>
                <w:tcPr>
                  <w:tcW w:w="690" w:type="dxa"/>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8.04</w:t>
                  </w:r>
                </w:p>
              </w:tc>
              <w:tc>
                <w:tcPr>
                  <w:tcW w:w="1065"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920"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724"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110"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500" w:type="dxa"/>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总量管控限值</w:t>
                  </w:r>
                </w:p>
              </w:tc>
              <w:tc>
                <w:tcPr>
                  <w:tcW w:w="690" w:type="dxa"/>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12.41</w:t>
                  </w:r>
                </w:p>
              </w:tc>
              <w:tc>
                <w:tcPr>
                  <w:tcW w:w="1065"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920"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724"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110" w:type="dxa"/>
                  <w:vMerge w:val="restart"/>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氨氮</w:t>
                  </w:r>
                </w:p>
              </w:tc>
              <w:tc>
                <w:tcPr>
                  <w:tcW w:w="1500" w:type="dxa"/>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Cs w:val="21"/>
                      <w:shd w:val="clear" w:color="auto" w:fill="auto"/>
                      <w:lang w:val="en-US" w:eastAsia="zh-CN"/>
                    </w:rPr>
                    <w:t>现状排放量</w:t>
                  </w:r>
                </w:p>
              </w:tc>
              <w:tc>
                <w:tcPr>
                  <w:tcW w:w="690" w:type="dxa"/>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0.25</w:t>
                  </w:r>
                </w:p>
              </w:tc>
              <w:tc>
                <w:tcPr>
                  <w:tcW w:w="1065"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920"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724"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110"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500" w:type="dxa"/>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Cs w:val="21"/>
                      <w:shd w:val="clear" w:color="auto" w:fill="auto"/>
                      <w:lang w:val="en-US" w:eastAsia="zh-CN"/>
                    </w:rPr>
                    <w:t>预测新增量</w:t>
                  </w:r>
                </w:p>
              </w:tc>
              <w:tc>
                <w:tcPr>
                  <w:tcW w:w="690" w:type="dxa"/>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2.68</w:t>
                  </w:r>
                </w:p>
              </w:tc>
              <w:tc>
                <w:tcPr>
                  <w:tcW w:w="1065"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920"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724"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110"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500" w:type="dxa"/>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Cs w:val="21"/>
                      <w:shd w:val="clear" w:color="auto" w:fill="auto"/>
                      <w:lang w:val="en-US" w:eastAsia="zh-CN"/>
                    </w:rPr>
                    <w:t>总量管控限值</w:t>
                  </w:r>
                </w:p>
              </w:tc>
              <w:tc>
                <w:tcPr>
                  <w:tcW w:w="690" w:type="dxa"/>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2.93</w:t>
                  </w:r>
                </w:p>
              </w:tc>
              <w:tc>
                <w:tcPr>
                  <w:tcW w:w="1065"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920"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724"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restart"/>
                  <w:vAlign w:val="center"/>
                </w:tcPr>
                <w:p>
                  <w:pPr>
                    <w:adjustRightInd w:val="0"/>
                    <w:snapToGrid w:val="0"/>
                    <w:spacing w:line="240" w:lineRule="auto"/>
                    <w:jc w:val="center"/>
                    <w:rPr>
                      <w:rFonts w:hint="eastAsia" w:cs="Times New Roman"/>
                      <w:color w:val="auto"/>
                      <w:szCs w:val="21"/>
                      <w:shd w:val="clear" w:color="auto" w:fill="auto"/>
                      <w:lang w:val="en-US" w:eastAsia="zh-CN"/>
                    </w:rPr>
                  </w:pPr>
                  <w:r>
                    <w:rPr>
                      <w:rFonts w:hint="eastAsia" w:cs="Times New Roman"/>
                      <w:color w:val="auto"/>
                      <w:szCs w:val="21"/>
                      <w:shd w:val="clear" w:color="auto" w:fill="auto"/>
                      <w:lang w:val="en-US" w:eastAsia="zh-CN"/>
                    </w:rPr>
                    <w:t>大气污染物总量管控限值</w:t>
                  </w:r>
                </w:p>
              </w:tc>
              <w:tc>
                <w:tcPr>
                  <w:tcW w:w="1110" w:type="dxa"/>
                  <w:vMerge w:val="restart"/>
                  <w:vAlign w:val="center"/>
                </w:tcPr>
                <w:p>
                  <w:pPr>
                    <w:adjustRightInd w:val="0"/>
                    <w:snapToGrid w:val="0"/>
                    <w:spacing w:line="240" w:lineRule="auto"/>
                    <w:jc w:val="center"/>
                    <w:rPr>
                      <w:rFonts w:hint="default" w:cs="Times New Roman"/>
                      <w:color w:val="auto"/>
                      <w:szCs w:val="21"/>
                      <w:shd w:val="clear" w:color="auto" w:fill="auto"/>
                      <w:vertAlign w:val="subscript"/>
                      <w:lang w:val="en-US" w:eastAsia="zh-CN"/>
                    </w:rPr>
                  </w:pPr>
                  <w:r>
                    <w:rPr>
                      <w:rFonts w:hint="eastAsia" w:cs="Times New Roman"/>
                      <w:color w:val="auto"/>
                      <w:szCs w:val="21"/>
                      <w:shd w:val="clear" w:color="auto" w:fill="auto"/>
                      <w:lang w:val="en-US" w:eastAsia="zh-CN"/>
                    </w:rPr>
                    <w:t>SO</w:t>
                  </w:r>
                  <w:r>
                    <w:rPr>
                      <w:rFonts w:hint="eastAsia" w:cs="Times New Roman"/>
                      <w:color w:val="auto"/>
                      <w:szCs w:val="21"/>
                      <w:shd w:val="clear" w:color="auto" w:fill="auto"/>
                      <w:vertAlign w:val="subscript"/>
                      <w:lang w:val="en-US" w:eastAsia="zh-CN"/>
                    </w:rPr>
                    <w:t>2</w:t>
                  </w:r>
                </w:p>
              </w:tc>
              <w:tc>
                <w:tcPr>
                  <w:tcW w:w="1500" w:type="dxa"/>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Cs w:val="21"/>
                      <w:shd w:val="clear" w:color="auto" w:fill="auto"/>
                      <w:lang w:val="en-US" w:eastAsia="zh-CN"/>
                    </w:rPr>
                    <w:t>现状排放量</w:t>
                  </w:r>
                </w:p>
              </w:tc>
              <w:tc>
                <w:tcPr>
                  <w:tcW w:w="690" w:type="dxa"/>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1.22</w:t>
                  </w:r>
                </w:p>
              </w:tc>
              <w:tc>
                <w:tcPr>
                  <w:tcW w:w="1065" w:type="dxa"/>
                  <w:vMerge w:val="restart"/>
                  <w:vAlign w:val="center"/>
                </w:tcPr>
                <w:p>
                  <w:pPr>
                    <w:adjustRightInd w:val="0"/>
                    <w:snapToGrid w:val="0"/>
                    <w:spacing w:line="240" w:lineRule="auto"/>
                    <w:jc w:val="center"/>
                    <w:rPr>
                      <w:rFonts w:hint="eastAsia" w:cs="Times New Roman"/>
                      <w:color w:val="auto"/>
                      <w:szCs w:val="21"/>
                      <w:shd w:val="clear" w:color="auto" w:fill="auto"/>
                      <w:lang w:val="en-US" w:eastAsia="zh-CN"/>
                    </w:rPr>
                  </w:pPr>
                  <w:r>
                    <w:rPr>
                      <w:rFonts w:hint="eastAsia" w:cs="Times New Roman"/>
                      <w:color w:val="auto"/>
                      <w:szCs w:val="21"/>
                      <w:shd w:val="clear" w:color="auto" w:fill="auto"/>
                      <w:lang w:val="en-US" w:eastAsia="zh-CN"/>
                    </w:rPr>
                    <w:t>增加，满足环境质量底线</w:t>
                  </w:r>
                </w:p>
              </w:tc>
              <w:tc>
                <w:tcPr>
                  <w:tcW w:w="1920" w:type="dxa"/>
                  <w:vMerge w:val="restart"/>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不涉及</w:t>
                  </w:r>
                </w:p>
              </w:tc>
              <w:tc>
                <w:tcPr>
                  <w:tcW w:w="724" w:type="dxa"/>
                  <w:vMerge w:val="restart"/>
                  <w:vAlign w:val="center"/>
                </w:tcPr>
                <w:p>
                  <w:pPr>
                    <w:adjustRightInd w:val="0"/>
                    <w:snapToGrid w:val="0"/>
                    <w:spacing w:line="240" w:lineRule="auto"/>
                    <w:jc w:val="center"/>
                    <w:rPr>
                      <w:rFonts w:hint="eastAsia" w:cs="Times New Roman"/>
                      <w:color w:val="auto"/>
                      <w:szCs w:val="21"/>
                      <w:shd w:val="clear" w:color="auto" w:fill="auto"/>
                      <w:lang w:val="en-US" w:eastAsia="zh-CN"/>
                    </w:rPr>
                  </w:pPr>
                  <w:r>
                    <w:rPr>
                      <w:rFonts w:hint="eastAsia" w:cs="Times New Roman"/>
                      <w:color w:val="auto"/>
                      <w:szCs w:val="21"/>
                      <w:shd w:val="clear" w:color="auto" w:fil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110" w:type="dxa"/>
                  <w:vMerge w:val="continue"/>
                  <w:vAlign w:val="center"/>
                </w:tcPr>
                <w:p>
                  <w:pPr>
                    <w:adjustRightInd w:val="0"/>
                    <w:snapToGrid w:val="0"/>
                    <w:spacing w:line="240" w:lineRule="auto"/>
                    <w:jc w:val="center"/>
                    <w:rPr>
                      <w:rFonts w:hint="default" w:cs="Times New Roman"/>
                      <w:color w:val="auto"/>
                      <w:szCs w:val="21"/>
                      <w:shd w:val="clear" w:color="auto" w:fill="auto"/>
                      <w:vertAlign w:val="subscript"/>
                      <w:lang w:val="en-US" w:eastAsia="zh-CN"/>
                    </w:rPr>
                  </w:pPr>
                </w:p>
              </w:tc>
              <w:tc>
                <w:tcPr>
                  <w:tcW w:w="1500" w:type="dxa"/>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Cs w:val="21"/>
                      <w:shd w:val="clear" w:color="auto" w:fill="auto"/>
                      <w:lang w:val="en-US" w:eastAsia="zh-CN"/>
                    </w:rPr>
                    <w:t>预测新增量</w:t>
                  </w:r>
                </w:p>
              </w:tc>
              <w:tc>
                <w:tcPr>
                  <w:tcW w:w="690" w:type="dxa"/>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0.07</w:t>
                  </w:r>
                </w:p>
              </w:tc>
              <w:tc>
                <w:tcPr>
                  <w:tcW w:w="1065"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920"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724"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110" w:type="dxa"/>
                  <w:vMerge w:val="continue"/>
                  <w:vAlign w:val="center"/>
                </w:tcPr>
                <w:p>
                  <w:pPr>
                    <w:adjustRightInd w:val="0"/>
                    <w:snapToGrid w:val="0"/>
                    <w:spacing w:line="240" w:lineRule="auto"/>
                    <w:jc w:val="center"/>
                    <w:rPr>
                      <w:rFonts w:hint="default" w:cs="Times New Roman"/>
                      <w:color w:val="auto"/>
                      <w:szCs w:val="21"/>
                      <w:shd w:val="clear" w:color="auto" w:fill="auto"/>
                      <w:lang w:val="en-US" w:eastAsia="zh-CN"/>
                    </w:rPr>
                  </w:pPr>
                </w:p>
              </w:tc>
              <w:tc>
                <w:tcPr>
                  <w:tcW w:w="1500" w:type="dxa"/>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Cs w:val="21"/>
                      <w:shd w:val="clear" w:color="auto" w:fill="auto"/>
                      <w:lang w:val="en-US" w:eastAsia="zh-CN"/>
                    </w:rPr>
                    <w:t>总量管控限值</w:t>
                  </w:r>
                </w:p>
              </w:tc>
              <w:tc>
                <w:tcPr>
                  <w:tcW w:w="690" w:type="dxa"/>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1.29</w:t>
                  </w:r>
                </w:p>
              </w:tc>
              <w:tc>
                <w:tcPr>
                  <w:tcW w:w="1065"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920"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724"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110" w:type="dxa"/>
                  <w:vMerge w:val="restart"/>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shd w:val="clear" w:color="auto" w:fill="auto"/>
                      <w:vertAlign w:val="subscript"/>
                      <w:lang w:val="en-US" w:eastAsia="zh-CN" w:bidi="ar-SA"/>
                    </w:rPr>
                  </w:pPr>
                  <w:r>
                    <w:rPr>
                      <w:rFonts w:hint="eastAsia" w:cs="Times New Roman"/>
                      <w:color w:val="auto"/>
                      <w:szCs w:val="21"/>
                      <w:shd w:val="clear" w:color="auto" w:fill="auto"/>
                      <w:lang w:val="en-US" w:eastAsia="zh-CN"/>
                    </w:rPr>
                    <w:t>NO</w:t>
                  </w:r>
                  <w:r>
                    <w:rPr>
                      <w:rFonts w:hint="eastAsia" w:cs="Times New Roman"/>
                      <w:color w:val="auto"/>
                      <w:szCs w:val="21"/>
                      <w:shd w:val="clear" w:color="auto" w:fill="auto"/>
                      <w:vertAlign w:val="subscript"/>
                      <w:lang w:val="en-US" w:eastAsia="zh-CN"/>
                    </w:rPr>
                    <w:t>X</w:t>
                  </w:r>
                </w:p>
              </w:tc>
              <w:tc>
                <w:tcPr>
                  <w:tcW w:w="1500" w:type="dxa"/>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Cs w:val="21"/>
                      <w:shd w:val="clear" w:color="auto" w:fill="auto"/>
                      <w:lang w:val="en-US" w:eastAsia="zh-CN"/>
                    </w:rPr>
                    <w:t>现状排放量</w:t>
                  </w:r>
                </w:p>
              </w:tc>
              <w:tc>
                <w:tcPr>
                  <w:tcW w:w="690" w:type="dxa"/>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0.38</w:t>
                  </w:r>
                </w:p>
              </w:tc>
              <w:tc>
                <w:tcPr>
                  <w:tcW w:w="1065"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920"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724" w:type="dxa"/>
                  <w:vMerge w:val="restart"/>
                  <w:vAlign w:val="center"/>
                </w:tcPr>
                <w:p>
                  <w:pPr>
                    <w:adjustRightInd w:val="0"/>
                    <w:snapToGrid w:val="0"/>
                    <w:spacing w:line="240" w:lineRule="auto"/>
                    <w:jc w:val="center"/>
                    <w:rPr>
                      <w:rFonts w:hint="eastAsia" w:cs="Times New Roman"/>
                      <w:color w:val="auto"/>
                      <w:szCs w:val="21"/>
                      <w:shd w:val="clear" w:color="auto" w:fill="auto"/>
                      <w:lang w:val="en-US" w:eastAsia="zh-CN"/>
                    </w:rPr>
                  </w:pPr>
                  <w:r>
                    <w:rPr>
                      <w:rFonts w:hint="eastAsia" w:cs="Times New Roman"/>
                      <w:color w:val="auto"/>
                      <w:szCs w:val="21"/>
                      <w:shd w:val="clear" w:color="auto" w:fil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110" w:type="dxa"/>
                  <w:vMerge w:val="continue"/>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shd w:val="clear" w:color="auto" w:fill="auto"/>
                      <w:lang w:val="en-US" w:eastAsia="zh-CN" w:bidi="ar-SA"/>
                    </w:rPr>
                  </w:pPr>
                </w:p>
              </w:tc>
              <w:tc>
                <w:tcPr>
                  <w:tcW w:w="1500" w:type="dxa"/>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Cs w:val="21"/>
                      <w:shd w:val="clear" w:color="auto" w:fill="auto"/>
                      <w:lang w:val="en-US" w:eastAsia="zh-CN"/>
                    </w:rPr>
                    <w:t>预测新增量</w:t>
                  </w:r>
                </w:p>
              </w:tc>
              <w:tc>
                <w:tcPr>
                  <w:tcW w:w="690" w:type="dxa"/>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0.27</w:t>
                  </w:r>
                </w:p>
              </w:tc>
              <w:tc>
                <w:tcPr>
                  <w:tcW w:w="1065"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920"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724"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110"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500" w:type="dxa"/>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Cs w:val="21"/>
                      <w:shd w:val="clear" w:color="auto" w:fill="auto"/>
                      <w:lang w:val="en-US" w:eastAsia="zh-CN"/>
                    </w:rPr>
                    <w:t>总量管控限值</w:t>
                  </w:r>
                </w:p>
              </w:tc>
              <w:tc>
                <w:tcPr>
                  <w:tcW w:w="690" w:type="dxa"/>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0.66</w:t>
                  </w:r>
                </w:p>
              </w:tc>
              <w:tc>
                <w:tcPr>
                  <w:tcW w:w="1065"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920"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724"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110" w:type="dxa"/>
                  <w:vMerge w:val="restart"/>
                  <w:vAlign w:val="center"/>
                </w:tcPr>
                <w:p>
                  <w:pPr>
                    <w:adjustRightInd w:val="0"/>
                    <w:snapToGrid w:val="0"/>
                    <w:spacing w:line="240" w:lineRule="auto"/>
                    <w:jc w:val="center"/>
                    <w:rPr>
                      <w:rFonts w:hint="eastAsia" w:cs="Times New Roman"/>
                      <w:color w:val="auto"/>
                      <w:szCs w:val="21"/>
                      <w:shd w:val="clear" w:color="auto" w:fill="auto"/>
                      <w:lang w:val="en-US" w:eastAsia="zh-CN"/>
                    </w:rPr>
                  </w:pPr>
                  <w:r>
                    <w:rPr>
                      <w:rFonts w:hint="eastAsia" w:cs="Times New Roman"/>
                      <w:color w:val="auto"/>
                      <w:szCs w:val="21"/>
                      <w:shd w:val="clear" w:color="auto" w:fill="auto"/>
                      <w:lang w:val="en-US" w:eastAsia="zh-CN"/>
                    </w:rPr>
                    <w:t>颗粒物</w:t>
                  </w:r>
                </w:p>
              </w:tc>
              <w:tc>
                <w:tcPr>
                  <w:tcW w:w="1500" w:type="dxa"/>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Cs w:val="21"/>
                      <w:shd w:val="clear" w:color="auto" w:fill="auto"/>
                      <w:lang w:val="en-US" w:eastAsia="zh-CN"/>
                    </w:rPr>
                    <w:t>现状排放量</w:t>
                  </w:r>
                </w:p>
              </w:tc>
              <w:tc>
                <w:tcPr>
                  <w:tcW w:w="690" w:type="dxa"/>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4.27</w:t>
                  </w:r>
                </w:p>
              </w:tc>
              <w:tc>
                <w:tcPr>
                  <w:tcW w:w="1065"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920"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724" w:type="dxa"/>
                  <w:vMerge w:val="restart"/>
                  <w:vAlign w:val="center"/>
                </w:tcPr>
                <w:p>
                  <w:pPr>
                    <w:adjustRightInd w:val="0"/>
                    <w:snapToGrid w:val="0"/>
                    <w:spacing w:line="240" w:lineRule="auto"/>
                    <w:jc w:val="center"/>
                    <w:rPr>
                      <w:rFonts w:hint="eastAsia" w:cs="Times New Roman"/>
                      <w:color w:val="auto"/>
                      <w:szCs w:val="21"/>
                      <w:shd w:val="clear" w:color="auto" w:fill="auto"/>
                      <w:lang w:val="en-US" w:eastAsia="zh-CN"/>
                    </w:rPr>
                  </w:pPr>
                  <w:r>
                    <w:rPr>
                      <w:rFonts w:hint="eastAsia" w:cs="Times New Roman"/>
                      <w:color w:val="auto"/>
                      <w:szCs w:val="21"/>
                      <w:shd w:val="clear" w:color="auto" w:fil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110"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500" w:type="dxa"/>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Cs w:val="21"/>
                      <w:shd w:val="clear" w:color="auto" w:fill="auto"/>
                      <w:lang w:val="en-US" w:eastAsia="zh-CN"/>
                    </w:rPr>
                    <w:t>预测新增量</w:t>
                  </w:r>
                </w:p>
              </w:tc>
              <w:tc>
                <w:tcPr>
                  <w:tcW w:w="690" w:type="dxa"/>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2.95</w:t>
                  </w:r>
                </w:p>
              </w:tc>
              <w:tc>
                <w:tcPr>
                  <w:tcW w:w="1065"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920"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724"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110"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500" w:type="dxa"/>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Cs w:val="21"/>
                      <w:shd w:val="clear" w:color="auto" w:fill="auto"/>
                      <w:lang w:val="en-US" w:eastAsia="zh-CN"/>
                    </w:rPr>
                    <w:t>总量管控限值</w:t>
                  </w:r>
                </w:p>
              </w:tc>
              <w:tc>
                <w:tcPr>
                  <w:tcW w:w="690" w:type="dxa"/>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7.21</w:t>
                  </w:r>
                </w:p>
              </w:tc>
              <w:tc>
                <w:tcPr>
                  <w:tcW w:w="1065"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920"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724"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110" w:type="dxa"/>
                  <w:vMerge w:val="restart"/>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甲苯</w:t>
                  </w:r>
                </w:p>
              </w:tc>
              <w:tc>
                <w:tcPr>
                  <w:tcW w:w="1500" w:type="dxa"/>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Cs w:val="21"/>
                      <w:shd w:val="clear" w:color="auto" w:fill="auto"/>
                      <w:lang w:val="en-US" w:eastAsia="zh-CN"/>
                    </w:rPr>
                    <w:t>现状排放量</w:t>
                  </w:r>
                </w:p>
              </w:tc>
              <w:tc>
                <w:tcPr>
                  <w:tcW w:w="690" w:type="dxa"/>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0.25</w:t>
                  </w:r>
                </w:p>
              </w:tc>
              <w:tc>
                <w:tcPr>
                  <w:tcW w:w="1065"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920"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724" w:type="dxa"/>
                  <w:vMerge w:val="restart"/>
                  <w:vAlign w:val="center"/>
                </w:tcPr>
                <w:p>
                  <w:pPr>
                    <w:adjustRightInd w:val="0"/>
                    <w:snapToGrid w:val="0"/>
                    <w:spacing w:line="240" w:lineRule="auto"/>
                    <w:jc w:val="center"/>
                    <w:rPr>
                      <w:rFonts w:hint="eastAsia" w:cs="Times New Roman"/>
                      <w:color w:val="auto"/>
                      <w:szCs w:val="21"/>
                      <w:shd w:val="clear" w:color="auto" w:fill="auto"/>
                      <w:lang w:val="en-US" w:eastAsia="zh-CN"/>
                    </w:rPr>
                  </w:pPr>
                  <w:r>
                    <w:rPr>
                      <w:rFonts w:hint="eastAsia" w:cs="Times New Roman"/>
                      <w:color w:val="auto"/>
                      <w:szCs w:val="21"/>
                      <w:shd w:val="clear" w:color="auto" w:fil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110"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500" w:type="dxa"/>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Cs w:val="21"/>
                      <w:shd w:val="clear" w:color="auto" w:fill="auto"/>
                      <w:lang w:val="en-US" w:eastAsia="zh-CN"/>
                    </w:rPr>
                    <w:t>预测新增量</w:t>
                  </w:r>
                </w:p>
              </w:tc>
              <w:tc>
                <w:tcPr>
                  <w:tcW w:w="690" w:type="dxa"/>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0.00</w:t>
                  </w:r>
                </w:p>
              </w:tc>
              <w:tc>
                <w:tcPr>
                  <w:tcW w:w="1065"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920"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724"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110"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500" w:type="dxa"/>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Cs w:val="21"/>
                      <w:shd w:val="clear" w:color="auto" w:fill="auto"/>
                      <w:lang w:val="en-US" w:eastAsia="zh-CN"/>
                    </w:rPr>
                    <w:t>总量管控限值</w:t>
                  </w:r>
                </w:p>
              </w:tc>
              <w:tc>
                <w:tcPr>
                  <w:tcW w:w="690" w:type="dxa"/>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0.25</w:t>
                  </w:r>
                </w:p>
              </w:tc>
              <w:tc>
                <w:tcPr>
                  <w:tcW w:w="1065"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920"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724"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110" w:type="dxa"/>
                  <w:vMerge w:val="restart"/>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二甲苯</w:t>
                  </w:r>
                </w:p>
              </w:tc>
              <w:tc>
                <w:tcPr>
                  <w:tcW w:w="1500" w:type="dxa"/>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Cs w:val="21"/>
                      <w:shd w:val="clear" w:color="auto" w:fill="auto"/>
                      <w:lang w:val="en-US" w:eastAsia="zh-CN"/>
                    </w:rPr>
                    <w:t>现状排放量</w:t>
                  </w:r>
                </w:p>
              </w:tc>
              <w:tc>
                <w:tcPr>
                  <w:tcW w:w="690" w:type="dxa"/>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0.50</w:t>
                  </w:r>
                </w:p>
              </w:tc>
              <w:tc>
                <w:tcPr>
                  <w:tcW w:w="1065"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920"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724" w:type="dxa"/>
                  <w:vMerge w:val="restart"/>
                  <w:vAlign w:val="center"/>
                </w:tcPr>
                <w:p>
                  <w:pPr>
                    <w:adjustRightInd w:val="0"/>
                    <w:snapToGrid w:val="0"/>
                    <w:spacing w:line="240" w:lineRule="auto"/>
                    <w:jc w:val="center"/>
                    <w:rPr>
                      <w:rFonts w:hint="eastAsia" w:cs="Times New Roman"/>
                      <w:color w:val="auto"/>
                      <w:szCs w:val="21"/>
                      <w:shd w:val="clear" w:color="auto" w:fill="auto"/>
                      <w:lang w:val="en-US" w:eastAsia="zh-CN"/>
                    </w:rPr>
                  </w:pPr>
                  <w:r>
                    <w:rPr>
                      <w:rFonts w:hint="eastAsia" w:cs="Times New Roman"/>
                      <w:color w:val="auto"/>
                      <w:szCs w:val="21"/>
                      <w:shd w:val="clear" w:color="auto" w:fil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110"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500" w:type="dxa"/>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Cs w:val="21"/>
                      <w:shd w:val="clear" w:color="auto" w:fill="auto"/>
                      <w:lang w:val="en-US" w:eastAsia="zh-CN"/>
                    </w:rPr>
                    <w:t>预测新增量</w:t>
                  </w:r>
                </w:p>
              </w:tc>
              <w:tc>
                <w:tcPr>
                  <w:tcW w:w="690" w:type="dxa"/>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0.00</w:t>
                  </w:r>
                </w:p>
              </w:tc>
              <w:tc>
                <w:tcPr>
                  <w:tcW w:w="1065"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920"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724"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110"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500" w:type="dxa"/>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Cs w:val="21"/>
                      <w:shd w:val="clear" w:color="auto" w:fill="auto"/>
                      <w:lang w:val="en-US" w:eastAsia="zh-CN"/>
                    </w:rPr>
                    <w:t>总量管控限值</w:t>
                  </w:r>
                </w:p>
              </w:tc>
              <w:tc>
                <w:tcPr>
                  <w:tcW w:w="690" w:type="dxa"/>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0.50</w:t>
                  </w:r>
                </w:p>
              </w:tc>
              <w:tc>
                <w:tcPr>
                  <w:tcW w:w="1065"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920"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724"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110" w:type="dxa"/>
                  <w:vMerge w:val="restart"/>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非甲烷总烃（VOC</w:t>
                  </w:r>
                  <w:r>
                    <w:rPr>
                      <w:rFonts w:hint="eastAsia" w:cs="Times New Roman"/>
                      <w:color w:val="auto"/>
                      <w:szCs w:val="21"/>
                      <w:shd w:val="clear" w:color="auto" w:fill="auto"/>
                      <w:vertAlign w:val="subscript"/>
                      <w:lang w:val="en-US" w:eastAsia="zh-CN"/>
                    </w:rPr>
                    <w:t>S</w:t>
                  </w:r>
                  <w:r>
                    <w:rPr>
                      <w:rFonts w:hint="eastAsia" w:cs="Times New Roman"/>
                      <w:color w:val="auto"/>
                      <w:szCs w:val="21"/>
                      <w:shd w:val="clear" w:color="auto" w:fill="auto"/>
                      <w:lang w:val="en-US" w:eastAsia="zh-CN"/>
                    </w:rPr>
                    <w:t>）</w:t>
                  </w:r>
                </w:p>
              </w:tc>
              <w:tc>
                <w:tcPr>
                  <w:tcW w:w="1500" w:type="dxa"/>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Cs w:val="21"/>
                      <w:shd w:val="clear" w:color="auto" w:fill="auto"/>
                      <w:lang w:val="en-US" w:eastAsia="zh-CN"/>
                    </w:rPr>
                    <w:t>现状排放量</w:t>
                  </w:r>
                </w:p>
              </w:tc>
              <w:tc>
                <w:tcPr>
                  <w:tcW w:w="690" w:type="dxa"/>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13.19</w:t>
                  </w:r>
                </w:p>
              </w:tc>
              <w:tc>
                <w:tcPr>
                  <w:tcW w:w="1065"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920" w:type="dxa"/>
                  <w:vMerge w:val="restart"/>
                  <w:vAlign w:val="center"/>
                </w:tcPr>
                <w:p>
                  <w:pPr>
                    <w:adjustRightInd w:val="0"/>
                    <w:snapToGrid w:val="0"/>
                    <w:spacing w:line="240" w:lineRule="auto"/>
                    <w:jc w:val="center"/>
                    <w:rPr>
                      <w:rFonts w:hint="eastAsia" w:cs="Times New Roman"/>
                      <w:color w:val="auto"/>
                      <w:szCs w:val="21"/>
                      <w:shd w:val="clear" w:color="auto" w:fill="auto"/>
                      <w:lang w:val="en-US" w:eastAsia="zh-CN"/>
                    </w:rPr>
                  </w:pPr>
                  <w:r>
                    <w:rPr>
                      <w:rFonts w:hint="eastAsia" w:cs="Times New Roman"/>
                      <w:color w:val="auto"/>
                      <w:sz w:val="21"/>
                      <w:szCs w:val="21"/>
                      <w:highlight w:val="none"/>
                      <w:lang w:val="en-US" w:eastAsia="zh-CN"/>
                    </w:rPr>
                    <w:t>挤塑废气及吸塑废气经各自集气罩收集后共用一套“过滤棉+uv光解+两级活性炭吸附”装置处理达标后通过排气筒排放；因侣俸区域非甲烷总烃无新增总量，项目使用已关停的</w:t>
                  </w:r>
                  <w:r>
                    <w:rPr>
                      <w:rFonts w:hint="eastAsia"/>
                      <w:color w:val="auto"/>
                      <w:sz w:val="21"/>
                      <w:szCs w:val="21"/>
                      <w:highlight w:val="none"/>
                      <w:lang w:val="en-US" w:eastAsia="zh-CN"/>
                    </w:rPr>
                    <w:t>重庆市方达水泵厂</w:t>
                  </w:r>
                  <w:r>
                    <w:rPr>
                      <w:rFonts w:hint="eastAsia" w:cs="Times New Roman"/>
                      <w:color w:val="auto"/>
                      <w:sz w:val="21"/>
                      <w:szCs w:val="21"/>
                      <w:highlight w:val="none"/>
                      <w:lang w:val="en-US" w:eastAsia="zh-CN"/>
                    </w:rPr>
                    <w:t>的非甲烷总烃总量；</w:t>
                  </w:r>
                </w:p>
              </w:tc>
              <w:tc>
                <w:tcPr>
                  <w:tcW w:w="724" w:type="dxa"/>
                  <w:vMerge w:val="restart"/>
                  <w:vAlign w:val="center"/>
                </w:tcPr>
                <w:p>
                  <w:pPr>
                    <w:adjustRightInd w:val="0"/>
                    <w:snapToGrid w:val="0"/>
                    <w:spacing w:line="240" w:lineRule="auto"/>
                    <w:jc w:val="center"/>
                    <w:rPr>
                      <w:rFonts w:hint="eastAsia" w:cs="Times New Roman"/>
                      <w:color w:val="auto"/>
                      <w:szCs w:val="21"/>
                      <w:shd w:val="clear" w:color="auto" w:fill="auto"/>
                      <w:lang w:val="en-US" w:eastAsia="zh-CN"/>
                    </w:rPr>
                  </w:pPr>
                  <w:r>
                    <w:rPr>
                      <w:rFonts w:hint="eastAsia" w:cs="Times New Roman"/>
                      <w:color w:val="auto"/>
                      <w:szCs w:val="21"/>
                      <w:shd w:val="clear" w:color="auto" w:fil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110"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500" w:type="dxa"/>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Cs w:val="21"/>
                      <w:shd w:val="clear" w:color="auto" w:fill="auto"/>
                      <w:lang w:val="en-US" w:eastAsia="zh-CN"/>
                    </w:rPr>
                    <w:t>预测新增量</w:t>
                  </w:r>
                </w:p>
              </w:tc>
              <w:tc>
                <w:tcPr>
                  <w:tcW w:w="690" w:type="dxa"/>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0.00</w:t>
                  </w:r>
                </w:p>
              </w:tc>
              <w:tc>
                <w:tcPr>
                  <w:tcW w:w="1065"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920"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724"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110"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500" w:type="dxa"/>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Cs w:val="21"/>
                      <w:shd w:val="clear" w:color="auto" w:fill="auto"/>
                      <w:lang w:val="en-US" w:eastAsia="zh-CN"/>
                    </w:rPr>
                    <w:t>总量管控限值</w:t>
                  </w:r>
                </w:p>
              </w:tc>
              <w:tc>
                <w:tcPr>
                  <w:tcW w:w="690" w:type="dxa"/>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13.19</w:t>
                  </w:r>
                </w:p>
              </w:tc>
              <w:tc>
                <w:tcPr>
                  <w:tcW w:w="1065"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1920"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724"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r>
          </w:tbl>
          <w:p>
            <w:pPr>
              <w:keepNext w:val="0"/>
              <w:keepLines w:val="0"/>
              <w:pageBreakBefore w:val="0"/>
              <w:widowControl/>
              <w:kinsoku/>
              <w:wordWrap/>
              <w:overflowPunct/>
              <w:topLinePunct w:val="0"/>
              <w:autoSpaceDE/>
              <w:autoSpaceDN/>
              <w:bidi w:val="0"/>
              <w:adjustRightInd w:val="0"/>
              <w:snapToGrid/>
              <w:spacing w:line="360" w:lineRule="auto"/>
              <w:ind w:firstLine="0" w:firstLineChars="0"/>
              <w:jc w:val="center"/>
              <w:textAlignment w:val="auto"/>
              <w:rPr>
                <w:rFonts w:hint="default" w:ascii="Times New Roman" w:hAnsi="Times New Roman" w:eastAsia="宋体" w:cs="Times New Roman"/>
                <w:bCs/>
                <w:snapToGrid w:val="0"/>
                <w:color w:val="auto"/>
                <w:kern w:val="0"/>
                <w:sz w:val="24"/>
                <w:lang w:val="en-US" w:eastAsia="zh-CN"/>
              </w:rPr>
            </w:pPr>
            <w:r>
              <w:rPr>
                <w:rFonts w:hint="eastAsia" w:ascii="Times New Roman" w:hAnsi="Times New Roman" w:eastAsia="宋体" w:cs="Times New Roman"/>
                <w:bCs/>
                <w:snapToGrid w:val="0"/>
                <w:color w:val="auto"/>
                <w:kern w:val="0"/>
                <w:sz w:val="24"/>
                <w:lang w:val="en-US" w:eastAsia="zh-CN"/>
              </w:rPr>
              <w:t>表1-3 规划环评符合性分析</w:t>
            </w:r>
          </w:p>
          <w:tbl>
            <w:tblPr>
              <w:tblStyle w:val="16"/>
              <w:tblW w:w="7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8"/>
              <w:gridCol w:w="1914"/>
              <w:gridCol w:w="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8"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审查意见函要求</w:t>
                  </w:r>
                </w:p>
              </w:tc>
              <w:tc>
                <w:tcPr>
                  <w:tcW w:w="1914"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项目情况</w:t>
                  </w:r>
                </w:p>
              </w:tc>
              <w:tc>
                <w:tcPr>
                  <w:tcW w:w="901"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3" w:type="dxa"/>
                  <w:gridSpan w:val="3"/>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（一）强化空间管控，优化布局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8" w:type="dxa"/>
                  <w:vAlign w:val="center"/>
                </w:tcPr>
                <w:p>
                  <w:pPr>
                    <w:adjustRightInd w:val="0"/>
                    <w:snapToGrid w:val="0"/>
                    <w:spacing w:line="240" w:lineRule="auto"/>
                    <w:jc w:val="center"/>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工业集聚区场镇居住区上风向严格管控有机废气排放或易扰民的企业。工业集聚区不得占用生态保护红线、自然保护地、饮用水源保护区等环境敏感区，位于以上环境敏感区的现有工业企业，应根据相关保护要求强化污染治理或逐步退出</w:t>
                  </w:r>
                </w:p>
              </w:tc>
              <w:tc>
                <w:tcPr>
                  <w:tcW w:w="1914" w:type="dxa"/>
                  <w:vAlign w:val="center"/>
                </w:tcPr>
                <w:p>
                  <w:pPr>
                    <w:adjustRightInd w:val="0"/>
                    <w:snapToGrid w:val="0"/>
                    <w:spacing w:line="240" w:lineRule="auto"/>
                    <w:jc w:val="center"/>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本项目大气污染物产生量小，且产生的废气经处理后可实现达标排放；项目不占用生态保护红线、自然保护地、饮用水源保护区等环境敏感区</w:t>
                  </w:r>
                </w:p>
              </w:tc>
              <w:tc>
                <w:tcPr>
                  <w:tcW w:w="901"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3" w:type="dxa"/>
                  <w:gridSpan w:val="3"/>
                  <w:vAlign w:val="center"/>
                </w:tcPr>
                <w:p>
                  <w:pPr>
                    <w:adjustRightInd w:val="0"/>
                    <w:snapToGrid w:val="0"/>
                    <w:spacing w:line="240" w:lineRule="auto"/>
                    <w:jc w:val="center"/>
                    <w:rPr>
                      <w:rFonts w:hint="eastAsia"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w:t>
                  </w:r>
                  <w:r>
                    <w:rPr>
                      <w:rFonts w:hint="eastAsia" w:ascii="Times New Roman" w:hAnsi="Times New Roman" w:eastAsia="宋体" w:cs="Times New Roman"/>
                      <w:color w:val="auto"/>
                      <w:szCs w:val="21"/>
                      <w:shd w:val="clear" w:color="auto" w:fill="auto"/>
                      <w:lang w:val="en-US" w:eastAsia="zh-CN"/>
                    </w:rPr>
                    <w:t>二</w:t>
                  </w:r>
                  <w:r>
                    <w:rPr>
                      <w:rFonts w:hint="default" w:ascii="Times New Roman" w:hAnsi="Times New Roman" w:eastAsia="宋体" w:cs="Times New Roman"/>
                      <w:color w:val="auto"/>
                      <w:szCs w:val="21"/>
                      <w:shd w:val="clear" w:color="auto" w:fill="auto"/>
                      <w:lang w:val="en-US" w:eastAsia="zh-CN"/>
                    </w:rPr>
                    <w:t>)</w:t>
                  </w:r>
                  <w:r>
                    <w:rPr>
                      <w:rFonts w:hint="eastAsia" w:ascii="Times New Roman" w:hAnsi="Times New Roman" w:eastAsia="宋体" w:cs="Times New Roman"/>
                      <w:color w:val="auto"/>
                      <w:szCs w:val="21"/>
                      <w:shd w:val="clear" w:color="auto" w:fill="auto"/>
                      <w:lang w:val="en-US" w:eastAsia="zh-CN"/>
                    </w:rPr>
                    <w:t>严格环境准入、推动产业高质量发展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8" w:type="dxa"/>
                  <w:vAlign w:val="center"/>
                </w:tcPr>
                <w:p>
                  <w:pPr>
                    <w:adjustRightInd w:val="0"/>
                    <w:snapToGrid w:val="0"/>
                    <w:spacing w:line="240" w:lineRule="auto"/>
                    <w:jc w:val="center"/>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规划区应不断优化产业发展方向，严格落实报告书制定的生态环境准入清单要求，除在工业用地</w:t>
                  </w:r>
                  <w:r>
                    <w:rPr>
                      <w:rFonts w:hint="default" w:ascii="Times New Roman" w:hAnsi="Times New Roman" w:eastAsia="宋体" w:cs="Times New Roman"/>
                      <w:color w:val="auto"/>
                      <w:szCs w:val="21"/>
                      <w:shd w:val="clear" w:color="auto" w:fill="auto"/>
                      <w:lang w:val="en-US" w:eastAsia="zh-CN"/>
                    </w:rPr>
                    <w:t>”</w:t>
                  </w:r>
                  <w:r>
                    <w:rPr>
                      <w:rFonts w:hint="eastAsia" w:ascii="Times New Roman" w:hAnsi="Times New Roman" w:eastAsia="宋体" w:cs="Times New Roman"/>
                      <w:color w:val="auto"/>
                      <w:szCs w:val="21"/>
                      <w:shd w:val="clear" w:color="auto" w:fill="auto"/>
                      <w:lang w:val="en-US" w:eastAsia="zh-CN"/>
                    </w:rPr>
                    <w:t>零用地</w:t>
                  </w:r>
                  <w:r>
                    <w:rPr>
                      <w:rFonts w:hint="default" w:ascii="Times New Roman" w:hAnsi="Times New Roman" w:eastAsia="宋体" w:cs="Times New Roman"/>
                      <w:color w:val="auto"/>
                      <w:szCs w:val="21"/>
                      <w:shd w:val="clear" w:color="auto" w:fill="auto"/>
                      <w:lang w:val="en-US" w:eastAsia="zh-CN"/>
                    </w:rPr>
                    <w:t xml:space="preserve">’’ </w:t>
                  </w:r>
                  <w:r>
                    <w:rPr>
                      <w:rFonts w:hint="eastAsia" w:ascii="Times New Roman" w:hAnsi="Times New Roman" w:eastAsia="宋体" w:cs="Times New Roman"/>
                      <w:color w:val="auto"/>
                      <w:szCs w:val="21"/>
                      <w:shd w:val="clear" w:color="auto" w:fill="auto"/>
                      <w:lang w:val="en-US" w:eastAsia="zh-CN"/>
                    </w:rPr>
                    <w:t>（不涉及新增建设用地</w:t>
                  </w:r>
                  <w:r>
                    <w:rPr>
                      <w:rFonts w:hint="default" w:ascii="Times New Roman" w:hAnsi="Times New Roman" w:eastAsia="宋体" w:cs="Times New Roman"/>
                      <w:color w:val="auto"/>
                      <w:szCs w:val="21"/>
                      <w:shd w:val="clear" w:color="auto" w:fill="auto"/>
                      <w:lang w:val="en-US" w:eastAsia="zh-CN"/>
                    </w:rPr>
                    <w:t>)</w:t>
                  </w:r>
                  <w:r>
                    <w:rPr>
                      <w:rFonts w:hint="eastAsia" w:ascii="Times New Roman" w:hAnsi="Times New Roman" w:eastAsia="宋体" w:cs="Times New Roman"/>
                      <w:color w:val="auto"/>
                      <w:szCs w:val="21"/>
                      <w:shd w:val="clear" w:color="auto" w:fill="auto"/>
                      <w:lang w:val="en-US" w:eastAsia="zh-CN"/>
                    </w:rPr>
                    <w:t>技术改造升级且“两不增”</w:t>
                  </w:r>
                  <w:r>
                    <w:rPr>
                      <w:rFonts w:hint="default" w:ascii="Times New Roman" w:hAnsi="Times New Roman" w:eastAsia="宋体" w:cs="Times New Roman"/>
                      <w:color w:val="auto"/>
                      <w:szCs w:val="21"/>
                      <w:shd w:val="clear" w:color="auto" w:fill="auto"/>
                      <w:lang w:val="en-US" w:eastAsia="zh-CN"/>
                    </w:rPr>
                    <w:t>(</w:t>
                  </w:r>
                  <w:r>
                    <w:rPr>
                      <w:rFonts w:hint="eastAsia" w:ascii="Times New Roman" w:hAnsi="Times New Roman" w:eastAsia="宋体" w:cs="Times New Roman"/>
                      <w:color w:val="auto"/>
                      <w:szCs w:val="21"/>
                      <w:shd w:val="clear" w:color="auto" w:fill="auto"/>
                      <w:lang w:val="en-US" w:eastAsia="zh-CN"/>
                    </w:rPr>
                    <w:t>不增加污染物排放总量、不增大环境风险</w:t>
                  </w:r>
                  <w:r>
                    <w:rPr>
                      <w:rFonts w:hint="default" w:ascii="Times New Roman" w:hAnsi="Times New Roman" w:eastAsia="宋体" w:cs="Times New Roman"/>
                      <w:color w:val="auto"/>
                      <w:szCs w:val="21"/>
                      <w:shd w:val="clear" w:color="auto" w:fill="auto"/>
                      <w:lang w:val="en-US" w:eastAsia="zh-CN"/>
                    </w:rPr>
                    <w:t>)</w:t>
                  </w:r>
                  <w:r>
                    <w:rPr>
                      <w:rFonts w:hint="eastAsia" w:ascii="Times New Roman" w:hAnsi="Times New Roman" w:eastAsia="宋体" w:cs="Times New Roman"/>
                      <w:color w:val="auto"/>
                      <w:szCs w:val="21"/>
                      <w:shd w:val="clear" w:color="auto" w:fill="auto"/>
                      <w:lang w:val="en-US" w:eastAsia="zh-CN"/>
                    </w:rPr>
                    <w:t>的建设项目、或在安全或者产业布局等方面有特殊要求的项目外，新建有污染物排放的工业项目应当进入工业集聚区或工业园区</w:t>
                  </w:r>
                </w:p>
              </w:tc>
              <w:tc>
                <w:tcPr>
                  <w:tcW w:w="1914" w:type="dxa"/>
                  <w:vAlign w:val="center"/>
                </w:tcPr>
                <w:p>
                  <w:pPr>
                    <w:adjustRightInd w:val="0"/>
                    <w:snapToGrid w:val="0"/>
                    <w:spacing w:line="240" w:lineRule="auto"/>
                    <w:jc w:val="center"/>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本项目租赁金鸿浆纱厂闲置厂房，位于工业聚集区内，且项目为新建项目，不属于技术改造升级类项目</w:t>
                  </w:r>
                </w:p>
              </w:tc>
              <w:tc>
                <w:tcPr>
                  <w:tcW w:w="901"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3" w:type="dxa"/>
                  <w:gridSpan w:val="3"/>
                  <w:vAlign w:val="center"/>
                </w:tcPr>
                <w:p>
                  <w:pPr>
                    <w:adjustRightInd w:val="0"/>
                    <w:snapToGrid w:val="0"/>
                    <w:spacing w:line="240" w:lineRule="auto"/>
                    <w:jc w:val="center"/>
                    <w:rPr>
                      <w:rFonts w:hint="eastAsia"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(三)</w:t>
                  </w:r>
                  <w:r>
                    <w:rPr>
                      <w:rFonts w:hint="eastAsia" w:ascii="Times New Roman" w:hAnsi="Times New Roman" w:eastAsia="宋体" w:cs="Times New Roman"/>
                      <w:color w:val="auto"/>
                      <w:szCs w:val="21"/>
                      <w:shd w:val="clear" w:color="auto" w:fill="auto"/>
                      <w:lang w:val="en-US" w:eastAsia="zh-CN"/>
                    </w:rPr>
                    <w:t>加强大气污染防治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8" w:type="dxa"/>
                  <w:vAlign w:val="center"/>
                </w:tcPr>
                <w:p>
                  <w:pPr>
                    <w:adjustRightInd w:val="0"/>
                    <w:snapToGrid w:val="0"/>
                    <w:spacing w:line="240" w:lineRule="auto"/>
                    <w:jc w:val="center"/>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严格落实清洁能源计划，禁止新建</w:t>
                  </w:r>
                  <w:r>
                    <w:rPr>
                      <w:rFonts w:hint="default" w:ascii="Times New Roman" w:hAnsi="Times New Roman" w:eastAsia="宋体" w:cs="Times New Roman"/>
                      <w:color w:val="auto"/>
                      <w:szCs w:val="21"/>
                      <w:shd w:val="clear" w:color="auto" w:fill="auto"/>
                      <w:lang w:val="en-US" w:eastAsia="zh-CN"/>
                    </w:rPr>
                    <w:t>20</w:t>
                  </w:r>
                  <w:r>
                    <w:rPr>
                      <w:rFonts w:hint="eastAsia" w:ascii="Times New Roman" w:hAnsi="Times New Roman" w:eastAsia="宋体" w:cs="Times New Roman"/>
                      <w:color w:val="auto"/>
                      <w:szCs w:val="21"/>
                      <w:shd w:val="clear" w:color="auto" w:fill="auto"/>
                      <w:lang w:val="en-US" w:eastAsia="zh-CN"/>
                    </w:rPr>
                    <w:t>蒸吨以下燃煤锅炉工艺废气应采取有效治理措施，涉及涂装工序、涂料使用的项目，鼓励使用水性、高固份等环保涂料；严格落实挥发性有机物污染防治政策要求；工业企业严格执行大气污染物特别排放限值；严格限制排放重金属</w:t>
                  </w:r>
                  <w:r>
                    <w:rPr>
                      <w:rFonts w:hint="default" w:ascii="Times New Roman" w:hAnsi="Times New Roman" w:eastAsia="宋体" w:cs="Times New Roman"/>
                      <w:color w:val="auto"/>
                      <w:szCs w:val="21"/>
                      <w:shd w:val="clear" w:color="auto" w:fill="auto"/>
                      <w:lang w:val="en-US" w:eastAsia="zh-CN"/>
                    </w:rPr>
                    <w:t>(</w:t>
                  </w:r>
                  <w:r>
                    <w:rPr>
                      <w:rFonts w:hint="eastAsia" w:ascii="Times New Roman" w:hAnsi="Times New Roman" w:eastAsia="宋体" w:cs="Times New Roman"/>
                      <w:color w:val="auto"/>
                      <w:szCs w:val="21"/>
                      <w:shd w:val="clear" w:color="auto" w:fill="auto"/>
                      <w:lang w:val="en-US" w:eastAsia="zh-CN"/>
                    </w:rPr>
                    <w:t>汞、铬、镉、铅和类金属砷</w:t>
                  </w:r>
                  <w:r>
                    <w:rPr>
                      <w:rFonts w:hint="default" w:ascii="Times New Roman" w:hAnsi="Times New Roman" w:eastAsia="宋体" w:cs="Times New Roman"/>
                      <w:color w:val="auto"/>
                      <w:szCs w:val="21"/>
                      <w:shd w:val="clear" w:color="auto" w:fill="auto"/>
                      <w:lang w:val="en-US" w:eastAsia="zh-CN"/>
                    </w:rPr>
                    <w:t>)</w:t>
                  </w:r>
                  <w:r>
                    <w:rPr>
                      <w:rFonts w:hint="eastAsia" w:ascii="Times New Roman" w:hAnsi="Times New Roman" w:eastAsia="宋体" w:cs="Times New Roman"/>
                      <w:color w:val="auto"/>
                      <w:szCs w:val="21"/>
                      <w:shd w:val="clear" w:color="auto" w:fill="auto"/>
                      <w:lang w:val="en-US" w:eastAsia="zh-CN"/>
                    </w:rPr>
                    <w:t>废气的工业项目</w:t>
                  </w:r>
                </w:p>
              </w:tc>
              <w:tc>
                <w:tcPr>
                  <w:tcW w:w="1914" w:type="dxa"/>
                  <w:vAlign w:val="center"/>
                </w:tcPr>
                <w:p>
                  <w:pPr>
                    <w:adjustRightInd w:val="0"/>
                    <w:snapToGrid w:val="0"/>
                    <w:spacing w:line="240" w:lineRule="auto"/>
                    <w:jc w:val="center"/>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本项目不使用禁止类原料及能源。不排放重金属</w:t>
                  </w:r>
                  <w:r>
                    <w:rPr>
                      <w:rFonts w:hint="default" w:ascii="Times New Roman" w:hAnsi="Times New Roman" w:eastAsia="宋体" w:cs="Times New Roman"/>
                      <w:color w:val="auto"/>
                      <w:szCs w:val="21"/>
                      <w:shd w:val="clear" w:color="auto" w:fill="auto"/>
                      <w:lang w:val="en-US" w:eastAsia="zh-CN"/>
                    </w:rPr>
                    <w:t>(</w:t>
                  </w:r>
                  <w:r>
                    <w:rPr>
                      <w:rFonts w:hint="eastAsia" w:ascii="Times New Roman" w:hAnsi="Times New Roman" w:eastAsia="宋体" w:cs="Times New Roman"/>
                      <w:color w:val="auto"/>
                      <w:szCs w:val="21"/>
                      <w:shd w:val="clear" w:color="auto" w:fill="auto"/>
                      <w:lang w:val="en-US" w:eastAsia="zh-CN"/>
                    </w:rPr>
                    <w:t>汞、铬、镉、铅和类金属砷</w:t>
                  </w:r>
                  <w:r>
                    <w:rPr>
                      <w:rFonts w:hint="default" w:ascii="Times New Roman" w:hAnsi="Times New Roman" w:eastAsia="宋体" w:cs="Times New Roman"/>
                      <w:color w:val="auto"/>
                      <w:szCs w:val="21"/>
                      <w:shd w:val="clear" w:color="auto" w:fill="auto"/>
                      <w:lang w:val="en-US" w:eastAsia="zh-CN"/>
                    </w:rPr>
                    <w:t>)</w:t>
                  </w:r>
                  <w:r>
                    <w:rPr>
                      <w:rFonts w:hint="eastAsia" w:ascii="Times New Roman" w:hAnsi="Times New Roman" w:eastAsia="宋体" w:cs="Times New Roman"/>
                      <w:color w:val="auto"/>
                      <w:szCs w:val="21"/>
                      <w:shd w:val="clear" w:color="auto" w:fill="auto"/>
                      <w:lang w:val="en-US" w:eastAsia="zh-CN"/>
                    </w:rPr>
                    <w:t>废气</w:t>
                  </w:r>
                </w:p>
              </w:tc>
              <w:tc>
                <w:tcPr>
                  <w:tcW w:w="901"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3" w:type="dxa"/>
                  <w:gridSpan w:val="3"/>
                  <w:vAlign w:val="center"/>
                </w:tcPr>
                <w:p>
                  <w:pPr>
                    <w:adjustRightInd w:val="0"/>
                    <w:snapToGrid w:val="0"/>
                    <w:spacing w:line="240" w:lineRule="auto"/>
                    <w:jc w:val="center"/>
                    <w:rPr>
                      <w:rFonts w:hint="eastAsia"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w:t>
                  </w:r>
                  <w:r>
                    <w:rPr>
                      <w:rFonts w:hint="eastAsia" w:ascii="Times New Roman" w:hAnsi="Times New Roman" w:eastAsia="宋体" w:cs="Times New Roman"/>
                      <w:color w:val="auto"/>
                      <w:szCs w:val="21"/>
                      <w:shd w:val="clear" w:color="auto" w:fill="auto"/>
                      <w:lang w:val="en-US" w:eastAsia="zh-CN"/>
                    </w:rPr>
                    <w:t>四</w:t>
                  </w:r>
                  <w:r>
                    <w:rPr>
                      <w:rFonts w:hint="default" w:ascii="Times New Roman" w:hAnsi="Times New Roman" w:eastAsia="宋体" w:cs="Times New Roman"/>
                      <w:color w:val="auto"/>
                      <w:szCs w:val="21"/>
                      <w:shd w:val="clear" w:color="auto" w:fill="auto"/>
                      <w:lang w:val="en-US" w:eastAsia="zh-CN"/>
                    </w:rPr>
                    <w:t>)</w:t>
                  </w:r>
                  <w:r>
                    <w:rPr>
                      <w:rFonts w:hint="eastAsia" w:ascii="Times New Roman" w:hAnsi="Times New Roman" w:eastAsia="宋体" w:cs="Times New Roman"/>
                      <w:color w:val="auto"/>
                      <w:szCs w:val="21"/>
                      <w:shd w:val="clear" w:color="auto" w:fill="auto"/>
                      <w:lang w:val="en-US" w:eastAsia="zh-CN"/>
                    </w:rPr>
                    <w:t>加强水环境保护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trPr>
              <w:tc>
                <w:tcPr>
                  <w:tcW w:w="4848" w:type="dxa"/>
                  <w:vAlign w:val="center"/>
                </w:tcPr>
                <w:p>
                  <w:pPr>
                    <w:adjustRightInd w:val="0"/>
                    <w:snapToGrid w:val="0"/>
                    <w:spacing w:line="240" w:lineRule="auto"/>
                    <w:jc w:val="center"/>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推进工业集聚区污水集中收集处理，与生活污水性质相似的工业废水满足接管要求后可以排入镇街污水处理厂。采取源头防治为主的原则，落实分区、分级防渗措施，防止规划实施对区域地下水环境的污染。应按监测计划定期开展地下水跟踪监测工作，并根据监测结论督促相关企业完善相应的地下水污染防控措施</w:t>
                  </w:r>
                </w:p>
              </w:tc>
              <w:tc>
                <w:tcPr>
                  <w:tcW w:w="1914" w:type="dxa"/>
                  <w:vAlign w:val="center"/>
                </w:tcPr>
                <w:p>
                  <w:pPr>
                    <w:adjustRightInd w:val="0"/>
                    <w:snapToGrid w:val="0"/>
                    <w:spacing w:line="240" w:lineRule="auto"/>
                    <w:jc w:val="center"/>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本项目不产生工业废水，生活污水</w:t>
                  </w:r>
                  <w:r>
                    <w:rPr>
                      <w:rFonts w:hint="eastAsia" w:cs="Times New Roman"/>
                      <w:color w:val="auto"/>
                      <w:szCs w:val="21"/>
                      <w:shd w:val="clear" w:color="auto" w:fill="auto"/>
                      <w:lang w:val="en-US" w:eastAsia="zh-CN"/>
                    </w:rPr>
                    <w:t>经自建</w:t>
                  </w:r>
                  <w:r>
                    <w:rPr>
                      <w:rFonts w:hint="eastAsia" w:ascii="Times New Roman" w:hAnsi="Times New Roman" w:eastAsia="宋体" w:cs="Times New Roman"/>
                      <w:color w:val="auto"/>
                      <w:szCs w:val="21"/>
                      <w:shd w:val="clear" w:color="auto" w:fill="auto"/>
                      <w:lang w:val="en-US" w:eastAsia="zh-CN"/>
                    </w:rPr>
                    <w:t>生化池处理达标后排入侣俸污水处理厂；项目严格遵守采取源头防治为主的原则，落实分区、分级防渗措施</w:t>
                  </w:r>
                </w:p>
              </w:tc>
              <w:tc>
                <w:tcPr>
                  <w:tcW w:w="901" w:type="dxa"/>
                  <w:vAlign w:val="center"/>
                </w:tcPr>
                <w:p>
                  <w:pPr>
                    <w:adjustRightInd w:val="0"/>
                    <w:snapToGrid w:val="0"/>
                    <w:spacing w:line="240" w:lineRule="auto"/>
                    <w:jc w:val="center"/>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3" w:type="dxa"/>
                  <w:gridSpan w:val="3"/>
                  <w:vAlign w:val="center"/>
                </w:tcPr>
                <w:p>
                  <w:pPr>
                    <w:adjustRightInd w:val="0"/>
                    <w:snapToGrid w:val="0"/>
                    <w:spacing w:line="240" w:lineRule="auto"/>
                    <w:jc w:val="center"/>
                    <w:rPr>
                      <w:rFonts w:hint="eastAsia"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w:t>
                  </w:r>
                  <w:r>
                    <w:rPr>
                      <w:rFonts w:hint="eastAsia" w:ascii="Times New Roman" w:hAnsi="Times New Roman" w:eastAsia="宋体" w:cs="Times New Roman"/>
                      <w:color w:val="auto"/>
                      <w:szCs w:val="21"/>
                      <w:shd w:val="clear" w:color="auto" w:fill="auto"/>
                      <w:lang w:val="en-US" w:eastAsia="zh-CN"/>
                    </w:rPr>
                    <w:t>五</w:t>
                  </w:r>
                  <w:r>
                    <w:rPr>
                      <w:rFonts w:hint="default" w:ascii="Times New Roman" w:hAnsi="Times New Roman" w:eastAsia="宋体" w:cs="Times New Roman"/>
                      <w:color w:val="auto"/>
                      <w:szCs w:val="21"/>
                      <w:shd w:val="clear" w:color="auto" w:fill="auto"/>
                      <w:lang w:val="en-US" w:eastAsia="zh-CN"/>
                    </w:rPr>
                    <w:t>)</w:t>
                  </w:r>
                  <w:r>
                    <w:rPr>
                      <w:rFonts w:hint="eastAsia" w:ascii="Times New Roman" w:hAnsi="Times New Roman" w:eastAsia="宋体" w:cs="Times New Roman"/>
                      <w:color w:val="auto"/>
                      <w:szCs w:val="21"/>
                      <w:shd w:val="clear" w:color="auto" w:fill="auto"/>
                      <w:lang w:val="en-US" w:eastAsia="zh-CN"/>
                    </w:rPr>
                    <w:t>做好固体废物及土壤污染防控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8" w:type="dxa"/>
                  <w:vAlign w:val="center"/>
                </w:tcPr>
                <w:p>
                  <w:pPr>
                    <w:adjustRightInd w:val="0"/>
                    <w:snapToGrid w:val="0"/>
                    <w:spacing w:line="240" w:lineRule="auto"/>
                    <w:jc w:val="center"/>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从生产流程上削减固体废物的排放量</w:t>
                  </w:r>
                  <w:r>
                    <w:rPr>
                      <w:rFonts w:hint="default" w:ascii="Times New Roman" w:hAnsi="Times New Roman" w:eastAsia="宋体" w:cs="Times New Roman"/>
                      <w:color w:val="auto"/>
                      <w:szCs w:val="21"/>
                      <w:shd w:val="clear" w:color="auto" w:fill="auto"/>
                      <w:lang w:val="en-US" w:eastAsia="zh-CN"/>
                    </w:rPr>
                    <w:t>;</w:t>
                  </w:r>
                  <w:r>
                    <w:rPr>
                      <w:rFonts w:hint="eastAsia" w:ascii="Times New Roman" w:hAnsi="Times New Roman" w:eastAsia="宋体" w:cs="Times New Roman"/>
                      <w:color w:val="auto"/>
                      <w:szCs w:val="21"/>
                      <w:shd w:val="clear" w:color="auto" w:fill="auto"/>
                      <w:lang w:val="en-US" w:eastAsia="zh-CN"/>
                    </w:rPr>
                    <w:t>严格落实危险废物环境管理制度，对危险废物收集、贮存、运输、利用、处置各环节进行全过程环境监管。严格执行土壤污染状况调查、风险评估和污染土壤修复制度，建立污染地块目录及其开发利用负面清单，土地开发利用必须满足规划用地土壤环境质量要求</w:t>
                  </w:r>
                  <w:r>
                    <w:rPr>
                      <w:rFonts w:hint="default" w:ascii="Times New Roman" w:hAnsi="Times New Roman" w:eastAsia="宋体" w:cs="Times New Roman"/>
                      <w:color w:val="auto"/>
                      <w:szCs w:val="21"/>
                      <w:shd w:val="clear" w:color="auto" w:fill="auto"/>
                      <w:lang w:val="en-US" w:eastAsia="zh-CN"/>
                    </w:rPr>
                    <w:t>;</w:t>
                  </w:r>
                  <w:r>
                    <w:rPr>
                      <w:rFonts w:hint="eastAsia" w:ascii="Times New Roman" w:hAnsi="Times New Roman" w:eastAsia="宋体" w:cs="Times New Roman"/>
                      <w:color w:val="auto"/>
                      <w:szCs w:val="21"/>
                      <w:shd w:val="clear" w:color="auto" w:fill="auto"/>
                      <w:lang w:val="en-US" w:eastAsia="zh-CN"/>
                    </w:rPr>
                    <w:t>强化工业企业土壤污染防治，避免对农用地造成不利影响</w:t>
                  </w:r>
                </w:p>
              </w:tc>
              <w:tc>
                <w:tcPr>
                  <w:tcW w:w="1914"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本项目一般固废存放至一般固废暂存间定期交由废旧物资回收单位处置；危险废物暂存至危废暂存间定期交有资质单位处置；</w:t>
                  </w:r>
                </w:p>
              </w:tc>
              <w:tc>
                <w:tcPr>
                  <w:tcW w:w="901" w:type="dxa"/>
                  <w:vAlign w:val="center"/>
                </w:tcPr>
                <w:p>
                  <w:pPr>
                    <w:adjustRightInd w:val="0"/>
                    <w:snapToGrid w:val="0"/>
                    <w:spacing w:line="240" w:lineRule="auto"/>
                    <w:jc w:val="center"/>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3" w:type="dxa"/>
                  <w:gridSpan w:val="3"/>
                  <w:vAlign w:val="center"/>
                </w:tcPr>
                <w:p>
                  <w:pPr>
                    <w:adjustRightInd w:val="0"/>
                    <w:snapToGrid w:val="0"/>
                    <w:spacing w:line="240" w:lineRule="auto"/>
                    <w:jc w:val="center"/>
                    <w:rPr>
                      <w:rFonts w:hint="eastAsia"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w:t>
                  </w:r>
                  <w:r>
                    <w:rPr>
                      <w:rFonts w:hint="eastAsia" w:ascii="Times New Roman" w:hAnsi="Times New Roman" w:eastAsia="宋体" w:cs="Times New Roman"/>
                      <w:color w:val="auto"/>
                      <w:szCs w:val="21"/>
                      <w:shd w:val="clear" w:color="auto" w:fill="auto"/>
                      <w:lang w:val="en-US" w:eastAsia="zh-CN"/>
                    </w:rPr>
                    <w:t>六</w:t>
                  </w:r>
                  <w:r>
                    <w:rPr>
                      <w:rFonts w:hint="default" w:ascii="Times New Roman" w:hAnsi="Times New Roman" w:eastAsia="宋体" w:cs="Times New Roman"/>
                      <w:color w:val="auto"/>
                      <w:szCs w:val="21"/>
                      <w:shd w:val="clear" w:color="auto" w:fill="auto"/>
                      <w:lang w:val="en-US" w:eastAsia="zh-CN"/>
                    </w:rPr>
                    <w:t>)</w:t>
                  </w:r>
                  <w:r>
                    <w:rPr>
                      <w:rFonts w:hint="eastAsia" w:ascii="Times New Roman" w:hAnsi="Times New Roman" w:eastAsia="宋体" w:cs="Times New Roman"/>
                      <w:color w:val="auto"/>
                      <w:szCs w:val="21"/>
                      <w:shd w:val="clear" w:color="auto" w:fill="auto"/>
                      <w:lang w:val="en-US" w:eastAsia="zh-CN"/>
                    </w:rPr>
                    <w:t>强化噪声污染防控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8" w:type="dxa"/>
                  <w:vAlign w:val="center"/>
                </w:tcPr>
                <w:p>
                  <w:pPr>
                    <w:adjustRightInd w:val="0"/>
                    <w:snapToGrid w:val="0"/>
                    <w:spacing w:line="240" w:lineRule="auto"/>
                    <w:jc w:val="center"/>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合理布局企业噪声源，高噪声源企业选址和布局应满足相应的环境防护距离要求，尽量远离居住等声环境敏感区域</w:t>
                  </w:r>
                  <w:r>
                    <w:rPr>
                      <w:rFonts w:hint="default" w:ascii="Times New Roman" w:hAnsi="Times New Roman" w:eastAsia="宋体" w:cs="Times New Roman"/>
                      <w:color w:val="auto"/>
                      <w:szCs w:val="21"/>
                      <w:shd w:val="clear" w:color="auto" w:fill="auto"/>
                      <w:lang w:val="en-US" w:eastAsia="zh-CN"/>
                    </w:rPr>
                    <w:t>;</w:t>
                  </w:r>
                  <w:r>
                    <w:rPr>
                      <w:rFonts w:hint="eastAsia" w:ascii="Times New Roman" w:hAnsi="Times New Roman" w:eastAsia="宋体" w:cs="Times New Roman"/>
                      <w:color w:val="auto"/>
                      <w:szCs w:val="21"/>
                      <w:shd w:val="clear" w:color="auto" w:fill="auto"/>
                      <w:lang w:val="en-US" w:eastAsia="zh-CN"/>
                    </w:rPr>
                    <w:t>选择低噪声设备，采取消声、隔声、减振等措施，确保厂界噪声达标和不得扰民</w:t>
                  </w:r>
                </w:p>
              </w:tc>
              <w:tc>
                <w:tcPr>
                  <w:tcW w:w="1914" w:type="dxa"/>
                  <w:vAlign w:val="center"/>
                </w:tcPr>
                <w:p>
                  <w:pPr>
                    <w:adjustRightInd w:val="0"/>
                    <w:snapToGrid w:val="0"/>
                    <w:spacing w:line="240" w:lineRule="auto"/>
                    <w:jc w:val="center"/>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本项目厂房设备合理布局，选择低噪声设备</w:t>
                  </w:r>
                </w:p>
              </w:tc>
              <w:tc>
                <w:tcPr>
                  <w:tcW w:w="901"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3" w:type="dxa"/>
                  <w:gridSpan w:val="3"/>
                  <w:vAlign w:val="center"/>
                </w:tcPr>
                <w:p>
                  <w:pPr>
                    <w:adjustRightInd w:val="0"/>
                    <w:snapToGrid w:val="0"/>
                    <w:spacing w:line="240" w:lineRule="auto"/>
                    <w:jc w:val="center"/>
                    <w:rPr>
                      <w:rFonts w:hint="eastAsia"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w:t>
                  </w:r>
                  <w:r>
                    <w:rPr>
                      <w:rFonts w:hint="eastAsia" w:ascii="Times New Roman" w:hAnsi="Times New Roman" w:eastAsia="宋体" w:cs="Times New Roman"/>
                      <w:color w:val="auto"/>
                      <w:szCs w:val="21"/>
                      <w:shd w:val="clear" w:color="auto" w:fill="auto"/>
                      <w:lang w:val="en-US" w:eastAsia="zh-CN"/>
                    </w:rPr>
                    <w:t>七</w:t>
                  </w:r>
                  <w:r>
                    <w:rPr>
                      <w:rFonts w:hint="default" w:ascii="Times New Roman" w:hAnsi="Times New Roman" w:eastAsia="宋体" w:cs="Times New Roman"/>
                      <w:color w:val="auto"/>
                      <w:szCs w:val="21"/>
                      <w:shd w:val="clear" w:color="auto" w:fill="auto"/>
                      <w:lang w:val="en-US" w:eastAsia="zh-CN"/>
                    </w:rPr>
                    <w:t>)</w:t>
                  </w:r>
                  <w:r>
                    <w:rPr>
                      <w:rFonts w:hint="eastAsia" w:ascii="Times New Roman" w:hAnsi="Times New Roman" w:eastAsia="宋体" w:cs="Times New Roman"/>
                      <w:color w:val="auto"/>
                      <w:szCs w:val="21"/>
                      <w:shd w:val="clear" w:color="auto" w:fill="auto"/>
                      <w:lang w:val="en-US" w:eastAsia="zh-CN"/>
                    </w:rPr>
                    <w:t>强化环境风险防控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8" w:type="dxa"/>
                  <w:vAlign w:val="center"/>
                </w:tcPr>
                <w:p>
                  <w:pPr>
                    <w:adjustRightInd w:val="0"/>
                    <w:snapToGrid w:val="0"/>
                    <w:spacing w:line="240" w:lineRule="auto"/>
                    <w:jc w:val="center"/>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高度重视环境风险防范体系建设，建立健全环境风险防控体系，严格落实各项环境风险防范措施，开展突发环境事件风险评估和应急预案编制工作。定期开展突发环境事件应急演练，保障区域环境安全</w:t>
                  </w:r>
                </w:p>
              </w:tc>
              <w:tc>
                <w:tcPr>
                  <w:tcW w:w="1914" w:type="dxa"/>
                  <w:vAlign w:val="center"/>
                </w:tcPr>
                <w:p>
                  <w:pPr>
                    <w:adjustRightInd w:val="0"/>
                    <w:snapToGrid w:val="0"/>
                    <w:spacing w:line="240" w:lineRule="auto"/>
                    <w:jc w:val="center"/>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本项目</w:t>
                  </w:r>
                  <w:r>
                    <w:rPr>
                      <w:rFonts w:hint="default" w:ascii="Times New Roman" w:hAnsi="Times New Roman" w:eastAsia="宋体" w:cs="Times New Roman"/>
                      <w:color w:val="auto"/>
                      <w:szCs w:val="21"/>
                      <w:shd w:val="clear" w:color="auto" w:fill="auto"/>
                      <w:lang w:val="en-US" w:eastAsia="zh-CN"/>
                    </w:rPr>
                    <w:t>Q</w:t>
                  </w:r>
                  <w:r>
                    <w:rPr>
                      <w:rFonts w:hint="eastAsia" w:ascii="Times New Roman" w:hAnsi="Times New Roman" w:eastAsia="宋体" w:cs="Times New Roman"/>
                      <w:color w:val="auto"/>
                      <w:szCs w:val="21"/>
                      <w:shd w:val="clear" w:color="auto" w:fill="auto"/>
                      <w:lang w:val="en-US" w:eastAsia="zh-CN"/>
                    </w:rPr>
                    <w:t>（</w:t>
                  </w:r>
                  <w:r>
                    <w:rPr>
                      <w:rFonts w:hint="default" w:ascii="Times New Roman" w:hAnsi="Times New Roman" w:eastAsia="宋体" w:cs="Times New Roman"/>
                      <w:color w:val="auto"/>
                      <w:szCs w:val="21"/>
                      <w:shd w:val="clear" w:color="auto" w:fill="auto"/>
                      <w:lang w:val="en-US" w:eastAsia="zh-CN"/>
                    </w:rPr>
                    <w:t>0.</w:t>
                  </w:r>
                  <w:r>
                    <w:rPr>
                      <w:rFonts w:hint="eastAsia" w:ascii="Times New Roman" w:hAnsi="Times New Roman" w:eastAsia="宋体" w:cs="Times New Roman"/>
                      <w:color w:val="auto"/>
                      <w:szCs w:val="21"/>
                      <w:shd w:val="clear" w:color="auto" w:fill="auto"/>
                      <w:lang w:val="en-US" w:eastAsia="zh-CN"/>
                    </w:rPr>
                    <w:t>000</w:t>
                  </w:r>
                  <w:r>
                    <w:rPr>
                      <w:rFonts w:hint="eastAsia" w:cs="Times New Roman"/>
                      <w:color w:val="auto"/>
                      <w:szCs w:val="21"/>
                      <w:shd w:val="clear" w:color="auto" w:fill="auto"/>
                      <w:lang w:val="en-US" w:eastAsia="zh-CN"/>
                    </w:rPr>
                    <w:t>25</w:t>
                  </w:r>
                  <w:r>
                    <w:rPr>
                      <w:rFonts w:hint="eastAsia" w:ascii="Times New Roman" w:hAnsi="Times New Roman" w:eastAsia="宋体" w:cs="Times New Roman"/>
                      <w:color w:val="auto"/>
                      <w:szCs w:val="21"/>
                      <w:shd w:val="clear" w:color="auto" w:fill="auto"/>
                      <w:lang w:val="en-US" w:eastAsia="zh-CN"/>
                    </w:rPr>
                    <w:t>6）</w:t>
                  </w:r>
                  <w:r>
                    <w:rPr>
                      <w:rFonts w:hint="default" w:ascii="Times New Roman" w:hAnsi="Times New Roman" w:eastAsia="宋体" w:cs="Times New Roman"/>
                      <w:color w:val="auto"/>
                      <w:szCs w:val="21"/>
                      <w:shd w:val="clear" w:color="auto" w:fill="auto"/>
                      <w:lang w:val="en-US" w:eastAsia="zh-CN"/>
                    </w:rPr>
                    <w:t>&lt;1</w:t>
                  </w:r>
                  <w:r>
                    <w:rPr>
                      <w:rFonts w:hint="eastAsia" w:ascii="Times New Roman" w:hAnsi="Times New Roman" w:eastAsia="宋体" w:cs="Times New Roman"/>
                      <w:color w:val="auto"/>
                      <w:szCs w:val="21"/>
                      <w:shd w:val="clear" w:color="auto" w:fill="auto"/>
                      <w:lang w:val="en-US" w:eastAsia="zh-CN"/>
                    </w:rPr>
                    <w:t>，风险危害极小，有相应的风险防范措施</w:t>
                  </w:r>
                </w:p>
              </w:tc>
              <w:tc>
                <w:tcPr>
                  <w:tcW w:w="901" w:type="dxa"/>
                  <w:vAlign w:val="center"/>
                </w:tcPr>
                <w:p>
                  <w:pPr>
                    <w:adjustRightInd w:val="0"/>
                    <w:snapToGrid w:val="0"/>
                    <w:spacing w:line="240" w:lineRule="auto"/>
                    <w:jc w:val="center"/>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3" w:type="dxa"/>
                  <w:gridSpan w:val="3"/>
                  <w:vAlign w:val="center"/>
                </w:tcPr>
                <w:p>
                  <w:pPr>
                    <w:adjustRightInd w:val="0"/>
                    <w:snapToGrid w:val="0"/>
                    <w:spacing w:line="240" w:lineRule="auto"/>
                    <w:jc w:val="center"/>
                    <w:rPr>
                      <w:rFonts w:hint="eastAsia"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w:t>
                  </w:r>
                  <w:r>
                    <w:rPr>
                      <w:rFonts w:hint="eastAsia" w:ascii="Times New Roman" w:hAnsi="Times New Roman" w:eastAsia="宋体" w:cs="Times New Roman"/>
                      <w:color w:val="auto"/>
                      <w:szCs w:val="21"/>
                      <w:shd w:val="clear" w:color="auto" w:fill="auto"/>
                      <w:lang w:val="en-US" w:eastAsia="zh-CN"/>
                    </w:rPr>
                    <w:t>八</w:t>
                  </w:r>
                  <w:r>
                    <w:rPr>
                      <w:rFonts w:hint="default" w:ascii="Times New Roman" w:hAnsi="Times New Roman" w:eastAsia="宋体" w:cs="Times New Roman"/>
                      <w:color w:val="auto"/>
                      <w:szCs w:val="21"/>
                      <w:shd w:val="clear" w:color="auto" w:fill="auto"/>
                      <w:lang w:val="en-US" w:eastAsia="zh-CN"/>
                    </w:rPr>
                    <w:t>)</w:t>
                  </w:r>
                  <w:r>
                    <w:rPr>
                      <w:rFonts w:hint="eastAsia" w:ascii="Times New Roman" w:hAnsi="Times New Roman" w:eastAsia="宋体" w:cs="Times New Roman"/>
                      <w:color w:val="auto"/>
                      <w:szCs w:val="21"/>
                      <w:shd w:val="clear" w:color="auto" w:fill="auto"/>
                      <w:lang w:val="en-US" w:eastAsia="zh-CN"/>
                    </w:rPr>
                    <w:t>规范环境管理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8" w:type="dxa"/>
                  <w:vAlign w:val="center"/>
                </w:tcPr>
                <w:p>
                  <w:pPr>
                    <w:adjustRightInd w:val="0"/>
                    <w:snapToGrid w:val="0"/>
                    <w:spacing w:line="240" w:lineRule="auto"/>
                    <w:jc w:val="center"/>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加强日常环境监管，落实建设项目环境影响评价和固定污染源排污许可制度。建立包括环境空气、地表水、地下水、土壤等环境要素的监控体系，落实跟踪环境监测计划。适时开展环境影响跟踪评价，规划在实施过程中，若规划目标、产业定位、布局等方面进行重大调整或者修订，应重新进行规划环境影响评价</w:t>
                  </w:r>
                </w:p>
              </w:tc>
              <w:tc>
                <w:tcPr>
                  <w:tcW w:w="1914" w:type="dxa"/>
                  <w:vAlign w:val="center"/>
                </w:tcPr>
                <w:p>
                  <w:pPr>
                    <w:adjustRightInd w:val="0"/>
                    <w:snapToGrid w:val="0"/>
                    <w:spacing w:line="240" w:lineRule="auto"/>
                    <w:jc w:val="center"/>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本项目严格执行环境影响评价和环保</w:t>
                  </w:r>
                  <w:r>
                    <w:rPr>
                      <w:rFonts w:hint="default" w:ascii="Times New Roman" w:hAnsi="Times New Roman" w:eastAsia="宋体" w:cs="Times New Roman"/>
                      <w:color w:val="auto"/>
                      <w:szCs w:val="21"/>
                      <w:shd w:val="clear" w:color="auto" w:fill="auto"/>
                      <w:lang w:val="en-US" w:eastAsia="zh-CN"/>
                    </w:rPr>
                    <w:t>“</w:t>
                  </w:r>
                  <w:r>
                    <w:rPr>
                      <w:rFonts w:hint="eastAsia" w:ascii="Times New Roman" w:hAnsi="Times New Roman" w:eastAsia="宋体" w:cs="Times New Roman"/>
                      <w:color w:val="auto"/>
                      <w:szCs w:val="21"/>
                      <w:shd w:val="clear" w:color="auto" w:fill="auto"/>
                      <w:lang w:val="en-US" w:eastAsia="zh-CN"/>
                    </w:rPr>
                    <w:t>三同时</w:t>
                  </w:r>
                  <w:r>
                    <w:rPr>
                      <w:rFonts w:hint="default" w:ascii="Times New Roman" w:hAnsi="Times New Roman" w:eastAsia="宋体" w:cs="Times New Roman"/>
                      <w:color w:val="auto"/>
                      <w:szCs w:val="21"/>
                      <w:shd w:val="clear" w:color="auto" w:fill="auto"/>
                      <w:lang w:val="en-US" w:eastAsia="zh-CN"/>
                    </w:rPr>
                    <w:t>”</w:t>
                  </w:r>
                  <w:r>
                    <w:rPr>
                      <w:rFonts w:hint="eastAsia" w:ascii="Times New Roman" w:hAnsi="Times New Roman" w:eastAsia="宋体" w:cs="Times New Roman"/>
                      <w:color w:val="auto"/>
                      <w:szCs w:val="21"/>
                      <w:shd w:val="clear" w:color="auto" w:fill="auto"/>
                      <w:lang w:val="en-US" w:eastAsia="zh-CN"/>
                    </w:rPr>
                    <w:t>制度，建立相关监控体系</w:t>
                  </w:r>
                </w:p>
              </w:tc>
              <w:tc>
                <w:tcPr>
                  <w:tcW w:w="901"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3" w:type="dxa"/>
                  <w:gridSpan w:val="3"/>
                  <w:vAlign w:val="center"/>
                </w:tcPr>
                <w:p>
                  <w:pPr>
                    <w:adjustRightInd w:val="0"/>
                    <w:snapToGrid w:val="0"/>
                    <w:spacing w:line="240" w:lineRule="auto"/>
                    <w:jc w:val="center"/>
                    <w:rPr>
                      <w:rFonts w:hint="eastAsia"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w:t>
                  </w:r>
                  <w:r>
                    <w:rPr>
                      <w:rFonts w:hint="eastAsia" w:ascii="Times New Roman" w:hAnsi="Times New Roman" w:eastAsia="宋体" w:cs="Times New Roman"/>
                      <w:color w:val="auto"/>
                      <w:szCs w:val="21"/>
                      <w:shd w:val="clear" w:color="auto" w:fill="auto"/>
                      <w:lang w:val="en-US" w:eastAsia="zh-CN"/>
                    </w:rPr>
                    <w:t>九</w:t>
                  </w:r>
                  <w:r>
                    <w:rPr>
                      <w:rFonts w:hint="default" w:ascii="Times New Roman" w:hAnsi="Times New Roman" w:eastAsia="宋体" w:cs="Times New Roman"/>
                      <w:color w:val="auto"/>
                      <w:szCs w:val="21"/>
                      <w:shd w:val="clear" w:color="auto" w:fill="auto"/>
                      <w:lang w:val="en-US" w:eastAsia="zh-CN"/>
                    </w:rPr>
                    <w:t>)</w:t>
                  </w:r>
                  <w:r>
                    <w:rPr>
                      <w:rFonts w:hint="eastAsia" w:ascii="Times New Roman" w:hAnsi="Times New Roman" w:eastAsia="宋体" w:cs="Times New Roman"/>
                      <w:color w:val="auto"/>
                      <w:szCs w:val="21"/>
                      <w:shd w:val="clear" w:color="auto" w:fill="auto"/>
                      <w:lang w:val="en-US" w:eastAsia="zh-CN"/>
                    </w:rPr>
                    <w:t>积极推进规划环评与“三线一单”的联动以及建设项目环评与规划环评的联动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8" w:type="dxa"/>
                  <w:vAlign w:val="center"/>
                </w:tcPr>
                <w:p>
                  <w:pPr>
                    <w:adjustRightInd w:val="0"/>
                    <w:snapToGrid w:val="0"/>
                    <w:spacing w:line="240" w:lineRule="auto"/>
                    <w:jc w:val="center"/>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强化规划环评与铜梁区“三线一单”</w:t>
                  </w:r>
                  <w:r>
                    <w:rPr>
                      <w:rFonts w:hint="default" w:ascii="Times New Roman" w:hAnsi="Times New Roman" w:eastAsia="宋体" w:cs="Times New Roman"/>
                      <w:color w:val="auto"/>
                      <w:szCs w:val="21"/>
                      <w:shd w:val="clear" w:color="auto" w:fill="auto"/>
                      <w:lang w:val="en-US" w:eastAsia="zh-CN"/>
                    </w:rPr>
                    <w:t>(</w:t>
                  </w:r>
                  <w:r>
                    <w:rPr>
                      <w:rFonts w:hint="eastAsia" w:ascii="Times New Roman" w:hAnsi="Times New Roman" w:eastAsia="宋体" w:cs="Times New Roman"/>
                      <w:color w:val="auto"/>
                      <w:szCs w:val="21"/>
                      <w:shd w:val="clear" w:color="auto" w:fill="auto"/>
                      <w:lang w:val="en-US" w:eastAsia="zh-CN"/>
                    </w:rPr>
                    <w:t>生态保护红线、环境质量底线、资源利用上线，生态环境准入清单</w:t>
                  </w:r>
                  <w:r>
                    <w:rPr>
                      <w:rFonts w:hint="default" w:ascii="Times New Roman" w:hAnsi="Times New Roman" w:eastAsia="宋体" w:cs="Times New Roman"/>
                      <w:color w:val="auto"/>
                      <w:szCs w:val="21"/>
                      <w:shd w:val="clear" w:color="auto" w:fill="auto"/>
                      <w:lang w:val="en-US" w:eastAsia="zh-CN"/>
                    </w:rPr>
                    <w:t>)</w:t>
                  </w:r>
                  <w:r>
                    <w:rPr>
                      <w:rFonts w:hint="eastAsia" w:ascii="Times New Roman" w:hAnsi="Times New Roman" w:eastAsia="宋体" w:cs="Times New Roman"/>
                      <w:color w:val="auto"/>
                      <w:szCs w:val="21"/>
                      <w:shd w:val="clear" w:color="auto" w:fill="auto"/>
                      <w:lang w:val="en-US" w:eastAsia="zh-CN"/>
                    </w:rPr>
                    <w:t>的联动，主要管控措施应符合铜梁区“三线一单”要求。规划区内建设项目在开展环境影响评价时，应结合生态空间保护与管控要求，在落实环境质量底线的基础上深入论证项目建设可能产生的生态环境影响，严格生态环境准入要求，执行切实可行的污染防治和环境风险防控措施，预防或者减轻建设项目实施可能产生的不良环境影响。对与规划主导产业定位相符的建设项目，其环境政策符合性、环境现状调查等内容可适当简化</w:t>
                  </w:r>
                </w:p>
              </w:tc>
              <w:tc>
                <w:tcPr>
                  <w:tcW w:w="1914" w:type="dxa"/>
                  <w:vAlign w:val="center"/>
                </w:tcPr>
                <w:p>
                  <w:pPr>
                    <w:adjustRightInd w:val="0"/>
                    <w:snapToGrid w:val="0"/>
                    <w:spacing w:line="240" w:lineRule="auto"/>
                    <w:jc w:val="center"/>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本项目符合相关“三线一单”要求，项目不在生态保护红线范围内，符合环境准入清单，严格遵守环境质量底线，达到最大资源利用</w:t>
                  </w:r>
                </w:p>
              </w:tc>
              <w:tc>
                <w:tcPr>
                  <w:tcW w:w="901"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符合</w:t>
                  </w:r>
                </w:p>
              </w:tc>
            </w:tr>
          </w:tbl>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default" w:cs="Times New Roman"/>
                <w:b w:val="0"/>
                <w:bCs/>
                <w:snapToGrid w:val="0"/>
                <w:color w:val="auto"/>
                <w:kern w:val="0"/>
                <w:sz w:val="24"/>
                <w:highlight w:val="none"/>
                <w:lang w:val="en-US" w:eastAsia="zh-CN"/>
              </w:rPr>
            </w:pPr>
            <w:r>
              <w:rPr>
                <w:rFonts w:hint="eastAsia" w:cs="Times New Roman"/>
                <w:b w:val="0"/>
                <w:bCs/>
                <w:snapToGrid w:val="0"/>
                <w:color w:val="auto"/>
                <w:kern w:val="0"/>
                <w:sz w:val="24"/>
                <w:highlight w:val="none"/>
                <w:lang w:val="en-US" w:eastAsia="zh-CN"/>
              </w:rPr>
              <w:t>1.3 与侣俸镇工业聚集区环境准入符合性分析</w:t>
            </w:r>
          </w:p>
          <w:p>
            <w:pPr>
              <w:keepNext w:val="0"/>
              <w:keepLines w:val="0"/>
              <w:pageBreakBefore w:val="0"/>
              <w:widowControl/>
              <w:kinsoku/>
              <w:wordWrap/>
              <w:overflowPunct/>
              <w:topLinePunct w:val="0"/>
              <w:autoSpaceDE/>
              <w:autoSpaceDN/>
              <w:bidi w:val="0"/>
              <w:adjustRightInd w:val="0"/>
              <w:snapToGrid/>
              <w:spacing w:line="360" w:lineRule="auto"/>
              <w:ind w:firstLine="0" w:firstLineChars="0"/>
              <w:jc w:val="center"/>
              <w:textAlignment w:val="auto"/>
              <w:rPr>
                <w:rFonts w:hint="default" w:ascii="Times New Roman" w:hAnsi="Times New Roman" w:eastAsia="宋体" w:cs="Times New Roman"/>
                <w:bCs/>
                <w:snapToGrid w:val="0"/>
                <w:color w:val="auto"/>
                <w:kern w:val="0"/>
                <w:sz w:val="24"/>
                <w:lang w:val="en-US" w:eastAsia="zh-CN"/>
              </w:rPr>
            </w:pPr>
            <w:r>
              <w:rPr>
                <w:rFonts w:hint="eastAsia" w:ascii="Times New Roman" w:hAnsi="Times New Roman" w:eastAsia="宋体" w:cs="Times New Roman"/>
                <w:bCs/>
                <w:snapToGrid w:val="0"/>
                <w:color w:val="auto"/>
                <w:kern w:val="0"/>
                <w:sz w:val="24"/>
                <w:lang w:val="en-US" w:eastAsia="zh-CN"/>
              </w:rPr>
              <w:t>表1-</w:t>
            </w:r>
            <w:r>
              <w:rPr>
                <w:rFonts w:hint="eastAsia" w:cs="Times New Roman"/>
                <w:bCs/>
                <w:snapToGrid w:val="0"/>
                <w:color w:val="auto"/>
                <w:kern w:val="0"/>
                <w:sz w:val="24"/>
                <w:lang w:val="en-US" w:eastAsia="zh-CN"/>
              </w:rPr>
              <w:t>4</w:t>
            </w:r>
            <w:r>
              <w:rPr>
                <w:rFonts w:hint="eastAsia" w:ascii="Times New Roman" w:hAnsi="Times New Roman" w:eastAsia="宋体" w:cs="Times New Roman"/>
                <w:bCs/>
                <w:snapToGrid w:val="0"/>
                <w:color w:val="auto"/>
                <w:kern w:val="0"/>
                <w:sz w:val="24"/>
                <w:lang w:val="en-US" w:eastAsia="zh-CN"/>
              </w:rPr>
              <w:t xml:space="preserve"> 侣俸镇工业聚集区环境准入符合性分析一览表</w:t>
            </w:r>
          </w:p>
          <w:tbl>
            <w:tblPr>
              <w:tblStyle w:val="16"/>
              <w:tblW w:w="7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4755"/>
              <w:gridCol w:w="1560"/>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分类</w:t>
                  </w:r>
                </w:p>
              </w:tc>
              <w:tc>
                <w:tcPr>
                  <w:tcW w:w="4755" w:type="dxa"/>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清单内容</w:t>
                  </w:r>
                </w:p>
              </w:tc>
              <w:tc>
                <w:tcPr>
                  <w:tcW w:w="1560" w:type="dxa"/>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项目情况</w:t>
                  </w:r>
                </w:p>
              </w:tc>
              <w:tc>
                <w:tcPr>
                  <w:tcW w:w="679" w:type="dxa"/>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Merge w:val="restart"/>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空间布局约束</w:t>
                  </w:r>
                </w:p>
              </w:tc>
              <w:tc>
                <w:tcPr>
                  <w:tcW w:w="4755" w:type="dxa"/>
                  <w:vAlign w:val="center"/>
                </w:tcPr>
                <w:p>
                  <w:pPr>
                    <w:adjustRightInd w:val="0"/>
                    <w:snapToGrid w:val="0"/>
                    <w:spacing w:line="240" w:lineRule="auto"/>
                    <w:jc w:val="center"/>
                    <w:rPr>
                      <w:rFonts w:hint="eastAsia" w:cs="Times New Roman"/>
                      <w:color w:val="auto"/>
                      <w:szCs w:val="21"/>
                      <w:shd w:val="clear" w:color="auto" w:fill="auto"/>
                      <w:lang w:val="en-US" w:eastAsia="zh-CN"/>
                    </w:rPr>
                  </w:pPr>
                  <w:r>
                    <w:rPr>
                      <w:rFonts w:hint="default" w:cs="Times New Roman"/>
                      <w:color w:val="auto"/>
                      <w:szCs w:val="21"/>
                      <w:shd w:val="clear" w:color="auto" w:fill="auto"/>
                      <w:lang w:val="en-US" w:eastAsia="zh-CN"/>
                    </w:rPr>
                    <w:t>1.</w:t>
                  </w:r>
                  <w:r>
                    <w:rPr>
                      <w:rFonts w:hint="eastAsia" w:cs="Times New Roman"/>
                      <w:color w:val="auto"/>
                      <w:szCs w:val="21"/>
                      <w:shd w:val="clear" w:color="auto" w:fill="auto"/>
                      <w:lang w:val="en-US" w:eastAsia="zh-CN"/>
                    </w:rPr>
                    <w:t>侣俸工业集聚区位于侣俸镇中心镇区西北侧和东南侧，西北侧地块位于主导风向的上风向，东南侧地块位于主导风向的下风向，西北侧地块临近居民点处不应引进废气排放量大的企业，其他区域引进的废气排放量大的企业应与居民区保持一定距离，具体距离范围由项目环评确定</w:t>
                  </w:r>
                </w:p>
              </w:tc>
              <w:tc>
                <w:tcPr>
                  <w:tcW w:w="1560" w:type="dxa"/>
                  <w:vAlign w:val="center"/>
                </w:tcPr>
                <w:p>
                  <w:pPr>
                    <w:adjustRightInd w:val="0"/>
                    <w:snapToGrid w:val="0"/>
                    <w:spacing w:line="240" w:lineRule="auto"/>
                    <w:jc w:val="center"/>
                    <w:rPr>
                      <w:rFonts w:hint="eastAsia" w:cs="Times New Roman"/>
                      <w:color w:val="auto"/>
                      <w:szCs w:val="21"/>
                      <w:shd w:val="clear" w:color="auto" w:fill="auto"/>
                      <w:lang w:val="en-US" w:eastAsia="zh-CN"/>
                    </w:rPr>
                  </w:pPr>
                  <w:r>
                    <w:rPr>
                      <w:rFonts w:hint="eastAsia" w:cs="Times New Roman"/>
                      <w:color w:val="auto"/>
                      <w:szCs w:val="21"/>
                      <w:shd w:val="clear" w:color="auto" w:fill="auto"/>
                      <w:lang w:val="en-US" w:eastAsia="zh-CN"/>
                    </w:rPr>
                    <w:t>项目位于侣俸镇中心镇区东南侧，位于主风向的下风向</w:t>
                  </w:r>
                </w:p>
              </w:tc>
              <w:tc>
                <w:tcPr>
                  <w:tcW w:w="679" w:type="dxa"/>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4755" w:type="dxa"/>
                  <w:vAlign w:val="center"/>
                </w:tcPr>
                <w:p>
                  <w:pPr>
                    <w:adjustRightInd w:val="0"/>
                    <w:snapToGrid w:val="0"/>
                    <w:spacing w:line="240" w:lineRule="auto"/>
                    <w:jc w:val="center"/>
                    <w:rPr>
                      <w:rFonts w:hint="eastAsia" w:cs="Times New Roman"/>
                      <w:color w:val="auto"/>
                      <w:szCs w:val="21"/>
                      <w:shd w:val="clear" w:color="auto" w:fill="auto"/>
                      <w:lang w:val="en-US" w:eastAsia="zh-CN"/>
                    </w:rPr>
                  </w:pPr>
                  <w:r>
                    <w:rPr>
                      <w:rFonts w:hint="default" w:cs="Times New Roman"/>
                      <w:color w:val="auto"/>
                      <w:szCs w:val="21"/>
                      <w:shd w:val="clear" w:color="auto" w:fill="auto"/>
                      <w:lang w:val="en-US" w:eastAsia="zh-CN"/>
                    </w:rPr>
                    <w:t>2.</w:t>
                  </w:r>
                  <w:r>
                    <w:rPr>
                      <w:rFonts w:hint="eastAsia" w:cs="Times New Roman"/>
                      <w:color w:val="auto"/>
                      <w:szCs w:val="21"/>
                      <w:shd w:val="clear" w:color="auto" w:fill="auto"/>
                      <w:lang w:val="en-US" w:eastAsia="zh-CN"/>
                    </w:rPr>
                    <w:t>新建单机</w:t>
                  </w:r>
                  <w:r>
                    <w:rPr>
                      <w:rFonts w:hint="default" w:cs="Times New Roman"/>
                      <w:color w:val="auto"/>
                      <w:szCs w:val="21"/>
                      <w:shd w:val="clear" w:color="auto" w:fill="auto"/>
                      <w:lang w:val="en-US" w:eastAsia="zh-CN"/>
                    </w:rPr>
                    <w:t>10</w:t>
                  </w:r>
                  <w:r>
                    <w:rPr>
                      <w:rFonts w:hint="eastAsia" w:cs="Times New Roman"/>
                      <w:color w:val="auto"/>
                      <w:szCs w:val="21"/>
                      <w:shd w:val="clear" w:color="auto" w:fill="auto"/>
                      <w:lang w:val="en-US" w:eastAsia="zh-CN"/>
                    </w:rPr>
                    <w:t>万千瓦以下和设计寿命期满的单机</w:t>
                  </w:r>
                  <w:r>
                    <w:rPr>
                      <w:rFonts w:hint="default" w:cs="Times New Roman"/>
                      <w:color w:val="auto"/>
                      <w:szCs w:val="21"/>
                      <w:shd w:val="clear" w:color="auto" w:fill="auto"/>
                      <w:lang w:val="en-US" w:eastAsia="zh-CN"/>
                    </w:rPr>
                    <w:t>20</w:t>
                  </w:r>
                  <w:r>
                    <w:rPr>
                      <w:rFonts w:hint="eastAsia" w:cs="Times New Roman"/>
                      <w:color w:val="auto"/>
                      <w:szCs w:val="21"/>
                      <w:shd w:val="clear" w:color="auto" w:fill="auto"/>
                      <w:lang w:val="en-US" w:eastAsia="zh-CN"/>
                    </w:rPr>
                    <w:t>万千瓦以下常规燃煤火电机，按照国家要求分步淘汰关停环保、能耗、安全等不达标的</w:t>
                  </w:r>
                  <w:r>
                    <w:rPr>
                      <w:rFonts w:hint="default" w:cs="Times New Roman"/>
                      <w:color w:val="auto"/>
                      <w:szCs w:val="21"/>
                      <w:shd w:val="clear" w:color="auto" w:fill="auto"/>
                      <w:lang w:val="en-US" w:eastAsia="zh-CN"/>
                    </w:rPr>
                    <w:t>30</w:t>
                  </w:r>
                  <w:r>
                    <w:rPr>
                      <w:rFonts w:hint="eastAsia" w:cs="Times New Roman"/>
                      <w:color w:val="auto"/>
                      <w:szCs w:val="21"/>
                      <w:shd w:val="clear" w:color="auto" w:fill="auto"/>
                      <w:lang w:val="en-US" w:eastAsia="zh-CN"/>
                    </w:rPr>
                    <w:t>万千瓦以下燃煤机组，并落实相关政策</w:t>
                  </w:r>
                </w:p>
              </w:tc>
              <w:tc>
                <w:tcPr>
                  <w:tcW w:w="1560" w:type="dxa"/>
                  <w:vAlign w:val="center"/>
                </w:tcPr>
                <w:p>
                  <w:pPr>
                    <w:adjustRightInd w:val="0"/>
                    <w:snapToGrid w:val="0"/>
                    <w:spacing w:line="240" w:lineRule="auto"/>
                    <w:jc w:val="center"/>
                    <w:rPr>
                      <w:rFonts w:hint="eastAsia" w:cs="Times New Roman"/>
                      <w:color w:val="auto"/>
                      <w:szCs w:val="21"/>
                      <w:shd w:val="clear" w:color="auto" w:fill="auto"/>
                      <w:lang w:val="en-US" w:eastAsia="zh-CN"/>
                    </w:rPr>
                  </w:pPr>
                  <w:r>
                    <w:rPr>
                      <w:rFonts w:hint="eastAsia" w:cs="Times New Roman"/>
                      <w:color w:val="auto"/>
                      <w:szCs w:val="21"/>
                      <w:shd w:val="clear" w:color="auto" w:fill="auto"/>
                      <w:lang w:val="en-US" w:eastAsia="zh-CN"/>
                    </w:rPr>
                    <w:t>项目不涉及单机</w:t>
                  </w:r>
                  <w:r>
                    <w:rPr>
                      <w:rFonts w:hint="default" w:cs="Times New Roman"/>
                      <w:color w:val="auto"/>
                      <w:szCs w:val="21"/>
                      <w:shd w:val="clear" w:color="auto" w:fill="auto"/>
                      <w:lang w:val="en-US" w:eastAsia="zh-CN"/>
                    </w:rPr>
                    <w:t>10</w:t>
                  </w:r>
                  <w:r>
                    <w:rPr>
                      <w:rFonts w:hint="eastAsia" w:cs="Times New Roman"/>
                      <w:color w:val="auto"/>
                      <w:szCs w:val="21"/>
                      <w:shd w:val="clear" w:color="auto" w:fill="auto"/>
                      <w:lang w:val="en-US" w:eastAsia="zh-CN"/>
                    </w:rPr>
                    <w:t>万千瓦以下和设计寿命期满的单机</w:t>
                  </w:r>
                  <w:r>
                    <w:rPr>
                      <w:rFonts w:hint="default" w:cs="Times New Roman"/>
                      <w:color w:val="auto"/>
                      <w:szCs w:val="21"/>
                      <w:shd w:val="clear" w:color="auto" w:fill="auto"/>
                      <w:lang w:val="en-US" w:eastAsia="zh-CN"/>
                    </w:rPr>
                    <w:t>20</w:t>
                  </w:r>
                  <w:r>
                    <w:rPr>
                      <w:rFonts w:hint="eastAsia" w:cs="Times New Roman"/>
                      <w:color w:val="auto"/>
                      <w:szCs w:val="21"/>
                      <w:shd w:val="clear" w:color="auto" w:fill="auto"/>
                      <w:lang w:val="en-US" w:eastAsia="zh-CN"/>
                    </w:rPr>
                    <w:t>万千瓦以下常规燃煤火电机</w:t>
                  </w:r>
                </w:p>
              </w:tc>
              <w:tc>
                <w:tcPr>
                  <w:tcW w:w="679" w:type="dxa"/>
                  <w:vAlign w:val="center"/>
                </w:tcPr>
                <w:p>
                  <w:pPr>
                    <w:adjustRightInd w:val="0"/>
                    <w:snapToGrid w:val="0"/>
                    <w:spacing w:line="240" w:lineRule="auto"/>
                    <w:jc w:val="center"/>
                    <w:rPr>
                      <w:rFonts w:hint="eastAsia" w:cs="Times New Roman"/>
                      <w:color w:val="auto"/>
                      <w:szCs w:val="21"/>
                      <w:shd w:val="clear" w:color="auto" w:fill="auto"/>
                      <w:lang w:val="en-US" w:eastAsia="zh-CN"/>
                    </w:rPr>
                  </w:pPr>
                  <w:r>
                    <w:rPr>
                      <w:rFonts w:hint="eastAsia" w:cs="Times New Roman"/>
                      <w:color w:val="auto"/>
                      <w:szCs w:val="21"/>
                      <w:shd w:val="clear" w:color="auto" w:fil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4755" w:type="dxa"/>
                  <w:vAlign w:val="center"/>
                </w:tcPr>
                <w:p>
                  <w:pPr>
                    <w:adjustRightInd w:val="0"/>
                    <w:snapToGrid w:val="0"/>
                    <w:spacing w:line="240" w:lineRule="auto"/>
                    <w:jc w:val="center"/>
                    <w:rPr>
                      <w:rFonts w:hint="eastAsia" w:cs="Times New Roman"/>
                      <w:color w:val="auto"/>
                      <w:szCs w:val="21"/>
                      <w:shd w:val="clear" w:color="auto" w:fill="auto"/>
                      <w:lang w:val="en-US" w:eastAsia="zh-CN"/>
                    </w:rPr>
                  </w:pPr>
                  <w:r>
                    <w:rPr>
                      <w:rFonts w:hint="default" w:cs="Times New Roman"/>
                      <w:color w:val="auto"/>
                      <w:szCs w:val="21"/>
                      <w:shd w:val="clear" w:color="auto" w:fill="auto"/>
                      <w:lang w:val="en-US" w:eastAsia="zh-CN"/>
                    </w:rPr>
                    <w:t>3.</w:t>
                  </w:r>
                  <w:r>
                    <w:rPr>
                      <w:rFonts w:hint="eastAsia" w:cs="Times New Roman"/>
                      <w:color w:val="auto"/>
                      <w:szCs w:val="21"/>
                      <w:shd w:val="clear" w:color="auto" w:fill="auto"/>
                      <w:lang w:val="en-US" w:eastAsia="zh-CN"/>
                    </w:rPr>
                    <w:t>实施有毒有害物质全过程监管。严格新（改、扩）建生产有毒有害化学品项目的审批</w:t>
                  </w:r>
                </w:p>
              </w:tc>
              <w:tc>
                <w:tcPr>
                  <w:tcW w:w="1560" w:type="dxa"/>
                  <w:vAlign w:val="center"/>
                </w:tcPr>
                <w:p>
                  <w:pPr>
                    <w:adjustRightInd w:val="0"/>
                    <w:snapToGrid w:val="0"/>
                    <w:spacing w:line="240" w:lineRule="auto"/>
                    <w:jc w:val="center"/>
                    <w:rPr>
                      <w:rFonts w:hint="eastAsia" w:cs="Times New Roman"/>
                      <w:color w:val="auto"/>
                      <w:szCs w:val="21"/>
                      <w:shd w:val="clear" w:color="auto" w:fill="auto"/>
                      <w:lang w:val="en-US" w:eastAsia="zh-CN"/>
                    </w:rPr>
                  </w:pPr>
                  <w:r>
                    <w:rPr>
                      <w:rFonts w:hint="eastAsia" w:cs="Times New Roman"/>
                      <w:color w:val="auto"/>
                      <w:szCs w:val="21"/>
                      <w:shd w:val="clear" w:color="auto" w:fill="auto"/>
                      <w:lang w:val="en-US" w:eastAsia="zh-CN"/>
                    </w:rPr>
                    <w:t>项目不生产有毒有害化学品</w:t>
                  </w:r>
                </w:p>
              </w:tc>
              <w:tc>
                <w:tcPr>
                  <w:tcW w:w="679" w:type="dxa"/>
                  <w:vAlign w:val="center"/>
                </w:tcPr>
                <w:p>
                  <w:pPr>
                    <w:adjustRightInd w:val="0"/>
                    <w:snapToGrid w:val="0"/>
                    <w:spacing w:line="240" w:lineRule="auto"/>
                    <w:jc w:val="center"/>
                    <w:rPr>
                      <w:rFonts w:hint="eastAsia" w:cs="Times New Roman"/>
                      <w:color w:val="auto"/>
                      <w:szCs w:val="21"/>
                      <w:shd w:val="clear" w:color="auto" w:fill="auto"/>
                      <w:lang w:val="en-US" w:eastAsia="zh-CN"/>
                    </w:rPr>
                  </w:pPr>
                  <w:r>
                    <w:rPr>
                      <w:rFonts w:hint="eastAsia" w:cs="Times New Roman"/>
                      <w:color w:val="auto"/>
                      <w:szCs w:val="21"/>
                      <w:shd w:val="clear" w:color="auto" w:fil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Merge w:val="restart"/>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污染物排放管控</w:t>
                  </w:r>
                </w:p>
              </w:tc>
              <w:tc>
                <w:tcPr>
                  <w:tcW w:w="4755" w:type="dxa"/>
                  <w:vAlign w:val="center"/>
                </w:tcPr>
                <w:p>
                  <w:pPr>
                    <w:adjustRightInd w:val="0"/>
                    <w:snapToGrid w:val="0"/>
                    <w:spacing w:line="240" w:lineRule="auto"/>
                    <w:jc w:val="center"/>
                    <w:rPr>
                      <w:rFonts w:hint="eastAsia" w:cs="Times New Roman"/>
                      <w:color w:val="auto"/>
                      <w:szCs w:val="21"/>
                      <w:shd w:val="clear" w:color="auto" w:fill="auto"/>
                      <w:lang w:val="en-US" w:eastAsia="zh-CN"/>
                    </w:rPr>
                  </w:pPr>
                  <w:r>
                    <w:rPr>
                      <w:rFonts w:hint="default" w:cs="Times New Roman"/>
                      <w:color w:val="auto"/>
                      <w:szCs w:val="21"/>
                      <w:shd w:val="clear" w:color="auto" w:fill="auto"/>
                      <w:lang w:val="en-US" w:eastAsia="zh-CN"/>
                    </w:rPr>
                    <w:t>1.</w:t>
                  </w:r>
                  <w:r>
                    <w:rPr>
                      <w:rFonts w:hint="eastAsia" w:cs="Times New Roman"/>
                      <w:color w:val="auto"/>
                      <w:szCs w:val="21"/>
                      <w:shd w:val="clear" w:color="auto" w:fill="auto"/>
                      <w:lang w:val="en-US" w:eastAsia="zh-CN"/>
                    </w:rPr>
                    <w:t>受纳水体为侣俸河，后排入青云水库，青云水库（坪堰村）</w:t>
                  </w:r>
                  <w:r>
                    <w:rPr>
                      <w:rFonts w:hint="default" w:cs="Times New Roman"/>
                      <w:color w:val="auto"/>
                      <w:szCs w:val="21"/>
                      <w:shd w:val="clear" w:color="auto" w:fill="auto"/>
                      <w:lang w:val="en-US" w:eastAsia="zh-CN"/>
                    </w:rPr>
                    <w:t xml:space="preserve">2018 </w:t>
                  </w:r>
                  <w:r>
                    <w:rPr>
                      <w:rFonts w:hint="eastAsia" w:cs="Times New Roman"/>
                      <w:color w:val="auto"/>
                      <w:szCs w:val="21"/>
                      <w:shd w:val="clear" w:color="auto" w:fill="auto"/>
                      <w:lang w:val="en-US" w:eastAsia="zh-CN"/>
                    </w:rPr>
                    <w:t>年化学需氧量因子超标，如果区域未完成环境质量改善目标，禁止新增重点污染物排放的建设项目（不低于</w:t>
                  </w:r>
                  <w:r>
                    <w:rPr>
                      <w:rFonts w:hint="default" w:cs="Times New Roman"/>
                      <w:color w:val="auto"/>
                      <w:szCs w:val="21"/>
                      <w:shd w:val="clear" w:color="auto" w:fill="auto"/>
                      <w:lang w:val="en-US" w:eastAsia="zh-CN"/>
                    </w:rPr>
                    <w:t>1.5</w:t>
                  </w:r>
                  <w:r>
                    <w:rPr>
                      <w:rFonts w:hint="eastAsia" w:cs="Times New Roman"/>
                      <w:color w:val="auto"/>
                      <w:szCs w:val="21"/>
                      <w:shd w:val="clear" w:color="auto" w:fill="auto"/>
                      <w:lang w:val="en-US" w:eastAsia="zh-CN"/>
                    </w:rPr>
                    <w:t>倍实施倍量削减的除外）</w:t>
                  </w:r>
                </w:p>
              </w:tc>
              <w:tc>
                <w:tcPr>
                  <w:tcW w:w="1560" w:type="dxa"/>
                  <w:vAlign w:val="center"/>
                </w:tcPr>
                <w:p>
                  <w:pPr>
                    <w:adjustRightInd w:val="0"/>
                    <w:snapToGrid w:val="0"/>
                    <w:spacing w:line="240" w:lineRule="auto"/>
                    <w:jc w:val="center"/>
                    <w:rPr>
                      <w:rFonts w:hint="eastAsia" w:cs="Times New Roman"/>
                      <w:color w:val="auto"/>
                      <w:szCs w:val="21"/>
                      <w:shd w:val="clear" w:color="auto" w:fill="auto"/>
                      <w:lang w:val="en-US" w:eastAsia="zh-CN"/>
                    </w:rPr>
                  </w:pPr>
                  <w:r>
                    <w:rPr>
                      <w:rFonts w:hint="eastAsia" w:cs="Times New Roman"/>
                      <w:color w:val="auto"/>
                      <w:szCs w:val="21"/>
                      <w:shd w:val="clear" w:color="auto" w:fill="auto"/>
                      <w:lang w:val="en-US" w:eastAsia="zh-CN"/>
                    </w:rPr>
                    <w:t>侣俸河满足地表水</w:t>
                  </w:r>
                  <w:r>
                    <w:rPr>
                      <w:rFonts w:hint="default" w:ascii="Times New Roman" w:hAnsi="Times New Roman" w:cs="Times New Roman"/>
                      <w:color w:val="auto"/>
                      <w:szCs w:val="21"/>
                      <w:shd w:val="clear" w:color="auto" w:fill="auto"/>
                      <w:lang w:val="en-US" w:eastAsia="zh-CN"/>
                    </w:rPr>
                    <w:t>Ⅲ</w:t>
                  </w:r>
                  <w:r>
                    <w:rPr>
                      <w:rFonts w:hint="eastAsia" w:cs="Times New Roman"/>
                      <w:color w:val="auto"/>
                      <w:szCs w:val="21"/>
                      <w:shd w:val="clear" w:color="auto" w:fill="auto"/>
                      <w:lang w:val="en-US" w:eastAsia="zh-CN"/>
                    </w:rPr>
                    <w:t>类标准要求，项目废水经侣俸镇污水处理厂处理达标后排放</w:t>
                  </w:r>
                </w:p>
              </w:tc>
              <w:tc>
                <w:tcPr>
                  <w:tcW w:w="679" w:type="dxa"/>
                  <w:vAlign w:val="center"/>
                </w:tcPr>
                <w:p>
                  <w:pPr>
                    <w:adjustRightInd w:val="0"/>
                    <w:snapToGrid w:val="0"/>
                    <w:spacing w:line="240" w:lineRule="auto"/>
                    <w:jc w:val="center"/>
                    <w:rPr>
                      <w:rFonts w:hint="eastAsia" w:cs="Times New Roman"/>
                      <w:color w:val="auto"/>
                      <w:szCs w:val="21"/>
                      <w:shd w:val="clear" w:color="auto" w:fill="auto"/>
                      <w:lang w:val="en-US" w:eastAsia="zh-CN"/>
                    </w:rPr>
                  </w:pPr>
                  <w:r>
                    <w:rPr>
                      <w:rFonts w:hint="eastAsia" w:cs="Times New Roman"/>
                      <w:color w:val="auto"/>
                      <w:szCs w:val="21"/>
                      <w:shd w:val="clear" w:color="auto" w:fil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Merge w:val="continue"/>
                  <w:vAlign w:val="center"/>
                </w:tcPr>
                <w:p>
                  <w:pPr>
                    <w:adjustRightInd w:val="0"/>
                    <w:snapToGrid w:val="0"/>
                    <w:spacing w:line="240" w:lineRule="auto"/>
                    <w:jc w:val="center"/>
                    <w:rPr>
                      <w:rFonts w:hint="eastAsia" w:cs="Times New Roman"/>
                      <w:color w:val="auto"/>
                      <w:szCs w:val="21"/>
                      <w:shd w:val="clear" w:color="auto" w:fill="auto"/>
                      <w:lang w:val="en-US" w:eastAsia="zh-CN"/>
                    </w:rPr>
                  </w:pPr>
                </w:p>
              </w:tc>
              <w:tc>
                <w:tcPr>
                  <w:tcW w:w="4755" w:type="dxa"/>
                  <w:vAlign w:val="center"/>
                </w:tcPr>
                <w:p>
                  <w:pPr>
                    <w:adjustRightInd w:val="0"/>
                    <w:snapToGrid w:val="0"/>
                    <w:spacing w:line="240" w:lineRule="auto"/>
                    <w:jc w:val="center"/>
                    <w:rPr>
                      <w:rFonts w:hint="eastAsia" w:cs="Times New Roman"/>
                      <w:color w:val="auto"/>
                      <w:szCs w:val="21"/>
                      <w:shd w:val="clear" w:color="auto" w:fill="auto"/>
                      <w:lang w:val="en-US" w:eastAsia="zh-CN"/>
                    </w:rPr>
                  </w:pPr>
                  <w:r>
                    <w:rPr>
                      <w:rFonts w:hint="default" w:cs="Times New Roman"/>
                      <w:color w:val="auto"/>
                      <w:szCs w:val="21"/>
                      <w:shd w:val="clear" w:color="auto" w:fill="auto"/>
                      <w:lang w:val="en-US" w:eastAsia="zh-CN"/>
                    </w:rPr>
                    <w:t xml:space="preserve">2.2020 </w:t>
                  </w:r>
                  <w:r>
                    <w:rPr>
                      <w:rFonts w:hint="eastAsia" w:cs="Times New Roman"/>
                      <w:color w:val="auto"/>
                      <w:szCs w:val="21"/>
                      <w:shd w:val="clear" w:color="auto" w:fill="auto"/>
                      <w:lang w:val="en-US" w:eastAsia="zh-CN"/>
                    </w:rPr>
                    <w:t>年底前，严禁核准、备案、审批新建和扩大产能的烧结砖瓦建设项目。严防借技术改造为名扩大产能，严禁以联合重组等为名保留落后生产装备，重组整合企业产品方案和生产规模必须符合产业政策</w:t>
                  </w:r>
                </w:p>
              </w:tc>
              <w:tc>
                <w:tcPr>
                  <w:tcW w:w="1560" w:type="dxa"/>
                  <w:vAlign w:val="center"/>
                </w:tcPr>
                <w:p>
                  <w:pPr>
                    <w:adjustRightInd w:val="0"/>
                    <w:snapToGrid w:val="0"/>
                    <w:spacing w:line="240" w:lineRule="auto"/>
                    <w:jc w:val="center"/>
                    <w:rPr>
                      <w:rFonts w:hint="eastAsia" w:cs="Times New Roman"/>
                      <w:color w:val="auto"/>
                      <w:szCs w:val="21"/>
                      <w:shd w:val="clear" w:color="auto" w:fill="auto"/>
                      <w:lang w:val="en-US" w:eastAsia="zh-CN"/>
                    </w:rPr>
                  </w:pPr>
                  <w:r>
                    <w:rPr>
                      <w:rFonts w:hint="eastAsia" w:cs="Times New Roman"/>
                      <w:color w:val="auto"/>
                      <w:szCs w:val="21"/>
                      <w:shd w:val="clear" w:color="auto" w:fill="auto"/>
                      <w:lang w:val="en-US" w:eastAsia="zh-CN"/>
                    </w:rPr>
                    <w:t>不属于烧结砖瓦建设项目</w:t>
                  </w:r>
                </w:p>
              </w:tc>
              <w:tc>
                <w:tcPr>
                  <w:tcW w:w="679" w:type="dxa"/>
                  <w:vAlign w:val="center"/>
                </w:tcPr>
                <w:p>
                  <w:pPr>
                    <w:adjustRightInd w:val="0"/>
                    <w:snapToGrid w:val="0"/>
                    <w:spacing w:line="240" w:lineRule="auto"/>
                    <w:jc w:val="center"/>
                    <w:rPr>
                      <w:rFonts w:hint="eastAsia" w:cs="Times New Roman"/>
                      <w:color w:val="auto"/>
                      <w:szCs w:val="21"/>
                      <w:shd w:val="clear" w:color="auto" w:fill="auto"/>
                      <w:lang w:val="en-US" w:eastAsia="zh-CN"/>
                    </w:rPr>
                  </w:pPr>
                  <w:r>
                    <w:rPr>
                      <w:rFonts w:hint="eastAsia" w:cs="Times New Roman"/>
                      <w:color w:val="auto"/>
                      <w:szCs w:val="21"/>
                      <w:shd w:val="clear" w:color="auto" w:fil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资源利用效率</w:t>
                  </w:r>
                </w:p>
              </w:tc>
              <w:tc>
                <w:tcPr>
                  <w:tcW w:w="4755" w:type="dxa"/>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1、耗煤项目不得新建（减量替代除外）</w:t>
                  </w:r>
                </w:p>
              </w:tc>
              <w:tc>
                <w:tcPr>
                  <w:tcW w:w="1560" w:type="dxa"/>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项目不涉及煤炭使用</w:t>
                  </w:r>
                </w:p>
              </w:tc>
              <w:tc>
                <w:tcPr>
                  <w:tcW w:w="679" w:type="dxa"/>
                  <w:vAlign w:val="center"/>
                </w:tcPr>
                <w:p>
                  <w:pPr>
                    <w:adjustRightInd w:val="0"/>
                    <w:snapToGrid w:val="0"/>
                    <w:spacing w:line="240" w:lineRule="auto"/>
                    <w:jc w:val="center"/>
                    <w:rPr>
                      <w:rFonts w:hint="default" w:cs="Times New Roman"/>
                      <w:color w:val="auto"/>
                      <w:szCs w:val="21"/>
                      <w:shd w:val="clear" w:color="auto" w:fill="auto"/>
                      <w:lang w:val="en-US" w:eastAsia="zh-CN"/>
                    </w:rPr>
                  </w:pPr>
                  <w:r>
                    <w:rPr>
                      <w:rFonts w:hint="eastAsia" w:cs="Times New Roman"/>
                      <w:color w:val="auto"/>
                      <w:szCs w:val="21"/>
                      <w:shd w:val="clear" w:color="auto" w:fill="auto"/>
                      <w:lang w:val="en-US" w:eastAsia="zh-CN"/>
                    </w:rPr>
                    <w:t>符合</w:t>
                  </w:r>
                </w:p>
              </w:tc>
            </w:tr>
          </w:tbl>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default" w:ascii="宋体" w:hAnsi="宋体" w:eastAsia="宋体" w:cs="宋体"/>
                <w:color w:val="auto"/>
                <w:sz w:val="24"/>
                <w:highlight w:val="yellow"/>
                <w:lang w:val="en-US" w:eastAsia="zh-CN"/>
              </w:rPr>
            </w:pPr>
            <w:r>
              <w:rPr>
                <w:rFonts w:hint="eastAsia" w:cs="Times New Roman"/>
                <w:b w:val="0"/>
                <w:bCs/>
                <w:snapToGrid w:val="0"/>
                <w:color w:val="auto"/>
                <w:kern w:val="0"/>
                <w:sz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60" w:hRule="atLeast"/>
          <w:jc w:val="center"/>
        </w:trPr>
        <w:tc>
          <w:tcPr>
            <w:tcW w:w="991" w:type="dxa"/>
            <w:noWrap w:val="0"/>
            <w:vAlign w:val="center"/>
          </w:tcPr>
          <w:p>
            <w:pPr>
              <w:adjustRightInd w:val="0"/>
              <w:snapToGrid w:val="0"/>
              <w:spacing w:line="360" w:lineRule="auto"/>
              <w:rPr>
                <w:rFonts w:hint="default" w:ascii="宋体" w:hAnsi="宋体" w:eastAsia="宋体" w:cs="宋体"/>
                <w:color w:val="auto"/>
                <w:sz w:val="24"/>
                <w:lang w:val="en-US" w:eastAsia="zh-CN"/>
              </w:rPr>
            </w:pPr>
            <w:r>
              <w:rPr>
                <w:rFonts w:hint="eastAsia" w:ascii="宋体" w:hAnsi="宋体" w:cs="宋体"/>
                <w:color w:val="auto"/>
                <w:sz w:val="24"/>
                <w:lang w:val="en-US" w:eastAsia="zh-CN"/>
              </w:rPr>
              <w:t>其他符合性分析</w:t>
            </w:r>
          </w:p>
        </w:tc>
        <w:tc>
          <w:tcPr>
            <w:tcW w:w="7879" w:type="dxa"/>
            <w:gridSpan w:val="3"/>
            <w:noWrap w:val="0"/>
            <w:vAlign w:val="top"/>
          </w:tcPr>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default" w:cs="Times New Roman"/>
                <w:b w:val="0"/>
                <w:bCs/>
                <w:snapToGrid w:val="0"/>
                <w:color w:val="auto"/>
                <w:kern w:val="0"/>
                <w:sz w:val="24"/>
                <w:lang w:val="en-US" w:eastAsia="zh-CN"/>
              </w:rPr>
            </w:pPr>
            <w:r>
              <w:rPr>
                <w:rFonts w:hint="eastAsia" w:cs="Times New Roman"/>
                <w:b w:val="0"/>
                <w:bCs/>
                <w:snapToGrid w:val="0"/>
                <w:color w:val="auto"/>
                <w:kern w:val="0"/>
                <w:sz w:val="24"/>
                <w:lang w:val="en-US" w:eastAsia="zh-CN"/>
              </w:rPr>
              <w:t>1.2 与“三线一单”符合性分析</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eastAsia" w:cs="Times New Roman"/>
                <w:b w:val="0"/>
                <w:bCs/>
                <w:snapToGrid w:val="0"/>
                <w:color w:val="auto"/>
                <w:kern w:val="0"/>
                <w:sz w:val="24"/>
                <w:lang w:val="en-US" w:eastAsia="zh-CN"/>
              </w:rPr>
            </w:pPr>
            <w:r>
              <w:rPr>
                <w:rFonts w:hint="default" w:ascii="Times New Roman" w:hAnsi="Times New Roman" w:eastAsia="宋体" w:cs="Times New Roman"/>
                <w:b w:val="0"/>
                <w:bCs/>
                <w:snapToGrid w:val="0"/>
                <w:color w:val="auto"/>
                <w:kern w:val="0"/>
                <w:sz w:val="24"/>
                <w:lang w:val="en-US" w:eastAsia="zh-CN"/>
              </w:rPr>
              <w:t>项目</w:t>
            </w:r>
            <w:r>
              <w:rPr>
                <w:rFonts w:hint="eastAsia"/>
                <w:color w:val="auto"/>
                <w:sz w:val="24"/>
                <w:highlight w:val="none"/>
                <w:lang w:val="en-US" w:eastAsia="zh-CN"/>
              </w:rPr>
              <w:t>租赁重庆市铜梁区金鸿浆纱厂闲置生产厂房，建筑面积约3000m</w:t>
            </w:r>
            <w:r>
              <w:rPr>
                <w:rFonts w:hint="eastAsia"/>
                <w:color w:val="auto"/>
                <w:sz w:val="24"/>
                <w:highlight w:val="none"/>
                <w:vertAlign w:val="superscript"/>
                <w:lang w:val="en-US" w:eastAsia="zh-CN"/>
              </w:rPr>
              <w:t>2</w:t>
            </w:r>
            <w:r>
              <w:rPr>
                <w:rFonts w:hint="eastAsia" w:cs="Times New Roman"/>
                <w:bCs/>
                <w:snapToGrid w:val="0"/>
                <w:color w:val="auto"/>
                <w:kern w:val="0"/>
                <w:sz w:val="24"/>
                <w:highlight w:val="none"/>
                <w:lang w:val="en-US" w:eastAsia="zh-CN"/>
              </w:rPr>
              <w:t>，进行建设“年产包装制品100万套生产项目”</w:t>
            </w:r>
            <w:r>
              <w:rPr>
                <w:rFonts w:hint="default" w:ascii="Times New Roman" w:hAnsi="Times New Roman" w:eastAsia="宋体" w:cs="Times New Roman"/>
                <w:b w:val="0"/>
                <w:bCs/>
                <w:snapToGrid w:val="0"/>
                <w:color w:val="auto"/>
                <w:kern w:val="0"/>
                <w:sz w:val="24"/>
                <w:highlight w:val="none"/>
                <w:lang w:val="en-US" w:eastAsia="zh-CN"/>
              </w:rPr>
              <w:t>，</w:t>
            </w:r>
            <w:r>
              <w:rPr>
                <w:rFonts w:hint="eastAsia" w:ascii="Times New Roman" w:hAnsi="Times New Roman" w:eastAsia="宋体" w:cs="Times New Roman"/>
                <w:b w:val="0"/>
                <w:bCs/>
                <w:snapToGrid w:val="0"/>
                <w:color w:val="auto"/>
                <w:kern w:val="0"/>
                <w:sz w:val="24"/>
                <w:highlight w:val="none"/>
                <w:lang w:val="en-US" w:eastAsia="zh-CN"/>
              </w:rPr>
              <w:t>项目</w:t>
            </w:r>
            <w:r>
              <w:rPr>
                <w:rFonts w:hint="eastAsia" w:cs="Times New Roman"/>
                <w:b w:val="0"/>
                <w:bCs/>
                <w:snapToGrid w:val="0"/>
                <w:color w:val="auto"/>
                <w:kern w:val="0"/>
                <w:sz w:val="24"/>
                <w:highlight w:val="none"/>
                <w:lang w:val="en-US" w:eastAsia="zh-CN"/>
              </w:rPr>
              <w:t>所在区域</w:t>
            </w:r>
            <w:r>
              <w:rPr>
                <w:rFonts w:hint="eastAsia" w:ascii="Times New Roman" w:hAnsi="Times New Roman" w:eastAsia="宋体" w:cs="Times New Roman"/>
                <w:b w:val="0"/>
                <w:bCs/>
                <w:snapToGrid w:val="0"/>
                <w:color w:val="auto"/>
                <w:kern w:val="0"/>
                <w:sz w:val="24"/>
                <w:highlight w:val="none"/>
                <w:lang w:val="en-US" w:eastAsia="zh-CN"/>
              </w:rPr>
              <w:t>位于</w:t>
            </w:r>
            <w:r>
              <w:rPr>
                <w:rFonts w:hint="eastAsia" w:cs="Times New Roman"/>
                <w:b w:val="0"/>
                <w:bCs/>
                <w:snapToGrid w:val="0"/>
                <w:color w:val="auto"/>
                <w:kern w:val="0"/>
                <w:sz w:val="24"/>
                <w:highlight w:val="none"/>
                <w:lang w:val="en-US" w:eastAsia="zh-CN"/>
              </w:rPr>
              <w:t>侣俸小企业创业基地管控单元</w:t>
            </w:r>
            <w:r>
              <w:rPr>
                <w:rFonts w:hint="default" w:ascii="Times New Roman" w:hAnsi="Times New Roman" w:eastAsia="宋体" w:cs="Times New Roman"/>
                <w:b w:val="0"/>
                <w:bCs/>
                <w:snapToGrid w:val="0"/>
                <w:color w:val="auto"/>
                <w:kern w:val="0"/>
                <w:sz w:val="24"/>
                <w:highlight w:val="none"/>
                <w:lang w:val="en-US" w:eastAsia="zh-CN"/>
              </w:rPr>
              <w:t>，该区域</w:t>
            </w:r>
            <w:r>
              <w:rPr>
                <w:rFonts w:hint="default" w:ascii="Times New Roman" w:hAnsi="Times New Roman" w:eastAsia="宋体" w:cs="Times New Roman"/>
                <w:b w:val="0"/>
                <w:bCs/>
                <w:snapToGrid w:val="0"/>
                <w:color w:val="auto"/>
                <w:kern w:val="0"/>
                <w:sz w:val="24"/>
                <w:lang w:val="en-US" w:eastAsia="zh-CN"/>
              </w:rPr>
              <w:t>具体环境准入清单要求</w:t>
            </w:r>
            <w:r>
              <w:rPr>
                <w:rFonts w:hint="eastAsia" w:cs="Times New Roman"/>
                <w:b w:val="0"/>
                <w:bCs/>
                <w:snapToGrid w:val="0"/>
                <w:color w:val="auto"/>
                <w:kern w:val="0"/>
                <w:sz w:val="24"/>
                <w:lang w:val="en-US" w:eastAsia="zh-CN"/>
              </w:rPr>
              <w:t>详见</w:t>
            </w:r>
            <w:r>
              <w:rPr>
                <w:rFonts w:hint="default" w:ascii="Times New Roman" w:hAnsi="Times New Roman" w:eastAsia="宋体" w:cs="Times New Roman"/>
                <w:b w:val="0"/>
                <w:bCs/>
                <w:snapToGrid w:val="0"/>
                <w:color w:val="auto"/>
                <w:kern w:val="0"/>
                <w:sz w:val="24"/>
                <w:lang w:val="en-US" w:eastAsia="zh-CN"/>
              </w:rPr>
              <w:t>下</w:t>
            </w:r>
            <w:r>
              <w:rPr>
                <w:rFonts w:hint="eastAsia" w:ascii="Times New Roman" w:hAnsi="Times New Roman" w:eastAsia="宋体" w:cs="Times New Roman"/>
                <w:b w:val="0"/>
                <w:bCs/>
                <w:snapToGrid w:val="0"/>
                <w:color w:val="auto"/>
                <w:kern w:val="0"/>
                <w:sz w:val="24"/>
                <w:lang w:val="en-US" w:eastAsia="zh-CN"/>
              </w:rPr>
              <w:t>表</w:t>
            </w:r>
            <w:r>
              <w:rPr>
                <w:rFonts w:hint="eastAsia" w:cs="Times New Roman"/>
                <w:b w:val="0"/>
                <w:bCs/>
                <w:snapToGrid w:val="0"/>
                <w:color w:val="auto"/>
                <w:kern w:val="0"/>
                <w:sz w:val="24"/>
                <w:lang w:val="en-US" w:eastAsia="zh-CN"/>
              </w:rPr>
              <w:t>。</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eastAsia" w:cs="Times New Roman"/>
                <w:b w:val="0"/>
                <w:bCs/>
                <w:snapToGrid w:val="0"/>
                <w:color w:val="auto"/>
                <w:kern w:val="0"/>
                <w:sz w:val="24"/>
                <w:lang w:val="en-US" w:eastAsia="zh-CN"/>
              </w:rPr>
            </w:pP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eastAsia" w:cs="Times New Roman"/>
                <w:b w:val="0"/>
                <w:bCs/>
                <w:snapToGrid w:val="0"/>
                <w:color w:val="auto"/>
                <w:kern w:val="0"/>
                <w:sz w:val="24"/>
                <w:lang w:val="en-US" w:eastAsia="zh-CN"/>
              </w:rPr>
            </w:pP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eastAsia" w:cs="Times New Roman"/>
                <w:b w:val="0"/>
                <w:bCs/>
                <w:snapToGrid w:val="0"/>
                <w:color w:val="auto"/>
                <w:kern w:val="0"/>
                <w:sz w:val="24"/>
                <w:lang w:val="en-US" w:eastAsia="zh-CN"/>
              </w:rPr>
            </w:pP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eastAsia" w:cs="Times New Roman"/>
                <w:b w:val="0"/>
                <w:bCs/>
                <w:snapToGrid w:val="0"/>
                <w:color w:val="auto"/>
                <w:kern w:val="0"/>
                <w:sz w:val="24"/>
                <w:lang w:val="en-US" w:eastAsia="zh-CN"/>
              </w:rPr>
            </w:pP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eastAsia" w:cs="Times New Roman"/>
                <w:b w:val="0"/>
                <w:bCs/>
                <w:snapToGrid w:val="0"/>
                <w:color w:val="auto"/>
                <w:kern w:val="0"/>
                <w:sz w:val="24"/>
                <w:lang w:val="en-US" w:eastAsia="zh-CN"/>
              </w:rPr>
            </w:pP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eastAsia" w:cs="Times New Roman"/>
                <w:b w:val="0"/>
                <w:bCs/>
                <w:snapToGrid w:val="0"/>
                <w:color w:val="auto"/>
                <w:kern w:val="0"/>
                <w:sz w:val="24"/>
                <w:lang w:val="en-US" w:eastAsia="zh-CN"/>
              </w:rPr>
            </w:pP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eastAsia" w:cs="Times New Roman"/>
                <w:b w:val="0"/>
                <w:bCs/>
                <w:snapToGrid w:val="0"/>
                <w:color w:val="auto"/>
                <w:kern w:val="0"/>
                <w:sz w:val="24"/>
                <w:lang w:val="en-US" w:eastAsia="zh-CN"/>
              </w:rPr>
            </w:pP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eastAsia" w:cs="Times New Roman"/>
                <w:b w:val="0"/>
                <w:bCs/>
                <w:snapToGrid w:val="0"/>
                <w:color w:val="auto"/>
                <w:kern w:val="0"/>
                <w:sz w:val="24"/>
                <w:lang w:val="en-US" w:eastAsia="zh-CN"/>
              </w:rPr>
            </w:pP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eastAsia" w:cs="Times New Roman"/>
                <w:b w:val="0"/>
                <w:bCs/>
                <w:snapToGrid w:val="0"/>
                <w:color w:val="auto"/>
                <w:kern w:val="0"/>
                <w:sz w:val="24"/>
                <w:lang w:val="en-US" w:eastAsia="zh-CN"/>
              </w:rPr>
            </w:pP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eastAsia" w:cs="Times New Roman"/>
                <w:b w:val="0"/>
                <w:bCs/>
                <w:snapToGrid w:val="0"/>
                <w:color w:val="auto"/>
                <w:kern w:val="0"/>
                <w:sz w:val="24"/>
                <w:lang w:val="en-US" w:eastAsia="zh-CN"/>
              </w:rPr>
            </w:pP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eastAsia" w:cs="Times New Roman"/>
                <w:b w:val="0"/>
                <w:bCs/>
                <w:snapToGrid w:val="0"/>
                <w:color w:val="auto"/>
                <w:kern w:val="0"/>
                <w:sz w:val="24"/>
                <w:lang w:val="en-US" w:eastAsia="zh-CN"/>
              </w:rPr>
            </w:pP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eastAsia" w:cs="Times New Roman"/>
                <w:b w:val="0"/>
                <w:bCs/>
                <w:snapToGrid w:val="0"/>
                <w:color w:val="auto"/>
                <w:kern w:val="0"/>
                <w:sz w:val="24"/>
                <w:lang w:val="en-US" w:eastAsia="zh-CN"/>
              </w:rPr>
            </w:pP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eastAsia" w:cs="Times New Roman"/>
                <w:b w:val="0"/>
                <w:bCs/>
                <w:snapToGrid w:val="0"/>
                <w:color w:val="auto"/>
                <w:kern w:val="0"/>
                <w:sz w:val="24"/>
                <w:lang w:val="en-US" w:eastAsia="zh-CN"/>
              </w:rPr>
            </w:pP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eastAsia" w:cs="Times New Roman"/>
                <w:b w:val="0"/>
                <w:bCs/>
                <w:snapToGrid w:val="0"/>
                <w:color w:val="auto"/>
                <w:kern w:val="0"/>
                <w:sz w:val="24"/>
                <w:lang w:val="en-US" w:eastAsia="zh-CN"/>
              </w:rPr>
            </w:pP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eastAsia" w:cs="Times New Roman"/>
                <w:b w:val="0"/>
                <w:bCs/>
                <w:snapToGrid w:val="0"/>
                <w:color w:val="auto"/>
                <w:kern w:val="0"/>
                <w:sz w:val="24"/>
                <w:lang w:val="en-US" w:eastAsia="zh-CN"/>
              </w:rPr>
            </w:pP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eastAsia" w:cs="Times New Roman"/>
                <w:b w:val="0"/>
                <w:bCs/>
                <w:snapToGrid w:val="0"/>
                <w:color w:val="auto"/>
                <w:kern w:val="0"/>
                <w:sz w:val="24"/>
                <w:lang w:val="en-US" w:eastAsia="zh-CN"/>
              </w:rPr>
            </w:pP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eastAsia" w:cs="Times New Roman"/>
                <w:b w:val="0"/>
                <w:bCs/>
                <w:snapToGrid w:val="0"/>
                <w:color w:val="auto"/>
                <w:kern w:val="0"/>
                <w:sz w:val="24"/>
                <w:lang w:val="en-US" w:eastAsia="zh-CN"/>
              </w:rPr>
            </w:pP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eastAsia" w:cs="Times New Roman"/>
                <w:b w:val="0"/>
                <w:bCs/>
                <w:snapToGrid w:val="0"/>
                <w:color w:val="auto"/>
                <w:kern w:val="0"/>
                <w:sz w:val="24"/>
                <w:lang w:val="en-US" w:eastAsia="zh-CN"/>
              </w:rPr>
            </w:pP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eastAsia" w:cs="Times New Roman"/>
                <w:b w:val="0"/>
                <w:bCs/>
                <w:snapToGrid w:val="0"/>
                <w:color w:val="auto"/>
                <w:kern w:val="0"/>
                <w:sz w:val="24"/>
                <w:lang w:val="en-US" w:eastAsia="zh-CN"/>
              </w:rPr>
            </w:pP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eastAsia" w:cs="Times New Roman"/>
                <w:b w:val="0"/>
                <w:bCs/>
                <w:snapToGrid w:val="0"/>
                <w:color w:val="auto"/>
                <w:kern w:val="0"/>
                <w:sz w:val="24"/>
                <w:lang w:val="en-US" w:eastAsia="zh-CN"/>
              </w:rPr>
            </w:pP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eastAsia" w:cs="Times New Roman"/>
                <w:b w:val="0"/>
                <w:bCs/>
                <w:snapToGrid w:val="0"/>
                <w:color w:val="auto"/>
                <w:kern w:val="0"/>
                <w:sz w:val="24"/>
                <w:lang w:val="en-US" w:eastAsia="zh-CN"/>
              </w:rPr>
            </w:pP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eastAsia" w:cs="Times New Roman"/>
                <w:b w:val="0"/>
                <w:bCs/>
                <w:snapToGrid w:val="0"/>
                <w:color w:val="auto"/>
                <w:kern w:val="0"/>
                <w:sz w:val="24"/>
                <w:lang w:val="en-US" w:eastAsia="zh-CN"/>
              </w:rPr>
            </w:pP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eastAsia" w:cs="Times New Roman"/>
                <w:b w:val="0"/>
                <w:bCs/>
                <w:snapToGrid w:val="0"/>
                <w:color w:val="auto"/>
                <w:kern w:val="0"/>
                <w:sz w:val="24"/>
                <w:lang w:val="en-US" w:eastAsia="zh-CN"/>
              </w:rPr>
            </w:pP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default" w:cs="Times New Roman"/>
                <w:b w:val="0"/>
                <w:bCs/>
                <w:snapToGrid w:val="0"/>
                <w:color w:val="auto"/>
                <w:kern w:val="0"/>
                <w:sz w:val="24"/>
                <w:lang w:val="en-US" w:eastAsia="zh-CN"/>
              </w:rPr>
            </w:pPr>
          </w:p>
        </w:tc>
      </w:tr>
    </w:tbl>
    <w:p>
      <w:pPr>
        <w:rPr>
          <w:color w:val="auto"/>
        </w:rPr>
        <w:sectPr>
          <w:footerReference r:id="rId3" w:type="default"/>
          <w:pgSz w:w="11906" w:h="16838"/>
          <w:pgMar w:top="1440" w:right="1800" w:bottom="1440" w:left="1800" w:header="851" w:footer="992" w:gutter="0"/>
          <w:pgNumType w:fmt="decimal"/>
          <w:cols w:space="425" w:num="1"/>
          <w:docGrid w:type="lines" w:linePitch="312" w:charSpace="0"/>
        </w:sect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9" w:hRule="atLeast"/>
        </w:trPr>
        <w:tc>
          <w:tcPr>
            <w:tcW w:w="14174" w:type="dxa"/>
          </w:tcPr>
          <w:p>
            <w:pPr>
              <w:keepNext w:val="0"/>
              <w:keepLines w:val="0"/>
              <w:pageBreakBefore w:val="0"/>
              <w:widowControl/>
              <w:kinsoku/>
              <w:wordWrap/>
              <w:overflowPunct/>
              <w:topLinePunct w:val="0"/>
              <w:autoSpaceDE/>
              <w:autoSpaceDN/>
              <w:bidi w:val="0"/>
              <w:adjustRightInd w:val="0"/>
              <w:snapToGrid/>
              <w:spacing w:line="360" w:lineRule="auto"/>
              <w:ind w:firstLine="0" w:firstLineChars="0"/>
              <w:jc w:val="center"/>
              <w:textAlignment w:val="auto"/>
              <w:rPr>
                <w:rFonts w:hint="eastAsia" w:ascii="Times New Roman" w:hAnsi="Times New Roman" w:eastAsia="宋体" w:cs="Times New Roman"/>
                <w:bCs/>
                <w:snapToGrid w:val="0"/>
                <w:color w:val="auto"/>
                <w:kern w:val="0"/>
                <w:sz w:val="24"/>
                <w:lang w:val="en-US" w:eastAsia="zh-CN"/>
              </w:rPr>
            </w:pPr>
            <w:r>
              <w:rPr>
                <w:rFonts w:hint="eastAsia" w:ascii="Times New Roman" w:hAnsi="Times New Roman" w:eastAsia="宋体" w:cs="Times New Roman"/>
                <w:bCs/>
                <w:snapToGrid w:val="0"/>
                <w:color w:val="auto"/>
                <w:kern w:val="0"/>
                <w:sz w:val="24"/>
                <w:lang w:val="en-US" w:eastAsia="zh-CN"/>
              </w:rPr>
              <w:t>表1-5 建设项目与“三线一单”管控要求的符合性分析表</w:t>
            </w:r>
          </w:p>
          <w:tbl>
            <w:tblPr>
              <w:tblStyle w:val="15"/>
              <w:tblW w:w="139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500"/>
              <w:gridCol w:w="8111"/>
              <w:gridCol w:w="2649"/>
              <w:gridCol w:w="8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0460" w:type="dxa"/>
                  <w:gridSpan w:val="3"/>
                  <w:tcBorders>
                    <w:top w:val="single" w:color="auto" w:sz="4" w:space="0"/>
                    <w:lef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环境管控单元名称</w:t>
                  </w:r>
                </w:p>
              </w:tc>
              <w:tc>
                <w:tcPr>
                  <w:tcW w:w="3498" w:type="dxa"/>
                  <w:gridSpan w:val="2"/>
                  <w:tcBorders>
                    <w:top w:val="single" w:color="auto" w:sz="4" w:space="0"/>
                    <w:righ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环境管控单元类型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60" w:type="dxa"/>
                  <w:gridSpan w:val="3"/>
                  <w:tcBorders>
                    <w:left w:val="single" w:color="auto" w:sz="4" w:space="0"/>
                    <w:tl2br w:val="nil"/>
                    <w:tr2bl w:val="nil"/>
                  </w:tcBorders>
                  <w:noWrap w:val="0"/>
                  <w:vAlign w:val="center"/>
                </w:tcPr>
                <w:p>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eastAsia" w:cs="Times New Roman"/>
                      <w:b w:val="0"/>
                      <w:bCs/>
                      <w:snapToGrid w:val="0"/>
                      <w:color w:val="auto"/>
                      <w:kern w:val="0"/>
                      <w:sz w:val="21"/>
                      <w:szCs w:val="21"/>
                      <w:highlight w:val="none"/>
                      <w:lang w:val="en-US" w:eastAsia="zh-CN"/>
                    </w:rPr>
                    <w:t>侣俸小企业创业基地</w:t>
                  </w:r>
                </w:p>
              </w:tc>
              <w:tc>
                <w:tcPr>
                  <w:tcW w:w="3498" w:type="dxa"/>
                  <w:gridSpan w:val="2"/>
                  <w:tcBorders>
                    <w:righ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sz w:val="21"/>
                      <w:szCs w:val="21"/>
                      <w:highlight w:val="none"/>
                      <w:lang w:val="en-US" w:eastAsia="zh-CN"/>
                    </w:rPr>
                    <w:t>重点管控单元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tcBorders>
                    <w:lef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管控要求层级</w:t>
                  </w:r>
                </w:p>
              </w:tc>
              <w:tc>
                <w:tcPr>
                  <w:tcW w:w="1500" w:type="dxa"/>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管控</w:t>
                  </w:r>
                </w:p>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类型</w:t>
                  </w:r>
                </w:p>
              </w:tc>
              <w:tc>
                <w:tcPr>
                  <w:tcW w:w="8111" w:type="dxa"/>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管控要求</w:t>
                  </w:r>
                </w:p>
              </w:tc>
              <w:tc>
                <w:tcPr>
                  <w:tcW w:w="2649" w:type="dxa"/>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建设项目相关情况</w:t>
                  </w:r>
                </w:p>
              </w:tc>
              <w:tc>
                <w:tcPr>
                  <w:tcW w:w="0" w:type="auto"/>
                  <w:tcBorders>
                    <w:righ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9" w:type="dxa"/>
                  <w:vMerge w:val="restart"/>
                  <w:tcBorders>
                    <w:lef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全市总体管控要求</w:t>
                  </w:r>
                </w:p>
              </w:tc>
              <w:tc>
                <w:tcPr>
                  <w:tcW w:w="1500" w:type="dxa"/>
                  <w:vMerge w:val="restart"/>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空间布局约束</w:t>
                  </w:r>
                </w:p>
              </w:tc>
              <w:tc>
                <w:tcPr>
                  <w:tcW w:w="8111" w:type="dxa"/>
                  <w:tcBorders>
                    <w:tl2br w:val="nil"/>
                    <w:tr2bl w:val="nil"/>
                  </w:tcBorders>
                  <w:noWrap w:val="0"/>
                  <w:vAlign w:val="center"/>
                </w:tcPr>
                <w:p>
                  <w:pPr>
                    <w:autoSpaceDE w:val="0"/>
                    <w:autoSpaceDN w:val="0"/>
                    <w:adjustRightInd w:val="0"/>
                    <w:snapToGrid w:val="0"/>
                    <w:jc w:val="both"/>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严格执行《产业结构调整指导目录》、《重庆市产业投资准入工作手册》、《重庆市工业项目环境准入规定》、《重庆市长江经济带发展负面清单指南实施细则（试行）》等文件要求，优化重点区域、流域、产业的空间布局。对不符合准入要求的既有项目，依法依规实施整改、退出等分类治理方案。</w:t>
                  </w:r>
                </w:p>
              </w:tc>
              <w:tc>
                <w:tcPr>
                  <w:tcW w:w="2649" w:type="dxa"/>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项目位于</w:t>
                  </w:r>
                  <w:r>
                    <w:rPr>
                      <w:rFonts w:hint="eastAsia" w:cs="Times New Roman"/>
                      <w:color w:val="auto"/>
                      <w:kern w:val="0"/>
                      <w:sz w:val="21"/>
                      <w:szCs w:val="21"/>
                      <w:highlight w:val="none"/>
                      <w:lang w:val="en-US" w:eastAsia="zh-CN"/>
                    </w:rPr>
                    <w:t>铜梁侣俸工业聚集区</w:t>
                  </w:r>
                  <w:r>
                    <w:rPr>
                      <w:rFonts w:hint="eastAsia" w:ascii="Times New Roman" w:hAnsi="Times New Roman" w:eastAsia="宋体" w:cs="Times New Roman"/>
                      <w:color w:val="auto"/>
                      <w:kern w:val="0"/>
                      <w:sz w:val="21"/>
                      <w:szCs w:val="21"/>
                      <w:highlight w:val="none"/>
                      <w:lang w:val="en-US" w:eastAsia="zh-CN"/>
                    </w:rPr>
                    <w:t>内，符合相关准入要求</w:t>
                  </w:r>
                </w:p>
              </w:tc>
              <w:tc>
                <w:tcPr>
                  <w:tcW w:w="0" w:type="auto"/>
                  <w:tcBorders>
                    <w:righ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9" w:type="dxa"/>
                  <w:vMerge w:val="continue"/>
                  <w:tcBorders>
                    <w:lef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1500" w:type="dxa"/>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8111" w:type="dxa"/>
                  <w:tcBorders>
                    <w:tl2br w:val="nil"/>
                    <w:tr2bl w:val="nil"/>
                  </w:tcBorders>
                  <w:noWrap w:val="0"/>
                  <w:vAlign w:val="center"/>
                </w:tcPr>
                <w:p>
                  <w:pPr>
                    <w:autoSpaceDE w:val="0"/>
                    <w:autoSpaceDN w:val="0"/>
                    <w:adjustRightInd w:val="0"/>
                    <w:snapToGrid w:val="0"/>
                    <w:jc w:val="both"/>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禁止在长江干流及主要支流岸线1公里范围内新建重化工、纺织、造纸等存在污染风险的工业项目，禁止在长江干支流1公里范围内新建、扩建化工园区和化工项目。5公里范围内除经国家和市政府批准设立、仍在建设的工业园区外，不再新布局工业园区（不包括现有工业园区拓展）。新建有污染物排放的工业项目应进入工业园区或工业集中区，不得在工业园区（集聚区）以外区域实施单纯增加产能的技改（扩建）项目。</w:t>
                  </w:r>
                </w:p>
              </w:tc>
              <w:tc>
                <w:tcPr>
                  <w:tcW w:w="2649" w:type="dxa"/>
                  <w:tcBorders>
                    <w:tl2br w:val="nil"/>
                    <w:tr2bl w:val="nil"/>
                  </w:tcBorders>
                  <w:noWrap w:val="0"/>
                  <w:vAlign w:val="center"/>
                </w:tcPr>
                <w:p>
                  <w:pPr>
                    <w:autoSpaceDE w:val="0"/>
                    <w:autoSpaceDN w:val="0"/>
                    <w:adjustRightInd w:val="0"/>
                    <w:snapToGrid w:val="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项目位于</w:t>
                  </w:r>
                  <w:r>
                    <w:rPr>
                      <w:rFonts w:hint="eastAsia" w:cs="Times New Roman"/>
                      <w:color w:val="auto"/>
                      <w:kern w:val="0"/>
                      <w:sz w:val="21"/>
                      <w:szCs w:val="21"/>
                      <w:highlight w:val="none"/>
                      <w:lang w:val="en-US" w:eastAsia="zh-CN"/>
                    </w:rPr>
                    <w:t>铜梁侣俸工业聚集区</w:t>
                  </w:r>
                  <w:r>
                    <w:rPr>
                      <w:rFonts w:hint="eastAsia" w:ascii="Times New Roman" w:hAnsi="Times New Roman" w:eastAsia="宋体" w:cs="Times New Roman"/>
                      <w:color w:val="auto"/>
                      <w:kern w:val="0"/>
                      <w:sz w:val="21"/>
                      <w:szCs w:val="21"/>
                      <w:highlight w:val="none"/>
                      <w:lang w:val="en-US" w:eastAsia="zh-CN"/>
                    </w:rPr>
                    <w:t>内，不在长江干、支流5km范围内</w:t>
                  </w:r>
                </w:p>
              </w:tc>
              <w:tc>
                <w:tcPr>
                  <w:tcW w:w="0" w:type="auto"/>
                  <w:tcBorders>
                    <w:righ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9" w:type="dxa"/>
                  <w:vMerge w:val="continue"/>
                  <w:tcBorders>
                    <w:lef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1500" w:type="dxa"/>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8111" w:type="dxa"/>
                  <w:tcBorders>
                    <w:tl2br w:val="nil"/>
                    <w:tr2bl w:val="nil"/>
                  </w:tcBorders>
                  <w:noWrap w:val="0"/>
                  <w:vAlign w:val="center"/>
                </w:tcPr>
                <w:p>
                  <w:pPr>
                    <w:autoSpaceDE w:val="0"/>
                    <w:autoSpaceDN w:val="0"/>
                    <w:adjustRightInd w:val="0"/>
                    <w:snapToGrid w:val="0"/>
                    <w:jc w:val="both"/>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在长江鱼嘴以上江段及其一级支流汇入口上游20公里、嘉陵江及其一级支流汇入口上游20公里、集中式饮用水水源取水口上游20公里范围内的沿岸地区（江河50年一遇洪水位向陆域一侧1公里范围内），禁止新建、扩建排放重点重金属（铬、镉、汞、砷、铅等五类重金属）、剧毒物质和持久性有机污染物的工业项目。</w:t>
                  </w:r>
                </w:p>
              </w:tc>
              <w:tc>
                <w:tcPr>
                  <w:tcW w:w="2649" w:type="dxa"/>
                  <w:tcBorders>
                    <w:tl2br w:val="nil"/>
                    <w:tr2bl w:val="nil"/>
                  </w:tcBorders>
                  <w:noWrap w:val="0"/>
                  <w:vAlign w:val="center"/>
                </w:tcPr>
                <w:p>
                  <w:pPr>
                    <w:autoSpaceDE w:val="0"/>
                    <w:autoSpaceDN w:val="0"/>
                    <w:adjustRightInd w:val="0"/>
                    <w:snapToGrid w:val="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项目评价范围内不涉及集中式饮用水水源取水口，不排放重金属、剧毒物质和持久性有机污染物排放</w:t>
                  </w:r>
                </w:p>
              </w:tc>
              <w:tc>
                <w:tcPr>
                  <w:tcW w:w="0" w:type="auto"/>
                  <w:tcBorders>
                    <w:righ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9" w:type="dxa"/>
                  <w:vMerge w:val="continue"/>
                  <w:tcBorders>
                    <w:lef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1500" w:type="dxa"/>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8111" w:type="dxa"/>
                  <w:tcBorders>
                    <w:tl2br w:val="nil"/>
                    <w:tr2bl w:val="nil"/>
                  </w:tcBorders>
                  <w:noWrap w:val="0"/>
                  <w:vAlign w:val="center"/>
                </w:tcPr>
                <w:p>
                  <w:pPr>
                    <w:autoSpaceDE w:val="0"/>
                    <w:autoSpaceDN w:val="0"/>
                    <w:adjustRightInd w:val="0"/>
                    <w:snapToGrid w:val="0"/>
                    <w:jc w:val="both"/>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4.严格执行相关行业企业布局选址要求，优化环境防护距离设置，按要求设置生态隔离带，防范工业园区（工业集聚区）涉生态环境“邻避”问题，将环境防护距离优化控制在园区边界或用地红线以内。</w:t>
                  </w:r>
                </w:p>
              </w:tc>
              <w:tc>
                <w:tcPr>
                  <w:tcW w:w="2649" w:type="dxa"/>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项目选址位于</w:t>
                  </w:r>
                  <w:r>
                    <w:rPr>
                      <w:rFonts w:hint="eastAsia" w:cs="Times New Roman"/>
                      <w:color w:val="auto"/>
                      <w:kern w:val="0"/>
                      <w:sz w:val="21"/>
                      <w:szCs w:val="21"/>
                      <w:highlight w:val="none"/>
                      <w:lang w:val="en-US" w:eastAsia="zh-CN"/>
                    </w:rPr>
                    <w:t>铜梁侣俸工业聚集区</w:t>
                  </w:r>
                  <w:r>
                    <w:rPr>
                      <w:rFonts w:hint="eastAsia" w:ascii="Times New Roman" w:hAnsi="Times New Roman" w:eastAsia="宋体" w:cs="Times New Roman"/>
                      <w:color w:val="auto"/>
                      <w:kern w:val="0"/>
                      <w:sz w:val="21"/>
                      <w:szCs w:val="21"/>
                      <w:highlight w:val="none"/>
                      <w:lang w:val="en-US" w:eastAsia="zh-CN"/>
                    </w:rPr>
                    <w:t>内，</w:t>
                  </w:r>
                  <w:r>
                    <w:rPr>
                      <w:rFonts w:hint="eastAsia" w:cs="Times New Roman"/>
                      <w:color w:val="auto"/>
                      <w:kern w:val="0"/>
                      <w:sz w:val="21"/>
                      <w:szCs w:val="21"/>
                      <w:highlight w:val="none"/>
                      <w:lang w:val="en-US" w:eastAsia="zh-CN"/>
                    </w:rPr>
                    <w:t>无需设置防护距离</w:t>
                  </w:r>
                </w:p>
              </w:tc>
              <w:tc>
                <w:tcPr>
                  <w:tcW w:w="0" w:type="auto"/>
                  <w:tcBorders>
                    <w:righ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9" w:type="dxa"/>
                  <w:vMerge w:val="continue"/>
                  <w:tcBorders>
                    <w:lef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1500" w:type="dxa"/>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8111" w:type="dxa"/>
                  <w:tcBorders>
                    <w:tl2br w:val="nil"/>
                    <w:tr2bl w:val="nil"/>
                  </w:tcBorders>
                  <w:noWrap w:val="0"/>
                  <w:vAlign w:val="center"/>
                </w:tcPr>
                <w:p>
                  <w:pPr>
                    <w:autoSpaceDE w:val="0"/>
                    <w:autoSpaceDN w:val="0"/>
                    <w:adjustRightInd w:val="0"/>
                    <w:snapToGrid w:val="0"/>
                    <w:jc w:val="both"/>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5.加快布局分散的企业向园区集中，鼓励现有工业项目、化工项目分别搬入工业集聚区、化工产业集聚区。</w:t>
                  </w:r>
                </w:p>
              </w:tc>
              <w:tc>
                <w:tcPr>
                  <w:tcW w:w="2649" w:type="dxa"/>
                  <w:tcBorders>
                    <w:tl2br w:val="nil"/>
                    <w:tr2bl w:val="nil"/>
                  </w:tcBorders>
                  <w:noWrap w:val="0"/>
                  <w:vAlign w:val="center"/>
                </w:tcPr>
                <w:p>
                  <w:pPr>
                    <w:autoSpaceDE w:val="0"/>
                    <w:autoSpaceDN w:val="0"/>
                    <w:adjustRightInd w:val="0"/>
                    <w:snapToGrid w:val="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项目位于</w:t>
                  </w:r>
                  <w:r>
                    <w:rPr>
                      <w:rFonts w:hint="eastAsia" w:cs="Times New Roman"/>
                      <w:color w:val="auto"/>
                      <w:kern w:val="0"/>
                      <w:sz w:val="21"/>
                      <w:szCs w:val="21"/>
                      <w:highlight w:val="none"/>
                      <w:lang w:val="en-US" w:eastAsia="zh-CN"/>
                    </w:rPr>
                    <w:t>铜梁侣俸工业聚集区</w:t>
                  </w:r>
                  <w:r>
                    <w:rPr>
                      <w:rFonts w:hint="eastAsia" w:ascii="Times New Roman" w:hAnsi="Times New Roman" w:eastAsia="宋体" w:cs="Times New Roman"/>
                      <w:color w:val="auto"/>
                      <w:kern w:val="0"/>
                      <w:sz w:val="21"/>
                      <w:szCs w:val="21"/>
                      <w:highlight w:val="none"/>
                      <w:lang w:val="en-US" w:eastAsia="zh-CN"/>
                    </w:rPr>
                    <w:t>内</w:t>
                  </w:r>
                </w:p>
              </w:tc>
              <w:tc>
                <w:tcPr>
                  <w:tcW w:w="0" w:type="auto"/>
                  <w:tcBorders>
                    <w:righ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9" w:type="dxa"/>
                  <w:vMerge w:val="continue"/>
                  <w:tcBorders>
                    <w:lef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1500" w:type="dxa"/>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8111" w:type="dxa"/>
                  <w:tcBorders>
                    <w:tl2br w:val="nil"/>
                    <w:tr2bl w:val="nil"/>
                  </w:tcBorders>
                  <w:noWrap w:val="0"/>
                  <w:vAlign w:val="center"/>
                </w:tcPr>
                <w:p>
                  <w:pPr>
                    <w:autoSpaceDE w:val="0"/>
                    <w:autoSpaceDN w:val="0"/>
                    <w:adjustRightInd w:val="0"/>
                    <w:snapToGrid w:val="0"/>
                    <w:jc w:val="both"/>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6.优化城镇功能布局，开发活动限制在资源环境承载能力之内。科学确定城镇开发强度，提高城镇土地利用效率、建成区人口密度，划定城镇开发边界，从严供给城市建设用地，推动城镇化发展由外延扩张式向内涵提升式转变。精心维护自然山水和城乡人居环境，凸显历史文化底蕴，充分塑造和着力体现重庆的山水自然人文特色。</w:t>
                  </w:r>
                </w:p>
              </w:tc>
              <w:tc>
                <w:tcPr>
                  <w:tcW w:w="2649" w:type="dxa"/>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不涉及</w:t>
                  </w:r>
                </w:p>
              </w:tc>
              <w:tc>
                <w:tcPr>
                  <w:tcW w:w="0" w:type="auto"/>
                  <w:tcBorders>
                    <w:righ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vMerge w:val="continue"/>
                  <w:tcBorders>
                    <w:lef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1500" w:type="dxa"/>
                  <w:vMerge w:val="restart"/>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污染物排放管控</w:t>
                  </w:r>
                </w:p>
              </w:tc>
              <w:tc>
                <w:tcPr>
                  <w:tcW w:w="8111" w:type="dxa"/>
                  <w:tcBorders>
                    <w:tl2br w:val="nil"/>
                    <w:tr2bl w:val="nil"/>
                  </w:tcBorders>
                  <w:noWrap w:val="0"/>
                  <w:vAlign w:val="center"/>
                </w:tcPr>
                <w:p>
                  <w:pPr>
                    <w:autoSpaceDE w:val="0"/>
                    <w:autoSpaceDN w:val="0"/>
                    <w:adjustRightInd w:val="0"/>
                    <w:snapToGrid w:val="0"/>
                    <w:jc w:val="both"/>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1.未达到国家环境质量标准的重点区域、流域的有关地方人民政府，应当制定限期达标规划，并采取措施按期达标。</w:t>
                  </w:r>
                </w:p>
              </w:tc>
              <w:tc>
                <w:tcPr>
                  <w:tcW w:w="2649" w:type="dxa"/>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项目位于</w:t>
                  </w:r>
                  <w:r>
                    <w:rPr>
                      <w:rFonts w:hint="eastAsia" w:cs="Times New Roman"/>
                      <w:color w:val="auto"/>
                      <w:kern w:val="0"/>
                      <w:sz w:val="21"/>
                      <w:szCs w:val="21"/>
                      <w:highlight w:val="none"/>
                      <w:lang w:val="en-US" w:eastAsia="zh-CN"/>
                    </w:rPr>
                    <w:t>铜梁侣俸工业聚集区</w:t>
                  </w:r>
                  <w:r>
                    <w:rPr>
                      <w:rFonts w:hint="eastAsia" w:ascii="Times New Roman" w:hAnsi="Times New Roman" w:eastAsia="宋体" w:cs="Times New Roman"/>
                      <w:color w:val="auto"/>
                      <w:kern w:val="0"/>
                      <w:sz w:val="21"/>
                      <w:szCs w:val="21"/>
                      <w:highlight w:val="none"/>
                      <w:lang w:val="en-US" w:eastAsia="zh-CN"/>
                    </w:rPr>
                    <w:t>内，项目所在区域属于</w:t>
                  </w:r>
                  <w:r>
                    <w:rPr>
                      <w:rFonts w:hint="eastAsia" w:cs="Times New Roman"/>
                      <w:color w:val="auto"/>
                      <w:kern w:val="0"/>
                      <w:sz w:val="21"/>
                      <w:szCs w:val="21"/>
                      <w:highlight w:val="none"/>
                      <w:lang w:val="en-US" w:eastAsia="zh-CN"/>
                    </w:rPr>
                    <w:t>不</w:t>
                  </w:r>
                  <w:r>
                    <w:rPr>
                      <w:rFonts w:hint="eastAsia" w:ascii="Times New Roman" w:hAnsi="Times New Roman" w:eastAsia="宋体" w:cs="Times New Roman"/>
                      <w:color w:val="auto"/>
                      <w:kern w:val="0"/>
                      <w:sz w:val="21"/>
                      <w:szCs w:val="21"/>
                      <w:highlight w:val="none"/>
                      <w:lang w:val="en-US" w:eastAsia="zh-CN"/>
                    </w:rPr>
                    <w:t>达标区，</w:t>
                  </w:r>
                  <w:r>
                    <w:rPr>
                      <w:rFonts w:hint="eastAsia" w:cs="Times New Roman"/>
                      <w:color w:val="auto"/>
                      <w:kern w:val="0"/>
                      <w:sz w:val="21"/>
                      <w:szCs w:val="21"/>
                      <w:highlight w:val="none"/>
                      <w:lang w:val="en-US" w:eastAsia="zh-CN"/>
                    </w:rPr>
                    <w:t>该区域已制定相关达标规划</w:t>
                  </w:r>
                </w:p>
              </w:tc>
              <w:tc>
                <w:tcPr>
                  <w:tcW w:w="0" w:type="auto"/>
                  <w:tcBorders>
                    <w:righ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vMerge w:val="continue"/>
                  <w:tcBorders>
                    <w:lef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1500" w:type="dxa"/>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8111" w:type="dxa"/>
                  <w:tcBorders>
                    <w:tl2br w:val="nil"/>
                    <w:tr2bl w:val="nil"/>
                  </w:tcBorders>
                  <w:noWrap w:val="0"/>
                  <w:vAlign w:val="center"/>
                </w:tcPr>
                <w:p>
                  <w:pPr>
                    <w:autoSpaceDE w:val="0"/>
                    <w:autoSpaceDN w:val="0"/>
                    <w:adjustRightInd w:val="0"/>
                    <w:snapToGrid w:val="0"/>
                    <w:jc w:val="both"/>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巩固“十一小”（不符合国家产业政策的小型造纸、制革、印染、染料、炼焦、炼硫、炼砷、炼油、电镀、农药、涉磷生产和使用等企业）取缔成果，防止死灰复燃。巩固“十一大”（造纸、焦化、氮肥、有色金属、印染、农副产品及食品加工、原料药制造（生化制药）、制革、农药、电镀以及涉磷产品等）企业污染整治成果。</w:t>
                  </w:r>
                </w:p>
              </w:tc>
              <w:tc>
                <w:tcPr>
                  <w:tcW w:w="2649" w:type="dxa"/>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项目属于</w:t>
                  </w:r>
                  <w:r>
                    <w:rPr>
                      <w:rFonts w:hint="eastAsia"/>
                      <w:color w:val="auto"/>
                      <w:sz w:val="21"/>
                      <w:szCs w:val="21"/>
                      <w:highlight w:val="none"/>
                      <w:lang w:val="en-US" w:eastAsia="zh-CN"/>
                    </w:rPr>
                    <w:t>塑料包装箱及容器制造</w:t>
                  </w:r>
                  <w:r>
                    <w:rPr>
                      <w:rFonts w:hint="eastAsia" w:ascii="Times New Roman" w:hAnsi="Times New Roman" w:eastAsia="宋体" w:cs="Times New Roman"/>
                      <w:color w:val="auto"/>
                      <w:kern w:val="0"/>
                      <w:sz w:val="21"/>
                      <w:szCs w:val="21"/>
                      <w:highlight w:val="none"/>
                      <w:lang w:val="en-US" w:eastAsia="zh-CN"/>
                    </w:rPr>
                    <w:t>项目；</w:t>
                  </w:r>
                </w:p>
              </w:tc>
              <w:tc>
                <w:tcPr>
                  <w:tcW w:w="0" w:type="auto"/>
                  <w:tcBorders>
                    <w:righ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vMerge w:val="continue"/>
                  <w:tcBorders>
                    <w:lef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1500" w:type="dxa"/>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8111" w:type="dxa"/>
                  <w:tcBorders>
                    <w:tl2br w:val="nil"/>
                    <w:tr2bl w:val="nil"/>
                  </w:tcBorders>
                  <w:noWrap w:val="0"/>
                  <w:vAlign w:val="center"/>
                </w:tcPr>
                <w:p>
                  <w:pPr>
                    <w:autoSpaceDE w:val="0"/>
                    <w:autoSpaceDN w:val="0"/>
                    <w:adjustRightInd w:val="0"/>
                    <w:snapToGrid w:val="0"/>
                    <w:jc w:val="both"/>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3.城区及江津区、合川区、璧山区、铜梁区二氧化硫、氮氧化物、颗粒物、挥发性有机物严格执行大气污染物特别排放限值，并逐步将执行范围扩大到重点控制区重点行业。</w:t>
                  </w:r>
                </w:p>
              </w:tc>
              <w:tc>
                <w:tcPr>
                  <w:tcW w:w="2649" w:type="dxa"/>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大气污染物经治理后可达大气污染物排放标准</w:t>
                  </w:r>
                </w:p>
              </w:tc>
              <w:tc>
                <w:tcPr>
                  <w:tcW w:w="0" w:type="auto"/>
                  <w:tcBorders>
                    <w:righ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vMerge w:val="continue"/>
                  <w:tcBorders>
                    <w:lef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1500" w:type="dxa"/>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8111" w:type="dxa"/>
                  <w:tcBorders>
                    <w:tl2br w:val="nil"/>
                    <w:tr2bl w:val="nil"/>
                  </w:tcBorders>
                  <w:noWrap w:val="0"/>
                  <w:vAlign w:val="center"/>
                </w:tcPr>
                <w:p>
                  <w:pPr>
                    <w:autoSpaceDE w:val="0"/>
                    <w:autoSpaceDN w:val="0"/>
                    <w:adjustRightInd w:val="0"/>
                    <w:snapToGrid w:val="0"/>
                    <w:jc w:val="both"/>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4.新建、改建、扩建涉VOCs排放的项目，加强源头控制，使用低（无）VOCs含量的原辅料，加强废气收集，安装高效治理设施。有条件的工业集聚区建设集中喷涂中心，配备高效治污设施，替代企业独立喷涂工序。</w:t>
                  </w:r>
                </w:p>
              </w:tc>
              <w:tc>
                <w:tcPr>
                  <w:tcW w:w="2649" w:type="dxa"/>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运营期项目产生的大气污染物治理后可实现达标排放；</w:t>
                  </w:r>
                </w:p>
              </w:tc>
              <w:tc>
                <w:tcPr>
                  <w:tcW w:w="0" w:type="auto"/>
                  <w:tcBorders>
                    <w:righ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vMerge w:val="continue"/>
                  <w:tcBorders>
                    <w:lef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1500" w:type="dxa"/>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8111" w:type="dxa"/>
                  <w:tcBorders>
                    <w:tl2br w:val="nil"/>
                    <w:tr2bl w:val="nil"/>
                  </w:tcBorders>
                  <w:noWrap w:val="0"/>
                  <w:vAlign w:val="center"/>
                </w:tcPr>
                <w:p>
                  <w:pPr>
                    <w:autoSpaceDE w:val="0"/>
                    <w:autoSpaceDN w:val="0"/>
                    <w:adjustRightInd w:val="0"/>
                    <w:snapToGrid w:val="0"/>
                    <w:jc w:val="both"/>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5. 集中治理工业集聚区水污染，新建、升级工业集聚区应同步规划建设污水集中处理设施并安装自动在线监控装置。组织评估依托城镇生活污水处理设施处理园区工业废水对出水的影响，导致出水不能稳定达标的，要限期退出城镇污水处理设施并另行专门处理。</w:t>
                  </w:r>
                </w:p>
              </w:tc>
              <w:tc>
                <w:tcPr>
                  <w:tcW w:w="2649" w:type="dxa"/>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不属于</w:t>
                  </w:r>
                </w:p>
              </w:tc>
              <w:tc>
                <w:tcPr>
                  <w:tcW w:w="0" w:type="auto"/>
                  <w:tcBorders>
                    <w:righ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vMerge w:val="continue"/>
                  <w:tcBorders>
                    <w:lef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1500" w:type="dxa"/>
                  <w:vMerge w:val="restart"/>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环境风险防控</w:t>
                  </w:r>
                </w:p>
              </w:tc>
              <w:tc>
                <w:tcPr>
                  <w:tcW w:w="8111" w:type="dxa"/>
                  <w:tcBorders>
                    <w:tl2br w:val="nil"/>
                    <w:tr2bl w:val="nil"/>
                  </w:tcBorders>
                  <w:noWrap w:val="0"/>
                  <w:vAlign w:val="center"/>
                </w:tcPr>
                <w:p>
                  <w:pPr>
                    <w:autoSpaceDE w:val="0"/>
                    <w:autoSpaceDN w:val="0"/>
                    <w:adjustRightInd w:val="0"/>
                    <w:snapToGrid w:val="0"/>
                    <w:jc w:val="both"/>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健全风险防范体系，制定环境风险防范协调联动工作机制。开展涉及化工生产的工业园区突发环境事件风险评估。长江三峡库区干流流域、城市集中式饮用水源、涉及化工生产的化工园区等按要求开展突发环境事件风险评估。</w:t>
                  </w:r>
                </w:p>
              </w:tc>
              <w:tc>
                <w:tcPr>
                  <w:tcW w:w="2649" w:type="dxa"/>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项目运营期涉及的风险物质已提出相应风险防范措施；</w:t>
                  </w:r>
                </w:p>
              </w:tc>
              <w:tc>
                <w:tcPr>
                  <w:tcW w:w="0" w:type="auto"/>
                  <w:tcBorders>
                    <w:righ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vMerge w:val="continue"/>
                  <w:tcBorders>
                    <w:lef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1500" w:type="dxa"/>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8111" w:type="dxa"/>
                  <w:tcBorders>
                    <w:tl2br w:val="nil"/>
                    <w:tr2bl w:val="nil"/>
                  </w:tcBorders>
                  <w:noWrap w:val="0"/>
                  <w:vAlign w:val="center"/>
                </w:tcPr>
                <w:p>
                  <w:pPr>
                    <w:autoSpaceDE w:val="0"/>
                    <w:autoSpaceDN w:val="0"/>
                    <w:adjustRightInd w:val="0"/>
                    <w:snapToGrid w:val="0"/>
                    <w:jc w:val="both"/>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2.禁止建设存在重大环境安全隐患的工业项目。严禁工艺技术落后、环境风险高的化工企业向我市转移。</w:t>
                  </w:r>
                </w:p>
              </w:tc>
              <w:tc>
                <w:tcPr>
                  <w:tcW w:w="2649" w:type="dxa"/>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项目不属于重大环境安全隐患的工业项目；</w:t>
                  </w:r>
                </w:p>
              </w:tc>
              <w:tc>
                <w:tcPr>
                  <w:tcW w:w="0" w:type="auto"/>
                  <w:tcBorders>
                    <w:righ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vMerge w:val="continue"/>
                  <w:tcBorders>
                    <w:lef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1500" w:type="dxa"/>
                  <w:vMerge w:val="restart"/>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资源开发利用效率</w:t>
                  </w:r>
                </w:p>
              </w:tc>
              <w:tc>
                <w:tcPr>
                  <w:tcW w:w="8111" w:type="dxa"/>
                  <w:tcBorders>
                    <w:tl2br w:val="nil"/>
                    <w:tr2bl w:val="nil"/>
                  </w:tcBorders>
                  <w:noWrap w:val="0"/>
                  <w:vAlign w:val="center"/>
                </w:tcPr>
                <w:p>
                  <w:pPr>
                    <w:autoSpaceDE w:val="0"/>
                    <w:autoSpaceDN w:val="0"/>
                    <w:adjustRightInd w:val="0"/>
                    <w:snapToGrid w:val="0"/>
                    <w:jc w:val="both"/>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1.加强资源节约集约利用。实行能源、水资源、建设用地总量和强度双控行动，推进节能、节水、节地、节材等节约自然资源行动，从源头减少污染物排放。</w:t>
                  </w:r>
                </w:p>
              </w:tc>
              <w:tc>
                <w:tcPr>
                  <w:tcW w:w="2649" w:type="dxa"/>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项目运营期生产用水重复使用，从源头减少污染物排放</w:t>
                  </w:r>
                </w:p>
              </w:tc>
              <w:tc>
                <w:tcPr>
                  <w:tcW w:w="0" w:type="auto"/>
                  <w:tcBorders>
                    <w:righ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vMerge w:val="continue"/>
                  <w:tcBorders>
                    <w:lef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1500" w:type="dxa"/>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8111" w:type="dxa"/>
                  <w:tcBorders>
                    <w:tl2br w:val="nil"/>
                    <w:tr2bl w:val="nil"/>
                  </w:tcBorders>
                  <w:noWrap w:val="0"/>
                  <w:vAlign w:val="center"/>
                </w:tcPr>
                <w:p>
                  <w:pPr>
                    <w:autoSpaceDE w:val="0"/>
                    <w:autoSpaceDN w:val="0"/>
                    <w:adjustRightInd w:val="0"/>
                    <w:snapToGrid w:val="0"/>
                    <w:jc w:val="both"/>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在禁燃区内，禁止销售、燃用高污染燃料，禁止新建、改建、扩建任何燃用高污染燃料的项目和设备，已建成使用高污染燃料的各类设备应当拆除或者改用管道天然气、页岩气、液化石油气、电或者其他清洁能源；在不具备使用清洁能源条件的区域，可使用配备专用锅炉和除尘装置的生物质成型燃料。</w:t>
                  </w:r>
                </w:p>
              </w:tc>
              <w:tc>
                <w:tcPr>
                  <w:tcW w:w="2649" w:type="dxa"/>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项目运营期不使用高污染燃料和设备</w:t>
                  </w:r>
                </w:p>
              </w:tc>
              <w:tc>
                <w:tcPr>
                  <w:tcW w:w="0" w:type="auto"/>
                  <w:tcBorders>
                    <w:righ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vMerge w:val="continue"/>
                  <w:tcBorders>
                    <w:lef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1500" w:type="dxa"/>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8111" w:type="dxa"/>
                  <w:tcBorders>
                    <w:tl2br w:val="nil"/>
                    <w:tr2bl w:val="nil"/>
                  </w:tcBorders>
                  <w:noWrap w:val="0"/>
                  <w:vAlign w:val="center"/>
                </w:tcPr>
                <w:p>
                  <w:pPr>
                    <w:autoSpaceDE w:val="0"/>
                    <w:autoSpaceDN w:val="0"/>
                    <w:adjustRightInd w:val="0"/>
                    <w:snapToGrid w:val="0"/>
                    <w:jc w:val="both"/>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3.电力、钢铁、纺织、造纸、石油石化、化工、食品发酵等高耗水行业达到先进定额标准。</w:t>
                  </w:r>
                </w:p>
              </w:tc>
              <w:tc>
                <w:tcPr>
                  <w:tcW w:w="2649" w:type="dxa"/>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项目属于</w:t>
                  </w:r>
                  <w:r>
                    <w:rPr>
                      <w:rFonts w:hint="eastAsia"/>
                      <w:color w:val="auto"/>
                      <w:sz w:val="21"/>
                      <w:szCs w:val="21"/>
                      <w:highlight w:val="none"/>
                      <w:lang w:val="en-US" w:eastAsia="zh-CN"/>
                    </w:rPr>
                    <w:t>塑料包装箱及容器制造</w:t>
                  </w:r>
                  <w:r>
                    <w:rPr>
                      <w:rFonts w:hint="eastAsia" w:ascii="Times New Roman" w:hAnsi="Times New Roman" w:eastAsia="宋体" w:cs="Times New Roman"/>
                      <w:color w:val="auto"/>
                      <w:kern w:val="0"/>
                      <w:sz w:val="21"/>
                      <w:szCs w:val="21"/>
                      <w:highlight w:val="none"/>
                      <w:lang w:val="en-US" w:eastAsia="zh-CN"/>
                    </w:rPr>
                    <w:t>项目</w:t>
                  </w:r>
                </w:p>
              </w:tc>
              <w:tc>
                <w:tcPr>
                  <w:tcW w:w="0" w:type="auto"/>
                  <w:tcBorders>
                    <w:righ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yellow"/>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vMerge w:val="continue"/>
                  <w:tcBorders>
                    <w:lef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1500" w:type="dxa"/>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8111" w:type="dxa"/>
                  <w:tcBorders>
                    <w:tl2br w:val="nil"/>
                    <w:tr2bl w:val="nil"/>
                  </w:tcBorders>
                  <w:noWrap w:val="0"/>
                  <w:vAlign w:val="center"/>
                </w:tcPr>
                <w:p>
                  <w:pPr>
                    <w:autoSpaceDE w:val="0"/>
                    <w:autoSpaceDN w:val="0"/>
                    <w:adjustRightInd w:val="0"/>
                    <w:snapToGrid w:val="0"/>
                    <w:jc w:val="both"/>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4.重点控制区域新建高耗能项目单位产品（产值）能耗要达到国际先进水平。</w:t>
                  </w:r>
                </w:p>
              </w:tc>
              <w:tc>
                <w:tcPr>
                  <w:tcW w:w="2649" w:type="dxa"/>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项目不属于高耗能项目</w:t>
                  </w:r>
                </w:p>
              </w:tc>
              <w:tc>
                <w:tcPr>
                  <w:tcW w:w="0" w:type="auto"/>
                  <w:tcBorders>
                    <w:righ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vMerge w:val="continue"/>
                  <w:tcBorders>
                    <w:lef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1500" w:type="dxa"/>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8111" w:type="dxa"/>
                  <w:tcBorders>
                    <w:tl2br w:val="nil"/>
                    <w:tr2bl w:val="nil"/>
                  </w:tcBorders>
                  <w:noWrap w:val="0"/>
                  <w:vAlign w:val="center"/>
                </w:tcPr>
                <w:p>
                  <w:pPr>
                    <w:autoSpaceDE w:val="0"/>
                    <w:autoSpaceDN w:val="0"/>
                    <w:adjustRightInd w:val="0"/>
                    <w:snapToGrid w:val="0"/>
                    <w:jc w:val="both"/>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5.水利水电工程应保证合理的生态流量，具备条件的都应实施生态流量监测监控。</w:t>
                  </w:r>
                </w:p>
              </w:tc>
              <w:tc>
                <w:tcPr>
                  <w:tcW w:w="2649" w:type="dxa"/>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不属于</w:t>
                  </w:r>
                </w:p>
              </w:tc>
              <w:tc>
                <w:tcPr>
                  <w:tcW w:w="0" w:type="auto"/>
                  <w:tcBorders>
                    <w:righ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9" w:type="dxa"/>
                  <w:vMerge w:val="restart"/>
                  <w:tcBorders>
                    <w:lef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铜梁</w:t>
                  </w:r>
                  <w:r>
                    <w:rPr>
                      <w:rFonts w:hint="default" w:ascii="Times New Roman" w:hAnsi="Times New Roman" w:eastAsia="宋体" w:cs="Times New Roman"/>
                      <w:color w:val="auto"/>
                      <w:kern w:val="0"/>
                      <w:sz w:val="21"/>
                      <w:szCs w:val="21"/>
                      <w:highlight w:val="none"/>
                      <w:lang w:val="en-US" w:eastAsia="zh-CN"/>
                    </w:rPr>
                    <w:t>区总体管控要求</w:t>
                  </w:r>
                </w:p>
              </w:tc>
              <w:tc>
                <w:tcPr>
                  <w:tcW w:w="1500" w:type="dxa"/>
                  <w:vMerge w:val="restart"/>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空间布局约束</w:t>
                  </w:r>
                </w:p>
              </w:tc>
              <w:tc>
                <w:tcPr>
                  <w:tcW w:w="8111" w:type="dxa"/>
                  <w:tcBorders>
                    <w:tl2br w:val="nil"/>
                    <w:tr2bl w:val="nil"/>
                  </w:tcBorders>
                  <w:noWrap w:val="0"/>
                  <w:vAlign w:val="center"/>
                </w:tcPr>
                <w:p>
                  <w:pPr>
                    <w:autoSpaceDE w:val="0"/>
                    <w:autoSpaceDN w:val="0"/>
                    <w:adjustRightInd w:val="0"/>
                    <w:snapToGrid w:val="0"/>
                    <w:jc w:val="both"/>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第一条保护好巴岳山、毓青山等自然生态环境，形成以生态功能区为支撑，国家禁止开发区域为重要组成部分的生态空间体系。小企业基地规划范围不得侵占生态空间。</w:t>
                  </w:r>
                </w:p>
              </w:tc>
              <w:tc>
                <w:tcPr>
                  <w:tcW w:w="2649" w:type="dxa"/>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项目属于</w:t>
                  </w:r>
                  <w:r>
                    <w:rPr>
                      <w:rFonts w:hint="eastAsia"/>
                      <w:color w:val="auto"/>
                      <w:sz w:val="21"/>
                      <w:szCs w:val="21"/>
                      <w:highlight w:val="none"/>
                      <w:lang w:val="en-US" w:eastAsia="zh-CN"/>
                    </w:rPr>
                    <w:t>塑料包装箱及容器制造</w:t>
                  </w:r>
                  <w:r>
                    <w:rPr>
                      <w:rFonts w:hint="eastAsia" w:ascii="Times New Roman" w:hAnsi="Times New Roman" w:eastAsia="宋体" w:cs="Times New Roman"/>
                      <w:color w:val="auto"/>
                      <w:kern w:val="0"/>
                      <w:sz w:val="21"/>
                      <w:szCs w:val="21"/>
                      <w:highlight w:val="none"/>
                      <w:lang w:val="en-US" w:eastAsia="zh-CN"/>
                    </w:rPr>
                    <w:t>项目</w:t>
                  </w:r>
                  <w:r>
                    <w:rPr>
                      <w:rFonts w:hint="eastAsia" w:cs="Times New Roman"/>
                      <w:color w:val="auto"/>
                      <w:kern w:val="0"/>
                      <w:sz w:val="21"/>
                      <w:szCs w:val="21"/>
                      <w:highlight w:val="none"/>
                      <w:lang w:val="en-US" w:eastAsia="zh-CN"/>
                    </w:rPr>
                    <w:t>，评价范围内不涉及</w:t>
                  </w:r>
                  <w:r>
                    <w:rPr>
                      <w:rFonts w:hint="default" w:ascii="Times New Roman" w:hAnsi="Times New Roman" w:eastAsia="宋体" w:cs="Times New Roman"/>
                      <w:color w:val="auto"/>
                      <w:kern w:val="0"/>
                      <w:sz w:val="21"/>
                      <w:szCs w:val="21"/>
                      <w:highlight w:val="none"/>
                      <w:lang w:val="en-US" w:eastAsia="zh-CN"/>
                    </w:rPr>
                    <w:t>巴岳山、毓青山等</w:t>
                  </w:r>
                  <w:r>
                    <w:rPr>
                      <w:rFonts w:hint="eastAsia" w:cs="Times New Roman"/>
                      <w:color w:val="auto"/>
                      <w:kern w:val="0"/>
                      <w:sz w:val="21"/>
                      <w:szCs w:val="21"/>
                      <w:highlight w:val="none"/>
                      <w:lang w:val="en-US" w:eastAsia="zh-CN"/>
                    </w:rPr>
                    <w:t>环境保护目标</w:t>
                  </w:r>
                </w:p>
              </w:tc>
              <w:tc>
                <w:tcPr>
                  <w:tcW w:w="0" w:type="auto"/>
                  <w:tcBorders>
                    <w:righ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9" w:type="dxa"/>
                  <w:vMerge w:val="continue"/>
                  <w:tcBorders>
                    <w:left w:val="single" w:color="auto" w:sz="4" w:space="0"/>
                    <w:tl2br w:val="nil"/>
                    <w:tr2bl w:val="nil"/>
                  </w:tcBorders>
                  <w:noWrap w:val="0"/>
                  <w:vAlign w:val="center"/>
                </w:tcPr>
                <w:p>
                  <w:pPr>
                    <w:autoSpaceDE w:val="0"/>
                    <w:autoSpaceDN w:val="0"/>
                    <w:adjustRightInd w:val="0"/>
                    <w:snapToGrid w:val="0"/>
                    <w:jc w:val="center"/>
                    <w:rPr>
                      <w:rFonts w:hint="eastAsia" w:ascii="Times New Roman" w:hAnsi="Times New Roman" w:eastAsia="宋体" w:cs="Times New Roman"/>
                      <w:color w:val="auto"/>
                      <w:kern w:val="0"/>
                      <w:sz w:val="21"/>
                      <w:szCs w:val="21"/>
                      <w:highlight w:val="none"/>
                      <w:lang w:val="en-US" w:eastAsia="zh-CN"/>
                    </w:rPr>
                  </w:pPr>
                </w:p>
              </w:tc>
              <w:tc>
                <w:tcPr>
                  <w:tcW w:w="1500" w:type="dxa"/>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8111" w:type="dxa"/>
                  <w:tcBorders>
                    <w:tl2br w:val="nil"/>
                    <w:tr2bl w:val="nil"/>
                  </w:tcBorders>
                  <w:noWrap w:val="0"/>
                  <w:vAlign w:val="center"/>
                </w:tcPr>
                <w:p>
                  <w:pPr>
                    <w:autoSpaceDE w:val="0"/>
                    <w:autoSpaceDN w:val="0"/>
                    <w:adjustRightInd w:val="0"/>
                    <w:snapToGrid w:val="0"/>
                    <w:jc w:val="both"/>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第二条铜梁高新区白土坝片区采取“腾笼换鸟”的方式，推动现有产业提档升级，发展环境影响小、风险可控的产业。</w:t>
                  </w:r>
                </w:p>
              </w:tc>
              <w:tc>
                <w:tcPr>
                  <w:tcW w:w="2649" w:type="dxa"/>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项目位于侣俸镇工业聚集区</w:t>
                  </w:r>
                </w:p>
              </w:tc>
              <w:tc>
                <w:tcPr>
                  <w:tcW w:w="0" w:type="auto"/>
                  <w:tcBorders>
                    <w:righ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vMerge w:val="continue"/>
                  <w:tcBorders>
                    <w:lef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1500" w:type="dxa"/>
                  <w:vMerge w:val="restart"/>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污染物排放管控</w:t>
                  </w:r>
                </w:p>
              </w:tc>
              <w:tc>
                <w:tcPr>
                  <w:tcW w:w="8111" w:type="dxa"/>
                  <w:tcBorders>
                    <w:tl2br w:val="nil"/>
                    <w:tr2bl w:val="nil"/>
                  </w:tcBorders>
                  <w:noWrap w:val="0"/>
                  <w:vAlign w:val="center"/>
                </w:tcPr>
                <w:p>
                  <w:pPr>
                    <w:autoSpaceDE w:val="0"/>
                    <w:autoSpaceDN w:val="0"/>
                    <w:adjustRightInd w:val="0"/>
                    <w:snapToGrid w:val="0"/>
                    <w:jc w:val="both"/>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 xml:space="preserve">第三条城市生活污水处理厂全面达到《城镇污水处理厂污染物排放标准》（GB18919-2002）一级A排放标准，生活污水处理厂污泥无害化处置率达到85%。 </w:t>
                  </w:r>
                </w:p>
              </w:tc>
              <w:tc>
                <w:tcPr>
                  <w:tcW w:w="2649" w:type="dxa"/>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项目</w:t>
                  </w:r>
                  <w:r>
                    <w:rPr>
                      <w:rFonts w:hint="eastAsia" w:ascii="Times New Roman" w:hAnsi="Times New Roman" w:eastAsia="宋体" w:cs="Times New Roman"/>
                      <w:color w:val="auto"/>
                      <w:kern w:val="0"/>
                      <w:sz w:val="21"/>
                      <w:szCs w:val="21"/>
                      <w:highlight w:val="none"/>
                      <w:lang w:val="en-US" w:eastAsia="zh-CN"/>
                    </w:rPr>
                    <w:t>属于</w:t>
                  </w:r>
                  <w:r>
                    <w:rPr>
                      <w:rFonts w:hint="eastAsia"/>
                      <w:color w:val="auto"/>
                      <w:sz w:val="21"/>
                      <w:szCs w:val="21"/>
                      <w:highlight w:val="none"/>
                      <w:lang w:val="en-US" w:eastAsia="zh-CN"/>
                    </w:rPr>
                    <w:t>塑料包装箱及容器制造</w:t>
                  </w:r>
                  <w:r>
                    <w:rPr>
                      <w:rFonts w:hint="eastAsia" w:ascii="Times New Roman" w:hAnsi="Times New Roman" w:eastAsia="宋体" w:cs="Times New Roman"/>
                      <w:color w:val="auto"/>
                      <w:kern w:val="0"/>
                      <w:sz w:val="21"/>
                      <w:szCs w:val="21"/>
                      <w:highlight w:val="none"/>
                      <w:lang w:val="en-US" w:eastAsia="zh-CN"/>
                    </w:rPr>
                    <w:t>项目</w:t>
                  </w:r>
                </w:p>
              </w:tc>
              <w:tc>
                <w:tcPr>
                  <w:tcW w:w="0" w:type="auto"/>
                  <w:tcBorders>
                    <w:righ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vMerge w:val="continue"/>
                  <w:tcBorders>
                    <w:lef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1500" w:type="dxa"/>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8111" w:type="dxa"/>
                  <w:tcBorders>
                    <w:tl2br w:val="nil"/>
                    <w:tr2bl w:val="nil"/>
                  </w:tcBorders>
                  <w:noWrap w:val="0"/>
                  <w:vAlign w:val="center"/>
                </w:tcPr>
                <w:p>
                  <w:pPr>
                    <w:autoSpaceDE w:val="0"/>
                    <w:autoSpaceDN w:val="0"/>
                    <w:adjustRightInd w:val="0"/>
                    <w:snapToGrid w:val="0"/>
                    <w:jc w:val="both"/>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第四条持续推进企业大气污染防治。二氧化硫、氮氧化物、颗粒物、VOCs严格执行大气污染物特别排放限值，鼓励辖区内水泥、烧结砖瓦窑企业错峰生产。</w:t>
                  </w:r>
                </w:p>
              </w:tc>
              <w:tc>
                <w:tcPr>
                  <w:tcW w:w="2649" w:type="dxa"/>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项目运营期废气经治理后可实现达标排放</w:t>
                  </w:r>
                </w:p>
              </w:tc>
              <w:tc>
                <w:tcPr>
                  <w:tcW w:w="0" w:type="auto"/>
                  <w:tcBorders>
                    <w:righ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vMerge w:val="continue"/>
                  <w:tcBorders>
                    <w:lef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1500" w:type="dxa"/>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8111" w:type="dxa"/>
                  <w:tcBorders>
                    <w:tl2br w:val="nil"/>
                    <w:tr2bl w:val="nil"/>
                  </w:tcBorders>
                  <w:noWrap w:val="0"/>
                  <w:vAlign w:val="center"/>
                </w:tcPr>
                <w:p>
                  <w:pPr>
                    <w:autoSpaceDE w:val="0"/>
                    <w:autoSpaceDN w:val="0"/>
                    <w:adjustRightInd w:val="0"/>
                    <w:snapToGrid w:val="0"/>
                    <w:jc w:val="both"/>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第五条新建、改建、扩建涉VOCs的项目，要加强源头控制，使用低（无）VOCs含量的原辅料，加强废气收集，安装高效治理设施。</w:t>
                  </w:r>
                </w:p>
              </w:tc>
              <w:tc>
                <w:tcPr>
                  <w:tcW w:w="2649" w:type="dxa"/>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yellow"/>
                      <w:lang w:val="en-US" w:eastAsia="zh-CN"/>
                    </w:rPr>
                  </w:pPr>
                  <w:r>
                    <w:rPr>
                      <w:rFonts w:hint="eastAsia" w:cs="Times New Roman"/>
                      <w:color w:val="auto"/>
                      <w:kern w:val="0"/>
                      <w:sz w:val="21"/>
                      <w:szCs w:val="21"/>
                      <w:highlight w:val="none"/>
                      <w:lang w:val="en-US" w:eastAsia="zh-CN"/>
                    </w:rPr>
                    <w:t>项目运营期废气经治理后可实现达标排放</w:t>
                  </w:r>
                </w:p>
              </w:tc>
              <w:tc>
                <w:tcPr>
                  <w:tcW w:w="0" w:type="auto"/>
                  <w:tcBorders>
                    <w:righ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yellow"/>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vMerge w:val="continue"/>
                  <w:tcBorders>
                    <w:lef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1500" w:type="dxa"/>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8111" w:type="dxa"/>
                  <w:tcBorders>
                    <w:tl2br w:val="nil"/>
                    <w:tr2bl w:val="nil"/>
                  </w:tcBorders>
                  <w:noWrap w:val="0"/>
                  <w:vAlign w:val="center"/>
                </w:tcPr>
                <w:p>
                  <w:pPr>
                    <w:autoSpaceDE w:val="0"/>
                    <w:autoSpaceDN w:val="0"/>
                    <w:adjustRightInd w:val="0"/>
                    <w:snapToGrid w:val="0"/>
                    <w:jc w:val="both"/>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第六条持续推进小安溪综合整治，加强农业面源污染防治；加快农村分散污水有效处理，推进农村生活垃圾进行集中收集并转运统一处置。</w:t>
                  </w:r>
                </w:p>
              </w:tc>
              <w:tc>
                <w:tcPr>
                  <w:tcW w:w="2649" w:type="dxa"/>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项目</w:t>
                  </w:r>
                  <w:r>
                    <w:rPr>
                      <w:rFonts w:hint="eastAsia" w:ascii="Times New Roman" w:hAnsi="Times New Roman" w:eastAsia="宋体" w:cs="Times New Roman"/>
                      <w:color w:val="auto"/>
                      <w:kern w:val="0"/>
                      <w:sz w:val="21"/>
                      <w:szCs w:val="21"/>
                      <w:highlight w:val="none"/>
                      <w:lang w:val="en-US" w:eastAsia="zh-CN"/>
                    </w:rPr>
                    <w:t>属于</w:t>
                  </w:r>
                  <w:r>
                    <w:rPr>
                      <w:rFonts w:hint="eastAsia"/>
                      <w:color w:val="auto"/>
                      <w:sz w:val="21"/>
                      <w:szCs w:val="21"/>
                      <w:highlight w:val="none"/>
                      <w:lang w:val="en-US" w:eastAsia="zh-CN"/>
                    </w:rPr>
                    <w:t>塑料包装箱及容器制造</w:t>
                  </w:r>
                  <w:r>
                    <w:rPr>
                      <w:rFonts w:hint="eastAsia" w:ascii="Times New Roman" w:hAnsi="Times New Roman" w:eastAsia="宋体" w:cs="Times New Roman"/>
                      <w:color w:val="auto"/>
                      <w:kern w:val="0"/>
                      <w:sz w:val="21"/>
                      <w:szCs w:val="21"/>
                      <w:highlight w:val="none"/>
                      <w:lang w:val="en-US" w:eastAsia="zh-CN"/>
                    </w:rPr>
                    <w:t>项目</w:t>
                  </w:r>
                </w:p>
              </w:tc>
              <w:tc>
                <w:tcPr>
                  <w:tcW w:w="0" w:type="auto"/>
                  <w:tcBorders>
                    <w:righ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yellow"/>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vMerge w:val="continue"/>
                  <w:tcBorders>
                    <w:lef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1500" w:type="dxa"/>
                  <w:vMerge w:val="continue"/>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8111" w:type="dxa"/>
                  <w:tcBorders>
                    <w:tl2br w:val="nil"/>
                    <w:tr2bl w:val="nil"/>
                  </w:tcBorders>
                  <w:noWrap w:val="0"/>
                  <w:vAlign w:val="center"/>
                </w:tcPr>
                <w:p>
                  <w:pPr>
                    <w:autoSpaceDE w:val="0"/>
                    <w:autoSpaceDN w:val="0"/>
                    <w:adjustRightInd w:val="0"/>
                    <w:snapToGrid w:val="0"/>
                    <w:jc w:val="both"/>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第七条严格落实畜禽养殖规划，取缔或搬迁流小安溪流域禁养区畜禽养殖场。</w:t>
                  </w:r>
                </w:p>
              </w:tc>
              <w:tc>
                <w:tcPr>
                  <w:tcW w:w="2649" w:type="dxa"/>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不涉及</w:t>
                  </w:r>
                </w:p>
              </w:tc>
              <w:tc>
                <w:tcPr>
                  <w:tcW w:w="0" w:type="auto"/>
                  <w:tcBorders>
                    <w:righ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yellow"/>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vMerge w:val="continue"/>
                  <w:tcBorders>
                    <w:lef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1500" w:type="dxa"/>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环境风险防控</w:t>
                  </w:r>
                </w:p>
              </w:tc>
              <w:tc>
                <w:tcPr>
                  <w:tcW w:w="8111" w:type="dxa"/>
                  <w:tcBorders>
                    <w:tl2br w:val="nil"/>
                    <w:tr2bl w:val="nil"/>
                  </w:tcBorders>
                  <w:noWrap w:val="0"/>
                  <w:vAlign w:val="center"/>
                </w:tcPr>
                <w:p>
                  <w:pPr>
                    <w:autoSpaceDE w:val="0"/>
                    <w:autoSpaceDN w:val="0"/>
                    <w:adjustRightInd w:val="0"/>
                    <w:snapToGrid w:val="0"/>
                    <w:jc w:val="both"/>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第八条生产、存储危险化学品及产生大量废水的企业，应配套有效措施，防止因渗漏污染地下水、土壤，以及因事故废水直排污染地表水体</w:t>
                  </w:r>
                </w:p>
              </w:tc>
              <w:tc>
                <w:tcPr>
                  <w:tcW w:w="2649" w:type="dxa"/>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项目</w:t>
                  </w:r>
                  <w:r>
                    <w:rPr>
                      <w:rFonts w:hint="eastAsia" w:ascii="Times New Roman" w:hAnsi="Times New Roman" w:eastAsia="宋体" w:cs="Times New Roman"/>
                      <w:color w:val="auto"/>
                      <w:kern w:val="0"/>
                      <w:sz w:val="21"/>
                      <w:szCs w:val="21"/>
                      <w:highlight w:val="none"/>
                      <w:lang w:val="en-US" w:eastAsia="zh-CN"/>
                    </w:rPr>
                    <w:t>属于</w:t>
                  </w:r>
                  <w:r>
                    <w:rPr>
                      <w:rFonts w:hint="eastAsia"/>
                      <w:color w:val="auto"/>
                      <w:sz w:val="21"/>
                      <w:szCs w:val="21"/>
                      <w:highlight w:val="none"/>
                      <w:lang w:val="en-US" w:eastAsia="zh-CN"/>
                    </w:rPr>
                    <w:t>塑料包装箱及容器制造</w:t>
                  </w:r>
                  <w:r>
                    <w:rPr>
                      <w:rFonts w:hint="eastAsia" w:ascii="Times New Roman" w:hAnsi="Times New Roman" w:eastAsia="宋体" w:cs="Times New Roman"/>
                      <w:color w:val="auto"/>
                      <w:kern w:val="0"/>
                      <w:sz w:val="21"/>
                      <w:szCs w:val="21"/>
                      <w:highlight w:val="none"/>
                      <w:lang w:val="en-US" w:eastAsia="zh-CN"/>
                    </w:rPr>
                    <w:t>项目</w:t>
                  </w:r>
                </w:p>
              </w:tc>
              <w:tc>
                <w:tcPr>
                  <w:tcW w:w="0" w:type="auto"/>
                  <w:tcBorders>
                    <w:righ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vMerge w:val="continue"/>
                  <w:tcBorders>
                    <w:lef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1500" w:type="dxa"/>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资源利用效率</w:t>
                  </w:r>
                </w:p>
              </w:tc>
              <w:tc>
                <w:tcPr>
                  <w:tcW w:w="8111" w:type="dxa"/>
                  <w:tcBorders>
                    <w:tl2br w:val="nil"/>
                    <w:tr2bl w:val="nil"/>
                  </w:tcBorders>
                  <w:noWrap w:val="0"/>
                  <w:vAlign w:val="center"/>
                </w:tcPr>
                <w:p>
                  <w:pPr>
                    <w:autoSpaceDE w:val="0"/>
                    <w:autoSpaceDN w:val="0"/>
                    <w:adjustRightInd w:val="0"/>
                    <w:snapToGrid w:val="0"/>
                    <w:jc w:val="both"/>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第九条推行节水措施和中水回用提高水资源回用率，鼓励工业企业提高中水回用率。</w:t>
                  </w:r>
                </w:p>
              </w:tc>
              <w:tc>
                <w:tcPr>
                  <w:tcW w:w="2649" w:type="dxa"/>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项目运营期间接冷却水循环使用，不外排</w:t>
                  </w:r>
                </w:p>
              </w:tc>
              <w:tc>
                <w:tcPr>
                  <w:tcW w:w="0" w:type="auto"/>
                  <w:tcBorders>
                    <w:righ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vMerge w:val="restart"/>
                  <w:tcBorders>
                    <w:lef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单元管控要求</w:t>
                  </w:r>
                </w:p>
              </w:tc>
              <w:tc>
                <w:tcPr>
                  <w:tcW w:w="1500" w:type="dxa"/>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空间布局约束</w:t>
                  </w:r>
                </w:p>
              </w:tc>
              <w:tc>
                <w:tcPr>
                  <w:tcW w:w="8111" w:type="dxa"/>
                  <w:tcBorders>
                    <w:tl2br w:val="nil"/>
                    <w:tr2bl w:val="nil"/>
                  </w:tcBorders>
                  <w:noWrap w:val="0"/>
                  <w:vAlign w:val="center"/>
                </w:tcPr>
                <w:p>
                  <w:pPr>
                    <w:autoSpaceDE w:val="0"/>
                    <w:autoSpaceDN w:val="0"/>
                    <w:adjustRightInd w:val="0"/>
                    <w:snapToGrid w:val="0"/>
                    <w:jc w:val="both"/>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合理布局涉及VOCs排放的企业，远离居住区，预留环境防护距离。侣俸小企业创业基地开发建设过程中注意控制开发边界，不得侵占生态保护红线和一般生态空间。</w:t>
                  </w:r>
                </w:p>
              </w:tc>
              <w:tc>
                <w:tcPr>
                  <w:tcW w:w="2649" w:type="dxa"/>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项目运营期租赁闲置厂房，不新增用地，废气经治理后可实现达标排放</w:t>
                  </w:r>
                </w:p>
              </w:tc>
              <w:tc>
                <w:tcPr>
                  <w:tcW w:w="0" w:type="auto"/>
                  <w:tcBorders>
                    <w:righ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vMerge w:val="continue"/>
                  <w:tcBorders>
                    <w:lef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1500" w:type="dxa"/>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污染物排放管控</w:t>
                  </w:r>
                </w:p>
              </w:tc>
              <w:tc>
                <w:tcPr>
                  <w:tcW w:w="8111" w:type="dxa"/>
                  <w:tcBorders>
                    <w:tl2br w:val="nil"/>
                    <w:tr2bl w:val="nil"/>
                  </w:tcBorders>
                  <w:noWrap w:val="0"/>
                  <w:vAlign w:val="center"/>
                </w:tcPr>
                <w:p>
                  <w:pPr>
                    <w:autoSpaceDE w:val="0"/>
                    <w:autoSpaceDN w:val="0"/>
                    <w:adjustRightInd w:val="0"/>
                    <w:snapToGrid w:val="0"/>
                    <w:jc w:val="both"/>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持续推进企业大气污染防治，加强涉及挥发性有机物排放企业的VOCs的治理，新建涉及喷涂的建设项目鼓励使用环保涂料</w:t>
                  </w:r>
                </w:p>
              </w:tc>
              <w:tc>
                <w:tcPr>
                  <w:tcW w:w="2649" w:type="dxa"/>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项目运营期废气经治理后可实现达标排放</w:t>
                  </w:r>
                </w:p>
              </w:tc>
              <w:tc>
                <w:tcPr>
                  <w:tcW w:w="0" w:type="auto"/>
                  <w:tcBorders>
                    <w:righ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vMerge w:val="continue"/>
                  <w:tcBorders>
                    <w:lef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rPr>
                  </w:pPr>
                </w:p>
              </w:tc>
              <w:tc>
                <w:tcPr>
                  <w:tcW w:w="1500" w:type="dxa"/>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环境风险防控</w:t>
                  </w:r>
                </w:p>
              </w:tc>
              <w:tc>
                <w:tcPr>
                  <w:tcW w:w="8111" w:type="dxa"/>
                  <w:tcBorders>
                    <w:tl2br w:val="nil"/>
                    <w:tr2bl w:val="nil"/>
                  </w:tcBorders>
                  <w:noWrap w:val="0"/>
                  <w:vAlign w:val="center"/>
                </w:tcPr>
                <w:p>
                  <w:pPr>
                    <w:autoSpaceDE w:val="0"/>
                    <w:autoSpaceDN w:val="0"/>
                    <w:adjustRightInd w:val="0"/>
                    <w:snapToGrid w:val="0"/>
                    <w:jc w:val="both"/>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小企业基地应开展环境影响评价工作，并建立环境风险防控体系。生产、存储危险化学品及产生大量废水的企业，应配套有效措施，防止因渗漏污染地下水、土壤，以及因事故废水直排污染地表水体。产生、利用或处置固体废物（含危险废物）的企业，在贮存、转移、利用、处置固体废物（含危险废物）过程中，应配套防扬散、防流失、防渗漏及其他防止污染环境的措施</w:t>
                  </w:r>
                </w:p>
              </w:tc>
              <w:tc>
                <w:tcPr>
                  <w:tcW w:w="2649" w:type="dxa"/>
                  <w:tcBorders>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项目建成后有完善的风险防控体系，项目不生产及储存危化品，运营期产生的固废采取妥善措施后不会对环境产生二次污染</w:t>
                  </w:r>
                </w:p>
              </w:tc>
              <w:tc>
                <w:tcPr>
                  <w:tcW w:w="0" w:type="auto"/>
                  <w:tcBorders>
                    <w:righ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9" w:type="dxa"/>
                  <w:vMerge w:val="continue"/>
                  <w:tcBorders>
                    <w:left w:val="single" w:color="auto" w:sz="4" w:space="0"/>
                    <w:bottom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rPr>
                  </w:pPr>
                </w:p>
              </w:tc>
              <w:tc>
                <w:tcPr>
                  <w:tcW w:w="1500" w:type="dxa"/>
                  <w:tcBorders>
                    <w:bottom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资源开发利用效率</w:t>
                  </w:r>
                </w:p>
              </w:tc>
              <w:tc>
                <w:tcPr>
                  <w:tcW w:w="8111" w:type="dxa"/>
                  <w:tcBorders>
                    <w:bottom w:val="single" w:color="auto" w:sz="4" w:space="0"/>
                    <w:tl2br w:val="nil"/>
                    <w:tr2bl w:val="nil"/>
                  </w:tcBorders>
                  <w:noWrap w:val="0"/>
                  <w:vAlign w:val="center"/>
                </w:tcPr>
                <w:p>
                  <w:pPr>
                    <w:autoSpaceDE w:val="0"/>
                    <w:autoSpaceDN w:val="0"/>
                    <w:adjustRightInd w:val="0"/>
                    <w:snapToGrid w:val="0"/>
                    <w:jc w:val="both"/>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推行节水措施和中水回用提高水资源回用率</w:t>
                  </w:r>
                </w:p>
              </w:tc>
              <w:tc>
                <w:tcPr>
                  <w:tcW w:w="2649" w:type="dxa"/>
                  <w:tcBorders>
                    <w:bottom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项目运营期间接冷却水循环使用，不外排</w:t>
                  </w:r>
                </w:p>
              </w:tc>
              <w:tc>
                <w:tcPr>
                  <w:tcW w:w="0" w:type="auto"/>
                  <w:tcBorders>
                    <w:bottom w:val="single" w:color="auto" w:sz="4" w:space="0"/>
                    <w:right w:val="single" w:color="auto" w:sz="4" w:space="0"/>
                    <w:tl2br w:val="nil"/>
                    <w:tr2bl w:val="nil"/>
                  </w:tcBorders>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符合</w:t>
                  </w:r>
                </w:p>
              </w:tc>
            </w:tr>
          </w:tbl>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Cs/>
                <w:snapToGrid w:val="0"/>
                <w:color w:val="auto"/>
                <w:kern w:val="0"/>
                <w:sz w:val="24"/>
                <w:highlight w:val="none"/>
                <w:lang w:val="en-US" w:eastAsia="zh-CN"/>
              </w:rPr>
            </w:pPr>
            <w:r>
              <w:rPr>
                <w:rFonts w:hint="eastAsia" w:cs="Times New Roman"/>
                <w:b w:val="0"/>
                <w:bCs/>
                <w:snapToGrid w:val="0"/>
                <w:color w:val="auto"/>
                <w:kern w:val="0"/>
                <w:sz w:val="24"/>
                <w:highlight w:val="none"/>
                <w:lang w:val="en-US" w:eastAsia="zh-CN"/>
              </w:rPr>
              <w:t>综上分析，本项目符合重庆市、铜梁区及管控单元“三线一单”相关的管控要求。</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Cs/>
                <w:snapToGrid w:val="0"/>
                <w:color w:val="auto"/>
                <w:kern w:val="0"/>
                <w:sz w:val="24"/>
                <w:highlight w:val="yellow"/>
                <w:lang w:val="en-US" w:eastAsia="zh-CN"/>
              </w:rPr>
            </w:pP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Cs/>
                <w:snapToGrid w:val="0"/>
                <w:color w:val="auto"/>
                <w:kern w:val="0"/>
                <w:sz w:val="24"/>
                <w:highlight w:val="yellow"/>
                <w:lang w:val="en-US" w:eastAsia="zh-CN"/>
              </w:rPr>
            </w:pP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Cs/>
                <w:snapToGrid w:val="0"/>
                <w:color w:val="auto"/>
                <w:kern w:val="0"/>
                <w:sz w:val="24"/>
                <w:highlight w:val="yellow"/>
                <w:lang w:val="en-US" w:eastAsia="zh-CN"/>
              </w:rPr>
            </w:pP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Cs/>
                <w:snapToGrid w:val="0"/>
                <w:color w:val="auto"/>
                <w:kern w:val="0"/>
                <w:sz w:val="24"/>
                <w:highlight w:val="yellow"/>
                <w:lang w:val="en-US" w:eastAsia="zh-CN"/>
              </w:rPr>
            </w:pP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Cs/>
                <w:snapToGrid w:val="0"/>
                <w:color w:val="auto"/>
                <w:kern w:val="0"/>
                <w:sz w:val="24"/>
                <w:highlight w:val="yellow"/>
                <w:lang w:val="en-US" w:eastAsia="zh-CN"/>
              </w:rPr>
            </w:pP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Cs/>
                <w:snapToGrid w:val="0"/>
                <w:color w:val="auto"/>
                <w:kern w:val="0"/>
                <w:sz w:val="24"/>
                <w:highlight w:val="yellow"/>
                <w:lang w:val="en-US" w:eastAsia="zh-CN"/>
              </w:rPr>
            </w:pP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Cs/>
                <w:snapToGrid w:val="0"/>
                <w:color w:val="auto"/>
                <w:kern w:val="0"/>
                <w:sz w:val="24"/>
                <w:highlight w:val="yellow"/>
                <w:lang w:val="en-US" w:eastAsia="zh-CN"/>
              </w:rPr>
            </w:pP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Cs/>
                <w:snapToGrid w:val="0"/>
                <w:color w:val="auto"/>
                <w:kern w:val="0"/>
                <w:sz w:val="24"/>
                <w:highlight w:val="yellow"/>
                <w:lang w:val="en-US" w:eastAsia="zh-CN"/>
              </w:rPr>
            </w:pP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Cs/>
                <w:snapToGrid w:val="0"/>
                <w:color w:val="auto"/>
                <w:kern w:val="0"/>
                <w:sz w:val="24"/>
                <w:highlight w:val="yellow"/>
                <w:lang w:val="en-US" w:eastAsia="zh-CN"/>
              </w:rPr>
            </w:pP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Cs/>
                <w:snapToGrid w:val="0"/>
                <w:color w:val="auto"/>
                <w:kern w:val="0"/>
                <w:sz w:val="24"/>
                <w:highlight w:val="yellow"/>
                <w:lang w:val="en-US" w:eastAsia="zh-CN"/>
              </w:rPr>
            </w:pP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Cs/>
                <w:snapToGrid w:val="0"/>
                <w:color w:val="auto"/>
                <w:kern w:val="0"/>
                <w:sz w:val="24"/>
                <w:highlight w:val="yellow"/>
                <w:lang w:val="en-US" w:eastAsia="zh-CN"/>
              </w:rPr>
            </w:pP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Cs/>
                <w:snapToGrid w:val="0"/>
                <w:color w:val="auto"/>
                <w:kern w:val="0"/>
                <w:sz w:val="24"/>
                <w:highlight w:val="yellow"/>
                <w:lang w:val="en-US" w:eastAsia="zh-CN"/>
              </w:rPr>
            </w:pP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20" w:firstLineChars="200"/>
              <w:textAlignment w:val="auto"/>
              <w:rPr>
                <w:rFonts w:hint="eastAsia" w:eastAsia="宋体"/>
                <w:color w:val="auto"/>
                <w:highlight w:val="yellow"/>
                <w:vertAlign w:val="baseline"/>
                <w:lang w:val="en-US" w:eastAsia="zh-CN"/>
              </w:rPr>
            </w:pPr>
          </w:p>
        </w:tc>
      </w:tr>
    </w:tbl>
    <w:p>
      <w:pPr>
        <w:rPr>
          <w:color w:val="auto"/>
          <w:highlight w:val="yellow"/>
        </w:rPr>
        <w:sectPr>
          <w:pgSz w:w="16838" w:h="11906" w:orient="landscape"/>
          <w:pgMar w:top="1800" w:right="1440" w:bottom="1800" w:left="1440" w:header="851" w:footer="992" w:gutter="0"/>
          <w:pgNumType w:fmt="decimal"/>
          <w:cols w:space="425" w:num="1"/>
          <w:docGrid w:type="lines" w:linePitch="312" w:charSpace="0"/>
        </w:sectPr>
      </w:pPr>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91"/>
        <w:gridCol w:w="78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51" w:hRule="atLeast"/>
          <w:jc w:val="center"/>
        </w:trPr>
        <w:tc>
          <w:tcPr>
            <w:tcW w:w="991" w:type="dxa"/>
            <w:noWrap w:val="0"/>
            <w:vAlign w:val="center"/>
          </w:tcPr>
          <w:p>
            <w:pPr>
              <w:adjustRightInd w:val="0"/>
              <w:snapToGrid w:val="0"/>
              <w:spacing w:line="360" w:lineRule="auto"/>
              <w:rPr>
                <w:rFonts w:hint="default" w:ascii="宋体" w:hAnsi="宋体" w:eastAsia="宋体" w:cs="宋体"/>
                <w:color w:val="auto"/>
                <w:sz w:val="24"/>
                <w:highlight w:val="yellow"/>
                <w:lang w:val="en-US" w:eastAsia="zh-CN"/>
              </w:rPr>
            </w:pPr>
            <w:r>
              <w:rPr>
                <w:rFonts w:hint="eastAsia" w:ascii="宋体" w:hAnsi="宋体" w:cs="宋体"/>
                <w:color w:val="auto"/>
                <w:sz w:val="24"/>
                <w:highlight w:val="none"/>
                <w:lang w:val="en-US" w:eastAsia="zh-CN"/>
              </w:rPr>
              <w:t>其他符合性分析</w:t>
            </w:r>
          </w:p>
        </w:tc>
        <w:tc>
          <w:tcPr>
            <w:tcW w:w="7879" w:type="dxa"/>
            <w:noWrap w:val="0"/>
            <w:vAlign w:val="top"/>
          </w:tcPr>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b w:val="0"/>
                <w:bCs/>
                <w:snapToGrid w:val="0"/>
                <w:color w:val="auto"/>
                <w:kern w:val="0"/>
                <w:sz w:val="24"/>
                <w:lang w:val="en-US" w:eastAsia="zh-CN"/>
              </w:rPr>
            </w:pPr>
            <w:r>
              <w:rPr>
                <w:rFonts w:hint="default" w:ascii="Times New Roman" w:hAnsi="Times New Roman" w:eastAsia="宋体" w:cs="Times New Roman"/>
                <w:b w:val="0"/>
                <w:bCs/>
                <w:snapToGrid w:val="0"/>
                <w:color w:val="auto"/>
                <w:kern w:val="0"/>
                <w:sz w:val="24"/>
                <w:lang w:val="en-US" w:eastAsia="zh-CN"/>
              </w:rPr>
              <w:t>1.</w:t>
            </w:r>
            <w:r>
              <w:rPr>
                <w:rFonts w:hint="eastAsia" w:cs="Times New Roman"/>
                <w:b w:val="0"/>
                <w:bCs/>
                <w:snapToGrid w:val="0"/>
                <w:color w:val="auto"/>
                <w:kern w:val="0"/>
                <w:sz w:val="24"/>
                <w:lang w:val="en-US" w:eastAsia="zh-CN"/>
              </w:rPr>
              <w:t>3</w:t>
            </w:r>
            <w:r>
              <w:rPr>
                <w:rFonts w:hint="default" w:ascii="Times New Roman" w:hAnsi="Times New Roman" w:eastAsia="宋体" w:cs="Times New Roman"/>
                <w:b w:val="0"/>
                <w:bCs/>
                <w:snapToGrid w:val="0"/>
                <w:color w:val="auto"/>
                <w:kern w:val="0"/>
                <w:sz w:val="24"/>
                <w:lang w:val="en-US" w:eastAsia="zh-CN"/>
              </w:rPr>
              <w:t>与《重庆市发展和改革委员会重庆市经济和信息化委员会关于严格工业布局和准入的通知》（渝发改工）【2018】781号符合性分析</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b w:val="0"/>
                <w:bCs/>
                <w:snapToGrid w:val="0"/>
                <w:color w:val="auto"/>
                <w:kern w:val="0"/>
                <w:sz w:val="24"/>
                <w:lang w:val="en-US" w:eastAsia="zh-CN"/>
              </w:rPr>
            </w:pPr>
            <w:r>
              <w:rPr>
                <w:rFonts w:hint="default" w:ascii="Times New Roman" w:hAnsi="Times New Roman" w:eastAsia="宋体" w:cs="Times New Roman"/>
                <w:b w:val="0"/>
                <w:bCs/>
                <w:snapToGrid w:val="0"/>
                <w:color w:val="auto"/>
                <w:kern w:val="0"/>
                <w:sz w:val="24"/>
                <w:lang w:val="en-US" w:eastAsia="zh-CN"/>
              </w:rPr>
              <w:t>根据《重庆市发展和改革委员会重庆市经济和信息化委员会关于严格工业布局和准入的通知》（渝发改工[2018]781号），项目符合性分析见</w:t>
            </w:r>
            <w:r>
              <w:rPr>
                <w:rFonts w:hint="eastAsia" w:ascii="Times New Roman" w:hAnsi="Times New Roman" w:eastAsia="宋体" w:cs="Times New Roman"/>
                <w:b w:val="0"/>
                <w:bCs/>
                <w:snapToGrid w:val="0"/>
                <w:color w:val="auto"/>
                <w:kern w:val="0"/>
                <w:sz w:val="24"/>
                <w:lang w:val="en-US" w:eastAsia="zh-CN"/>
              </w:rPr>
              <w:t>下</w:t>
            </w:r>
            <w:r>
              <w:rPr>
                <w:rFonts w:hint="default" w:ascii="Times New Roman" w:hAnsi="Times New Roman" w:eastAsia="宋体" w:cs="Times New Roman"/>
                <w:b w:val="0"/>
                <w:bCs/>
                <w:snapToGrid w:val="0"/>
                <w:color w:val="auto"/>
                <w:kern w:val="0"/>
                <w:sz w:val="24"/>
                <w:lang w:val="en-US" w:eastAsia="zh-CN"/>
              </w:rPr>
              <w:t>表。</w:t>
            </w:r>
          </w:p>
          <w:p>
            <w:pPr>
              <w:keepNext w:val="0"/>
              <w:keepLines w:val="0"/>
              <w:pageBreakBefore w:val="0"/>
              <w:widowControl/>
              <w:kinsoku/>
              <w:wordWrap/>
              <w:overflowPunct/>
              <w:topLinePunct w:val="0"/>
              <w:autoSpaceDE/>
              <w:autoSpaceDN/>
              <w:bidi w:val="0"/>
              <w:adjustRightInd w:val="0"/>
              <w:snapToGrid/>
              <w:spacing w:line="360" w:lineRule="auto"/>
              <w:ind w:firstLine="0" w:firstLineChars="0"/>
              <w:jc w:val="center"/>
              <w:textAlignment w:val="auto"/>
              <w:rPr>
                <w:rFonts w:hint="default" w:ascii="Times New Roman" w:hAnsi="Times New Roman" w:eastAsia="宋体" w:cs="Times New Roman"/>
                <w:bCs/>
                <w:snapToGrid w:val="0"/>
                <w:color w:val="auto"/>
                <w:kern w:val="0"/>
                <w:sz w:val="24"/>
                <w:lang w:val="en-US" w:eastAsia="zh-CN"/>
              </w:rPr>
            </w:pPr>
            <w:r>
              <w:rPr>
                <w:rFonts w:hint="default" w:ascii="Times New Roman" w:hAnsi="Times New Roman" w:eastAsia="宋体" w:cs="Times New Roman"/>
                <w:bCs/>
                <w:snapToGrid w:val="0"/>
                <w:color w:val="auto"/>
                <w:kern w:val="0"/>
                <w:sz w:val="24"/>
                <w:lang w:val="en-US" w:eastAsia="zh-CN"/>
              </w:rPr>
              <w:t>表</w:t>
            </w:r>
            <w:r>
              <w:rPr>
                <w:rFonts w:hint="eastAsia" w:cs="Times New Roman"/>
                <w:bCs/>
                <w:snapToGrid w:val="0"/>
                <w:color w:val="auto"/>
                <w:kern w:val="0"/>
                <w:sz w:val="24"/>
                <w:lang w:val="en-US" w:eastAsia="zh-CN"/>
              </w:rPr>
              <w:t xml:space="preserve">1-6  </w:t>
            </w:r>
            <w:r>
              <w:rPr>
                <w:rFonts w:hint="default" w:ascii="Times New Roman" w:hAnsi="Times New Roman" w:eastAsia="宋体" w:cs="Times New Roman"/>
                <w:bCs/>
                <w:snapToGrid w:val="0"/>
                <w:color w:val="auto"/>
                <w:kern w:val="0"/>
                <w:sz w:val="24"/>
                <w:lang w:val="en-US" w:eastAsia="zh-CN"/>
              </w:rPr>
              <w:t>与严格工业布局和准入符合性分析</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5"/>
              <w:gridCol w:w="2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通知要求</w:t>
                  </w:r>
                </w:p>
              </w:tc>
              <w:tc>
                <w:tcPr>
                  <w:tcW w:w="227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52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对在长江干流及主要支流岸线1公里范围内新建重化工、纺织、造纸等存在污染风险的工业项目，不得办理项目核准或备案手续。禁止在长江干流及主要支流岸线5公里范围内新布局工业园区，有序推进现有工业园区空间布局的调整优化。</w:t>
                  </w:r>
                </w:p>
              </w:tc>
              <w:tc>
                <w:tcPr>
                  <w:tcW w:w="227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项目</w:t>
                  </w:r>
                  <w:r>
                    <w:rPr>
                      <w:rFonts w:hint="default" w:ascii="Times New Roman" w:hAnsi="Times New Roman" w:eastAsia="宋体" w:cs="Times New Roman"/>
                      <w:color w:val="auto"/>
                      <w:szCs w:val="21"/>
                      <w:shd w:val="clear" w:color="auto" w:fill="auto"/>
                      <w:lang w:val="en-US" w:eastAsia="zh-CN"/>
                    </w:rPr>
                    <w:t>不属于重化工、纺织、造纸等存在污染风险的工业项目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52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新建有污染物排放的工业项目，除在安全生产或者产业布局等方面有特殊要求外，应当进入工业园区（工业集聚区，下同）。对未进入工业园区的项目，或在工业园区（工业集聚区）以外区域实施单纯增加产能的技改（扩建）的项目，不得办理项目核准或备案手续。</w:t>
                  </w:r>
                </w:p>
              </w:tc>
              <w:tc>
                <w:tcPr>
                  <w:tcW w:w="227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项目</w:t>
                  </w:r>
                  <w:r>
                    <w:rPr>
                      <w:rFonts w:hint="default" w:ascii="Times New Roman" w:hAnsi="Times New Roman" w:eastAsia="宋体" w:cs="Times New Roman"/>
                      <w:color w:val="auto"/>
                      <w:szCs w:val="21"/>
                      <w:shd w:val="clear" w:color="auto" w:fill="auto"/>
                      <w:lang w:val="en-US" w:eastAsia="zh-CN"/>
                    </w:rPr>
                    <w:t>位于</w:t>
                  </w:r>
                  <w:r>
                    <w:rPr>
                      <w:rFonts w:hint="eastAsia" w:ascii="Times New Roman" w:hAnsi="Times New Roman" w:eastAsia="宋体" w:cs="Times New Roman"/>
                      <w:color w:val="auto"/>
                      <w:szCs w:val="21"/>
                      <w:shd w:val="clear" w:color="auto" w:fill="auto"/>
                      <w:lang w:val="en-US" w:eastAsia="zh-CN"/>
                    </w:rPr>
                    <w:t>侣俸镇工业聚集区</w:t>
                  </w:r>
                  <w:r>
                    <w:rPr>
                      <w:rFonts w:hint="default" w:ascii="Times New Roman" w:hAnsi="Times New Roman" w:eastAsia="宋体" w:cs="Times New Roman"/>
                      <w:color w:val="auto"/>
                      <w:szCs w:val="21"/>
                      <w:shd w:val="clear" w:color="auto" w:fill="auto"/>
                      <w:lang w:val="en-US" w:eastAsia="zh-CN"/>
                    </w:rPr>
                    <w:t>，且已取得项目投资备案证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523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严格控制过剩产能和“两高一资”项目，严格限制造纸、印染、煤电、传统化工、传统燃油汽车、涉及重金属以及有毒有害和持久性污染物排放的项目。新建或扩建上述项目，必须符合国家及我市产业政策和布局，依法办理环境保护、安全生产、资源（能源）节约等有关手续。</w:t>
                  </w:r>
                </w:p>
              </w:tc>
              <w:tc>
                <w:tcPr>
                  <w:tcW w:w="227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项目</w:t>
                  </w:r>
                  <w:r>
                    <w:rPr>
                      <w:rFonts w:hint="default" w:ascii="Times New Roman" w:hAnsi="Times New Roman" w:eastAsia="宋体" w:cs="Times New Roman"/>
                      <w:color w:val="auto"/>
                      <w:szCs w:val="21"/>
                      <w:shd w:val="clear" w:color="auto" w:fill="auto"/>
                      <w:lang w:val="en-US" w:eastAsia="zh-CN"/>
                    </w:rPr>
                    <w:t>不属于造纸、印染、煤电、传统化工、传统燃油汽车、涉及重金属以及有毒有害和持久性污染物排放的项目</w:t>
                  </w:r>
                </w:p>
              </w:tc>
            </w:tr>
          </w:tbl>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宋体" w:cs="Times New Roman"/>
                <w:b w:val="0"/>
                <w:bCs/>
                <w:snapToGrid w:val="0"/>
                <w:color w:val="auto"/>
                <w:kern w:val="0"/>
                <w:sz w:val="24"/>
                <w:lang w:val="en-US" w:eastAsia="zh-CN"/>
              </w:rPr>
            </w:pPr>
            <w:r>
              <w:rPr>
                <w:rFonts w:hint="default" w:ascii="Times New Roman" w:hAnsi="Times New Roman" w:eastAsia="宋体" w:cs="Times New Roman"/>
                <w:b w:val="0"/>
                <w:bCs/>
                <w:snapToGrid w:val="0"/>
                <w:color w:val="auto"/>
                <w:kern w:val="0"/>
                <w:sz w:val="24"/>
                <w:lang w:val="en-US" w:eastAsia="zh-CN"/>
              </w:rPr>
              <w:t>由</w:t>
            </w:r>
            <w:r>
              <w:rPr>
                <w:rFonts w:hint="eastAsia" w:ascii="Times New Roman" w:hAnsi="Times New Roman" w:eastAsia="宋体" w:cs="Times New Roman"/>
                <w:b w:val="0"/>
                <w:bCs/>
                <w:snapToGrid w:val="0"/>
                <w:color w:val="auto"/>
                <w:kern w:val="0"/>
                <w:sz w:val="24"/>
                <w:lang w:val="en-US" w:eastAsia="zh-CN"/>
              </w:rPr>
              <w:t>上</w:t>
            </w:r>
            <w:r>
              <w:rPr>
                <w:rFonts w:hint="default" w:ascii="Times New Roman" w:hAnsi="Times New Roman" w:eastAsia="宋体" w:cs="Times New Roman"/>
                <w:b w:val="0"/>
                <w:bCs/>
                <w:snapToGrid w:val="0"/>
                <w:color w:val="auto"/>
                <w:kern w:val="0"/>
                <w:sz w:val="24"/>
                <w:lang w:val="en-US" w:eastAsia="zh-CN"/>
              </w:rPr>
              <w:t>表</w:t>
            </w:r>
            <w:r>
              <w:rPr>
                <w:rFonts w:hint="eastAsia" w:ascii="Times New Roman" w:hAnsi="Times New Roman" w:eastAsia="宋体" w:cs="Times New Roman"/>
                <w:b w:val="0"/>
                <w:bCs/>
                <w:snapToGrid w:val="0"/>
                <w:color w:val="auto"/>
                <w:kern w:val="0"/>
                <w:sz w:val="24"/>
                <w:lang w:val="en-US" w:eastAsia="zh-CN"/>
              </w:rPr>
              <w:t>分析</w:t>
            </w:r>
            <w:r>
              <w:rPr>
                <w:rFonts w:hint="default" w:ascii="Times New Roman" w:hAnsi="Times New Roman" w:eastAsia="宋体" w:cs="Times New Roman"/>
                <w:b w:val="0"/>
                <w:bCs/>
                <w:snapToGrid w:val="0"/>
                <w:color w:val="auto"/>
                <w:kern w:val="0"/>
                <w:sz w:val="24"/>
                <w:lang w:val="en-US" w:eastAsia="zh-CN"/>
              </w:rPr>
              <w:t>可知，</w:t>
            </w:r>
            <w:r>
              <w:rPr>
                <w:rFonts w:hint="eastAsia" w:ascii="Times New Roman" w:hAnsi="Times New Roman" w:eastAsia="宋体" w:cs="Times New Roman"/>
                <w:b w:val="0"/>
                <w:bCs/>
                <w:snapToGrid w:val="0"/>
                <w:color w:val="auto"/>
                <w:kern w:val="0"/>
                <w:sz w:val="24"/>
                <w:lang w:val="en-US" w:eastAsia="zh-CN"/>
              </w:rPr>
              <w:t>项目</w:t>
            </w:r>
            <w:r>
              <w:rPr>
                <w:rFonts w:hint="default" w:ascii="Times New Roman" w:hAnsi="Times New Roman" w:eastAsia="宋体" w:cs="Times New Roman"/>
                <w:b w:val="0"/>
                <w:bCs/>
                <w:snapToGrid w:val="0"/>
                <w:color w:val="auto"/>
                <w:kern w:val="0"/>
                <w:sz w:val="24"/>
                <w:lang w:val="en-US" w:eastAsia="zh-CN"/>
              </w:rPr>
              <w:t>符合《重庆市发展和改革委员会重庆市经济和信息化委员会关于严格工业布局和准入的通知》（渝发改工【2018】781号）要求，符合重庆市产业政策要求</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宋体" w:cs="Times New Roman"/>
                <w:b w:val="0"/>
                <w:bCs/>
                <w:snapToGrid w:val="0"/>
                <w:color w:val="auto"/>
                <w:kern w:val="0"/>
                <w:sz w:val="24"/>
                <w:highlight w:val="none"/>
                <w:lang w:val="en-US" w:eastAsia="zh-CN"/>
              </w:rPr>
            </w:pPr>
            <w:r>
              <w:rPr>
                <w:rFonts w:hint="eastAsia" w:ascii="Times New Roman" w:hAnsi="Times New Roman" w:eastAsia="宋体" w:cs="Times New Roman"/>
                <w:b w:val="0"/>
                <w:bCs/>
                <w:snapToGrid w:val="0"/>
                <w:color w:val="auto"/>
                <w:kern w:val="0"/>
                <w:sz w:val="24"/>
                <w:highlight w:val="none"/>
                <w:lang w:val="en-US" w:eastAsia="zh-CN"/>
              </w:rPr>
              <w:t>1.</w:t>
            </w:r>
            <w:r>
              <w:rPr>
                <w:rFonts w:hint="eastAsia" w:cs="Times New Roman"/>
                <w:b w:val="0"/>
                <w:bCs/>
                <w:snapToGrid w:val="0"/>
                <w:color w:val="auto"/>
                <w:kern w:val="0"/>
                <w:sz w:val="24"/>
                <w:highlight w:val="none"/>
                <w:lang w:val="en-US" w:eastAsia="zh-CN"/>
              </w:rPr>
              <w:t>4</w:t>
            </w:r>
            <w:r>
              <w:rPr>
                <w:rFonts w:hint="eastAsia" w:ascii="Times New Roman" w:hAnsi="Times New Roman" w:eastAsia="宋体" w:cs="Times New Roman"/>
                <w:b w:val="0"/>
                <w:bCs/>
                <w:snapToGrid w:val="0"/>
                <w:color w:val="auto"/>
                <w:kern w:val="0"/>
                <w:sz w:val="24"/>
                <w:highlight w:val="none"/>
                <w:lang w:val="en-US" w:eastAsia="zh-CN"/>
              </w:rPr>
              <w:t xml:space="preserve"> 产业政策符合性分析</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eastAsia" w:cs="Times New Roman"/>
                <w:b w:val="0"/>
                <w:bCs/>
                <w:snapToGrid w:val="0"/>
                <w:color w:val="auto"/>
                <w:kern w:val="0"/>
                <w:sz w:val="24"/>
                <w:highlight w:val="none"/>
                <w:lang w:val="en-US" w:eastAsia="zh-CN"/>
              </w:rPr>
            </w:pPr>
            <w:r>
              <w:rPr>
                <w:rFonts w:hint="eastAsia" w:cs="Times New Roman"/>
                <w:b w:val="0"/>
                <w:bCs/>
                <w:snapToGrid w:val="0"/>
                <w:color w:val="auto"/>
                <w:kern w:val="0"/>
                <w:sz w:val="24"/>
                <w:highlight w:val="none"/>
                <w:lang w:val="en-US" w:eastAsia="zh-CN"/>
              </w:rPr>
              <w:t>本项目属于</w:t>
            </w:r>
            <w:r>
              <w:rPr>
                <w:rFonts w:hint="eastAsia"/>
                <w:color w:val="auto"/>
                <w:sz w:val="24"/>
                <w:highlight w:val="none"/>
                <w:lang w:val="en-US" w:eastAsia="zh-CN"/>
              </w:rPr>
              <w:t>塑料包装箱及容器制造</w:t>
            </w:r>
            <w:r>
              <w:rPr>
                <w:rFonts w:hint="eastAsia" w:cs="Times New Roman"/>
                <w:b w:val="0"/>
                <w:bCs/>
                <w:snapToGrid w:val="0"/>
                <w:color w:val="auto"/>
                <w:kern w:val="0"/>
                <w:sz w:val="24"/>
                <w:szCs w:val="24"/>
                <w:highlight w:val="none"/>
                <w:lang w:val="en-US" w:eastAsia="zh-CN"/>
              </w:rPr>
              <w:t>项目</w:t>
            </w:r>
            <w:r>
              <w:rPr>
                <w:rFonts w:hint="eastAsia" w:cs="Times New Roman"/>
                <w:b w:val="0"/>
                <w:bCs/>
                <w:snapToGrid w:val="0"/>
                <w:color w:val="auto"/>
                <w:kern w:val="0"/>
                <w:sz w:val="24"/>
                <w:highlight w:val="none"/>
                <w:lang w:val="en-US" w:eastAsia="zh-CN"/>
              </w:rPr>
              <w:t>，不属于《产业结构调整指导目录（2019年本）》（2021修订版）规定的鼓励类、限制类、淘汰类项目，视为允许类项目。采用的生产工艺及设备均不属于《产业结构调整指导目录（2019年本）》（2021修订版）和《部分工业行业淘汰扩后生产工艺装备和产品指导目录（2010年本）》中规定的限制类和淘汰类。因此，项目符合国家现行产业政策。</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default" w:cs="Times New Roman"/>
                <w:b w:val="0"/>
                <w:bCs/>
                <w:snapToGrid w:val="0"/>
                <w:color w:val="auto"/>
                <w:kern w:val="0"/>
                <w:sz w:val="24"/>
                <w:highlight w:val="none"/>
                <w:lang w:val="en-US" w:eastAsia="zh-CN"/>
              </w:rPr>
            </w:pPr>
            <w:r>
              <w:rPr>
                <w:rFonts w:hint="eastAsia" w:cs="Times New Roman"/>
                <w:b w:val="0"/>
                <w:bCs/>
                <w:snapToGrid w:val="0"/>
                <w:color w:val="auto"/>
                <w:kern w:val="0"/>
                <w:sz w:val="24"/>
                <w:highlight w:val="none"/>
                <w:lang w:val="en-US" w:eastAsia="zh-CN"/>
              </w:rPr>
              <w:t>同时重庆市</w:t>
            </w:r>
            <w:r>
              <w:rPr>
                <w:rFonts w:hint="eastAsia"/>
                <w:color w:val="auto"/>
                <w:sz w:val="24"/>
                <w:lang w:val="en-US" w:eastAsia="zh-CN"/>
              </w:rPr>
              <w:t>铜梁区发展和改革委员会</w:t>
            </w:r>
            <w:r>
              <w:rPr>
                <w:rFonts w:hint="eastAsia" w:cs="Times New Roman"/>
                <w:b w:val="0"/>
                <w:bCs/>
                <w:snapToGrid w:val="0"/>
                <w:color w:val="auto"/>
                <w:kern w:val="0"/>
                <w:sz w:val="24"/>
                <w:highlight w:val="none"/>
                <w:lang w:val="en-US" w:eastAsia="zh-CN"/>
              </w:rPr>
              <w:t>为本项目发放了备案证（项目代码：</w:t>
            </w:r>
            <w:r>
              <w:rPr>
                <w:rFonts w:hint="eastAsia"/>
                <w:color w:val="auto"/>
                <w:sz w:val="24"/>
                <w:highlight w:val="none"/>
                <w:lang w:val="en-US" w:eastAsia="zh-CN"/>
              </w:rPr>
              <w:t>2303-500151-04-05-565483</w:t>
            </w:r>
            <w:r>
              <w:rPr>
                <w:rFonts w:hint="eastAsia" w:cs="Times New Roman"/>
                <w:b w:val="0"/>
                <w:bCs/>
                <w:snapToGrid w:val="0"/>
                <w:color w:val="auto"/>
                <w:kern w:val="0"/>
                <w:sz w:val="24"/>
                <w:highlight w:val="none"/>
                <w:lang w:val="en-US" w:eastAsia="zh-CN"/>
              </w:rPr>
              <w:t>），同意该项目建设。因此，项目建设符合国家和地方的产业政策要求。</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宋体" w:cs="Times New Roman"/>
                <w:b w:val="0"/>
                <w:bCs/>
                <w:snapToGrid w:val="0"/>
                <w:color w:val="auto"/>
                <w:kern w:val="0"/>
                <w:sz w:val="24"/>
                <w:lang w:val="en-US" w:eastAsia="zh-CN"/>
              </w:rPr>
            </w:pPr>
            <w:r>
              <w:rPr>
                <w:rFonts w:hint="eastAsia" w:ascii="Times New Roman" w:hAnsi="Times New Roman" w:eastAsia="宋体" w:cs="Times New Roman"/>
                <w:b w:val="0"/>
                <w:bCs/>
                <w:snapToGrid w:val="0"/>
                <w:color w:val="auto"/>
                <w:kern w:val="0"/>
                <w:sz w:val="24"/>
                <w:lang w:val="en-US" w:eastAsia="zh-CN"/>
              </w:rPr>
              <w:t>1.</w:t>
            </w:r>
            <w:r>
              <w:rPr>
                <w:rFonts w:hint="eastAsia" w:cs="Times New Roman"/>
                <w:b w:val="0"/>
                <w:bCs/>
                <w:snapToGrid w:val="0"/>
                <w:color w:val="auto"/>
                <w:kern w:val="0"/>
                <w:sz w:val="24"/>
                <w:lang w:val="en-US" w:eastAsia="zh-CN"/>
              </w:rPr>
              <w:t>5</w:t>
            </w:r>
            <w:r>
              <w:rPr>
                <w:rFonts w:hint="eastAsia" w:ascii="Times New Roman" w:hAnsi="Times New Roman" w:eastAsia="宋体" w:cs="Times New Roman"/>
                <w:b w:val="0"/>
                <w:bCs/>
                <w:snapToGrid w:val="0"/>
                <w:color w:val="auto"/>
                <w:kern w:val="0"/>
                <w:sz w:val="24"/>
                <w:lang w:val="en-US" w:eastAsia="zh-CN"/>
              </w:rPr>
              <w:t xml:space="preserve"> 与《长江经济带发展负面清单指南（试行，2022 年版）》（长江办〔2022〕7号）符合性分析</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eastAsia" w:cs="Times New Roman"/>
                <w:b w:val="0"/>
                <w:bCs/>
                <w:snapToGrid w:val="0"/>
                <w:color w:val="auto"/>
                <w:kern w:val="0"/>
                <w:sz w:val="24"/>
                <w:highlight w:val="none"/>
                <w:lang w:val="en-US" w:eastAsia="zh-CN"/>
              </w:rPr>
            </w:pPr>
            <w:r>
              <w:rPr>
                <w:rFonts w:hint="eastAsia" w:cs="Times New Roman"/>
                <w:b w:val="0"/>
                <w:bCs/>
                <w:snapToGrid w:val="0"/>
                <w:color w:val="auto"/>
                <w:kern w:val="0"/>
                <w:sz w:val="24"/>
                <w:highlight w:val="none"/>
                <w:lang w:val="en-US" w:eastAsia="zh-CN"/>
              </w:rPr>
              <w:t>根据《长江经济带发展负面清单指南（试行，2022 年版）》，本项目与其 符合性分析详见下表。</w:t>
            </w:r>
          </w:p>
          <w:p>
            <w:pPr>
              <w:pStyle w:val="6"/>
              <w:keepNext w:val="0"/>
              <w:keepLines w:val="0"/>
              <w:pageBreakBefore w:val="0"/>
              <w:widowControl w:val="0"/>
              <w:tabs>
                <w:tab w:val="left" w:pos="540"/>
                <w:tab w:val="left" w:pos="1080"/>
                <w:tab w:val="left" w:pos="1800"/>
              </w:tabs>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表1-7 与长江经济带发展负面清单指南符合性分析</w:t>
            </w:r>
          </w:p>
          <w:tbl>
            <w:tblPr>
              <w:tblStyle w:val="16"/>
              <w:tblW w:w="7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4118"/>
              <w:gridCol w:w="2049"/>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序号</w:t>
                  </w:r>
                </w:p>
              </w:tc>
              <w:tc>
                <w:tcPr>
                  <w:tcW w:w="4118"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相关要求</w:t>
                  </w:r>
                </w:p>
              </w:tc>
              <w:tc>
                <w:tcPr>
                  <w:tcW w:w="2049"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项目情况</w:t>
                  </w:r>
                </w:p>
              </w:tc>
              <w:tc>
                <w:tcPr>
                  <w:tcW w:w="757"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1</w:t>
                  </w:r>
                </w:p>
              </w:tc>
              <w:tc>
                <w:tcPr>
                  <w:tcW w:w="4118"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禁止建设不符合全国和省级港口布局规划以及港口总 体规划的码头项目，禁止建设不符合《长江干线过江通 道布局规划》的过长江通道项目</w:t>
                  </w:r>
                </w:p>
              </w:tc>
              <w:tc>
                <w:tcPr>
                  <w:tcW w:w="2049"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项目不属于过长江通道项目</w:t>
                  </w:r>
                </w:p>
              </w:tc>
              <w:tc>
                <w:tcPr>
                  <w:tcW w:w="757"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2</w:t>
                  </w:r>
                </w:p>
              </w:tc>
              <w:tc>
                <w:tcPr>
                  <w:tcW w:w="4118"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禁止在自然保护区核心区、缓冲区的岸线和河段范围内投资建设旅游和生产经营项目。禁止在风景名胜区核心景区的岸线和河段范围内投资建设与风景名胜资源保 护无关的项目</w:t>
                  </w:r>
                </w:p>
              </w:tc>
              <w:tc>
                <w:tcPr>
                  <w:tcW w:w="2049"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项目不在</w:t>
                  </w:r>
                  <w:r>
                    <w:rPr>
                      <w:rFonts w:hint="default" w:ascii="Times New Roman" w:hAnsi="Times New Roman" w:eastAsia="宋体" w:cs="Times New Roman"/>
                      <w:color w:val="auto"/>
                      <w:szCs w:val="21"/>
                      <w:shd w:val="clear" w:color="auto" w:fill="auto"/>
                      <w:lang w:val="en-US" w:eastAsia="zh-CN"/>
                    </w:rPr>
                    <w:t>自然保护区核心区、缓冲区的岸线和河段范围内</w:t>
                  </w:r>
                  <w:r>
                    <w:rPr>
                      <w:rFonts w:hint="eastAsia" w:ascii="Times New Roman" w:hAnsi="Times New Roman" w:eastAsia="宋体" w:cs="Times New Roman"/>
                      <w:color w:val="auto"/>
                      <w:szCs w:val="21"/>
                      <w:shd w:val="clear" w:color="auto" w:fill="auto"/>
                      <w:lang w:val="en-US" w:eastAsia="zh-CN"/>
                    </w:rPr>
                    <w:t>，不在</w:t>
                  </w:r>
                  <w:r>
                    <w:rPr>
                      <w:rFonts w:hint="default" w:ascii="Times New Roman" w:hAnsi="Times New Roman" w:eastAsia="宋体" w:cs="Times New Roman"/>
                      <w:color w:val="auto"/>
                      <w:szCs w:val="21"/>
                      <w:shd w:val="clear" w:color="auto" w:fill="auto"/>
                      <w:lang w:val="en-US" w:eastAsia="zh-CN"/>
                    </w:rPr>
                    <w:t>风景名胜区核心景区的岸线和河段范围内</w:t>
                  </w:r>
                </w:p>
              </w:tc>
              <w:tc>
                <w:tcPr>
                  <w:tcW w:w="757"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3</w:t>
                  </w:r>
                </w:p>
              </w:tc>
              <w:tc>
                <w:tcPr>
                  <w:tcW w:w="4118"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禁止在饮用水水源一级保护区的岸线和河段范围内新建、改建、扩建与供水设施和保护水源无关的项目，以及网箱养殖、畜禽养殖、旅游等可能污染饮用水水体的 投资建设项目。禁止在饮用水水源二级保护区的岸线和 河段范围内新建、改建、扩建排放污染物的投资</w:t>
                  </w:r>
                  <w:r>
                    <w:rPr>
                      <w:rFonts w:hint="eastAsia" w:ascii="Times New Roman" w:hAnsi="Times New Roman" w:eastAsia="宋体" w:cs="Times New Roman"/>
                      <w:color w:val="auto"/>
                      <w:szCs w:val="21"/>
                      <w:shd w:val="clear" w:color="auto" w:fill="auto"/>
                      <w:lang w:val="en-US" w:eastAsia="zh-CN"/>
                    </w:rPr>
                    <w:t>建设项目</w:t>
                  </w:r>
                  <w:r>
                    <w:rPr>
                      <w:rFonts w:hint="default" w:ascii="Times New Roman" w:hAnsi="Times New Roman" w:eastAsia="宋体" w:cs="Times New Roman"/>
                      <w:color w:val="auto"/>
                      <w:szCs w:val="21"/>
                      <w:shd w:val="clear" w:color="auto" w:fill="auto"/>
                      <w:lang w:val="en-US" w:eastAsia="zh-CN"/>
                    </w:rPr>
                    <w:t>。</w:t>
                  </w:r>
                </w:p>
              </w:tc>
              <w:tc>
                <w:tcPr>
                  <w:tcW w:w="2049"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项目不涉及饮用水源保护区</w:t>
                  </w:r>
                </w:p>
              </w:tc>
              <w:tc>
                <w:tcPr>
                  <w:tcW w:w="757"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4</w:t>
                  </w:r>
                </w:p>
              </w:tc>
              <w:tc>
                <w:tcPr>
                  <w:tcW w:w="4118"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049"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项目不在</w:t>
                  </w:r>
                  <w:r>
                    <w:rPr>
                      <w:rFonts w:hint="default" w:ascii="Times New Roman" w:hAnsi="Times New Roman" w:eastAsia="宋体" w:cs="Times New Roman"/>
                      <w:color w:val="auto"/>
                      <w:szCs w:val="21"/>
                      <w:shd w:val="clear" w:color="auto" w:fill="auto"/>
                      <w:lang w:val="en-US" w:eastAsia="zh-CN"/>
                    </w:rPr>
                    <w:t>水产种质资源保护区的岸线和河段范围内</w:t>
                  </w:r>
                  <w:r>
                    <w:rPr>
                      <w:rFonts w:hint="eastAsia" w:ascii="Times New Roman" w:hAnsi="Times New Roman" w:eastAsia="宋体" w:cs="Times New Roman"/>
                      <w:color w:val="auto"/>
                      <w:szCs w:val="21"/>
                      <w:shd w:val="clear" w:color="auto" w:fill="auto"/>
                      <w:lang w:val="en-US" w:eastAsia="zh-CN"/>
                    </w:rPr>
                    <w:t>，不属于</w:t>
                  </w:r>
                  <w:r>
                    <w:rPr>
                      <w:rFonts w:hint="default" w:ascii="Times New Roman" w:hAnsi="Times New Roman" w:eastAsia="宋体" w:cs="Times New Roman"/>
                      <w:color w:val="auto"/>
                      <w:szCs w:val="21"/>
                      <w:shd w:val="clear" w:color="auto" w:fill="auto"/>
                      <w:lang w:val="en-US" w:eastAsia="zh-CN"/>
                    </w:rPr>
                    <w:t>挖沙、采矿，以及任何不符合主体功能定位的投资建设项目</w:t>
                  </w:r>
                </w:p>
              </w:tc>
              <w:tc>
                <w:tcPr>
                  <w:tcW w:w="757"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5</w:t>
                  </w:r>
                </w:p>
              </w:tc>
              <w:tc>
                <w:tcPr>
                  <w:tcW w:w="4118"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禁止违法利用、占用长江流域河湖岸线。禁止在《长江 岸线保护和开发利用总体规划》划定的岸线保护区和保 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049"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项目不占用</w:t>
                  </w:r>
                  <w:r>
                    <w:rPr>
                      <w:rFonts w:hint="default" w:ascii="Times New Roman" w:hAnsi="Times New Roman" w:eastAsia="宋体" w:cs="Times New Roman"/>
                      <w:color w:val="auto"/>
                      <w:szCs w:val="21"/>
                      <w:shd w:val="clear" w:color="auto" w:fill="auto"/>
                      <w:lang w:val="en-US" w:eastAsia="zh-CN"/>
                    </w:rPr>
                    <w:t>长江流域河湖岸线</w:t>
                  </w:r>
                  <w:r>
                    <w:rPr>
                      <w:rFonts w:hint="eastAsia" w:ascii="Times New Roman" w:hAnsi="Times New Roman" w:eastAsia="宋体" w:cs="Times New Roman"/>
                      <w:color w:val="auto"/>
                      <w:szCs w:val="21"/>
                      <w:shd w:val="clear" w:color="auto" w:fill="auto"/>
                      <w:lang w:val="en-US" w:eastAsia="zh-CN"/>
                    </w:rPr>
                    <w:t>，不在</w:t>
                  </w:r>
                  <w:r>
                    <w:rPr>
                      <w:rFonts w:hint="default" w:ascii="Times New Roman" w:hAnsi="Times New Roman" w:eastAsia="宋体" w:cs="Times New Roman"/>
                      <w:color w:val="auto"/>
                      <w:szCs w:val="21"/>
                      <w:shd w:val="clear" w:color="auto" w:fill="auto"/>
                      <w:lang w:val="en-US" w:eastAsia="zh-CN"/>
                    </w:rPr>
                    <w:t>《全国重要江河湖泊水功能区划》划定的河段及湖泊保护区、保留区内</w:t>
                  </w:r>
                </w:p>
              </w:tc>
              <w:tc>
                <w:tcPr>
                  <w:tcW w:w="757"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6</w:t>
                  </w:r>
                </w:p>
              </w:tc>
              <w:tc>
                <w:tcPr>
                  <w:tcW w:w="4118"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禁止未经许可在长江干支流及湖泊新设、改设或扩大排污口</w:t>
                  </w:r>
                </w:p>
              </w:tc>
              <w:tc>
                <w:tcPr>
                  <w:tcW w:w="2049"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项目不新增排污口</w:t>
                  </w:r>
                </w:p>
              </w:tc>
              <w:tc>
                <w:tcPr>
                  <w:tcW w:w="757"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7</w:t>
                  </w:r>
                </w:p>
              </w:tc>
              <w:tc>
                <w:tcPr>
                  <w:tcW w:w="4118"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禁止在“一江一口两湖七河”和332 个水生生物保护区开展生产性捕捞。</w:t>
                  </w:r>
                </w:p>
              </w:tc>
              <w:tc>
                <w:tcPr>
                  <w:tcW w:w="2049"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不涉及</w:t>
                  </w:r>
                </w:p>
              </w:tc>
              <w:tc>
                <w:tcPr>
                  <w:tcW w:w="757"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8</w:t>
                  </w:r>
                </w:p>
              </w:tc>
              <w:tc>
                <w:tcPr>
                  <w:tcW w:w="4118"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禁止在长江干支流、重要湖泊岸线一公里范围内新建、扩建化工园区和化工项目。禁止在长江干流岸线三公里范围内和重要支流岸线一公里范围内新建、改建、扩建 尾矿库、冶炼渣库和磷石膏库，以提升安全、生态环境保护水平为目的的改建除外</w:t>
                  </w:r>
                </w:p>
              </w:tc>
              <w:tc>
                <w:tcPr>
                  <w:tcW w:w="2049"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不涉及</w:t>
                  </w:r>
                </w:p>
              </w:tc>
              <w:tc>
                <w:tcPr>
                  <w:tcW w:w="757"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9</w:t>
                  </w:r>
                </w:p>
              </w:tc>
              <w:tc>
                <w:tcPr>
                  <w:tcW w:w="4118"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禁止在合规园区外新建、扩建钢铁、石化、化工、焦化、建材、有色、制浆造纸等高污染项目</w:t>
                  </w:r>
                </w:p>
              </w:tc>
              <w:tc>
                <w:tcPr>
                  <w:tcW w:w="2049"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项目不属于</w:t>
                  </w:r>
                  <w:r>
                    <w:rPr>
                      <w:rFonts w:hint="default" w:ascii="Times New Roman" w:hAnsi="Times New Roman" w:eastAsia="宋体" w:cs="Times New Roman"/>
                      <w:color w:val="auto"/>
                      <w:szCs w:val="21"/>
                      <w:shd w:val="clear" w:color="auto" w:fill="auto"/>
                      <w:lang w:val="en-US" w:eastAsia="zh-CN"/>
                    </w:rPr>
                    <w:t>石化、化工、焦化、建材、有色、制浆造纸等高污染项目</w:t>
                  </w:r>
                </w:p>
              </w:tc>
              <w:tc>
                <w:tcPr>
                  <w:tcW w:w="757"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10</w:t>
                  </w:r>
                </w:p>
              </w:tc>
              <w:tc>
                <w:tcPr>
                  <w:tcW w:w="4118"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禁止新建、扩建不符合国家石化、现代煤化工等产业布局规划的项目</w:t>
                  </w:r>
                </w:p>
              </w:tc>
              <w:tc>
                <w:tcPr>
                  <w:tcW w:w="2049"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项目位于侣俸镇工业聚集区内，符合相关规划</w:t>
                  </w:r>
                </w:p>
              </w:tc>
              <w:tc>
                <w:tcPr>
                  <w:tcW w:w="757"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11</w:t>
                  </w:r>
                </w:p>
              </w:tc>
              <w:tc>
                <w:tcPr>
                  <w:tcW w:w="4118"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禁止新建、扩建法律法规和相关政策明令禁止的落后产能项目。禁止新建、扩建不符合国家产能置换要求的严重过剩产能行业的项目。禁止新建、扩建不符合要求的高耗能高排放项目</w:t>
                  </w:r>
                </w:p>
              </w:tc>
              <w:tc>
                <w:tcPr>
                  <w:tcW w:w="2049"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项目不属于</w:t>
                  </w:r>
                  <w:r>
                    <w:rPr>
                      <w:rFonts w:hint="default" w:ascii="Times New Roman" w:hAnsi="Times New Roman" w:eastAsia="宋体" w:cs="Times New Roman"/>
                      <w:color w:val="auto"/>
                      <w:szCs w:val="21"/>
                      <w:shd w:val="clear" w:color="auto" w:fill="auto"/>
                      <w:lang w:val="en-US" w:eastAsia="zh-CN"/>
                    </w:rPr>
                    <w:t>明令禁止的落后产能项目</w:t>
                  </w:r>
                  <w:r>
                    <w:rPr>
                      <w:rFonts w:hint="eastAsia" w:ascii="Times New Roman" w:hAnsi="Times New Roman" w:eastAsia="宋体" w:cs="Times New Roman"/>
                      <w:color w:val="auto"/>
                      <w:szCs w:val="21"/>
                      <w:shd w:val="clear" w:color="auto" w:fill="auto"/>
                      <w:lang w:val="en-US" w:eastAsia="zh-CN"/>
                    </w:rPr>
                    <w:t>，且不属于</w:t>
                  </w:r>
                  <w:r>
                    <w:rPr>
                      <w:rFonts w:hint="default" w:ascii="Times New Roman" w:hAnsi="Times New Roman" w:eastAsia="宋体" w:cs="Times New Roman"/>
                      <w:color w:val="auto"/>
                      <w:szCs w:val="21"/>
                      <w:shd w:val="clear" w:color="auto" w:fill="auto"/>
                      <w:lang w:val="en-US" w:eastAsia="zh-CN"/>
                    </w:rPr>
                    <w:t>高耗能高排放项目</w:t>
                  </w:r>
                </w:p>
              </w:tc>
              <w:tc>
                <w:tcPr>
                  <w:tcW w:w="757" w:type="dxa"/>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符合</w:t>
                  </w:r>
                </w:p>
              </w:tc>
            </w:tr>
          </w:tbl>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宋体" w:cs="Times New Roman"/>
                <w:b w:val="0"/>
                <w:bCs/>
                <w:snapToGrid w:val="0"/>
                <w:color w:val="auto"/>
                <w:kern w:val="0"/>
                <w:sz w:val="24"/>
                <w:lang w:val="en-US" w:eastAsia="zh-CN"/>
              </w:rPr>
            </w:pPr>
            <w:r>
              <w:rPr>
                <w:rFonts w:hint="eastAsia" w:ascii="Times New Roman" w:hAnsi="Times New Roman" w:eastAsia="宋体" w:cs="Times New Roman"/>
                <w:b w:val="0"/>
                <w:bCs/>
                <w:snapToGrid w:val="0"/>
                <w:color w:val="auto"/>
                <w:kern w:val="0"/>
                <w:sz w:val="24"/>
                <w:lang w:val="en-US" w:eastAsia="zh-CN"/>
              </w:rPr>
              <w:t>1</w:t>
            </w:r>
            <w:r>
              <w:rPr>
                <w:rFonts w:hint="eastAsia" w:cs="Times New Roman"/>
                <w:b w:val="0"/>
                <w:bCs/>
                <w:snapToGrid w:val="0"/>
                <w:color w:val="auto"/>
                <w:kern w:val="0"/>
                <w:sz w:val="24"/>
                <w:lang w:val="en-US" w:eastAsia="zh-CN"/>
              </w:rPr>
              <w:t>.6</w:t>
            </w:r>
            <w:r>
              <w:rPr>
                <w:rFonts w:hint="eastAsia" w:ascii="Times New Roman" w:hAnsi="Times New Roman" w:eastAsia="宋体" w:cs="Times New Roman"/>
                <w:b w:val="0"/>
                <w:bCs/>
                <w:snapToGrid w:val="0"/>
                <w:color w:val="auto"/>
                <w:kern w:val="0"/>
                <w:sz w:val="24"/>
                <w:lang w:val="en-US" w:eastAsia="zh-CN"/>
              </w:rPr>
              <w:t xml:space="preserve"> 与《挥发性有机物无组织排放控制标准》（GB 37822-2019）符合性分析</w:t>
            </w:r>
          </w:p>
          <w:p>
            <w:pPr>
              <w:keepNext w:val="0"/>
              <w:keepLines w:val="0"/>
              <w:pageBreakBefore w:val="0"/>
              <w:widowControl/>
              <w:kinsoku/>
              <w:wordWrap/>
              <w:overflowPunct/>
              <w:topLinePunct w:val="0"/>
              <w:autoSpaceDE/>
              <w:autoSpaceDN/>
              <w:bidi w:val="0"/>
              <w:adjustRightInd w:val="0"/>
              <w:snapToGrid/>
              <w:spacing w:line="360" w:lineRule="auto"/>
              <w:ind w:firstLine="0" w:firstLineChars="0"/>
              <w:jc w:val="center"/>
              <w:textAlignment w:val="auto"/>
              <w:rPr>
                <w:rFonts w:hint="eastAsia" w:ascii="Times New Roman" w:hAnsi="Times New Roman" w:eastAsia="宋体" w:cs="Times New Roman"/>
                <w:b w:val="0"/>
                <w:bCs/>
                <w:snapToGrid w:val="0"/>
                <w:color w:val="auto"/>
                <w:kern w:val="0"/>
                <w:sz w:val="24"/>
                <w:highlight w:val="none"/>
                <w:lang w:val="en-US" w:eastAsia="zh-CN"/>
              </w:rPr>
            </w:pPr>
            <w:r>
              <w:rPr>
                <w:rFonts w:hint="eastAsia" w:ascii="Times New Roman" w:hAnsi="Times New Roman" w:eastAsia="宋体" w:cs="Times New Roman"/>
                <w:b w:val="0"/>
                <w:bCs/>
                <w:snapToGrid w:val="0"/>
                <w:color w:val="auto"/>
                <w:kern w:val="0"/>
                <w:sz w:val="24"/>
                <w:highlight w:val="none"/>
                <w:lang w:val="en-US" w:eastAsia="zh-CN"/>
              </w:rPr>
              <w:t>表1-</w:t>
            </w:r>
            <w:r>
              <w:rPr>
                <w:rFonts w:hint="eastAsia" w:cs="Times New Roman"/>
                <w:b w:val="0"/>
                <w:bCs/>
                <w:snapToGrid w:val="0"/>
                <w:color w:val="auto"/>
                <w:kern w:val="0"/>
                <w:sz w:val="24"/>
                <w:highlight w:val="none"/>
                <w:lang w:val="en-US" w:eastAsia="zh-CN"/>
              </w:rPr>
              <w:t>8</w:t>
            </w:r>
            <w:r>
              <w:rPr>
                <w:rFonts w:hint="eastAsia" w:ascii="Times New Roman" w:hAnsi="Times New Roman" w:eastAsia="宋体" w:cs="Times New Roman"/>
                <w:b w:val="0"/>
                <w:bCs/>
                <w:snapToGrid w:val="0"/>
                <w:color w:val="auto"/>
                <w:kern w:val="0"/>
                <w:sz w:val="24"/>
                <w:highlight w:val="none"/>
                <w:lang w:val="en-US" w:eastAsia="zh-CN"/>
              </w:rPr>
              <w:t xml:space="preserve"> 与《挥发性有机物无组织排放控制标准》的符合性分析</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3805"/>
              <w:gridCol w:w="1919"/>
              <w:gridCol w:w="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VOCS物料无组织排放控制要求</w:t>
                  </w:r>
                </w:p>
              </w:tc>
              <w:tc>
                <w:tcPr>
                  <w:tcW w:w="380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标准要求</w:t>
                  </w:r>
                </w:p>
              </w:tc>
              <w:tc>
                <w:tcPr>
                  <w:tcW w:w="191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本项目情况</w:t>
                  </w:r>
                </w:p>
              </w:tc>
              <w:tc>
                <w:tcPr>
                  <w:tcW w:w="64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VOCS物</w:t>
                  </w:r>
                </w:p>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料储存</w:t>
                  </w:r>
                </w:p>
              </w:tc>
              <w:tc>
                <w:tcPr>
                  <w:tcW w:w="380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VOCS物料应储存于密闭的容器、包装袋、储罐、储库、料仓中。</w:t>
                  </w:r>
                </w:p>
              </w:tc>
              <w:tc>
                <w:tcPr>
                  <w:tcW w:w="191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项目不使用VOCS物料；</w:t>
                  </w:r>
                </w:p>
              </w:tc>
              <w:tc>
                <w:tcPr>
                  <w:tcW w:w="64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p>
              </w:tc>
              <w:tc>
                <w:tcPr>
                  <w:tcW w:w="380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盛装VOCS物料的容器或包装袋应存放于室内，或存放于设置有雨棚、遮阳和防渗设施的专用场地。盛装VOCS物料的容器或包装袋在非取用状态时应加盖、封口，保持密闭。</w:t>
                  </w:r>
                </w:p>
              </w:tc>
              <w:tc>
                <w:tcPr>
                  <w:tcW w:w="191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项目运营期不使用VOCS物料</w:t>
                  </w:r>
                </w:p>
              </w:tc>
              <w:tc>
                <w:tcPr>
                  <w:tcW w:w="64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p>
              </w:tc>
              <w:tc>
                <w:tcPr>
                  <w:tcW w:w="380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VOCS物料储库、料仓应满足3.6条（即利用完整的围护结构将污染物质、作业场所等与周围空间阻隔所形成的封闭区域或封闭式建筑物。该封闭区域或封闭式建筑物除人员、车辆、设备、物料进出时，以及依法设立的排气筒、通风口外，门窗及其他开口&lt;孔&gt;部位应随时保持关闭状态）对密闭空间的要求。</w:t>
                  </w:r>
                </w:p>
              </w:tc>
              <w:tc>
                <w:tcPr>
                  <w:tcW w:w="191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eastAsia"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不涉及</w:t>
                  </w:r>
                </w:p>
              </w:tc>
              <w:tc>
                <w:tcPr>
                  <w:tcW w:w="64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28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VOCS物料</w:t>
                  </w:r>
                </w:p>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转移和输送</w:t>
                  </w:r>
                </w:p>
              </w:tc>
              <w:tc>
                <w:tcPr>
                  <w:tcW w:w="380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液态VOCS物料应采用密闭管道输送。采用非管道输送方式转移液态VOCS物料时，应采用密闭容器、罐车。</w:t>
                  </w:r>
                </w:p>
              </w:tc>
              <w:tc>
                <w:tcPr>
                  <w:tcW w:w="191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不涉及</w:t>
                  </w:r>
                </w:p>
              </w:tc>
              <w:tc>
                <w:tcPr>
                  <w:tcW w:w="64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工艺过程VOCS物料（含VOCS产品的使用过程）</w:t>
                  </w:r>
                </w:p>
              </w:tc>
              <w:tc>
                <w:tcPr>
                  <w:tcW w:w="380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VOCS质量占比大于等于10%的含VOCS产品，其使用过程应采用密闭设备或在密闭空间内操作，废气应排至VOCS废气收集处理系统；无法密闭的，应采取局部气体收集措施，废气应排至VOCS废气收集处理系统。</w:t>
                  </w:r>
                </w:p>
              </w:tc>
              <w:tc>
                <w:tcPr>
                  <w:tcW w:w="191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本项目生产</w:t>
                  </w:r>
                  <w:r>
                    <w:rPr>
                      <w:rFonts w:hint="eastAsia" w:ascii="Times New Roman" w:hAnsi="Times New Roman" w:eastAsia="宋体" w:cs="Times New Roman"/>
                      <w:color w:val="auto"/>
                      <w:szCs w:val="21"/>
                      <w:shd w:val="clear" w:color="auto" w:fill="auto"/>
                      <w:lang w:val="en-US" w:eastAsia="zh-CN"/>
                    </w:rPr>
                    <w:t>过程中产生的VOCS经采取有效措施处理后可实现达标排放</w:t>
                  </w:r>
                </w:p>
              </w:tc>
              <w:tc>
                <w:tcPr>
                  <w:tcW w:w="64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工艺过程VOCS物料（含VOCS产品的使用过程）</w:t>
                  </w:r>
                </w:p>
              </w:tc>
              <w:tc>
                <w:tcPr>
                  <w:tcW w:w="380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载有VOCS物料的设备及其管道在开停工（车）、检维修和清洗时，应在退料阶段将残存物料退净，并用密闭容器盛装，退料过程废气应排至VOCS废气收集处理系统；清洗及吹扫过程排气应排至 VOCS废气收集处理系统。</w:t>
                  </w:r>
                </w:p>
              </w:tc>
              <w:tc>
                <w:tcPr>
                  <w:tcW w:w="191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不涉及</w:t>
                  </w:r>
                </w:p>
              </w:tc>
              <w:tc>
                <w:tcPr>
                  <w:tcW w:w="64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0"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p>
              </w:tc>
              <w:tc>
                <w:tcPr>
                  <w:tcW w:w="380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工艺过程产生的含VOCS废料（渣、液）应按第5章、第6章的要求进行存储、转移和输送。盛装过VOCS物料的废包装容器应加盖密闭。</w:t>
                  </w:r>
                </w:p>
              </w:tc>
              <w:tc>
                <w:tcPr>
                  <w:tcW w:w="191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eastAsia" w:ascii="Times New Roman" w:hAnsi="Times New Roman" w:eastAsia="宋体" w:cs="Times New Roman"/>
                      <w:color w:val="auto"/>
                      <w:szCs w:val="21"/>
                      <w:shd w:val="clear" w:color="auto" w:fill="auto"/>
                      <w:lang w:val="en-US" w:eastAsia="zh-CN"/>
                    </w:rPr>
                    <w:t>不涉及</w:t>
                  </w:r>
                </w:p>
              </w:tc>
              <w:tc>
                <w:tcPr>
                  <w:tcW w:w="64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eastAsia="宋体" w:cs="Times New Roman"/>
                      <w:color w:val="auto"/>
                      <w:szCs w:val="21"/>
                      <w:shd w:val="clear" w:color="auto" w:fill="auto"/>
                      <w:lang w:val="en-US" w:eastAsia="zh-CN"/>
                    </w:rPr>
                    <w:t>符合</w:t>
                  </w:r>
                </w:p>
              </w:tc>
            </w:tr>
          </w:tbl>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default" w:cs="Times New Roman"/>
                <w:b w:val="0"/>
                <w:bCs/>
                <w:snapToGrid w:val="0"/>
                <w:color w:val="auto"/>
                <w:kern w:val="0"/>
                <w:sz w:val="24"/>
                <w:highlight w:val="none"/>
                <w:lang w:val="en-US" w:eastAsia="zh-CN"/>
              </w:rPr>
            </w:pPr>
            <w:r>
              <w:rPr>
                <w:rFonts w:hint="default" w:ascii="Times New Roman" w:hAnsi="Times New Roman" w:eastAsia="宋体" w:cs="Times New Roman"/>
                <w:bCs/>
                <w:snapToGrid w:val="0"/>
                <w:color w:val="auto"/>
                <w:kern w:val="0"/>
                <w:sz w:val="24"/>
                <w:highlight w:val="none"/>
                <w:lang w:val="en-US" w:eastAsia="zh-CN"/>
              </w:rPr>
              <w:t>综上，本项目符合《挥发性有机物无组织排放控制标准》（GB 37822-2019）相关要求</w:t>
            </w:r>
            <w:r>
              <w:rPr>
                <w:rFonts w:hint="eastAsia" w:cs="Times New Roman"/>
                <w:bCs/>
                <w:snapToGrid w:val="0"/>
                <w:color w:val="auto"/>
                <w:kern w:val="0"/>
                <w:sz w:val="24"/>
                <w:highlight w:val="none"/>
                <w:lang w:val="en-US" w:eastAsia="zh-CN"/>
              </w:rPr>
              <w:t>。</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b w:val="0"/>
                <w:bCs/>
                <w:snapToGrid w:val="0"/>
                <w:color w:val="auto"/>
                <w:kern w:val="0"/>
                <w:sz w:val="24"/>
                <w:lang w:val="en-US" w:eastAsia="zh-CN"/>
              </w:rPr>
            </w:pPr>
            <w:r>
              <w:rPr>
                <w:rFonts w:hint="eastAsia" w:ascii="Times New Roman" w:hAnsi="Times New Roman" w:eastAsia="宋体" w:cs="Times New Roman"/>
                <w:b w:val="0"/>
                <w:bCs/>
                <w:snapToGrid w:val="0"/>
                <w:color w:val="auto"/>
                <w:kern w:val="0"/>
                <w:sz w:val="24"/>
                <w:lang w:val="en-US" w:eastAsia="zh-CN"/>
              </w:rPr>
              <w:t>1.</w:t>
            </w:r>
            <w:r>
              <w:rPr>
                <w:rFonts w:hint="eastAsia" w:cs="Times New Roman"/>
                <w:b w:val="0"/>
                <w:bCs/>
                <w:snapToGrid w:val="0"/>
                <w:color w:val="auto"/>
                <w:kern w:val="0"/>
                <w:sz w:val="24"/>
                <w:lang w:val="en-US" w:eastAsia="zh-CN"/>
              </w:rPr>
              <w:t>7</w:t>
            </w:r>
            <w:r>
              <w:rPr>
                <w:rFonts w:hint="eastAsia" w:ascii="Times New Roman" w:hAnsi="Times New Roman" w:eastAsia="宋体" w:cs="Times New Roman"/>
                <w:b w:val="0"/>
                <w:bCs/>
                <w:snapToGrid w:val="0"/>
                <w:color w:val="auto"/>
                <w:kern w:val="0"/>
                <w:sz w:val="24"/>
                <w:lang w:val="en-US" w:eastAsia="zh-CN"/>
              </w:rPr>
              <w:t xml:space="preserve"> 与《重庆市大气环境保护“十四五”规划（2021-2025年）》符合性分析</w:t>
            </w:r>
          </w:p>
          <w:p>
            <w:pPr>
              <w:keepNext w:val="0"/>
              <w:keepLines w:val="0"/>
              <w:pageBreakBefore w:val="0"/>
              <w:widowControl/>
              <w:kinsoku/>
              <w:wordWrap/>
              <w:overflowPunct/>
              <w:topLinePunct w:val="0"/>
              <w:autoSpaceDE/>
              <w:autoSpaceDN/>
              <w:bidi w:val="0"/>
              <w:adjustRightInd w:val="0"/>
              <w:snapToGrid/>
              <w:spacing w:line="360" w:lineRule="auto"/>
              <w:ind w:firstLine="0" w:firstLineChars="0"/>
              <w:jc w:val="center"/>
              <w:textAlignment w:val="auto"/>
              <w:rPr>
                <w:rFonts w:hint="default" w:ascii="Times New Roman" w:hAnsi="Times New Roman" w:eastAsia="宋体" w:cs="Times New Roman"/>
                <w:b w:val="0"/>
                <w:bCs/>
                <w:snapToGrid w:val="0"/>
                <w:color w:val="auto"/>
                <w:kern w:val="0"/>
                <w:sz w:val="24"/>
                <w:highlight w:val="none"/>
                <w:lang w:val="en-US" w:eastAsia="zh-CN"/>
              </w:rPr>
            </w:pPr>
            <w:r>
              <w:rPr>
                <w:rFonts w:hint="eastAsia" w:ascii="Times New Roman" w:hAnsi="Times New Roman" w:eastAsia="宋体" w:cs="Times New Roman"/>
                <w:b w:val="0"/>
                <w:bCs/>
                <w:snapToGrid w:val="0"/>
                <w:color w:val="auto"/>
                <w:kern w:val="0"/>
                <w:sz w:val="24"/>
                <w:highlight w:val="none"/>
                <w:lang w:val="en-US" w:eastAsia="zh-CN"/>
              </w:rPr>
              <w:t>表1-</w:t>
            </w:r>
            <w:r>
              <w:rPr>
                <w:rFonts w:hint="eastAsia" w:cs="Times New Roman"/>
                <w:b w:val="0"/>
                <w:bCs/>
                <w:snapToGrid w:val="0"/>
                <w:color w:val="auto"/>
                <w:kern w:val="0"/>
                <w:sz w:val="24"/>
                <w:highlight w:val="none"/>
                <w:lang w:val="en-US" w:eastAsia="zh-CN"/>
              </w:rPr>
              <w:t>9</w:t>
            </w:r>
            <w:r>
              <w:rPr>
                <w:rFonts w:hint="eastAsia" w:ascii="Times New Roman" w:hAnsi="Times New Roman" w:eastAsia="宋体" w:cs="Times New Roman"/>
                <w:b w:val="0"/>
                <w:bCs/>
                <w:snapToGrid w:val="0"/>
                <w:color w:val="auto"/>
                <w:kern w:val="0"/>
                <w:sz w:val="24"/>
                <w:highlight w:val="none"/>
                <w:lang w:val="en-US" w:eastAsia="zh-CN"/>
              </w:rPr>
              <w:t xml:space="preserve"> 与重庆市大气环境保护“十四五”规划符合性分析</w:t>
            </w:r>
          </w:p>
          <w:tbl>
            <w:tblPr>
              <w:tblStyle w:val="16"/>
              <w:tblW w:w="7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4717"/>
              <w:gridCol w:w="1633"/>
              <w:gridCol w:w="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0" w:type="dxa"/>
                  <w:gridSpan w:val="2"/>
                  <w:vAlign w:val="center"/>
                </w:tcPr>
                <w:p>
                  <w:pPr>
                    <w:adjustRightInd w:val="0"/>
                    <w:snapToGrid w:val="0"/>
                    <w:jc w:val="center"/>
                    <w:rPr>
                      <w:rFonts w:hint="default" w:ascii="Times New Roman" w:hAnsi="Times New Roman" w:eastAsia="宋体" w:cs="Times New Roman"/>
                      <w:color w:val="auto"/>
                      <w:spacing w:val="-2"/>
                      <w:szCs w:val="21"/>
                      <w:highlight w:val="none"/>
                      <w:lang w:val="en-US" w:eastAsia="zh-CN"/>
                    </w:rPr>
                  </w:pPr>
                  <w:r>
                    <w:rPr>
                      <w:rFonts w:hint="eastAsia" w:ascii="Times New Roman" w:hAnsi="Times New Roman" w:eastAsia="宋体" w:cs="Times New Roman"/>
                      <w:color w:val="auto"/>
                      <w:spacing w:val="-2"/>
                      <w:szCs w:val="21"/>
                      <w:highlight w:val="none"/>
                      <w:lang w:val="en-US" w:eastAsia="zh-CN"/>
                    </w:rPr>
                    <w:t>相关要求</w:t>
                  </w:r>
                </w:p>
              </w:tc>
              <w:tc>
                <w:tcPr>
                  <w:tcW w:w="1633" w:type="dxa"/>
                  <w:vAlign w:val="center"/>
                </w:tcPr>
                <w:p>
                  <w:pPr>
                    <w:adjustRightInd w:val="0"/>
                    <w:snapToGrid w:val="0"/>
                    <w:jc w:val="center"/>
                    <w:rPr>
                      <w:rFonts w:hint="default" w:ascii="Times New Roman" w:hAnsi="Times New Roman" w:eastAsia="宋体" w:cs="Times New Roman"/>
                      <w:color w:val="auto"/>
                      <w:spacing w:val="-2"/>
                      <w:szCs w:val="21"/>
                      <w:highlight w:val="none"/>
                      <w:lang w:val="en-US" w:eastAsia="zh-CN"/>
                    </w:rPr>
                  </w:pPr>
                  <w:r>
                    <w:rPr>
                      <w:rFonts w:hint="eastAsia" w:ascii="Times New Roman" w:hAnsi="Times New Roman" w:eastAsia="宋体" w:cs="Times New Roman"/>
                      <w:color w:val="auto"/>
                      <w:spacing w:val="-2"/>
                      <w:szCs w:val="21"/>
                      <w:highlight w:val="none"/>
                      <w:lang w:val="en-US" w:eastAsia="zh-CN"/>
                    </w:rPr>
                    <w:t>项目情况</w:t>
                  </w:r>
                </w:p>
              </w:tc>
              <w:tc>
                <w:tcPr>
                  <w:tcW w:w="640" w:type="dxa"/>
                  <w:vAlign w:val="center"/>
                </w:tcPr>
                <w:p>
                  <w:pPr>
                    <w:adjustRightInd w:val="0"/>
                    <w:snapToGrid w:val="0"/>
                    <w:jc w:val="center"/>
                    <w:rPr>
                      <w:rFonts w:hint="default" w:ascii="Times New Roman" w:hAnsi="Times New Roman" w:eastAsia="宋体" w:cs="Times New Roman"/>
                      <w:color w:val="auto"/>
                      <w:spacing w:val="-2"/>
                      <w:szCs w:val="21"/>
                      <w:highlight w:val="none"/>
                      <w:lang w:val="en-US" w:eastAsia="zh-CN"/>
                    </w:rPr>
                  </w:pPr>
                  <w:r>
                    <w:rPr>
                      <w:rFonts w:hint="eastAsia" w:ascii="Times New Roman" w:hAnsi="Times New Roman" w:eastAsia="宋体" w:cs="Times New Roman"/>
                      <w:color w:val="auto"/>
                      <w:spacing w:val="-2"/>
                      <w:szCs w:val="21"/>
                      <w:highlight w:val="no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Align w:val="center"/>
                </w:tcPr>
                <w:p>
                  <w:pPr>
                    <w:adjustRightInd w:val="0"/>
                    <w:snapToGrid w:val="0"/>
                    <w:jc w:val="center"/>
                    <w:rPr>
                      <w:rFonts w:hint="default" w:ascii="Times New Roman" w:hAnsi="Times New Roman" w:eastAsia="宋体" w:cs="Times New Roman"/>
                      <w:color w:val="auto"/>
                      <w:spacing w:val="-2"/>
                      <w:szCs w:val="21"/>
                      <w:highlight w:val="none"/>
                      <w:lang w:val="en-US" w:eastAsia="zh-CN"/>
                    </w:rPr>
                  </w:pPr>
                  <w:r>
                    <w:rPr>
                      <w:rFonts w:hint="eastAsia" w:ascii="Times New Roman" w:hAnsi="Times New Roman" w:eastAsia="宋体" w:cs="Times New Roman"/>
                      <w:color w:val="auto"/>
                      <w:spacing w:val="-2"/>
                      <w:szCs w:val="21"/>
                      <w:highlight w:val="none"/>
                      <w:lang w:val="en-US" w:eastAsia="zh-CN"/>
                    </w:rPr>
                    <w:t>加强源头控制</w:t>
                  </w:r>
                </w:p>
              </w:tc>
              <w:tc>
                <w:tcPr>
                  <w:tcW w:w="4717" w:type="dxa"/>
                  <w:vAlign w:val="center"/>
                </w:tcPr>
                <w:p>
                  <w:pPr>
                    <w:adjustRightInd w:val="0"/>
                    <w:snapToGrid w:val="0"/>
                    <w:jc w:val="center"/>
                    <w:rPr>
                      <w:rFonts w:hint="eastAsia" w:ascii="Times New Roman" w:hAnsi="Times New Roman" w:eastAsia="宋体" w:cs="Times New Roman"/>
                      <w:color w:val="auto"/>
                      <w:spacing w:val="-2"/>
                      <w:szCs w:val="21"/>
                      <w:highlight w:val="none"/>
                      <w:lang w:val="en-US" w:eastAsia="zh-CN"/>
                    </w:rPr>
                  </w:pPr>
                  <w:r>
                    <w:rPr>
                      <w:rFonts w:hint="eastAsia" w:ascii="Times New Roman" w:hAnsi="Times New Roman" w:eastAsia="宋体" w:cs="Times New Roman"/>
                      <w:color w:val="auto"/>
                      <w:spacing w:val="-2"/>
                      <w:szCs w:val="21"/>
                      <w:highlight w:val="none"/>
                      <w:lang w:val="en-US" w:eastAsia="zh-CN"/>
                    </w:rPr>
                    <w:t>实施</w:t>
                  </w:r>
                  <w:r>
                    <w:rPr>
                      <w:rFonts w:hint="default" w:ascii="Times New Roman" w:hAnsi="Times New Roman" w:eastAsia="宋体" w:cs="Times New Roman"/>
                      <w:color w:val="auto"/>
                      <w:spacing w:val="-2"/>
                      <w:szCs w:val="21"/>
                      <w:highlight w:val="none"/>
                      <w:lang w:val="en-US" w:eastAsia="zh-CN"/>
                    </w:rPr>
                    <w:t>VOCs</w:t>
                  </w:r>
                  <w:r>
                    <w:rPr>
                      <w:rFonts w:hint="eastAsia" w:ascii="Times New Roman" w:hAnsi="Times New Roman" w:eastAsia="宋体" w:cs="Times New Roman"/>
                      <w:color w:val="auto"/>
                      <w:spacing w:val="-2"/>
                      <w:szCs w:val="21"/>
                      <w:highlight w:val="none"/>
                      <w:lang w:val="en-US" w:eastAsia="zh-CN"/>
                    </w:rPr>
                    <w:t>排放总量控制，涉</w:t>
                  </w:r>
                  <w:r>
                    <w:rPr>
                      <w:rFonts w:hint="default" w:ascii="Times New Roman" w:hAnsi="Times New Roman" w:eastAsia="宋体" w:cs="Times New Roman"/>
                      <w:color w:val="auto"/>
                      <w:spacing w:val="-2"/>
                      <w:szCs w:val="21"/>
                      <w:highlight w:val="none"/>
                      <w:lang w:val="en-US" w:eastAsia="zh-CN"/>
                    </w:rPr>
                    <w:t>VOCs</w:t>
                  </w:r>
                  <w:r>
                    <w:rPr>
                      <w:rFonts w:hint="eastAsia" w:ascii="Times New Roman" w:hAnsi="Times New Roman" w:eastAsia="宋体" w:cs="Times New Roman"/>
                      <w:color w:val="auto"/>
                      <w:spacing w:val="-2"/>
                      <w:szCs w:val="21"/>
                      <w:highlight w:val="none"/>
                      <w:lang w:val="en-US" w:eastAsia="zh-CN"/>
                    </w:rPr>
                    <w:t>建设项目按照新增排放量进行减量替代。以工业涂装、包装印刷等行业为重点，实施原辅材料和产品源头替代。加快对溶剂型涂料、油墨、胶粘剂、清洗剂使用企业制定低</w:t>
                  </w:r>
                  <w:r>
                    <w:rPr>
                      <w:rFonts w:hint="default" w:ascii="Times New Roman" w:hAnsi="Times New Roman" w:eastAsia="宋体" w:cs="Times New Roman"/>
                      <w:color w:val="auto"/>
                      <w:spacing w:val="-2"/>
                      <w:szCs w:val="21"/>
                      <w:highlight w:val="none"/>
                      <w:lang w:val="en-US" w:eastAsia="zh-CN"/>
                    </w:rPr>
                    <w:t>VOCs</w:t>
                  </w:r>
                  <w:r>
                    <w:rPr>
                      <w:rFonts w:hint="eastAsia" w:ascii="Times New Roman" w:hAnsi="Times New Roman" w:eastAsia="宋体" w:cs="Times New Roman"/>
                      <w:color w:val="auto"/>
                      <w:spacing w:val="-2"/>
                      <w:szCs w:val="21"/>
                      <w:highlight w:val="none"/>
                      <w:lang w:val="en-US" w:eastAsia="zh-CN"/>
                    </w:rPr>
                    <w:t>含量原辅材料替代计划。将生产和使用高</w:t>
                  </w:r>
                  <w:r>
                    <w:rPr>
                      <w:rFonts w:hint="default" w:ascii="Times New Roman" w:hAnsi="Times New Roman" w:eastAsia="宋体" w:cs="Times New Roman"/>
                      <w:color w:val="auto"/>
                      <w:spacing w:val="-2"/>
                      <w:szCs w:val="21"/>
                      <w:highlight w:val="none"/>
                      <w:lang w:val="en-US" w:eastAsia="zh-CN"/>
                    </w:rPr>
                    <w:t>VOCs</w:t>
                  </w:r>
                  <w:r>
                    <w:rPr>
                      <w:rFonts w:hint="eastAsia" w:ascii="Times New Roman" w:hAnsi="Times New Roman" w:eastAsia="宋体" w:cs="Times New Roman"/>
                      <w:color w:val="auto"/>
                      <w:spacing w:val="-2"/>
                      <w:szCs w:val="21"/>
                      <w:highlight w:val="none"/>
                      <w:lang w:val="en-US" w:eastAsia="zh-CN"/>
                    </w:rPr>
                    <w:t xml:space="preserve">含量产品的企业列入强制性清洁生产审核名单。到 </w:t>
                  </w:r>
                  <w:r>
                    <w:rPr>
                      <w:rFonts w:hint="default" w:ascii="Times New Roman" w:hAnsi="Times New Roman" w:eastAsia="宋体" w:cs="Times New Roman"/>
                      <w:color w:val="auto"/>
                      <w:spacing w:val="-2"/>
                      <w:szCs w:val="21"/>
                      <w:highlight w:val="none"/>
                      <w:lang w:val="en-US" w:eastAsia="zh-CN"/>
                    </w:rPr>
                    <w:t>2025</w:t>
                  </w:r>
                  <w:r>
                    <w:rPr>
                      <w:rFonts w:hint="eastAsia" w:ascii="Times New Roman" w:hAnsi="Times New Roman" w:eastAsia="宋体" w:cs="Times New Roman"/>
                      <w:color w:val="auto"/>
                      <w:spacing w:val="-2"/>
                      <w:szCs w:val="21"/>
                      <w:highlight w:val="none"/>
                      <w:lang w:val="en-US" w:eastAsia="zh-CN"/>
                    </w:rPr>
                    <w:t xml:space="preserve">年，基本完成汽车、摩托车整车制造底漆、中涂、色漆低 </w:t>
                  </w:r>
                  <w:r>
                    <w:rPr>
                      <w:rFonts w:hint="default" w:ascii="Times New Roman" w:hAnsi="Times New Roman" w:eastAsia="宋体" w:cs="Times New Roman"/>
                      <w:color w:val="auto"/>
                      <w:spacing w:val="-2"/>
                      <w:szCs w:val="21"/>
                      <w:highlight w:val="none"/>
                      <w:lang w:val="en-US" w:eastAsia="zh-CN"/>
                    </w:rPr>
                    <w:t xml:space="preserve">VOCs </w:t>
                  </w:r>
                  <w:r>
                    <w:rPr>
                      <w:rFonts w:hint="eastAsia" w:ascii="Times New Roman" w:hAnsi="Times New Roman" w:eastAsia="宋体" w:cs="Times New Roman"/>
                      <w:color w:val="auto"/>
                      <w:spacing w:val="-2"/>
                      <w:szCs w:val="21"/>
                      <w:highlight w:val="none"/>
                      <w:lang w:val="en-US" w:eastAsia="zh-CN"/>
                    </w:rPr>
                    <w:t xml:space="preserve">含量涂料替代；在木制家具、汽车零部件、工程机械、钢结构、船舶制造等行业技术成熟环节，大力推广低 </w:t>
                  </w:r>
                  <w:r>
                    <w:rPr>
                      <w:rFonts w:hint="default" w:ascii="Times New Roman" w:hAnsi="Times New Roman" w:eastAsia="宋体" w:cs="Times New Roman"/>
                      <w:color w:val="auto"/>
                      <w:spacing w:val="-2"/>
                      <w:szCs w:val="21"/>
                      <w:highlight w:val="none"/>
                      <w:lang w:val="en-US" w:eastAsia="zh-CN"/>
                    </w:rPr>
                    <w:t xml:space="preserve">VOCs </w:t>
                  </w:r>
                  <w:r>
                    <w:rPr>
                      <w:rFonts w:hint="eastAsia" w:ascii="Times New Roman" w:hAnsi="Times New Roman" w:eastAsia="宋体" w:cs="Times New Roman"/>
                      <w:color w:val="auto"/>
                      <w:spacing w:val="-2"/>
                      <w:szCs w:val="21"/>
                      <w:highlight w:val="none"/>
                      <w:lang w:val="en-US" w:eastAsia="zh-CN"/>
                    </w:rPr>
                    <w:t xml:space="preserve">含量涂料。在房屋建筑、市政工程和城市道路交通标志中，除特殊功能要求外，全面推广使用低 </w:t>
                  </w:r>
                  <w:r>
                    <w:rPr>
                      <w:rFonts w:hint="default" w:ascii="Times New Roman" w:hAnsi="Times New Roman" w:eastAsia="宋体" w:cs="Times New Roman"/>
                      <w:color w:val="auto"/>
                      <w:spacing w:val="-2"/>
                      <w:szCs w:val="21"/>
                      <w:highlight w:val="none"/>
                      <w:lang w:val="en-US" w:eastAsia="zh-CN"/>
                    </w:rPr>
                    <w:t xml:space="preserve">VOCs </w:t>
                  </w:r>
                  <w:r>
                    <w:rPr>
                      <w:rFonts w:hint="eastAsia" w:ascii="Times New Roman" w:hAnsi="Times New Roman" w:eastAsia="宋体" w:cs="Times New Roman"/>
                      <w:color w:val="auto"/>
                      <w:spacing w:val="-2"/>
                      <w:szCs w:val="21"/>
                      <w:highlight w:val="none"/>
                      <w:lang w:val="en-US" w:eastAsia="zh-CN"/>
                    </w:rPr>
                    <w:t xml:space="preserve">含量的涂料、胶粘剂。到 </w:t>
                  </w:r>
                  <w:r>
                    <w:rPr>
                      <w:rFonts w:hint="default" w:ascii="Times New Roman" w:hAnsi="Times New Roman" w:eastAsia="宋体" w:cs="Times New Roman"/>
                      <w:color w:val="auto"/>
                      <w:spacing w:val="-2"/>
                      <w:szCs w:val="21"/>
                      <w:highlight w:val="none"/>
                      <w:lang w:val="en-US" w:eastAsia="zh-CN"/>
                    </w:rPr>
                    <w:t xml:space="preserve">2025 </w:t>
                  </w:r>
                  <w:r>
                    <w:rPr>
                      <w:rFonts w:hint="eastAsia" w:ascii="Times New Roman" w:hAnsi="Times New Roman" w:eastAsia="宋体" w:cs="Times New Roman"/>
                      <w:color w:val="auto"/>
                      <w:spacing w:val="-2"/>
                      <w:szCs w:val="21"/>
                      <w:highlight w:val="none"/>
                      <w:lang w:val="en-US" w:eastAsia="zh-CN"/>
                    </w:rPr>
                    <w:t xml:space="preserve">年，全市溶剂型工业涂料、溶剂型油墨使用比例分别降低 </w:t>
                  </w:r>
                  <w:r>
                    <w:rPr>
                      <w:rFonts w:hint="default" w:ascii="Times New Roman" w:hAnsi="Times New Roman" w:eastAsia="宋体" w:cs="Times New Roman"/>
                      <w:color w:val="auto"/>
                      <w:spacing w:val="-2"/>
                      <w:szCs w:val="21"/>
                      <w:highlight w:val="none"/>
                      <w:lang w:val="en-US" w:eastAsia="zh-CN"/>
                    </w:rPr>
                    <w:t>20%</w:t>
                  </w:r>
                  <w:r>
                    <w:rPr>
                      <w:rFonts w:hint="eastAsia" w:ascii="Times New Roman" w:hAnsi="Times New Roman" w:eastAsia="宋体" w:cs="Times New Roman"/>
                      <w:color w:val="auto"/>
                      <w:spacing w:val="-2"/>
                      <w:szCs w:val="21"/>
                      <w:highlight w:val="none"/>
                      <w:lang w:val="en-US" w:eastAsia="zh-CN"/>
                    </w:rPr>
                    <w:t>、</w:t>
                  </w:r>
                  <w:r>
                    <w:rPr>
                      <w:rFonts w:hint="default" w:ascii="Times New Roman" w:hAnsi="Times New Roman" w:eastAsia="宋体" w:cs="Times New Roman"/>
                      <w:color w:val="auto"/>
                      <w:spacing w:val="-2"/>
                      <w:szCs w:val="21"/>
                      <w:highlight w:val="none"/>
                      <w:lang w:val="en-US" w:eastAsia="zh-CN"/>
                    </w:rPr>
                    <w:t>15%</w:t>
                  </w:r>
                  <w:r>
                    <w:rPr>
                      <w:rFonts w:hint="eastAsia" w:ascii="Times New Roman" w:hAnsi="Times New Roman" w:eastAsia="宋体" w:cs="Times New Roman"/>
                      <w:color w:val="auto"/>
                      <w:spacing w:val="-2"/>
                      <w:szCs w:val="21"/>
                      <w:highlight w:val="none"/>
                      <w:lang w:val="en-US" w:eastAsia="zh-CN"/>
                    </w:rPr>
                    <w:t>，溶剂型胶粘剂使用量下降</w:t>
                  </w:r>
                  <w:r>
                    <w:rPr>
                      <w:rFonts w:hint="default" w:ascii="Times New Roman" w:hAnsi="Times New Roman" w:eastAsia="宋体" w:cs="Times New Roman"/>
                      <w:color w:val="auto"/>
                      <w:spacing w:val="-2"/>
                      <w:szCs w:val="21"/>
                      <w:highlight w:val="none"/>
                      <w:lang w:val="en-US" w:eastAsia="zh-CN"/>
                    </w:rPr>
                    <w:t>20%</w:t>
                  </w:r>
                </w:p>
              </w:tc>
              <w:tc>
                <w:tcPr>
                  <w:tcW w:w="1633" w:type="dxa"/>
                  <w:vAlign w:val="center"/>
                </w:tcPr>
                <w:p>
                  <w:pPr>
                    <w:adjustRightInd w:val="0"/>
                    <w:snapToGrid w:val="0"/>
                    <w:jc w:val="center"/>
                    <w:rPr>
                      <w:rFonts w:hint="default" w:ascii="Times New Roman" w:hAnsi="Times New Roman" w:eastAsia="宋体" w:cs="Times New Roman"/>
                      <w:color w:val="auto"/>
                      <w:spacing w:val="-2"/>
                      <w:szCs w:val="21"/>
                      <w:highlight w:val="none"/>
                      <w:lang w:val="en-US" w:eastAsia="zh-CN"/>
                    </w:rPr>
                  </w:pPr>
                  <w:r>
                    <w:rPr>
                      <w:rFonts w:hint="eastAsia" w:ascii="Times New Roman" w:hAnsi="Times New Roman" w:eastAsia="宋体" w:cs="Times New Roman"/>
                      <w:color w:val="auto"/>
                      <w:spacing w:val="-2"/>
                      <w:szCs w:val="21"/>
                      <w:highlight w:val="none"/>
                      <w:lang w:val="en-US" w:eastAsia="zh-CN"/>
                    </w:rPr>
                    <w:t>项目不涉及喷涂，生产过程产生的有机废气经处理后可实现达标排放</w:t>
                  </w:r>
                </w:p>
              </w:tc>
              <w:tc>
                <w:tcPr>
                  <w:tcW w:w="640" w:type="dxa"/>
                  <w:vAlign w:val="center"/>
                </w:tcPr>
                <w:p>
                  <w:pPr>
                    <w:adjustRightInd w:val="0"/>
                    <w:snapToGrid w:val="0"/>
                    <w:jc w:val="center"/>
                    <w:rPr>
                      <w:rFonts w:hint="default" w:ascii="Times New Roman" w:hAnsi="Times New Roman" w:eastAsia="宋体" w:cs="Times New Roman"/>
                      <w:color w:val="auto"/>
                      <w:spacing w:val="-2"/>
                      <w:szCs w:val="21"/>
                      <w:highlight w:val="none"/>
                      <w:lang w:val="en-US" w:eastAsia="zh-CN"/>
                    </w:rPr>
                  </w:pPr>
                  <w:r>
                    <w:rPr>
                      <w:rFonts w:hint="eastAsia" w:ascii="Times New Roman" w:hAnsi="Times New Roman" w:eastAsia="宋体" w:cs="Times New Roman"/>
                      <w:color w:val="auto"/>
                      <w:spacing w:val="-2"/>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Align w:val="center"/>
                </w:tcPr>
                <w:p>
                  <w:pPr>
                    <w:adjustRightInd w:val="0"/>
                    <w:snapToGrid w:val="0"/>
                    <w:jc w:val="center"/>
                    <w:rPr>
                      <w:rFonts w:hint="default" w:ascii="Times New Roman" w:hAnsi="Times New Roman" w:eastAsia="宋体" w:cs="Times New Roman"/>
                      <w:color w:val="auto"/>
                      <w:spacing w:val="-2"/>
                      <w:szCs w:val="21"/>
                      <w:highlight w:val="none"/>
                      <w:lang w:val="en-US" w:eastAsia="zh-CN"/>
                    </w:rPr>
                  </w:pPr>
                  <w:r>
                    <w:rPr>
                      <w:rFonts w:hint="eastAsia" w:ascii="Times New Roman" w:hAnsi="Times New Roman" w:eastAsia="宋体" w:cs="Times New Roman"/>
                      <w:color w:val="auto"/>
                      <w:spacing w:val="-2"/>
                      <w:szCs w:val="21"/>
                      <w:highlight w:val="none"/>
                      <w:lang w:val="en-US" w:eastAsia="zh-CN"/>
                    </w:rPr>
                    <w:t>强化VOC</w:t>
                  </w:r>
                  <w:r>
                    <w:rPr>
                      <w:rFonts w:hint="eastAsia" w:ascii="Times New Roman" w:hAnsi="Times New Roman" w:eastAsia="宋体" w:cs="Times New Roman"/>
                      <w:color w:val="auto"/>
                      <w:spacing w:val="-2"/>
                      <w:szCs w:val="21"/>
                      <w:highlight w:val="none"/>
                      <w:vertAlign w:val="subscript"/>
                      <w:lang w:val="en-US" w:eastAsia="zh-CN"/>
                    </w:rPr>
                    <w:t>S</w:t>
                  </w:r>
                  <w:r>
                    <w:rPr>
                      <w:rFonts w:hint="eastAsia" w:ascii="Times New Roman" w:hAnsi="Times New Roman" w:eastAsia="宋体" w:cs="Times New Roman"/>
                      <w:color w:val="auto"/>
                      <w:spacing w:val="-2"/>
                      <w:szCs w:val="21"/>
                      <w:highlight w:val="none"/>
                      <w:lang w:val="en-US" w:eastAsia="zh-CN"/>
                    </w:rPr>
                    <w:t>无组织排放管控</w:t>
                  </w:r>
                </w:p>
              </w:tc>
              <w:tc>
                <w:tcPr>
                  <w:tcW w:w="4717" w:type="dxa"/>
                  <w:vAlign w:val="center"/>
                </w:tcPr>
                <w:p>
                  <w:pPr>
                    <w:adjustRightInd w:val="0"/>
                    <w:snapToGrid w:val="0"/>
                    <w:jc w:val="center"/>
                    <w:rPr>
                      <w:rFonts w:hint="eastAsia" w:ascii="Times New Roman" w:hAnsi="Times New Roman" w:eastAsia="宋体" w:cs="Times New Roman"/>
                      <w:color w:val="auto"/>
                      <w:spacing w:val="-2"/>
                      <w:szCs w:val="21"/>
                      <w:highlight w:val="none"/>
                      <w:lang w:val="en-US" w:eastAsia="zh-CN"/>
                    </w:rPr>
                  </w:pPr>
                  <w:r>
                    <w:rPr>
                      <w:rFonts w:hint="eastAsia" w:ascii="Times New Roman" w:hAnsi="Times New Roman" w:eastAsia="宋体" w:cs="Times New Roman"/>
                      <w:color w:val="auto"/>
                      <w:spacing w:val="-2"/>
                      <w:szCs w:val="21"/>
                      <w:highlight w:val="none"/>
                      <w:lang w:val="en-US" w:eastAsia="zh-CN"/>
                    </w:rPr>
                    <w:t>实施储罐综合治理，浮顶与罐壁之间应采用高效密封方式，重点区域存储汽油、航空煤油、石脑油以及苯、甲苯、二甲苯的浮顶罐应使用全液面接触式浮顶。强化装卸废气收集治理，限期推动装载汽油、航空煤油、石脑油和苯、甲苯、二甲苯等的汽车罐车全部采用底部装载方式，换用自封式快速接头。指导企业规范开展泄漏检测与修复（</w:t>
                  </w:r>
                  <w:r>
                    <w:rPr>
                      <w:rFonts w:hint="default" w:ascii="Times New Roman" w:hAnsi="Times New Roman" w:eastAsia="宋体" w:cs="Times New Roman"/>
                      <w:color w:val="auto"/>
                      <w:spacing w:val="-2"/>
                      <w:szCs w:val="21"/>
                      <w:highlight w:val="none"/>
                      <w:lang w:val="en-US" w:eastAsia="zh-CN"/>
                    </w:rPr>
                    <w:t>LDAR</w:t>
                  </w:r>
                  <w:r>
                    <w:rPr>
                      <w:rFonts w:hint="eastAsia" w:ascii="Times New Roman" w:hAnsi="Times New Roman" w:eastAsia="宋体" w:cs="Times New Roman"/>
                      <w:color w:val="auto"/>
                      <w:spacing w:val="-2"/>
                      <w:szCs w:val="21"/>
                      <w:highlight w:val="none"/>
                      <w:lang w:val="en-US" w:eastAsia="zh-CN"/>
                    </w:rPr>
                    <w:t>）工作，优先在密封点超过</w:t>
                  </w:r>
                  <w:r>
                    <w:rPr>
                      <w:rFonts w:hint="default" w:ascii="Times New Roman" w:hAnsi="Times New Roman" w:eastAsia="宋体" w:cs="Times New Roman"/>
                      <w:color w:val="auto"/>
                      <w:spacing w:val="-2"/>
                      <w:szCs w:val="21"/>
                      <w:highlight w:val="none"/>
                      <w:lang w:val="en-US" w:eastAsia="zh-CN"/>
                    </w:rPr>
                    <w:t>2000</w:t>
                  </w:r>
                  <w:r>
                    <w:rPr>
                      <w:rFonts w:hint="eastAsia" w:ascii="Times New Roman" w:hAnsi="Times New Roman" w:eastAsia="宋体" w:cs="Times New Roman"/>
                      <w:color w:val="auto"/>
                      <w:spacing w:val="-2"/>
                      <w:szCs w:val="21"/>
                      <w:highlight w:val="none"/>
                      <w:lang w:val="en-US" w:eastAsia="zh-CN"/>
                    </w:rPr>
                    <w:t>个的企业推行</w:t>
                  </w:r>
                  <w:r>
                    <w:rPr>
                      <w:rFonts w:hint="default" w:ascii="Times New Roman" w:hAnsi="Times New Roman" w:eastAsia="宋体" w:cs="Times New Roman"/>
                      <w:color w:val="auto"/>
                      <w:spacing w:val="-2"/>
                      <w:szCs w:val="21"/>
                      <w:highlight w:val="none"/>
                      <w:lang w:val="en-US" w:eastAsia="zh-CN"/>
                    </w:rPr>
                    <w:t>LDAR</w:t>
                  </w:r>
                  <w:r>
                    <w:rPr>
                      <w:rFonts w:hint="eastAsia" w:ascii="Times New Roman" w:hAnsi="Times New Roman" w:eastAsia="宋体" w:cs="Times New Roman"/>
                      <w:color w:val="auto"/>
                      <w:spacing w:val="-2"/>
                      <w:szCs w:val="21"/>
                      <w:highlight w:val="none"/>
                      <w:lang w:val="en-US" w:eastAsia="zh-CN"/>
                    </w:rPr>
                    <w:t>技术改造，并加强监督检查。长寿、万州、涪陵及其他重点工业园区，逐步建立统一的</w:t>
                  </w:r>
                  <w:r>
                    <w:rPr>
                      <w:rFonts w:hint="default" w:ascii="Times New Roman" w:hAnsi="Times New Roman" w:eastAsia="宋体" w:cs="Times New Roman"/>
                      <w:color w:val="auto"/>
                      <w:spacing w:val="-2"/>
                      <w:szCs w:val="21"/>
                      <w:highlight w:val="none"/>
                      <w:lang w:val="en-US" w:eastAsia="zh-CN"/>
                    </w:rPr>
                    <w:t xml:space="preserve">LDAR </w:t>
                  </w:r>
                  <w:r>
                    <w:rPr>
                      <w:rFonts w:hint="eastAsia" w:ascii="Times New Roman" w:hAnsi="Times New Roman" w:eastAsia="宋体" w:cs="Times New Roman"/>
                      <w:color w:val="auto"/>
                      <w:spacing w:val="-2"/>
                      <w:szCs w:val="21"/>
                      <w:highlight w:val="none"/>
                      <w:lang w:val="en-US" w:eastAsia="zh-CN"/>
                    </w:rPr>
                    <w:t>信息管理平台试点。</w:t>
                  </w:r>
                  <w:r>
                    <w:rPr>
                      <w:rFonts w:hint="default" w:ascii="Times New Roman" w:hAnsi="Times New Roman" w:eastAsia="宋体" w:cs="Times New Roman"/>
                      <w:color w:val="auto"/>
                      <w:spacing w:val="-2"/>
                      <w:szCs w:val="21"/>
                      <w:highlight w:val="none"/>
                      <w:lang w:val="en-US" w:eastAsia="zh-CN"/>
                    </w:rPr>
                    <w:t xml:space="preserve">2023 </w:t>
                  </w:r>
                  <w:r>
                    <w:rPr>
                      <w:rFonts w:hint="eastAsia" w:ascii="Times New Roman" w:hAnsi="Times New Roman" w:eastAsia="宋体" w:cs="Times New Roman"/>
                      <w:color w:val="auto"/>
                      <w:spacing w:val="-2"/>
                      <w:szCs w:val="21"/>
                      <w:highlight w:val="none"/>
                      <w:lang w:val="en-US" w:eastAsia="zh-CN"/>
                    </w:rPr>
                    <w:t>年年底前完成万吨级及以上原油、成品油码头油气回收治理。鼓励重点区域年销售汽油</w:t>
                  </w:r>
                  <w:r>
                    <w:rPr>
                      <w:rFonts w:hint="default" w:ascii="Times New Roman" w:hAnsi="Times New Roman" w:eastAsia="宋体" w:cs="Times New Roman"/>
                      <w:color w:val="auto"/>
                      <w:spacing w:val="-2"/>
                      <w:szCs w:val="21"/>
                      <w:highlight w:val="none"/>
                      <w:lang w:val="en-US" w:eastAsia="zh-CN"/>
                    </w:rPr>
                    <w:t xml:space="preserve">5000 </w:t>
                  </w:r>
                  <w:r>
                    <w:rPr>
                      <w:rFonts w:hint="eastAsia" w:ascii="Times New Roman" w:hAnsi="Times New Roman" w:eastAsia="宋体" w:cs="Times New Roman"/>
                      <w:color w:val="auto"/>
                      <w:spacing w:val="-2"/>
                      <w:szCs w:val="21"/>
                      <w:highlight w:val="none"/>
                      <w:lang w:val="en-US" w:eastAsia="zh-CN"/>
                    </w:rPr>
                    <w:t>吨以上加油站完成油气三级回收处理</w:t>
                  </w:r>
                </w:p>
              </w:tc>
              <w:tc>
                <w:tcPr>
                  <w:tcW w:w="1633" w:type="dxa"/>
                  <w:vAlign w:val="center"/>
                </w:tcPr>
                <w:p>
                  <w:pPr>
                    <w:adjustRightInd w:val="0"/>
                    <w:snapToGrid w:val="0"/>
                    <w:jc w:val="center"/>
                    <w:rPr>
                      <w:rFonts w:hint="default" w:ascii="Times New Roman" w:hAnsi="Times New Roman" w:eastAsia="宋体" w:cs="Times New Roman"/>
                      <w:color w:val="auto"/>
                      <w:spacing w:val="-2"/>
                      <w:szCs w:val="21"/>
                      <w:highlight w:val="none"/>
                      <w:lang w:val="en-US" w:eastAsia="zh-CN"/>
                    </w:rPr>
                  </w:pPr>
                  <w:r>
                    <w:rPr>
                      <w:rFonts w:hint="eastAsia" w:ascii="Times New Roman" w:hAnsi="Times New Roman" w:eastAsia="宋体" w:cs="Times New Roman"/>
                      <w:color w:val="auto"/>
                      <w:spacing w:val="-2"/>
                      <w:szCs w:val="21"/>
                      <w:highlight w:val="none"/>
                      <w:lang w:val="en-US" w:eastAsia="zh-CN"/>
                    </w:rPr>
                    <w:t>项目不涉及汽油、航空煤油、石脑油以及苯、甲苯、二甲苯储存</w:t>
                  </w:r>
                </w:p>
              </w:tc>
              <w:tc>
                <w:tcPr>
                  <w:tcW w:w="640" w:type="dxa"/>
                  <w:vAlign w:val="center"/>
                </w:tcPr>
                <w:p>
                  <w:pPr>
                    <w:adjustRightInd w:val="0"/>
                    <w:snapToGrid w:val="0"/>
                    <w:jc w:val="center"/>
                    <w:rPr>
                      <w:rFonts w:hint="eastAsia" w:ascii="Times New Roman" w:hAnsi="Times New Roman" w:eastAsia="宋体" w:cs="Times New Roman"/>
                      <w:color w:val="auto"/>
                      <w:spacing w:val="-2"/>
                      <w:szCs w:val="21"/>
                      <w:highlight w:val="none"/>
                      <w:lang w:val="en-US" w:eastAsia="zh-CN"/>
                    </w:rPr>
                  </w:pPr>
                  <w:r>
                    <w:rPr>
                      <w:rFonts w:hint="eastAsia" w:ascii="Times New Roman" w:hAnsi="Times New Roman" w:eastAsia="宋体" w:cs="Times New Roman"/>
                      <w:color w:val="auto"/>
                      <w:spacing w:val="-2"/>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Align w:val="center"/>
                </w:tcPr>
                <w:p>
                  <w:pPr>
                    <w:adjustRightInd w:val="0"/>
                    <w:snapToGrid w:val="0"/>
                    <w:jc w:val="center"/>
                    <w:rPr>
                      <w:rFonts w:hint="default" w:ascii="Times New Roman" w:hAnsi="Times New Roman" w:eastAsia="宋体" w:cs="Times New Roman"/>
                      <w:color w:val="auto"/>
                      <w:spacing w:val="-2"/>
                      <w:szCs w:val="21"/>
                      <w:highlight w:val="none"/>
                      <w:lang w:val="en-US" w:eastAsia="zh-CN"/>
                    </w:rPr>
                  </w:pPr>
                  <w:r>
                    <w:rPr>
                      <w:rFonts w:hint="eastAsia" w:ascii="Times New Roman" w:hAnsi="Times New Roman" w:eastAsia="宋体" w:cs="Times New Roman"/>
                      <w:color w:val="auto"/>
                      <w:spacing w:val="-2"/>
                      <w:szCs w:val="21"/>
                      <w:highlight w:val="none"/>
                      <w:lang w:val="en-US" w:eastAsia="zh-CN"/>
                    </w:rPr>
                    <w:t>持续推进VOC</w:t>
                  </w:r>
                  <w:r>
                    <w:rPr>
                      <w:rFonts w:hint="eastAsia" w:ascii="Times New Roman" w:hAnsi="Times New Roman" w:eastAsia="宋体" w:cs="Times New Roman"/>
                      <w:color w:val="auto"/>
                      <w:spacing w:val="-2"/>
                      <w:szCs w:val="21"/>
                      <w:highlight w:val="none"/>
                      <w:vertAlign w:val="subscript"/>
                      <w:lang w:val="en-US" w:eastAsia="zh-CN"/>
                    </w:rPr>
                    <w:t>S</w:t>
                  </w:r>
                  <w:r>
                    <w:rPr>
                      <w:rFonts w:hint="eastAsia" w:ascii="Times New Roman" w:hAnsi="Times New Roman" w:eastAsia="宋体" w:cs="Times New Roman"/>
                      <w:color w:val="auto"/>
                      <w:spacing w:val="-2"/>
                      <w:szCs w:val="21"/>
                      <w:highlight w:val="none"/>
                      <w:lang w:val="en-US" w:eastAsia="zh-CN"/>
                    </w:rPr>
                    <w:t>全过程综合治理</w:t>
                  </w:r>
                </w:p>
              </w:tc>
              <w:tc>
                <w:tcPr>
                  <w:tcW w:w="4717" w:type="dxa"/>
                  <w:vAlign w:val="center"/>
                </w:tcPr>
                <w:p>
                  <w:pPr>
                    <w:adjustRightInd w:val="0"/>
                    <w:snapToGrid w:val="0"/>
                    <w:jc w:val="center"/>
                    <w:rPr>
                      <w:rFonts w:hint="eastAsia" w:ascii="Times New Roman" w:hAnsi="Times New Roman" w:eastAsia="宋体" w:cs="Times New Roman"/>
                      <w:color w:val="auto"/>
                      <w:spacing w:val="-2"/>
                      <w:szCs w:val="21"/>
                      <w:highlight w:val="none"/>
                      <w:lang w:val="en-US" w:eastAsia="zh-CN"/>
                    </w:rPr>
                  </w:pPr>
                  <w:r>
                    <w:rPr>
                      <w:rFonts w:hint="eastAsia" w:ascii="Times New Roman" w:hAnsi="Times New Roman" w:eastAsia="宋体" w:cs="Times New Roman"/>
                      <w:color w:val="auto"/>
                      <w:spacing w:val="-2"/>
                      <w:szCs w:val="21"/>
                      <w:highlight w:val="none"/>
                      <w:lang w:val="en-US" w:eastAsia="zh-CN"/>
                    </w:rPr>
                    <w:t xml:space="preserve">推动 </w:t>
                  </w:r>
                  <w:r>
                    <w:rPr>
                      <w:rFonts w:hint="default" w:ascii="Times New Roman" w:hAnsi="Times New Roman" w:eastAsia="宋体" w:cs="Times New Roman"/>
                      <w:color w:val="auto"/>
                      <w:spacing w:val="-2"/>
                      <w:szCs w:val="21"/>
                      <w:highlight w:val="none"/>
                      <w:lang w:val="en-US" w:eastAsia="zh-CN"/>
                    </w:rPr>
                    <w:t xml:space="preserve">VOCs </w:t>
                  </w:r>
                  <w:r>
                    <w:rPr>
                      <w:rFonts w:hint="eastAsia" w:ascii="Times New Roman" w:hAnsi="Times New Roman" w:eastAsia="宋体" w:cs="Times New Roman"/>
                      <w:color w:val="auto"/>
                      <w:spacing w:val="-2"/>
                      <w:szCs w:val="21"/>
                      <w:highlight w:val="none"/>
                      <w:lang w:val="en-US" w:eastAsia="zh-CN"/>
                    </w:rPr>
                    <w:t>末端治理升级。推行</w:t>
                  </w:r>
                  <w:r>
                    <w:rPr>
                      <w:rFonts w:hint="default" w:ascii="Times New Roman" w:hAnsi="Times New Roman" w:eastAsia="宋体" w:cs="Times New Roman"/>
                      <w:color w:val="auto"/>
                      <w:spacing w:val="-2"/>
                      <w:szCs w:val="21"/>
                      <w:highlight w:val="none"/>
                      <w:lang w:val="en-US" w:eastAsia="zh-CN"/>
                    </w:rPr>
                    <w:t>“</w:t>
                  </w:r>
                  <w:r>
                    <w:rPr>
                      <w:rFonts w:hint="eastAsia" w:ascii="Times New Roman" w:hAnsi="Times New Roman" w:eastAsia="宋体" w:cs="Times New Roman"/>
                      <w:color w:val="auto"/>
                      <w:spacing w:val="-2"/>
                      <w:szCs w:val="21"/>
                      <w:highlight w:val="none"/>
                      <w:lang w:val="en-US" w:eastAsia="zh-CN"/>
                    </w:rPr>
                    <w:t>一企一策</w:t>
                  </w:r>
                  <w:r>
                    <w:rPr>
                      <w:rFonts w:hint="default" w:ascii="Times New Roman" w:hAnsi="Times New Roman" w:eastAsia="宋体" w:cs="Times New Roman"/>
                      <w:color w:val="auto"/>
                      <w:spacing w:val="-2"/>
                      <w:szCs w:val="21"/>
                      <w:highlight w:val="none"/>
                      <w:lang w:val="en-US" w:eastAsia="zh-CN"/>
                    </w:rPr>
                    <w:t>”</w:t>
                  </w:r>
                  <w:r>
                    <w:rPr>
                      <w:rFonts w:hint="eastAsia" w:ascii="Times New Roman" w:hAnsi="Times New Roman" w:eastAsia="宋体" w:cs="Times New Roman"/>
                      <w:color w:val="auto"/>
                      <w:spacing w:val="-2"/>
                      <w:szCs w:val="21"/>
                      <w:highlight w:val="none"/>
                      <w:lang w:val="en-US" w:eastAsia="zh-CN"/>
                    </w:rPr>
                    <w:t xml:space="preserve">，引导企业选择多种技术的组合工艺提高 </w:t>
                  </w:r>
                  <w:r>
                    <w:rPr>
                      <w:rFonts w:hint="default" w:ascii="Times New Roman" w:hAnsi="Times New Roman" w:eastAsia="宋体" w:cs="Times New Roman"/>
                      <w:color w:val="auto"/>
                      <w:spacing w:val="-2"/>
                      <w:szCs w:val="21"/>
                      <w:highlight w:val="none"/>
                      <w:lang w:val="en-US" w:eastAsia="zh-CN"/>
                    </w:rPr>
                    <w:t xml:space="preserve">VOCs </w:t>
                  </w:r>
                  <w:r>
                    <w:rPr>
                      <w:rFonts w:hint="eastAsia" w:ascii="Times New Roman" w:hAnsi="Times New Roman" w:eastAsia="宋体" w:cs="Times New Roman"/>
                      <w:color w:val="auto"/>
                      <w:spacing w:val="-2"/>
                      <w:szCs w:val="21"/>
                      <w:highlight w:val="none"/>
                      <w:lang w:val="en-US" w:eastAsia="zh-CN"/>
                    </w:rPr>
                    <w:t>治理效率。石化、化工企业加强火炬系统排放监管，保证燃烧温度和污染物停留时间能有效去除污染物。加强非正常工况废气排放管控，制定非正常工况</w:t>
                  </w:r>
                  <w:r>
                    <w:rPr>
                      <w:rFonts w:hint="default" w:ascii="Times New Roman" w:hAnsi="Times New Roman" w:eastAsia="宋体" w:cs="Times New Roman"/>
                      <w:color w:val="auto"/>
                      <w:spacing w:val="-2"/>
                      <w:szCs w:val="21"/>
                      <w:highlight w:val="none"/>
                      <w:lang w:val="en-US" w:eastAsia="zh-CN"/>
                    </w:rPr>
                    <w:t xml:space="preserve">VOCs </w:t>
                  </w:r>
                  <w:r>
                    <w:rPr>
                      <w:rFonts w:hint="eastAsia" w:ascii="Times New Roman" w:hAnsi="Times New Roman" w:eastAsia="宋体" w:cs="Times New Roman"/>
                      <w:color w:val="auto"/>
                      <w:spacing w:val="-2"/>
                      <w:szCs w:val="21"/>
                      <w:highlight w:val="none"/>
                      <w:lang w:val="en-US" w:eastAsia="zh-CN"/>
                    </w:rPr>
                    <w:t>管控规程，严格按规程操作。有条件的工业集聚区建设集中喷涂工程中心，配备高效治污设施，替代企业独立喷涂工序，对涉及喷漆、喷粉、印刷等废气进行集中处理。鼓励对中小型企业集群开展企业分散收集一活性炭移动集中再生治理模式的示范推广</w:t>
                  </w:r>
                </w:p>
              </w:tc>
              <w:tc>
                <w:tcPr>
                  <w:tcW w:w="1633" w:type="dxa"/>
                  <w:vAlign w:val="center"/>
                </w:tcPr>
                <w:p>
                  <w:pPr>
                    <w:adjustRightInd w:val="0"/>
                    <w:snapToGrid w:val="0"/>
                    <w:jc w:val="center"/>
                    <w:rPr>
                      <w:rFonts w:hint="default" w:ascii="Times New Roman" w:hAnsi="Times New Roman" w:eastAsia="宋体" w:cs="Times New Roman"/>
                      <w:color w:val="auto"/>
                      <w:spacing w:val="-2"/>
                      <w:szCs w:val="21"/>
                      <w:highlight w:val="none"/>
                      <w:lang w:val="en-US" w:eastAsia="zh-CN"/>
                    </w:rPr>
                  </w:pPr>
                  <w:r>
                    <w:rPr>
                      <w:rFonts w:hint="eastAsia" w:ascii="Times New Roman" w:hAnsi="Times New Roman" w:eastAsia="宋体" w:cs="Times New Roman"/>
                      <w:color w:val="auto"/>
                      <w:spacing w:val="-2"/>
                      <w:szCs w:val="21"/>
                      <w:highlight w:val="none"/>
                      <w:lang w:val="en-US" w:eastAsia="zh-CN"/>
                    </w:rPr>
                    <w:t>项目产生的有机废气经采取有效措施后可实现达标排放</w:t>
                  </w:r>
                </w:p>
              </w:tc>
              <w:tc>
                <w:tcPr>
                  <w:tcW w:w="640" w:type="dxa"/>
                  <w:vAlign w:val="center"/>
                </w:tcPr>
                <w:p>
                  <w:pPr>
                    <w:adjustRightInd w:val="0"/>
                    <w:snapToGrid w:val="0"/>
                    <w:jc w:val="center"/>
                    <w:rPr>
                      <w:rFonts w:hint="eastAsia" w:ascii="Times New Roman" w:hAnsi="Times New Roman" w:eastAsia="宋体" w:cs="Times New Roman"/>
                      <w:color w:val="auto"/>
                      <w:spacing w:val="-2"/>
                      <w:szCs w:val="21"/>
                      <w:highlight w:val="none"/>
                      <w:lang w:val="en-US" w:eastAsia="zh-CN"/>
                    </w:rPr>
                  </w:pPr>
                  <w:r>
                    <w:rPr>
                      <w:rFonts w:hint="eastAsia" w:ascii="Times New Roman" w:hAnsi="Times New Roman" w:eastAsia="宋体" w:cs="Times New Roman"/>
                      <w:color w:val="auto"/>
                      <w:spacing w:val="-2"/>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Align w:val="center"/>
                </w:tcPr>
                <w:p>
                  <w:pPr>
                    <w:adjustRightInd w:val="0"/>
                    <w:snapToGrid w:val="0"/>
                    <w:jc w:val="center"/>
                    <w:rPr>
                      <w:rFonts w:hint="default" w:ascii="Times New Roman" w:hAnsi="Times New Roman" w:eastAsia="宋体" w:cs="Times New Roman"/>
                      <w:color w:val="auto"/>
                      <w:spacing w:val="-2"/>
                      <w:szCs w:val="21"/>
                      <w:highlight w:val="none"/>
                      <w:lang w:val="en-US" w:eastAsia="zh-CN"/>
                    </w:rPr>
                  </w:pPr>
                  <w:r>
                    <w:rPr>
                      <w:rFonts w:hint="eastAsia" w:ascii="Times New Roman" w:hAnsi="Times New Roman" w:eastAsia="宋体" w:cs="Times New Roman"/>
                      <w:color w:val="auto"/>
                      <w:spacing w:val="-2"/>
                      <w:szCs w:val="21"/>
                      <w:highlight w:val="none"/>
                      <w:lang w:val="en-US" w:eastAsia="zh-CN"/>
                    </w:rPr>
                    <w:t>持续优化产业结构和布局</w:t>
                  </w:r>
                </w:p>
              </w:tc>
              <w:tc>
                <w:tcPr>
                  <w:tcW w:w="4717" w:type="dxa"/>
                  <w:vAlign w:val="center"/>
                </w:tcPr>
                <w:p>
                  <w:pPr>
                    <w:adjustRightInd w:val="0"/>
                    <w:snapToGrid w:val="0"/>
                    <w:jc w:val="center"/>
                    <w:rPr>
                      <w:rFonts w:hint="eastAsia" w:ascii="Times New Roman" w:hAnsi="Times New Roman" w:eastAsia="宋体" w:cs="Times New Roman"/>
                      <w:color w:val="auto"/>
                      <w:spacing w:val="-2"/>
                      <w:szCs w:val="21"/>
                      <w:highlight w:val="none"/>
                      <w:lang w:val="en-US" w:eastAsia="zh-CN"/>
                    </w:rPr>
                  </w:pPr>
                  <w:r>
                    <w:rPr>
                      <w:rFonts w:hint="eastAsia" w:ascii="Times New Roman" w:hAnsi="Times New Roman" w:eastAsia="宋体" w:cs="Times New Roman"/>
                      <w:color w:val="auto"/>
                      <w:spacing w:val="-2"/>
                      <w:szCs w:val="21"/>
                      <w:highlight w:val="none"/>
                      <w:lang w:val="en-US" w:eastAsia="zh-CN"/>
                    </w:rPr>
                    <w:t>坚决遏制高耗能、高排放、低水平项目盲目发展。严格落实国家和本市产业规划、产业政策、</w:t>
                  </w:r>
                  <w:r>
                    <w:rPr>
                      <w:rFonts w:hint="default" w:ascii="Times New Roman" w:hAnsi="Times New Roman" w:eastAsia="宋体" w:cs="Times New Roman"/>
                      <w:color w:val="auto"/>
                      <w:spacing w:val="-2"/>
                      <w:szCs w:val="21"/>
                      <w:highlight w:val="none"/>
                      <w:lang w:val="en-US" w:eastAsia="zh-CN"/>
                    </w:rPr>
                    <w:t>“</w:t>
                  </w:r>
                  <w:r>
                    <w:rPr>
                      <w:rFonts w:hint="eastAsia" w:ascii="Times New Roman" w:hAnsi="Times New Roman" w:eastAsia="宋体" w:cs="Times New Roman"/>
                      <w:color w:val="auto"/>
                      <w:spacing w:val="-2"/>
                      <w:szCs w:val="21"/>
                      <w:highlight w:val="none"/>
                      <w:lang w:val="en-US" w:eastAsia="zh-CN"/>
                    </w:rPr>
                    <w:t>三线一单</w:t>
                  </w:r>
                  <w:r>
                    <w:rPr>
                      <w:rFonts w:hint="default" w:ascii="Times New Roman" w:hAnsi="Times New Roman" w:eastAsia="宋体" w:cs="Times New Roman"/>
                      <w:color w:val="auto"/>
                      <w:spacing w:val="-2"/>
                      <w:szCs w:val="21"/>
                      <w:highlight w:val="none"/>
                      <w:lang w:val="en-US" w:eastAsia="zh-CN"/>
                    </w:rPr>
                    <w:t>”</w:t>
                  </w:r>
                  <w:r>
                    <w:rPr>
                      <w:rFonts w:hint="eastAsia" w:ascii="Times New Roman" w:hAnsi="Times New Roman" w:eastAsia="宋体" w:cs="Times New Roman"/>
                      <w:color w:val="auto"/>
                      <w:spacing w:val="-2"/>
                      <w:szCs w:val="21"/>
                      <w:highlight w:val="none"/>
                      <w:lang w:val="en-US" w:eastAsia="zh-CN"/>
                    </w:rPr>
                    <w:t>、规划环评以及产能置换、煤炭消费减量替代、区域污染物削减等相关要求，严控高耗能、高排放、低水平项目，因地制宜制定</w:t>
                  </w:r>
                  <w:r>
                    <w:rPr>
                      <w:rFonts w:hint="default" w:ascii="Times New Roman" w:hAnsi="Times New Roman" w:eastAsia="宋体" w:cs="Times New Roman"/>
                      <w:color w:val="auto"/>
                      <w:spacing w:val="-2"/>
                      <w:szCs w:val="21"/>
                      <w:highlight w:val="none"/>
                      <w:lang w:val="en-US" w:eastAsia="zh-CN"/>
                    </w:rPr>
                    <w:t>“</w:t>
                  </w:r>
                  <w:r>
                    <w:rPr>
                      <w:rFonts w:hint="eastAsia" w:ascii="Times New Roman" w:hAnsi="Times New Roman" w:eastAsia="宋体" w:cs="Times New Roman"/>
                      <w:color w:val="auto"/>
                      <w:spacing w:val="-2"/>
                      <w:szCs w:val="21"/>
                      <w:highlight w:val="none"/>
                      <w:lang w:val="en-US" w:eastAsia="zh-CN"/>
                    </w:rPr>
                    <w:t>两高</w:t>
                  </w:r>
                  <w:r>
                    <w:rPr>
                      <w:rFonts w:hint="default" w:ascii="Times New Roman" w:hAnsi="Times New Roman" w:eastAsia="宋体" w:cs="Times New Roman"/>
                      <w:color w:val="auto"/>
                      <w:spacing w:val="-2"/>
                      <w:szCs w:val="21"/>
                      <w:highlight w:val="none"/>
                      <w:lang w:val="en-US" w:eastAsia="zh-CN"/>
                    </w:rPr>
                    <w:t>”</w:t>
                  </w:r>
                  <w:r>
                    <w:rPr>
                      <w:rFonts w:hint="eastAsia" w:ascii="Times New Roman" w:hAnsi="Times New Roman" w:eastAsia="宋体" w:cs="Times New Roman"/>
                      <w:color w:val="auto"/>
                      <w:spacing w:val="-2"/>
                      <w:szCs w:val="21"/>
                      <w:highlight w:val="none"/>
                      <w:lang w:val="en-US" w:eastAsia="zh-CN"/>
                    </w:rPr>
                    <w:t>和资源型行业准入标准。适时修订并严格执行产业禁投清单等准入政策，合理控制煤制油气产能规模，未纳入国家有关领域产业规划的新、改、扩建炼油和新建乙烯、对二甲苯、煤制烯烃项目，一律不得建设。新、改、扩建项目所需二氧化硫、氮氧化物、</w:t>
                  </w:r>
                  <w:r>
                    <w:rPr>
                      <w:rFonts w:hint="default" w:ascii="Times New Roman" w:hAnsi="Times New Roman" w:eastAsia="宋体" w:cs="Times New Roman"/>
                      <w:color w:val="auto"/>
                      <w:spacing w:val="-2"/>
                      <w:szCs w:val="21"/>
                      <w:highlight w:val="none"/>
                      <w:lang w:val="en-US" w:eastAsia="zh-CN"/>
                    </w:rPr>
                    <w:t>VOCs</w:t>
                  </w:r>
                  <w:r>
                    <w:rPr>
                      <w:rFonts w:hint="eastAsia" w:ascii="Times New Roman" w:hAnsi="Times New Roman" w:eastAsia="宋体" w:cs="Times New Roman"/>
                      <w:color w:val="auto"/>
                      <w:spacing w:val="-2"/>
                      <w:szCs w:val="21"/>
                      <w:highlight w:val="none"/>
                      <w:lang w:val="en-US" w:eastAsia="zh-CN"/>
                    </w:rPr>
                    <w:t>排放量指标要进行减量替代，</w:t>
                  </w:r>
                  <w:r>
                    <w:rPr>
                      <w:rFonts w:hint="default" w:ascii="Times New Roman" w:hAnsi="Times New Roman" w:eastAsia="宋体" w:cs="Times New Roman"/>
                      <w:color w:val="auto"/>
                      <w:spacing w:val="-2"/>
                      <w:szCs w:val="21"/>
                      <w:highlight w:val="none"/>
                      <w:lang w:val="en-US" w:eastAsia="zh-CN"/>
                    </w:rPr>
                    <w:t>PM2.5</w:t>
                  </w:r>
                  <w:r>
                    <w:rPr>
                      <w:rFonts w:hint="eastAsia" w:ascii="Times New Roman" w:hAnsi="Times New Roman" w:eastAsia="宋体" w:cs="Times New Roman"/>
                      <w:color w:val="auto"/>
                      <w:spacing w:val="-2"/>
                      <w:szCs w:val="21"/>
                      <w:highlight w:val="none"/>
                      <w:lang w:val="en-US" w:eastAsia="zh-CN"/>
                    </w:rPr>
                    <w:t>或者臭氧未达标区县要加大替代比例。加快推进</w:t>
                  </w:r>
                  <w:r>
                    <w:rPr>
                      <w:rFonts w:hint="default" w:ascii="Times New Roman" w:hAnsi="Times New Roman" w:eastAsia="宋体" w:cs="Times New Roman"/>
                      <w:color w:val="auto"/>
                      <w:spacing w:val="-2"/>
                      <w:szCs w:val="21"/>
                      <w:highlight w:val="none"/>
                      <w:lang w:val="en-US" w:eastAsia="zh-CN"/>
                    </w:rPr>
                    <w:t>“</w:t>
                  </w:r>
                  <w:r>
                    <w:rPr>
                      <w:rFonts w:hint="eastAsia" w:ascii="Times New Roman" w:hAnsi="Times New Roman" w:eastAsia="宋体" w:cs="Times New Roman"/>
                      <w:color w:val="auto"/>
                      <w:spacing w:val="-2"/>
                      <w:szCs w:val="21"/>
                      <w:highlight w:val="none"/>
                      <w:lang w:val="en-US" w:eastAsia="zh-CN"/>
                    </w:rPr>
                    <w:t>两高</w:t>
                  </w:r>
                  <w:r>
                    <w:rPr>
                      <w:rFonts w:hint="default" w:ascii="Times New Roman" w:hAnsi="Times New Roman" w:eastAsia="宋体" w:cs="Times New Roman"/>
                      <w:color w:val="auto"/>
                      <w:spacing w:val="-2"/>
                      <w:szCs w:val="21"/>
                      <w:highlight w:val="none"/>
                      <w:lang w:val="en-US" w:eastAsia="zh-CN"/>
                    </w:rPr>
                    <w:t>”</w:t>
                  </w:r>
                  <w:r>
                    <w:rPr>
                      <w:rFonts w:hint="eastAsia" w:ascii="Times New Roman" w:hAnsi="Times New Roman" w:eastAsia="宋体" w:cs="Times New Roman"/>
                      <w:color w:val="auto"/>
                      <w:spacing w:val="-2"/>
                      <w:szCs w:val="21"/>
                      <w:highlight w:val="none"/>
                      <w:lang w:val="en-US" w:eastAsia="zh-CN"/>
                    </w:rPr>
                    <w:t>和资源型行业依法开展清洁生产审核，推动一批重点企业达到国际清洁生产领先水平，确保新上的</w:t>
                  </w:r>
                  <w:r>
                    <w:rPr>
                      <w:rFonts w:hint="default" w:ascii="Times New Roman" w:hAnsi="Times New Roman" w:eastAsia="宋体" w:cs="Times New Roman"/>
                      <w:color w:val="auto"/>
                      <w:spacing w:val="-2"/>
                      <w:szCs w:val="21"/>
                      <w:highlight w:val="none"/>
                      <w:lang w:val="en-US" w:eastAsia="zh-CN"/>
                    </w:rPr>
                    <w:t>“</w:t>
                  </w:r>
                  <w:r>
                    <w:rPr>
                      <w:rFonts w:hint="eastAsia" w:ascii="Times New Roman" w:hAnsi="Times New Roman" w:eastAsia="宋体" w:cs="Times New Roman"/>
                      <w:color w:val="auto"/>
                      <w:spacing w:val="-2"/>
                      <w:szCs w:val="21"/>
                      <w:highlight w:val="none"/>
                      <w:lang w:val="en-US" w:eastAsia="zh-CN"/>
                    </w:rPr>
                    <w:t>两高</w:t>
                  </w:r>
                  <w:r>
                    <w:rPr>
                      <w:rFonts w:hint="default" w:ascii="Times New Roman" w:hAnsi="Times New Roman" w:eastAsia="宋体" w:cs="Times New Roman"/>
                      <w:color w:val="auto"/>
                      <w:spacing w:val="-2"/>
                      <w:szCs w:val="21"/>
                      <w:highlight w:val="none"/>
                      <w:lang w:val="en-US" w:eastAsia="zh-CN"/>
                    </w:rPr>
                    <w:t>”</w:t>
                  </w:r>
                  <w:r>
                    <w:rPr>
                      <w:rFonts w:hint="eastAsia" w:ascii="Times New Roman" w:hAnsi="Times New Roman" w:eastAsia="宋体" w:cs="Times New Roman"/>
                      <w:color w:val="auto"/>
                      <w:spacing w:val="-2"/>
                      <w:szCs w:val="21"/>
                      <w:highlight w:val="none"/>
                      <w:lang w:val="en-US" w:eastAsia="zh-CN"/>
                    </w:rPr>
                    <w:t>项目达到标杆值水平和污染物排放标准先进值</w:t>
                  </w:r>
                </w:p>
              </w:tc>
              <w:tc>
                <w:tcPr>
                  <w:tcW w:w="1633" w:type="dxa"/>
                  <w:vAlign w:val="center"/>
                </w:tcPr>
                <w:p>
                  <w:pPr>
                    <w:adjustRightInd w:val="0"/>
                    <w:snapToGrid w:val="0"/>
                    <w:jc w:val="center"/>
                    <w:rPr>
                      <w:rFonts w:hint="default" w:ascii="Times New Roman" w:hAnsi="Times New Roman" w:eastAsia="宋体" w:cs="Times New Roman"/>
                      <w:color w:val="auto"/>
                      <w:spacing w:val="-2"/>
                      <w:szCs w:val="21"/>
                      <w:highlight w:val="none"/>
                      <w:lang w:val="en-US" w:eastAsia="zh-CN"/>
                    </w:rPr>
                  </w:pPr>
                  <w:r>
                    <w:rPr>
                      <w:rFonts w:hint="eastAsia" w:ascii="Times New Roman" w:hAnsi="Times New Roman" w:eastAsia="宋体" w:cs="Times New Roman"/>
                      <w:color w:val="auto"/>
                      <w:spacing w:val="-2"/>
                      <w:szCs w:val="21"/>
                      <w:highlight w:val="none"/>
                      <w:lang w:val="en-US" w:eastAsia="zh-CN"/>
                    </w:rPr>
                    <w:t>项目符合相关“三线一单”管控要求，符合</w:t>
                  </w:r>
                  <w:r>
                    <w:rPr>
                      <w:rFonts w:hint="eastAsia" w:cs="Times New Roman"/>
                      <w:color w:val="auto"/>
                      <w:spacing w:val="-2"/>
                      <w:szCs w:val="21"/>
                      <w:highlight w:val="none"/>
                      <w:lang w:val="en-US" w:eastAsia="zh-CN"/>
                    </w:rPr>
                    <w:t>相关</w:t>
                  </w:r>
                  <w:r>
                    <w:rPr>
                      <w:rFonts w:hint="eastAsia" w:ascii="Times New Roman" w:hAnsi="Times New Roman" w:eastAsia="宋体" w:cs="Times New Roman"/>
                      <w:color w:val="auto"/>
                      <w:spacing w:val="-2"/>
                      <w:szCs w:val="21"/>
                      <w:highlight w:val="none"/>
                      <w:lang w:val="en-US" w:eastAsia="zh-CN"/>
                    </w:rPr>
                    <w:t>产业定位，园区规划环评及审</w:t>
                  </w:r>
                  <w:r>
                    <w:rPr>
                      <w:rFonts w:hint="eastAsia" w:ascii="Times New Roman" w:hAnsi="Times New Roman" w:eastAsia="宋体" w:cs="Times New Roman"/>
                      <w:color w:val="auto"/>
                      <w:spacing w:val="-2"/>
                      <w:sz w:val="21"/>
                      <w:szCs w:val="21"/>
                      <w:highlight w:val="none"/>
                      <w:lang w:val="en-US" w:eastAsia="zh-CN"/>
                    </w:rPr>
                    <w:t>查意见，项目为</w:t>
                  </w:r>
                  <w:r>
                    <w:rPr>
                      <w:rFonts w:hint="eastAsia"/>
                      <w:color w:val="auto"/>
                      <w:sz w:val="21"/>
                      <w:szCs w:val="21"/>
                      <w:highlight w:val="none"/>
                      <w:lang w:val="en-US" w:eastAsia="zh-CN"/>
                    </w:rPr>
                    <w:t>塑料包装箱及容器制造</w:t>
                  </w:r>
                  <w:r>
                    <w:rPr>
                      <w:rFonts w:hint="eastAsia" w:ascii="Times New Roman" w:hAnsi="Times New Roman" w:eastAsia="宋体" w:cs="Times New Roman"/>
                      <w:color w:val="auto"/>
                      <w:spacing w:val="-2"/>
                      <w:sz w:val="21"/>
                      <w:szCs w:val="21"/>
                      <w:highlight w:val="none"/>
                      <w:lang w:val="en-US" w:eastAsia="zh-CN"/>
                    </w:rPr>
                    <w:t>，</w:t>
                  </w:r>
                  <w:r>
                    <w:rPr>
                      <w:rFonts w:hint="eastAsia" w:ascii="Times New Roman" w:hAnsi="Times New Roman" w:eastAsia="宋体" w:cs="Times New Roman"/>
                      <w:color w:val="auto"/>
                      <w:spacing w:val="-2"/>
                      <w:szCs w:val="21"/>
                      <w:highlight w:val="none"/>
                      <w:lang w:val="en-US" w:eastAsia="zh-CN"/>
                    </w:rPr>
                    <w:t>不属于高能耗、高排放、低水平项目，不属于产业禁投清单，不属于炼油和乙烯、煤制烯烃项目</w:t>
                  </w:r>
                </w:p>
              </w:tc>
              <w:tc>
                <w:tcPr>
                  <w:tcW w:w="640" w:type="dxa"/>
                  <w:vAlign w:val="center"/>
                </w:tcPr>
                <w:p>
                  <w:pPr>
                    <w:adjustRightInd w:val="0"/>
                    <w:snapToGrid w:val="0"/>
                    <w:jc w:val="center"/>
                    <w:rPr>
                      <w:rFonts w:hint="eastAsia" w:ascii="Times New Roman" w:hAnsi="Times New Roman" w:eastAsia="宋体" w:cs="Times New Roman"/>
                      <w:color w:val="auto"/>
                      <w:spacing w:val="-2"/>
                      <w:szCs w:val="21"/>
                      <w:highlight w:val="none"/>
                      <w:lang w:val="en-US" w:eastAsia="zh-CN"/>
                    </w:rPr>
                  </w:pPr>
                  <w:r>
                    <w:rPr>
                      <w:rFonts w:hint="eastAsia" w:ascii="Times New Roman" w:hAnsi="Times New Roman" w:eastAsia="宋体" w:cs="Times New Roman"/>
                      <w:color w:val="auto"/>
                      <w:spacing w:val="-2"/>
                      <w:szCs w:val="21"/>
                      <w:highlight w:val="none"/>
                      <w:lang w:val="en-US" w:eastAsia="zh-CN"/>
                    </w:rPr>
                    <w:t>符合</w:t>
                  </w:r>
                </w:p>
              </w:tc>
            </w:tr>
          </w:tbl>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宋体" w:cs="Times New Roman"/>
                <w:b w:val="0"/>
                <w:bCs/>
                <w:snapToGrid w:val="0"/>
                <w:color w:val="auto"/>
                <w:kern w:val="0"/>
                <w:sz w:val="24"/>
                <w:highlight w:val="none"/>
                <w:lang w:val="en-US" w:eastAsia="zh-CN"/>
              </w:rPr>
            </w:pPr>
            <w:r>
              <w:rPr>
                <w:rFonts w:hint="eastAsia" w:ascii="Times New Roman" w:hAnsi="Times New Roman" w:eastAsia="宋体" w:cs="Times New Roman"/>
                <w:b w:val="0"/>
                <w:bCs/>
                <w:snapToGrid w:val="0"/>
                <w:color w:val="auto"/>
                <w:kern w:val="0"/>
                <w:sz w:val="24"/>
                <w:highlight w:val="none"/>
                <w:lang w:val="en-US" w:eastAsia="zh-CN"/>
              </w:rPr>
              <w:t>综上分析，项目符合《重庆市大气环境保护</w:t>
            </w:r>
            <w:r>
              <w:rPr>
                <w:rFonts w:hint="default" w:ascii="Times New Roman" w:hAnsi="Times New Roman" w:eastAsia="宋体" w:cs="Times New Roman"/>
                <w:b w:val="0"/>
                <w:bCs/>
                <w:snapToGrid w:val="0"/>
                <w:color w:val="auto"/>
                <w:kern w:val="0"/>
                <w:sz w:val="24"/>
                <w:highlight w:val="none"/>
                <w:lang w:val="en-US" w:eastAsia="zh-CN"/>
              </w:rPr>
              <w:t>“</w:t>
            </w:r>
            <w:r>
              <w:rPr>
                <w:rFonts w:hint="eastAsia" w:ascii="Times New Roman" w:hAnsi="Times New Roman" w:eastAsia="宋体" w:cs="Times New Roman"/>
                <w:b w:val="0"/>
                <w:bCs/>
                <w:snapToGrid w:val="0"/>
                <w:color w:val="auto"/>
                <w:kern w:val="0"/>
                <w:sz w:val="24"/>
                <w:highlight w:val="none"/>
                <w:lang w:val="en-US" w:eastAsia="zh-CN"/>
              </w:rPr>
              <w:t>十四五</w:t>
            </w:r>
            <w:r>
              <w:rPr>
                <w:rFonts w:hint="default" w:ascii="Times New Roman" w:hAnsi="Times New Roman" w:eastAsia="宋体" w:cs="Times New Roman"/>
                <w:b w:val="0"/>
                <w:bCs/>
                <w:snapToGrid w:val="0"/>
                <w:color w:val="auto"/>
                <w:kern w:val="0"/>
                <w:sz w:val="24"/>
                <w:highlight w:val="none"/>
                <w:lang w:val="en-US" w:eastAsia="zh-CN"/>
              </w:rPr>
              <w:t>”</w:t>
            </w:r>
            <w:r>
              <w:rPr>
                <w:rFonts w:hint="eastAsia" w:ascii="Times New Roman" w:hAnsi="Times New Roman" w:eastAsia="宋体" w:cs="Times New Roman"/>
                <w:b w:val="0"/>
                <w:bCs/>
                <w:snapToGrid w:val="0"/>
                <w:color w:val="auto"/>
                <w:kern w:val="0"/>
                <w:sz w:val="24"/>
                <w:highlight w:val="none"/>
                <w:lang w:val="en-US" w:eastAsia="zh-CN"/>
              </w:rPr>
              <w:t>规划（</w:t>
            </w:r>
            <w:r>
              <w:rPr>
                <w:rFonts w:hint="default" w:ascii="Times New Roman" w:hAnsi="Times New Roman" w:eastAsia="宋体" w:cs="Times New Roman"/>
                <w:b w:val="0"/>
                <w:bCs/>
                <w:snapToGrid w:val="0"/>
                <w:color w:val="auto"/>
                <w:kern w:val="0"/>
                <w:sz w:val="24"/>
                <w:highlight w:val="none"/>
                <w:lang w:val="en-US" w:eastAsia="zh-CN"/>
              </w:rPr>
              <w:t>2021-2025</w:t>
            </w:r>
            <w:r>
              <w:rPr>
                <w:rFonts w:hint="eastAsia" w:ascii="Times New Roman" w:hAnsi="Times New Roman" w:eastAsia="宋体" w:cs="Times New Roman"/>
                <w:b w:val="0"/>
                <w:bCs/>
                <w:snapToGrid w:val="0"/>
                <w:color w:val="auto"/>
                <w:kern w:val="0"/>
                <w:sz w:val="24"/>
                <w:highlight w:val="none"/>
                <w:lang w:val="en-US" w:eastAsia="zh-CN"/>
              </w:rPr>
              <w:t>年）》相关要求。</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b w:val="0"/>
                <w:bCs/>
                <w:snapToGrid w:val="0"/>
                <w:color w:val="auto"/>
                <w:kern w:val="0"/>
                <w:sz w:val="24"/>
                <w:highlight w:val="none"/>
                <w:lang w:val="en-US" w:eastAsia="zh-CN"/>
              </w:rPr>
            </w:pPr>
            <w:r>
              <w:rPr>
                <w:rFonts w:hint="eastAsia" w:ascii="Times New Roman" w:hAnsi="Times New Roman" w:eastAsia="宋体" w:cs="Times New Roman"/>
                <w:b w:val="0"/>
                <w:bCs/>
                <w:snapToGrid w:val="0"/>
                <w:color w:val="auto"/>
                <w:kern w:val="0"/>
                <w:sz w:val="24"/>
                <w:lang w:val="en-US" w:eastAsia="zh-CN"/>
              </w:rPr>
              <w:t>1.</w:t>
            </w:r>
            <w:r>
              <w:rPr>
                <w:rFonts w:hint="eastAsia" w:cs="Times New Roman"/>
                <w:b w:val="0"/>
                <w:bCs/>
                <w:snapToGrid w:val="0"/>
                <w:color w:val="auto"/>
                <w:kern w:val="0"/>
                <w:sz w:val="24"/>
                <w:lang w:val="en-US" w:eastAsia="zh-CN"/>
              </w:rPr>
              <w:t>8</w:t>
            </w:r>
            <w:r>
              <w:rPr>
                <w:rFonts w:hint="eastAsia" w:ascii="Times New Roman" w:hAnsi="Times New Roman" w:eastAsia="宋体" w:cs="Times New Roman"/>
                <w:b w:val="0"/>
                <w:bCs/>
                <w:snapToGrid w:val="0"/>
                <w:color w:val="auto"/>
                <w:kern w:val="0"/>
                <w:sz w:val="24"/>
                <w:lang w:val="en-US" w:eastAsia="zh-CN"/>
              </w:rPr>
              <w:t xml:space="preserve"> </w:t>
            </w:r>
            <w:r>
              <w:rPr>
                <w:rFonts w:hint="default" w:ascii="Times New Roman" w:hAnsi="Times New Roman" w:eastAsia="宋体" w:cs="Times New Roman"/>
                <w:b w:val="0"/>
                <w:bCs/>
                <w:snapToGrid w:val="0"/>
                <w:color w:val="auto"/>
                <w:kern w:val="0"/>
                <w:sz w:val="24"/>
                <w:highlight w:val="none"/>
                <w:lang w:val="en-US" w:eastAsia="zh-CN"/>
              </w:rPr>
              <w:t>与《2020年挥发性有机物治理攻坚方案》（环大气[2020]33号）的符合性分析</w:t>
            </w:r>
          </w:p>
          <w:p>
            <w:pPr>
              <w:keepNext w:val="0"/>
              <w:keepLines w:val="0"/>
              <w:pageBreakBefore w:val="0"/>
              <w:widowControl/>
              <w:kinsoku/>
              <w:wordWrap/>
              <w:overflowPunct/>
              <w:topLinePunct w:val="0"/>
              <w:autoSpaceDE/>
              <w:autoSpaceDN/>
              <w:bidi w:val="0"/>
              <w:adjustRightInd w:val="0"/>
              <w:snapToGrid/>
              <w:spacing w:line="360" w:lineRule="auto"/>
              <w:ind w:firstLine="0" w:firstLineChars="0"/>
              <w:jc w:val="center"/>
              <w:textAlignment w:val="auto"/>
              <w:rPr>
                <w:rFonts w:hint="eastAsia" w:ascii="Times New Roman" w:hAnsi="Times New Roman" w:eastAsia="宋体" w:cs="Times New Roman"/>
                <w:b w:val="0"/>
                <w:bCs/>
                <w:snapToGrid w:val="0"/>
                <w:color w:val="auto"/>
                <w:kern w:val="0"/>
                <w:sz w:val="24"/>
                <w:highlight w:val="none"/>
                <w:lang w:val="zh-CN" w:eastAsia="zh-CN"/>
              </w:rPr>
            </w:pPr>
            <w:r>
              <w:rPr>
                <w:rFonts w:hint="eastAsia" w:ascii="Times New Roman" w:hAnsi="Times New Roman" w:eastAsia="宋体" w:cs="Times New Roman"/>
                <w:b w:val="0"/>
                <w:bCs/>
                <w:snapToGrid w:val="0"/>
                <w:color w:val="auto"/>
                <w:kern w:val="0"/>
                <w:sz w:val="24"/>
                <w:highlight w:val="none"/>
                <w:lang w:val="zh-CN" w:eastAsia="zh-CN"/>
              </w:rPr>
              <w:t>表1-</w:t>
            </w:r>
            <w:r>
              <w:rPr>
                <w:rFonts w:hint="eastAsia" w:ascii="Times New Roman" w:hAnsi="Times New Roman" w:eastAsia="宋体" w:cs="Times New Roman"/>
                <w:b w:val="0"/>
                <w:bCs/>
                <w:snapToGrid w:val="0"/>
                <w:color w:val="auto"/>
                <w:kern w:val="0"/>
                <w:sz w:val="24"/>
                <w:highlight w:val="none"/>
                <w:lang w:val="en-US" w:eastAsia="zh-CN"/>
              </w:rPr>
              <w:t>1</w:t>
            </w:r>
            <w:r>
              <w:rPr>
                <w:rFonts w:hint="eastAsia" w:cs="Times New Roman"/>
                <w:b w:val="0"/>
                <w:bCs/>
                <w:snapToGrid w:val="0"/>
                <w:color w:val="auto"/>
                <w:kern w:val="0"/>
                <w:sz w:val="24"/>
                <w:highlight w:val="none"/>
                <w:lang w:val="en-US" w:eastAsia="zh-CN"/>
              </w:rPr>
              <w:t>0</w:t>
            </w:r>
            <w:r>
              <w:rPr>
                <w:rFonts w:hint="eastAsia" w:ascii="Times New Roman" w:hAnsi="Times New Roman" w:eastAsia="宋体" w:cs="Times New Roman"/>
                <w:b w:val="0"/>
                <w:bCs/>
                <w:snapToGrid w:val="0"/>
                <w:color w:val="auto"/>
                <w:kern w:val="0"/>
                <w:sz w:val="24"/>
                <w:highlight w:val="none"/>
                <w:lang w:val="en-US" w:eastAsia="zh-CN"/>
              </w:rPr>
              <w:t xml:space="preserve"> </w:t>
            </w:r>
            <w:r>
              <w:rPr>
                <w:rFonts w:hint="eastAsia" w:ascii="Times New Roman" w:hAnsi="Times New Roman" w:eastAsia="宋体" w:cs="Times New Roman"/>
                <w:b w:val="0"/>
                <w:bCs/>
                <w:snapToGrid w:val="0"/>
                <w:color w:val="auto"/>
                <w:kern w:val="0"/>
                <w:sz w:val="24"/>
                <w:highlight w:val="none"/>
                <w:lang w:val="zh-CN" w:eastAsia="zh-CN"/>
              </w:rPr>
              <w:t>与《2020年挥发性有机物治理攻坚方案》符合性分析</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9"/>
              <w:gridCol w:w="1730"/>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499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color w:val="auto"/>
                      <w:spacing w:val="-2"/>
                      <w:szCs w:val="21"/>
                      <w:highlight w:val="none"/>
                      <w:lang w:val="en-US" w:eastAsia="zh-CN"/>
                    </w:rPr>
                  </w:pPr>
                  <w:r>
                    <w:rPr>
                      <w:rFonts w:hint="eastAsia" w:ascii="Times New Roman" w:hAnsi="Times New Roman" w:eastAsia="宋体" w:cs="Times New Roman"/>
                      <w:color w:val="auto"/>
                      <w:spacing w:val="-2"/>
                      <w:szCs w:val="21"/>
                      <w:highlight w:val="none"/>
                      <w:lang w:val="en-US" w:eastAsia="zh-CN"/>
                    </w:rPr>
                    <w:t>与项目相关的要求</w:t>
                  </w:r>
                </w:p>
              </w:tc>
              <w:tc>
                <w:tcPr>
                  <w:tcW w:w="1730"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color w:val="auto"/>
                      <w:spacing w:val="-2"/>
                      <w:szCs w:val="21"/>
                      <w:highlight w:val="none"/>
                      <w:lang w:val="en-US" w:eastAsia="zh-CN"/>
                    </w:rPr>
                  </w:pPr>
                  <w:r>
                    <w:rPr>
                      <w:rFonts w:hint="eastAsia" w:ascii="Times New Roman" w:hAnsi="Times New Roman" w:eastAsia="宋体" w:cs="Times New Roman"/>
                      <w:color w:val="auto"/>
                      <w:spacing w:val="-2"/>
                      <w:szCs w:val="21"/>
                      <w:highlight w:val="none"/>
                      <w:lang w:val="en-US" w:eastAsia="zh-CN"/>
                    </w:rPr>
                    <w:t>本项目情况</w:t>
                  </w:r>
                </w:p>
              </w:tc>
              <w:tc>
                <w:tcPr>
                  <w:tcW w:w="859"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color w:val="auto"/>
                      <w:spacing w:val="-2"/>
                      <w:szCs w:val="21"/>
                      <w:highlight w:val="none"/>
                      <w:lang w:val="en-US" w:eastAsia="zh-CN"/>
                    </w:rPr>
                  </w:pPr>
                  <w:r>
                    <w:rPr>
                      <w:rFonts w:hint="eastAsia" w:ascii="Times New Roman" w:hAnsi="Times New Roman" w:eastAsia="宋体" w:cs="Times New Roman"/>
                      <w:color w:val="auto"/>
                      <w:spacing w:val="-2"/>
                      <w:szCs w:val="21"/>
                      <w:highlight w:val="no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499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color w:val="auto"/>
                      <w:spacing w:val="-2"/>
                      <w:szCs w:val="21"/>
                      <w:highlight w:val="none"/>
                      <w:lang w:val="en-US" w:eastAsia="zh-CN"/>
                    </w:rPr>
                  </w:pPr>
                  <w:r>
                    <w:rPr>
                      <w:rFonts w:hint="eastAsia" w:ascii="Times New Roman" w:hAnsi="Times New Roman" w:eastAsia="宋体" w:cs="Times New Roman"/>
                      <w:color w:val="auto"/>
                      <w:spacing w:val="-2"/>
                      <w:szCs w:val="21"/>
                      <w:highlight w:val="none"/>
                      <w:lang w:val="en-US" w:eastAsia="zh-CN"/>
                    </w:rPr>
                    <w:t>大力推进源头替代，有效减少VOCs产生。严格落实国家和地方产品VOCs含量限值标准。企业应建立原辅材料台账，记录原辅材料名称、成分、VOCs含量、采购量、使用量、库存量、回收方式、回收量等信息，并保存相关证明材料。采用符合国家有关低VOCs含量产品规定的涂料、油墨、胶黏剂等，排放浓度稳定达标且排放速率满足相关规定的，相应生产工序可不要求建设末端治理设施。使用的原辅材料VOCs含量（质量比）均低于10%的工序，可不要求采取无组织排放收集和处理措施。</w:t>
                  </w:r>
                </w:p>
              </w:tc>
              <w:tc>
                <w:tcPr>
                  <w:tcW w:w="1730"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color w:val="auto"/>
                      <w:spacing w:val="-2"/>
                      <w:szCs w:val="21"/>
                      <w:highlight w:val="none"/>
                      <w:lang w:val="en-US" w:eastAsia="zh-CN"/>
                    </w:rPr>
                  </w:pPr>
                  <w:r>
                    <w:rPr>
                      <w:rFonts w:hint="eastAsia" w:ascii="Times New Roman" w:hAnsi="Times New Roman" w:eastAsia="宋体" w:cs="Times New Roman"/>
                      <w:color w:val="auto"/>
                      <w:spacing w:val="-2"/>
                      <w:szCs w:val="21"/>
                      <w:highlight w:val="none"/>
                      <w:lang w:val="en-US" w:eastAsia="zh-CN"/>
                    </w:rPr>
                    <w:t>环评要求企业按要求建立台账，且保存期限不少于5年。项目不使用函VOC物料，项目运营期产生的VOCs经采取有效措施后可达标排放</w:t>
                  </w:r>
                </w:p>
                <w:p>
                  <w:pPr>
                    <w:adjustRightInd w:val="0"/>
                    <w:snapToGrid w:val="0"/>
                    <w:jc w:val="center"/>
                    <w:rPr>
                      <w:rFonts w:hint="eastAsia" w:ascii="Times New Roman" w:hAnsi="Times New Roman" w:eastAsia="宋体" w:cs="Times New Roman"/>
                      <w:color w:val="auto"/>
                      <w:spacing w:val="-2"/>
                      <w:szCs w:val="21"/>
                      <w:highlight w:val="none"/>
                      <w:lang w:val="en-US" w:eastAsia="zh-CN"/>
                    </w:rPr>
                  </w:pPr>
                </w:p>
              </w:tc>
              <w:tc>
                <w:tcPr>
                  <w:tcW w:w="859"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color w:val="auto"/>
                      <w:spacing w:val="-2"/>
                      <w:szCs w:val="21"/>
                      <w:highlight w:val="none"/>
                      <w:lang w:val="en-US" w:eastAsia="zh-CN"/>
                    </w:rPr>
                  </w:pPr>
                  <w:r>
                    <w:rPr>
                      <w:rFonts w:hint="eastAsia" w:ascii="Times New Roman" w:hAnsi="Times New Roman" w:eastAsia="宋体" w:cs="Times New Roman"/>
                      <w:color w:val="auto"/>
                      <w:spacing w:val="-2"/>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499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color w:val="auto"/>
                      <w:spacing w:val="-2"/>
                      <w:szCs w:val="21"/>
                      <w:highlight w:val="none"/>
                      <w:lang w:val="en-US" w:eastAsia="zh-CN"/>
                    </w:rPr>
                  </w:pPr>
                  <w:r>
                    <w:rPr>
                      <w:rFonts w:hint="eastAsia" w:ascii="Times New Roman" w:hAnsi="Times New Roman" w:eastAsia="宋体" w:cs="Times New Roman"/>
                      <w:color w:val="auto"/>
                      <w:spacing w:val="-2"/>
                      <w:szCs w:val="21"/>
                      <w:highlight w:val="none"/>
                      <w:lang w:val="en-US" w:eastAsia="zh-CN"/>
                    </w:rPr>
                    <w:t>全面落实标准要求，强化无组织排放控制。企业在无组织排放排查整治过程中，生产和使用环节应采用密闭设备，或在密闭空间中操作并有效收集废气，或进行局部气体收集；非取用状态时容器应密闭。处置环节应将盛装过VOCs物料的包装容器、含VOCs废料（渣、液）、废吸附剂等通过加盖、封装等方式密闭，妥善存放，不得随意丢弃，交有资质的单位处置；处置单位在贮存、清洗、破碎等环节应按要求对VOCs无组织排放废气进行收集、处理。高VOCs含量废水的集输、储存和处理环节，应加盖密闭。</w:t>
                  </w:r>
                </w:p>
              </w:tc>
              <w:tc>
                <w:tcPr>
                  <w:tcW w:w="1730"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color w:val="auto"/>
                      <w:spacing w:val="-2"/>
                      <w:szCs w:val="21"/>
                      <w:highlight w:val="none"/>
                      <w:lang w:val="en-US" w:eastAsia="zh-CN"/>
                    </w:rPr>
                  </w:pPr>
                  <w:r>
                    <w:rPr>
                      <w:rFonts w:hint="eastAsia" w:ascii="Times New Roman" w:hAnsi="Times New Roman" w:eastAsia="宋体" w:cs="Times New Roman"/>
                      <w:color w:val="auto"/>
                      <w:spacing w:val="-2"/>
                      <w:szCs w:val="21"/>
                      <w:highlight w:val="none"/>
                      <w:lang w:val="en-US" w:eastAsia="zh-CN"/>
                    </w:rPr>
                    <w:t>项目采用集气罩收集有机废气，减少无组织排放量，收集的有机废气采用“</w:t>
                  </w:r>
                  <w:r>
                    <w:rPr>
                      <w:rFonts w:hint="eastAsia" w:cs="Times New Roman"/>
                      <w:color w:val="auto"/>
                      <w:sz w:val="21"/>
                      <w:szCs w:val="21"/>
                      <w:highlight w:val="none"/>
                      <w:lang w:val="en-US" w:eastAsia="zh-CN"/>
                    </w:rPr>
                    <w:t>过滤棉+uv光解+两级活性炭吸附</w:t>
                  </w:r>
                  <w:r>
                    <w:rPr>
                      <w:rFonts w:hint="eastAsia" w:ascii="Times New Roman" w:hAnsi="Times New Roman" w:eastAsia="宋体" w:cs="Times New Roman"/>
                      <w:color w:val="auto"/>
                      <w:spacing w:val="-2"/>
                      <w:szCs w:val="21"/>
                      <w:highlight w:val="none"/>
                      <w:lang w:val="en-US" w:eastAsia="zh-CN"/>
                    </w:rPr>
                    <w:t>”净化处理。废矿物油及废油桶纳入危险废物管理。</w:t>
                  </w:r>
                </w:p>
              </w:tc>
              <w:tc>
                <w:tcPr>
                  <w:tcW w:w="859"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color w:val="auto"/>
                      <w:spacing w:val="-2"/>
                      <w:szCs w:val="21"/>
                      <w:highlight w:val="none"/>
                      <w:lang w:val="en-US" w:eastAsia="zh-CN"/>
                    </w:rPr>
                  </w:pPr>
                  <w:r>
                    <w:rPr>
                      <w:rFonts w:hint="eastAsia" w:ascii="Times New Roman" w:hAnsi="Times New Roman" w:eastAsia="宋体" w:cs="Times New Roman"/>
                      <w:color w:val="auto"/>
                      <w:spacing w:val="-2"/>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499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color w:val="auto"/>
                      <w:spacing w:val="-2"/>
                      <w:szCs w:val="21"/>
                      <w:highlight w:val="none"/>
                      <w:lang w:val="en-US" w:eastAsia="zh-CN"/>
                    </w:rPr>
                  </w:pPr>
                  <w:r>
                    <w:rPr>
                      <w:rFonts w:hint="eastAsia" w:ascii="Times New Roman" w:hAnsi="Times New Roman" w:eastAsia="宋体" w:cs="Times New Roman"/>
                      <w:color w:val="auto"/>
                      <w:spacing w:val="-2"/>
                      <w:szCs w:val="21"/>
                      <w:highlight w:val="none"/>
                      <w:lang w:val="en-US" w:eastAsia="zh-CN"/>
                    </w:rPr>
                    <w:t>聚焦治污设施“三率”，提升综合治理效率。按照“应收尽收”的原则提升废气收集率。将无组织排放转变为有组织排放进行控制，优先采用密闭设备、在密闭空间中操作或采用全密闭集气罩收集方式；对于采用局部集气罩的，应根据废气排放特点合理选择收集点位，距集气罩开口面最远处的VOCs无组织排放位置，控制风速不低于0.3米/秒，达不到要求的通过更换大功率风机、增设烟道风机、增加垂帘等方式及时改造；加强生产车间密闭管理，在符合安全生产、职业卫生相关规定前提下，采用自动卷帘门、密闭性好的塑钢门窗等，在非必要时保持关闭。按照与生产设备“同启同停”的原则提升治理设施运行率。</w:t>
                  </w:r>
                </w:p>
              </w:tc>
              <w:tc>
                <w:tcPr>
                  <w:tcW w:w="1730"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color w:val="auto"/>
                      <w:spacing w:val="-2"/>
                      <w:szCs w:val="21"/>
                      <w:highlight w:val="none"/>
                      <w:lang w:val="en-US" w:eastAsia="zh-CN"/>
                    </w:rPr>
                  </w:pPr>
                  <w:r>
                    <w:rPr>
                      <w:rFonts w:hint="eastAsia" w:ascii="Times New Roman" w:hAnsi="Times New Roman" w:eastAsia="宋体" w:cs="Times New Roman"/>
                      <w:color w:val="auto"/>
                      <w:spacing w:val="-2"/>
                      <w:szCs w:val="21"/>
                      <w:highlight w:val="none"/>
                      <w:lang w:val="en-US" w:eastAsia="zh-CN"/>
                    </w:rPr>
                    <w:t>本项目设计采用顶部集气罩收集方式，在设备物料进出口上方设置收集点位，集气罩控制风速不低于0.3米/秒。</w:t>
                  </w:r>
                </w:p>
                <w:p>
                  <w:pPr>
                    <w:adjustRightInd w:val="0"/>
                    <w:snapToGrid w:val="0"/>
                    <w:jc w:val="center"/>
                    <w:rPr>
                      <w:rFonts w:hint="eastAsia" w:ascii="Times New Roman" w:hAnsi="Times New Roman" w:eastAsia="宋体" w:cs="Times New Roman"/>
                      <w:color w:val="auto"/>
                      <w:spacing w:val="-2"/>
                      <w:szCs w:val="21"/>
                      <w:highlight w:val="none"/>
                      <w:lang w:val="en-US" w:eastAsia="zh-CN"/>
                    </w:rPr>
                  </w:pPr>
                </w:p>
              </w:tc>
              <w:tc>
                <w:tcPr>
                  <w:tcW w:w="859"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color w:val="auto"/>
                      <w:spacing w:val="-2"/>
                      <w:szCs w:val="21"/>
                      <w:highlight w:val="none"/>
                      <w:lang w:val="en-US" w:eastAsia="zh-CN"/>
                    </w:rPr>
                  </w:pPr>
                  <w:r>
                    <w:rPr>
                      <w:rFonts w:hint="eastAsia" w:ascii="Times New Roman" w:hAnsi="Times New Roman" w:eastAsia="宋体" w:cs="Times New Roman"/>
                      <w:color w:val="auto"/>
                      <w:spacing w:val="-2"/>
                      <w:szCs w:val="21"/>
                      <w:highlight w:val="none"/>
                      <w:lang w:val="en-US" w:eastAsia="zh-CN"/>
                    </w:rPr>
                    <w:t>符合</w:t>
                  </w:r>
                </w:p>
              </w:tc>
            </w:tr>
          </w:tbl>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eastAsia" w:cs="Times New Roman"/>
                <w:b w:val="0"/>
                <w:bCs/>
                <w:snapToGrid w:val="0"/>
                <w:color w:val="auto"/>
                <w:kern w:val="0"/>
                <w:sz w:val="24"/>
                <w:highlight w:val="yellow"/>
                <w:lang w:val="en-US" w:eastAsia="zh-CN"/>
              </w:rPr>
            </w:pPr>
            <w:r>
              <w:rPr>
                <w:rFonts w:hint="eastAsia"/>
                <w:color w:val="auto"/>
                <w:sz w:val="24"/>
              </w:rPr>
              <w:t>综上分析，本项目符合《2020年挥发性有机物治理攻坚方案》（环大气[2020]33号）相关要求。</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宋体" w:cs="Times New Roman"/>
                <w:b w:val="0"/>
                <w:bCs/>
                <w:snapToGrid w:val="0"/>
                <w:color w:val="auto"/>
                <w:kern w:val="0"/>
                <w:sz w:val="24"/>
                <w:lang w:val="en-US" w:eastAsia="zh-CN"/>
              </w:rPr>
            </w:pPr>
            <w:r>
              <w:rPr>
                <w:rFonts w:hint="eastAsia" w:ascii="Times New Roman" w:hAnsi="Times New Roman" w:eastAsia="宋体" w:cs="Times New Roman"/>
                <w:b w:val="0"/>
                <w:bCs/>
                <w:snapToGrid w:val="0"/>
                <w:color w:val="auto"/>
                <w:kern w:val="0"/>
                <w:sz w:val="24"/>
                <w:lang w:val="en-US" w:eastAsia="zh-CN"/>
              </w:rPr>
              <w:t>1.</w:t>
            </w:r>
            <w:r>
              <w:rPr>
                <w:rFonts w:hint="eastAsia" w:cs="Times New Roman"/>
                <w:b w:val="0"/>
                <w:bCs/>
                <w:snapToGrid w:val="0"/>
                <w:color w:val="auto"/>
                <w:kern w:val="0"/>
                <w:sz w:val="24"/>
                <w:lang w:val="en-US" w:eastAsia="zh-CN"/>
              </w:rPr>
              <w:t>9</w:t>
            </w:r>
            <w:r>
              <w:rPr>
                <w:rFonts w:hint="eastAsia" w:ascii="Times New Roman" w:hAnsi="Times New Roman" w:eastAsia="宋体" w:cs="Times New Roman"/>
                <w:b w:val="0"/>
                <w:bCs/>
                <w:snapToGrid w:val="0"/>
                <w:color w:val="auto"/>
                <w:kern w:val="0"/>
                <w:sz w:val="24"/>
                <w:lang w:val="en-US" w:eastAsia="zh-CN"/>
              </w:rPr>
              <w:t xml:space="preserve"> 与《重庆市发展和改革委员会关于印发重庆市产业投资准入工作手册》（渝发改投资[2022]1436号）的符合性分析</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eastAsia="宋体" w:cs="Times New Roman"/>
                <w:b w:val="0"/>
                <w:bCs/>
                <w:snapToGrid w:val="0"/>
                <w:color w:val="auto"/>
                <w:kern w:val="0"/>
                <w:sz w:val="24"/>
                <w:lang w:val="en-US" w:eastAsia="zh-CN"/>
              </w:rPr>
            </w:pPr>
            <w:r>
              <w:rPr>
                <w:rFonts w:hint="eastAsia" w:ascii="Times New Roman" w:hAnsi="Times New Roman" w:eastAsia="宋体" w:cs="Times New Roman"/>
                <w:b w:val="0"/>
                <w:bCs/>
                <w:snapToGrid w:val="0"/>
                <w:color w:val="auto"/>
                <w:kern w:val="0"/>
                <w:sz w:val="24"/>
                <w:lang w:val="en-US" w:eastAsia="zh-CN"/>
              </w:rPr>
              <w:t>本项目与《重庆市发展和改革委员会关于印发重庆市产业投资准入工作手册的》符合性进行分析详见</w:t>
            </w:r>
            <w:r>
              <w:rPr>
                <w:rFonts w:hint="eastAsia" w:eastAsia="宋体" w:cs="Times New Roman"/>
                <w:b w:val="0"/>
                <w:bCs/>
                <w:snapToGrid w:val="0"/>
                <w:color w:val="auto"/>
                <w:kern w:val="0"/>
                <w:sz w:val="24"/>
                <w:lang w:val="en-US" w:eastAsia="zh-CN"/>
              </w:rPr>
              <w:t>下</w:t>
            </w:r>
            <w:r>
              <w:rPr>
                <w:rFonts w:hint="eastAsia" w:ascii="Times New Roman" w:hAnsi="Times New Roman" w:eastAsia="宋体" w:cs="Times New Roman"/>
                <w:b w:val="0"/>
                <w:bCs/>
                <w:snapToGrid w:val="0"/>
                <w:color w:val="auto"/>
                <w:kern w:val="0"/>
                <w:sz w:val="24"/>
                <w:lang w:val="en-US" w:eastAsia="zh-CN"/>
              </w:rPr>
              <w:t>表。</w:t>
            </w:r>
          </w:p>
          <w:p>
            <w:pPr>
              <w:keepNext w:val="0"/>
              <w:keepLines w:val="0"/>
              <w:pageBreakBefore w:val="0"/>
              <w:widowControl/>
              <w:kinsoku/>
              <w:wordWrap/>
              <w:overflowPunct/>
              <w:topLinePunct w:val="0"/>
              <w:autoSpaceDE/>
              <w:autoSpaceDN/>
              <w:bidi w:val="0"/>
              <w:adjustRightInd w:val="0"/>
              <w:snapToGrid/>
              <w:spacing w:line="360" w:lineRule="auto"/>
              <w:ind w:firstLine="0" w:firstLineChars="0"/>
              <w:jc w:val="center"/>
              <w:textAlignment w:val="auto"/>
              <w:rPr>
                <w:rFonts w:hint="eastAsia" w:ascii="Times New Roman" w:hAnsi="Times New Roman" w:eastAsia="宋体" w:cs="Times New Roman"/>
                <w:b w:val="0"/>
                <w:bCs/>
                <w:snapToGrid w:val="0"/>
                <w:color w:val="auto"/>
                <w:kern w:val="0"/>
                <w:sz w:val="24"/>
                <w:highlight w:val="none"/>
                <w:lang w:val="en-US" w:eastAsia="zh-CN"/>
              </w:rPr>
            </w:pPr>
            <w:r>
              <w:rPr>
                <w:rFonts w:hint="eastAsia" w:ascii="Times New Roman" w:hAnsi="Times New Roman" w:eastAsia="宋体" w:cs="Times New Roman"/>
                <w:b w:val="0"/>
                <w:bCs/>
                <w:snapToGrid w:val="0"/>
                <w:color w:val="auto"/>
                <w:kern w:val="0"/>
                <w:sz w:val="24"/>
                <w:highlight w:val="none"/>
                <w:lang w:val="zh-CN" w:eastAsia="zh-CN"/>
              </w:rPr>
              <w:t>表</w:t>
            </w:r>
            <w:r>
              <w:rPr>
                <w:rFonts w:hint="eastAsia" w:eastAsia="宋体" w:cs="Times New Roman"/>
                <w:b w:val="0"/>
                <w:bCs/>
                <w:snapToGrid w:val="0"/>
                <w:color w:val="auto"/>
                <w:kern w:val="0"/>
                <w:sz w:val="24"/>
                <w:highlight w:val="none"/>
                <w:lang w:val="en-US" w:eastAsia="zh-CN"/>
              </w:rPr>
              <w:t>1-1</w:t>
            </w:r>
            <w:r>
              <w:rPr>
                <w:rFonts w:hint="eastAsia" w:cs="Times New Roman"/>
                <w:b w:val="0"/>
                <w:bCs/>
                <w:snapToGrid w:val="0"/>
                <w:color w:val="auto"/>
                <w:kern w:val="0"/>
                <w:sz w:val="24"/>
                <w:highlight w:val="none"/>
                <w:lang w:val="en-US" w:eastAsia="zh-CN"/>
              </w:rPr>
              <w:t>1</w:t>
            </w:r>
            <w:r>
              <w:rPr>
                <w:rFonts w:hint="eastAsia" w:ascii="Times New Roman" w:hAnsi="Times New Roman" w:eastAsia="宋体" w:cs="Times New Roman"/>
                <w:b w:val="0"/>
                <w:bCs/>
                <w:snapToGrid w:val="0"/>
                <w:color w:val="auto"/>
                <w:kern w:val="0"/>
                <w:sz w:val="24"/>
                <w:highlight w:val="none"/>
                <w:lang w:val="zh-CN" w:eastAsia="zh-CN"/>
              </w:rPr>
              <w:t xml:space="preserve"> 与</w:t>
            </w:r>
            <w:r>
              <w:rPr>
                <w:rFonts w:hint="eastAsia" w:ascii="Times New Roman" w:hAnsi="Times New Roman" w:eastAsia="宋体" w:cs="Times New Roman"/>
                <w:b w:val="0"/>
                <w:bCs/>
                <w:snapToGrid w:val="0"/>
                <w:color w:val="auto"/>
                <w:kern w:val="0"/>
                <w:sz w:val="24"/>
                <w:highlight w:val="none"/>
                <w:lang w:val="en-US" w:eastAsia="zh-CN"/>
              </w:rPr>
              <w:t>重</w:t>
            </w:r>
            <w:r>
              <w:rPr>
                <w:rFonts w:hint="eastAsia" w:ascii="Times New Roman" w:hAnsi="Times New Roman" w:eastAsia="宋体" w:cs="Times New Roman"/>
                <w:b w:val="0"/>
                <w:bCs/>
                <w:snapToGrid w:val="0"/>
                <w:color w:val="auto"/>
                <w:kern w:val="0"/>
                <w:sz w:val="24"/>
                <w:highlight w:val="none"/>
                <w:lang w:val="zh-CN" w:eastAsia="zh-CN"/>
              </w:rPr>
              <w:t>庆市产业投资准入工作手册符合性分析</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5168"/>
              <w:gridCol w:w="1384"/>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2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adjustRightInd w:val="0"/>
                    <w:snapToGrid w:val="0"/>
                    <w:spacing w:line="360" w:lineRule="exact"/>
                    <w:jc w:val="center"/>
                    <w:textAlignment w:val="auto"/>
                    <w:rPr>
                      <w:b/>
                      <w:bCs/>
                      <w:color w:val="auto"/>
                      <w:sz w:val="21"/>
                      <w:szCs w:val="21"/>
                    </w:rPr>
                  </w:pPr>
                  <w:r>
                    <w:rPr>
                      <w:b/>
                      <w:bCs/>
                      <w:color w:val="auto"/>
                      <w:sz w:val="21"/>
                      <w:szCs w:val="21"/>
                    </w:rPr>
                    <w:t>目录</w:t>
                  </w:r>
                </w:p>
              </w:tc>
              <w:tc>
                <w:tcPr>
                  <w:tcW w:w="3376"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adjustRightInd w:val="0"/>
                    <w:snapToGrid w:val="0"/>
                    <w:spacing w:line="360" w:lineRule="exact"/>
                    <w:jc w:val="center"/>
                    <w:textAlignment w:val="auto"/>
                    <w:rPr>
                      <w:b/>
                      <w:bCs/>
                      <w:color w:val="auto"/>
                      <w:sz w:val="21"/>
                      <w:szCs w:val="21"/>
                    </w:rPr>
                  </w:pPr>
                  <w:r>
                    <w:rPr>
                      <w:b/>
                      <w:bCs/>
                      <w:color w:val="auto"/>
                      <w:sz w:val="21"/>
                      <w:szCs w:val="21"/>
                    </w:rPr>
                    <w:t>产业投资准入规定</w:t>
                  </w:r>
                </w:p>
              </w:tc>
              <w:tc>
                <w:tcPr>
                  <w:tcW w:w="904"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adjustRightInd w:val="0"/>
                    <w:snapToGrid w:val="0"/>
                    <w:spacing w:line="360" w:lineRule="exact"/>
                    <w:jc w:val="center"/>
                    <w:textAlignment w:val="auto"/>
                    <w:rPr>
                      <w:b/>
                      <w:bCs/>
                      <w:color w:val="auto"/>
                      <w:sz w:val="21"/>
                      <w:szCs w:val="21"/>
                    </w:rPr>
                  </w:pPr>
                  <w:r>
                    <w:rPr>
                      <w:b/>
                      <w:bCs/>
                      <w:color w:val="auto"/>
                      <w:sz w:val="21"/>
                      <w:szCs w:val="21"/>
                    </w:rPr>
                    <w:t>项目情况</w:t>
                  </w:r>
                </w:p>
              </w:tc>
              <w:tc>
                <w:tcPr>
                  <w:tcW w:w="444" w:type="pc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adjustRightInd w:val="0"/>
                    <w:snapToGrid w:val="0"/>
                    <w:spacing w:line="360" w:lineRule="exact"/>
                    <w:jc w:val="center"/>
                    <w:textAlignment w:val="auto"/>
                    <w:rPr>
                      <w:b/>
                      <w:bCs/>
                      <w:color w:val="auto"/>
                      <w:sz w:val="21"/>
                      <w:szCs w:val="21"/>
                    </w:rPr>
                  </w:pPr>
                  <w:r>
                    <w:rPr>
                      <w:b/>
                      <w:bCs/>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5" w:type="pct"/>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adjustRightInd w:val="0"/>
                    <w:snapToGrid w:val="0"/>
                    <w:spacing w:line="360" w:lineRule="exact"/>
                    <w:jc w:val="center"/>
                    <w:textAlignment w:val="auto"/>
                    <w:rPr>
                      <w:color w:val="auto"/>
                      <w:sz w:val="21"/>
                      <w:szCs w:val="21"/>
                    </w:rPr>
                  </w:pPr>
                  <w:r>
                    <w:rPr>
                      <w:color w:val="auto"/>
                      <w:sz w:val="21"/>
                      <w:szCs w:val="21"/>
                    </w:rPr>
                    <w:t>不予准入类</w:t>
                  </w:r>
                </w:p>
              </w:tc>
              <w:tc>
                <w:tcPr>
                  <w:tcW w:w="3376" w:type="pct"/>
                  <w:tcBorders>
                    <w:top w:val="single" w:color="auto" w:sz="4" w:space="0"/>
                    <w:left w:val="nil"/>
                    <w:bottom w:val="single" w:color="auto" w:sz="4" w:space="0"/>
                    <w:right w:val="single" w:color="auto" w:sz="4" w:space="0"/>
                  </w:tcBorders>
                  <w:noWrap w:val="0"/>
                  <w:vAlign w:val="center"/>
                </w:tcPr>
                <w:p>
                  <w:pPr>
                    <w:adjustRightInd w:val="0"/>
                    <w:snapToGrid w:val="0"/>
                    <w:jc w:val="both"/>
                    <w:rPr>
                      <w:rFonts w:hint="eastAsia" w:ascii="Times New Roman" w:hAnsi="Times New Roman" w:eastAsia="宋体" w:cs="Times New Roman"/>
                      <w:color w:val="auto"/>
                      <w:spacing w:val="-2"/>
                      <w:szCs w:val="21"/>
                      <w:highlight w:val="none"/>
                      <w:lang w:val="en-US" w:eastAsia="zh-CN"/>
                    </w:rPr>
                  </w:pPr>
                  <w:r>
                    <w:rPr>
                      <w:rFonts w:hint="eastAsia" w:ascii="Times New Roman" w:hAnsi="Times New Roman" w:eastAsia="宋体" w:cs="Times New Roman"/>
                      <w:color w:val="auto"/>
                      <w:spacing w:val="-2"/>
                      <w:szCs w:val="21"/>
                      <w:highlight w:val="none"/>
                      <w:lang w:val="en-US" w:eastAsia="zh-CN"/>
                    </w:rPr>
                    <w:t>（一）全市范围内不予准入的产业</w:t>
                  </w:r>
                </w:p>
                <w:p>
                  <w:pPr>
                    <w:adjustRightInd w:val="0"/>
                    <w:snapToGrid w:val="0"/>
                    <w:jc w:val="both"/>
                    <w:rPr>
                      <w:rFonts w:hint="eastAsia" w:ascii="Times New Roman" w:hAnsi="Times New Roman" w:eastAsia="宋体" w:cs="Times New Roman"/>
                      <w:color w:val="auto"/>
                      <w:spacing w:val="-2"/>
                      <w:szCs w:val="21"/>
                      <w:highlight w:val="none"/>
                      <w:lang w:val="en-US" w:eastAsia="zh-CN"/>
                    </w:rPr>
                  </w:pPr>
                  <w:r>
                    <w:rPr>
                      <w:rFonts w:hint="eastAsia" w:ascii="Times New Roman" w:hAnsi="Times New Roman" w:eastAsia="宋体" w:cs="Times New Roman"/>
                      <w:color w:val="auto"/>
                      <w:spacing w:val="-2"/>
                      <w:szCs w:val="21"/>
                      <w:highlight w:val="none"/>
                      <w:lang w:val="en-US" w:eastAsia="zh-CN"/>
                    </w:rPr>
                    <w:t>1．国家产业结构调整指导目录中的淘汰类项目。2．天然林商业性采伐。3．法律法规和相关政策明令不予准入的其他项目。</w:t>
                  </w:r>
                </w:p>
              </w:tc>
              <w:tc>
                <w:tcPr>
                  <w:tcW w:w="904"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color w:val="auto"/>
                      <w:spacing w:val="-2"/>
                      <w:szCs w:val="21"/>
                      <w:highlight w:val="none"/>
                      <w:lang w:val="en-US" w:eastAsia="zh-CN"/>
                    </w:rPr>
                  </w:pPr>
                  <w:r>
                    <w:rPr>
                      <w:rFonts w:hint="eastAsia" w:ascii="Times New Roman" w:hAnsi="Times New Roman" w:eastAsia="宋体" w:cs="Times New Roman"/>
                      <w:color w:val="auto"/>
                      <w:spacing w:val="-2"/>
                      <w:szCs w:val="21"/>
                      <w:highlight w:val="none"/>
                      <w:lang w:val="en-US" w:eastAsia="zh-CN"/>
                    </w:rPr>
                    <w:t>项目属于</w:t>
                  </w:r>
                  <w:r>
                    <w:rPr>
                      <w:rFonts w:hint="eastAsia" w:eastAsia="宋体" w:cs="Times New Roman"/>
                      <w:color w:val="auto"/>
                      <w:spacing w:val="-2"/>
                      <w:szCs w:val="21"/>
                      <w:highlight w:val="none"/>
                      <w:lang w:val="en-US" w:eastAsia="zh-CN"/>
                    </w:rPr>
                    <w:t>塑料制品业</w:t>
                  </w:r>
                  <w:r>
                    <w:rPr>
                      <w:rFonts w:hint="eastAsia" w:ascii="Times New Roman" w:hAnsi="Times New Roman" w:eastAsia="宋体" w:cs="Times New Roman"/>
                      <w:color w:val="auto"/>
                      <w:spacing w:val="-2"/>
                      <w:szCs w:val="21"/>
                      <w:highlight w:val="none"/>
                      <w:lang w:val="en-US" w:eastAsia="zh-CN"/>
                    </w:rPr>
                    <w:t>，属于国家产业结构调整指导目录中的</w:t>
                  </w:r>
                  <w:r>
                    <w:rPr>
                      <w:rFonts w:hint="eastAsia" w:eastAsia="宋体" w:cs="Times New Roman"/>
                      <w:color w:val="auto"/>
                      <w:spacing w:val="-2"/>
                      <w:szCs w:val="21"/>
                      <w:highlight w:val="none"/>
                      <w:lang w:val="en-US" w:eastAsia="zh-CN"/>
                    </w:rPr>
                    <w:t>允许</w:t>
                  </w:r>
                  <w:r>
                    <w:rPr>
                      <w:rFonts w:hint="eastAsia" w:ascii="Times New Roman" w:hAnsi="Times New Roman" w:eastAsia="宋体" w:cs="Times New Roman"/>
                      <w:color w:val="auto"/>
                      <w:spacing w:val="-2"/>
                      <w:szCs w:val="21"/>
                      <w:highlight w:val="none"/>
                      <w:lang w:val="en-US" w:eastAsia="zh-CN"/>
                    </w:rPr>
                    <w:t>类项目</w:t>
                  </w:r>
                </w:p>
              </w:tc>
              <w:tc>
                <w:tcPr>
                  <w:tcW w:w="444"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color w:val="auto"/>
                      <w:spacing w:val="-2"/>
                      <w:szCs w:val="21"/>
                      <w:highlight w:val="none"/>
                      <w:lang w:val="en-US" w:eastAsia="zh-CN"/>
                    </w:rPr>
                  </w:pPr>
                  <w:r>
                    <w:rPr>
                      <w:rFonts w:hint="eastAsia" w:eastAsia="宋体" w:cs="Times New Roman"/>
                      <w:color w:val="auto"/>
                      <w:spacing w:val="-2"/>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5"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spacing w:line="360" w:lineRule="exact"/>
                    <w:jc w:val="left"/>
                    <w:textAlignment w:val="auto"/>
                    <w:rPr>
                      <w:color w:val="auto"/>
                      <w:sz w:val="21"/>
                      <w:szCs w:val="21"/>
                    </w:rPr>
                  </w:pPr>
                </w:p>
              </w:tc>
              <w:tc>
                <w:tcPr>
                  <w:tcW w:w="3376" w:type="pct"/>
                  <w:tcBorders>
                    <w:top w:val="single" w:color="auto" w:sz="4" w:space="0"/>
                    <w:left w:val="nil"/>
                    <w:bottom w:val="single" w:color="auto" w:sz="4" w:space="0"/>
                    <w:right w:val="single" w:color="auto" w:sz="4" w:space="0"/>
                  </w:tcBorders>
                  <w:noWrap w:val="0"/>
                  <w:vAlign w:val="center"/>
                </w:tcPr>
                <w:p>
                  <w:pPr>
                    <w:adjustRightInd w:val="0"/>
                    <w:snapToGrid w:val="0"/>
                    <w:jc w:val="both"/>
                    <w:rPr>
                      <w:rFonts w:hint="eastAsia" w:ascii="Times New Roman" w:hAnsi="Times New Roman" w:eastAsia="宋体" w:cs="Times New Roman"/>
                      <w:color w:val="auto"/>
                      <w:spacing w:val="-2"/>
                      <w:szCs w:val="21"/>
                      <w:highlight w:val="none"/>
                      <w:lang w:val="en-US" w:eastAsia="zh-CN"/>
                    </w:rPr>
                  </w:pPr>
                  <w:r>
                    <w:rPr>
                      <w:rFonts w:hint="eastAsia" w:ascii="Times New Roman" w:hAnsi="Times New Roman" w:eastAsia="宋体" w:cs="Times New Roman"/>
                      <w:color w:val="auto"/>
                      <w:spacing w:val="-2"/>
                      <w:szCs w:val="21"/>
                      <w:highlight w:val="none"/>
                      <w:lang w:val="en-US" w:eastAsia="zh-CN"/>
                    </w:rPr>
                    <w:t>（二）重点区域不予准入的产业</w:t>
                  </w:r>
                </w:p>
                <w:p>
                  <w:pPr>
                    <w:adjustRightInd w:val="0"/>
                    <w:snapToGrid w:val="0"/>
                    <w:jc w:val="both"/>
                    <w:rPr>
                      <w:rFonts w:hint="eastAsia" w:ascii="Times New Roman" w:hAnsi="Times New Roman" w:eastAsia="宋体" w:cs="Times New Roman"/>
                      <w:color w:val="auto"/>
                      <w:spacing w:val="-2"/>
                      <w:szCs w:val="21"/>
                      <w:highlight w:val="none"/>
                      <w:lang w:val="en-US" w:eastAsia="zh-CN"/>
                    </w:rPr>
                  </w:pPr>
                  <w:r>
                    <w:rPr>
                      <w:rFonts w:hint="eastAsia" w:ascii="Times New Roman" w:hAnsi="Times New Roman" w:eastAsia="宋体" w:cs="Times New Roman"/>
                      <w:color w:val="auto"/>
                      <w:spacing w:val="-2"/>
                      <w:szCs w:val="21"/>
                      <w:highlight w:val="none"/>
                      <w:lang w:val="en-US" w:eastAsia="zh-CN"/>
                    </w:rPr>
                    <w:t>1．外环绕城高速公路以内长江、嘉陵江水域采砂。2．二十五度以上陡坡地开垦种植农作物。3．在自然保护区核心区、缓冲区的岸线和河段范围内投资建设旅游和生产经营项目。4．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5．长江干流岸线3公里范围内和重要支流岸线1公里范围内新建、改建、扩建尾矿库、冶炼渣库和磷石膏库（以提升安全、生态环境保护水平为目的的改建除外）。6．在风景名胜区核心景区的岸线和河段范围内投资建设与风景名胜资源保护无关的项目。7．在国家湿地公园的岸线和河段范围内挖沙、采矿，以及任何不符合主体功能定位的投资建设项目。8．在《长江岸线保护和开发利用总体规划》划定的岸线保护区和保留区内投资建设除事关公共安全及公众利益的防洪护岸、河道治理、供水、生态环境保护、航道整治、国家重要基础设施以外的项目。9．在《全国重要江河湖泊水功能区划》划定的河段及湖泊保护区、保留区内投资建设不利于水资源及自然生态保护的项目。</w:t>
                  </w:r>
                </w:p>
              </w:tc>
              <w:tc>
                <w:tcPr>
                  <w:tcW w:w="904"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color w:val="auto"/>
                      <w:spacing w:val="-2"/>
                      <w:szCs w:val="21"/>
                      <w:highlight w:val="none"/>
                      <w:lang w:val="en-US" w:eastAsia="zh-CN"/>
                    </w:rPr>
                  </w:pPr>
                  <w:r>
                    <w:rPr>
                      <w:rFonts w:hint="eastAsia" w:ascii="Times New Roman" w:hAnsi="Times New Roman" w:eastAsia="宋体" w:cs="Times New Roman"/>
                      <w:color w:val="auto"/>
                      <w:spacing w:val="-2"/>
                      <w:szCs w:val="21"/>
                      <w:highlight w:val="none"/>
                      <w:lang w:val="en-US" w:eastAsia="zh-CN"/>
                    </w:rPr>
                    <w:t>项目位于</w:t>
                  </w:r>
                  <w:r>
                    <w:rPr>
                      <w:rFonts w:hint="eastAsia" w:eastAsia="宋体" w:cs="Times New Roman"/>
                      <w:color w:val="auto"/>
                      <w:spacing w:val="-2"/>
                      <w:szCs w:val="21"/>
                      <w:highlight w:val="none"/>
                      <w:lang w:val="en-US" w:eastAsia="zh-CN"/>
                    </w:rPr>
                    <w:t>重庆市铜梁区侣俸镇，属于工业聚集区</w:t>
                  </w:r>
                  <w:r>
                    <w:rPr>
                      <w:rFonts w:hint="eastAsia" w:ascii="Times New Roman" w:hAnsi="Times New Roman" w:eastAsia="宋体" w:cs="Times New Roman"/>
                      <w:color w:val="auto"/>
                      <w:spacing w:val="-2"/>
                      <w:szCs w:val="21"/>
                      <w:highlight w:val="none"/>
                      <w:lang w:val="en-US" w:eastAsia="zh-CN"/>
                    </w:rPr>
                    <w:t>，不位于上述区域内</w:t>
                  </w:r>
                </w:p>
              </w:tc>
              <w:tc>
                <w:tcPr>
                  <w:tcW w:w="444"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color w:val="auto"/>
                      <w:spacing w:val="-2"/>
                      <w:szCs w:val="21"/>
                      <w:highlight w:val="none"/>
                      <w:lang w:val="en-US" w:eastAsia="zh-CN"/>
                    </w:rPr>
                  </w:pPr>
                  <w:r>
                    <w:rPr>
                      <w:rFonts w:hint="eastAsia" w:eastAsia="宋体" w:cs="Times New Roman"/>
                      <w:color w:val="auto"/>
                      <w:spacing w:val="-2"/>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5" w:type="pct"/>
                  <w:vMerge w:val="restart"/>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adjustRightInd w:val="0"/>
                    <w:snapToGrid w:val="0"/>
                    <w:spacing w:line="360" w:lineRule="exact"/>
                    <w:textAlignment w:val="auto"/>
                    <w:rPr>
                      <w:color w:val="auto"/>
                      <w:sz w:val="21"/>
                      <w:szCs w:val="21"/>
                    </w:rPr>
                  </w:pPr>
                  <w:r>
                    <w:rPr>
                      <w:color w:val="auto"/>
                      <w:sz w:val="21"/>
                      <w:szCs w:val="21"/>
                    </w:rPr>
                    <w:t>限制准入类</w:t>
                  </w:r>
                </w:p>
              </w:tc>
              <w:tc>
                <w:tcPr>
                  <w:tcW w:w="3376" w:type="pct"/>
                  <w:tcBorders>
                    <w:top w:val="single" w:color="auto" w:sz="4" w:space="0"/>
                    <w:left w:val="nil"/>
                    <w:bottom w:val="single" w:color="auto" w:sz="4" w:space="0"/>
                    <w:right w:val="single" w:color="auto" w:sz="4" w:space="0"/>
                  </w:tcBorders>
                  <w:noWrap w:val="0"/>
                  <w:vAlign w:val="center"/>
                </w:tcPr>
                <w:p>
                  <w:pPr>
                    <w:adjustRightInd w:val="0"/>
                    <w:snapToGrid w:val="0"/>
                    <w:jc w:val="both"/>
                    <w:rPr>
                      <w:rFonts w:hint="eastAsia" w:ascii="Times New Roman" w:hAnsi="Times New Roman" w:eastAsia="宋体" w:cs="Times New Roman"/>
                      <w:color w:val="auto"/>
                      <w:spacing w:val="-2"/>
                      <w:szCs w:val="21"/>
                      <w:highlight w:val="none"/>
                      <w:lang w:val="en-US" w:eastAsia="zh-CN"/>
                    </w:rPr>
                  </w:pPr>
                  <w:r>
                    <w:rPr>
                      <w:rFonts w:hint="eastAsia" w:ascii="Times New Roman" w:hAnsi="Times New Roman" w:eastAsia="宋体" w:cs="Times New Roman"/>
                      <w:color w:val="auto"/>
                      <w:spacing w:val="-2"/>
                      <w:szCs w:val="21"/>
                      <w:highlight w:val="none"/>
                      <w:lang w:val="en-US" w:eastAsia="zh-CN"/>
                    </w:rPr>
                    <w:t>（一）全市范围内限制准入的产业</w:t>
                  </w:r>
                </w:p>
                <w:p>
                  <w:pPr>
                    <w:adjustRightInd w:val="0"/>
                    <w:snapToGrid w:val="0"/>
                    <w:jc w:val="both"/>
                    <w:rPr>
                      <w:rFonts w:hint="eastAsia" w:ascii="Times New Roman" w:hAnsi="Times New Roman" w:eastAsia="宋体" w:cs="Times New Roman"/>
                      <w:color w:val="auto"/>
                      <w:spacing w:val="-2"/>
                      <w:szCs w:val="21"/>
                      <w:highlight w:val="none"/>
                      <w:lang w:val="en-US" w:eastAsia="zh-CN"/>
                    </w:rPr>
                  </w:pPr>
                  <w:r>
                    <w:rPr>
                      <w:rFonts w:hint="eastAsia" w:ascii="Times New Roman" w:hAnsi="Times New Roman" w:eastAsia="宋体" w:cs="Times New Roman"/>
                      <w:color w:val="auto"/>
                      <w:spacing w:val="-2"/>
                      <w:szCs w:val="21"/>
                      <w:highlight w:val="none"/>
                      <w:lang w:val="en-US" w:eastAsia="zh-CN"/>
                    </w:rPr>
                    <w:t>1．新建、扩建不符合国家产能置换要求的严重过剩产能行业的项目。新建、扩建不符合要求的高耗能高排放项目。2．新建、扩建不符合国家石化、现代煤化工等产业布局规划的项目。3．在合规园区外新建、扩建钢铁、石化、化工、焦化、建材、有色、制浆造纸等高污染项目。4．《汽车产业投资管理规定》（国家发展和改革委员会令第22号）明确禁止建设的汽车投资项目。</w:t>
                  </w:r>
                </w:p>
              </w:tc>
              <w:tc>
                <w:tcPr>
                  <w:tcW w:w="904"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color w:val="auto"/>
                      <w:spacing w:val="-2"/>
                      <w:szCs w:val="21"/>
                      <w:highlight w:val="none"/>
                      <w:lang w:val="en-US" w:eastAsia="zh-CN"/>
                    </w:rPr>
                  </w:pPr>
                  <w:r>
                    <w:rPr>
                      <w:rFonts w:hint="eastAsia" w:ascii="Times New Roman" w:hAnsi="Times New Roman" w:eastAsia="宋体" w:cs="Times New Roman"/>
                      <w:color w:val="auto"/>
                      <w:spacing w:val="-2"/>
                      <w:szCs w:val="21"/>
                      <w:highlight w:val="none"/>
                      <w:lang w:val="en-US" w:eastAsia="zh-CN"/>
                    </w:rPr>
                    <w:t>项目不属于高耗能高排放项目；不属于高污染项目和汽车投资项目</w:t>
                  </w:r>
                </w:p>
              </w:tc>
              <w:tc>
                <w:tcPr>
                  <w:tcW w:w="444" w:type="pct"/>
                  <w:vMerge w:val="restart"/>
                  <w:tcBorders>
                    <w:top w:val="single" w:color="auto" w:sz="4" w:space="0"/>
                    <w:left w:val="nil"/>
                    <w:right w:val="single" w:color="auto" w:sz="4" w:space="0"/>
                  </w:tcBorders>
                  <w:noWrap w:val="0"/>
                  <w:vAlign w:val="center"/>
                </w:tcPr>
                <w:p>
                  <w:pPr>
                    <w:adjustRightInd w:val="0"/>
                    <w:snapToGrid w:val="0"/>
                    <w:jc w:val="center"/>
                    <w:rPr>
                      <w:rFonts w:hint="eastAsia" w:ascii="Times New Roman" w:hAnsi="Times New Roman" w:eastAsia="宋体" w:cs="Times New Roman"/>
                      <w:color w:val="auto"/>
                      <w:spacing w:val="-2"/>
                      <w:szCs w:val="21"/>
                      <w:highlight w:val="none"/>
                      <w:lang w:val="en-US" w:eastAsia="zh-CN"/>
                    </w:rPr>
                  </w:pPr>
                  <w:r>
                    <w:rPr>
                      <w:rFonts w:hint="eastAsia" w:eastAsia="宋体" w:cs="Times New Roman"/>
                      <w:color w:val="auto"/>
                      <w:spacing w:val="-2"/>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5"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adjustRightInd w:val="0"/>
                    <w:snapToGrid w:val="0"/>
                    <w:spacing w:line="360" w:lineRule="exact"/>
                    <w:textAlignment w:val="auto"/>
                    <w:rPr>
                      <w:color w:val="auto"/>
                      <w:sz w:val="21"/>
                      <w:szCs w:val="21"/>
                    </w:rPr>
                  </w:pPr>
                </w:p>
              </w:tc>
              <w:tc>
                <w:tcPr>
                  <w:tcW w:w="3376" w:type="pct"/>
                  <w:tcBorders>
                    <w:top w:val="single" w:color="auto" w:sz="4" w:space="0"/>
                    <w:left w:val="nil"/>
                    <w:bottom w:val="single" w:color="auto" w:sz="4" w:space="0"/>
                    <w:right w:val="single" w:color="auto" w:sz="4" w:space="0"/>
                  </w:tcBorders>
                  <w:noWrap w:val="0"/>
                  <w:vAlign w:val="center"/>
                </w:tcPr>
                <w:p>
                  <w:pPr>
                    <w:adjustRightInd w:val="0"/>
                    <w:snapToGrid w:val="0"/>
                    <w:jc w:val="both"/>
                    <w:rPr>
                      <w:rFonts w:hint="eastAsia" w:ascii="Times New Roman" w:hAnsi="Times New Roman" w:eastAsia="宋体" w:cs="Times New Roman"/>
                      <w:color w:val="auto"/>
                      <w:spacing w:val="-2"/>
                      <w:szCs w:val="21"/>
                      <w:highlight w:val="none"/>
                      <w:lang w:val="en-US" w:eastAsia="zh-CN"/>
                    </w:rPr>
                  </w:pPr>
                  <w:r>
                    <w:rPr>
                      <w:rFonts w:hint="eastAsia" w:ascii="Times New Roman" w:hAnsi="Times New Roman" w:eastAsia="宋体" w:cs="Times New Roman"/>
                      <w:color w:val="auto"/>
                      <w:spacing w:val="-2"/>
                      <w:szCs w:val="21"/>
                      <w:highlight w:val="none"/>
                      <w:lang w:val="en-US" w:eastAsia="zh-CN"/>
                    </w:rPr>
                    <w:t>（二）重点区域范围内限制准入的产业</w:t>
                  </w:r>
                </w:p>
                <w:p>
                  <w:pPr>
                    <w:adjustRightInd w:val="0"/>
                    <w:snapToGrid w:val="0"/>
                    <w:jc w:val="both"/>
                    <w:rPr>
                      <w:rFonts w:hint="eastAsia" w:ascii="Times New Roman" w:hAnsi="Times New Roman" w:eastAsia="宋体" w:cs="Times New Roman"/>
                      <w:color w:val="auto"/>
                      <w:spacing w:val="-2"/>
                      <w:szCs w:val="21"/>
                      <w:highlight w:val="none"/>
                      <w:lang w:val="en-US" w:eastAsia="zh-CN"/>
                    </w:rPr>
                  </w:pPr>
                  <w:r>
                    <w:rPr>
                      <w:rFonts w:hint="eastAsia" w:ascii="Times New Roman" w:hAnsi="Times New Roman" w:eastAsia="宋体" w:cs="Times New Roman"/>
                      <w:color w:val="auto"/>
                      <w:spacing w:val="-2"/>
                      <w:szCs w:val="21"/>
                      <w:highlight w:val="none"/>
                      <w:lang w:val="en-US" w:eastAsia="zh-CN"/>
                    </w:rPr>
                    <w:t>1．长江干支流、重要湖泊岸线1公里范围内新建、扩建化工园区和化工项目，长江、嘉陵江、乌江岸线1公里范围内布局新建纸浆制造、印染等存在环境风险的项目。2．在水产种质资源保护区的岸线和河段范围内新建围湖造田等投资建设项目。</w:t>
                  </w:r>
                </w:p>
              </w:tc>
              <w:tc>
                <w:tcPr>
                  <w:tcW w:w="904" w:type="pct"/>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color w:val="auto"/>
                      <w:spacing w:val="-2"/>
                      <w:szCs w:val="21"/>
                      <w:highlight w:val="none"/>
                      <w:lang w:val="en-US" w:eastAsia="zh-CN"/>
                    </w:rPr>
                  </w:pPr>
                  <w:r>
                    <w:rPr>
                      <w:rFonts w:hint="eastAsia" w:ascii="Times New Roman" w:hAnsi="Times New Roman" w:eastAsia="宋体" w:cs="Times New Roman"/>
                      <w:color w:val="auto"/>
                      <w:spacing w:val="-2"/>
                      <w:szCs w:val="21"/>
                      <w:highlight w:val="none"/>
                      <w:lang w:val="en-US" w:eastAsia="zh-CN"/>
                    </w:rPr>
                    <w:t>项目不属于化工项目；不属于纸浆制造、印染等项目；不属于围湖造田项目</w:t>
                  </w:r>
                </w:p>
              </w:tc>
              <w:tc>
                <w:tcPr>
                  <w:tcW w:w="444" w:type="pct"/>
                  <w:vMerge w:val="continue"/>
                  <w:tcBorders>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val="0"/>
                    <w:autoSpaceDN w:val="0"/>
                    <w:bidi w:val="0"/>
                    <w:adjustRightInd w:val="0"/>
                    <w:snapToGrid w:val="0"/>
                    <w:spacing w:line="360" w:lineRule="exact"/>
                    <w:jc w:val="center"/>
                    <w:textAlignment w:val="auto"/>
                    <w:rPr>
                      <w:color w:val="auto"/>
                      <w:sz w:val="21"/>
                      <w:szCs w:val="21"/>
                    </w:rPr>
                  </w:pPr>
                </w:p>
              </w:tc>
            </w:tr>
          </w:tbl>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b w:val="0"/>
                <w:bCs/>
                <w:snapToGrid w:val="0"/>
                <w:color w:val="auto"/>
                <w:kern w:val="0"/>
                <w:sz w:val="24"/>
                <w:lang w:val="en-US" w:eastAsia="zh-CN"/>
              </w:rPr>
            </w:pPr>
            <w:r>
              <w:rPr>
                <w:rFonts w:hint="eastAsia" w:ascii="Times New Roman" w:hAnsi="Times New Roman" w:eastAsia="宋体" w:cs="Times New Roman"/>
                <w:b w:val="0"/>
                <w:bCs/>
                <w:snapToGrid w:val="0"/>
                <w:color w:val="auto"/>
                <w:kern w:val="0"/>
                <w:sz w:val="24"/>
                <w:lang w:val="en-US" w:eastAsia="zh-CN"/>
              </w:rPr>
              <w:t>根据上表可知，本项目符合《重庆市发展和改革委员会关于印发重庆市产业投资准入工作手册》（渝发改投资[2022]1436号）相关要求。</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b w:val="0"/>
                <w:bCs/>
                <w:snapToGrid w:val="0"/>
                <w:color w:val="auto"/>
                <w:kern w:val="0"/>
                <w:sz w:val="24"/>
                <w:lang w:val="en-US" w:eastAsia="zh-CN"/>
              </w:rPr>
            </w:pP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default" w:cs="Times New Roman"/>
                <w:b w:val="0"/>
                <w:bCs/>
                <w:snapToGrid w:val="0"/>
                <w:color w:val="auto"/>
                <w:kern w:val="0"/>
                <w:sz w:val="24"/>
                <w:highlight w:val="yellow"/>
                <w:lang w:val="en-US" w:eastAsia="zh-CN"/>
              </w:rPr>
            </w:pP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default" w:cs="Times New Roman"/>
                <w:b w:val="0"/>
                <w:bCs/>
                <w:snapToGrid w:val="0"/>
                <w:color w:val="auto"/>
                <w:kern w:val="0"/>
                <w:sz w:val="24"/>
                <w:highlight w:val="yellow"/>
                <w:lang w:val="en-US" w:eastAsia="zh-CN"/>
              </w:rPr>
            </w:pP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default" w:cs="Times New Roman"/>
                <w:b w:val="0"/>
                <w:bCs/>
                <w:snapToGrid w:val="0"/>
                <w:color w:val="auto"/>
                <w:kern w:val="0"/>
                <w:sz w:val="24"/>
                <w:highlight w:val="yellow"/>
                <w:lang w:val="en-US" w:eastAsia="zh-CN"/>
              </w:rPr>
            </w:pP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default" w:cs="Times New Roman"/>
                <w:b w:val="0"/>
                <w:bCs/>
                <w:snapToGrid w:val="0"/>
                <w:color w:val="auto"/>
                <w:kern w:val="0"/>
                <w:sz w:val="24"/>
                <w:highlight w:val="yellow"/>
                <w:lang w:val="en-US" w:eastAsia="zh-CN"/>
              </w:rPr>
            </w:pP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default" w:cs="Times New Roman"/>
                <w:b w:val="0"/>
                <w:bCs/>
                <w:snapToGrid w:val="0"/>
                <w:color w:val="auto"/>
                <w:kern w:val="0"/>
                <w:sz w:val="24"/>
                <w:highlight w:val="yellow"/>
                <w:lang w:val="en-US" w:eastAsia="zh-CN"/>
              </w:rPr>
            </w:pP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eastAsia" w:cs="Times New Roman"/>
                <w:b w:val="0"/>
                <w:bCs/>
                <w:snapToGrid w:val="0"/>
                <w:color w:val="auto"/>
                <w:kern w:val="0"/>
                <w:sz w:val="24"/>
                <w:highlight w:val="yellow"/>
                <w:lang w:val="en-US" w:eastAsia="zh-CN"/>
              </w:rPr>
            </w:pP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eastAsia" w:cs="Times New Roman"/>
                <w:b w:val="0"/>
                <w:bCs/>
                <w:snapToGrid w:val="0"/>
                <w:color w:val="auto"/>
                <w:kern w:val="0"/>
                <w:sz w:val="24"/>
                <w:highlight w:val="yellow"/>
                <w:lang w:val="en-US" w:eastAsia="zh-CN"/>
              </w:rPr>
            </w:pP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eastAsia" w:cs="Times New Roman"/>
                <w:b w:val="0"/>
                <w:bCs/>
                <w:snapToGrid w:val="0"/>
                <w:color w:val="auto"/>
                <w:kern w:val="0"/>
                <w:sz w:val="24"/>
                <w:highlight w:val="yellow"/>
                <w:lang w:val="en-US" w:eastAsia="zh-CN"/>
              </w:rPr>
            </w:pP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both"/>
              <w:textAlignment w:val="auto"/>
              <w:rPr>
                <w:rFonts w:hint="default" w:cs="Times New Roman"/>
                <w:b w:val="0"/>
                <w:bCs/>
                <w:snapToGrid w:val="0"/>
                <w:color w:val="auto"/>
                <w:kern w:val="0"/>
                <w:sz w:val="24"/>
                <w:highlight w:val="yellow"/>
                <w:lang w:val="en-US" w:eastAsia="zh-CN"/>
              </w:rPr>
            </w:pPr>
          </w:p>
        </w:tc>
      </w:tr>
    </w:tbl>
    <w:p>
      <w:pPr>
        <w:rPr>
          <w:color w:val="auto"/>
          <w:highlight w:val="yellow"/>
        </w:rPr>
        <w:sectPr>
          <w:pgSz w:w="11906" w:h="16838"/>
          <w:pgMar w:top="1440" w:right="1800" w:bottom="1440" w:left="1800" w:header="851" w:footer="992" w:gutter="0"/>
          <w:pgNumType w:fmt="decimal"/>
          <w:cols w:space="425" w:num="1"/>
          <w:docGrid w:type="lines" w:linePitch="312" w:charSpace="0"/>
        </w:sectPr>
      </w:pPr>
    </w:p>
    <w:p>
      <w:pPr>
        <w:pStyle w:val="13"/>
        <w:jc w:val="center"/>
        <w:outlineLvl w:val="0"/>
        <w:rPr>
          <w:rFonts w:hint="default" w:ascii="Times New Roman" w:hAnsi="Times New Roman" w:eastAsia="黑体" w:cs="Times New Roman"/>
          <w:snapToGrid w:val="0"/>
          <w:color w:val="auto"/>
          <w:sz w:val="30"/>
          <w:szCs w:val="30"/>
          <w:highlight w:val="yellow"/>
        </w:rPr>
      </w:pPr>
      <w:r>
        <w:rPr>
          <w:rFonts w:hint="default" w:ascii="Times New Roman" w:hAnsi="Times New Roman" w:eastAsia="黑体" w:cs="Times New Roman"/>
          <w:snapToGrid w:val="0"/>
          <w:color w:val="auto"/>
          <w:sz w:val="30"/>
          <w:szCs w:val="30"/>
          <w:highlight w:val="none"/>
        </w:rPr>
        <w:t>二、建设项目工程分析</w:t>
      </w:r>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6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noWrap w:val="0"/>
            <w:vAlign w:val="center"/>
          </w:tcPr>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highlight w:val="none"/>
              </w:rPr>
              <w:t>建设内容</w:t>
            </w:r>
          </w:p>
        </w:tc>
        <w:tc>
          <w:tcPr>
            <w:tcW w:w="8634" w:type="dxa"/>
            <w:noWrap w:val="0"/>
            <w:vAlign w:val="top"/>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val="0"/>
                <w:snapToGrid w:val="0"/>
                <w:color w:val="auto"/>
                <w:kern w:val="0"/>
                <w:sz w:val="24"/>
                <w:highlight w:val="none"/>
                <w:lang w:val="en-US" w:eastAsia="zh-CN"/>
              </w:rPr>
            </w:pPr>
            <w:r>
              <w:rPr>
                <w:rFonts w:hint="default" w:ascii="Times New Roman" w:hAnsi="Times New Roman" w:eastAsia="宋体" w:cs="Times New Roman"/>
                <w:b/>
                <w:bCs w:val="0"/>
                <w:snapToGrid w:val="0"/>
                <w:color w:val="auto"/>
                <w:kern w:val="0"/>
                <w:sz w:val="24"/>
                <w:highlight w:val="none"/>
                <w:lang w:val="en-US" w:eastAsia="zh-CN"/>
              </w:rPr>
              <w:t>1</w:t>
            </w:r>
            <w:r>
              <w:rPr>
                <w:rFonts w:hint="eastAsia" w:cs="Times New Roman"/>
                <w:b/>
                <w:bCs w:val="0"/>
                <w:snapToGrid w:val="0"/>
                <w:color w:val="auto"/>
                <w:kern w:val="0"/>
                <w:sz w:val="24"/>
                <w:highlight w:val="none"/>
                <w:lang w:val="en-US" w:eastAsia="zh-CN"/>
              </w:rPr>
              <w:t>、</w:t>
            </w:r>
            <w:r>
              <w:rPr>
                <w:rFonts w:hint="default" w:ascii="Times New Roman" w:hAnsi="Times New Roman" w:eastAsia="宋体" w:cs="Times New Roman"/>
                <w:b/>
                <w:bCs w:val="0"/>
                <w:snapToGrid w:val="0"/>
                <w:color w:val="auto"/>
                <w:kern w:val="0"/>
                <w:sz w:val="24"/>
                <w:highlight w:val="none"/>
                <w:lang w:val="en-US" w:eastAsia="zh-CN"/>
              </w:rPr>
              <w:t>项目由来</w:t>
            </w:r>
            <w:r>
              <w:rPr>
                <w:rFonts w:hint="eastAsia" w:cs="Times New Roman"/>
                <w:b/>
                <w:bCs w:val="0"/>
                <w:snapToGrid w:val="0"/>
                <w:color w:val="auto"/>
                <w:kern w:val="0"/>
                <w:sz w:val="24"/>
                <w:highlight w:val="none"/>
                <w:lang w:val="en-US" w:eastAsia="zh-CN"/>
              </w:rPr>
              <w:t>及概况</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snapToGrid w:val="0"/>
                <w:color w:val="auto"/>
                <w:kern w:val="0"/>
                <w:sz w:val="24"/>
                <w:highlight w:val="none"/>
                <w:lang w:val="en-US" w:eastAsia="zh-CN"/>
              </w:rPr>
            </w:pPr>
            <w:r>
              <w:rPr>
                <w:rFonts w:hint="eastAsia" w:cs="Times New Roman"/>
                <w:bCs/>
                <w:snapToGrid w:val="0"/>
                <w:color w:val="auto"/>
                <w:kern w:val="0"/>
                <w:sz w:val="24"/>
                <w:highlight w:val="none"/>
                <w:lang w:val="en-US" w:eastAsia="zh-CN"/>
              </w:rPr>
              <w:t>（1）项目由来</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cs="Times New Roman"/>
                <w:bCs/>
                <w:snapToGrid w:val="0"/>
                <w:color w:val="auto"/>
                <w:kern w:val="0"/>
                <w:sz w:val="24"/>
                <w:highlight w:val="none"/>
                <w:lang w:val="en-US" w:eastAsia="zh-CN"/>
              </w:rPr>
            </w:pPr>
            <w:r>
              <w:rPr>
                <w:rFonts w:hint="eastAsia"/>
                <w:color w:val="auto"/>
                <w:sz w:val="24"/>
                <w:highlight w:val="none"/>
              </w:rPr>
              <w:t>重庆</w:t>
            </w:r>
            <w:r>
              <w:rPr>
                <w:rFonts w:hint="eastAsia"/>
                <w:color w:val="auto"/>
                <w:sz w:val="24"/>
                <w:highlight w:val="none"/>
                <w:lang w:val="en-US" w:eastAsia="zh-CN"/>
              </w:rPr>
              <w:t>翔达包装制品有限公司</w:t>
            </w:r>
            <w:r>
              <w:rPr>
                <w:rFonts w:hint="eastAsia" w:cs="Times New Roman"/>
                <w:bCs/>
                <w:snapToGrid w:val="0"/>
                <w:color w:val="auto"/>
                <w:kern w:val="0"/>
                <w:sz w:val="24"/>
                <w:highlight w:val="none"/>
                <w:lang w:val="en-US" w:eastAsia="zh-CN"/>
              </w:rPr>
              <w:t>（以下简称“</w:t>
            </w:r>
            <w:r>
              <w:rPr>
                <w:rFonts w:hint="eastAsia"/>
                <w:color w:val="auto"/>
                <w:sz w:val="24"/>
                <w:highlight w:val="none"/>
                <w:lang w:val="en-US" w:eastAsia="zh-CN"/>
              </w:rPr>
              <w:t>翔达公司</w:t>
            </w:r>
            <w:r>
              <w:rPr>
                <w:rFonts w:hint="eastAsia" w:cs="Times New Roman"/>
                <w:bCs/>
                <w:snapToGrid w:val="0"/>
                <w:color w:val="auto"/>
                <w:kern w:val="0"/>
                <w:sz w:val="24"/>
                <w:highlight w:val="none"/>
                <w:lang w:val="en-US" w:eastAsia="zh-CN"/>
              </w:rPr>
              <w:t>”</w:t>
            </w:r>
            <w:r>
              <w:rPr>
                <w:rFonts w:hint="eastAsia" w:ascii="Times New Roman" w:hAnsi="Times New Roman" w:eastAsia="宋体" w:cs="Times New Roman"/>
                <w:bCs/>
                <w:snapToGrid w:val="0"/>
                <w:color w:val="auto"/>
                <w:kern w:val="0"/>
                <w:sz w:val="24"/>
                <w:highlight w:val="none"/>
                <w:lang w:val="en-US" w:eastAsia="zh-CN"/>
              </w:rPr>
              <w:t>）是一家</w:t>
            </w:r>
            <w:r>
              <w:rPr>
                <w:rFonts w:hint="eastAsia" w:cs="Times New Roman"/>
                <w:bCs/>
                <w:snapToGrid w:val="0"/>
                <w:color w:val="auto"/>
                <w:kern w:val="0"/>
                <w:sz w:val="24"/>
                <w:highlight w:val="none"/>
                <w:lang w:val="en-US" w:eastAsia="zh-CN"/>
              </w:rPr>
              <w:t>专门从事塑料包装制品的</w:t>
            </w:r>
            <w:r>
              <w:rPr>
                <w:rFonts w:hint="default" w:ascii="Times New Roman" w:hAnsi="Times New Roman" w:eastAsia="宋体" w:cs="Times New Roman"/>
                <w:bCs/>
                <w:snapToGrid w:val="0"/>
                <w:color w:val="auto"/>
                <w:kern w:val="0"/>
                <w:sz w:val="24"/>
                <w:highlight w:val="none"/>
                <w:lang w:val="en-US" w:eastAsia="zh-CN"/>
              </w:rPr>
              <w:t>研发、加工、销售为一体的综合性企业</w:t>
            </w:r>
            <w:r>
              <w:rPr>
                <w:rFonts w:hint="eastAsia" w:cs="Times New Roman"/>
                <w:bCs/>
                <w:snapToGrid w:val="0"/>
                <w:color w:val="auto"/>
                <w:kern w:val="0"/>
                <w:sz w:val="24"/>
                <w:highlight w:val="none"/>
                <w:lang w:val="en-US" w:eastAsia="zh-CN"/>
              </w:rPr>
              <w:t>。</w:t>
            </w:r>
            <w:r>
              <w:rPr>
                <w:rFonts w:hint="eastAsia"/>
                <w:color w:val="auto"/>
                <w:sz w:val="24"/>
                <w:highlight w:val="none"/>
              </w:rPr>
              <w:t>重庆</w:t>
            </w:r>
            <w:r>
              <w:rPr>
                <w:rFonts w:hint="eastAsia"/>
                <w:color w:val="auto"/>
                <w:sz w:val="24"/>
                <w:highlight w:val="none"/>
                <w:lang w:val="en-US" w:eastAsia="zh-CN"/>
              </w:rPr>
              <w:t>翔达包装制品有限公司租赁重庆市铜梁区金鸿浆纱厂（</w:t>
            </w:r>
            <w:r>
              <w:rPr>
                <w:rFonts w:hint="eastAsia" w:cs="Times New Roman"/>
                <w:bCs/>
                <w:snapToGrid w:val="0"/>
                <w:color w:val="auto"/>
                <w:kern w:val="0"/>
                <w:sz w:val="24"/>
                <w:highlight w:val="none"/>
                <w:lang w:val="en-US" w:eastAsia="zh-CN"/>
              </w:rPr>
              <w:t>以下简称“</w:t>
            </w:r>
            <w:r>
              <w:rPr>
                <w:rFonts w:hint="eastAsia"/>
                <w:color w:val="auto"/>
                <w:sz w:val="24"/>
                <w:highlight w:val="none"/>
                <w:lang w:val="en-US" w:eastAsia="zh-CN"/>
              </w:rPr>
              <w:t>金鸿浆纱厂</w:t>
            </w:r>
            <w:r>
              <w:rPr>
                <w:rFonts w:hint="eastAsia" w:cs="Times New Roman"/>
                <w:bCs/>
                <w:snapToGrid w:val="0"/>
                <w:color w:val="auto"/>
                <w:kern w:val="0"/>
                <w:sz w:val="24"/>
                <w:highlight w:val="none"/>
                <w:lang w:val="en-US" w:eastAsia="zh-CN"/>
              </w:rPr>
              <w:t>”</w:t>
            </w:r>
            <w:r>
              <w:rPr>
                <w:rFonts w:hint="eastAsia"/>
                <w:color w:val="auto"/>
                <w:sz w:val="24"/>
                <w:highlight w:val="none"/>
                <w:lang w:val="en-US" w:eastAsia="zh-CN"/>
              </w:rPr>
              <w:t>）生产厂房，建筑面积约3000m</w:t>
            </w:r>
            <w:r>
              <w:rPr>
                <w:rFonts w:hint="eastAsia"/>
                <w:color w:val="auto"/>
                <w:sz w:val="24"/>
                <w:highlight w:val="none"/>
                <w:vertAlign w:val="superscript"/>
                <w:lang w:val="en-US" w:eastAsia="zh-CN"/>
              </w:rPr>
              <w:t>2</w:t>
            </w:r>
            <w:r>
              <w:rPr>
                <w:rFonts w:hint="eastAsia" w:cs="Times New Roman"/>
                <w:bCs/>
                <w:snapToGrid w:val="0"/>
                <w:color w:val="auto"/>
                <w:kern w:val="0"/>
                <w:sz w:val="24"/>
                <w:highlight w:val="none"/>
                <w:lang w:val="en-US" w:eastAsia="zh-CN"/>
              </w:rPr>
              <w:t>，进行建设“年产包装制品100万套生产项目”。根据现场踏勘，</w:t>
            </w:r>
            <w:r>
              <w:rPr>
                <w:rFonts w:hint="eastAsia"/>
                <w:color w:val="auto"/>
                <w:sz w:val="24"/>
                <w:highlight w:val="none"/>
                <w:lang w:val="en-US" w:eastAsia="zh-CN"/>
              </w:rPr>
              <w:t>金鸿浆纱厂现已将原有厂房进行推倒重建，现厂房属于金鸿浆纱厂重建中，根据建设单位提供资料，现金鸿浆纱厂重建厂房已办理相关厂房重建手续。待厂房重建完成后交由翔达公司作为生产经营场所。翔达公司</w:t>
            </w:r>
            <w:r>
              <w:rPr>
                <w:rFonts w:hint="eastAsia" w:cs="Times New Roman"/>
                <w:bCs/>
                <w:snapToGrid w:val="0"/>
                <w:color w:val="auto"/>
                <w:kern w:val="0"/>
                <w:sz w:val="24"/>
                <w:highlight w:val="none"/>
                <w:lang w:val="en-US" w:eastAsia="zh-CN"/>
              </w:rPr>
              <w:t>通过购置片材机、多功能成型机、打杯机等设备建设生产线。建成后可年产100万套包装制品。</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cs="Times New Roman"/>
                <w:bCs/>
                <w:snapToGrid w:val="0"/>
                <w:color w:val="auto"/>
                <w:kern w:val="0"/>
                <w:sz w:val="24"/>
                <w:highlight w:val="none"/>
                <w:lang w:val="en-US" w:eastAsia="zh-CN"/>
              </w:rPr>
            </w:pPr>
            <w:r>
              <w:rPr>
                <w:rFonts w:hint="default" w:cs="Times New Roman"/>
                <w:bCs/>
                <w:snapToGrid w:val="0"/>
                <w:color w:val="auto"/>
                <w:kern w:val="0"/>
                <w:sz w:val="24"/>
                <w:highlight w:val="none"/>
                <w:lang w:val="en-US" w:eastAsia="zh-CN"/>
              </w:rPr>
              <w:t>根据《中华人民共和国环境保护法》、《中华人民共和国环境影响评价法》（主席令第48号）、《建设项目环境保护管理条例》（2017年修订），</w:t>
            </w:r>
            <w:r>
              <w:rPr>
                <w:rFonts w:hint="eastAsia" w:cs="Times New Roman"/>
                <w:bCs/>
                <w:snapToGrid w:val="0"/>
                <w:color w:val="auto"/>
                <w:kern w:val="0"/>
                <w:sz w:val="24"/>
                <w:highlight w:val="none"/>
                <w:lang w:val="en-US" w:eastAsia="zh-CN"/>
              </w:rPr>
              <w:t>对照《国民经济行业分类》（GB/T4754-2017），项目属于C2926塑料包装箱及容器制造</w:t>
            </w:r>
            <w:r>
              <w:rPr>
                <w:rFonts w:hint="eastAsia" w:cs="Times New Roman"/>
                <w:bCs/>
                <w:snapToGrid w:val="0"/>
                <w:color w:val="auto"/>
                <w:kern w:val="0"/>
                <w:sz w:val="24"/>
                <w:szCs w:val="24"/>
                <w:highlight w:val="none"/>
                <w:lang w:val="en-US" w:eastAsia="zh-CN"/>
              </w:rPr>
              <w:t>。</w:t>
            </w:r>
            <w:r>
              <w:rPr>
                <w:rFonts w:hint="eastAsia" w:cs="Times New Roman"/>
                <w:bCs/>
                <w:snapToGrid w:val="0"/>
                <w:color w:val="auto"/>
                <w:kern w:val="0"/>
                <w:sz w:val="24"/>
                <w:highlight w:val="none"/>
                <w:lang w:val="en-US" w:eastAsia="zh-CN"/>
              </w:rPr>
              <w:t>根据</w:t>
            </w:r>
            <w:r>
              <w:rPr>
                <w:rFonts w:hint="default" w:cs="Times New Roman"/>
                <w:bCs/>
                <w:snapToGrid w:val="0"/>
                <w:color w:val="auto"/>
                <w:kern w:val="0"/>
                <w:sz w:val="24"/>
                <w:highlight w:val="none"/>
                <w:lang w:val="en-US" w:eastAsia="zh-CN"/>
              </w:rPr>
              <w:t>《建设项目环境影响评价分类管理名录》（2021年版），</w:t>
            </w:r>
            <w:r>
              <w:rPr>
                <w:rFonts w:hint="eastAsia" w:cs="Times New Roman"/>
                <w:bCs/>
                <w:snapToGrid w:val="0"/>
                <w:color w:val="auto"/>
                <w:kern w:val="0"/>
                <w:sz w:val="24"/>
                <w:highlight w:val="none"/>
                <w:lang w:val="en-US" w:eastAsia="zh-CN"/>
              </w:rPr>
              <w:t>本项目属于“二十六、橡胶和塑料制品业29”中“塑料制品业292  其他（年用非溶剂型低VOCs含量涂料10吨以下的除外）”类别，应编制环境影响报告表。</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val="0"/>
                <w:snapToGrid w:val="0"/>
                <w:color w:val="auto"/>
                <w:kern w:val="0"/>
                <w:sz w:val="24"/>
                <w:highlight w:val="none"/>
                <w:lang w:val="en-US" w:eastAsia="zh-CN"/>
              </w:rPr>
            </w:pPr>
            <w:r>
              <w:rPr>
                <w:rFonts w:hint="eastAsia" w:ascii="Times New Roman" w:hAnsi="Times New Roman" w:eastAsia="宋体" w:cs="Times New Roman"/>
                <w:b/>
                <w:bCs w:val="0"/>
                <w:snapToGrid w:val="0"/>
                <w:color w:val="auto"/>
                <w:kern w:val="0"/>
                <w:sz w:val="24"/>
                <w:highlight w:val="none"/>
                <w:lang w:val="en-US" w:eastAsia="zh-CN"/>
              </w:rPr>
              <w:t>（2）项目概况</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Cs/>
                <w:snapToGrid w:val="0"/>
                <w:color w:val="auto"/>
                <w:kern w:val="0"/>
                <w:sz w:val="24"/>
                <w:highlight w:val="none"/>
                <w:lang w:val="en-US" w:eastAsia="zh-CN"/>
              </w:rPr>
            </w:pPr>
            <w:r>
              <w:rPr>
                <w:rFonts w:hint="eastAsia" w:ascii="Times New Roman" w:hAnsi="Times New Roman" w:eastAsia="宋体" w:cs="Times New Roman"/>
                <w:bCs/>
                <w:snapToGrid w:val="0"/>
                <w:color w:val="auto"/>
                <w:kern w:val="0"/>
                <w:sz w:val="24"/>
                <w:highlight w:val="none"/>
                <w:lang w:val="en-US" w:eastAsia="zh-CN"/>
              </w:rPr>
              <w:t>项目名称：</w:t>
            </w:r>
            <w:r>
              <w:rPr>
                <w:rFonts w:hint="eastAsia" w:cs="Times New Roman"/>
                <w:bCs/>
                <w:snapToGrid w:val="0"/>
                <w:color w:val="auto"/>
                <w:kern w:val="0"/>
                <w:sz w:val="24"/>
                <w:highlight w:val="none"/>
                <w:lang w:val="en-US" w:eastAsia="zh-CN"/>
              </w:rPr>
              <w:t>年产包装制品100万套生产项目</w:t>
            </w:r>
            <w:r>
              <w:rPr>
                <w:rFonts w:hint="eastAsia" w:ascii="Times New Roman" w:hAnsi="Times New Roman" w:eastAsia="宋体" w:cs="Times New Roman"/>
                <w:bCs/>
                <w:snapToGrid w:val="0"/>
                <w:color w:val="auto"/>
                <w:kern w:val="0"/>
                <w:sz w:val="24"/>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Cs/>
                <w:snapToGrid w:val="0"/>
                <w:color w:val="auto"/>
                <w:kern w:val="0"/>
                <w:sz w:val="24"/>
                <w:highlight w:val="none"/>
                <w:lang w:val="en-US" w:eastAsia="zh-CN"/>
              </w:rPr>
            </w:pPr>
            <w:r>
              <w:rPr>
                <w:rFonts w:hint="eastAsia" w:ascii="Times New Roman" w:hAnsi="Times New Roman" w:eastAsia="宋体" w:cs="Times New Roman"/>
                <w:bCs/>
                <w:snapToGrid w:val="0"/>
                <w:color w:val="auto"/>
                <w:kern w:val="0"/>
                <w:sz w:val="24"/>
                <w:highlight w:val="none"/>
                <w:lang w:val="en-US" w:eastAsia="zh-CN"/>
              </w:rPr>
              <w:t>建设单位：</w:t>
            </w:r>
            <w:r>
              <w:rPr>
                <w:rFonts w:hint="eastAsia"/>
                <w:color w:val="auto"/>
                <w:sz w:val="24"/>
                <w:highlight w:val="none"/>
              </w:rPr>
              <w:t>重庆</w:t>
            </w:r>
            <w:r>
              <w:rPr>
                <w:rFonts w:hint="eastAsia"/>
                <w:color w:val="auto"/>
                <w:sz w:val="24"/>
                <w:highlight w:val="none"/>
                <w:lang w:val="en-US" w:eastAsia="zh-CN"/>
              </w:rPr>
              <w:t>翔达包装制品有限公司</w:t>
            </w:r>
            <w:r>
              <w:rPr>
                <w:rFonts w:hint="eastAsia" w:ascii="Times New Roman" w:hAnsi="Times New Roman" w:eastAsia="宋体" w:cs="Times New Roman"/>
                <w:bCs/>
                <w:snapToGrid w:val="0"/>
                <w:color w:val="auto"/>
                <w:kern w:val="0"/>
                <w:sz w:val="24"/>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Cs/>
                <w:snapToGrid w:val="0"/>
                <w:color w:val="auto"/>
                <w:kern w:val="0"/>
                <w:sz w:val="24"/>
                <w:highlight w:val="none"/>
                <w:lang w:val="en-US" w:eastAsia="zh-CN"/>
              </w:rPr>
            </w:pPr>
            <w:r>
              <w:rPr>
                <w:rFonts w:hint="eastAsia" w:ascii="Times New Roman" w:hAnsi="Times New Roman" w:eastAsia="宋体" w:cs="Times New Roman"/>
                <w:bCs/>
                <w:snapToGrid w:val="0"/>
                <w:color w:val="auto"/>
                <w:kern w:val="0"/>
                <w:sz w:val="24"/>
                <w:highlight w:val="none"/>
                <w:lang w:val="en-US" w:eastAsia="zh-CN"/>
              </w:rPr>
              <w:t>项目性质：新建；</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Cs/>
                <w:snapToGrid w:val="0"/>
                <w:color w:val="auto"/>
                <w:kern w:val="0"/>
                <w:sz w:val="24"/>
                <w:highlight w:val="none"/>
                <w:lang w:val="en-US" w:eastAsia="zh-CN"/>
              </w:rPr>
            </w:pPr>
            <w:r>
              <w:rPr>
                <w:rFonts w:hint="eastAsia" w:ascii="Times New Roman" w:hAnsi="Times New Roman" w:eastAsia="宋体" w:cs="Times New Roman"/>
                <w:bCs/>
                <w:snapToGrid w:val="0"/>
                <w:color w:val="auto"/>
                <w:kern w:val="0"/>
                <w:sz w:val="24"/>
                <w:highlight w:val="none"/>
                <w:lang w:val="en-US" w:eastAsia="zh-CN"/>
              </w:rPr>
              <w:t>建设地点：</w:t>
            </w:r>
            <w:r>
              <w:rPr>
                <w:rFonts w:hint="eastAsia"/>
                <w:color w:val="auto"/>
                <w:sz w:val="24"/>
                <w:highlight w:val="none"/>
              </w:rPr>
              <w:t>重庆市</w:t>
            </w:r>
            <w:r>
              <w:rPr>
                <w:rFonts w:hint="eastAsia"/>
                <w:color w:val="auto"/>
                <w:sz w:val="24"/>
                <w:highlight w:val="none"/>
                <w:lang w:val="en-US" w:eastAsia="zh-CN"/>
              </w:rPr>
              <w:t>铜梁</w:t>
            </w:r>
            <w:r>
              <w:rPr>
                <w:rFonts w:hint="eastAsia"/>
                <w:color w:val="auto"/>
                <w:sz w:val="24"/>
                <w:highlight w:val="none"/>
              </w:rPr>
              <w:t>区</w:t>
            </w:r>
            <w:r>
              <w:rPr>
                <w:rFonts w:hint="eastAsia"/>
                <w:color w:val="auto"/>
                <w:sz w:val="24"/>
                <w:highlight w:val="none"/>
                <w:lang w:val="en-US" w:eastAsia="zh-CN"/>
              </w:rPr>
              <w:t>侣俸镇工业园区创业路2号</w:t>
            </w:r>
            <w:r>
              <w:rPr>
                <w:rFonts w:hint="eastAsia" w:ascii="Times New Roman" w:hAnsi="Times New Roman" w:eastAsia="宋体" w:cs="Times New Roman"/>
                <w:bCs/>
                <w:snapToGrid w:val="0"/>
                <w:color w:val="auto"/>
                <w:kern w:val="0"/>
                <w:sz w:val="24"/>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snapToGrid w:val="0"/>
                <w:color w:val="auto"/>
                <w:kern w:val="0"/>
                <w:sz w:val="24"/>
                <w:highlight w:val="none"/>
                <w:lang w:val="en-US" w:eastAsia="zh-CN"/>
              </w:rPr>
            </w:pPr>
            <w:r>
              <w:rPr>
                <w:rFonts w:hint="eastAsia" w:cs="Times New Roman"/>
                <w:bCs/>
                <w:snapToGrid w:val="0"/>
                <w:color w:val="auto"/>
                <w:kern w:val="0"/>
                <w:sz w:val="24"/>
                <w:highlight w:val="none"/>
                <w:lang w:val="en-US" w:eastAsia="zh-CN"/>
              </w:rPr>
              <w:t>建筑</w:t>
            </w:r>
            <w:r>
              <w:rPr>
                <w:rFonts w:hint="eastAsia" w:ascii="Times New Roman" w:hAnsi="Times New Roman" w:eastAsia="宋体" w:cs="Times New Roman"/>
                <w:bCs/>
                <w:snapToGrid w:val="0"/>
                <w:color w:val="auto"/>
                <w:kern w:val="0"/>
                <w:sz w:val="24"/>
                <w:highlight w:val="none"/>
                <w:lang w:val="en-US" w:eastAsia="zh-CN"/>
              </w:rPr>
              <w:t>面积：</w:t>
            </w:r>
            <w:r>
              <w:rPr>
                <w:rFonts w:hint="eastAsia" w:cs="Times New Roman"/>
                <w:bCs/>
                <w:snapToGrid w:val="0"/>
                <w:color w:val="auto"/>
                <w:kern w:val="0"/>
                <w:sz w:val="24"/>
                <w:highlight w:val="none"/>
                <w:lang w:val="en-US" w:eastAsia="zh-CN"/>
              </w:rPr>
              <w:t>3000</w:t>
            </w:r>
            <w:r>
              <w:rPr>
                <w:rFonts w:hint="eastAsia" w:ascii="Times New Roman" w:hAnsi="Times New Roman" w:eastAsia="宋体" w:cs="Times New Roman"/>
                <w:bCs/>
                <w:snapToGrid w:val="0"/>
                <w:color w:val="auto"/>
                <w:kern w:val="0"/>
                <w:sz w:val="24"/>
                <w:highlight w:val="none"/>
                <w:lang w:val="en-US" w:eastAsia="zh-CN"/>
              </w:rPr>
              <w:t>m</w:t>
            </w:r>
            <w:r>
              <w:rPr>
                <w:rFonts w:hint="eastAsia" w:ascii="Times New Roman" w:hAnsi="Times New Roman" w:eastAsia="宋体" w:cs="Times New Roman"/>
                <w:bCs/>
                <w:snapToGrid w:val="0"/>
                <w:color w:val="auto"/>
                <w:kern w:val="0"/>
                <w:sz w:val="24"/>
                <w:highlight w:val="none"/>
                <w:vertAlign w:val="superscript"/>
                <w:lang w:val="en-US" w:eastAsia="zh-CN"/>
              </w:rPr>
              <w:t>2</w:t>
            </w:r>
            <w:r>
              <w:rPr>
                <w:rFonts w:hint="eastAsia" w:cs="Times New Roman"/>
                <w:bCs/>
                <w:snapToGrid w:val="0"/>
                <w:color w:val="auto"/>
                <w:kern w:val="0"/>
                <w:sz w:val="24"/>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Cs/>
                <w:snapToGrid w:val="0"/>
                <w:color w:val="auto"/>
                <w:kern w:val="0"/>
                <w:sz w:val="24"/>
                <w:highlight w:val="none"/>
                <w:lang w:val="en-US" w:eastAsia="zh-CN"/>
              </w:rPr>
            </w:pPr>
            <w:r>
              <w:rPr>
                <w:rFonts w:hint="eastAsia" w:ascii="Times New Roman" w:hAnsi="Times New Roman" w:eastAsia="宋体" w:cs="Times New Roman"/>
                <w:bCs/>
                <w:snapToGrid w:val="0"/>
                <w:color w:val="auto"/>
                <w:kern w:val="0"/>
                <w:sz w:val="24"/>
                <w:highlight w:val="none"/>
                <w:lang w:val="en-US" w:eastAsia="zh-CN"/>
              </w:rPr>
              <w:t>总投资：</w:t>
            </w:r>
            <w:r>
              <w:rPr>
                <w:rFonts w:hint="eastAsia" w:cs="Times New Roman"/>
                <w:bCs/>
                <w:snapToGrid w:val="0"/>
                <w:color w:val="auto"/>
                <w:kern w:val="0"/>
                <w:sz w:val="24"/>
                <w:highlight w:val="none"/>
                <w:lang w:val="en-US" w:eastAsia="zh-CN"/>
              </w:rPr>
              <w:t>200</w:t>
            </w:r>
            <w:r>
              <w:rPr>
                <w:rFonts w:hint="eastAsia" w:ascii="Times New Roman" w:hAnsi="Times New Roman" w:eastAsia="宋体" w:cs="Times New Roman"/>
                <w:bCs/>
                <w:snapToGrid w:val="0"/>
                <w:color w:val="auto"/>
                <w:kern w:val="0"/>
                <w:sz w:val="24"/>
                <w:highlight w:val="none"/>
                <w:lang w:val="en-US" w:eastAsia="zh-CN"/>
              </w:rPr>
              <w:t>万元，其中环保投资</w:t>
            </w:r>
            <w:r>
              <w:rPr>
                <w:rFonts w:hint="eastAsia" w:cs="Times New Roman"/>
                <w:bCs/>
                <w:snapToGrid w:val="0"/>
                <w:color w:val="auto"/>
                <w:kern w:val="0"/>
                <w:sz w:val="24"/>
                <w:highlight w:val="none"/>
                <w:lang w:val="en-US" w:eastAsia="zh-CN"/>
              </w:rPr>
              <w:t>10</w:t>
            </w:r>
            <w:r>
              <w:rPr>
                <w:rFonts w:hint="eastAsia" w:ascii="Times New Roman" w:hAnsi="Times New Roman" w:eastAsia="宋体" w:cs="Times New Roman"/>
                <w:bCs/>
                <w:snapToGrid w:val="0"/>
                <w:color w:val="auto"/>
                <w:kern w:val="0"/>
                <w:sz w:val="24"/>
                <w:highlight w:val="none"/>
                <w:lang w:val="en-US" w:eastAsia="zh-CN"/>
              </w:rPr>
              <w:t>万元；</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Cs/>
                <w:snapToGrid w:val="0"/>
                <w:color w:val="auto"/>
                <w:kern w:val="0"/>
                <w:sz w:val="24"/>
                <w:highlight w:val="none"/>
                <w:lang w:val="en-US" w:eastAsia="zh-CN"/>
              </w:rPr>
            </w:pPr>
            <w:r>
              <w:rPr>
                <w:rFonts w:hint="eastAsia" w:ascii="Times New Roman" w:hAnsi="Times New Roman" w:eastAsia="宋体" w:cs="Times New Roman"/>
                <w:bCs/>
                <w:snapToGrid w:val="0"/>
                <w:color w:val="auto"/>
                <w:kern w:val="0"/>
                <w:sz w:val="24"/>
                <w:highlight w:val="none"/>
                <w:lang w:val="en-US" w:eastAsia="zh-CN"/>
              </w:rPr>
              <w:t>建设工期：</w:t>
            </w:r>
            <w:r>
              <w:rPr>
                <w:rFonts w:hint="eastAsia" w:cs="Times New Roman"/>
                <w:bCs/>
                <w:snapToGrid w:val="0"/>
                <w:color w:val="auto"/>
                <w:kern w:val="0"/>
                <w:sz w:val="24"/>
                <w:highlight w:val="none"/>
                <w:lang w:val="en-US" w:eastAsia="zh-CN"/>
              </w:rPr>
              <w:t>3</w:t>
            </w:r>
            <w:r>
              <w:rPr>
                <w:rFonts w:hint="eastAsia" w:ascii="Times New Roman" w:hAnsi="Times New Roman" w:eastAsia="宋体" w:cs="Times New Roman"/>
                <w:bCs/>
                <w:snapToGrid w:val="0"/>
                <w:color w:val="auto"/>
                <w:kern w:val="0"/>
                <w:sz w:val="24"/>
                <w:highlight w:val="none"/>
                <w:lang w:val="en-US" w:eastAsia="zh-CN"/>
              </w:rPr>
              <w:t>个月</w:t>
            </w:r>
            <w:r>
              <w:rPr>
                <w:rFonts w:hint="eastAsia" w:cs="Times New Roman"/>
                <w:bCs/>
                <w:snapToGrid w:val="0"/>
                <w:color w:val="auto"/>
                <w:kern w:val="0"/>
                <w:sz w:val="24"/>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snapToGrid w:val="0"/>
                <w:color w:val="auto"/>
                <w:kern w:val="0"/>
                <w:sz w:val="24"/>
                <w:highlight w:val="none"/>
                <w:lang w:val="en-US" w:eastAsia="zh-CN"/>
              </w:rPr>
            </w:pPr>
            <w:r>
              <w:rPr>
                <w:rFonts w:hint="eastAsia" w:ascii="Times New Roman" w:hAnsi="Times New Roman" w:eastAsia="宋体" w:cs="Times New Roman"/>
                <w:bCs/>
                <w:snapToGrid w:val="0"/>
                <w:color w:val="auto"/>
                <w:kern w:val="0"/>
                <w:sz w:val="24"/>
                <w:highlight w:val="none"/>
                <w:lang w:val="en-US" w:eastAsia="zh-CN"/>
              </w:rPr>
              <w:t>劳动定员及工作制度：项目劳动定员</w:t>
            </w:r>
            <w:r>
              <w:rPr>
                <w:rFonts w:hint="eastAsia" w:cs="Times New Roman"/>
                <w:bCs/>
                <w:snapToGrid w:val="0"/>
                <w:color w:val="auto"/>
                <w:kern w:val="0"/>
                <w:sz w:val="24"/>
                <w:highlight w:val="none"/>
                <w:lang w:val="en-US" w:eastAsia="zh-CN"/>
              </w:rPr>
              <w:t>20</w:t>
            </w:r>
            <w:r>
              <w:rPr>
                <w:rFonts w:hint="eastAsia" w:ascii="Times New Roman" w:hAnsi="Times New Roman" w:eastAsia="宋体" w:cs="Times New Roman"/>
                <w:bCs/>
                <w:snapToGrid w:val="0"/>
                <w:color w:val="auto"/>
                <w:kern w:val="0"/>
                <w:sz w:val="24"/>
                <w:highlight w:val="none"/>
                <w:lang w:val="en-US" w:eastAsia="zh-CN"/>
              </w:rPr>
              <w:t>人，实行</w:t>
            </w:r>
            <w:r>
              <w:rPr>
                <w:rFonts w:hint="eastAsia" w:cs="Times New Roman"/>
                <w:bCs/>
                <w:snapToGrid w:val="0"/>
                <w:color w:val="auto"/>
                <w:kern w:val="0"/>
                <w:sz w:val="24"/>
                <w:highlight w:val="none"/>
                <w:lang w:val="en-US" w:eastAsia="zh-CN"/>
              </w:rPr>
              <w:t>1</w:t>
            </w:r>
            <w:r>
              <w:rPr>
                <w:rFonts w:hint="eastAsia" w:ascii="Times New Roman" w:hAnsi="Times New Roman" w:eastAsia="宋体" w:cs="Times New Roman"/>
                <w:bCs/>
                <w:snapToGrid w:val="0"/>
                <w:color w:val="auto"/>
                <w:kern w:val="0"/>
                <w:sz w:val="24"/>
                <w:highlight w:val="none"/>
                <w:lang w:val="en-US" w:eastAsia="zh-CN"/>
              </w:rPr>
              <w:t>班制，每班工作</w:t>
            </w:r>
            <w:r>
              <w:rPr>
                <w:rFonts w:hint="eastAsia" w:cs="Times New Roman"/>
                <w:bCs/>
                <w:snapToGrid w:val="0"/>
                <w:color w:val="auto"/>
                <w:kern w:val="0"/>
                <w:sz w:val="24"/>
                <w:highlight w:val="none"/>
                <w:lang w:val="en-US" w:eastAsia="zh-CN"/>
              </w:rPr>
              <w:t>8</w:t>
            </w:r>
            <w:r>
              <w:rPr>
                <w:rFonts w:hint="eastAsia" w:ascii="Times New Roman" w:hAnsi="Times New Roman" w:eastAsia="宋体" w:cs="Times New Roman"/>
                <w:bCs/>
                <w:snapToGrid w:val="0"/>
                <w:color w:val="auto"/>
                <w:kern w:val="0"/>
                <w:sz w:val="24"/>
                <w:highlight w:val="none"/>
                <w:lang w:val="en-US" w:eastAsia="zh-CN"/>
              </w:rPr>
              <w:t>小时，年工作</w:t>
            </w:r>
            <w:r>
              <w:rPr>
                <w:rFonts w:hint="eastAsia" w:cs="Times New Roman"/>
                <w:bCs/>
                <w:snapToGrid w:val="0"/>
                <w:color w:val="auto"/>
                <w:kern w:val="0"/>
                <w:sz w:val="24"/>
                <w:highlight w:val="none"/>
                <w:lang w:val="en-US" w:eastAsia="zh-CN"/>
              </w:rPr>
              <w:t>260</w:t>
            </w:r>
            <w:r>
              <w:rPr>
                <w:rFonts w:hint="eastAsia" w:ascii="Times New Roman" w:hAnsi="Times New Roman" w:eastAsia="宋体" w:cs="Times New Roman"/>
                <w:bCs/>
                <w:snapToGrid w:val="0"/>
                <w:color w:val="auto"/>
                <w:kern w:val="0"/>
                <w:sz w:val="24"/>
                <w:highlight w:val="none"/>
                <w:lang w:val="en-US" w:eastAsia="zh-CN"/>
              </w:rPr>
              <w:t>天，</w:t>
            </w:r>
            <w:r>
              <w:rPr>
                <w:rFonts w:hint="eastAsia" w:cs="Times New Roman"/>
                <w:bCs/>
                <w:snapToGrid w:val="0"/>
                <w:color w:val="auto"/>
                <w:kern w:val="0"/>
                <w:sz w:val="24"/>
                <w:highlight w:val="none"/>
                <w:lang w:val="en-US" w:eastAsia="zh-CN"/>
              </w:rPr>
              <w:t>厂区</w:t>
            </w:r>
            <w:r>
              <w:rPr>
                <w:rFonts w:hint="eastAsia" w:ascii="Times New Roman" w:hAnsi="Times New Roman" w:eastAsia="宋体" w:cs="Times New Roman"/>
                <w:bCs/>
                <w:snapToGrid w:val="0"/>
                <w:color w:val="auto"/>
                <w:kern w:val="0"/>
                <w:sz w:val="24"/>
                <w:highlight w:val="none"/>
                <w:lang w:val="en-US" w:eastAsia="zh-CN"/>
              </w:rPr>
              <w:t>内不设</w:t>
            </w:r>
            <w:r>
              <w:rPr>
                <w:rFonts w:hint="eastAsia" w:cs="Times New Roman"/>
                <w:bCs/>
                <w:snapToGrid w:val="0"/>
                <w:color w:val="auto"/>
                <w:kern w:val="0"/>
                <w:sz w:val="24"/>
                <w:highlight w:val="none"/>
                <w:lang w:val="en-US" w:eastAsia="zh-CN"/>
              </w:rPr>
              <w:t>食宿</w:t>
            </w:r>
            <w:r>
              <w:rPr>
                <w:rFonts w:hint="eastAsia" w:ascii="Times New Roman" w:hAnsi="Times New Roman" w:eastAsia="宋体" w:cs="Times New Roman"/>
                <w:bCs/>
                <w:snapToGrid w:val="0"/>
                <w:color w:val="auto"/>
                <w:kern w:val="0"/>
                <w:sz w:val="24"/>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snapToGrid w:val="0"/>
                <w:color w:val="auto"/>
                <w:kern w:val="0"/>
                <w:sz w:val="24"/>
                <w:highlight w:val="yellow"/>
                <w:lang w:val="en-US" w:eastAsia="zh-CN"/>
              </w:rPr>
            </w:pPr>
            <w:r>
              <w:rPr>
                <w:rFonts w:hint="eastAsia" w:ascii="Times New Roman" w:hAnsi="Times New Roman" w:eastAsia="宋体" w:cs="Times New Roman"/>
                <w:bCs/>
                <w:snapToGrid w:val="0"/>
                <w:color w:val="auto"/>
                <w:kern w:val="0"/>
                <w:sz w:val="24"/>
                <w:highlight w:val="none"/>
                <w:lang w:val="en-US" w:eastAsia="zh-CN"/>
              </w:rPr>
              <w:t>2、建设内容及规模</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snapToGrid w:val="0"/>
                <w:color w:val="auto"/>
                <w:kern w:val="0"/>
                <w:sz w:val="24"/>
                <w:highlight w:val="none"/>
                <w:lang w:val="en-US" w:eastAsia="zh-CN"/>
              </w:rPr>
            </w:pPr>
            <w:r>
              <w:rPr>
                <w:rFonts w:hint="eastAsia"/>
                <w:color w:val="auto"/>
                <w:sz w:val="24"/>
                <w:highlight w:val="none"/>
                <w:lang w:val="en-US" w:eastAsia="zh-CN"/>
              </w:rPr>
              <w:t>翔达公司</w:t>
            </w:r>
            <w:r>
              <w:rPr>
                <w:rFonts w:hint="eastAsia" w:cs="Times New Roman"/>
                <w:bCs/>
                <w:snapToGrid w:val="0"/>
                <w:color w:val="auto"/>
                <w:kern w:val="0"/>
                <w:sz w:val="24"/>
                <w:highlight w:val="none"/>
                <w:lang w:val="en-US" w:eastAsia="zh-CN"/>
              </w:rPr>
              <w:t>租赁</w:t>
            </w:r>
            <w:r>
              <w:rPr>
                <w:rFonts w:hint="eastAsia"/>
                <w:color w:val="auto"/>
                <w:sz w:val="24"/>
                <w:highlight w:val="none"/>
                <w:lang w:val="en-US" w:eastAsia="zh-CN"/>
              </w:rPr>
              <w:t>重庆市铜梁区金鸿浆纱厂位于</w:t>
            </w:r>
            <w:r>
              <w:rPr>
                <w:rFonts w:hint="eastAsia"/>
                <w:color w:val="auto"/>
                <w:sz w:val="24"/>
                <w:highlight w:val="none"/>
              </w:rPr>
              <w:t>重庆市</w:t>
            </w:r>
            <w:r>
              <w:rPr>
                <w:rFonts w:hint="eastAsia"/>
                <w:color w:val="auto"/>
                <w:sz w:val="24"/>
                <w:highlight w:val="none"/>
                <w:lang w:val="en-US" w:eastAsia="zh-CN"/>
              </w:rPr>
              <w:t>铜梁</w:t>
            </w:r>
            <w:r>
              <w:rPr>
                <w:rFonts w:hint="eastAsia"/>
                <w:color w:val="auto"/>
                <w:sz w:val="24"/>
                <w:highlight w:val="none"/>
              </w:rPr>
              <w:t>区</w:t>
            </w:r>
            <w:r>
              <w:rPr>
                <w:rFonts w:hint="eastAsia"/>
                <w:color w:val="auto"/>
                <w:sz w:val="24"/>
                <w:highlight w:val="none"/>
                <w:lang w:val="en-US" w:eastAsia="zh-CN"/>
              </w:rPr>
              <w:t>侣俸镇工业园区创业路2号闲置生产厂房，建筑面积3000m</w:t>
            </w:r>
            <w:r>
              <w:rPr>
                <w:rFonts w:hint="eastAsia"/>
                <w:color w:val="auto"/>
                <w:sz w:val="24"/>
                <w:highlight w:val="none"/>
                <w:vertAlign w:val="superscript"/>
                <w:lang w:val="en-US" w:eastAsia="zh-CN"/>
              </w:rPr>
              <w:t>2</w:t>
            </w:r>
            <w:r>
              <w:rPr>
                <w:rFonts w:hint="eastAsia" w:cs="Times New Roman"/>
                <w:bCs/>
                <w:snapToGrid w:val="0"/>
                <w:color w:val="auto"/>
                <w:kern w:val="0"/>
                <w:sz w:val="24"/>
                <w:highlight w:val="none"/>
                <w:lang w:val="en-US" w:eastAsia="zh-CN"/>
              </w:rPr>
              <w:t>，进行建设“年产包装制品100万套生产项目”。</w:t>
            </w:r>
            <w:r>
              <w:rPr>
                <w:rFonts w:hint="eastAsia"/>
                <w:color w:val="auto"/>
                <w:sz w:val="24"/>
                <w:highlight w:val="none"/>
                <w:lang w:val="en-US" w:eastAsia="zh-CN"/>
              </w:rPr>
              <w:t>本项目建设内容包括主体工程、辅助工程、公用工程、储运工程及环保工程，项目厂区内不设食宿。项目建设内容组成详见下表。</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snapToGrid w:val="0"/>
                <w:color w:val="auto"/>
                <w:kern w:val="0"/>
                <w:sz w:val="24"/>
                <w:highlight w:val="none"/>
                <w:lang w:val="en-US" w:eastAsia="zh-CN"/>
              </w:rPr>
            </w:pPr>
            <w:r>
              <w:rPr>
                <w:rFonts w:hint="eastAsia" w:ascii="Times New Roman" w:hAnsi="Times New Roman" w:eastAsia="宋体" w:cs="Times New Roman"/>
                <w:bCs/>
                <w:snapToGrid w:val="0"/>
                <w:color w:val="auto"/>
                <w:kern w:val="0"/>
                <w:sz w:val="24"/>
                <w:highlight w:val="none"/>
                <w:lang w:val="en-US" w:eastAsia="zh-CN"/>
              </w:rPr>
              <w:t>表2-1  项目组成一览表</w:t>
            </w:r>
          </w:p>
          <w:tbl>
            <w:tblPr>
              <w:tblStyle w:val="16"/>
              <w:tblW w:w="84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079"/>
              <w:gridCol w:w="5757"/>
              <w:gridCol w:w="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817" w:type="dxa"/>
                  <w:gridSpan w:val="2"/>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Times New Roman" w:hAnsi="Times New Roman" w:eastAsia="宋体" w:cs="Times New Roman"/>
                      <w:bCs/>
                      <w:snapToGrid w:val="0"/>
                      <w:color w:val="auto"/>
                      <w:kern w:val="0"/>
                      <w:sz w:val="21"/>
                      <w:szCs w:val="21"/>
                      <w:highlight w:val="none"/>
                      <w:vertAlign w:val="baseline"/>
                      <w:lang w:val="en-US" w:eastAsia="zh-CN"/>
                    </w:rPr>
                  </w:pPr>
                  <w:r>
                    <w:rPr>
                      <w:rFonts w:hint="eastAsia" w:ascii="Times New Roman" w:hAnsi="Times New Roman" w:eastAsia="宋体" w:cs="Times New Roman"/>
                      <w:bCs/>
                      <w:snapToGrid w:val="0"/>
                      <w:color w:val="auto"/>
                      <w:kern w:val="0"/>
                      <w:sz w:val="21"/>
                      <w:szCs w:val="21"/>
                      <w:highlight w:val="none"/>
                      <w:vertAlign w:val="baseline"/>
                      <w:lang w:val="en-US" w:eastAsia="zh-CN"/>
                    </w:rPr>
                    <w:t>项目名称</w:t>
                  </w:r>
                </w:p>
              </w:tc>
              <w:tc>
                <w:tcPr>
                  <w:tcW w:w="5757"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rPr>
                  </w:pPr>
                  <w:r>
                    <w:rPr>
                      <w:rFonts w:hint="eastAsia" w:ascii="Times New Roman" w:hAnsi="Times New Roman" w:eastAsia="宋体" w:cs="Times New Roman"/>
                      <w:bCs/>
                      <w:snapToGrid w:val="0"/>
                      <w:color w:val="auto"/>
                      <w:kern w:val="0"/>
                      <w:sz w:val="21"/>
                      <w:szCs w:val="21"/>
                      <w:highlight w:val="none"/>
                      <w:vertAlign w:val="baseline"/>
                      <w:lang w:val="en-US" w:eastAsia="zh-CN"/>
                    </w:rPr>
                    <w:t>建设内容</w:t>
                  </w:r>
                </w:p>
              </w:tc>
              <w:tc>
                <w:tcPr>
                  <w:tcW w:w="88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rPr>
                  </w:pPr>
                  <w:r>
                    <w:rPr>
                      <w:rFonts w:hint="eastAsia" w:ascii="Times New Roman" w:hAnsi="Times New Roman" w:eastAsia="宋体" w:cs="Times New Roman"/>
                      <w:bCs/>
                      <w:snapToGrid w:val="0"/>
                      <w:color w:val="auto"/>
                      <w:kern w:val="0"/>
                      <w:sz w:val="21"/>
                      <w:szCs w:val="21"/>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8"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rPr>
                  </w:pPr>
                  <w:r>
                    <w:rPr>
                      <w:rFonts w:hint="eastAsia" w:ascii="Times New Roman" w:hAnsi="Times New Roman" w:eastAsia="宋体" w:cs="Times New Roman"/>
                      <w:bCs/>
                      <w:snapToGrid w:val="0"/>
                      <w:color w:val="auto"/>
                      <w:kern w:val="0"/>
                      <w:sz w:val="21"/>
                      <w:szCs w:val="21"/>
                      <w:highlight w:val="none"/>
                      <w:vertAlign w:val="baseline"/>
                      <w:lang w:val="en-US" w:eastAsia="zh-CN"/>
                    </w:rPr>
                    <w:t>主体工程</w:t>
                  </w:r>
                </w:p>
              </w:tc>
              <w:tc>
                <w:tcPr>
                  <w:tcW w:w="1079"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生产厂房</w:t>
                  </w:r>
                </w:p>
              </w:tc>
              <w:tc>
                <w:tcPr>
                  <w:tcW w:w="5757" w:type="dxa"/>
                  <w:vAlign w:val="top"/>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both"/>
                    <w:textAlignment w:val="auto"/>
                    <w:rPr>
                      <w:rFonts w:hint="default" w:ascii="Times New Roman" w:hAnsi="Times New Roman"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共1F，建筑面积约3000m</w:t>
                  </w:r>
                  <w:r>
                    <w:rPr>
                      <w:rFonts w:hint="eastAsia" w:cs="Times New Roman"/>
                      <w:bCs/>
                      <w:snapToGrid w:val="0"/>
                      <w:color w:val="auto"/>
                      <w:kern w:val="0"/>
                      <w:sz w:val="21"/>
                      <w:szCs w:val="21"/>
                      <w:highlight w:val="none"/>
                      <w:vertAlign w:val="superscript"/>
                      <w:lang w:val="en-US" w:eastAsia="zh-CN"/>
                    </w:rPr>
                    <w:t>2</w:t>
                  </w:r>
                  <w:r>
                    <w:rPr>
                      <w:rFonts w:hint="eastAsia" w:cs="Times New Roman"/>
                      <w:bCs/>
                      <w:snapToGrid w:val="0"/>
                      <w:color w:val="auto"/>
                      <w:kern w:val="0"/>
                      <w:sz w:val="21"/>
                      <w:szCs w:val="21"/>
                      <w:highlight w:val="none"/>
                      <w:vertAlign w:val="baseline"/>
                      <w:lang w:val="en-US" w:eastAsia="zh-CN"/>
                    </w:rPr>
                    <w:t>，厂区北侧主要布置原料库房及办公区，厂房西侧主要布置成品库房，东侧主要布置生产区域，生产区域建筑面积约1400m</w:t>
                  </w:r>
                  <w:r>
                    <w:rPr>
                      <w:rFonts w:hint="eastAsia" w:cs="Times New Roman"/>
                      <w:bCs/>
                      <w:snapToGrid w:val="0"/>
                      <w:color w:val="auto"/>
                      <w:kern w:val="0"/>
                      <w:sz w:val="21"/>
                      <w:szCs w:val="21"/>
                      <w:highlight w:val="none"/>
                      <w:vertAlign w:val="superscript"/>
                      <w:lang w:val="en-US" w:eastAsia="zh-CN"/>
                    </w:rPr>
                    <w:t>2</w:t>
                  </w:r>
                  <w:r>
                    <w:rPr>
                      <w:rFonts w:hint="eastAsia" w:cs="Times New Roman"/>
                      <w:bCs/>
                      <w:snapToGrid w:val="0"/>
                      <w:color w:val="auto"/>
                      <w:kern w:val="0"/>
                      <w:sz w:val="21"/>
                      <w:szCs w:val="21"/>
                      <w:highlight w:val="none"/>
                      <w:vertAlign w:val="baseline"/>
                      <w:lang w:val="en-US" w:eastAsia="zh-CN"/>
                    </w:rPr>
                    <w:t>，主要布置片材机、打杯机、多功能成型机等生产设备；</w:t>
                  </w:r>
                </w:p>
              </w:tc>
              <w:tc>
                <w:tcPr>
                  <w:tcW w:w="88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8"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储运工程</w:t>
                  </w:r>
                </w:p>
              </w:tc>
              <w:tc>
                <w:tcPr>
                  <w:tcW w:w="1079"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原料库房</w:t>
                  </w:r>
                </w:p>
              </w:tc>
              <w:tc>
                <w:tcPr>
                  <w:tcW w:w="5757" w:type="dxa"/>
                  <w:vAlign w:val="top"/>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both"/>
                    <w:textAlignment w:val="auto"/>
                    <w:rPr>
                      <w:rFonts w:hint="default" w:ascii="Times New Roman" w:hAnsi="Times New Roman"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位于厂房北侧，建筑面积约200m</w:t>
                  </w:r>
                  <w:r>
                    <w:rPr>
                      <w:rFonts w:hint="eastAsia" w:cs="Times New Roman"/>
                      <w:bCs/>
                      <w:snapToGrid w:val="0"/>
                      <w:color w:val="auto"/>
                      <w:kern w:val="0"/>
                      <w:sz w:val="21"/>
                      <w:szCs w:val="21"/>
                      <w:highlight w:val="none"/>
                      <w:vertAlign w:val="superscript"/>
                      <w:lang w:val="en-US" w:eastAsia="zh-CN"/>
                    </w:rPr>
                    <w:t>2</w:t>
                  </w:r>
                  <w:r>
                    <w:rPr>
                      <w:rFonts w:hint="eastAsia" w:cs="Times New Roman"/>
                      <w:bCs/>
                      <w:snapToGrid w:val="0"/>
                      <w:color w:val="auto"/>
                      <w:kern w:val="0"/>
                      <w:sz w:val="21"/>
                      <w:szCs w:val="21"/>
                      <w:highlight w:val="none"/>
                      <w:vertAlign w:val="baseline"/>
                      <w:lang w:val="en-US" w:eastAsia="zh-CN"/>
                    </w:rPr>
                    <w:t>，主要用于存放PP塑料颗粒等生产所需原辅材料；</w:t>
                  </w:r>
                </w:p>
              </w:tc>
              <w:tc>
                <w:tcPr>
                  <w:tcW w:w="88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Times New Roman" w:hAnsi="Times New Roman"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8"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cs="Times New Roman"/>
                      <w:bCs/>
                      <w:snapToGrid w:val="0"/>
                      <w:color w:val="auto"/>
                      <w:kern w:val="0"/>
                      <w:sz w:val="21"/>
                      <w:szCs w:val="21"/>
                      <w:highlight w:val="none"/>
                      <w:vertAlign w:val="baseline"/>
                      <w:lang w:val="en-US" w:eastAsia="zh-CN"/>
                    </w:rPr>
                  </w:pPr>
                </w:p>
              </w:tc>
              <w:tc>
                <w:tcPr>
                  <w:tcW w:w="1079"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成品库房</w:t>
                  </w:r>
                </w:p>
              </w:tc>
              <w:tc>
                <w:tcPr>
                  <w:tcW w:w="5757" w:type="dxa"/>
                  <w:vAlign w:val="top"/>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both"/>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位于厂房北侧，建筑面积约1300m</w:t>
                  </w:r>
                  <w:r>
                    <w:rPr>
                      <w:rFonts w:hint="eastAsia" w:cs="Times New Roman"/>
                      <w:bCs/>
                      <w:snapToGrid w:val="0"/>
                      <w:color w:val="auto"/>
                      <w:kern w:val="0"/>
                      <w:sz w:val="21"/>
                      <w:szCs w:val="21"/>
                      <w:highlight w:val="none"/>
                      <w:vertAlign w:val="superscript"/>
                      <w:lang w:val="en-US" w:eastAsia="zh-CN"/>
                    </w:rPr>
                    <w:t>2</w:t>
                  </w:r>
                  <w:r>
                    <w:rPr>
                      <w:rFonts w:hint="eastAsia" w:cs="Times New Roman"/>
                      <w:bCs/>
                      <w:snapToGrid w:val="0"/>
                      <w:color w:val="auto"/>
                      <w:kern w:val="0"/>
                      <w:sz w:val="21"/>
                      <w:szCs w:val="21"/>
                      <w:highlight w:val="none"/>
                      <w:vertAlign w:val="baseline"/>
                      <w:lang w:val="en-US" w:eastAsia="zh-CN"/>
                    </w:rPr>
                    <w:t>，主要用于存放塑料打包盒、塑料杯成品；</w:t>
                  </w:r>
                </w:p>
              </w:tc>
              <w:tc>
                <w:tcPr>
                  <w:tcW w:w="88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8"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cs="Times New Roman"/>
                      <w:bCs/>
                      <w:snapToGrid w:val="0"/>
                      <w:color w:val="auto"/>
                      <w:kern w:val="0"/>
                      <w:sz w:val="21"/>
                      <w:szCs w:val="21"/>
                      <w:highlight w:val="none"/>
                      <w:vertAlign w:val="baseline"/>
                      <w:lang w:val="en-US" w:eastAsia="zh-CN"/>
                    </w:rPr>
                  </w:pPr>
                </w:p>
              </w:tc>
              <w:tc>
                <w:tcPr>
                  <w:tcW w:w="1079"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油料库房</w:t>
                  </w:r>
                </w:p>
              </w:tc>
              <w:tc>
                <w:tcPr>
                  <w:tcW w:w="5757" w:type="dxa"/>
                  <w:vAlign w:val="top"/>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both"/>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位于厂房北侧原料库房内，建筑面积约3m</w:t>
                  </w:r>
                  <w:r>
                    <w:rPr>
                      <w:rFonts w:hint="eastAsia" w:cs="Times New Roman"/>
                      <w:bCs/>
                      <w:snapToGrid w:val="0"/>
                      <w:color w:val="auto"/>
                      <w:kern w:val="0"/>
                      <w:sz w:val="21"/>
                      <w:szCs w:val="21"/>
                      <w:highlight w:val="none"/>
                      <w:vertAlign w:val="superscript"/>
                      <w:lang w:val="en-US" w:eastAsia="zh-CN"/>
                    </w:rPr>
                    <w:t>2</w:t>
                  </w:r>
                  <w:r>
                    <w:rPr>
                      <w:rFonts w:hint="eastAsia" w:cs="Times New Roman"/>
                      <w:bCs/>
                      <w:snapToGrid w:val="0"/>
                      <w:color w:val="auto"/>
                      <w:kern w:val="0"/>
                      <w:sz w:val="21"/>
                      <w:szCs w:val="21"/>
                      <w:highlight w:val="none"/>
                      <w:vertAlign w:val="baseline"/>
                      <w:lang w:val="en-US" w:eastAsia="zh-CN"/>
                    </w:rPr>
                    <w:t>，主要用于存放设备所需润滑油；</w:t>
                  </w:r>
                </w:p>
              </w:tc>
              <w:tc>
                <w:tcPr>
                  <w:tcW w:w="88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8"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辅助工程</w:t>
                  </w:r>
                </w:p>
              </w:tc>
              <w:tc>
                <w:tcPr>
                  <w:tcW w:w="1079"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办公区</w:t>
                  </w:r>
                </w:p>
              </w:tc>
              <w:tc>
                <w:tcPr>
                  <w:tcW w:w="5757" w:type="dxa"/>
                  <w:vAlign w:val="top"/>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both"/>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位于厂区北侧，建筑面积约100m</w:t>
                  </w:r>
                  <w:r>
                    <w:rPr>
                      <w:rFonts w:hint="eastAsia" w:cs="Times New Roman"/>
                      <w:bCs/>
                      <w:snapToGrid w:val="0"/>
                      <w:color w:val="auto"/>
                      <w:kern w:val="0"/>
                      <w:sz w:val="21"/>
                      <w:szCs w:val="21"/>
                      <w:highlight w:val="none"/>
                      <w:vertAlign w:val="superscript"/>
                      <w:lang w:val="en-US" w:eastAsia="zh-CN"/>
                    </w:rPr>
                    <w:t>2</w:t>
                  </w:r>
                  <w:r>
                    <w:rPr>
                      <w:rFonts w:hint="eastAsia" w:cs="Times New Roman"/>
                      <w:bCs/>
                      <w:snapToGrid w:val="0"/>
                      <w:color w:val="auto"/>
                      <w:kern w:val="0"/>
                      <w:sz w:val="21"/>
                      <w:szCs w:val="21"/>
                      <w:highlight w:val="none"/>
                      <w:vertAlign w:val="baseline"/>
                      <w:lang w:val="en-US" w:eastAsia="zh-CN"/>
                    </w:rPr>
                    <w:t>，主要布置办公室、会议室等办公区域；</w:t>
                  </w:r>
                </w:p>
              </w:tc>
              <w:tc>
                <w:tcPr>
                  <w:tcW w:w="88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38"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公用工程</w:t>
                  </w:r>
                </w:p>
              </w:tc>
              <w:tc>
                <w:tcPr>
                  <w:tcW w:w="1079"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eastAsia="宋体" w:cs="Times New Roman"/>
                      <w:bCs/>
                      <w:snapToGrid w:val="0"/>
                      <w:color w:val="auto"/>
                      <w:kern w:val="0"/>
                      <w:sz w:val="21"/>
                      <w:szCs w:val="21"/>
                      <w:highlight w:val="none"/>
                      <w:vertAlign w:val="baseline"/>
                      <w:lang w:val="en-US" w:eastAsia="zh-CN"/>
                    </w:rPr>
                  </w:pPr>
                  <w:r>
                    <w:rPr>
                      <w:rFonts w:hint="eastAsia" w:eastAsia="宋体" w:cs="Times New Roman"/>
                      <w:bCs/>
                      <w:snapToGrid w:val="0"/>
                      <w:color w:val="auto"/>
                      <w:kern w:val="0"/>
                      <w:sz w:val="21"/>
                      <w:szCs w:val="21"/>
                      <w:highlight w:val="none"/>
                      <w:vertAlign w:val="baseline"/>
                      <w:lang w:val="en-US" w:eastAsia="zh-CN"/>
                    </w:rPr>
                    <w:t>供水</w:t>
                  </w:r>
                </w:p>
              </w:tc>
              <w:tc>
                <w:tcPr>
                  <w:tcW w:w="5757" w:type="dxa"/>
                  <w:vAlign w:val="top"/>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both"/>
                    <w:textAlignment w:val="auto"/>
                    <w:rPr>
                      <w:rFonts w:hint="eastAsia" w:eastAsia="宋体" w:cs="Times New Roman"/>
                      <w:bCs/>
                      <w:snapToGrid w:val="0"/>
                      <w:color w:val="auto"/>
                      <w:kern w:val="0"/>
                      <w:sz w:val="21"/>
                      <w:szCs w:val="21"/>
                      <w:highlight w:val="none"/>
                      <w:vertAlign w:val="baseline"/>
                      <w:lang w:val="en-US" w:eastAsia="zh-CN"/>
                    </w:rPr>
                  </w:pPr>
                  <w:r>
                    <w:rPr>
                      <w:rFonts w:hint="eastAsia" w:eastAsia="宋体" w:cs="Times New Roman"/>
                      <w:bCs/>
                      <w:snapToGrid w:val="0"/>
                      <w:color w:val="auto"/>
                      <w:kern w:val="0"/>
                      <w:sz w:val="21"/>
                      <w:szCs w:val="21"/>
                      <w:highlight w:val="none"/>
                      <w:vertAlign w:val="baseline"/>
                      <w:lang w:val="en-US" w:eastAsia="zh-CN"/>
                    </w:rPr>
                    <w:t>依托</w:t>
                  </w:r>
                  <w:r>
                    <w:rPr>
                      <w:rFonts w:hint="eastAsia" w:cs="Times New Roman"/>
                      <w:bCs/>
                      <w:snapToGrid w:val="0"/>
                      <w:color w:val="auto"/>
                      <w:kern w:val="0"/>
                      <w:sz w:val="21"/>
                      <w:szCs w:val="21"/>
                      <w:highlight w:val="none"/>
                      <w:vertAlign w:val="baseline"/>
                      <w:lang w:val="en-US" w:eastAsia="zh-CN"/>
                    </w:rPr>
                    <w:t>市政</w:t>
                  </w:r>
                  <w:r>
                    <w:rPr>
                      <w:rFonts w:hint="eastAsia" w:eastAsia="宋体" w:cs="Times New Roman"/>
                      <w:bCs/>
                      <w:snapToGrid w:val="0"/>
                      <w:color w:val="auto"/>
                      <w:kern w:val="0"/>
                      <w:sz w:val="21"/>
                      <w:szCs w:val="21"/>
                      <w:highlight w:val="none"/>
                      <w:vertAlign w:val="baseline"/>
                      <w:lang w:val="en-US" w:eastAsia="zh-CN"/>
                    </w:rPr>
                    <w:t>给水管网供给；</w:t>
                  </w:r>
                </w:p>
              </w:tc>
              <w:tc>
                <w:tcPr>
                  <w:tcW w:w="88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eastAsia="宋体" w:cs="Times New Roman"/>
                      <w:bCs/>
                      <w:snapToGrid w:val="0"/>
                      <w:color w:val="auto"/>
                      <w:kern w:val="0"/>
                      <w:sz w:val="21"/>
                      <w:szCs w:val="21"/>
                      <w:highlight w:val="none"/>
                      <w:vertAlign w:val="baseline"/>
                      <w:lang w:val="en-US" w:eastAsia="zh-CN"/>
                    </w:rPr>
                  </w:pPr>
                  <w:r>
                    <w:rPr>
                      <w:rFonts w:hint="eastAsia" w:eastAsia="宋体" w:cs="Times New Roman"/>
                      <w:bCs/>
                      <w:snapToGrid w:val="0"/>
                      <w:color w:val="auto"/>
                      <w:kern w:val="0"/>
                      <w:sz w:val="21"/>
                      <w:szCs w:val="21"/>
                      <w:highlight w:val="none"/>
                      <w:vertAlign w:val="baseline"/>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38"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Times New Roman" w:hAnsi="Times New Roman" w:eastAsia="宋体" w:cs="Times New Roman"/>
                      <w:bCs/>
                      <w:snapToGrid w:val="0"/>
                      <w:color w:val="auto"/>
                      <w:kern w:val="0"/>
                      <w:sz w:val="21"/>
                      <w:szCs w:val="21"/>
                      <w:highlight w:val="none"/>
                      <w:vertAlign w:val="baseline"/>
                      <w:lang w:val="en-US" w:eastAsia="zh-CN"/>
                    </w:rPr>
                  </w:pPr>
                </w:p>
              </w:tc>
              <w:tc>
                <w:tcPr>
                  <w:tcW w:w="1079"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eastAsia="宋体" w:cs="Times New Roman"/>
                      <w:bCs/>
                      <w:snapToGrid w:val="0"/>
                      <w:color w:val="auto"/>
                      <w:kern w:val="0"/>
                      <w:sz w:val="21"/>
                      <w:szCs w:val="21"/>
                      <w:highlight w:val="none"/>
                      <w:vertAlign w:val="baseline"/>
                      <w:lang w:val="en-US" w:eastAsia="zh-CN"/>
                    </w:rPr>
                  </w:pPr>
                  <w:r>
                    <w:rPr>
                      <w:rFonts w:hint="eastAsia" w:eastAsia="宋体" w:cs="Times New Roman"/>
                      <w:bCs/>
                      <w:snapToGrid w:val="0"/>
                      <w:color w:val="auto"/>
                      <w:kern w:val="0"/>
                      <w:sz w:val="21"/>
                      <w:szCs w:val="21"/>
                      <w:highlight w:val="none"/>
                      <w:vertAlign w:val="baseline"/>
                      <w:lang w:val="en-US" w:eastAsia="zh-CN"/>
                    </w:rPr>
                    <w:t>供电</w:t>
                  </w:r>
                </w:p>
              </w:tc>
              <w:tc>
                <w:tcPr>
                  <w:tcW w:w="5757" w:type="dxa"/>
                  <w:vAlign w:val="top"/>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both"/>
                    <w:textAlignment w:val="auto"/>
                    <w:rPr>
                      <w:rFonts w:hint="eastAsia" w:eastAsia="宋体" w:cs="Times New Roman"/>
                      <w:bCs/>
                      <w:snapToGrid w:val="0"/>
                      <w:color w:val="auto"/>
                      <w:kern w:val="0"/>
                      <w:sz w:val="21"/>
                      <w:szCs w:val="21"/>
                      <w:highlight w:val="none"/>
                      <w:vertAlign w:val="baseline"/>
                      <w:lang w:val="en-US" w:eastAsia="zh-CN"/>
                    </w:rPr>
                  </w:pPr>
                  <w:r>
                    <w:rPr>
                      <w:rFonts w:hint="eastAsia" w:eastAsia="宋体" w:cs="Times New Roman"/>
                      <w:bCs/>
                      <w:snapToGrid w:val="0"/>
                      <w:color w:val="auto"/>
                      <w:kern w:val="0"/>
                      <w:sz w:val="21"/>
                      <w:szCs w:val="21"/>
                      <w:highlight w:val="none"/>
                      <w:vertAlign w:val="baseline"/>
                      <w:lang w:val="en-US" w:eastAsia="zh-CN"/>
                    </w:rPr>
                    <w:t>依托</w:t>
                  </w:r>
                  <w:r>
                    <w:rPr>
                      <w:rFonts w:hint="eastAsia" w:cs="Times New Roman"/>
                      <w:bCs/>
                      <w:snapToGrid w:val="0"/>
                      <w:color w:val="auto"/>
                      <w:kern w:val="0"/>
                      <w:sz w:val="21"/>
                      <w:szCs w:val="21"/>
                      <w:highlight w:val="none"/>
                      <w:vertAlign w:val="baseline"/>
                      <w:lang w:val="en-US" w:eastAsia="zh-CN"/>
                    </w:rPr>
                    <w:t>市政</w:t>
                  </w:r>
                  <w:r>
                    <w:rPr>
                      <w:rFonts w:hint="eastAsia" w:eastAsia="宋体" w:cs="Times New Roman"/>
                      <w:bCs/>
                      <w:snapToGrid w:val="0"/>
                      <w:color w:val="auto"/>
                      <w:kern w:val="0"/>
                      <w:sz w:val="21"/>
                      <w:szCs w:val="21"/>
                      <w:highlight w:val="none"/>
                      <w:vertAlign w:val="baseline"/>
                      <w:lang w:val="en-US" w:eastAsia="zh-CN"/>
                    </w:rPr>
                    <w:t>供电管网供给；</w:t>
                  </w:r>
                </w:p>
              </w:tc>
              <w:tc>
                <w:tcPr>
                  <w:tcW w:w="88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eastAsia="宋体" w:cs="Times New Roman"/>
                      <w:bCs/>
                      <w:snapToGrid w:val="0"/>
                      <w:color w:val="auto"/>
                      <w:kern w:val="0"/>
                      <w:sz w:val="21"/>
                      <w:szCs w:val="21"/>
                      <w:highlight w:val="none"/>
                      <w:vertAlign w:val="baseline"/>
                      <w:lang w:val="en-US" w:eastAsia="zh-CN"/>
                    </w:rPr>
                  </w:pPr>
                  <w:r>
                    <w:rPr>
                      <w:rFonts w:hint="eastAsia" w:eastAsia="宋体" w:cs="Times New Roman"/>
                      <w:bCs/>
                      <w:snapToGrid w:val="0"/>
                      <w:color w:val="auto"/>
                      <w:kern w:val="0"/>
                      <w:sz w:val="21"/>
                      <w:szCs w:val="21"/>
                      <w:highlight w:val="none"/>
                      <w:vertAlign w:val="baseline"/>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738"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Times New Roman" w:hAnsi="Times New Roman" w:eastAsia="宋体" w:cs="Times New Roman"/>
                      <w:bCs/>
                      <w:snapToGrid w:val="0"/>
                      <w:color w:val="auto"/>
                      <w:kern w:val="0"/>
                      <w:sz w:val="21"/>
                      <w:szCs w:val="21"/>
                      <w:highlight w:val="none"/>
                      <w:vertAlign w:val="baseline"/>
                      <w:lang w:val="en-US" w:eastAsia="zh-CN"/>
                    </w:rPr>
                  </w:pPr>
                </w:p>
              </w:tc>
              <w:tc>
                <w:tcPr>
                  <w:tcW w:w="1079"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rPr>
                    <w:t>排水</w:t>
                  </w:r>
                </w:p>
              </w:tc>
              <w:tc>
                <w:tcPr>
                  <w:tcW w:w="5757" w:type="dxa"/>
                  <w:vAlign w:val="top"/>
                </w:tcPr>
                <w:p>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kern w:val="2"/>
                      <w:sz w:val="21"/>
                      <w:szCs w:val="21"/>
                      <w:highlight w:val="none"/>
                      <w:lang w:val="en-US" w:eastAsia="zh-CN" w:bidi="ar-SA"/>
                    </w:rPr>
                  </w:pPr>
                  <w:r>
                    <w:rPr>
                      <w:rFonts w:hint="default"/>
                      <w:color w:val="auto"/>
                      <w:kern w:val="0"/>
                      <w:szCs w:val="21"/>
                      <w:highlight w:val="none"/>
                      <w:lang w:bidi="ar"/>
                    </w:rPr>
                    <w:t>雨污分流</w:t>
                  </w:r>
                  <w:r>
                    <w:rPr>
                      <w:rFonts w:hint="eastAsia"/>
                      <w:color w:val="auto"/>
                      <w:kern w:val="0"/>
                      <w:szCs w:val="21"/>
                      <w:highlight w:val="none"/>
                      <w:lang w:val="en-US" w:eastAsia="zh-CN" w:bidi="ar"/>
                    </w:rPr>
                    <w:t>制</w:t>
                  </w:r>
                  <w:r>
                    <w:rPr>
                      <w:rFonts w:hint="default"/>
                      <w:color w:val="auto"/>
                      <w:kern w:val="0"/>
                      <w:szCs w:val="21"/>
                      <w:highlight w:val="none"/>
                      <w:lang w:bidi="ar"/>
                    </w:rPr>
                    <w:t>，</w:t>
                  </w:r>
                  <w:r>
                    <w:rPr>
                      <w:rFonts w:hint="eastAsia"/>
                      <w:color w:val="auto"/>
                      <w:kern w:val="0"/>
                      <w:szCs w:val="21"/>
                      <w:highlight w:val="none"/>
                      <w:lang w:val="en-US" w:eastAsia="zh-CN" w:bidi="ar"/>
                    </w:rPr>
                    <w:t>雨水经厂区雨水管网进入</w:t>
                  </w:r>
                  <w:r>
                    <w:rPr>
                      <w:rFonts w:hint="eastAsia" w:cs="Times New Roman"/>
                      <w:bCs/>
                      <w:snapToGrid w:val="0"/>
                      <w:color w:val="auto"/>
                      <w:kern w:val="0"/>
                      <w:sz w:val="21"/>
                      <w:szCs w:val="21"/>
                      <w:highlight w:val="none"/>
                      <w:vertAlign w:val="baseline"/>
                      <w:lang w:val="en-US" w:eastAsia="zh-CN"/>
                    </w:rPr>
                    <w:t>市政</w:t>
                  </w:r>
                  <w:r>
                    <w:rPr>
                      <w:rFonts w:hint="eastAsia"/>
                      <w:color w:val="auto"/>
                      <w:kern w:val="0"/>
                      <w:szCs w:val="21"/>
                      <w:highlight w:val="none"/>
                      <w:lang w:val="en-US" w:eastAsia="zh-CN" w:bidi="ar"/>
                    </w:rPr>
                    <w:t>雨水管网；空压机含油废水及地面清洁废水经油水分离器处理后与生活污水一并进入厂区自建生化池处理达标后排入铜梁侣俸污水处理厂深度处理达标后排入侣俸河</w:t>
                  </w:r>
                </w:p>
              </w:tc>
              <w:tc>
                <w:tcPr>
                  <w:tcW w:w="885"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snapToGrid w:val="0"/>
                      <w:color w:val="auto"/>
                      <w:kern w:val="0"/>
                      <w:sz w:val="21"/>
                      <w:szCs w:val="21"/>
                      <w:highlight w:val="none"/>
                      <w:vertAlign w:val="baseline"/>
                      <w:lang w:val="en-US" w:eastAsia="zh-CN"/>
                    </w:rPr>
                    <w:t>新建+</w:t>
                  </w:r>
                  <w:r>
                    <w:rPr>
                      <w:rFonts w:hint="eastAsia" w:eastAsia="宋体" w:cs="Times New Roman"/>
                      <w:bCs/>
                      <w:snapToGrid w:val="0"/>
                      <w:color w:val="auto"/>
                      <w:kern w:val="0"/>
                      <w:sz w:val="21"/>
                      <w:szCs w:val="21"/>
                      <w:highlight w:val="none"/>
                      <w:vertAlign w:val="baseline"/>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8"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Times New Roman" w:hAnsi="Times New Roman" w:eastAsia="宋体" w:cs="Times New Roman"/>
                      <w:bCs/>
                      <w:snapToGrid w:val="0"/>
                      <w:color w:val="auto"/>
                      <w:kern w:val="0"/>
                      <w:sz w:val="21"/>
                      <w:szCs w:val="21"/>
                      <w:highlight w:val="none"/>
                      <w:vertAlign w:val="baseline"/>
                      <w:lang w:val="en-US" w:eastAsia="zh-CN"/>
                    </w:rPr>
                  </w:pPr>
                </w:p>
              </w:tc>
              <w:tc>
                <w:tcPr>
                  <w:tcW w:w="1079"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bidi="ar-SA"/>
                    </w:rPr>
                  </w:pPr>
                  <w:r>
                    <w:rPr>
                      <w:rFonts w:hint="eastAsia" w:cs="Times New Roman"/>
                      <w:bCs/>
                      <w:snapToGrid w:val="0"/>
                      <w:color w:val="auto"/>
                      <w:kern w:val="0"/>
                      <w:sz w:val="21"/>
                      <w:szCs w:val="21"/>
                      <w:highlight w:val="none"/>
                      <w:vertAlign w:val="baseline"/>
                      <w:lang w:val="en-US" w:eastAsia="zh-CN"/>
                    </w:rPr>
                    <w:t>空压机房</w:t>
                  </w:r>
                </w:p>
              </w:tc>
              <w:tc>
                <w:tcPr>
                  <w:tcW w:w="5757"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bCs/>
                      <w:snapToGrid w:val="0"/>
                      <w:color w:val="auto"/>
                      <w:kern w:val="0"/>
                      <w:sz w:val="21"/>
                      <w:szCs w:val="21"/>
                      <w:highlight w:val="none"/>
                      <w:vertAlign w:val="baseline"/>
                      <w:lang w:val="en-US" w:eastAsia="zh-CN" w:bidi="ar-SA"/>
                    </w:rPr>
                  </w:pPr>
                  <w:r>
                    <w:rPr>
                      <w:rFonts w:hint="eastAsia" w:cs="Times New Roman"/>
                      <w:bCs/>
                      <w:snapToGrid w:val="0"/>
                      <w:color w:val="auto"/>
                      <w:kern w:val="0"/>
                      <w:sz w:val="21"/>
                      <w:szCs w:val="21"/>
                      <w:highlight w:val="none"/>
                      <w:vertAlign w:val="baseline"/>
                      <w:lang w:val="en-US" w:eastAsia="zh-CN"/>
                    </w:rPr>
                    <w:t>位于生产区域东侧，建筑面积约8m</w:t>
                  </w:r>
                  <w:r>
                    <w:rPr>
                      <w:rFonts w:hint="eastAsia" w:cs="Times New Roman"/>
                      <w:bCs/>
                      <w:snapToGrid w:val="0"/>
                      <w:color w:val="auto"/>
                      <w:kern w:val="0"/>
                      <w:sz w:val="21"/>
                      <w:szCs w:val="21"/>
                      <w:highlight w:val="none"/>
                      <w:vertAlign w:val="superscript"/>
                      <w:lang w:val="en-US" w:eastAsia="zh-CN"/>
                    </w:rPr>
                    <w:t>2</w:t>
                  </w:r>
                  <w:r>
                    <w:rPr>
                      <w:rFonts w:hint="eastAsia" w:cs="Times New Roman"/>
                      <w:bCs/>
                      <w:snapToGrid w:val="0"/>
                      <w:color w:val="auto"/>
                      <w:kern w:val="0"/>
                      <w:sz w:val="21"/>
                      <w:szCs w:val="21"/>
                      <w:highlight w:val="none"/>
                      <w:vertAlign w:val="baseline"/>
                      <w:lang w:val="en-US" w:eastAsia="zh-CN"/>
                    </w:rPr>
                    <w:t>，共布置2台螺杆式空压机；</w:t>
                  </w:r>
                </w:p>
              </w:tc>
              <w:tc>
                <w:tcPr>
                  <w:tcW w:w="88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snapToGrid w:val="0"/>
                      <w:color w:val="auto"/>
                      <w:kern w:val="0"/>
                      <w:sz w:val="21"/>
                      <w:szCs w:val="21"/>
                      <w:highlight w:val="none"/>
                      <w:vertAlign w:val="baseline"/>
                      <w:lang w:val="en-US" w:eastAsia="zh-CN" w:bidi="ar-SA"/>
                    </w:rPr>
                  </w:pPr>
                  <w:r>
                    <w:rPr>
                      <w:rFonts w:hint="eastAsia" w:cs="Times New Roman"/>
                      <w:bCs/>
                      <w:snapToGrid w:val="0"/>
                      <w:color w:val="auto"/>
                      <w:kern w:val="0"/>
                      <w:sz w:val="21"/>
                      <w:szCs w:val="21"/>
                      <w:highlight w:val="none"/>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38"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Times New Roman" w:hAnsi="Times New Roman" w:eastAsia="宋体" w:cs="Times New Roman"/>
                      <w:bCs/>
                      <w:snapToGrid w:val="0"/>
                      <w:color w:val="auto"/>
                      <w:kern w:val="0"/>
                      <w:sz w:val="21"/>
                      <w:szCs w:val="21"/>
                      <w:highlight w:val="none"/>
                      <w:vertAlign w:val="baseline"/>
                      <w:lang w:val="en-US" w:eastAsia="zh-CN"/>
                    </w:rPr>
                  </w:pPr>
                </w:p>
              </w:tc>
              <w:tc>
                <w:tcPr>
                  <w:tcW w:w="1079"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循环水系统</w:t>
                  </w:r>
                </w:p>
              </w:tc>
              <w:tc>
                <w:tcPr>
                  <w:tcW w:w="5757"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both"/>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项目共设置1套循环水系统，位于厂房外东侧，循环水量为10m</w:t>
                  </w:r>
                  <w:r>
                    <w:rPr>
                      <w:rFonts w:hint="eastAsia" w:cs="Times New Roman"/>
                      <w:bCs/>
                      <w:snapToGrid w:val="0"/>
                      <w:color w:val="auto"/>
                      <w:kern w:val="0"/>
                      <w:sz w:val="21"/>
                      <w:szCs w:val="21"/>
                      <w:highlight w:val="none"/>
                      <w:vertAlign w:val="superscript"/>
                      <w:lang w:val="en-US" w:eastAsia="zh-CN"/>
                    </w:rPr>
                    <w:t>3</w:t>
                  </w:r>
                  <w:r>
                    <w:rPr>
                      <w:rFonts w:hint="eastAsia" w:cs="Times New Roman"/>
                      <w:bCs/>
                      <w:snapToGrid w:val="0"/>
                      <w:color w:val="auto"/>
                      <w:kern w:val="0"/>
                      <w:sz w:val="21"/>
                      <w:szCs w:val="21"/>
                      <w:highlight w:val="none"/>
                      <w:vertAlign w:val="baseline"/>
                      <w:lang w:val="en-US" w:eastAsia="zh-CN"/>
                    </w:rPr>
                    <w:t>/h；</w:t>
                  </w:r>
                </w:p>
              </w:tc>
              <w:tc>
                <w:tcPr>
                  <w:tcW w:w="88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eastAsia"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38"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环保工程</w:t>
                  </w:r>
                </w:p>
              </w:tc>
              <w:tc>
                <w:tcPr>
                  <w:tcW w:w="1079"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rPr>
                    <w:t>废水处理</w:t>
                  </w:r>
                </w:p>
              </w:tc>
              <w:tc>
                <w:tcPr>
                  <w:tcW w:w="5757" w:type="dxa"/>
                  <w:vAlign w:val="top"/>
                </w:tcPr>
                <w:p>
                  <w:pPr>
                    <w:keepNext w:val="0"/>
                    <w:keepLines w:val="0"/>
                    <w:suppressLineNumbers w:val="0"/>
                    <w:spacing w:before="0" w:beforeAutospacing="0" w:after="0" w:afterAutospacing="0"/>
                    <w:ind w:left="0" w:right="0"/>
                    <w:jc w:val="both"/>
                    <w:rPr>
                      <w:rFonts w:hint="eastAsia" w:ascii="Times New Roman" w:hAnsi="Times New Roman" w:eastAsia="宋体" w:cs="Times New Roman"/>
                      <w:color w:val="auto"/>
                      <w:kern w:val="2"/>
                      <w:sz w:val="21"/>
                      <w:szCs w:val="21"/>
                      <w:highlight w:val="none"/>
                      <w:lang w:val="en-US" w:eastAsia="zh-CN" w:bidi="ar-SA"/>
                    </w:rPr>
                  </w:pPr>
                  <w:r>
                    <w:rPr>
                      <w:rFonts w:hint="default"/>
                      <w:color w:val="auto"/>
                      <w:kern w:val="0"/>
                      <w:sz w:val="21"/>
                      <w:szCs w:val="21"/>
                      <w:highlight w:val="none"/>
                      <w:lang w:bidi="ar"/>
                    </w:rPr>
                    <w:t>雨污分流</w:t>
                  </w:r>
                  <w:r>
                    <w:rPr>
                      <w:rFonts w:hint="eastAsia"/>
                      <w:color w:val="auto"/>
                      <w:kern w:val="0"/>
                      <w:sz w:val="21"/>
                      <w:szCs w:val="21"/>
                      <w:highlight w:val="none"/>
                      <w:lang w:val="en-US" w:eastAsia="zh-CN" w:bidi="ar"/>
                    </w:rPr>
                    <w:t>制</w:t>
                  </w:r>
                  <w:r>
                    <w:rPr>
                      <w:rFonts w:hint="default"/>
                      <w:color w:val="auto"/>
                      <w:kern w:val="0"/>
                      <w:sz w:val="21"/>
                      <w:szCs w:val="21"/>
                      <w:highlight w:val="none"/>
                      <w:lang w:bidi="ar"/>
                    </w:rPr>
                    <w:t>，</w:t>
                  </w:r>
                  <w:r>
                    <w:rPr>
                      <w:rFonts w:hint="eastAsia"/>
                      <w:color w:val="auto"/>
                      <w:kern w:val="0"/>
                      <w:szCs w:val="21"/>
                      <w:highlight w:val="none"/>
                      <w:lang w:val="en-US" w:eastAsia="zh-CN" w:bidi="ar"/>
                    </w:rPr>
                    <w:t>雨水经厂区雨水管网进入</w:t>
                  </w:r>
                  <w:r>
                    <w:rPr>
                      <w:rFonts w:hint="eastAsia" w:cs="Times New Roman"/>
                      <w:bCs/>
                      <w:snapToGrid w:val="0"/>
                      <w:color w:val="auto"/>
                      <w:kern w:val="0"/>
                      <w:sz w:val="21"/>
                      <w:szCs w:val="21"/>
                      <w:highlight w:val="none"/>
                      <w:vertAlign w:val="baseline"/>
                      <w:lang w:val="en-US" w:eastAsia="zh-CN"/>
                    </w:rPr>
                    <w:t>市政</w:t>
                  </w:r>
                  <w:r>
                    <w:rPr>
                      <w:rFonts w:hint="eastAsia"/>
                      <w:color w:val="auto"/>
                      <w:kern w:val="0"/>
                      <w:szCs w:val="21"/>
                      <w:highlight w:val="none"/>
                      <w:lang w:val="en-US" w:eastAsia="zh-CN" w:bidi="ar"/>
                    </w:rPr>
                    <w:t>雨水管网；空压机含油废水及地面清洁废水经油水分离器（处理规模2</w:t>
                  </w:r>
                  <w:r>
                    <w:rPr>
                      <w:rFonts w:hint="eastAsia" w:ascii="Times New Roman" w:hAnsi="Times New Roman" w:cs="Times New Roman"/>
                      <w:color w:val="auto"/>
                      <w:sz w:val="21"/>
                      <w:szCs w:val="21"/>
                      <w:highlight w:val="none"/>
                      <w:lang w:val="en-US" w:eastAsia="zh-CN"/>
                    </w:rPr>
                    <w:t>m</w:t>
                  </w:r>
                  <w:r>
                    <w:rPr>
                      <w:rFonts w:hint="eastAsia"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lang w:val="en-US" w:eastAsia="zh-CN"/>
                    </w:rPr>
                    <w:t>/d</w:t>
                  </w:r>
                  <w:r>
                    <w:rPr>
                      <w:rFonts w:hint="eastAsia"/>
                      <w:color w:val="auto"/>
                      <w:kern w:val="0"/>
                      <w:szCs w:val="21"/>
                      <w:highlight w:val="none"/>
                      <w:lang w:val="en-US" w:eastAsia="zh-CN" w:bidi="ar"/>
                    </w:rPr>
                    <w:t>）处理后与生活污水一并进入厂区自建生化池（处理规模6</w:t>
                  </w:r>
                  <w:r>
                    <w:rPr>
                      <w:rFonts w:hint="eastAsia" w:ascii="Times New Roman" w:hAnsi="Times New Roman" w:cs="Times New Roman"/>
                      <w:color w:val="auto"/>
                      <w:sz w:val="21"/>
                      <w:szCs w:val="21"/>
                      <w:highlight w:val="none"/>
                      <w:lang w:val="en-US" w:eastAsia="zh-CN"/>
                    </w:rPr>
                    <w:t>m</w:t>
                  </w:r>
                  <w:r>
                    <w:rPr>
                      <w:rFonts w:hint="eastAsia"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lang w:val="en-US" w:eastAsia="zh-CN"/>
                    </w:rPr>
                    <w:t>/d</w:t>
                  </w:r>
                  <w:r>
                    <w:rPr>
                      <w:rFonts w:hint="eastAsia"/>
                      <w:color w:val="auto"/>
                      <w:kern w:val="0"/>
                      <w:szCs w:val="21"/>
                      <w:highlight w:val="none"/>
                      <w:lang w:val="en-US" w:eastAsia="zh-CN" w:bidi="ar"/>
                    </w:rPr>
                    <w:t>）处理达</w:t>
                  </w:r>
                  <w:r>
                    <w:rPr>
                      <w:rFonts w:hint="eastAsia" w:ascii="Times New Roman" w:hAnsi="Times New Roman" w:eastAsia="宋体" w:cs="Times New Roman"/>
                      <w:color w:val="auto"/>
                      <w:sz w:val="21"/>
                      <w:szCs w:val="21"/>
                      <w:highlight w:val="none"/>
                      <w:lang w:val="en-US" w:eastAsia="zh-CN"/>
                    </w:rPr>
                    <w:t>《污水综合排放标准》（GB8978-1996）三级标准</w:t>
                  </w:r>
                  <w:r>
                    <w:rPr>
                      <w:rFonts w:hint="eastAsia"/>
                      <w:color w:val="auto"/>
                      <w:kern w:val="0"/>
                      <w:szCs w:val="21"/>
                      <w:highlight w:val="none"/>
                      <w:lang w:val="en-US" w:eastAsia="zh-CN" w:bidi="ar"/>
                    </w:rPr>
                    <w:t>后排入铜梁侣俸污水处理厂深度处理达</w:t>
                  </w:r>
                  <w:r>
                    <w:rPr>
                      <w:rFonts w:hint="eastAsia" w:ascii="Times New Roman" w:hAnsi="Times New Roman" w:eastAsia="宋体" w:cs="Times New Roman"/>
                      <w:color w:val="auto"/>
                      <w:sz w:val="21"/>
                      <w:szCs w:val="21"/>
                      <w:highlight w:val="none"/>
                      <w:lang w:val="en-US" w:eastAsia="zh-CN"/>
                    </w:rPr>
                    <w:t>《城镇污水处理厂污染物排放标准》（GB18918-2002）一级</w:t>
                  </w:r>
                  <w:r>
                    <w:rPr>
                      <w:rFonts w:hint="eastAsia" w:cs="Times New Roman"/>
                      <w:color w:val="auto"/>
                      <w:sz w:val="21"/>
                      <w:szCs w:val="21"/>
                      <w:highlight w:val="none"/>
                      <w:lang w:val="en-US" w:eastAsia="zh-CN"/>
                    </w:rPr>
                    <w:t>B</w:t>
                  </w:r>
                  <w:r>
                    <w:rPr>
                      <w:rFonts w:hint="eastAsia" w:ascii="Times New Roman" w:hAnsi="Times New Roman" w:eastAsia="宋体" w:cs="Times New Roman"/>
                      <w:color w:val="auto"/>
                      <w:sz w:val="21"/>
                      <w:szCs w:val="21"/>
                      <w:highlight w:val="none"/>
                      <w:lang w:val="en-US" w:eastAsia="zh-CN"/>
                    </w:rPr>
                    <w:t>标</w:t>
                  </w:r>
                  <w:r>
                    <w:rPr>
                      <w:rFonts w:hint="eastAsia"/>
                      <w:color w:val="auto"/>
                      <w:kern w:val="0"/>
                      <w:szCs w:val="21"/>
                      <w:highlight w:val="none"/>
                      <w:lang w:val="en-US" w:eastAsia="zh-CN" w:bidi="ar"/>
                    </w:rPr>
                    <w:t>后排入侣俸河；</w:t>
                  </w:r>
                </w:p>
              </w:tc>
              <w:tc>
                <w:tcPr>
                  <w:tcW w:w="88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Times New Roman" w:hAnsi="Times New Roman" w:eastAsia="宋体" w:cs="Times New Roman"/>
                      <w:bCs/>
                      <w:snapToGrid w:val="0"/>
                      <w:color w:val="auto"/>
                      <w:kern w:val="0"/>
                      <w:sz w:val="21"/>
                      <w:szCs w:val="21"/>
                      <w:highlight w:val="none"/>
                      <w:vertAlign w:val="baseline"/>
                      <w:lang w:val="en-US" w:eastAsia="zh-CN"/>
                    </w:rPr>
                  </w:pPr>
                  <w:r>
                    <w:rPr>
                      <w:rFonts w:hint="eastAsia"/>
                      <w:bCs/>
                      <w:color w:val="auto"/>
                      <w:szCs w:val="21"/>
                      <w:highlight w:val="none"/>
                      <w:lang w:val="en-US" w:eastAsia="zh-CN"/>
                    </w:rPr>
                    <w:t>新建+</w:t>
                  </w:r>
                  <w:r>
                    <w:rPr>
                      <w:rFonts w:hint="default"/>
                      <w:bCs/>
                      <w:color w:val="auto"/>
                      <w:szCs w:val="21"/>
                      <w:highlight w:val="non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8"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Times New Roman" w:hAnsi="Times New Roman" w:eastAsia="宋体" w:cs="Times New Roman"/>
                      <w:bCs/>
                      <w:snapToGrid w:val="0"/>
                      <w:color w:val="auto"/>
                      <w:kern w:val="0"/>
                      <w:sz w:val="21"/>
                      <w:szCs w:val="21"/>
                      <w:highlight w:val="none"/>
                      <w:vertAlign w:val="baseline"/>
                      <w:lang w:val="en-US" w:eastAsia="zh-CN"/>
                    </w:rPr>
                  </w:pPr>
                </w:p>
              </w:tc>
              <w:tc>
                <w:tcPr>
                  <w:tcW w:w="1079"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rPr>
                    <w:t>废气处理</w:t>
                  </w:r>
                </w:p>
              </w:tc>
              <w:tc>
                <w:tcPr>
                  <w:tcW w:w="5757" w:type="dxa"/>
                  <w:vAlign w:val="top"/>
                </w:tcPr>
                <w:p>
                  <w:pPr>
                    <w:keepNext w:val="0"/>
                    <w:keepLines w:val="0"/>
                    <w:suppressLineNumbers w:val="0"/>
                    <w:spacing w:before="0" w:beforeAutospacing="0" w:after="0" w:afterAutospacing="0"/>
                    <w:ind w:left="0" w:right="0"/>
                    <w:jc w:val="both"/>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挤塑废气及吸塑废气经各自集气罩收集后共用一套“过滤棉+uv光解+两级活性炭吸附”装置处理达标后通过15m高（DA001）排气筒排放；</w:t>
                  </w:r>
                </w:p>
              </w:tc>
              <w:tc>
                <w:tcPr>
                  <w:tcW w:w="88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Times New Roman" w:hAnsi="Times New Roman"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38"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Times New Roman" w:hAnsi="Times New Roman" w:eastAsia="宋体" w:cs="Times New Roman"/>
                      <w:bCs/>
                      <w:snapToGrid w:val="0"/>
                      <w:color w:val="auto"/>
                      <w:kern w:val="0"/>
                      <w:sz w:val="21"/>
                      <w:szCs w:val="21"/>
                      <w:highlight w:val="yellow"/>
                      <w:vertAlign w:val="baseline"/>
                      <w:lang w:val="en-US" w:eastAsia="zh-CN"/>
                    </w:rPr>
                  </w:pPr>
                </w:p>
              </w:tc>
              <w:tc>
                <w:tcPr>
                  <w:tcW w:w="1079"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rPr>
                    <w:t>噪声处理</w:t>
                  </w:r>
                </w:p>
              </w:tc>
              <w:tc>
                <w:tcPr>
                  <w:tcW w:w="5757" w:type="dxa"/>
                  <w:vAlign w:val="top"/>
                </w:tcPr>
                <w:p>
                  <w:pPr>
                    <w:keepNext w:val="0"/>
                    <w:keepLines w:val="0"/>
                    <w:suppressLineNumbers w:val="0"/>
                    <w:spacing w:before="0" w:beforeAutospacing="0" w:after="0" w:afterAutospacing="0"/>
                    <w:ind w:left="0" w:right="0"/>
                    <w:jc w:val="both"/>
                    <w:rPr>
                      <w:rFonts w:hint="eastAsia"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rPr>
                    <w:t>设备运行噪声：选用低噪声设备，采取减震，墙体隔声等措施，并定期维护。</w:t>
                  </w:r>
                </w:p>
              </w:tc>
              <w:tc>
                <w:tcPr>
                  <w:tcW w:w="88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Times New Roman" w:hAnsi="Times New Roman"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8"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Times New Roman" w:hAnsi="Times New Roman" w:eastAsia="宋体" w:cs="Times New Roman"/>
                      <w:bCs/>
                      <w:snapToGrid w:val="0"/>
                      <w:color w:val="auto"/>
                      <w:kern w:val="0"/>
                      <w:sz w:val="21"/>
                      <w:szCs w:val="21"/>
                      <w:highlight w:val="yellow"/>
                      <w:vertAlign w:val="baseline"/>
                      <w:lang w:val="en-US" w:eastAsia="zh-CN"/>
                    </w:rPr>
                  </w:pPr>
                </w:p>
              </w:tc>
              <w:tc>
                <w:tcPr>
                  <w:tcW w:w="1079"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rPr>
                    <w:t>一般固废暂存</w:t>
                  </w:r>
                  <w:r>
                    <w:rPr>
                      <w:rFonts w:hint="eastAsia"/>
                      <w:color w:val="auto"/>
                      <w:szCs w:val="21"/>
                      <w:highlight w:val="none"/>
                      <w:lang w:val="en-US" w:eastAsia="zh-CN"/>
                    </w:rPr>
                    <w:t>间</w:t>
                  </w:r>
                </w:p>
              </w:tc>
              <w:tc>
                <w:tcPr>
                  <w:tcW w:w="5757" w:type="dxa"/>
                  <w:vAlign w:val="top"/>
                </w:tcPr>
                <w:p>
                  <w:pPr>
                    <w:keepNext w:val="0"/>
                    <w:keepLines w:val="0"/>
                    <w:suppressLineNumbers w:val="0"/>
                    <w:spacing w:before="0" w:beforeAutospacing="0" w:after="0" w:afterAutospacing="0"/>
                    <w:ind w:left="0" w:right="0"/>
                    <w:jc w:val="both"/>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位于厂房北侧，</w:t>
                  </w:r>
                  <w:r>
                    <w:rPr>
                      <w:rFonts w:hint="default"/>
                      <w:color w:val="auto"/>
                      <w:szCs w:val="21"/>
                      <w:highlight w:val="none"/>
                    </w:rPr>
                    <w:t>建筑面积</w:t>
                  </w:r>
                  <w:r>
                    <w:rPr>
                      <w:rFonts w:hint="eastAsia"/>
                      <w:color w:val="auto"/>
                      <w:szCs w:val="21"/>
                      <w:highlight w:val="none"/>
                      <w:lang w:val="en-US" w:eastAsia="zh-CN"/>
                    </w:rPr>
                    <w:t>约</w:t>
                  </w:r>
                  <w:r>
                    <w:rPr>
                      <w:rFonts w:hint="eastAsia"/>
                      <w:color w:val="auto"/>
                      <w:szCs w:val="21"/>
                      <w:highlight w:val="none"/>
                    </w:rPr>
                    <w:t>10</w:t>
                  </w:r>
                  <w:r>
                    <w:rPr>
                      <w:rFonts w:hint="default"/>
                      <w:color w:val="auto"/>
                      <w:szCs w:val="21"/>
                      <w:highlight w:val="none"/>
                    </w:rPr>
                    <w:t>m</w:t>
                  </w:r>
                  <w:r>
                    <w:rPr>
                      <w:rFonts w:hint="default"/>
                      <w:color w:val="auto"/>
                      <w:szCs w:val="21"/>
                      <w:highlight w:val="none"/>
                      <w:vertAlign w:val="superscript"/>
                    </w:rPr>
                    <w:t>2</w:t>
                  </w:r>
                  <w:r>
                    <w:rPr>
                      <w:rFonts w:hint="default"/>
                      <w:color w:val="auto"/>
                      <w:szCs w:val="21"/>
                      <w:highlight w:val="none"/>
                    </w:rPr>
                    <w:t>，</w:t>
                  </w:r>
                  <w:r>
                    <w:rPr>
                      <w:rFonts w:hint="eastAsia"/>
                      <w:color w:val="auto"/>
                      <w:szCs w:val="21"/>
                      <w:highlight w:val="none"/>
                      <w:lang w:val="en-US" w:eastAsia="zh-CN"/>
                    </w:rPr>
                    <w:t>用于存放生产过程产生的一般固废，一般固废暂存间做好相关“三防”措施。</w:t>
                  </w:r>
                </w:p>
              </w:tc>
              <w:tc>
                <w:tcPr>
                  <w:tcW w:w="88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Times New Roman" w:hAnsi="Times New Roman"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8"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Times New Roman" w:hAnsi="Times New Roman" w:eastAsia="宋体" w:cs="Times New Roman"/>
                      <w:bCs/>
                      <w:snapToGrid w:val="0"/>
                      <w:color w:val="auto"/>
                      <w:kern w:val="0"/>
                      <w:sz w:val="21"/>
                      <w:szCs w:val="21"/>
                      <w:highlight w:val="yellow"/>
                      <w:vertAlign w:val="baseline"/>
                      <w:lang w:val="en-US" w:eastAsia="zh-CN"/>
                    </w:rPr>
                  </w:pPr>
                </w:p>
              </w:tc>
              <w:tc>
                <w:tcPr>
                  <w:tcW w:w="1079" w:type="dxa"/>
                  <w:vAlign w:val="center"/>
                </w:tcPr>
                <w:p>
                  <w:pPr>
                    <w:keepNext w:val="0"/>
                    <w:keepLines w:val="0"/>
                    <w:suppressLineNumbers w:val="0"/>
                    <w:spacing w:before="0" w:beforeAutospacing="0" w:after="0" w:afterAutospacing="0"/>
                    <w:ind w:left="0" w:right="0"/>
                    <w:jc w:val="center"/>
                    <w:rPr>
                      <w:rFonts w:hint="default"/>
                      <w:color w:val="auto"/>
                      <w:szCs w:val="21"/>
                      <w:highlight w:val="none"/>
                    </w:rPr>
                  </w:pPr>
                  <w:r>
                    <w:rPr>
                      <w:rFonts w:hint="default"/>
                      <w:color w:val="auto"/>
                      <w:szCs w:val="21"/>
                      <w:highlight w:val="none"/>
                    </w:rPr>
                    <w:t>危废</w:t>
                  </w:r>
                </w:p>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rPr>
                    <w:t>暂存间</w:t>
                  </w:r>
                </w:p>
              </w:tc>
              <w:tc>
                <w:tcPr>
                  <w:tcW w:w="5757" w:type="dxa"/>
                  <w:vAlign w:val="top"/>
                </w:tcPr>
                <w:p>
                  <w:pPr>
                    <w:keepNext w:val="0"/>
                    <w:keepLines w:val="0"/>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right="0"/>
                    <w:jc w:val="both"/>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位于厂房北侧，紧邻一般固废暂存间</w:t>
                  </w:r>
                  <w:r>
                    <w:rPr>
                      <w:rFonts w:hint="eastAsia"/>
                      <w:color w:val="auto"/>
                      <w:szCs w:val="21"/>
                      <w:highlight w:val="none"/>
                    </w:rPr>
                    <w:t>，建筑面积</w:t>
                  </w:r>
                  <w:r>
                    <w:rPr>
                      <w:rFonts w:hint="eastAsia"/>
                      <w:color w:val="auto"/>
                      <w:szCs w:val="21"/>
                      <w:highlight w:val="none"/>
                      <w:lang w:val="en-US" w:eastAsia="zh-CN"/>
                    </w:rPr>
                    <w:t>约5</w:t>
                  </w:r>
                  <w:r>
                    <w:rPr>
                      <w:rFonts w:hint="eastAsia"/>
                      <w:color w:val="auto"/>
                      <w:szCs w:val="21"/>
                      <w:highlight w:val="none"/>
                    </w:rPr>
                    <w:t>m</w:t>
                  </w:r>
                  <w:r>
                    <w:rPr>
                      <w:rFonts w:hint="eastAsia"/>
                      <w:color w:val="auto"/>
                      <w:szCs w:val="21"/>
                      <w:highlight w:val="none"/>
                      <w:vertAlign w:val="superscript"/>
                    </w:rPr>
                    <w:t>2</w:t>
                  </w:r>
                  <w:r>
                    <w:rPr>
                      <w:rFonts w:hint="eastAsia"/>
                      <w:color w:val="auto"/>
                      <w:szCs w:val="21"/>
                      <w:highlight w:val="none"/>
                    </w:rPr>
                    <w:t>，危废暂存间</w:t>
                  </w:r>
                  <w:r>
                    <w:rPr>
                      <w:rFonts w:hint="default"/>
                      <w:color w:val="auto"/>
                      <w:szCs w:val="21"/>
                      <w:highlight w:val="none"/>
                    </w:rPr>
                    <w:t>按</w:t>
                  </w:r>
                  <w:r>
                    <w:rPr>
                      <w:rFonts w:hint="default"/>
                      <w:bCs/>
                      <w:color w:val="auto"/>
                      <w:szCs w:val="21"/>
                      <w:highlight w:val="none"/>
                    </w:rPr>
                    <w:t>《危险废物贮存污染物控制标准》（GB18597-2001）（2013年修订）设计，</w:t>
                  </w:r>
                  <w:r>
                    <w:rPr>
                      <w:rFonts w:hint="default"/>
                      <w:color w:val="auto"/>
                      <w:szCs w:val="21"/>
                      <w:highlight w:val="none"/>
                    </w:rPr>
                    <w:t>做到“四防”处理，并设标志牌。</w:t>
                  </w:r>
                </w:p>
              </w:tc>
              <w:tc>
                <w:tcPr>
                  <w:tcW w:w="88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Times New Roman" w:hAnsi="Times New Roman"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8"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Times New Roman" w:hAnsi="Times New Roman" w:eastAsia="宋体" w:cs="Times New Roman"/>
                      <w:bCs/>
                      <w:snapToGrid w:val="0"/>
                      <w:color w:val="auto"/>
                      <w:kern w:val="0"/>
                      <w:sz w:val="21"/>
                      <w:szCs w:val="21"/>
                      <w:highlight w:val="yellow"/>
                      <w:vertAlign w:val="baseline"/>
                      <w:lang w:val="en-US" w:eastAsia="zh-CN"/>
                    </w:rPr>
                  </w:pPr>
                </w:p>
              </w:tc>
              <w:tc>
                <w:tcPr>
                  <w:tcW w:w="1079"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生活垃圾</w:t>
                  </w:r>
                </w:p>
              </w:tc>
              <w:tc>
                <w:tcPr>
                  <w:tcW w:w="5757" w:type="dxa"/>
                  <w:vAlign w:val="top"/>
                </w:tcPr>
                <w:p>
                  <w:pPr>
                    <w:keepNext w:val="0"/>
                    <w:keepLines w:val="0"/>
                    <w:suppressLineNumbers w:val="0"/>
                    <w:spacing w:before="0" w:beforeAutospacing="0" w:after="0" w:afterAutospacing="0"/>
                    <w:ind w:left="0" w:right="0"/>
                    <w:jc w:val="both"/>
                    <w:rPr>
                      <w:rFonts w:hint="eastAsia"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rPr>
                    <w:t>设置垃圾收集桶，将员工生活垃圾分类袋装后交市政清运。</w:t>
                  </w:r>
                </w:p>
              </w:tc>
              <w:tc>
                <w:tcPr>
                  <w:tcW w:w="88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Times New Roman" w:hAnsi="Times New Roman"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新建</w:t>
                  </w:r>
                </w:p>
              </w:tc>
            </w:tr>
          </w:tbl>
          <w:p>
            <w:pPr>
              <w:keepNext w:val="0"/>
              <w:keepLines w:val="0"/>
              <w:pageBreakBefore w:val="0"/>
              <w:widowControl/>
              <w:numPr>
                <w:ilvl w:val="0"/>
                <w:numId w:val="0"/>
              </w:numPr>
              <w:suppressLineNumbers w:val="0"/>
              <w:kinsoku/>
              <w:wordWrap/>
              <w:overflowPunct/>
              <w:topLinePunct w:val="0"/>
              <w:autoSpaceDE/>
              <w:autoSpaceDN/>
              <w:bidi w:val="0"/>
              <w:adjustRightInd w:val="0"/>
              <w:snapToGrid/>
              <w:spacing w:before="0" w:beforeAutospacing="0" w:after="0" w:afterAutospacing="0" w:line="360" w:lineRule="auto"/>
              <w:ind w:leftChars="200" w:right="0" w:rightChars="0"/>
              <w:textAlignment w:val="auto"/>
              <w:rPr>
                <w:rFonts w:hint="default" w:cs="Times New Roman"/>
                <w:bCs/>
                <w:snapToGrid w:val="0"/>
                <w:color w:val="auto"/>
                <w:kern w:val="0"/>
                <w:sz w:val="24"/>
                <w:highlight w:val="none"/>
                <w:lang w:val="en-US" w:eastAsia="zh-CN"/>
              </w:rPr>
            </w:pPr>
            <w:r>
              <w:rPr>
                <w:rFonts w:hint="eastAsia" w:cs="Times New Roman"/>
                <w:bCs/>
                <w:snapToGrid w:val="0"/>
                <w:color w:val="auto"/>
                <w:kern w:val="0"/>
                <w:sz w:val="24"/>
                <w:highlight w:val="none"/>
                <w:lang w:val="en-US" w:eastAsia="zh-CN"/>
              </w:rPr>
              <w:t>3、公用工程</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cs="Times New Roman"/>
                <w:bCs/>
                <w:snapToGrid w:val="0"/>
                <w:color w:val="auto"/>
                <w:kern w:val="0"/>
                <w:sz w:val="24"/>
                <w:highlight w:val="none"/>
                <w:lang w:val="en-US" w:eastAsia="zh-CN"/>
              </w:rPr>
            </w:pPr>
            <w:r>
              <w:rPr>
                <w:rFonts w:hint="eastAsia" w:cs="Times New Roman"/>
                <w:bCs/>
                <w:snapToGrid w:val="0"/>
                <w:color w:val="auto"/>
                <w:kern w:val="0"/>
                <w:sz w:val="24"/>
                <w:highlight w:val="none"/>
                <w:lang w:val="en-US" w:eastAsia="zh-CN"/>
              </w:rPr>
              <w:t>（1）给水</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cs="Times New Roman"/>
                <w:bCs/>
                <w:snapToGrid w:val="0"/>
                <w:color w:val="auto"/>
                <w:kern w:val="0"/>
                <w:sz w:val="24"/>
                <w:highlight w:val="none"/>
                <w:lang w:val="en-US" w:eastAsia="zh-CN"/>
              </w:rPr>
            </w:pPr>
            <w:r>
              <w:rPr>
                <w:rFonts w:hint="eastAsia" w:cs="Times New Roman"/>
                <w:bCs/>
                <w:snapToGrid w:val="0"/>
                <w:color w:val="auto"/>
                <w:kern w:val="0"/>
                <w:sz w:val="24"/>
                <w:highlight w:val="none"/>
                <w:lang w:val="en-US" w:eastAsia="zh-CN"/>
              </w:rPr>
              <w:t>项目运营期生产及生活用水依托</w:t>
            </w:r>
            <w:r>
              <w:rPr>
                <w:rFonts w:hint="eastAsia" w:cs="Times New Roman"/>
                <w:bCs/>
                <w:snapToGrid w:val="0"/>
                <w:color w:val="auto"/>
                <w:kern w:val="0"/>
                <w:sz w:val="24"/>
                <w:szCs w:val="24"/>
                <w:highlight w:val="none"/>
                <w:vertAlign w:val="baseline"/>
                <w:lang w:val="en-US" w:eastAsia="zh-CN"/>
              </w:rPr>
              <w:t>市政</w:t>
            </w:r>
            <w:r>
              <w:rPr>
                <w:rFonts w:hint="eastAsia" w:cs="Times New Roman"/>
                <w:bCs/>
                <w:snapToGrid w:val="0"/>
                <w:color w:val="auto"/>
                <w:kern w:val="0"/>
                <w:sz w:val="24"/>
                <w:highlight w:val="none"/>
                <w:lang w:val="en-US" w:eastAsia="zh-CN"/>
              </w:rPr>
              <w:t>给水管网供给，项目厂区内不设食宿，运营期用水主要为间接冷却用水及生活用水。</w:t>
            </w:r>
          </w:p>
          <w:p>
            <w:pPr>
              <w:spacing w:line="360" w:lineRule="auto"/>
              <w:ind w:firstLine="480" w:firstLineChars="200"/>
              <w:rPr>
                <w:rFonts w:hint="default" w:ascii="Times New Roman" w:hAnsi="Times New Roman" w:cs="Times New Roman"/>
                <w:color w:val="auto"/>
                <w:kern w:val="0"/>
                <w:sz w:val="24"/>
                <w:highlight w:val="none"/>
                <w:lang w:val="en-US" w:eastAsia="zh-CN"/>
              </w:rPr>
            </w:pPr>
            <w:r>
              <w:rPr>
                <w:rFonts w:hint="eastAsia" w:cs="Times New Roman"/>
                <w:bCs/>
                <w:snapToGrid w:val="0"/>
                <w:color w:val="auto"/>
                <w:kern w:val="0"/>
                <w:sz w:val="24"/>
                <w:highlight w:val="none"/>
                <w:lang w:val="en-US" w:eastAsia="zh-CN"/>
              </w:rPr>
              <w:t>①</w:t>
            </w:r>
            <w:r>
              <w:rPr>
                <w:rFonts w:hint="eastAsia" w:ascii="Times New Roman" w:hAnsi="Times New Roman" w:cs="Times New Roman"/>
                <w:color w:val="auto"/>
                <w:kern w:val="0"/>
                <w:sz w:val="24"/>
                <w:highlight w:val="none"/>
                <w:lang w:val="en-US" w:eastAsia="zh-CN"/>
              </w:rPr>
              <w:t>间接冷却用水</w:t>
            </w:r>
          </w:p>
          <w:p>
            <w:pPr>
              <w:spacing w:line="360" w:lineRule="auto"/>
              <w:ind w:firstLine="480" w:firstLineChars="200"/>
              <w:rPr>
                <w:rFonts w:hint="eastAsia" w:ascii="Times New Roman" w:hAnsi="Times New Roman"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项目在</w:t>
            </w:r>
            <w:r>
              <w:rPr>
                <w:rFonts w:hint="eastAsia" w:cs="Times New Roman"/>
                <w:color w:val="auto"/>
                <w:kern w:val="0"/>
                <w:sz w:val="24"/>
                <w:highlight w:val="none"/>
                <w:lang w:val="en-US" w:eastAsia="zh-CN"/>
              </w:rPr>
              <w:t>片材机、打杯机、多功能成型机及吸塑机</w:t>
            </w:r>
            <w:r>
              <w:rPr>
                <w:rFonts w:hint="eastAsia" w:ascii="Times New Roman" w:hAnsi="Times New Roman" w:cs="Times New Roman"/>
                <w:color w:val="auto"/>
                <w:kern w:val="0"/>
                <w:sz w:val="24"/>
                <w:highlight w:val="none"/>
                <w:lang w:val="en-US" w:eastAsia="zh-CN"/>
              </w:rPr>
              <w:t>尾部采取冷却循环水对产品进行间接冷却定型。</w:t>
            </w:r>
            <w:r>
              <w:rPr>
                <w:rFonts w:hint="eastAsia" w:cs="Times New Roman"/>
                <w:color w:val="auto"/>
                <w:kern w:val="0"/>
                <w:sz w:val="24"/>
                <w:highlight w:val="none"/>
                <w:lang w:val="en-US" w:eastAsia="zh-CN"/>
              </w:rPr>
              <w:t>加工</w:t>
            </w:r>
            <w:r>
              <w:rPr>
                <w:rFonts w:hint="eastAsia" w:ascii="Times New Roman" w:hAnsi="Times New Roman" w:cs="Times New Roman"/>
                <w:color w:val="auto"/>
                <w:kern w:val="0"/>
                <w:sz w:val="24"/>
                <w:highlight w:val="none"/>
                <w:lang w:val="en-US" w:eastAsia="zh-CN"/>
              </w:rPr>
              <w:t>完成</w:t>
            </w:r>
            <w:r>
              <w:rPr>
                <w:rFonts w:hint="eastAsia" w:cs="Times New Roman"/>
                <w:color w:val="auto"/>
                <w:kern w:val="0"/>
                <w:sz w:val="24"/>
                <w:highlight w:val="none"/>
                <w:lang w:val="en-US" w:eastAsia="zh-CN"/>
              </w:rPr>
              <w:t>的</w:t>
            </w:r>
            <w:r>
              <w:rPr>
                <w:rFonts w:hint="eastAsia" w:ascii="Times New Roman" w:hAnsi="Times New Roman" w:cs="Times New Roman"/>
                <w:color w:val="auto"/>
                <w:kern w:val="0"/>
                <w:sz w:val="24"/>
                <w:highlight w:val="none"/>
                <w:lang w:val="en-US" w:eastAsia="zh-CN"/>
              </w:rPr>
              <w:t>模具经循环冷却水（</w:t>
            </w:r>
            <w:r>
              <w:rPr>
                <w:rFonts w:hint="eastAsia" w:cs="Times New Roman"/>
                <w:color w:val="auto"/>
                <w:kern w:val="0"/>
                <w:sz w:val="24"/>
                <w:highlight w:val="none"/>
                <w:lang w:val="en-US" w:eastAsia="zh-CN"/>
              </w:rPr>
              <w:t>设备内</w:t>
            </w:r>
            <w:r>
              <w:rPr>
                <w:rFonts w:hint="eastAsia" w:ascii="Times New Roman" w:hAnsi="Times New Roman" w:cs="Times New Roman"/>
                <w:color w:val="auto"/>
                <w:kern w:val="0"/>
                <w:sz w:val="24"/>
                <w:highlight w:val="none"/>
                <w:lang w:val="en-US" w:eastAsia="zh-CN"/>
              </w:rPr>
              <w:t>配有冷却管道，冷却水在封闭的管路内通过热交换形式发挥作用，冷却介质不直接和被冷却物品接触，冷却水基本不会受到污染）进行冷却。</w:t>
            </w:r>
          </w:p>
          <w:p>
            <w:pPr>
              <w:spacing w:line="360" w:lineRule="auto"/>
              <w:ind w:firstLine="480" w:firstLineChars="200"/>
              <w:rPr>
                <w:rFonts w:hint="default" w:ascii="Times New Roman" w:hAnsi="Times New Roman"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项目</w:t>
            </w:r>
            <w:r>
              <w:rPr>
                <w:rFonts w:hint="eastAsia" w:cs="Times New Roman"/>
                <w:color w:val="auto"/>
                <w:kern w:val="0"/>
                <w:sz w:val="24"/>
                <w:highlight w:val="none"/>
                <w:lang w:val="en-US" w:eastAsia="zh-CN"/>
              </w:rPr>
              <w:t>共设置</w:t>
            </w:r>
            <w:r>
              <w:rPr>
                <w:rFonts w:hint="eastAsia" w:ascii="Times New Roman" w:hAnsi="Times New Roman" w:cs="Times New Roman"/>
                <w:color w:val="auto"/>
                <w:kern w:val="0"/>
                <w:sz w:val="24"/>
                <w:highlight w:val="none"/>
                <w:lang w:val="en-US" w:eastAsia="zh-CN"/>
              </w:rPr>
              <w:t>1座</w:t>
            </w:r>
            <w:r>
              <w:rPr>
                <w:rFonts w:hint="eastAsia" w:cs="Times New Roman"/>
                <w:color w:val="auto"/>
                <w:kern w:val="0"/>
                <w:sz w:val="24"/>
                <w:highlight w:val="none"/>
                <w:lang w:val="en-US" w:eastAsia="zh-CN"/>
              </w:rPr>
              <w:t>冷却水塔。</w:t>
            </w:r>
            <w:r>
              <w:rPr>
                <w:rFonts w:hint="eastAsia" w:ascii="Times New Roman" w:hAnsi="Times New Roman" w:cs="Times New Roman"/>
                <w:color w:val="auto"/>
                <w:kern w:val="0"/>
                <w:sz w:val="24"/>
                <w:highlight w:val="none"/>
                <w:lang w:val="en-US" w:eastAsia="zh-CN"/>
              </w:rPr>
              <w:t>循环水供应量为10m</w:t>
            </w:r>
            <w:r>
              <w:rPr>
                <w:rFonts w:hint="eastAsia" w:ascii="Times New Roman" w:hAnsi="Times New Roman" w:cs="Times New Roman"/>
                <w:color w:val="auto"/>
                <w:kern w:val="0"/>
                <w:sz w:val="24"/>
                <w:highlight w:val="none"/>
                <w:vertAlign w:val="superscript"/>
                <w:lang w:val="en-US" w:eastAsia="zh-CN"/>
              </w:rPr>
              <w:t>3</w:t>
            </w:r>
            <w:r>
              <w:rPr>
                <w:rFonts w:hint="eastAsia" w:ascii="Times New Roman" w:hAnsi="Times New Roman" w:cs="Times New Roman"/>
                <w:color w:val="auto"/>
                <w:kern w:val="0"/>
                <w:sz w:val="24"/>
                <w:highlight w:val="none"/>
                <w:lang w:val="en-US" w:eastAsia="zh-CN"/>
              </w:rPr>
              <w:t>/h的冷却塔，配套1座冷却循环水池</w:t>
            </w:r>
            <w:r>
              <w:rPr>
                <w:rFonts w:hint="default" w:ascii="Times New Roman" w:hAnsi="Times New Roman" w:cs="Times New Roman"/>
                <w:color w:val="auto"/>
                <w:kern w:val="0"/>
                <w:sz w:val="24"/>
                <w:highlight w:val="none"/>
                <w:lang w:val="en-US" w:eastAsia="zh-CN"/>
              </w:rPr>
              <w:t>（</w:t>
            </w:r>
            <w:r>
              <w:rPr>
                <w:rFonts w:hint="eastAsia" w:ascii="Times New Roman" w:hAnsi="Times New Roman" w:cs="Times New Roman"/>
                <w:color w:val="auto"/>
                <w:kern w:val="0"/>
                <w:sz w:val="24"/>
                <w:highlight w:val="none"/>
                <w:lang w:val="en-US" w:eastAsia="zh-CN"/>
              </w:rPr>
              <w:t>冷却塔下方，容积约15m</w:t>
            </w:r>
            <w:r>
              <w:rPr>
                <w:rFonts w:hint="eastAsia" w:ascii="Times New Roman" w:hAnsi="Times New Roman" w:cs="Times New Roman"/>
                <w:color w:val="auto"/>
                <w:kern w:val="0"/>
                <w:sz w:val="24"/>
                <w:highlight w:val="none"/>
                <w:vertAlign w:val="superscript"/>
                <w:lang w:val="en-US" w:eastAsia="zh-CN"/>
              </w:rPr>
              <w:t>3</w:t>
            </w:r>
            <w:r>
              <w:rPr>
                <w:rFonts w:hint="default" w:ascii="Times New Roman" w:hAnsi="Times New Roman" w:cs="Times New Roman"/>
                <w:color w:val="auto"/>
                <w:kern w:val="0"/>
                <w:sz w:val="24"/>
                <w:highlight w:val="none"/>
                <w:lang w:val="en-US" w:eastAsia="zh-CN"/>
              </w:rPr>
              <w:t>）</w:t>
            </w:r>
            <w:r>
              <w:rPr>
                <w:rFonts w:hint="eastAsia" w:ascii="Times New Roman" w:hAnsi="Times New Roman" w:cs="Times New Roman"/>
                <w:color w:val="auto"/>
                <w:kern w:val="0"/>
                <w:sz w:val="24"/>
                <w:highlight w:val="none"/>
                <w:lang w:val="en-US" w:eastAsia="zh-CN"/>
              </w:rPr>
              <w:t>，冷却水循环使用，不外排。</w:t>
            </w:r>
            <w:r>
              <w:rPr>
                <w:rFonts w:hint="default" w:ascii="Times New Roman" w:hAnsi="Times New Roman" w:cs="Times New Roman"/>
                <w:color w:val="auto"/>
                <w:kern w:val="0"/>
                <w:sz w:val="24"/>
                <w:highlight w:val="none"/>
                <w:lang w:val="en-US" w:eastAsia="zh-CN"/>
              </w:rPr>
              <w:t>冷却过程中会有一定量的损耗，根据建设单位提供资料，</w:t>
            </w:r>
            <w:r>
              <w:rPr>
                <w:rFonts w:hint="eastAsia" w:ascii="Times New Roman" w:hAnsi="Times New Roman" w:cs="Times New Roman"/>
                <w:color w:val="auto"/>
                <w:kern w:val="0"/>
                <w:sz w:val="24"/>
                <w:highlight w:val="none"/>
                <w:lang w:val="en-US" w:eastAsia="zh-CN"/>
              </w:rPr>
              <w:t>冷却循环</w:t>
            </w:r>
            <w:r>
              <w:rPr>
                <w:rFonts w:hint="default" w:ascii="Times New Roman" w:hAnsi="Times New Roman" w:cs="Times New Roman"/>
                <w:color w:val="auto"/>
                <w:kern w:val="0"/>
                <w:sz w:val="24"/>
                <w:highlight w:val="none"/>
                <w:lang w:val="en-US" w:eastAsia="zh-CN"/>
              </w:rPr>
              <w:t>水池设有每天定期补水，冷却系统循环水量约为</w:t>
            </w:r>
            <w:r>
              <w:rPr>
                <w:rFonts w:hint="eastAsia" w:cs="Times New Roman"/>
                <w:color w:val="auto"/>
                <w:kern w:val="0"/>
                <w:sz w:val="24"/>
                <w:highlight w:val="none"/>
                <w:lang w:val="en-US" w:eastAsia="zh-CN"/>
              </w:rPr>
              <w:t>8</w:t>
            </w:r>
            <w:r>
              <w:rPr>
                <w:rFonts w:hint="eastAsia" w:ascii="Times New Roman" w:hAnsi="Times New Roman" w:cs="Times New Roman"/>
                <w:color w:val="auto"/>
                <w:kern w:val="0"/>
                <w:sz w:val="24"/>
                <w:highlight w:val="none"/>
                <w:lang w:val="en-US" w:eastAsia="zh-CN"/>
              </w:rPr>
              <w:t>0</w:t>
            </w:r>
            <w:r>
              <w:rPr>
                <w:rFonts w:hint="default" w:ascii="Times New Roman" w:hAnsi="Times New Roman" w:cs="Times New Roman"/>
                <w:color w:val="auto"/>
                <w:kern w:val="0"/>
                <w:sz w:val="24"/>
                <w:highlight w:val="none"/>
                <w:lang w:val="en-US" w:eastAsia="zh-CN"/>
              </w:rPr>
              <w:t>m</w:t>
            </w:r>
            <w:r>
              <w:rPr>
                <w:rFonts w:hint="default" w:ascii="Times New Roman" w:hAnsi="Times New Roman" w:cs="Times New Roman"/>
                <w:color w:val="auto"/>
                <w:kern w:val="0"/>
                <w:sz w:val="24"/>
                <w:highlight w:val="none"/>
                <w:vertAlign w:val="superscript"/>
                <w:lang w:val="en-US" w:eastAsia="zh-CN"/>
              </w:rPr>
              <w:t>3</w:t>
            </w:r>
            <w:r>
              <w:rPr>
                <w:rFonts w:hint="default" w:ascii="Times New Roman" w:hAnsi="Times New Roman" w:cs="Times New Roman"/>
                <w:color w:val="auto"/>
                <w:kern w:val="0"/>
                <w:sz w:val="24"/>
                <w:highlight w:val="none"/>
                <w:lang w:val="en-US" w:eastAsia="zh-CN"/>
              </w:rPr>
              <w:t>/</w:t>
            </w:r>
            <w:r>
              <w:rPr>
                <w:rFonts w:hint="eastAsia" w:ascii="Times New Roman" w:hAnsi="Times New Roman" w:cs="Times New Roman"/>
                <w:color w:val="auto"/>
                <w:kern w:val="0"/>
                <w:sz w:val="24"/>
                <w:highlight w:val="none"/>
                <w:lang w:val="en-US" w:eastAsia="zh-CN"/>
              </w:rPr>
              <w:t>d</w:t>
            </w:r>
            <w:r>
              <w:rPr>
                <w:rFonts w:hint="default" w:ascii="Times New Roman" w:hAnsi="Times New Roman" w:cs="Times New Roman"/>
                <w:color w:val="auto"/>
                <w:kern w:val="0"/>
                <w:sz w:val="24"/>
                <w:highlight w:val="none"/>
                <w:lang w:val="en-US" w:eastAsia="zh-CN"/>
              </w:rPr>
              <w:t>，损耗量以循环水量的</w:t>
            </w:r>
            <w:r>
              <w:rPr>
                <w:rFonts w:hint="eastAsia" w:cs="Times New Roman"/>
                <w:color w:val="auto"/>
                <w:kern w:val="0"/>
                <w:sz w:val="24"/>
                <w:highlight w:val="none"/>
                <w:lang w:val="en-US" w:eastAsia="zh-CN"/>
              </w:rPr>
              <w:t>3</w:t>
            </w:r>
            <w:r>
              <w:rPr>
                <w:rFonts w:hint="default" w:ascii="Times New Roman" w:hAnsi="Times New Roman" w:cs="Times New Roman"/>
                <w:color w:val="auto"/>
                <w:kern w:val="0"/>
                <w:sz w:val="24"/>
                <w:highlight w:val="none"/>
                <w:lang w:val="en-US" w:eastAsia="zh-CN"/>
              </w:rPr>
              <w:t>%计，则本项目</w:t>
            </w:r>
            <w:r>
              <w:rPr>
                <w:rFonts w:hint="eastAsia" w:ascii="Times New Roman" w:hAnsi="Times New Roman" w:cs="Times New Roman"/>
                <w:color w:val="auto"/>
                <w:kern w:val="0"/>
                <w:sz w:val="24"/>
                <w:highlight w:val="none"/>
                <w:lang w:val="en-US" w:eastAsia="zh-CN"/>
              </w:rPr>
              <w:t>冷却循环水</w:t>
            </w:r>
            <w:r>
              <w:rPr>
                <w:rFonts w:hint="default" w:ascii="Times New Roman" w:hAnsi="Times New Roman" w:cs="Times New Roman"/>
                <w:color w:val="auto"/>
                <w:kern w:val="0"/>
                <w:sz w:val="24"/>
                <w:highlight w:val="none"/>
                <w:lang w:val="en-US" w:eastAsia="zh-CN"/>
              </w:rPr>
              <w:t>池循环水日损耗量为</w:t>
            </w:r>
            <w:r>
              <w:rPr>
                <w:rFonts w:hint="eastAsia" w:cs="Times New Roman"/>
                <w:color w:val="auto"/>
                <w:kern w:val="0"/>
                <w:sz w:val="24"/>
                <w:highlight w:val="none"/>
                <w:lang w:val="en-US" w:eastAsia="zh-CN"/>
              </w:rPr>
              <w:t>2.4</w:t>
            </w:r>
            <w:r>
              <w:rPr>
                <w:rFonts w:hint="default" w:ascii="Times New Roman" w:hAnsi="Times New Roman" w:cs="Times New Roman"/>
                <w:color w:val="auto"/>
                <w:kern w:val="0"/>
                <w:sz w:val="24"/>
                <w:highlight w:val="none"/>
                <w:lang w:val="en-US" w:eastAsia="zh-CN"/>
              </w:rPr>
              <w:t>m</w:t>
            </w:r>
            <w:r>
              <w:rPr>
                <w:rFonts w:hint="default" w:ascii="Times New Roman" w:hAnsi="Times New Roman" w:cs="Times New Roman"/>
                <w:color w:val="auto"/>
                <w:kern w:val="0"/>
                <w:sz w:val="24"/>
                <w:highlight w:val="none"/>
                <w:vertAlign w:val="superscript"/>
                <w:lang w:val="en-US" w:eastAsia="zh-CN"/>
              </w:rPr>
              <w:t>3</w:t>
            </w:r>
            <w:r>
              <w:rPr>
                <w:rFonts w:hint="default" w:ascii="Times New Roman" w:hAnsi="Times New Roman" w:cs="Times New Roman"/>
                <w:color w:val="auto"/>
                <w:kern w:val="0"/>
                <w:sz w:val="24"/>
                <w:highlight w:val="none"/>
                <w:lang w:val="en-US" w:eastAsia="zh-CN"/>
              </w:rPr>
              <w:t>/d。</w:t>
            </w:r>
          </w:p>
          <w:p>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②</w:t>
            </w:r>
            <w:r>
              <w:rPr>
                <w:rFonts w:hint="eastAsia" w:ascii="Times New Roman" w:hAnsi="Times New Roman" w:eastAsia="宋体" w:cs="Times New Roman"/>
                <w:color w:val="auto"/>
                <w:kern w:val="0"/>
                <w:sz w:val="24"/>
                <w:highlight w:val="none"/>
                <w:lang w:val="en-US" w:eastAsia="zh-CN"/>
              </w:rPr>
              <w:t>空压机含油废水</w:t>
            </w:r>
          </w:p>
          <w:p>
            <w:pPr>
              <w:spacing w:line="360" w:lineRule="auto"/>
              <w:ind w:firstLine="480" w:firstLineChars="200"/>
              <w:rPr>
                <w:rFonts w:hint="eastAsia" w:ascii="Times New Roman" w:hAnsi="Times New Roman" w:eastAsia="宋体" w:cs="Times New Roman"/>
                <w:color w:val="auto"/>
                <w:kern w:val="0"/>
                <w:sz w:val="24"/>
                <w:highlight w:val="yellow"/>
                <w:lang w:val="en-US" w:eastAsia="zh-CN"/>
              </w:rPr>
            </w:pPr>
            <w:r>
              <w:rPr>
                <w:rFonts w:hint="eastAsia" w:ascii="Times New Roman" w:hAnsi="Times New Roman" w:eastAsia="宋体" w:cs="Times New Roman"/>
                <w:color w:val="auto"/>
                <w:kern w:val="0"/>
                <w:sz w:val="24"/>
                <w:highlight w:val="none"/>
                <w:lang w:val="en-US" w:eastAsia="zh-CN"/>
              </w:rPr>
              <w:t>根据建设单位提供资料，项目设置2台螺杆式空压机提供生产所需压缩空气，该空压机将产生含油废水，含油废水产生量约为0.005m</w:t>
            </w:r>
            <w:r>
              <w:rPr>
                <w:rFonts w:hint="eastAsia" w:ascii="Times New Roman" w:hAnsi="Times New Roman" w:eastAsia="宋体" w:cs="Times New Roman"/>
                <w:color w:val="auto"/>
                <w:kern w:val="0"/>
                <w:sz w:val="24"/>
                <w:highlight w:val="none"/>
                <w:vertAlign w:val="superscript"/>
                <w:lang w:val="en-US" w:eastAsia="zh-CN"/>
              </w:rPr>
              <w:t>3</w:t>
            </w:r>
            <w:r>
              <w:rPr>
                <w:rFonts w:hint="eastAsia" w:ascii="Times New Roman" w:hAnsi="Times New Roman" w:eastAsia="宋体" w:cs="Times New Roman"/>
                <w:color w:val="auto"/>
                <w:kern w:val="0"/>
                <w:sz w:val="24"/>
                <w:highlight w:val="none"/>
                <w:lang w:val="en-US" w:eastAsia="zh-CN"/>
              </w:rPr>
              <w:t>/次，每月排放一次，则空压机含油废水排放量为0.06m</w:t>
            </w:r>
            <w:r>
              <w:rPr>
                <w:rFonts w:hint="eastAsia" w:ascii="Times New Roman" w:hAnsi="Times New Roman" w:eastAsia="宋体" w:cs="Times New Roman"/>
                <w:color w:val="auto"/>
                <w:kern w:val="0"/>
                <w:sz w:val="24"/>
                <w:highlight w:val="none"/>
                <w:vertAlign w:val="superscript"/>
                <w:lang w:val="en-US" w:eastAsia="zh-CN"/>
              </w:rPr>
              <w:t>3</w:t>
            </w:r>
            <w:r>
              <w:rPr>
                <w:rFonts w:hint="eastAsia" w:ascii="Times New Roman" w:hAnsi="Times New Roman" w:eastAsia="宋体" w:cs="Times New Roman"/>
                <w:color w:val="auto"/>
                <w:kern w:val="0"/>
                <w:sz w:val="24"/>
                <w:highlight w:val="none"/>
                <w:lang w:val="en-US" w:eastAsia="zh-CN"/>
              </w:rPr>
              <w:t>/a，主要污染物为石油类。</w:t>
            </w:r>
          </w:p>
          <w:p>
            <w:pPr>
              <w:spacing w:line="360" w:lineRule="auto"/>
              <w:ind w:firstLine="480" w:firstLineChars="200"/>
              <w:rPr>
                <w:rFonts w:hint="default" w:cs="Times New Roman"/>
                <w:color w:val="auto"/>
                <w:kern w:val="0"/>
                <w:sz w:val="24"/>
                <w:highlight w:val="none"/>
                <w:lang w:val="en-US" w:eastAsia="zh-CN"/>
              </w:rPr>
            </w:pPr>
            <w:r>
              <w:rPr>
                <w:rFonts w:hint="eastAsia" w:cs="Times New Roman"/>
                <w:color w:val="auto"/>
                <w:kern w:val="0"/>
                <w:sz w:val="24"/>
                <w:highlight w:val="none"/>
                <w:lang w:val="en-US" w:eastAsia="zh-CN"/>
              </w:rPr>
              <w:t>③地面清洁废水</w:t>
            </w:r>
          </w:p>
          <w:p>
            <w:pPr>
              <w:spacing w:line="360" w:lineRule="auto"/>
              <w:ind w:firstLine="480" w:firstLineChars="200"/>
              <w:rPr>
                <w:rFonts w:hint="default" w:cs="Times New Roman"/>
                <w:color w:val="auto"/>
                <w:kern w:val="0"/>
                <w:sz w:val="24"/>
                <w:highlight w:val="none"/>
                <w:lang w:val="en-US" w:eastAsia="zh-CN"/>
              </w:rPr>
            </w:pPr>
            <w:r>
              <w:rPr>
                <w:rFonts w:hint="eastAsia" w:cs="Times New Roman"/>
                <w:color w:val="auto"/>
                <w:kern w:val="0"/>
                <w:sz w:val="24"/>
                <w:highlight w:val="none"/>
                <w:lang w:val="en-US" w:eastAsia="zh-CN"/>
              </w:rPr>
              <w:t>运营期内，需每日对厂区生产区域进行地面清洁，需清洁的地坪面积约1400m</w:t>
            </w:r>
            <w:r>
              <w:rPr>
                <w:rFonts w:hint="eastAsia" w:cs="Times New Roman"/>
                <w:color w:val="auto"/>
                <w:kern w:val="0"/>
                <w:sz w:val="24"/>
                <w:highlight w:val="none"/>
                <w:vertAlign w:val="superscript"/>
                <w:lang w:val="en-US" w:eastAsia="zh-CN"/>
              </w:rPr>
              <w:t>2</w:t>
            </w:r>
            <w:r>
              <w:rPr>
                <w:rFonts w:hint="eastAsia" w:cs="Times New Roman"/>
                <w:color w:val="auto"/>
                <w:kern w:val="0"/>
                <w:sz w:val="24"/>
                <w:highlight w:val="none"/>
                <w:lang w:val="en-US" w:eastAsia="zh-CN"/>
              </w:rPr>
              <w:t>，</w:t>
            </w:r>
            <w:r>
              <w:rPr>
                <w:rFonts w:hint="eastAsia"/>
                <w:color w:val="auto"/>
                <w:sz w:val="24"/>
                <w:lang w:eastAsia="zh-CN"/>
              </w:rPr>
              <w:t>地面清洁</w:t>
            </w:r>
            <w:r>
              <w:rPr>
                <w:color w:val="auto"/>
                <w:sz w:val="24"/>
              </w:rPr>
              <w:t>用水量约</w:t>
            </w:r>
            <w:r>
              <w:rPr>
                <w:rFonts w:hint="eastAsia"/>
                <w:color w:val="auto"/>
                <w:sz w:val="24"/>
                <w:lang w:val="en-US" w:eastAsia="zh-CN"/>
              </w:rPr>
              <w:t>1</w:t>
            </w:r>
            <w:r>
              <w:rPr>
                <w:color w:val="auto"/>
                <w:sz w:val="24"/>
              </w:rPr>
              <w:t>L/m</w:t>
            </w:r>
            <w:r>
              <w:rPr>
                <w:color w:val="auto"/>
                <w:sz w:val="24"/>
                <w:vertAlign w:val="superscript"/>
              </w:rPr>
              <w:t>2</w:t>
            </w:r>
            <w:r>
              <w:rPr>
                <w:color w:val="auto"/>
                <w:sz w:val="24"/>
              </w:rPr>
              <w:t>，则本项目</w:t>
            </w:r>
            <w:r>
              <w:rPr>
                <w:rFonts w:hint="eastAsia"/>
                <w:color w:val="auto"/>
                <w:sz w:val="24"/>
                <w:lang w:eastAsia="zh-CN"/>
              </w:rPr>
              <w:t>地面清洁</w:t>
            </w:r>
            <w:r>
              <w:rPr>
                <w:color w:val="auto"/>
                <w:sz w:val="24"/>
              </w:rPr>
              <w:t>用水量约</w:t>
            </w:r>
            <w:r>
              <w:rPr>
                <w:rFonts w:hint="eastAsia"/>
                <w:color w:val="auto"/>
                <w:sz w:val="24"/>
                <w:lang w:val="en-US" w:eastAsia="zh-CN"/>
              </w:rPr>
              <w:t>1.4</w:t>
            </w:r>
            <w:r>
              <w:rPr>
                <w:color w:val="auto"/>
                <w:sz w:val="24"/>
              </w:rPr>
              <w:t>m</w:t>
            </w:r>
            <w:r>
              <w:rPr>
                <w:color w:val="auto"/>
                <w:sz w:val="24"/>
                <w:vertAlign w:val="superscript"/>
              </w:rPr>
              <w:t>3</w:t>
            </w:r>
            <w:r>
              <w:rPr>
                <w:color w:val="auto"/>
                <w:sz w:val="24"/>
              </w:rPr>
              <w:t>/</w:t>
            </w:r>
            <w:r>
              <w:rPr>
                <w:rFonts w:hint="eastAsia"/>
                <w:color w:val="auto"/>
                <w:sz w:val="24"/>
                <w:lang w:val="en-US" w:eastAsia="zh-CN"/>
              </w:rPr>
              <w:t>d</w:t>
            </w:r>
            <w:r>
              <w:rPr>
                <w:color w:val="auto"/>
                <w:sz w:val="24"/>
              </w:rPr>
              <w:t>（</w:t>
            </w:r>
            <w:r>
              <w:rPr>
                <w:rFonts w:hint="eastAsia"/>
                <w:color w:val="auto"/>
                <w:sz w:val="24"/>
                <w:lang w:val="en-US" w:eastAsia="zh-CN"/>
              </w:rPr>
              <w:t>364</w:t>
            </w:r>
            <w:r>
              <w:rPr>
                <w:color w:val="auto"/>
                <w:sz w:val="24"/>
              </w:rPr>
              <w:t>m</w:t>
            </w:r>
            <w:r>
              <w:rPr>
                <w:color w:val="auto"/>
                <w:sz w:val="24"/>
                <w:vertAlign w:val="superscript"/>
              </w:rPr>
              <w:t>3</w:t>
            </w:r>
            <w:r>
              <w:rPr>
                <w:color w:val="auto"/>
                <w:sz w:val="24"/>
              </w:rPr>
              <w:t>/a）</w:t>
            </w:r>
            <w:r>
              <w:rPr>
                <w:rFonts w:hint="eastAsia"/>
                <w:color w:val="auto"/>
                <w:sz w:val="24"/>
              </w:rPr>
              <w:t>，</w:t>
            </w:r>
            <w:r>
              <w:rPr>
                <w:color w:val="auto"/>
                <w:sz w:val="24"/>
              </w:rPr>
              <w:t>产污系数取0.9，则废水量约</w:t>
            </w:r>
            <w:r>
              <w:rPr>
                <w:rFonts w:hint="eastAsia"/>
                <w:color w:val="auto"/>
                <w:sz w:val="24"/>
                <w:lang w:val="en-US" w:eastAsia="zh-CN"/>
              </w:rPr>
              <w:t>1.26</w:t>
            </w:r>
            <w:r>
              <w:rPr>
                <w:color w:val="auto"/>
                <w:sz w:val="24"/>
              </w:rPr>
              <w:t>m</w:t>
            </w:r>
            <w:r>
              <w:rPr>
                <w:color w:val="auto"/>
                <w:sz w:val="24"/>
                <w:vertAlign w:val="superscript"/>
              </w:rPr>
              <w:t>3</w:t>
            </w:r>
            <w:r>
              <w:rPr>
                <w:color w:val="auto"/>
                <w:sz w:val="24"/>
              </w:rPr>
              <w:t>/</w:t>
            </w:r>
            <w:r>
              <w:rPr>
                <w:rFonts w:hint="eastAsia"/>
                <w:color w:val="auto"/>
                <w:sz w:val="24"/>
                <w:lang w:val="en-US" w:eastAsia="zh-CN"/>
              </w:rPr>
              <w:t>d</w:t>
            </w:r>
            <w:r>
              <w:rPr>
                <w:color w:val="auto"/>
                <w:sz w:val="24"/>
              </w:rPr>
              <w:t>（</w:t>
            </w:r>
            <w:r>
              <w:rPr>
                <w:rFonts w:hint="eastAsia"/>
                <w:color w:val="auto"/>
                <w:sz w:val="24"/>
                <w:lang w:val="en-US" w:eastAsia="zh-CN"/>
              </w:rPr>
              <w:t>327.6</w:t>
            </w:r>
            <w:r>
              <w:rPr>
                <w:color w:val="auto"/>
                <w:sz w:val="24"/>
              </w:rPr>
              <w:t>m</w:t>
            </w:r>
            <w:r>
              <w:rPr>
                <w:color w:val="auto"/>
                <w:sz w:val="24"/>
                <w:vertAlign w:val="superscript"/>
              </w:rPr>
              <w:t>3</w:t>
            </w:r>
            <w:r>
              <w:rPr>
                <w:color w:val="auto"/>
                <w:sz w:val="24"/>
              </w:rPr>
              <w:t>/a）。</w:t>
            </w:r>
          </w:p>
          <w:p>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④</w:t>
            </w:r>
            <w:r>
              <w:rPr>
                <w:rFonts w:hint="eastAsia" w:ascii="Times New Roman" w:hAnsi="Times New Roman" w:eastAsia="宋体" w:cs="Times New Roman"/>
                <w:color w:val="auto"/>
                <w:kern w:val="0"/>
                <w:sz w:val="24"/>
                <w:highlight w:val="none"/>
                <w:lang w:val="en-US" w:eastAsia="zh-CN"/>
              </w:rPr>
              <w:t>生活污水</w:t>
            </w:r>
          </w:p>
          <w:p>
            <w:pPr>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本项目劳动定员</w:t>
            </w:r>
            <w:r>
              <w:rPr>
                <w:rFonts w:hint="eastAsia" w:cs="Times New Roman"/>
                <w:color w:val="auto"/>
                <w:kern w:val="0"/>
                <w:sz w:val="24"/>
                <w:highlight w:val="none"/>
                <w:lang w:val="en-US" w:eastAsia="zh-CN"/>
              </w:rPr>
              <w:t>20</w:t>
            </w:r>
            <w:r>
              <w:rPr>
                <w:rFonts w:hint="eastAsia" w:ascii="Times New Roman" w:hAnsi="Times New Roman" w:cs="Times New Roman"/>
                <w:color w:val="auto"/>
                <w:kern w:val="0"/>
                <w:sz w:val="24"/>
                <w:highlight w:val="none"/>
                <w:lang w:val="en-US" w:eastAsia="zh-CN"/>
              </w:rPr>
              <w:t>人，厂区内不设食宿。</w:t>
            </w:r>
            <w:r>
              <w:rPr>
                <w:rFonts w:hint="eastAsia" w:ascii="Times New Roman" w:hAnsi="Times New Roman" w:eastAsia="宋体" w:cs="Times New Roman"/>
                <w:color w:val="auto"/>
                <w:sz w:val="24"/>
                <w:szCs w:val="24"/>
                <w:highlight w:val="none"/>
                <w:shd w:val="clear" w:color="auto" w:fill="auto"/>
                <w:lang w:val="en-US" w:eastAsia="zh-CN"/>
              </w:rPr>
              <w:t>根据《重市水利局重庆市城市管理委员会关于印发重庆市城市生活用水定额（2017年修订版）的通知》（渝水[2018]66号）、《建筑给水排水设计标准》(GB50015-2019)，非住宿员工生活用水量按照50L/人•d计，</w:t>
            </w:r>
            <w:r>
              <w:rPr>
                <w:rFonts w:hint="eastAsia" w:ascii="Times New Roman" w:hAnsi="Times New Roman" w:cs="Times New Roman"/>
                <w:color w:val="auto"/>
                <w:sz w:val="24"/>
                <w:szCs w:val="24"/>
                <w:highlight w:val="none"/>
                <w:shd w:val="clear" w:color="auto" w:fill="auto"/>
                <w:lang w:val="en-US" w:eastAsia="zh-CN"/>
              </w:rPr>
              <w:t>则项目</w:t>
            </w:r>
            <w:r>
              <w:rPr>
                <w:rFonts w:hint="eastAsia" w:ascii="Times New Roman" w:hAnsi="Times New Roman" w:eastAsia="宋体" w:cs="Times New Roman"/>
                <w:color w:val="auto"/>
                <w:sz w:val="24"/>
                <w:szCs w:val="24"/>
                <w:highlight w:val="none"/>
                <w:shd w:val="clear" w:color="auto" w:fill="auto"/>
                <w:lang w:val="en-US" w:eastAsia="zh-CN"/>
              </w:rPr>
              <w:t>生活用水量约为</w:t>
            </w:r>
            <w:r>
              <w:rPr>
                <w:rFonts w:hint="eastAsia" w:cs="Times New Roman"/>
                <w:color w:val="auto"/>
                <w:sz w:val="24"/>
                <w:szCs w:val="24"/>
                <w:highlight w:val="none"/>
                <w:shd w:val="clear" w:color="auto" w:fill="auto"/>
                <w:lang w:val="en-US" w:eastAsia="zh-CN"/>
              </w:rPr>
              <w:t>1</w:t>
            </w:r>
            <w:r>
              <w:rPr>
                <w:rFonts w:hint="default" w:ascii="Times New Roman" w:hAnsi="Times New Roman" w:eastAsia="宋体" w:cs="Times New Roman"/>
                <w:bCs/>
                <w:color w:val="auto"/>
                <w:sz w:val="24"/>
                <w:szCs w:val="24"/>
                <w:highlight w:val="none"/>
                <w:shd w:val="clear" w:color="auto" w:fill="auto"/>
              </w:rPr>
              <w:t>m</w:t>
            </w:r>
            <w:r>
              <w:rPr>
                <w:rFonts w:hint="default" w:ascii="Times New Roman" w:hAnsi="Times New Roman" w:eastAsia="宋体" w:cs="Times New Roman"/>
                <w:bCs/>
                <w:color w:val="auto"/>
                <w:sz w:val="24"/>
                <w:szCs w:val="24"/>
                <w:highlight w:val="none"/>
                <w:shd w:val="clear" w:color="auto" w:fill="auto"/>
                <w:vertAlign w:val="superscript"/>
              </w:rPr>
              <w:t>3</w:t>
            </w:r>
            <w:r>
              <w:rPr>
                <w:rFonts w:hint="default" w:ascii="Times New Roman" w:hAnsi="Times New Roman" w:eastAsia="宋体" w:cs="Times New Roman"/>
                <w:bCs/>
                <w:color w:val="auto"/>
                <w:sz w:val="24"/>
                <w:szCs w:val="24"/>
                <w:highlight w:val="none"/>
                <w:shd w:val="clear" w:color="auto" w:fill="auto"/>
              </w:rPr>
              <w:t>/d（</w:t>
            </w:r>
            <w:r>
              <w:rPr>
                <w:rFonts w:hint="eastAsia" w:cs="Times New Roman"/>
                <w:bCs/>
                <w:color w:val="auto"/>
                <w:sz w:val="24"/>
                <w:szCs w:val="24"/>
                <w:highlight w:val="none"/>
                <w:shd w:val="clear" w:color="auto" w:fill="auto"/>
                <w:lang w:val="en-US" w:eastAsia="zh-CN"/>
              </w:rPr>
              <w:t>260</w:t>
            </w:r>
            <w:r>
              <w:rPr>
                <w:rFonts w:hint="default" w:ascii="Times New Roman" w:hAnsi="Times New Roman" w:eastAsia="宋体" w:cs="Times New Roman"/>
                <w:bCs/>
                <w:color w:val="auto"/>
                <w:sz w:val="24"/>
                <w:szCs w:val="24"/>
                <w:highlight w:val="none"/>
                <w:shd w:val="clear" w:color="auto" w:fill="auto"/>
              </w:rPr>
              <w:t>m</w:t>
            </w:r>
            <w:r>
              <w:rPr>
                <w:rFonts w:hint="default" w:ascii="Times New Roman" w:hAnsi="Times New Roman" w:eastAsia="宋体" w:cs="Times New Roman"/>
                <w:bCs/>
                <w:color w:val="auto"/>
                <w:sz w:val="24"/>
                <w:szCs w:val="24"/>
                <w:highlight w:val="none"/>
                <w:shd w:val="clear" w:color="auto" w:fill="auto"/>
                <w:vertAlign w:val="superscript"/>
              </w:rPr>
              <w:t>3</w:t>
            </w:r>
            <w:r>
              <w:rPr>
                <w:rFonts w:hint="default" w:ascii="Times New Roman" w:hAnsi="Times New Roman" w:eastAsia="宋体" w:cs="Times New Roman"/>
                <w:bCs/>
                <w:color w:val="auto"/>
                <w:sz w:val="24"/>
                <w:szCs w:val="24"/>
                <w:highlight w:val="none"/>
                <w:shd w:val="clear" w:color="auto" w:fill="auto"/>
              </w:rPr>
              <w:t>/a）</w:t>
            </w:r>
            <w:r>
              <w:rPr>
                <w:rFonts w:hint="eastAsia" w:ascii="Times New Roman" w:hAnsi="Times New Roman" w:eastAsia="宋体" w:cs="Times New Roman"/>
                <w:bCs/>
                <w:color w:val="auto"/>
                <w:sz w:val="24"/>
                <w:szCs w:val="24"/>
                <w:highlight w:val="none"/>
                <w:shd w:val="clear" w:color="auto" w:fill="auto"/>
                <w:lang w:eastAsia="zh-CN"/>
              </w:rPr>
              <w:t>；</w:t>
            </w:r>
            <w:r>
              <w:rPr>
                <w:rFonts w:hint="default" w:ascii="Times New Roman" w:hAnsi="Times New Roman" w:eastAsia="宋体" w:cs="Times New Roman"/>
                <w:bCs/>
                <w:color w:val="auto"/>
                <w:sz w:val="24"/>
                <w:szCs w:val="24"/>
                <w:highlight w:val="none"/>
                <w:shd w:val="clear" w:color="auto" w:fill="auto"/>
              </w:rPr>
              <w:t>产污系数按0.9计，</w:t>
            </w:r>
            <w:r>
              <w:rPr>
                <w:rFonts w:hint="eastAsia" w:ascii="Times New Roman" w:hAnsi="Times New Roman" w:eastAsia="宋体" w:cs="Times New Roman"/>
                <w:bCs/>
                <w:color w:val="auto"/>
                <w:sz w:val="24"/>
                <w:szCs w:val="24"/>
                <w:highlight w:val="none"/>
                <w:shd w:val="clear" w:color="auto" w:fill="auto"/>
                <w:lang w:val="en-US" w:eastAsia="zh-CN"/>
              </w:rPr>
              <w:t>则员工生活污水</w:t>
            </w:r>
            <w:r>
              <w:rPr>
                <w:rFonts w:hint="default" w:ascii="Times New Roman" w:hAnsi="Times New Roman" w:eastAsia="宋体" w:cs="Times New Roman"/>
                <w:bCs/>
                <w:color w:val="auto"/>
                <w:sz w:val="24"/>
                <w:szCs w:val="24"/>
                <w:highlight w:val="none"/>
                <w:shd w:val="clear" w:color="auto" w:fill="auto"/>
              </w:rPr>
              <w:t>排放量为</w:t>
            </w:r>
            <w:r>
              <w:rPr>
                <w:rFonts w:hint="eastAsia" w:cs="Times New Roman"/>
                <w:bCs/>
                <w:color w:val="auto"/>
                <w:sz w:val="24"/>
                <w:szCs w:val="24"/>
                <w:highlight w:val="none"/>
                <w:shd w:val="clear" w:color="auto" w:fill="auto"/>
                <w:lang w:val="en-US" w:eastAsia="zh-CN"/>
              </w:rPr>
              <w:t>0.9</w:t>
            </w:r>
            <w:r>
              <w:rPr>
                <w:rFonts w:hint="default" w:ascii="Times New Roman" w:hAnsi="Times New Roman" w:eastAsia="宋体" w:cs="Times New Roman"/>
                <w:bCs/>
                <w:color w:val="auto"/>
                <w:sz w:val="24"/>
                <w:szCs w:val="24"/>
                <w:highlight w:val="none"/>
                <w:shd w:val="clear" w:color="auto" w:fill="auto"/>
              </w:rPr>
              <w:t>m</w:t>
            </w:r>
            <w:r>
              <w:rPr>
                <w:rFonts w:hint="default" w:ascii="Times New Roman" w:hAnsi="Times New Roman" w:eastAsia="宋体" w:cs="Times New Roman"/>
                <w:bCs/>
                <w:color w:val="auto"/>
                <w:sz w:val="24"/>
                <w:szCs w:val="24"/>
                <w:highlight w:val="none"/>
                <w:shd w:val="clear" w:color="auto" w:fill="auto"/>
                <w:vertAlign w:val="superscript"/>
              </w:rPr>
              <w:t>3</w:t>
            </w:r>
            <w:r>
              <w:rPr>
                <w:rFonts w:hint="default" w:ascii="Times New Roman" w:hAnsi="Times New Roman" w:eastAsia="宋体" w:cs="Times New Roman"/>
                <w:bCs/>
                <w:color w:val="auto"/>
                <w:sz w:val="24"/>
                <w:szCs w:val="24"/>
                <w:highlight w:val="none"/>
                <w:shd w:val="clear" w:color="auto" w:fill="auto"/>
              </w:rPr>
              <w:t>/d（</w:t>
            </w:r>
            <w:r>
              <w:rPr>
                <w:rFonts w:hint="eastAsia" w:cs="Times New Roman"/>
                <w:bCs/>
                <w:color w:val="auto"/>
                <w:sz w:val="24"/>
                <w:szCs w:val="24"/>
                <w:highlight w:val="none"/>
                <w:shd w:val="clear" w:color="auto" w:fill="auto"/>
                <w:lang w:val="en-US" w:eastAsia="zh-CN"/>
              </w:rPr>
              <w:t>234</w:t>
            </w:r>
            <w:r>
              <w:rPr>
                <w:rFonts w:hint="default" w:ascii="Times New Roman" w:hAnsi="Times New Roman" w:eastAsia="宋体" w:cs="Times New Roman"/>
                <w:bCs/>
                <w:color w:val="auto"/>
                <w:sz w:val="24"/>
                <w:szCs w:val="24"/>
                <w:highlight w:val="none"/>
                <w:shd w:val="clear" w:color="auto" w:fill="auto"/>
              </w:rPr>
              <w:t>m</w:t>
            </w:r>
            <w:r>
              <w:rPr>
                <w:rFonts w:hint="default" w:ascii="Times New Roman" w:hAnsi="Times New Roman" w:eastAsia="宋体" w:cs="Times New Roman"/>
                <w:bCs/>
                <w:color w:val="auto"/>
                <w:sz w:val="24"/>
                <w:szCs w:val="24"/>
                <w:highlight w:val="none"/>
                <w:shd w:val="clear" w:color="auto" w:fill="auto"/>
                <w:vertAlign w:val="superscript"/>
              </w:rPr>
              <w:t>3</w:t>
            </w:r>
            <w:r>
              <w:rPr>
                <w:rFonts w:hint="default" w:ascii="Times New Roman" w:hAnsi="Times New Roman" w:eastAsia="宋体" w:cs="Times New Roman"/>
                <w:bCs/>
                <w:color w:val="auto"/>
                <w:sz w:val="24"/>
                <w:szCs w:val="24"/>
                <w:highlight w:val="none"/>
                <w:shd w:val="clear" w:color="auto" w:fill="auto"/>
              </w:rPr>
              <w:t>/a）</w:t>
            </w:r>
            <w:r>
              <w:rPr>
                <w:rFonts w:hint="eastAsia" w:cs="Times New Roman"/>
                <w:bCs/>
                <w:color w:val="auto"/>
                <w:sz w:val="24"/>
                <w:szCs w:val="24"/>
                <w:highlight w:val="none"/>
                <w:shd w:val="clear" w:color="auto" w:fill="auto"/>
                <w:lang w:val="en-US" w:eastAsia="zh-CN"/>
              </w:rPr>
              <w:t>。</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snapToGrid w:val="0"/>
                <w:color w:val="auto"/>
                <w:kern w:val="0"/>
                <w:sz w:val="24"/>
                <w:highlight w:val="none"/>
                <w:lang w:val="en-US" w:eastAsia="zh-CN"/>
              </w:rPr>
            </w:pPr>
            <w:r>
              <w:rPr>
                <w:rFonts w:hint="eastAsia" w:ascii="Times New Roman" w:hAnsi="Times New Roman" w:eastAsia="宋体" w:cs="Times New Roman"/>
                <w:bCs/>
                <w:snapToGrid w:val="0"/>
                <w:color w:val="auto"/>
                <w:kern w:val="0"/>
                <w:sz w:val="24"/>
                <w:highlight w:val="none"/>
                <w:lang w:val="en-US" w:eastAsia="zh-CN"/>
              </w:rPr>
              <w:t>项目用水、排水情况见下表。</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Times New Roman"/>
                <w:bCs/>
                <w:snapToGrid w:val="0"/>
                <w:color w:val="auto"/>
                <w:kern w:val="0"/>
                <w:sz w:val="24"/>
                <w:highlight w:val="yellow"/>
                <w:lang w:val="en-US" w:eastAsia="zh-CN"/>
              </w:rPr>
            </w:pPr>
            <w:r>
              <w:rPr>
                <w:rFonts w:hint="eastAsia" w:ascii="Times New Roman" w:hAnsi="Times New Roman" w:eastAsia="宋体" w:cs="Times New Roman"/>
                <w:bCs/>
                <w:snapToGrid w:val="0"/>
                <w:color w:val="auto"/>
                <w:kern w:val="0"/>
                <w:sz w:val="24"/>
                <w:highlight w:val="none"/>
                <w:lang w:val="en-US" w:eastAsia="zh-CN"/>
              </w:rPr>
              <w:t>表2-2  项目用水、排水情况表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498"/>
              <w:gridCol w:w="795"/>
              <w:gridCol w:w="1086"/>
              <w:gridCol w:w="897"/>
              <w:gridCol w:w="1034"/>
              <w:gridCol w:w="811"/>
              <w:gridCol w:w="844"/>
              <w:gridCol w:w="1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vMerge w:val="restart"/>
                  <w:noWrap w:val="0"/>
                  <w:vAlign w:val="center"/>
                </w:tcPr>
                <w:p>
                  <w:pPr>
                    <w:adjustRightInd w:val="0"/>
                    <w:snapToGrid w:val="0"/>
                    <w:jc w:val="center"/>
                    <w:textAlignment w:val="center"/>
                    <w:rPr>
                      <w:b/>
                      <w:color w:val="auto"/>
                      <w:szCs w:val="21"/>
                      <w:highlight w:val="none"/>
                    </w:rPr>
                  </w:pPr>
                  <w:r>
                    <w:rPr>
                      <w:b/>
                      <w:color w:val="auto"/>
                      <w:szCs w:val="21"/>
                      <w:highlight w:val="none"/>
                    </w:rPr>
                    <w:t>序号</w:t>
                  </w:r>
                </w:p>
              </w:tc>
              <w:tc>
                <w:tcPr>
                  <w:tcW w:w="891" w:type="pct"/>
                  <w:vMerge w:val="restart"/>
                  <w:noWrap w:val="0"/>
                  <w:vAlign w:val="center"/>
                </w:tcPr>
                <w:p>
                  <w:pPr>
                    <w:adjustRightInd w:val="0"/>
                    <w:snapToGrid w:val="0"/>
                    <w:jc w:val="center"/>
                    <w:textAlignment w:val="center"/>
                    <w:rPr>
                      <w:b/>
                      <w:color w:val="auto"/>
                      <w:szCs w:val="21"/>
                      <w:highlight w:val="none"/>
                    </w:rPr>
                  </w:pPr>
                  <w:r>
                    <w:rPr>
                      <w:b/>
                      <w:color w:val="auto"/>
                      <w:szCs w:val="21"/>
                      <w:highlight w:val="none"/>
                    </w:rPr>
                    <w:t>类别</w:t>
                  </w:r>
                </w:p>
              </w:tc>
              <w:tc>
                <w:tcPr>
                  <w:tcW w:w="472" w:type="pct"/>
                  <w:vMerge w:val="restart"/>
                  <w:noWrap w:val="0"/>
                  <w:vAlign w:val="center"/>
                </w:tcPr>
                <w:p>
                  <w:pPr>
                    <w:adjustRightInd w:val="0"/>
                    <w:snapToGrid w:val="0"/>
                    <w:jc w:val="center"/>
                    <w:textAlignment w:val="center"/>
                    <w:rPr>
                      <w:b/>
                      <w:color w:val="auto"/>
                      <w:szCs w:val="21"/>
                      <w:highlight w:val="none"/>
                    </w:rPr>
                  </w:pPr>
                  <w:r>
                    <w:rPr>
                      <w:b/>
                      <w:color w:val="auto"/>
                      <w:szCs w:val="21"/>
                      <w:highlight w:val="none"/>
                    </w:rPr>
                    <w:t>指标</w:t>
                  </w:r>
                </w:p>
              </w:tc>
              <w:tc>
                <w:tcPr>
                  <w:tcW w:w="646" w:type="pct"/>
                  <w:vMerge w:val="restart"/>
                  <w:noWrap w:val="0"/>
                  <w:vAlign w:val="center"/>
                </w:tcPr>
                <w:p>
                  <w:pPr>
                    <w:adjustRightInd w:val="0"/>
                    <w:snapToGrid w:val="0"/>
                    <w:jc w:val="center"/>
                    <w:textAlignment w:val="center"/>
                    <w:rPr>
                      <w:b/>
                      <w:color w:val="auto"/>
                      <w:szCs w:val="21"/>
                      <w:highlight w:val="none"/>
                    </w:rPr>
                  </w:pPr>
                  <w:r>
                    <w:rPr>
                      <w:b/>
                      <w:color w:val="auto"/>
                      <w:szCs w:val="21"/>
                      <w:highlight w:val="none"/>
                    </w:rPr>
                    <w:t>用水指标</w:t>
                  </w:r>
                </w:p>
              </w:tc>
              <w:tc>
                <w:tcPr>
                  <w:tcW w:w="1148" w:type="pct"/>
                  <w:gridSpan w:val="2"/>
                  <w:noWrap w:val="0"/>
                  <w:vAlign w:val="center"/>
                </w:tcPr>
                <w:p>
                  <w:pPr>
                    <w:adjustRightInd w:val="0"/>
                    <w:snapToGrid w:val="0"/>
                    <w:jc w:val="center"/>
                    <w:textAlignment w:val="center"/>
                    <w:rPr>
                      <w:b/>
                      <w:color w:val="auto"/>
                      <w:szCs w:val="21"/>
                      <w:highlight w:val="none"/>
                    </w:rPr>
                  </w:pPr>
                  <w:r>
                    <w:rPr>
                      <w:rFonts w:hint="eastAsia"/>
                      <w:b/>
                      <w:color w:val="auto"/>
                      <w:szCs w:val="21"/>
                      <w:highlight w:val="none"/>
                      <w:lang w:val="en-US" w:eastAsia="zh-CN"/>
                    </w:rPr>
                    <w:t>最大</w:t>
                  </w:r>
                  <w:r>
                    <w:rPr>
                      <w:b/>
                      <w:color w:val="auto"/>
                      <w:szCs w:val="21"/>
                      <w:highlight w:val="none"/>
                    </w:rPr>
                    <w:t>用水量</w:t>
                  </w:r>
                </w:p>
              </w:tc>
              <w:tc>
                <w:tcPr>
                  <w:tcW w:w="482" w:type="pct"/>
                  <w:vMerge w:val="restart"/>
                  <w:noWrap w:val="0"/>
                  <w:vAlign w:val="center"/>
                </w:tcPr>
                <w:p>
                  <w:pPr>
                    <w:adjustRightInd w:val="0"/>
                    <w:snapToGrid w:val="0"/>
                    <w:jc w:val="center"/>
                    <w:rPr>
                      <w:b/>
                      <w:color w:val="auto"/>
                      <w:szCs w:val="21"/>
                      <w:highlight w:val="none"/>
                      <w:lang w:bidi="ar"/>
                    </w:rPr>
                  </w:pPr>
                  <w:r>
                    <w:rPr>
                      <w:b/>
                      <w:color w:val="auto"/>
                      <w:szCs w:val="21"/>
                      <w:highlight w:val="none"/>
                    </w:rPr>
                    <w:t>排污系数</w:t>
                  </w:r>
                </w:p>
              </w:tc>
              <w:tc>
                <w:tcPr>
                  <w:tcW w:w="1102" w:type="pct"/>
                  <w:gridSpan w:val="2"/>
                  <w:noWrap w:val="0"/>
                  <w:vAlign w:val="center"/>
                </w:tcPr>
                <w:p>
                  <w:pPr>
                    <w:adjustRightInd w:val="0"/>
                    <w:snapToGrid w:val="0"/>
                    <w:jc w:val="center"/>
                    <w:rPr>
                      <w:b/>
                      <w:color w:val="auto"/>
                      <w:szCs w:val="21"/>
                      <w:highlight w:val="none"/>
                      <w:lang w:bidi="ar"/>
                    </w:rPr>
                  </w:pPr>
                  <w:r>
                    <w:rPr>
                      <w:rFonts w:hint="eastAsia"/>
                      <w:b/>
                      <w:color w:val="auto"/>
                      <w:szCs w:val="21"/>
                      <w:highlight w:val="none"/>
                      <w:lang w:val="en-US" w:eastAsia="zh-CN"/>
                    </w:rPr>
                    <w:t>最大</w:t>
                  </w:r>
                  <w:r>
                    <w:rPr>
                      <w:b/>
                      <w:color w:val="auto"/>
                      <w:szCs w:val="21"/>
                      <w:highlight w:val="none"/>
                    </w:rPr>
                    <w:t>排水量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vMerge w:val="continue"/>
                  <w:noWrap w:val="0"/>
                  <w:vAlign w:val="center"/>
                </w:tcPr>
                <w:p>
                  <w:pPr>
                    <w:adjustRightInd w:val="0"/>
                    <w:snapToGrid w:val="0"/>
                    <w:jc w:val="center"/>
                    <w:rPr>
                      <w:b/>
                      <w:color w:val="auto"/>
                      <w:szCs w:val="21"/>
                      <w:highlight w:val="none"/>
                      <w:lang w:bidi="ar"/>
                    </w:rPr>
                  </w:pPr>
                </w:p>
              </w:tc>
              <w:tc>
                <w:tcPr>
                  <w:tcW w:w="891" w:type="pct"/>
                  <w:vMerge w:val="continue"/>
                  <w:noWrap w:val="0"/>
                  <w:vAlign w:val="center"/>
                </w:tcPr>
                <w:p>
                  <w:pPr>
                    <w:adjustRightInd w:val="0"/>
                    <w:snapToGrid w:val="0"/>
                    <w:jc w:val="center"/>
                    <w:rPr>
                      <w:b/>
                      <w:color w:val="auto"/>
                      <w:szCs w:val="21"/>
                      <w:highlight w:val="none"/>
                      <w:lang w:bidi="ar"/>
                    </w:rPr>
                  </w:pPr>
                </w:p>
              </w:tc>
              <w:tc>
                <w:tcPr>
                  <w:tcW w:w="472" w:type="pct"/>
                  <w:vMerge w:val="continue"/>
                  <w:noWrap w:val="0"/>
                  <w:vAlign w:val="center"/>
                </w:tcPr>
                <w:p>
                  <w:pPr>
                    <w:adjustRightInd w:val="0"/>
                    <w:snapToGrid w:val="0"/>
                    <w:jc w:val="center"/>
                    <w:rPr>
                      <w:b/>
                      <w:color w:val="auto"/>
                      <w:szCs w:val="21"/>
                      <w:highlight w:val="none"/>
                      <w:lang w:bidi="ar"/>
                    </w:rPr>
                  </w:pPr>
                </w:p>
              </w:tc>
              <w:tc>
                <w:tcPr>
                  <w:tcW w:w="646" w:type="pct"/>
                  <w:vMerge w:val="continue"/>
                  <w:noWrap w:val="0"/>
                  <w:vAlign w:val="center"/>
                </w:tcPr>
                <w:p>
                  <w:pPr>
                    <w:adjustRightInd w:val="0"/>
                    <w:snapToGrid w:val="0"/>
                    <w:jc w:val="center"/>
                    <w:rPr>
                      <w:b/>
                      <w:color w:val="auto"/>
                      <w:szCs w:val="21"/>
                      <w:highlight w:val="none"/>
                      <w:lang w:bidi="ar"/>
                    </w:rPr>
                  </w:pPr>
                </w:p>
              </w:tc>
              <w:tc>
                <w:tcPr>
                  <w:tcW w:w="533" w:type="pct"/>
                  <w:noWrap w:val="0"/>
                  <w:vAlign w:val="center"/>
                </w:tcPr>
                <w:p>
                  <w:pPr>
                    <w:adjustRightInd w:val="0"/>
                    <w:snapToGrid w:val="0"/>
                    <w:jc w:val="center"/>
                    <w:textAlignment w:val="center"/>
                    <w:rPr>
                      <w:b/>
                      <w:color w:val="auto"/>
                      <w:szCs w:val="21"/>
                      <w:highlight w:val="none"/>
                    </w:rPr>
                  </w:pPr>
                  <w:r>
                    <w:rPr>
                      <w:b/>
                      <w:color w:val="auto"/>
                      <w:szCs w:val="21"/>
                      <w:highlight w:val="none"/>
                    </w:rPr>
                    <w:t>(m</w:t>
                  </w:r>
                  <w:r>
                    <w:rPr>
                      <w:b/>
                      <w:color w:val="auto"/>
                      <w:szCs w:val="21"/>
                      <w:highlight w:val="none"/>
                      <w:vertAlign w:val="superscript"/>
                    </w:rPr>
                    <w:t>3</w:t>
                  </w:r>
                  <w:r>
                    <w:rPr>
                      <w:b/>
                      <w:color w:val="auto"/>
                      <w:szCs w:val="21"/>
                      <w:highlight w:val="none"/>
                    </w:rPr>
                    <w:t>/d)</w:t>
                  </w:r>
                </w:p>
              </w:tc>
              <w:tc>
                <w:tcPr>
                  <w:tcW w:w="615" w:type="pct"/>
                  <w:noWrap w:val="0"/>
                  <w:vAlign w:val="center"/>
                </w:tcPr>
                <w:p>
                  <w:pPr>
                    <w:adjustRightInd w:val="0"/>
                    <w:snapToGrid w:val="0"/>
                    <w:jc w:val="center"/>
                    <w:textAlignment w:val="center"/>
                    <w:rPr>
                      <w:b/>
                      <w:color w:val="auto"/>
                      <w:szCs w:val="21"/>
                      <w:highlight w:val="none"/>
                    </w:rPr>
                  </w:pPr>
                  <w:r>
                    <w:rPr>
                      <w:b/>
                      <w:color w:val="auto"/>
                      <w:szCs w:val="21"/>
                      <w:highlight w:val="none"/>
                    </w:rPr>
                    <w:t>(m</w:t>
                  </w:r>
                  <w:r>
                    <w:rPr>
                      <w:b/>
                      <w:color w:val="auto"/>
                      <w:szCs w:val="21"/>
                      <w:highlight w:val="none"/>
                      <w:vertAlign w:val="superscript"/>
                    </w:rPr>
                    <w:t>3</w:t>
                  </w:r>
                  <w:r>
                    <w:rPr>
                      <w:b/>
                      <w:color w:val="auto"/>
                      <w:szCs w:val="21"/>
                      <w:highlight w:val="none"/>
                    </w:rPr>
                    <w:t>/a)</w:t>
                  </w:r>
                </w:p>
              </w:tc>
              <w:tc>
                <w:tcPr>
                  <w:tcW w:w="482" w:type="pct"/>
                  <w:vMerge w:val="continue"/>
                  <w:noWrap w:val="0"/>
                  <w:vAlign w:val="center"/>
                </w:tcPr>
                <w:p>
                  <w:pPr>
                    <w:adjustRightInd w:val="0"/>
                    <w:snapToGrid w:val="0"/>
                    <w:jc w:val="center"/>
                    <w:rPr>
                      <w:b/>
                      <w:color w:val="auto"/>
                      <w:szCs w:val="21"/>
                      <w:highlight w:val="none"/>
                      <w:lang w:bidi="ar"/>
                    </w:rPr>
                  </w:pPr>
                </w:p>
              </w:tc>
              <w:tc>
                <w:tcPr>
                  <w:tcW w:w="502" w:type="pct"/>
                  <w:noWrap w:val="0"/>
                  <w:vAlign w:val="center"/>
                </w:tcPr>
                <w:p>
                  <w:pPr>
                    <w:adjustRightInd w:val="0"/>
                    <w:snapToGrid w:val="0"/>
                    <w:jc w:val="center"/>
                    <w:rPr>
                      <w:b/>
                      <w:color w:val="auto"/>
                      <w:szCs w:val="21"/>
                      <w:highlight w:val="none"/>
                      <w:lang w:bidi="ar"/>
                    </w:rPr>
                  </w:pPr>
                  <w:r>
                    <w:rPr>
                      <w:b/>
                      <w:color w:val="auto"/>
                      <w:szCs w:val="21"/>
                      <w:highlight w:val="none"/>
                    </w:rPr>
                    <w:t>(m</w:t>
                  </w:r>
                  <w:r>
                    <w:rPr>
                      <w:b/>
                      <w:color w:val="auto"/>
                      <w:szCs w:val="21"/>
                      <w:highlight w:val="none"/>
                      <w:vertAlign w:val="superscript"/>
                    </w:rPr>
                    <w:t>3</w:t>
                  </w:r>
                  <w:r>
                    <w:rPr>
                      <w:b/>
                      <w:color w:val="auto"/>
                      <w:szCs w:val="21"/>
                      <w:highlight w:val="none"/>
                    </w:rPr>
                    <w:t>/d)</w:t>
                  </w:r>
                </w:p>
              </w:tc>
              <w:tc>
                <w:tcPr>
                  <w:tcW w:w="600" w:type="pct"/>
                  <w:noWrap w:val="0"/>
                  <w:vAlign w:val="center"/>
                </w:tcPr>
                <w:p>
                  <w:pPr>
                    <w:adjustRightInd w:val="0"/>
                    <w:snapToGrid w:val="0"/>
                    <w:jc w:val="center"/>
                    <w:rPr>
                      <w:b/>
                      <w:color w:val="auto"/>
                      <w:szCs w:val="21"/>
                      <w:highlight w:val="none"/>
                      <w:lang w:bidi="ar"/>
                    </w:rPr>
                  </w:pPr>
                  <w:r>
                    <w:rPr>
                      <w:b/>
                      <w:color w:val="auto"/>
                      <w:szCs w:val="21"/>
                      <w:highlight w:val="none"/>
                    </w:rPr>
                    <w:t>(m</w:t>
                  </w:r>
                  <w:r>
                    <w:rPr>
                      <w:b/>
                      <w:color w:val="auto"/>
                      <w:szCs w:val="21"/>
                      <w:highlight w:val="none"/>
                      <w:vertAlign w:val="superscript"/>
                    </w:rPr>
                    <w:t>3</w:t>
                  </w:r>
                  <w:r>
                    <w:rPr>
                      <w:b/>
                      <w:color w:val="auto"/>
                      <w:szCs w:val="21"/>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noWrap w:val="0"/>
                  <w:vAlign w:val="center"/>
                </w:tcPr>
                <w:p>
                  <w:pPr>
                    <w:adjustRightInd w:val="0"/>
                    <w:snapToGrid w:val="0"/>
                    <w:jc w:val="center"/>
                    <w:textAlignment w:val="center"/>
                    <w:rPr>
                      <w:rFonts w:hint="eastAsia"/>
                      <w:color w:val="auto"/>
                      <w:szCs w:val="21"/>
                      <w:highlight w:val="none"/>
                      <w:lang w:val="en-US" w:eastAsia="zh-CN"/>
                    </w:rPr>
                  </w:pPr>
                  <w:r>
                    <w:rPr>
                      <w:rFonts w:hint="eastAsia"/>
                      <w:color w:val="auto"/>
                      <w:szCs w:val="21"/>
                      <w:highlight w:val="none"/>
                      <w:lang w:val="en-US" w:eastAsia="zh-CN"/>
                    </w:rPr>
                    <w:t>1</w:t>
                  </w:r>
                </w:p>
              </w:tc>
              <w:tc>
                <w:tcPr>
                  <w:tcW w:w="891" w:type="pct"/>
                  <w:noWrap w:val="0"/>
                  <w:vAlign w:val="center"/>
                </w:tcPr>
                <w:p>
                  <w:pPr>
                    <w:adjustRightInd w:val="0"/>
                    <w:snapToGrid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间接冷却用水</w:t>
                  </w:r>
                </w:p>
              </w:tc>
              <w:tc>
                <w:tcPr>
                  <w:tcW w:w="1118" w:type="pct"/>
                  <w:gridSpan w:val="2"/>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10m</w:t>
                  </w:r>
                  <w:r>
                    <w:rPr>
                      <w:rFonts w:hint="eastAsia" w:ascii="Times New Roman" w:hAnsi="Times New Roman" w:cs="Times New Roman"/>
                      <w:color w:val="auto"/>
                      <w:kern w:val="0"/>
                      <w:sz w:val="21"/>
                      <w:szCs w:val="21"/>
                      <w:highlight w:val="none"/>
                      <w:vertAlign w:val="superscript"/>
                      <w:lang w:val="en-US" w:eastAsia="zh-CN"/>
                    </w:rPr>
                    <w:t>3</w:t>
                  </w:r>
                  <w:r>
                    <w:rPr>
                      <w:rFonts w:hint="eastAsia" w:ascii="Times New Roman" w:hAnsi="Times New Roman" w:cs="Times New Roman"/>
                      <w:color w:val="auto"/>
                      <w:kern w:val="0"/>
                      <w:sz w:val="21"/>
                      <w:szCs w:val="21"/>
                      <w:highlight w:val="none"/>
                      <w:lang w:val="en-US" w:eastAsia="zh-CN"/>
                    </w:rPr>
                    <w:t>/h</w:t>
                  </w:r>
                </w:p>
              </w:tc>
              <w:tc>
                <w:tcPr>
                  <w:tcW w:w="533" w:type="pct"/>
                  <w:noWrap w:val="0"/>
                  <w:vAlign w:val="center"/>
                </w:tcPr>
                <w:p>
                  <w:pPr>
                    <w:adjustRightInd w:val="0"/>
                    <w:snapToGrid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2.4</w:t>
                  </w:r>
                </w:p>
              </w:tc>
              <w:tc>
                <w:tcPr>
                  <w:tcW w:w="615"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624</w:t>
                  </w:r>
                </w:p>
              </w:tc>
              <w:tc>
                <w:tcPr>
                  <w:tcW w:w="1585" w:type="pct"/>
                  <w:gridSpan w:val="3"/>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循环使用，不外排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noWrap w:val="0"/>
                  <w:vAlign w:val="center"/>
                </w:tcPr>
                <w:p>
                  <w:pPr>
                    <w:adjustRightInd w:val="0"/>
                    <w:snapToGrid w:val="0"/>
                    <w:jc w:val="center"/>
                    <w:textAlignment w:val="center"/>
                    <w:rPr>
                      <w:rFonts w:hint="default"/>
                      <w:color w:val="auto"/>
                      <w:szCs w:val="21"/>
                      <w:highlight w:val="none"/>
                      <w:lang w:val="en-US" w:eastAsia="zh-CN"/>
                    </w:rPr>
                  </w:pPr>
                  <w:r>
                    <w:rPr>
                      <w:rFonts w:hint="eastAsia"/>
                      <w:color w:val="auto"/>
                      <w:szCs w:val="21"/>
                      <w:highlight w:val="none"/>
                      <w:lang w:val="en-US" w:eastAsia="zh-CN"/>
                    </w:rPr>
                    <w:t>2</w:t>
                  </w:r>
                </w:p>
              </w:tc>
              <w:tc>
                <w:tcPr>
                  <w:tcW w:w="891" w:type="pct"/>
                  <w:noWrap w:val="0"/>
                  <w:vAlign w:val="center"/>
                </w:tcPr>
                <w:p>
                  <w:pPr>
                    <w:adjustRightInd w:val="0"/>
                    <w:snapToGrid w:val="0"/>
                    <w:jc w:val="center"/>
                    <w:textAlignment w:val="center"/>
                    <w:rPr>
                      <w:rFonts w:hint="default"/>
                      <w:color w:val="auto"/>
                      <w:szCs w:val="21"/>
                      <w:highlight w:val="none"/>
                      <w:lang w:val="en-US" w:eastAsia="zh-CN"/>
                    </w:rPr>
                  </w:pPr>
                  <w:r>
                    <w:rPr>
                      <w:rFonts w:hint="eastAsia"/>
                      <w:color w:val="auto"/>
                      <w:szCs w:val="21"/>
                      <w:highlight w:val="none"/>
                      <w:lang w:val="en-US" w:eastAsia="zh-CN"/>
                    </w:rPr>
                    <w:t>空压机含油废水</w:t>
                  </w:r>
                </w:p>
              </w:tc>
              <w:tc>
                <w:tcPr>
                  <w:tcW w:w="1118" w:type="pct"/>
                  <w:gridSpan w:val="2"/>
                  <w:noWrap w:val="0"/>
                  <w:vAlign w:val="center"/>
                </w:tcPr>
                <w:p>
                  <w:pPr>
                    <w:jc w:val="center"/>
                    <w:rPr>
                      <w:rFonts w:hint="default"/>
                      <w:color w:val="auto"/>
                      <w:szCs w:val="21"/>
                      <w:highlight w:val="none"/>
                      <w:lang w:val="en-US" w:eastAsia="zh-CN"/>
                    </w:rPr>
                  </w:pPr>
                  <w:r>
                    <w:rPr>
                      <w:rFonts w:hint="eastAsia"/>
                      <w:color w:val="auto"/>
                      <w:szCs w:val="21"/>
                      <w:highlight w:val="none"/>
                      <w:lang w:val="en-US" w:eastAsia="zh-CN"/>
                    </w:rPr>
                    <w:t>/</w:t>
                  </w:r>
                </w:p>
              </w:tc>
              <w:tc>
                <w:tcPr>
                  <w:tcW w:w="533" w:type="pct"/>
                  <w:noWrap w:val="0"/>
                  <w:vAlign w:val="center"/>
                </w:tcPr>
                <w:p>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w:t>
                  </w:r>
                </w:p>
              </w:tc>
              <w:tc>
                <w:tcPr>
                  <w:tcW w:w="615" w:type="pct"/>
                  <w:noWrap w:val="0"/>
                  <w:vAlign w:val="center"/>
                </w:tcPr>
                <w:p>
                  <w:pPr>
                    <w:widowControl/>
                    <w:jc w:val="center"/>
                    <w:rPr>
                      <w:rFonts w:hint="default"/>
                      <w:color w:val="auto"/>
                      <w:szCs w:val="21"/>
                      <w:highlight w:val="none"/>
                      <w:lang w:val="en-US" w:eastAsia="zh-CN"/>
                    </w:rPr>
                  </w:pPr>
                  <w:r>
                    <w:rPr>
                      <w:rFonts w:hint="eastAsia"/>
                      <w:color w:val="auto"/>
                      <w:szCs w:val="21"/>
                      <w:highlight w:val="none"/>
                      <w:lang w:val="en-US" w:eastAsia="zh-CN"/>
                    </w:rPr>
                    <w:t>/</w:t>
                  </w:r>
                </w:p>
              </w:tc>
              <w:tc>
                <w:tcPr>
                  <w:tcW w:w="482" w:type="pct"/>
                  <w:noWrap w:val="0"/>
                  <w:vAlign w:val="center"/>
                </w:tcPr>
                <w:p>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w:t>
                  </w:r>
                </w:p>
              </w:tc>
              <w:tc>
                <w:tcPr>
                  <w:tcW w:w="502" w:type="pct"/>
                  <w:noWrap w:val="0"/>
                  <w:vAlign w:val="center"/>
                </w:tcPr>
                <w:p>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0.005</w:t>
                  </w:r>
                </w:p>
              </w:tc>
              <w:tc>
                <w:tcPr>
                  <w:tcW w:w="600" w:type="pct"/>
                  <w:noWrap w:val="0"/>
                  <w:vAlign w:val="center"/>
                </w:tcPr>
                <w:p>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noWrap w:val="0"/>
                  <w:vAlign w:val="center"/>
                </w:tcPr>
                <w:p>
                  <w:pPr>
                    <w:adjustRightInd w:val="0"/>
                    <w:snapToGrid w:val="0"/>
                    <w:jc w:val="center"/>
                    <w:textAlignment w:val="center"/>
                    <w:rPr>
                      <w:rFonts w:hint="default"/>
                      <w:color w:val="auto"/>
                      <w:szCs w:val="21"/>
                      <w:highlight w:val="none"/>
                      <w:lang w:val="en-US" w:eastAsia="zh-CN"/>
                    </w:rPr>
                  </w:pPr>
                  <w:r>
                    <w:rPr>
                      <w:rFonts w:hint="eastAsia"/>
                      <w:color w:val="auto"/>
                      <w:szCs w:val="21"/>
                      <w:highlight w:val="none"/>
                      <w:lang w:val="en-US" w:eastAsia="zh-CN"/>
                    </w:rPr>
                    <w:t>3</w:t>
                  </w:r>
                </w:p>
              </w:tc>
              <w:tc>
                <w:tcPr>
                  <w:tcW w:w="891" w:type="pct"/>
                  <w:noWrap w:val="0"/>
                  <w:vAlign w:val="center"/>
                </w:tcPr>
                <w:p>
                  <w:pPr>
                    <w:adjustRightInd w:val="0"/>
                    <w:snapToGrid w:val="0"/>
                    <w:jc w:val="center"/>
                    <w:textAlignment w:val="center"/>
                    <w:rPr>
                      <w:rFonts w:hint="default"/>
                      <w:color w:val="auto"/>
                      <w:szCs w:val="21"/>
                      <w:highlight w:val="none"/>
                      <w:lang w:val="en-US" w:eastAsia="zh-CN"/>
                    </w:rPr>
                  </w:pPr>
                  <w:r>
                    <w:rPr>
                      <w:rFonts w:hint="eastAsia"/>
                      <w:color w:val="auto"/>
                      <w:szCs w:val="21"/>
                      <w:highlight w:val="none"/>
                      <w:lang w:val="en-US" w:eastAsia="zh-CN"/>
                    </w:rPr>
                    <w:t>地面清洁废水</w:t>
                  </w:r>
                </w:p>
              </w:tc>
              <w:tc>
                <w:tcPr>
                  <w:tcW w:w="1118" w:type="pct"/>
                  <w:gridSpan w:val="2"/>
                  <w:noWrap w:val="0"/>
                  <w:vAlign w:val="center"/>
                </w:tcPr>
                <w:p>
                  <w:pPr>
                    <w:jc w:val="center"/>
                    <w:rPr>
                      <w:rFonts w:hint="eastAsia" w:eastAsia="宋体"/>
                      <w:color w:val="auto"/>
                      <w:sz w:val="21"/>
                      <w:szCs w:val="21"/>
                      <w:highlight w:val="none"/>
                      <w:lang w:val="en-US" w:eastAsia="zh-CN"/>
                    </w:rPr>
                  </w:pPr>
                  <w:r>
                    <w:rPr>
                      <w:rFonts w:hint="eastAsia"/>
                      <w:color w:val="auto"/>
                      <w:sz w:val="21"/>
                      <w:szCs w:val="21"/>
                      <w:lang w:val="en-US" w:eastAsia="zh-CN"/>
                    </w:rPr>
                    <w:t>1400</w:t>
                  </w:r>
                  <w:r>
                    <w:rPr>
                      <w:color w:val="auto"/>
                      <w:sz w:val="21"/>
                      <w:szCs w:val="21"/>
                    </w:rPr>
                    <w:t>m</w:t>
                  </w:r>
                  <w:r>
                    <w:rPr>
                      <w:color w:val="auto"/>
                      <w:sz w:val="21"/>
                      <w:szCs w:val="21"/>
                      <w:vertAlign w:val="superscript"/>
                    </w:rPr>
                    <w:t>2</w:t>
                  </w:r>
                  <w:r>
                    <w:rPr>
                      <w:rFonts w:hint="eastAsia"/>
                      <w:color w:val="auto"/>
                      <w:sz w:val="21"/>
                      <w:szCs w:val="21"/>
                      <w:lang w:val="en-US" w:eastAsia="zh-CN"/>
                    </w:rPr>
                    <w:t>，1</w:t>
                  </w:r>
                  <w:r>
                    <w:rPr>
                      <w:color w:val="auto"/>
                      <w:sz w:val="21"/>
                      <w:szCs w:val="21"/>
                    </w:rPr>
                    <w:t>L/m</w:t>
                  </w:r>
                  <w:r>
                    <w:rPr>
                      <w:color w:val="auto"/>
                      <w:sz w:val="21"/>
                      <w:szCs w:val="21"/>
                      <w:vertAlign w:val="superscript"/>
                    </w:rPr>
                    <w:t>2</w:t>
                  </w:r>
                </w:p>
              </w:tc>
              <w:tc>
                <w:tcPr>
                  <w:tcW w:w="533" w:type="pct"/>
                  <w:noWrap w:val="0"/>
                  <w:vAlign w:val="center"/>
                </w:tcPr>
                <w:p>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1.4</w:t>
                  </w:r>
                </w:p>
              </w:tc>
              <w:tc>
                <w:tcPr>
                  <w:tcW w:w="615" w:type="pct"/>
                  <w:noWrap w:val="0"/>
                  <w:vAlign w:val="center"/>
                </w:tcPr>
                <w:p>
                  <w:pPr>
                    <w:widowControl/>
                    <w:jc w:val="center"/>
                    <w:rPr>
                      <w:rFonts w:hint="default"/>
                      <w:color w:val="auto"/>
                      <w:szCs w:val="21"/>
                      <w:highlight w:val="none"/>
                      <w:lang w:val="en-US" w:eastAsia="zh-CN"/>
                    </w:rPr>
                  </w:pPr>
                  <w:r>
                    <w:rPr>
                      <w:rFonts w:hint="eastAsia"/>
                      <w:color w:val="auto"/>
                      <w:szCs w:val="21"/>
                      <w:highlight w:val="none"/>
                      <w:lang w:val="en-US" w:eastAsia="zh-CN"/>
                    </w:rPr>
                    <w:t>364</w:t>
                  </w:r>
                </w:p>
              </w:tc>
              <w:tc>
                <w:tcPr>
                  <w:tcW w:w="482" w:type="pct"/>
                  <w:noWrap w:val="0"/>
                  <w:vAlign w:val="center"/>
                </w:tcPr>
                <w:p>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0.9</w:t>
                  </w:r>
                </w:p>
              </w:tc>
              <w:tc>
                <w:tcPr>
                  <w:tcW w:w="502" w:type="pct"/>
                  <w:noWrap w:val="0"/>
                  <w:vAlign w:val="center"/>
                </w:tcPr>
                <w:p>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1.26</w:t>
                  </w:r>
                </w:p>
              </w:tc>
              <w:tc>
                <w:tcPr>
                  <w:tcW w:w="600" w:type="pct"/>
                  <w:noWrap w:val="0"/>
                  <w:vAlign w:val="center"/>
                </w:tcPr>
                <w:p>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327.6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65" w:type="pct"/>
                  <w:gridSpan w:val="4"/>
                  <w:noWrap w:val="0"/>
                  <w:vAlign w:val="center"/>
                </w:tcPr>
                <w:p>
                  <w:pPr>
                    <w:jc w:val="center"/>
                    <w:rPr>
                      <w:rFonts w:hint="default"/>
                      <w:color w:val="auto"/>
                      <w:szCs w:val="21"/>
                      <w:highlight w:val="yellow"/>
                      <w:lang w:val="en-US" w:eastAsia="zh-CN"/>
                    </w:rPr>
                  </w:pPr>
                  <w:r>
                    <w:rPr>
                      <w:rFonts w:hint="eastAsia"/>
                      <w:color w:val="auto"/>
                      <w:szCs w:val="21"/>
                      <w:highlight w:val="none"/>
                      <w:lang w:val="en-US" w:eastAsia="zh-CN"/>
                    </w:rPr>
                    <w:t>小计</w:t>
                  </w:r>
                </w:p>
              </w:tc>
              <w:tc>
                <w:tcPr>
                  <w:tcW w:w="533" w:type="pct"/>
                  <w:noWrap w:val="0"/>
                  <w:vAlign w:val="center"/>
                </w:tcPr>
                <w:p>
                  <w:pPr>
                    <w:adjustRightInd w:val="0"/>
                    <w:snapToGrid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3.8</w:t>
                  </w:r>
                </w:p>
              </w:tc>
              <w:tc>
                <w:tcPr>
                  <w:tcW w:w="615"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988</w:t>
                  </w:r>
                </w:p>
              </w:tc>
              <w:tc>
                <w:tcPr>
                  <w:tcW w:w="482" w:type="pct"/>
                  <w:noWrap w:val="0"/>
                  <w:vAlign w:val="center"/>
                </w:tcPr>
                <w:p>
                  <w:pPr>
                    <w:adjustRightInd w:val="0"/>
                    <w:snapToGrid w:val="0"/>
                    <w:jc w:val="center"/>
                    <w:rPr>
                      <w:rFonts w:hint="default"/>
                      <w:color w:val="auto"/>
                      <w:szCs w:val="21"/>
                      <w:highlight w:val="yellow"/>
                      <w:lang w:val="en-US" w:eastAsia="zh-CN"/>
                    </w:rPr>
                  </w:pPr>
                  <w:r>
                    <w:rPr>
                      <w:rFonts w:hint="eastAsia"/>
                      <w:color w:val="auto"/>
                      <w:szCs w:val="21"/>
                      <w:highlight w:val="none"/>
                      <w:lang w:val="en-US" w:eastAsia="zh-CN"/>
                    </w:rPr>
                    <w:t>/</w:t>
                  </w:r>
                </w:p>
              </w:tc>
              <w:tc>
                <w:tcPr>
                  <w:tcW w:w="502"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1.265</w:t>
                  </w:r>
                </w:p>
              </w:tc>
              <w:tc>
                <w:tcPr>
                  <w:tcW w:w="600" w:type="pct"/>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327.66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 w:type="pct"/>
                  <w:noWrap w:val="0"/>
                  <w:vAlign w:val="center"/>
                </w:tcPr>
                <w:p>
                  <w:pPr>
                    <w:adjustRightInd w:val="0"/>
                    <w:snapToGrid w:val="0"/>
                    <w:jc w:val="center"/>
                    <w:textAlignment w:val="center"/>
                    <w:rPr>
                      <w:rFonts w:hint="default"/>
                      <w:color w:val="auto"/>
                      <w:szCs w:val="21"/>
                      <w:highlight w:val="none"/>
                      <w:lang w:val="en-US" w:eastAsia="zh-CN"/>
                    </w:rPr>
                  </w:pPr>
                  <w:r>
                    <w:rPr>
                      <w:rFonts w:hint="eastAsia"/>
                      <w:color w:val="auto"/>
                      <w:szCs w:val="21"/>
                      <w:highlight w:val="none"/>
                      <w:lang w:val="en-US" w:eastAsia="zh-CN"/>
                    </w:rPr>
                    <w:t>3</w:t>
                  </w:r>
                </w:p>
              </w:tc>
              <w:tc>
                <w:tcPr>
                  <w:tcW w:w="891" w:type="pct"/>
                  <w:noWrap w:val="0"/>
                  <w:vAlign w:val="center"/>
                </w:tcPr>
                <w:p>
                  <w:pPr>
                    <w:adjustRightInd w:val="0"/>
                    <w:snapToGrid w:val="0"/>
                    <w:jc w:val="center"/>
                    <w:textAlignment w:val="center"/>
                    <w:rPr>
                      <w:rFonts w:hint="default"/>
                      <w:color w:val="auto"/>
                      <w:szCs w:val="21"/>
                      <w:highlight w:val="none"/>
                      <w:lang w:val="en-US" w:eastAsia="zh-CN"/>
                    </w:rPr>
                  </w:pPr>
                  <w:r>
                    <w:rPr>
                      <w:rFonts w:hint="eastAsia"/>
                      <w:color w:val="auto"/>
                      <w:szCs w:val="21"/>
                      <w:highlight w:val="none"/>
                      <w:lang w:val="en-US" w:eastAsia="zh-CN"/>
                    </w:rPr>
                    <w:t>生活污水</w:t>
                  </w:r>
                </w:p>
              </w:tc>
              <w:tc>
                <w:tcPr>
                  <w:tcW w:w="472" w:type="pct"/>
                  <w:noWrap w:val="0"/>
                  <w:vAlign w:val="center"/>
                </w:tcPr>
                <w:p>
                  <w:pPr>
                    <w:adjustRightInd w:val="0"/>
                    <w:snapToGrid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20</w:t>
                  </w:r>
                  <w:r>
                    <w:rPr>
                      <w:color w:val="auto"/>
                      <w:szCs w:val="21"/>
                      <w:highlight w:val="none"/>
                    </w:rPr>
                    <w:t>人</w:t>
                  </w:r>
                </w:p>
              </w:tc>
              <w:tc>
                <w:tcPr>
                  <w:tcW w:w="646" w:type="pct"/>
                  <w:noWrap w:val="0"/>
                  <w:vAlign w:val="center"/>
                </w:tcPr>
                <w:p>
                  <w:pPr>
                    <w:adjustRightInd w:val="0"/>
                    <w:snapToGrid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color w:val="auto"/>
                      <w:szCs w:val="21"/>
                      <w:highlight w:val="none"/>
                    </w:rPr>
                    <w:t>50L/人·d</w:t>
                  </w:r>
                </w:p>
              </w:tc>
              <w:tc>
                <w:tcPr>
                  <w:tcW w:w="533" w:type="pct"/>
                  <w:noWrap w:val="0"/>
                  <w:vAlign w:val="center"/>
                </w:tcPr>
                <w:p>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1</w:t>
                  </w:r>
                </w:p>
              </w:tc>
              <w:tc>
                <w:tcPr>
                  <w:tcW w:w="615" w:type="pct"/>
                  <w:noWrap w:val="0"/>
                  <w:vAlign w:val="center"/>
                </w:tcPr>
                <w:p>
                  <w:pPr>
                    <w:widowControl/>
                    <w:jc w:val="center"/>
                    <w:rPr>
                      <w:rFonts w:hint="default"/>
                      <w:color w:val="auto"/>
                      <w:szCs w:val="21"/>
                      <w:highlight w:val="none"/>
                      <w:lang w:val="en-US" w:eastAsia="zh-CN"/>
                    </w:rPr>
                  </w:pPr>
                  <w:r>
                    <w:rPr>
                      <w:rFonts w:hint="eastAsia"/>
                      <w:color w:val="auto"/>
                      <w:szCs w:val="21"/>
                      <w:highlight w:val="none"/>
                      <w:lang w:val="en-US" w:eastAsia="zh-CN"/>
                    </w:rPr>
                    <w:t>260</w:t>
                  </w:r>
                </w:p>
              </w:tc>
              <w:tc>
                <w:tcPr>
                  <w:tcW w:w="482" w:type="pct"/>
                  <w:noWrap w:val="0"/>
                  <w:vAlign w:val="center"/>
                </w:tcPr>
                <w:p>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0.9</w:t>
                  </w:r>
                </w:p>
              </w:tc>
              <w:tc>
                <w:tcPr>
                  <w:tcW w:w="502" w:type="pct"/>
                  <w:noWrap w:val="0"/>
                  <w:vAlign w:val="center"/>
                </w:tcPr>
                <w:p>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0.9</w:t>
                  </w:r>
                </w:p>
              </w:tc>
              <w:tc>
                <w:tcPr>
                  <w:tcW w:w="600" w:type="pct"/>
                  <w:noWrap w:val="0"/>
                  <w:vAlign w:val="center"/>
                </w:tcPr>
                <w:p>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65" w:type="pct"/>
                  <w:gridSpan w:val="4"/>
                  <w:noWrap w:val="0"/>
                  <w:vAlign w:val="center"/>
                </w:tcPr>
                <w:p>
                  <w:pPr>
                    <w:adjustRightInd w:val="0"/>
                    <w:snapToGrid w:val="0"/>
                    <w:jc w:val="center"/>
                    <w:textAlignment w:val="center"/>
                    <w:rPr>
                      <w:color w:val="auto"/>
                      <w:szCs w:val="21"/>
                      <w:highlight w:val="none"/>
                    </w:rPr>
                  </w:pPr>
                  <w:r>
                    <w:rPr>
                      <w:color w:val="auto"/>
                      <w:szCs w:val="21"/>
                      <w:highlight w:val="none"/>
                    </w:rPr>
                    <w:t>总计</w:t>
                  </w:r>
                </w:p>
              </w:tc>
              <w:tc>
                <w:tcPr>
                  <w:tcW w:w="533" w:type="pct"/>
                  <w:noWrap w:val="0"/>
                  <w:vAlign w:val="center"/>
                </w:tcPr>
                <w:p>
                  <w:pPr>
                    <w:widowControl/>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4.8</w:t>
                  </w:r>
                </w:p>
              </w:tc>
              <w:tc>
                <w:tcPr>
                  <w:tcW w:w="615" w:type="pct"/>
                  <w:noWrap w:val="0"/>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1248</w:t>
                  </w:r>
                </w:p>
              </w:tc>
              <w:tc>
                <w:tcPr>
                  <w:tcW w:w="482" w:type="pct"/>
                  <w:noWrap w:val="0"/>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w:t>
                  </w:r>
                </w:p>
              </w:tc>
              <w:tc>
                <w:tcPr>
                  <w:tcW w:w="502" w:type="pct"/>
                  <w:noWrap w:val="0"/>
                  <w:vAlign w:val="center"/>
                </w:tcPr>
                <w:p>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2.165</w:t>
                  </w:r>
                </w:p>
              </w:tc>
              <w:tc>
                <w:tcPr>
                  <w:tcW w:w="600" w:type="pct"/>
                  <w:noWrap w:val="0"/>
                  <w:vAlign w:val="center"/>
                </w:tcPr>
                <w:p>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561.66</w:t>
                  </w:r>
                </w:p>
              </w:tc>
            </w:tr>
          </w:tbl>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Cs/>
                <w:snapToGrid w:val="0"/>
                <w:color w:val="auto"/>
                <w:kern w:val="0"/>
                <w:sz w:val="24"/>
                <w:highlight w:val="yellow"/>
                <w:lang w:val="en-US" w:eastAsia="zh-CN"/>
              </w:rPr>
            </w:pPr>
            <w:r>
              <w:rPr>
                <w:rFonts w:hint="eastAsia" w:ascii="Times New Roman" w:hAnsi="Times New Roman" w:eastAsia="宋体" w:cs="Times New Roman"/>
                <w:bCs/>
                <w:snapToGrid w:val="0"/>
                <w:color w:val="auto"/>
                <w:kern w:val="0"/>
                <w:sz w:val="24"/>
                <w:highlight w:val="none"/>
                <w:lang w:val="en-US" w:eastAsia="zh-CN"/>
              </w:rPr>
              <w:t>本项目水平衡详见下图。</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cs="Times New Roman"/>
                <w:bCs/>
                <w:snapToGrid w:val="0"/>
                <w:color w:val="auto"/>
                <w:kern w:val="0"/>
                <w:sz w:val="24"/>
                <w:highlight w:val="yellow"/>
                <w:lang w:val="en-US" w:eastAsia="zh-CN"/>
              </w:rPr>
            </w:pPr>
            <w:r>
              <w:rPr>
                <w:color w:val="auto"/>
              </w:rPr>
              <w:drawing>
                <wp:inline distT="0" distB="0" distL="114300" distR="114300">
                  <wp:extent cx="4761865" cy="2633980"/>
                  <wp:effectExtent l="0" t="0" r="635" b="13970"/>
                  <wp:docPr id="4" name="图片 1"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Administrator\Desktop\图片1.png图片1"/>
                          <pic:cNvPicPr>
                            <a:picLocks noChangeAspect="1"/>
                          </pic:cNvPicPr>
                        </pic:nvPicPr>
                        <pic:blipFill>
                          <a:blip r:embed="rId9"/>
                          <a:srcRect/>
                          <a:stretch>
                            <a:fillRect/>
                          </a:stretch>
                        </pic:blipFill>
                        <pic:spPr>
                          <a:xfrm>
                            <a:off x="0" y="0"/>
                            <a:ext cx="4761865" cy="263398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cs="Times New Roman"/>
                <w:bCs/>
                <w:snapToGrid w:val="0"/>
                <w:color w:val="auto"/>
                <w:kern w:val="0"/>
                <w:sz w:val="24"/>
                <w:szCs w:val="24"/>
                <w:highlight w:val="none"/>
                <w:lang w:val="en-US" w:eastAsia="zh-CN"/>
              </w:rPr>
            </w:pPr>
            <w:r>
              <w:rPr>
                <w:rFonts w:hint="eastAsia" w:cs="Times New Roman"/>
                <w:bCs/>
                <w:snapToGrid w:val="0"/>
                <w:color w:val="auto"/>
                <w:kern w:val="0"/>
                <w:sz w:val="24"/>
                <w:szCs w:val="24"/>
                <w:highlight w:val="none"/>
                <w:lang w:val="en-US" w:eastAsia="zh-CN"/>
              </w:rPr>
              <w:t>（2）排水</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cs="Times New Roman"/>
                <w:color w:val="auto"/>
                <w:kern w:val="0"/>
                <w:sz w:val="24"/>
                <w:szCs w:val="24"/>
                <w:highlight w:val="none"/>
                <w:lang w:val="en-US" w:eastAsia="zh-CN"/>
              </w:rPr>
            </w:pPr>
            <w:r>
              <w:rPr>
                <w:rFonts w:hint="eastAsia" w:ascii="Times New Roman" w:hAnsi="Times New Roman" w:eastAsia="宋体" w:cs="Times New Roman"/>
                <w:bCs/>
                <w:snapToGrid w:val="0"/>
                <w:color w:val="auto"/>
                <w:kern w:val="0"/>
                <w:sz w:val="24"/>
                <w:szCs w:val="24"/>
                <w:highlight w:val="none"/>
                <w:lang w:val="en-US" w:eastAsia="zh-CN"/>
              </w:rPr>
              <w:t>采用雨污分流制，雨水</w:t>
            </w:r>
            <w:r>
              <w:rPr>
                <w:rFonts w:hint="eastAsia" w:cs="Times New Roman"/>
                <w:bCs/>
                <w:snapToGrid w:val="0"/>
                <w:color w:val="auto"/>
                <w:kern w:val="0"/>
                <w:sz w:val="24"/>
                <w:szCs w:val="24"/>
                <w:highlight w:val="none"/>
                <w:lang w:val="en-US" w:eastAsia="zh-CN"/>
              </w:rPr>
              <w:t>经</w:t>
            </w:r>
            <w:r>
              <w:rPr>
                <w:rFonts w:hint="eastAsia" w:ascii="Times New Roman" w:hAnsi="Times New Roman" w:eastAsia="宋体" w:cs="Times New Roman"/>
                <w:bCs/>
                <w:snapToGrid w:val="0"/>
                <w:color w:val="auto"/>
                <w:kern w:val="0"/>
                <w:sz w:val="24"/>
                <w:szCs w:val="24"/>
                <w:highlight w:val="none"/>
                <w:lang w:val="en-US" w:eastAsia="zh-CN"/>
              </w:rPr>
              <w:t>雨水管网进入</w:t>
            </w:r>
            <w:r>
              <w:rPr>
                <w:rFonts w:hint="eastAsia" w:cs="Times New Roman"/>
                <w:bCs/>
                <w:snapToGrid w:val="0"/>
                <w:color w:val="auto"/>
                <w:kern w:val="0"/>
                <w:sz w:val="24"/>
                <w:szCs w:val="24"/>
                <w:highlight w:val="none"/>
                <w:vertAlign w:val="baseline"/>
                <w:lang w:val="en-US" w:eastAsia="zh-CN"/>
              </w:rPr>
              <w:t>市政</w:t>
            </w:r>
            <w:r>
              <w:rPr>
                <w:rFonts w:hint="eastAsia" w:ascii="Times New Roman" w:hAnsi="Times New Roman" w:eastAsia="宋体" w:cs="Times New Roman"/>
                <w:bCs/>
                <w:snapToGrid w:val="0"/>
                <w:color w:val="auto"/>
                <w:kern w:val="0"/>
                <w:sz w:val="24"/>
                <w:szCs w:val="24"/>
                <w:highlight w:val="none"/>
                <w:lang w:val="en-US" w:eastAsia="zh-CN"/>
              </w:rPr>
              <w:t>雨水管网；</w:t>
            </w:r>
            <w:r>
              <w:rPr>
                <w:rFonts w:hint="eastAsia" w:cs="Times New Roman"/>
                <w:color w:val="auto"/>
                <w:kern w:val="0"/>
                <w:sz w:val="24"/>
                <w:szCs w:val="24"/>
                <w:highlight w:val="none"/>
                <w:lang w:val="en-US" w:eastAsia="zh-CN"/>
              </w:rPr>
              <w:t>空压机含油废水及地面清洁废水经油水分离器</w:t>
            </w:r>
            <w:r>
              <w:rPr>
                <w:rFonts w:hint="eastAsia"/>
                <w:color w:val="auto"/>
                <w:kern w:val="0"/>
                <w:sz w:val="24"/>
                <w:szCs w:val="24"/>
                <w:highlight w:val="none"/>
                <w:lang w:val="en-US" w:eastAsia="zh-CN" w:bidi="ar"/>
              </w:rPr>
              <w:t>（处理规模2</w:t>
            </w:r>
            <w:r>
              <w:rPr>
                <w:rFonts w:hint="eastAsia" w:ascii="Times New Roman" w:hAnsi="Times New Roman" w:cs="Times New Roman"/>
                <w:color w:val="auto"/>
                <w:sz w:val="24"/>
                <w:szCs w:val="24"/>
                <w:highlight w:val="none"/>
                <w:lang w:val="en-US" w:eastAsia="zh-CN"/>
              </w:rPr>
              <w:t>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/d</w:t>
            </w:r>
            <w:r>
              <w:rPr>
                <w:rFonts w:hint="eastAsia"/>
                <w:color w:val="auto"/>
                <w:kern w:val="0"/>
                <w:sz w:val="24"/>
                <w:szCs w:val="24"/>
                <w:highlight w:val="none"/>
                <w:lang w:val="en-US" w:eastAsia="zh-CN" w:bidi="ar"/>
              </w:rPr>
              <w:t>）</w:t>
            </w:r>
            <w:r>
              <w:rPr>
                <w:rFonts w:hint="eastAsia" w:cs="Times New Roman"/>
                <w:color w:val="auto"/>
                <w:kern w:val="0"/>
                <w:sz w:val="24"/>
                <w:szCs w:val="24"/>
                <w:highlight w:val="none"/>
                <w:lang w:val="en-US" w:eastAsia="zh-CN"/>
              </w:rPr>
              <w:t>处理后与生活污水</w:t>
            </w:r>
            <w:r>
              <w:rPr>
                <w:rFonts w:hint="eastAsia"/>
                <w:color w:val="auto"/>
                <w:kern w:val="0"/>
                <w:sz w:val="24"/>
                <w:szCs w:val="24"/>
                <w:highlight w:val="none"/>
                <w:lang w:val="en-US" w:eastAsia="zh-CN" w:bidi="ar"/>
              </w:rPr>
              <w:t>一并进入厂区自建生化池（处理规模6</w:t>
            </w:r>
            <w:r>
              <w:rPr>
                <w:rFonts w:hint="eastAsia" w:ascii="Times New Roman" w:hAnsi="Times New Roman" w:cs="Times New Roman"/>
                <w:color w:val="auto"/>
                <w:sz w:val="24"/>
                <w:szCs w:val="24"/>
                <w:highlight w:val="none"/>
                <w:lang w:val="en-US" w:eastAsia="zh-CN"/>
              </w:rPr>
              <w:t>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/d</w:t>
            </w:r>
            <w:r>
              <w:rPr>
                <w:rFonts w:hint="eastAsia"/>
                <w:color w:val="auto"/>
                <w:kern w:val="0"/>
                <w:sz w:val="24"/>
                <w:szCs w:val="24"/>
                <w:highlight w:val="none"/>
                <w:lang w:val="en-US" w:eastAsia="zh-CN" w:bidi="ar"/>
              </w:rPr>
              <w:t>）处理达</w:t>
            </w:r>
            <w:r>
              <w:rPr>
                <w:rFonts w:hint="eastAsia" w:ascii="Times New Roman" w:hAnsi="Times New Roman" w:eastAsia="宋体" w:cs="Times New Roman"/>
                <w:color w:val="auto"/>
                <w:sz w:val="24"/>
                <w:szCs w:val="24"/>
                <w:highlight w:val="none"/>
                <w:lang w:val="en-US" w:eastAsia="zh-CN"/>
              </w:rPr>
              <w:t>《污水综合排放标准》（GB8978-1996）三级标准</w:t>
            </w:r>
            <w:r>
              <w:rPr>
                <w:rFonts w:hint="eastAsia"/>
                <w:color w:val="auto"/>
                <w:kern w:val="0"/>
                <w:sz w:val="24"/>
                <w:szCs w:val="24"/>
                <w:highlight w:val="none"/>
                <w:lang w:val="en-US" w:eastAsia="zh-CN" w:bidi="ar"/>
              </w:rPr>
              <w:t>后排入铜梁侣俸污水处理厂深度处理达</w:t>
            </w:r>
            <w:r>
              <w:rPr>
                <w:rFonts w:hint="eastAsia" w:ascii="Times New Roman" w:hAnsi="Times New Roman" w:eastAsia="宋体" w:cs="Times New Roman"/>
                <w:color w:val="auto"/>
                <w:sz w:val="24"/>
                <w:szCs w:val="24"/>
                <w:highlight w:val="none"/>
                <w:lang w:val="en-US" w:eastAsia="zh-CN"/>
              </w:rPr>
              <w:t>《城镇污水处理厂污染物排放标准》（GB18918-2002）一级</w:t>
            </w:r>
            <w:r>
              <w:rPr>
                <w:rFonts w:hint="eastAsia" w:cs="Times New Roman"/>
                <w:color w:val="auto"/>
                <w:sz w:val="24"/>
                <w:szCs w:val="24"/>
                <w:highlight w:val="none"/>
                <w:lang w:val="en-US" w:eastAsia="zh-CN"/>
              </w:rPr>
              <w:t>B</w:t>
            </w:r>
            <w:r>
              <w:rPr>
                <w:rFonts w:hint="eastAsia" w:ascii="Times New Roman" w:hAnsi="Times New Roman" w:eastAsia="宋体" w:cs="Times New Roman"/>
                <w:color w:val="auto"/>
                <w:sz w:val="24"/>
                <w:szCs w:val="24"/>
                <w:highlight w:val="none"/>
                <w:lang w:val="en-US" w:eastAsia="zh-CN"/>
              </w:rPr>
              <w:t>标</w:t>
            </w:r>
            <w:r>
              <w:rPr>
                <w:rFonts w:hint="eastAsia"/>
                <w:color w:val="auto"/>
                <w:kern w:val="0"/>
                <w:sz w:val="24"/>
                <w:szCs w:val="24"/>
                <w:highlight w:val="none"/>
                <w:lang w:val="en-US" w:eastAsia="zh-CN" w:bidi="ar"/>
              </w:rPr>
              <w:t>后排入侣俸河。</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Cs/>
                <w:snapToGrid w:val="0"/>
                <w:color w:val="auto"/>
                <w:kern w:val="0"/>
                <w:sz w:val="24"/>
                <w:highlight w:val="none"/>
                <w:lang w:val="en-US" w:eastAsia="zh-CN"/>
              </w:rPr>
            </w:pPr>
            <w:r>
              <w:rPr>
                <w:rFonts w:hint="eastAsia" w:ascii="Times New Roman" w:hAnsi="Times New Roman" w:eastAsia="宋体" w:cs="Times New Roman"/>
                <w:bCs/>
                <w:snapToGrid w:val="0"/>
                <w:color w:val="auto"/>
                <w:kern w:val="0"/>
                <w:sz w:val="24"/>
                <w:highlight w:val="none"/>
                <w:lang w:val="en-US" w:eastAsia="zh-CN"/>
              </w:rPr>
              <w:t>（3）供电</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Cs/>
                <w:snapToGrid w:val="0"/>
                <w:color w:val="auto"/>
                <w:kern w:val="0"/>
                <w:sz w:val="24"/>
                <w:highlight w:val="none"/>
                <w:lang w:val="en-US" w:eastAsia="zh-CN"/>
              </w:rPr>
            </w:pPr>
            <w:r>
              <w:rPr>
                <w:rFonts w:hint="eastAsia" w:ascii="Times New Roman" w:hAnsi="Times New Roman" w:eastAsia="宋体" w:cs="Times New Roman"/>
                <w:bCs/>
                <w:snapToGrid w:val="0"/>
                <w:color w:val="auto"/>
                <w:kern w:val="0"/>
                <w:sz w:val="24"/>
                <w:highlight w:val="none"/>
                <w:lang w:val="en-US" w:eastAsia="zh-CN"/>
              </w:rPr>
              <w:t>依托</w:t>
            </w:r>
            <w:r>
              <w:rPr>
                <w:rFonts w:hint="eastAsia" w:cs="Times New Roman"/>
                <w:bCs/>
                <w:snapToGrid w:val="0"/>
                <w:color w:val="auto"/>
                <w:kern w:val="0"/>
                <w:sz w:val="24"/>
                <w:szCs w:val="24"/>
                <w:highlight w:val="none"/>
                <w:vertAlign w:val="baseline"/>
                <w:lang w:val="en-US" w:eastAsia="zh-CN"/>
              </w:rPr>
              <w:t>市政</w:t>
            </w:r>
            <w:r>
              <w:rPr>
                <w:rFonts w:hint="eastAsia" w:ascii="Times New Roman" w:hAnsi="Times New Roman" w:eastAsia="宋体" w:cs="Times New Roman"/>
                <w:bCs/>
                <w:snapToGrid w:val="0"/>
                <w:color w:val="auto"/>
                <w:kern w:val="0"/>
                <w:sz w:val="24"/>
                <w:highlight w:val="none"/>
                <w:lang w:val="en-US" w:eastAsia="zh-CN"/>
              </w:rPr>
              <w:t>供电管网供给。</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snapToGrid w:val="0"/>
                <w:color w:val="auto"/>
                <w:kern w:val="0"/>
                <w:sz w:val="24"/>
                <w:highlight w:val="none"/>
                <w:lang w:val="en-US" w:eastAsia="zh-CN"/>
              </w:rPr>
            </w:pPr>
            <w:r>
              <w:rPr>
                <w:rFonts w:hint="eastAsia" w:cs="Times New Roman"/>
                <w:bCs/>
                <w:snapToGrid w:val="0"/>
                <w:color w:val="auto"/>
                <w:kern w:val="0"/>
                <w:sz w:val="24"/>
                <w:highlight w:val="none"/>
                <w:lang w:val="en-US" w:eastAsia="zh-CN"/>
              </w:rPr>
              <w:t>4、产品方案</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cs="Times New Roman"/>
                <w:bCs/>
                <w:snapToGrid w:val="0"/>
                <w:color w:val="auto"/>
                <w:kern w:val="0"/>
                <w:sz w:val="24"/>
                <w:highlight w:val="none"/>
                <w:lang w:val="en-US" w:eastAsia="zh-CN"/>
              </w:rPr>
            </w:pPr>
            <w:r>
              <w:rPr>
                <w:rFonts w:hint="eastAsia" w:cs="Times New Roman"/>
                <w:bCs/>
                <w:snapToGrid w:val="0"/>
                <w:color w:val="auto"/>
                <w:kern w:val="0"/>
                <w:sz w:val="24"/>
                <w:highlight w:val="none"/>
                <w:lang w:val="en-US" w:eastAsia="zh-CN"/>
              </w:rPr>
              <w:t>（1）产品方案</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cs="Times New Roman"/>
                <w:bCs/>
                <w:snapToGrid w:val="0"/>
                <w:color w:val="auto"/>
                <w:kern w:val="0"/>
                <w:sz w:val="24"/>
                <w:highlight w:val="yellow"/>
                <w:lang w:val="en-US" w:eastAsia="zh-CN"/>
              </w:rPr>
            </w:pPr>
            <w:r>
              <w:rPr>
                <w:rFonts w:hint="eastAsia" w:cs="Times New Roman"/>
                <w:bCs/>
                <w:snapToGrid w:val="0"/>
                <w:color w:val="auto"/>
                <w:kern w:val="0"/>
                <w:sz w:val="24"/>
                <w:highlight w:val="none"/>
                <w:lang w:val="en-US" w:eastAsia="zh-CN"/>
              </w:rPr>
              <w:t>根据建设单位提供资料，项目运营期生产产品主要为包装制品，根据建设单位提供资料，一套包装制品主要包括一个塑料打包盒（外包及内包）、一个盖子及一个塑料杯（杯体及杯盖）。其产品方案如下。</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Times New Roman"/>
                <w:bCs/>
                <w:snapToGrid w:val="0"/>
                <w:color w:val="auto"/>
                <w:kern w:val="0"/>
                <w:sz w:val="24"/>
                <w:highlight w:val="none"/>
                <w:lang w:val="en-US" w:eastAsia="zh-CN"/>
              </w:rPr>
            </w:pPr>
            <w:r>
              <w:rPr>
                <w:rFonts w:hint="eastAsia" w:ascii="Times New Roman" w:hAnsi="Times New Roman" w:eastAsia="宋体" w:cs="Times New Roman"/>
                <w:bCs/>
                <w:snapToGrid w:val="0"/>
                <w:color w:val="auto"/>
                <w:kern w:val="0"/>
                <w:sz w:val="24"/>
                <w:highlight w:val="none"/>
                <w:lang w:val="en-US" w:eastAsia="zh-CN"/>
              </w:rPr>
              <w:t>表2-</w:t>
            </w:r>
            <w:r>
              <w:rPr>
                <w:rFonts w:hint="eastAsia" w:cs="Times New Roman"/>
                <w:bCs/>
                <w:snapToGrid w:val="0"/>
                <w:color w:val="auto"/>
                <w:kern w:val="0"/>
                <w:sz w:val="24"/>
                <w:highlight w:val="none"/>
                <w:lang w:val="en-US" w:eastAsia="zh-CN"/>
              </w:rPr>
              <w:t>3</w:t>
            </w:r>
            <w:r>
              <w:rPr>
                <w:rFonts w:hint="eastAsia" w:ascii="Times New Roman" w:hAnsi="Times New Roman" w:eastAsia="宋体" w:cs="Times New Roman"/>
                <w:bCs/>
                <w:snapToGrid w:val="0"/>
                <w:color w:val="auto"/>
                <w:kern w:val="0"/>
                <w:sz w:val="24"/>
                <w:highlight w:val="none"/>
                <w:lang w:val="en-US" w:eastAsia="zh-CN"/>
              </w:rPr>
              <w:t xml:space="preserve">  </w:t>
            </w:r>
            <w:r>
              <w:rPr>
                <w:rFonts w:hint="eastAsia" w:cs="Times New Roman"/>
                <w:bCs/>
                <w:snapToGrid w:val="0"/>
                <w:color w:val="auto"/>
                <w:kern w:val="0"/>
                <w:sz w:val="24"/>
                <w:highlight w:val="none"/>
                <w:lang w:val="en-US" w:eastAsia="zh-CN"/>
              </w:rPr>
              <w:t>项目</w:t>
            </w:r>
            <w:r>
              <w:rPr>
                <w:rFonts w:hint="eastAsia" w:ascii="Times New Roman" w:hAnsi="Times New Roman" w:eastAsia="宋体" w:cs="Times New Roman"/>
                <w:bCs/>
                <w:snapToGrid w:val="0"/>
                <w:color w:val="auto"/>
                <w:kern w:val="0"/>
                <w:sz w:val="24"/>
                <w:highlight w:val="none"/>
                <w:lang w:val="en-US" w:eastAsia="zh-CN"/>
              </w:rPr>
              <w:t>产品方案一览表</w:t>
            </w:r>
          </w:p>
          <w:tbl>
            <w:tblPr>
              <w:tblStyle w:val="16"/>
              <w:tblW w:w="8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729"/>
              <w:gridCol w:w="729"/>
              <w:gridCol w:w="1517"/>
              <w:gridCol w:w="1591"/>
              <w:gridCol w:w="1592"/>
              <w:gridCol w:w="1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rPr>
                  </w:pPr>
                  <w:r>
                    <w:rPr>
                      <w:rFonts w:hint="eastAsia" w:ascii="Times New Roman" w:hAnsi="Times New Roman" w:eastAsia="宋体" w:cs="Times New Roman"/>
                      <w:bCs/>
                      <w:snapToGrid w:val="0"/>
                      <w:color w:val="auto"/>
                      <w:kern w:val="0"/>
                      <w:sz w:val="21"/>
                      <w:szCs w:val="21"/>
                      <w:highlight w:val="none"/>
                      <w:vertAlign w:val="baseline"/>
                      <w:lang w:val="en-US" w:eastAsia="zh-CN"/>
                    </w:rPr>
                    <w:t>序号</w:t>
                  </w:r>
                </w:p>
              </w:tc>
              <w:tc>
                <w:tcPr>
                  <w:tcW w:w="1458" w:type="dxa"/>
                  <w:gridSpan w:val="2"/>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rPr>
                  </w:pPr>
                  <w:r>
                    <w:rPr>
                      <w:rFonts w:hint="eastAsia" w:ascii="Times New Roman" w:hAnsi="Times New Roman" w:eastAsia="宋体" w:cs="Times New Roman"/>
                      <w:bCs/>
                      <w:snapToGrid w:val="0"/>
                      <w:color w:val="auto"/>
                      <w:kern w:val="0"/>
                      <w:sz w:val="21"/>
                      <w:szCs w:val="21"/>
                      <w:highlight w:val="none"/>
                      <w:vertAlign w:val="baseline"/>
                      <w:lang w:val="en-US" w:eastAsia="zh-CN"/>
                    </w:rPr>
                    <w:t>产品名称</w:t>
                  </w:r>
                </w:p>
              </w:tc>
              <w:tc>
                <w:tcPr>
                  <w:tcW w:w="1517"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rPr>
                  </w:pPr>
                  <w:r>
                    <w:rPr>
                      <w:rFonts w:hint="eastAsia" w:ascii="Times New Roman" w:hAnsi="Times New Roman" w:eastAsia="宋体" w:cs="Times New Roman"/>
                      <w:bCs/>
                      <w:snapToGrid w:val="0"/>
                      <w:color w:val="auto"/>
                      <w:kern w:val="0"/>
                      <w:sz w:val="21"/>
                      <w:szCs w:val="21"/>
                      <w:highlight w:val="none"/>
                      <w:vertAlign w:val="baseline"/>
                      <w:lang w:val="en-US" w:eastAsia="zh-CN"/>
                    </w:rPr>
                    <w:t>规格型号</w:t>
                  </w:r>
                </w:p>
              </w:tc>
              <w:tc>
                <w:tcPr>
                  <w:tcW w:w="3183" w:type="dxa"/>
                  <w:gridSpan w:val="2"/>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eastAsia" w:ascii="Times New Roman" w:hAnsi="Times New Roman" w:eastAsia="宋体" w:cs="Times New Roman"/>
                      <w:bCs/>
                      <w:snapToGrid w:val="0"/>
                      <w:color w:val="auto"/>
                      <w:kern w:val="0"/>
                      <w:sz w:val="21"/>
                      <w:szCs w:val="21"/>
                      <w:highlight w:val="none"/>
                      <w:vertAlign w:val="baseline"/>
                      <w:lang w:val="en-US" w:eastAsia="zh-CN"/>
                    </w:rPr>
                  </w:pPr>
                  <w:r>
                    <w:rPr>
                      <w:rFonts w:hint="eastAsia" w:ascii="Times New Roman" w:hAnsi="Times New Roman" w:eastAsia="宋体" w:cs="Times New Roman"/>
                      <w:bCs/>
                      <w:snapToGrid w:val="0"/>
                      <w:color w:val="auto"/>
                      <w:kern w:val="0"/>
                      <w:sz w:val="21"/>
                      <w:szCs w:val="21"/>
                      <w:highlight w:val="none"/>
                      <w:vertAlign w:val="baseline"/>
                      <w:lang w:val="en-US" w:eastAsia="zh-CN"/>
                    </w:rPr>
                    <w:t>年产量</w:t>
                  </w:r>
                </w:p>
              </w:tc>
              <w:tc>
                <w:tcPr>
                  <w:tcW w:w="1574"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rPr>
                  </w:pPr>
                  <w:r>
                    <w:rPr>
                      <w:rFonts w:hint="eastAsia" w:ascii="Times New Roman" w:hAnsi="Times New Roman" w:eastAsia="宋体" w:cs="Times New Roman"/>
                      <w:bCs/>
                      <w:snapToGrid w:val="0"/>
                      <w:color w:val="auto"/>
                      <w:kern w:val="0"/>
                      <w:sz w:val="21"/>
                      <w:szCs w:val="21"/>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5"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1</w:t>
                  </w:r>
                </w:p>
              </w:tc>
              <w:tc>
                <w:tcPr>
                  <w:tcW w:w="729"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塑料打包盒</w:t>
                  </w:r>
                </w:p>
              </w:tc>
              <w:tc>
                <w:tcPr>
                  <w:tcW w:w="729"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外包</w:t>
                  </w:r>
                </w:p>
              </w:tc>
              <w:tc>
                <w:tcPr>
                  <w:tcW w:w="1517"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10~50g</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bidi="ar-SA"/>
                    </w:rPr>
                  </w:pPr>
                  <w:r>
                    <w:rPr>
                      <w:rFonts w:hint="eastAsia" w:cs="Times New Roman"/>
                      <w:bCs/>
                      <w:snapToGrid w:val="0"/>
                      <w:color w:val="auto"/>
                      <w:kern w:val="0"/>
                      <w:sz w:val="21"/>
                      <w:szCs w:val="21"/>
                      <w:highlight w:val="none"/>
                      <w:vertAlign w:val="baseline"/>
                      <w:lang w:val="en-US" w:eastAsia="zh-CN"/>
                    </w:rPr>
                    <w:t>100万个</w:t>
                  </w:r>
                </w:p>
              </w:tc>
              <w:tc>
                <w:tcPr>
                  <w:tcW w:w="1592"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50t</w:t>
                  </w:r>
                </w:p>
              </w:tc>
              <w:tc>
                <w:tcPr>
                  <w:tcW w:w="157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根据订单进行生产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5"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auto"/>
                    <w:rPr>
                      <w:rFonts w:hint="eastAsia" w:cs="Times New Roman"/>
                      <w:bCs/>
                      <w:snapToGrid w:val="0"/>
                      <w:color w:val="auto"/>
                      <w:kern w:val="0"/>
                      <w:sz w:val="21"/>
                      <w:szCs w:val="21"/>
                      <w:highlight w:val="none"/>
                      <w:vertAlign w:val="baseline"/>
                      <w:lang w:val="en-US" w:eastAsia="zh-CN"/>
                    </w:rPr>
                  </w:pPr>
                </w:p>
              </w:tc>
              <w:tc>
                <w:tcPr>
                  <w:tcW w:w="729"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auto"/>
                    <w:rPr>
                      <w:rFonts w:hint="eastAsia" w:cs="Times New Roman"/>
                      <w:bCs/>
                      <w:snapToGrid w:val="0"/>
                      <w:color w:val="auto"/>
                      <w:kern w:val="0"/>
                      <w:sz w:val="21"/>
                      <w:szCs w:val="21"/>
                      <w:highlight w:val="none"/>
                      <w:vertAlign w:val="baseline"/>
                      <w:lang w:val="en-US" w:eastAsia="zh-CN"/>
                    </w:rPr>
                  </w:pPr>
                </w:p>
              </w:tc>
              <w:tc>
                <w:tcPr>
                  <w:tcW w:w="729"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内包</w:t>
                  </w:r>
                </w:p>
              </w:tc>
              <w:tc>
                <w:tcPr>
                  <w:tcW w:w="1517"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auto"/>
                    <w:rPr>
                      <w:rFonts w:hint="eastAsia"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8~30g</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eastAsia"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100万个</w:t>
                  </w:r>
                </w:p>
              </w:tc>
              <w:tc>
                <w:tcPr>
                  <w:tcW w:w="1592"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30t</w:t>
                  </w:r>
                </w:p>
              </w:tc>
              <w:tc>
                <w:tcPr>
                  <w:tcW w:w="157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auto"/>
                    <w:rPr>
                      <w:rFonts w:hint="eastAsia" w:cs="Times New Roman"/>
                      <w:bCs/>
                      <w:snapToGrid w:val="0"/>
                      <w:color w:val="auto"/>
                      <w:kern w:val="0"/>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5"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auto"/>
                    <w:rPr>
                      <w:rFonts w:hint="eastAsia" w:cs="Times New Roman"/>
                      <w:bCs/>
                      <w:snapToGrid w:val="0"/>
                      <w:color w:val="auto"/>
                      <w:kern w:val="0"/>
                      <w:sz w:val="21"/>
                      <w:szCs w:val="21"/>
                      <w:highlight w:val="none"/>
                      <w:vertAlign w:val="baseline"/>
                      <w:lang w:val="en-US" w:eastAsia="zh-CN"/>
                    </w:rPr>
                  </w:pPr>
                </w:p>
              </w:tc>
              <w:tc>
                <w:tcPr>
                  <w:tcW w:w="729"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auto"/>
                    <w:rPr>
                      <w:rFonts w:hint="eastAsia" w:cs="Times New Roman"/>
                      <w:bCs/>
                      <w:snapToGrid w:val="0"/>
                      <w:color w:val="auto"/>
                      <w:kern w:val="0"/>
                      <w:sz w:val="21"/>
                      <w:szCs w:val="21"/>
                      <w:highlight w:val="none"/>
                      <w:vertAlign w:val="baseline"/>
                      <w:lang w:val="en-US" w:eastAsia="zh-CN"/>
                    </w:rPr>
                  </w:pPr>
                </w:p>
              </w:tc>
              <w:tc>
                <w:tcPr>
                  <w:tcW w:w="729"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盖子</w:t>
                  </w:r>
                </w:p>
              </w:tc>
              <w:tc>
                <w:tcPr>
                  <w:tcW w:w="1517"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5~25g</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100万个</w:t>
                  </w:r>
                </w:p>
              </w:tc>
              <w:tc>
                <w:tcPr>
                  <w:tcW w:w="1592"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25t</w:t>
                  </w:r>
                </w:p>
              </w:tc>
              <w:tc>
                <w:tcPr>
                  <w:tcW w:w="157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auto"/>
                    <w:rPr>
                      <w:rFonts w:hint="eastAsia" w:cs="Times New Roman"/>
                      <w:bCs/>
                      <w:snapToGrid w:val="0"/>
                      <w:color w:val="auto"/>
                      <w:kern w:val="0"/>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2</w:t>
                  </w:r>
                </w:p>
              </w:tc>
              <w:tc>
                <w:tcPr>
                  <w:tcW w:w="729"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塑料杯</w:t>
                  </w:r>
                </w:p>
              </w:tc>
              <w:tc>
                <w:tcPr>
                  <w:tcW w:w="729"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bidi="ar-SA"/>
                    </w:rPr>
                  </w:pPr>
                  <w:r>
                    <w:rPr>
                      <w:rFonts w:hint="eastAsia" w:cs="Times New Roman"/>
                      <w:bCs/>
                      <w:snapToGrid w:val="0"/>
                      <w:color w:val="auto"/>
                      <w:kern w:val="0"/>
                      <w:sz w:val="21"/>
                      <w:szCs w:val="21"/>
                      <w:highlight w:val="none"/>
                      <w:vertAlign w:val="baseline"/>
                      <w:lang w:val="en-US" w:eastAsia="zh-CN"/>
                    </w:rPr>
                    <w:t>杯体</w:t>
                  </w:r>
                </w:p>
              </w:tc>
              <w:tc>
                <w:tcPr>
                  <w:tcW w:w="1517"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5~30g</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bidi="ar-SA"/>
                    </w:rPr>
                  </w:pPr>
                  <w:r>
                    <w:rPr>
                      <w:rFonts w:hint="eastAsia" w:cs="Times New Roman"/>
                      <w:bCs/>
                      <w:snapToGrid w:val="0"/>
                      <w:color w:val="auto"/>
                      <w:kern w:val="0"/>
                      <w:sz w:val="21"/>
                      <w:szCs w:val="21"/>
                      <w:highlight w:val="none"/>
                      <w:vertAlign w:val="baseline"/>
                      <w:lang w:val="en-US" w:eastAsia="zh-CN"/>
                    </w:rPr>
                    <w:t>100万个</w:t>
                  </w:r>
                </w:p>
              </w:tc>
              <w:tc>
                <w:tcPr>
                  <w:tcW w:w="1592"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30t</w:t>
                  </w:r>
                </w:p>
              </w:tc>
              <w:tc>
                <w:tcPr>
                  <w:tcW w:w="157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auto"/>
                    <w:rPr>
                      <w:rFonts w:hint="eastAsia" w:ascii="Times New Roman" w:hAnsi="Times New Roman" w:eastAsia="宋体" w:cs="Times New Roman"/>
                      <w:bCs/>
                      <w:snapToGrid w:val="0"/>
                      <w:color w:val="auto"/>
                      <w:kern w:val="0"/>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auto"/>
                    <w:rPr>
                      <w:rFonts w:hint="eastAsia"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3</w:t>
                  </w:r>
                </w:p>
              </w:tc>
              <w:tc>
                <w:tcPr>
                  <w:tcW w:w="729"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auto"/>
                    <w:rPr>
                      <w:rFonts w:hint="default" w:cs="Times New Roman"/>
                      <w:bCs/>
                      <w:snapToGrid w:val="0"/>
                      <w:color w:val="auto"/>
                      <w:kern w:val="0"/>
                      <w:sz w:val="21"/>
                      <w:szCs w:val="21"/>
                      <w:highlight w:val="none"/>
                      <w:vertAlign w:val="baseline"/>
                      <w:lang w:val="en-US" w:eastAsia="zh-CN"/>
                    </w:rPr>
                  </w:pPr>
                </w:p>
              </w:tc>
              <w:tc>
                <w:tcPr>
                  <w:tcW w:w="729"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bidi="ar-SA"/>
                    </w:rPr>
                  </w:pPr>
                  <w:r>
                    <w:rPr>
                      <w:rFonts w:hint="eastAsia" w:cs="Times New Roman"/>
                      <w:bCs/>
                      <w:snapToGrid w:val="0"/>
                      <w:color w:val="auto"/>
                      <w:kern w:val="0"/>
                      <w:sz w:val="21"/>
                      <w:szCs w:val="21"/>
                      <w:highlight w:val="none"/>
                      <w:vertAlign w:val="baseline"/>
                      <w:lang w:val="en-US" w:eastAsia="zh-CN"/>
                    </w:rPr>
                    <w:t>杯盖</w:t>
                  </w:r>
                </w:p>
              </w:tc>
              <w:tc>
                <w:tcPr>
                  <w:tcW w:w="1517"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1~3g</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100万个</w:t>
                  </w:r>
                </w:p>
              </w:tc>
              <w:tc>
                <w:tcPr>
                  <w:tcW w:w="1592"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3t</w:t>
                  </w:r>
                </w:p>
              </w:tc>
              <w:tc>
                <w:tcPr>
                  <w:tcW w:w="157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auto"/>
                    <w:rPr>
                      <w:rFonts w:hint="eastAsia" w:ascii="Times New Roman" w:hAnsi="Times New Roman" w:eastAsia="宋体" w:cs="Times New Roman"/>
                      <w:bCs/>
                      <w:snapToGrid w:val="0"/>
                      <w:color w:val="auto"/>
                      <w:kern w:val="0"/>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4</w:t>
                  </w:r>
                </w:p>
              </w:tc>
              <w:tc>
                <w:tcPr>
                  <w:tcW w:w="2975" w:type="dxa"/>
                  <w:gridSpan w:val="3"/>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rPr>
                  </w:pPr>
                  <w:r>
                    <w:rPr>
                      <w:rFonts w:hint="eastAsia" w:cs="Times New Roman"/>
                      <w:b/>
                      <w:bCs w:val="0"/>
                      <w:snapToGrid w:val="0"/>
                      <w:color w:val="auto"/>
                      <w:kern w:val="0"/>
                      <w:sz w:val="21"/>
                      <w:szCs w:val="21"/>
                      <w:highlight w:val="none"/>
                      <w:vertAlign w:val="baseline"/>
                      <w:lang w:val="en-US" w:eastAsia="zh-CN"/>
                    </w:rPr>
                    <w:t>合计</w:t>
                  </w:r>
                </w:p>
              </w:tc>
              <w:tc>
                <w:tcPr>
                  <w:tcW w:w="1591"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100万套</w:t>
                  </w:r>
                </w:p>
              </w:tc>
              <w:tc>
                <w:tcPr>
                  <w:tcW w:w="1592"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138t</w:t>
                  </w:r>
                </w:p>
              </w:tc>
              <w:tc>
                <w:tcPr>
                  <w:tcW w:w="1574"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w:t>
                  </w:r>
                </w:p>
              </w:tc>
            </w:tr>
          </w:tbl>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textAlignment w:val="auto"/>
              <w:rPr>
                <w:rFonts w:hint="eastAsia" w:cs="Times New Roman"/>
                <w:bCs/>
                <w:snapToGrid w:val="0"/>
                <w:color w:val="auto"/>
                <w:kern w:val="0"/>
                <w:sz w:val="21"/>
                <w:szCs w:val="21"/>
                <w:highlight w:val="yellow"/>
                <w:lang w:val="en-US" w:eastAsia="zh-CN"/>
              </w:rPr>
            </w:pPr>
            <w:r>
              <w:rPr>
                <w:rFonts w:hint="eastAsia" w:cs="Times New Roman"/>
                <w:b/>
                <w:bCs w:val="0"/>
                <w:snapToGrid w:val="0"/>
                <w:color w:val="auto"/>
                <w:kern w:val="0"/>
                <w:sz w:val="21"/>
                <w:szCs w:val="21"/>
                <w:highlight w:val="none"/>
                <w:lang w:val="en-US" w:eastAsia="zh-CN"/>
              </w:rPr>
              <w:t>注：由于建设单位运营期生产规格较多，本次评价以产品最大规格进行评价。</w:t>
            </w:r>
            <w:r>
              <w:rPr>
                <w:rFonts w:hint="eastAsia" w:ascii="Times New Roman" w:hAnsi="Times New Roman" w:eastAsia="宋体" w:cs="Times New Roman"/>
                <w:b/>
                <w:bCs w:val="0"/>
                <w:snapToGrid w:val="0"/>
                <w:color w:val="auto"/>
                <w:kern w:val="0"/>
                <w:sz w:val="21"/>
                <w:szCs w:val="21"/>
                <w:highlight w:val="none"/>
                <w:vertAlign w:val="baseline"/>
                <w:lang w:val="en-US" w:eastAsia="zh-CN"/>
              </w:rPr>
              <w:t>具体规格型号，根据订单进行生产。</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cs="Times New Roman"/>
                <w:bCs/>
                <w:snapToGrid w:val="0"/>
                <w:color w:val="auto"/>
                <w:kern w:val="0"/>
                <w:sz w:val="24"/>
                <w:highlight w:val="none"/>
                <w:lang w:val="en-US" w:eastAsia="zh-CN"/>
              </w:rPr>
            </w:pPr>
            <w:r>
              <w:rPr>
                <w:rFonts w:hint="eastAsia" w:cs="Times New Roman"/>
                <w:bCs/>
                <w:snapToGrid w:val="0"/>
                <w:color w:val="auto"/>
                <w:kern w:val="0"/>
                <w:sz w:val="24"/>
                <w:highlight w:val="none"/>
                <w:lang w:val="en-US" w:eastAsia="zh-CN"/>
              </w:rPr>
              <w:t>项目产品示意图，详见下图。</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9"/>
              <w:gridCol w:w="4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2" w:hRule="atLeast"/>
              </w:trPr>
              <w:tc>
                <w:tcPr>
                  <w:tcW w:w="4209"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auto"/>
                    <w:rPr>
                      <w:rFonts w:hint="eastAsia" w:ascii="Times New Roman" w:hAnsi="Times New Roman" w:eastAsia="宋体" w:cs="Times New Roman"/>
                      <w:bCs/>
                      <w:snapToGrid w:val="0"/>
                      <w:color w:val="auto"/>
                      <w:kern w:val="0"/>
                      <w:sz w:val="21"/>
                      <w:szCs w:val="21"/>
                      <w:highlight w:val="none"/>
                      <w:vertAlign w:val="baseline"/>
                      <w:lang w:val="en-US" w:eastAsia="zh-CN"/>
                    </w:rPr>
                  </w:pPr>
                  <w:r>
                    <w:rPr>
                      <w:rFonts w:hint="eastAsia" w:ascii="Times New Roman" w:hAnsi="Times New Roman" w:eastAsia="宋体" w:cs="Times New Roman"/>
                      <w:bCs/>
                      <w:snapToGrid w:val="0"/>
                      <w:color w:val="auto"/>
                      <w:kern w:val="0"/>
                      <w:sz w:val="21"/>
                      <w:szCs w:val="21"/>
                      <w:highlight w:val="none"/>
                      <w:vertAlign w:val="baseline"/>
                      <w:lang w:val="en-US" w:eastAsia="zh-CN"/>
                    </w:rPr>
                    <w:drawing>
                      <wp:inline distT="0" distB="0" distL="114300" distR="114300">
                        <wp:extent cx="2530475" cy="1377950"/>
                        <wp:effectExtent l="0" t="0" r="3175" b="12700"/>
                        <wp:docPr id="7" name="图片 7" descr="fb7a9d32d8232b4abfa4ad98fe19f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b7a9d32d8232b4abfa4ad98fe19fd7"/>
                                <pic:cNvPicPr>
                                  <a:picLocks noChangeAspect="1"/>
                                </pic:cNvPicPr>
                              </pic:nvPicPr>
                              <pic:blipFill>
                                <a:blip r:embed="rId10"/>
                                <a:stretch>
                                  <a:fillRect/>
                                </a:stretch>
                              </pic:blipFill>
                              <pic:spPr>
                                <a:xfrm>
                                  <a:off x="0" y="0"/>
                                  <a:ext cx="2530475" cy="1377950"/>
                                </a:xfrm>
                                <a:prstGeom prst="rect">
                                  <a:avLst/>
                                </a:prstGeom>
                              </pic:spPr>
                            </pic:pic>
                          </a:graphicData>
                        </a:graphic>
                      </wp:inline>
                    </w:drawing>
                  </w:r>
                </w:p>
              </w:tc>
              <w:tc>
                <w:tcPr>
                  <w:tcW w:w="4209" w:type="dxa"/>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auto"/>
                    <w:rPr>
                      <w:rFonts w:hint="eastAsia" w:ascii="Times New Roman" w:hAnsi="Times New Roman" w:eastAsia="宋体" w:cs="Times New Roman"/>
                      <w:bCs/>
                      <w:snapToGrid w:val="0"/>
                      <w:color w:val="auto"/>
                      <w:kern w:val="0"/>
                      <w:sz w:val="21"/>
                      <w:szCs w:val="21"/>
                      <w:highlight w:val="none"/>
                      <w:vertAlign w:val="baseline"/>
                      <w:lang w:val="en-US" w:eastAsia="zh-CN"/>
                    </w:rPr>
                  </w:pPr>
                  <w:r>
                    <w:rPr>
                      <w:rFonts w:hint="eastAsia" w:ascii="Times New Roman" w:hAnsi="Times New Roman" w:eastAsia="宋体" w:cs="Times New Roman"/>
                      <w:bCs/>
                      <w:snapToGrid w:val="0"/>
                      <w:color w:val="auto"/>
                      <w:kern w:val="0"/>
                      <w:sz w:val="21"/>
                      <w:szCs w:val="21"/>
                      <w:highlight w:val="none"/>
                      <w:vertAlign w:val="baseline"/>
                      <w:lang w:val="en-US" w:eastAsia="zh-CN"/>
                    </w:rPr>
                    <w:drawing>
                      <wp:inline distT="0" distB="0" distL="114300" distR="114300">
                        <wp:extent cx="2533650" cy="2049780"/>
                        <wp:effectExtent l="0" t="0" r="0" b="762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1"/>
                                <a:stretch>
                                  <a:fillRect/>
                                </a:stretch>
                              </pic:blipFill>
                              <pic:spPr>
                                <a:xfrm>
                                  <a:off x="0" y="0"/>
                                  <a:ext cx="2533650" cy="20497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9" w:type="dxa"/>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rPr>
                  </w:pPr>
                  <w:r>
                    <w:rPr>
                      <w:rFonts w:hint="eastAsia" w:ascii="Times New Roman" w:hAnsi="Times New Roman" w:eastAsia="宋体" w:cs="Times New Roman"/>
                      <w:bCs/>
                      <w:snapToGrid w:val="0"/>
                      <w:color w:val="auto"/>
                      <w:kern w:val="0"/>
                      <w:sz w:val="21"/>
                      <w:szCs w:val="21"/>
                      <w:highlight w:val="none"/>
                      <w:vertAlign w:val="baseline"/>
                      <w:lang w:val="en-US" w:eastAsia="zh-CN"/>
                    </w:rPr>
                    <w:t>图2-2 塑料打包盒示意图</w:t>
                  </w:r>
                </w:p>
              </w:tc>
              <w:tc>
                <w:tcPr>
                  <w:tcW w:w="4209" w:type="dxa"/>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rPr>
                  </w:pPr>
                  <w:r>
                    <w:rPr>
                      <w:rFonts w:hint="eastAsia" w:ascii="Times New Roman" w:hAnsi="Times New Roman" w:eastAsia="宋体" w:cs="Times New Roman"/>
                      <w:bCs/>
                      <w:snapToGrid w:val="0"/>
                      <w:color w:val="auto"/>
                      <w:kern w:val="0"/>
                      <w:sz w:val="21"/>
                      <w:szCs w:val="21"/>
                      <w:highlight w:val="none"/>
                      <w:vertAlign w:val="baseline"/>
                      <w:lang w:val="en-US" w:eastAsia="zh-CN"/>
                    </w:rPr>
                    <w:t>图2-3 塑料杯示意图</w:t>
                  </w:r>
                </w:p>
              </w:tc>
            </w:tr>
          </w:tbl>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cs="Times New Roman"/>
                <w:bCs/>
                <w:snapToGrid w:val="0"/>
                <w:color w:val="auto"/>
                <w:kern w:val="0"/>
                <w:sz w:val="24"/>
                <w:highlight w:val="none"/>
                <w:lang w:val="en-US" w:eastAsia="zh-CN"/>
              </w:rPr>
            </w:pPr>
            <w:r>
              <w:rPr>
                <w:rFonts w:hint="eastAsia" w:cs="Times New Roman"/>
                <w:bCs/>
                <w:snapToGrid w:val="0"/>
                <w:color w:val="auto"/>
                <w:kern w:val="0"/>
                <w:sz w:val="24"/>
                <w:highlight w:val="none"/>
                <w:lang w:val="en-US" w:eastAsia="zh-CN"/>
              </w:rPr>
              <w:t>5、项目设备清单</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eastAsia="宋体" w:cs="Times New Roman"/>
                <w:bCs/>
                <w:snapToGrid w:val="0"/>
                <w:color w:val="auto"/>
                <w:kern w:val="0"/>
                <w:sz w:val="24"/>
                <w:highlight w:val="none"/>
                <w:lang w:val="en-US" w:eastAsia="zh-CN"/>
              </w:rPr>
            </w:pPr>
            <w:r>
              <w:rPr>
                <w:rFonts w:hint="eastAsia" w:cs="Times New Roman"/>
                <w:bCs/>
                <w:snapToGrid w:val="0"/>
                <w:color w:val="auto"/>
                <w:kern w:val="0"/>
                <w:sz w:val="24"/>
                <w:highlight w:val="none"/>
                <w:lang w:val="en-US" w:eastAsia="zh-CN"/>
              </w:rPr>
              <w:t>（1）主要生产设备</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Times New Roman"/>
                <w:bCs/>
                <w:snapToGrid w:val="0"/>
                <w:color w:val="auto"/>
                <w:kern w:val="0"/>
                <w:sz w:val="24"/>
                <w:highlight w:val="none"/>
                <w:lang w:val="en-US" w:eastAsia="zh-CN"/>
              </w:rPr>
            </w:pPr>
            <w:r>
              <w:rPr>
                <w:rFonts w:hint="eastAsia" w:ascii="Times New Roman" w:hAnsi="Times New Roman" w:eastAsia="宋体" w:cs="Times New Roman"/>
                <w:bCs/>
                <w:snapToGrid w:val="0"/>
                <w:color w:val="auto"/>
                <w:kern w:val="0"/>
                <w:sz w:val="24"/>
                <w:highlight w:val="none"/>
                <w:lang w:val="en-US" w:eastAsia="zh-CN"/>
              </w:rPr>
              <w:t>表2-</w:t>
            </w:r>
            <w:r>
              <w:rPr>
                <w:rFonts w:hint="eastAsia" w:cs="Times New Roman"/>
                <w:bCs/>
                <w:snapToGrid w:val="0"/>
                <w:color w:val="auto"/>
                <w:kern w:val="0"/>
                <w:sz w:val="24"/>
                <w:highlight w:val="none"/>
                <w:lang w:val="en-US" w:eastAsia="zh-CN"/>
              </w:rPr>
              <w:t>4</w:t>
            </w:r>
            <w:r>
              <w:rPr>
                <w:rFonts w:hint="eastAsia" w:ascii="Times New Roman" w:hAnsi="Times New Roman" w:eastAsia="宋体" w:cs="Times New Roman"/>
                <w:bCs/>
                <w:snapToGrid w:val="0"/>
                <w:color w:val="auto"/>
                <w:kern w:val="0"/>
                <w:sz w:val="24"/>
                <w:highlight w:val="none"/>
                <w:lang w:val="en-US" w:eastAsia="zh-CN"/>
              </w:rPr>
              <w:t xml:space="preserve">  设备配置一览表</w:t>
            </w:r>
          </w:p>
          <w:tbl>
            <w:tblPr>
              <w:tblStyle w:val="15"/>
              <w:tblW w:w="8377"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669"/>
              <w:gridCol w:w="1933"/>
              <w:gridCol w:w="2288"/>
              <w:gridCol w:w="1000"/>
              <w:gridCol w:w="1034"/>
              <w:gridCol w:w="145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eastAsia="宋体" w:cs="Times New Roman"/>
                      <w:bCs/>
                      <w:snapToGrid w:val="0"/>
                      <w:color w:val="auto"/>
                      <w:kern w:val="0"/>
                      <w:sz w:val="21"/>
                      <w:szCs w:val="21"/>
                      <w:highlight w:val="none"/>
                      <w:vertAlign w:val="baseline"/>
                      <w:lang w:val="en-US" w:eastAsia="zh-CN"/>
                    </w:rPr>
                  </w:pPr>
                  <w:r>
                    <w:rPr>
                      <w:rFonts w:hint="eastAsia" w:eastAsia="宋体" w:cs="Times New Roman"/>
                      <w:bCs/>
                      <w:snapToGrid w:val="0"/>
                      <w:color w:val="auto"/>
                      <w:kern w:val="0"/>
                      <w:sz w:val="21"/>
                      <w:szCs w:val="21"/>
                      <w:highlight w:val="none"/>
                      <w:vertAlign w:val="baseline"/>
                      <w:lang w:val="en-US" w:eastAsia="zh-CN"/>
                    </w:rPr>
                    <w:t>序号</w:t>
                  </w:r>
                </w:p>
              </w:tc>
              <w:tc>
                <w:tcPr>
                  <w:tcW w:w="19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eastAsia="宋体" w:cs="Times New Roman"/>
                      <w:bCs/>
                      <w:snapToGrid w:val="0"/>
                      <w:color w:val="auto"/>
                      <w:kern w:val="0"/>
                      <w:sz w:val="21"/>
                      <w:szCs w:val="21"/>
                      <w:highlight w:val="none"/>
                      <w:vertAlign w:val="baseline"/>
                      <w:lang w:val="en-US" w:eastAsia="zh-CN"/>
                    </w:rPr>
                  </w:pPr>
                  <w:r>
                    <w:rPr>
                      <w:rFonts w:hint="eastAsia" w:eastAsia="宋体" w:cs="Times New Roman"/>
                      <w:bCs/>
                      <w:snapToGrid w:val="0"/>
                      <w:color w:val="auto"/>
                      <w:kern w:val="0"/>
                      <w:sz w:val="21"/>
                      <w:szCs w:val="21"/>
                      <w:highlight w:val="none"/>
                      <w:vertAlign w:val="baseline"/>
                      <w:lang w:val="en-US" w:eastAsia="zh-CN"/>
                    </w:rPr>
                    <w:t>设备名称</w:t>
                  </w:r>
                </w:p>
              </w:tc>
              <w:tc>
                <w:tcPr>
                  <w:tcW w:w="228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eastAsia="宋体" w:cs="Times New Roman"/>
                      <w:bCs/>
                      <w:snapToGrid w:val="0"/>
                      <w:color w:val="auto"/>
                      <w:kern w:val="0"/>
                      <w:sz w:val="21"/>
                      <w:szCs w:val="21"/>
                      <w:highlight w:val="yellow"/>
                      <w:vertAlign w:val="baseline"/>
                      <w:lang w:val="en-US" w:eastAsia="zh-CN"/>
                    </w:rPr>
                  </w:pPr>
                  <w:r>
                    <w:rPr>
                      <w:rFonts w:hint="eastAsia" w:eastAsia="宋体" w:cs="Times New Roman"/>
                      <w:bCs/>
                      <w:snapToGrid w:val="0"/>
                      <w:color w:val="auto"/>
                      <w:kern w:val="0"/>
                      <w:sz w:val="21"/>
                      <w:szCs w:val="21"/>
                      <w:highlight w:val="none"/>
                      <w:vertAlign w:val="baseline"/>
                      <w:lang w:val="en-US" w:eastAsia="zh-CN"/>
                    </w:rPr>
                    <w:t>规格型号</w:t>
                  </w:r>
                </w:p>
              </w:tc>
              <w:tc>
                <w:tcPr>
                  <w:tcW w:w="100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eastAsia="宋体" w:cs="Times New Roman"/>
                      <w:bCs/>
                      <w:snapToGrid w:val="0"/>
                      <w:color w:val="auto"/>
                      <w:kern w:val="0"/>
                      <w:sz w:val="21"/>
                      <w:szCs w:val="21"/>
                      <w:highlight w:val="none"/>
                      <w:vertAlign w:val="baseline"/>
                      <w:lang w:val="en-US" w:eastAsia="zh-CN"/>
                    </w:rPr>
                  </w:pPr>
                  <w:r>
                    <w:rPr>
                      <w:rFonts w:hint="eastAsia" w:eastAsia="宋体" w:cs="Times New Roman"/>
                      <w:bCs/>
                      <w:snapToGrid w:val="0"/>
                      <w:color w:val="auto"/>
                      <w:kern w:val="0"/>
                      <w:sz w:val="21"/>
                      <w:szCs w:val="21"/>
                      <w:highlight w:val="none"/>
                      <w:vertAlign w:val="baseline"/>
                      <w:lang w:val="en-US" w:eastAsia="zh-CN"/>
                    </w:rPr>
                    <w:t>单位</w:t>
                  </w:r>
                </w:p>
              </w:tc>
              <w:tc>
                <w:tcPr>
                  <w:tcW w:w="103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eastAsia="宋体" w:cs="Times New Roman"/>
                      <w:bCs/>
                      <w:snapToGrid w:val="0"/>
                      <w:color w:val="auto"/>
                      <w:kern w:val="0"/>
                      <w:sz w:val="21"/>
                      <w:szCs w:val="21"/>
                      <w:highlight w:val="none"/>
                      <w:vertAlign w:val="baseline"/>
                      <w:lang w:val="en-US" w:eastAsia="zh-CN"/>
                    </w:rPr>
                  </w:pPr>
                  <w:r>
                    <w:rPr>
                      <w:rFonts w:hint="eastAsia" w:eastAsia="宋体" w:cs="Times New Roman"/>
                      <w:bCs/>
                      <w:snapToGrid w:val="0"/>
                      <w:color w:val="auto"/>
                      <w:kern w:val="0"/>
                      <w:sz w:val="21"/>
                      <w:szCs w:val="21"/>
                      <w:highlight w:val="none"/>
                      <w:vertAlign w:val="baseline"/>
                      <w:lang w:val="en-US" w:eastAsia="zh-CN"/>
                    </w:rPr>
                    <w:t>数量</w:t>
                  </w:r>
                </w:p>
              </w:tc>
              <w:tc>
                <w:tcPr>
                  <w:tcW w:w="145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eastAsia="宋体" w:cs="Times New Roman"/>
                      <w:bCs/>
                      <w:snapToGrid w:val="0"/>
                      <w:color w:val="auto"/>
                      <w:kern w:val="0"/>
                      <w:sz w:val="21"/>
                      <w:szCs w:val="21"/>
                      <w:highlight w:val="none"/>
                      <w:vertAlign w:val="baseline"/>
                      <w:lang w:val="en-US" w:eastAsia="zh-CN"/>
                    </w:rPr>
                  </w:pPr>
                  <w:r>
                    <w:rPr>
                      <w:rFonts w:hint="eastAsia" w:eastAsia="宋体" w:cs="Times New Roman"/>
                      <w:bCs/>
                      <w:snapToGrid w:val="0"/>
                      <w:color w:val="auto"/>
                      <w:kern w:val="0"/>
                      <w:sz w:val="21"/>
                      <w:szCs w:val="21"/>
                      <w:highlight w:val="none"/>
                      <w:vertAlign w:val="baseline"/>
                      <w:lang w:val="en-US" w:eastAsia="zh-CN"/>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1</w:t>
                  </w:r>
                </w:p>
              </w:tc>
              <w:tc>
                <w:tcPr>
                  <w:tcW w:w="19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片材机</w:t>
                  </w:r>
                </w:p>
              </w:tc>
              <w:tc>
                <w:tcPr>
                  <w:tcW w:w="228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eastAsia="宋体" w:cs="Times New Roman"/>
                      <w:bCs/>
                      <w:snapToGrid w:val="0"/>
                      <w:color w:val="auto"/>
                      <w:kern w:val="0"/>
                      <w:sz w:val="21"/>
                      <w:szCs w:val="21"/>
                      <w:highlight w:val="yellow"/>
                      <w:vertAlign w:val="baseline"/>
                      <w:lang w:val="en-US" w:eastAsia="zh-CN"/>
                    </w:rPr>
                  </w:pPr>
                  <w:r>
                    <w:rPr>
                      <w:rFonts w:hint="eastAsia" w:cs="Times New Roman"/>
                      <w:bCs/>
                      <w:snapToGrid w:val="0"/>
                      <w:color w:val="auto"/>
                      <w:kern w:val="0"/>
                      <w:sz w:val="21"/>
                      <w:szCs w:val="21"/>
                      <w:highlight w:val="none"/>
                      <w:vertAlign w:val="baseline"/>
                      <w:lang w:val="en-US" w:eastAsia="zh-CN"/>
                    </w:rPr>
                    <w:t>42kg/h</w:t>
                  </w:r>
                </w:p>
              </w:tc>
              <w:tc>
                <w:tcPr>
                  <w:tcW w:w="100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台</w:t>
                  </w:r>
                </w:p>
              </w:tc>
              <w:tc>
                <w:tcPr>
                  <w:tcW w:w="103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2</w:t>
                  </w:r>
                </w:p>
              </w:tc>
              <w:tc>
                <w:tcPr>
                  <w:tcW w:w="145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熔融挤塑</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2</w:t>
                  </w:r>
                </w:p>
              </w:tc>
              <w:tc>
                <w:tcPr>
                  <w:tcW w:w="19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打杯机</w:t>
                  </w:r>
                </w:p>
              </w:tc>
              <w:tc>
                <w:tcPr>
                  <w:tcW w:w="228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eastAsia="宋体" w:cs="Times New Roman"/>
                      <w:bCs/>
                      <w:snapToGrid w:val="0"/>
                      <w:color w:val="auto"/>
                      <w:kern w:val="0"/>
                      <w:sz w:val="21"/>
                      <w:szCs w:val="21"/>
                      <w:highlight w:val="yellow"/>
                      <w:vertAlign w:val="baseline"/>
                      <w:lang w:val="en-US" w:eastAsia="zh-CN"/>
                    </w:rPr>
                  </w:pPr>
                  <w:r>
                    <w:rPr>
                      <w:rFonts w:hint="eastAsia" w:cs="Times New Roman"/>
                      <w:bCs/>
                      <w:snapToGrid w:val="0"/>
                      <w:color w:val="auto"/>
                      <w:kern w:val="0"/>
                      <w:sz w:val="21"/>
                      <w:szCs w:val="21"/>
                      <w:highlight w:val="none"/>
                      <w:vertAlign w:val="baseline"/>
                      <w:lang w:val="en-US" w:eastAsia="zh-CN"/>
                    </w:rPr>
                    <w:t>4.5kg/h</w:t>
                  </w:r>
                </w:p>
              </w:tc>
              <w:tc>
                <w:tcPr>
                  <w:tcW w:w="100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台</w:t>
                  </w:r>
                </w:p>
              </w:tc>
              <w:tc>
                <w:tcPr>
                  <w:tcW w:w="103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4</w:t>
                  </w:r>
                </w:p>
              </w:tc>
              <w:tc>
                <w:tcPr>
                  <w:tcW w:w="1453"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加热成型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3</w:t>
                  </w:r>
                </w:p>
              </w:tc>
              <w:tc>
                <w:tcPr>
                  <w:tcW w:w="19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多功能成型机</w:t>
                  </w:r>
                </w:p>
              </w:tc>
              <w:tc>
                <w:tcPr>
                  <w:tcW w:w="228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eastAsia="宋体" w:cs="Times New Roman"/>
                      <w:bCs/>
                      <w:snapToGrid w:val="0"/>
                      <w:color w:val="auto"/>
                      <w:kern w:val="0"/>
                      <w:sz w:val="21"/>
                      <w:szCs w:val="21"/>
                      <w:highlight w:val="yellow"/>
                      <w:vertAlign w:val="baseline"/>
                      <w:lang w:val="en-US" w:eastAsia="zh-CN"/>
                    </w:rPr>
                  </w:pPr>
                  <w:r>
                    <w:rPr>
                      <w:rFonts w:hint="eastAsia" w:cs="Times New Roman"/>
                      <w:bCs/>
                      <w:snapToGrid w:val="0"/>
                      <w:color w:val="auto"/>
                      <w:kern w:val="0"/>
                      <w:sz w:val="21"/>
                      <w:szCs w:val="21"/>
                      <w:highlight w:val="none"/>
                      <w:vertAlign w:val="baseline"/>
                      <w:lang w:val="en-US" w:eastAsia="zh-CN"/>
                    </w:rPr>
                    <w:t>24kg/h</w:t>
                  </w:r>
                </w:p>
              </w:tc>
              <w:tc>
                <w:tcPr>
                  <w:tcW w:w="100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台</w:t>
                  </w:r>
                </w:p>
              </w:tc>
              <w:tc>
                <w:tcPr>
                  <w:tcW w:w="103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2</w:t>
                  </w:r>
                </w:p>
              </w:tc>
              <w:tc>
                <w:tcPr>
                  <w:tcW w:w="1453"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eastAsia="宋体" w:cs="Times New Roman"/>
                      <w:bCs/>
                      <w:snapToGrid w:val="0"/>
                      <w:color w:val="auto"/>
                      <w:kern w:val="0"/>
                      <w:sz w:val="21"/>
                      <w:szCs w:val="21"/>
                      <w:highlight w:val="none"/>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4</w:t>
                  </w:r>
                </w:p>
              </w:tc>
              <w:tc>
                <w:tcPr>
                  <w:tcW w:w="19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吸塑机</w:t>
                  </w:r>
                </w:p>
              </w:tc>
              <w:tc>
                <w:tcPr>
                  <w:tcW w:w="228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5.6kg/h</w:t>
                  </w:r>
                </w:p>
              </w:tc>
              <w:tc>
                <w:tcPr>
                  <w:tcW w:w="100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台</w:t>
                  </w:r>
                </w:p>
              </w:tc>
              <w:tc>
                <w:tcPr>
                  <w:tcW w:w="103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3</w:t>
                  </w:r>
                </w:p>
              </w:tc>
              <w:tc>
                <w:tcPr>
                  <w:tcW w:w="1453"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eastAsia="宋体" w:cs="Times New Roman"/>
                      <w:bCs/>
                      <w:snapToGrid w:val="0"/>
                      <w:color w:val="auto"/>
                      <w:kern w:val="0"/>
                      <w:sz w:val="21"/>
                      <w:szCs w:val="21"/>
                      <w:highlight w:val="none"/>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5</w:t>
                  </w:r>
                </w:p>
              </w:tc>
              <w:tc>
                <w:tcPr>
                  <w:tcW w:w="19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冷却塔</w:t>
                  </w:r>
                </w:p>
              </w:tc>
              <w:tc>
                <w:tcPr>
                  <w:tcW w:w="228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10m</w:t>
                  </w:r>
                  <w:r>
                    <w:rPr>
                      <w:rFonts w:hint="eastAsia" w:cs="Times New Roman"/>
                      <w:bCs/>
                      <w:snapToGrid w:val="0"/>
                      <w:color w:val="auto"/>
                      <w:kern w:val="0"/>
                      <w:sz w:val="21"/>
                      <w:szCs w:val="21"/>
                      <w:highlight w:val="none"/>
                      <w:vertAlign w:val="superscript"/>
                      <w:lang w:val="en-US" w:eastAsia="zh-CN"/>
                    </w:rPr>
                    <w:t>3</w:t>
                  </w:r>
                  <w:r>
                    <w:rPr>
                      <w:rFonts w:hint="eastAsia" w:cs="Times New Roman"/>
                      <w:bCs/>
                      <w:snapToGrid w:val="0"/>
                      <w:color w:val="auto"/>
                      <w:kern w:val="0"/>
                      <w:sz w:val="21"/>
                      <w:szCs w:val="21"/>
                      <w:highlight w:val="none"/>
                      <w:vertAlign w:val="baseline"/>
                      <w:lang w:val="en-US" w:eastAsia="zh-CN"/>
                    </w:rPr>
                    <w:t>/h</w:t>
                  </w:r>
                </w:p>
              </w:tc>
              <w:tc>
                <w:tcPr>
                  <w:tcW w:w="100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座</w:t>
                  </w:r>
                </w:p>
              </w:tc>
              <w:tc>
                <w:tcPr>
                  <w:tcW w:w="103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1</w:t>
                  </w:r>
                </w:p>
              </w:tc>
              <w:tc>
                <w:tcPr>
                  <w:tcW w:w="145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间接冷却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bidi="ar-SA"/>
                    </w:rPr>
                    <w:t>6</w:t>
                  </w:r>
                </w:p>
              </w:tc>
              <w:tc>
                <w:tcPr>
                  <w:tcW w:w="19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螺杆式空压机</w:t>
                  </w:r>
                </w:p>
              </w:tc>
              <w:tc>
                <w:tcPr>
                  <w:tcW w:w="228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eastAsia="宋体" w:cs="Times New Roman"/>
                      <w:bCs/>
                      <w:snapToGrid w:val="0"/>
                      <w:color w:val="auto"/>
                      <w:kern w:val="0"/>
                      <w:sz w:val="21"/>
                      <w:szCs w:val="21"/>
                      <w:highlight w:val="none"/>
                      <w:vertAlign w:val="baseline"/>
                      <w:lang w:val="en-US" w:eastAsia="zh-CN"/>
                    </w:rPr>
                  </w:pPr>
                  <w:r>
                    <w:rPr>
                      <w:rFonts w:hint="default" w:ascii="Times New Roman" w:hAnsi="Times New Roman" w:eastAsia="宋体" w:cs="Times New Roman"/>
                      <w:bCs/>
                      <w:snapToGrid w:val="0"/>
                      <w:color w:val="auto"/>
                      <w:kern w:val="0"/>
                      <w:sz w:val="21"/>
                      <w:szCs w:val="21"/>
                      <w:highlight w:val="none"/>
                      <w:vertAlign w:val="baseline"/>
                      <w:lang w:val="en-US" w:eastAsia="zh-CN"/>
                    </w:rPr>
                    <w:t>DR-50A</w:t>
                  </w:r>
                </w:p>
              </w:tc>
              <w:tc>
                <w:tcPr>
                  <w:tcW w:w="100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台</w:t>
                  </w:r>
                </w:p>
              </w:tc>
              <w:tc>
                <w:tcPr>
                  <w:tcW w:w="103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2</w:t>
                  </w:r>
                </w:p>
              </w:tc>
              <w:tc>
                <w:tcPr>
                  <w:tcW w:w="145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cs="Times New Roman"/>
                      <w:bCs/>
                      <w:snapToGrid w:val="0"/>
                      <w:color w:val="auto"/>
                      <w:kern w:val="0"/>
                      <w:sz w:val="21"/>
                      <w:szCs w:val="21"/>
                      <w:highlight w:val="none"/>
                      <w:vertAlign w:val="baseline"/>
                      <w:lang w:val="en-US" w:eastAsia="zh-CN" w:bidi="ar-SA"/>
                    </w:rPr>
                  </w:pPr>
                  <w:r>
                    <w:rPr>
                      <w:rFonts w:hint="eastAsia" w:cs="Times New Roman"/>
                      <w:bCs/>
                      <w:snapToGrid w:val="0"/>
                      <w:color w:val="auto"/>
                      <w:kern w:val="0"/>
                      <w:sz w:val="21"/>
                      <w:szCs w:val="21"/>
                      <w:highlight w:val="none"/>
                      <w:vertAlign w:val="baseline"/>
                      <w:lang w:val="en-US" w:eastAsia="zh-CN" w:bidi="ar-SA"/>
                    </w:rPr>
                    <w:t>7</w:t>
                  </w:r>
                </w:p>
              </w:tc>
              <w:tc>
                <w:tcPr>
                  <w:tcW w:w="19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风机</w:t>
                  </w:r>
                </w:p>
              </w:tc>
              <w:tc>
                <w:tcPr>
                  <w:tcW w:w="228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w:t>
                  </w:r>
                </w:p>
              </w:tc>
              <w:tc>
                <w:tcPr>
                  <w:tcW w:w="100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台</w:t>
                  </w:r>
                </w:p>
              </w:tc>
              <w:tc>
                <w:tcPr>
                  <w:tcW w:w="103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1</w:t>
                  </w:r>
                </w:p>
              </w:tc>
              <w:tc>
                <w:tcPr>
                  <w:tcW w:w="145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w:t>
                  </w:r>
                </w:p>
              </w:tc>
            </w:tr>
          </w:tbl>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eastAsia="宋体" w:cs="Times New Roman"/>
                <w:bCs/>
                <w:snapToGrid w:val="0"/>
                <w:color w:val="auto"/>
                <w:kern w:val="0"/>
                <w:sz w:val="24"/>
                <w:highlight w:val="yellow"/>
                <w:lang w:val="en-US" w:eastAsia="zh-CN"/>
              </w:rPr>
            </w:pPr>
            <w:r>
              <w:rPr>
                <w:rFonts w:hint="eastAsia" w:eastAsia="宋体" w:cs="Times New Roman"/>
                <w:bCs/>
                <w:snapToGrid w:val="0"/>
                <w:color w:val="auto"/>
                <w:kern w:val="0"/>
                <w:sz w:val="24"/>
                <w:highlight w:val="none"/>
                <w:lang w:val="en-US" w:eastAsia="zh-CN"/>
              </w:rPr>
              <w:t>通过核查《产业结构调整指导目录（2019年版）》、工信部《高耗能落后机电设备（产品）淘汰目录》（第一批、第二批、第三批）及工信部工产业[2010]第122号《部分工业行业淘汰落后生产工艺装备和产品指导目录（2010年本）》可知，项目</w:t>
            </w:r>
            <w:r>
              <w:rPr>
                <w:rFonts w:hint="eastAsia" w:cs="Times New Roman"/>
                <w:bCs/>
                <w:snapToGrid w:val="0"/>
                <w:color w:val="auto"/>
                <w:kern w:val="0"/>
                <w:sz w:val="24"/>
                <w:highlight w:val="none"/>
                <w:lang w:val="en-US" w:eastAsia="zh-CN"/>
              </w:rPr>
              <w:t>使用生产</w:t>
            </w:r>
            <w:r>
              <w:rPr>
                <w:rFonts w:hint="eastAsia" w:eastAsia="宋体" w:cs="Times New Roman"/>
                <w:bCs/>
                <w:snapToGrid w:val="0"/>
                <w:color w:val="auto"/>
                <w:kern w:val="0"/>
                <w:sz w:val="24"/>
                <w:highlight w:val="none"/>
                <w:lang w:val="en-US" w:eastAsia="zh-CN"/>
              </w:rPr>
              <w:t>设备均不属于国家禁止或明令淘汰的设备。</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cs="Times New Roman"/>
                <w:bCs/>
                <w:snapToGrid w:val="0"/>
                <w:color w:val="auto"/>
                <w:kern w:val="0"/>
                <w:sz w:val="24"/>
                <w:highlight w:val="none"/>
                <w:lang w:val="en-US" w:eastAsia="zh-CN"/>
              </w:rPr>
            </w:pPr>
            <w:r>
              <w:rPr>
                <w:rFonts w:hint="default" w:ascii="Times New Roman" w:hAnsi="Times New Roman" w:cs="Times New Roman"/>
                <w:bCs/>
                <w:snapToGrid w:val="0"/>
                <w:color w:val="auto"/>
                <w:kern w:val="0"/>
                <w:sz w:val="24"/>
                <w:highlight w:val="none"/>
                <w:lang w:val="en-US" w:eastAsia="zh-CN"/>
              </w:rPr>
              <w:t>（2）产能匹配性分析</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cs="Times New Roman"/>
                <w:bCs/>
                <w:snapToGrid w:val="0"/>
                <w:color w:val="auto"/>
                <w:kern w:val="0"/>
                <w:sz w:val="24"/>
                <w:highlight w:val="yellow"/>
                <w:lang w:val="en-US" w:eastAsia="zh-CN"/>
              </w:rPr>
            </w:pPr>
            <w:r>
              <w:rPr>
                <w:rFonts w:hint="default" w:ascii="Times New Roman" w:hAnsi="Times New Roman" w:eastAsia="宋体" w:cs="Times New Roman"/>
                <w:color w:val="auto"/>
                <w:sz w:val="24"/>
                <w:szCs w:val="24"/>
                <w:highlight w:val="none"/>
              </w:rPr>
              <w:t>本次评价</w:t>
            </w:r>
            <w:r>
              <w:rPr>
                <w:rFonts w:hint="default" w:ascii="Times New Roman" w:hAnsi="Times New Roman" w:eastAsia="宋体" w:cs="Times New Roman"/>
                <w:color w:val="auto"/>
                <w:sz w:val="24"/>
                <w:szCs w:val="24"/>
                <w:highlight w:val="none"/>
                <w:lang w:val="en-US" w:eastAsia="zh-CN"/>
              </w:rPr>
              <w:t>重点</w:t>
            </w:r>
            <w:r>
              <w:rPr>
                <w:rFonts w:hint="default" w:ascii="Times New Roman" w:hAnsi="Times New Roman" w:eastAsia="宋体" w:cs="Times New Roman"/>
                <w:color w:val="auto"/>
                <w:sz w:val="24"/>
                <w:szCs w:val="24"/>
                <w:highlight w:val="none"/>
              </w:rPr>
              <w:t>针对</w:t>
            </w:r>
            <w:r>
              <w:rPr>
                <w:rFonts w:hint="eastAsia" w:cs="Times New Roman"/>
                <w:color w:val="auto"/>
                <w:sz w:val="24"/>
                <w:szCs w:val="24"/>
                <w:highlight w:val="none"/>
                <w:lang w:val="en-US" w:eastAsia="zh-CN"/>
              </w:rPr>
              <w:t>熔融挤塑及吸塑成型</w:t>
            </w:r>
            <w:r>
              <w:rPr>
                <w:rFonts w:hint="default" w:ascii="Times New Roman" w:hAnsi="Times New Roman" w:eastAsia="宋体" w:cs="Times New Roman"/>
                <w:color w:val="auto"/>
                <w:sz w:val="24"/>
                <w:szCs w:val="24"/>
                <w:highlight w:val="none"/>
                <w:lang w:val="en-US" w:eastAsia="zh-CN"/>
              </w:rPr>
              <w:t>工艺</w:t>
            </w:r>
            <w:r>
              <w:rPr>
                <w:rFonts w:hint="default" w:ascii="Times New Roman" w:hAnsi="Times New Roman" w:eastAsia="宋体" w:cs="Times New Roman"/>
                <w:color w:val="auto"/>
                <w:sz w:val="24"/>
                <w:szCs w:val="24"/>
                <w:highlight w:val="none"/>
              </w:rPr>
              <w:t>进行产能匹配性分析</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根据建设单位提供</w:t>
            </w:r>
            <w:r>
              <w:rPr>
                <w:rFonts w:hint="eastAsia" w:cs="Times New Roman"/>
                <w:color w:val="auto"/>
                <w:sz w:val="24"/>
                <w:szCs w:val="24"/>
                <w:highlight w:val="none"/>
                <w:lang w:val="en-US" w:eastAsia="zh-CN"/>
              </w:rPr>
              <w:t>相关设备参数，</w:t>
            </w:r>
            <w:r>
              <w:rPr>
                <w:rFonts w:ascii="宋体" w:hAnsi="宋体" w:eastAsia="宋体" w:cs="宋体"/>
                <w:color w:val="auto"/>
                <w:sz w:val="24"/>
                <w:szCs w:val="24"/>
                <w:highlight w:val="none"/>
              </w:rPr>
              <w:t>项目生产工艺技术指标，详见下表。</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cs="Times New Roman"/>
                <w:bCs/>
                <w:snapToGrid w:val="0"/>
                <w:color w:val="auto"/>
                <w:kern w:val="0"/>
                <w:sz w:val="24"/>
                <w:highlight w:val="none"/>
                <w:lang w:val="en-US" w:eastAsia="zh-CN"/>
              </w:rPr>
            </w:pPr>
            <w:r>
              <w:rPr>
                <w:rFonts w:hint="default" w:ascii="Times New Roman" w:hAnsi="Times New Roman" w:cs="Times New Roman"/>
                <w:bCs/>
                <w:snapToGrid w:val="0"/>
                <w:color w:val="auto"/>
                <w:kern w:val="0"/>
                <w:sz w:val="24"/>
                <w:highlight w:val="none"/>
                <w:lang w:val="en-US" w:eastAsia="zh-CN"/>
              </w:rPr>
              <w:t>表</w:t>
            </w:r>
            <w:r>
              <w:rPr>
                <w:rFonts w:hint="eastAsia" w:cs="Times New Roman"/>
                <w:bCs/>
                <w:snapToGrid w:val="0"/>
                <w:color w:val="auto"/>
                <w:kern w:val="0"/>
                <w:sz w:val="24"/>
                <w:highlight w:val="none"/>
                <w:lang w:val="en-US" w:eastAsia="zh-CN"/>
              </w:rPr>
              <w:t>2-5</w:t>
            </w:r>
            <w:r>
              <w:rPr>
                <w:rFonts w:hint="default" w:ascii="Times New Roman" w:hAnsi="Times New Roman" w:cs="Times New Roman"/>
                <w:bCs/>
                <w:snapToGrid w:val="0"/>
                <w:color w:val="auto"/>
                <w:kern w:val="0"/>
                <w:sz w:val="24"/>
                <w:highlight w:val="none"/>
                <w:lang w:val="en-US" w:eastAsia="zh-CN"/>
              </w:rPr>
              <w:t xml:space="preserve"> 生产工艺技术指标</w:t>
            </w:r>
          </w:p>
          <w:tbl>
            <w:tblPr>
              <w:tblStyle w:val="16"/>
              <w:tblW w:w="84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
              <w:gridCol w:w="1156"/>
              <w:gridCol w:w="1415"/>
              <w:gridCol w:w="844"/>
              <w:gridCol w:w="1112"/>
              <w:gridCol w:w="1149"/>
              <w:gridCol w:w="841"/>
              <w:gridCol w:w="1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编号</w:t>
                  </w:r>
                </w:p>
              </w:tc>
              <w:tc>
                <w:tcPr>
                  <w:tcW w:w="1156"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设备名称</w:t>
                  </w:r>
                </w:p>
              </w:tc>
              <w:tc>
                <w:tcPr>
                  <w:tcW w:w="141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单台设备最大小时产能</w:t>
                  </w:r>
                </w:p>
              </w:tc>
              <w:tc>
                <w:tcPr>
                  <w:tcW w:w="844"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设备数量</w:t>
                  </w:r>
                </w:p>
              </w:tc>
              <w:tc>
                <w:tcPr>
                  <w:tcW w:w="1112"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设计年工作时间</w:t>
                  </w:r>
                </w:p>
              </w:tc>
              <w:tc>
                <w:tcPr>
                  <w:tcW w:w="1149"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满负荷生产时间</w:t>
                  </w:r>
                </w:p>
              </w:tc>
              <w:tc>
                <w:tcPr>
                  <w:tcW w:w="841"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设计产能</w:t>
                  </w:r>
                </w:p>
              </w:tc>
              <w:tc>
                <w:tcPr>
                  <w:tcW w:w="1502"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满负荷生产设备最大产能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1</w:t>
                  </w:r>
                </w:p>
              </w:tc>
              <w:tc>
                <w:tcPr>
                  <w:tcW w:w="1156"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片材机</w:t>
                  </w:r>
                </w:p>
              </w:tc>
              <w:tc>
                <w:tcPr>
                  <w:tcW w:w="141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42kg/h</w:t>
                  </w:r>
                </w:p>
              </w:tc>
              <w:tc>
                <w:tcPr>
                  <w:tcW w:w="844"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2</w:t>
                  </w:r>
                </w:p>
              </w:tc>
              <w:tc>
                <w:tcPr>
                  <w:tcW w:w="1112"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2080</w:t>
                  </w:r>
                </w:p>
              </w:tc>
              <w:tc>
                <w:tcPr>
                  <w:tcW w:w="1149"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2080</w:t>
                  </w:r>
                </w:p>
              </w:tc>
              <w:tc>
                <w:tcPr>
                  <w:tcW w:w="841"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140t/a</w:t>
                  </w:r>
                </w:p>
              </w:tc>
              <w:tc>
                <w:tcPr>
                  <w:tcW w:w="1502"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174.72t/a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2</w:t>
                  </w:r>
                </w:p>
              </w:tc>
              <w:tc>
                <w:tcPr>
                  <w:tcW w:w="1156"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打杯机</w:t>
                  </w:r>
                </w:p>
              </w:tc>
              <w:tc>
                <w:tcPr>
                  <w:tcW w:w="141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4.5kg/h</w:t>
                  </w:r>
                </w:p>
              </w:tc>
              <w:tc>
                <w:tcPr>
                  <w:tcW w:w="844"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4</w:t>
                  </w:r>
                </w:p>
              </w:tc>
              <w:tc>
                <w:tcPr>
                  <w:tcW w:w="1112"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2080</w:t>
                  </w:r>
                </w:p>
              </w:tc>
              <w:tc>
                <w:tcPr>
                  <w:tcW w:w="1149"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2080</w:t>
                  </w:r>
                </w:p>
              </w:tc>
              <w:tc>
                <w:tcPr>
                  <w:tcW w:w="841"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30t/a</w:t>
                  </w:r>
                </w:p>
              </w:tc>
              <w:tc>
                <w:tcPr>
                  <w:tcW w:w="1502"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eastAsia"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37.44t/a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3</w:t>
                  </w:r>
                </w:p>
              </w:tc>
              <w:tc>
                <w:tcPr>
                  <w:tcW w:w="1156"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多功能成型机</w:t>
                  </w:r>
                </w:p>
              </w:tc>
              <w:tc>
                <w:tcPr>
                  <w:tcW w:w="141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24kg/h</w:t>
                  </w:r>
                </w:p>
              </w:tc>
              <w:tc>
                <w:tcPr>
                  <w:tcW w:w="844"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2</w:t>
                  </w:r>
                </w:p>
              </w:tc>
              <w:tc>
                <w:tcPr>
                  <w:tcW w:w="1112"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eastAsia"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2080</w:t>
                  </w:r>
                </w:p>
              </w:tc>
              <w:tc>
                <w:tcPr>
                  <w:tcW w:w="1149"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eastAsia"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2080</w:t>
                  </w:r>
                </w:p>
              </w:tc>
              <w:tc>
                <w:tcPr>
                  <w:tcW w:w="841"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80t/a</w:t>
                  </w:r>
                </w:p>
              </w:tc>
              <w:tc>
                <w:tcPr>
                  <w:tcW w:w="1502"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99.84t/a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4</w:t>
                  </w:r>
                </w:p>
              </w:tc>
              <w:tc>
                <w:tcPr>
                  <w:tcW w:w="1156"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吸塑机</w:t>
                  </w:r>
                </w:p>
              </w:tc>
              <w:tc>
                <w:tcPr>
                  <w:tcW w:w="141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5.6kg/h</w:t>
                  </w:r>
                </w:p>
              </w:tc>
              <w:tc>
                <w:tcPr>
                  <w:tcW w:w="844"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3</w:t>
                  </w:r>
                </w:p>
              </w:tc>
              <w:tc>
                <w:tcPr>
                  <w:tcW w:w="1112"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eastAsia"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2080</w:t>
                  </w:r>
                </w:p>
              </w:tc>
              <w:tc>
                <w:tcPr>
                  <w:tcW w:w="1149"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eastAsia"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2080</w:t>
                  </w:r>
                </w:p>
              </w:tc>
              <w:tc>
                <w:tcPr>
                  <w:tcW w:w="841"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28t/a</w:t>
                  </w:r>
                </w:p>
              </w:tc>
              <w:tc>
                <w:tcPr>
                  <w:tcW w:w="1502"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34.94t/a</w:t>
                  </w:r>
                </w:p>
              </w:tc>
            </w:tr>
          </w:tbl>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cs="Times New Roman"/>
                <w:bCs/>
                <w:snapToGrid w:val="0"/>
                <w:color w:val="auto"/>
                <w:kern w:val="0"/>
                <w:sz w:val="24"/>
                <w:highlight w:val="yellow"/>
                <w:lang w:val="en-US" w:eastAsia="zh-CN"/>
              </w:rPr>
            </w:pPr>
            <w:r>
              <w:rPr>
                <w:rFonts w:hint="eastAsia" w:cs="Times New Roman"/>
                <w:bCs/>
                <w:snapToGrid w:val="0"/>
                <w:color w:val="auto"/>
                <w:kern w:val="0"/>
                <w:sz w:val="24"/>
                <w:highlight w:val="none"/>
                <w:lang w:val="en-US" w:eastAsia="zh-CN"/>
              </w:rPr>
              <w:t>由上表分析，项目满负荷生产时，其最大产能均大于项目设计产能，能满足项目生产需求。</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cs="Times New Roman"/>
                <w:bCs/>
                <w:snapToGrid w:val="0"/>
                <w:color w:val="auto"/>
                <w:kern w:val="0"/>
                <w:sz w:val="24"/>
                <w:highlight w:val="none"/>
                <w:lang w:val="en-US" w:eastAsia="zh-CN"/>
              </w:rPr>
            </w:pPr>
            <w:r>
              <w:rPr>
                <w:rFonts w:hint="eastAsia" w:cs="Times New Roman"/>
                <w:bCs/>
                <w:snapToGrid w:val="0"/>
                <w:color w:val="auto"/>
                <w:kern w:val="0"/>
                <w:sz w:val="24"/>
                <w:highlight w:val="none"/>
                <w:lang w:val="en-US" w:eastAsia="zh-CN"/>
              </w:rPr>
              <w:t>6、总平面布置及其合理性</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cs="Times New Roman"/>
                <w:bCs/>
                <w:snapToGrid w:val="0"/>
                <w:color w:val="auto"/>
                <w:kern w:val="0"/>
                <w:sz w:val="24"/>
                <w:highlight w:val="yellow"/>
                <w:lang w:val="en-US" w:eastAsia="zh-CN"/>
              </w:rPr>
            </w:pPr>
            <w:r>
              <w:rPr>
                <w:rFonts w:hint="eastAsia"/>
                <w:color w:val="auto"/>
                <w:sz w:val="24"/>
                <w:highlight w:val="none"/>
                <w:lang w:val="en-US" w:eastAsia="zh-CN"/>
              </w:rPr>
              <w:t>翔达公司</w:t>
            </w:r>
            <w:r>
              <w:rPr>
                <w:rFonts w:hint="eastAsia" w:cs="Times New Roman"/>
                <w:bCs/>
                <w:snapToGrid w:val="0"/>
                <w:color w:val="auto"/>
                <w:kern w:val="0"/>
                <w:sz w:val="24"/>
                <w:highlight w:val="none"/>
                <w:lang w:val="en-US" w:eastAsia="zh-CN"/>
              </w:rPr>
              <w:t>租赁</w:t>
            </w:r>
            <w:r>
              <w:rPr>
                <w:rFonts w:hint="eastAsia"/>
                <w:color w:val="auto"/>
                <w:sz w:val="24"/>
                <w:highlight w:val="none"/>
                <w:lang w:val="en-US" w:eastAsia="zh-CN"/>
              </w:rPr>
              <w:t>重庆市铜梁区金鸿浆纱厂位于</w:t>
            </w:r>
            <w:r>
              <w:rPr>
                <w:rFonts w:hint="eastAsia"/>
                <w:color w:val="auto"/>
                <w:sz w:val="24"/>
                <w:highlight w:val="none"/>
              </w:rPr>
              <w:t>重庆市</w:t>
            </w:r>
            <w:r>
              <w:rPr>
                <w:rFonts w:hint="eastAsia"/>
                <w:color w:val="auto"/>
                <w:sz w:val="24"/>
                <w:highlight w:val="none"/>
                <w:lang w:val="en-US" w:eastAsia="zh-CN"/>
              </w:rPr>
              <w:t>铜梁</w:t>
            </w:r>
            <w:r>
              <w:rPr>
                <w:rFonts w:hint="eastAsia"/>
                <w:color w:val="auto"/>
                <w:sz w:val="24"/>
                <w:highlight w:val="none"/>
              </w:rPr>
              <w:t>区</w:t>
            </w:r>
            <w:r>
              <w:rPr>
                <w:rFonts w:hint="eastAsia"/>
                <w:color w:val="auto"/>
                <w:sz w:val="24"/>
                <w:highlight w:val="none"/>
                <w:lang w:val="en-US" w:eastAsia="zh-CN"/>
              </w:rPr>
              <w:t>侣俸镇工业园区创业路2号闲置生产厂房，建筑面积3000m</w:t>
            </w:r>
            <w:r>
              <w:rPr>
                <w:rFonts w:hint="eastAsia"/>
                <w:color w:val="auto"/>
                <w:sz w:val="24"/>
                <w:highlight w:val="none"/>
                <w:vertAlign w:val="superscript"/>
                <w:lang w:val="en-US" w:eastAsia="zh-CN"/>
              </w:rPr>
              <w:t>2</w:t>
            </w:r>
            <w:r>
              <w:rPr>
                <w:rFonts w:hint="eastAsia" w:cs="Times New Roman"/>
                <w:bCs/>
                <w:snapToGrid w:val="0"/>
                <w:color w:val="auto"/>
                <w:kern w:val="0"/>
                <w:sz w:val="24"/>
                <w:highlight w:val="none"/>
                <w:lang w:val="en-US" w:eastAsia="zh-CN"/>
              </w:rPr>
              <w:t>，进行建设“年产包装制品100万套生产项目”。</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cs="Times New Roman"/>
                <w:bCs/>
                <w:snapToGrid w:val="0"/>
                <w:color w:val="auto"/>
                <w:kern w:val="0"/>
                <w:sz w:val="24"/>
                <w:szCs w:val="24"/>
                <w:highlight w:val="yellow"/>
                <w:lang w:val="en-US" w:eastAsia="zh-CN"/>
              </w:rPr>
            </w:pPr>
            <w:r>
              <w:rPr>
                <w:rFonts w:hint="eastAsia" w:cs="Times New Roman"/>
                <w:bCs/>
                <w:snapToGrid w:val="0"/>
                <w:color w:val="auto"/>
                <w:kern w:val="0"/>
                <w:sz w:val="24"/>
                <w:szCs w:val="24"/>
                <w:highlight w:val="none"/>
                <w:lang w:val="en-US" w:eastAsia="zh-CN"/>
              </w:rPr>
              <w:t>厂房共计1F，</w:t>
            </w:r>
            <w:r>
              <w:rPr>
                <w:rFonts w:hint="eastAsia" w:cs="Times New Roman"/>
                <w:bCs/>
                <w:snapToGrid w:val="0"/>
                <w:color w:val="auto"/>
                <w:kern w:val="0"/>
                <w:sz w:val="24"/>
                <w:szCs w:val="24"/>
                <w:highlight w:val="none"/>
                <w:vertAlign w:val="baseline"/>
                <w:lang w:val="en-US" w:eastAsia="zh-CN"/>
              </w:rPr>
              <w:t>厂区北侧主要布置原料库房及办公区，厂房西侧主要布置成品库房，东侧主要布置生产区域，生产区域内主要布置片材机、打杯机、多功能成型机等生产设备。</w:t>
            </w:r>
            <w:r>
              <w:rPr>
                <w:rFonts w:hint="eastAsia" w:cs="Times New Roman"/>
                <w:bCs/>
                <w:snapToGrid w:val="0"/>
                <w:color w:val="auto"/>
                <w:kern w:val="0"/>
                <w:sz w:val="24"/>
                <w:szCs w:val="24"/>
                <w:highlight w:val="none"/>
                <w:lang w:val="en-US" w:eastAsia="zh-CN"/>
              </w:rPr>
              <w:t>项目在</w:t>
            </w:r>
            <w:r>
              <w:rPr>
                <w:rFonts w:hint="eastAsia"/>
                <w:color w:val="auto"/>
                <w:sz w:val="24"/>
                <w:szCs w:val="24"/>
                <w:highlight w:val="none"/>
                <w:lang w:val="en-US" w:eastAsia="zh-CN"/>
              </w:rPr>
              <w:t>厂房北侧设置一般固废暂存间，建筑</w:t>
            </w:r>
            <w:r>
              <w:rPr>
                <w:rFonts w:hint="eastAsia" w:cs="Times New Roman"/>
                <w:bCs/>
                <w:snapToGrid w:val="0"/>
                <w:color w:val="auto"/>
                <w:kern w:val="0"/>
                <w:sz w:val="24"/>
                <w:szCs w:val="24"/>
                <w:highlight w:val="none"/>
                <w:lang w:val="en-US" w:eastAsia="zh-CN"/>
              </w:rPr>
              <w:t>面积约10m</w:t>
            </w:r>
            <w:r>
              <w:rPr>
                <w:rFonts w:hint="eastAsia" w:cs="Times New Roman"/>
                <w:bCs/>
                <w:snapToGrid w:val="0"/>
                <w:color w:val="auto"/>
                <w:kern w:val="0"/>
                <w:sz w:val="24"/>
                <w:szCs w:val="24"/>
                <w:highlight w:val="none"/>
                <w:vertAlign w:val="superscript"/>
                <w:lang w:val="en-US" w:eastAsia="zh-CN"/>
              </w:rPr>
              <w:t>2</w:t>
            </w:r>
            <w:r>
              <w:rPr>
                <w:rFonts w:hint="eastAsia" w:cs="Times New Roman"/>
                <w:bCs/>
                <w:snapToGrid w:val="0"/>
                <w:color w:val="auto"/>
                <w:kern w:val="0"/>
                <w:sz w:val="24"/>
                <w:szCs w:val="24"/>
                <w:highlight w:val="none"/>
                <w:lang w:val="en-US" w:eastAsia="zh-CN"/>
              </w:rPr>
              <w:t>，用于存放生产过程产生的一般工业固废，紧邻一般固废暂存间处设置一个危险废物暂存间，面积约5m</w:t>
            </w:r>
            <w:r>
              <w:rPr>
                <w:rFonts w:hint="eastAsia" w:cs="Times New Roman"/>
                <w:bCs/>
                <w:snapToGrid w:val="0"/>
                <w:color w:val="auto"/>
                <w:kern w:val="0"/>
                <w:sz w:val="24"/>
                <w:szCs w:val="24"/>
                <w:highlight w:val="none"/>
                <w:vertAlign w:val="superscript"/>
                <w:lang w:val="en-US" w:eastAsia="zh-CN"/>
              </w:rPr>
              <w:t>2</w:t>
            </w:r>
            <w:r>
              <w:rPr>
                <w:rFonts w:hint="eastAsia" w:cs="Times New Roman"/>
                <w:bCs/>
                <w:snapToGrid w:val="0"/>
                <w:color w:val="auto"/>
                <w:kern w:val="0"/>
                <w:sz w:val="24"/>
                <w:szCs w:val="24"/>
                <w:highlight w:val="none"/>
                <w:lang w:val="en-US" w:eastAsia="zh-CN"/>
              </w:rPr>
              <w:t>，用于存放危险废物。</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cs="Times New Roman"/>
                <w:bCs/>
                <w:snapToGrid w:val="0"/>
                <w:color w:val="auto"/>
                <w:kern w:val="0"/>
                <w:sz w:val="24"/>
                <w:highlight w:val="none"/>
                <w:lang w:val="en-US" w:eastAsia="zh-CN"/>
              </w:rPr>
            </w:pPr>
            <w:r>
              <w:rPr>
                <w:rFonts w:hint="eastAsia" w:cs="Times New Roman"/>
                <w:bCs/>
                <w:snapToGrid w:val="0"/>
                <w:color w:val="auto"/>
                <w:kern w:val="0"/>
                <w:sz w:val="24"/>
                <w:highlight w:val="none"/>
                <w:lang w:val="en-US" w:eastAsia="zh-CN"/>
              </w:rPr>
              <w:t>项目办公区与生产区域相对独立，互不影响。项目功能分区合理，对废气、废水、固废的处理做出妥善的安排。符合有关环境规定，布置合理。项目平面布置图，详见附图2。</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cs="Times New Roman"/>
                <w:bCs/>
                <w:snapToGrid w:val="0"/>
                <w:color w:val="auto"/>
                <w:kern w:val="0"/>
                <w:sz w:val="24"/>
                <w:highlight w:val="none"/>
                <w:lang w:val="en-US" w:eastAsia="zh-CN"/>
              </w:rPr>
            </w:pPr>
            <w:r>
              <w:rPr>
                <w:rFonts w:hint="eastAsia" w:cs="Times New Roman"/>
                <w:bCs/>
                <w:snapToGrid w:val="0"/>
                <w:color w:val="auto"/>
                <w:kern w:val="0"/>
                <w:sz w:val="24"/>
                <w:highlight w:val="none"/>
                <w:lang w:val="en-US" w:eastAsia="zh-CN"/>
              </w:rPr>
              <w:t>7、依托工程</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bCs/>
                <w:snapToGrid w:val="0"/>
                <w:color w:val="auto"/>
                <w:kern w:val="0"/>
                <w:sz w:val="24"/>
                <w:lang w:val="en-US" w:eastAsia="zh-CN"/>
              </w:rPr>
            </w:pPr>
            <w:r>
              <w:rPr>
                <w:rFonts w:hint="eastAsia"/>
                <w:color w:val="auto"/>
                <w:sz w:val="24"/>
                <w:highlight w:val="none"/>
                <w:lang w:val="en-US" w:eastAsia="zh-CN"/>
              </w:rPr>
              <w:t>翔达公司</w:t>
            </w:r>
            <w:r>
              <w:rPr>
                <w:rFonts w:hint="eastAsia" w:cs="Times New Roman"/>
                <w:bCs/>
                <w:snapToGrid w:val="0"/>
                <w:color w:val="auto"/>
                <w:kern w:val="0"/>
                <w:sz w:val="24"/>
                <w:highlight w:val="none"/>
                <w:lang w:val="en-US" w:eastAsia="zh-CN"/>
              </w:rPr>
              <w:t>租赁</w:t>
            </w:r>
            <w:r>
              <w:rPr>
                <w:rFonts w:hint="eastAsia"/>
                <w:color w:val="auto"/>
                <w:sz w:val="24"/>
                <w:highlight w:val="none"/>
                <w:lang w:val="en-US" w:eastAsia="zh-CN"/>
              </w:rPr>
              <w:t>重庆市铜梁区金鸿浆纱厂位于</w:t>
            </w:r>
            <w:r>
              <w:rPr>
                <w:rFonts w:hint="eastAsia"/>
                <w:color w:val="auto"/>
                <w:sz w:val="24"/>
                <w:highlight w:val="none"/>
              </w:rPr>
              <w:t>重庆市</w:t>
            </w:r>
            <w:r>
              <w:rPr>
                <w:rFonts w:hint="eastAsia"/>
                <w:color w:val="auto"/>
                <w:sz w:val="24"/>
                <w:highlight w:val="none"/>
                <w:lang w:val="en-US" w:eastAsia="zh-CN"/>
              </w:rPr>
              <w:t>铜梁</w:t>
            </w:r>
            <w:r>
              <w:rPr>
                <w:rFonts w:hint="eastAsia"/>
                <w:color w:val="auto"/>
                <w:sz w:val="24"/>
                <w:highlight w:val="none"/>
              </w:rPr>
              <w:t>区</w:t>
            </w:r>
            <w:r>
              <w:rPr>
                <w:rFonts w:hint="eastAsia"/>
                <w:color w:val="auto"/>
                <w:sz w:val="24"/>
                <w:highlight w:val="none"/>
                <w:lang w:val="en-US" w:eastAsia="zh-CN"/>
              </w:rPr>
              <w:t>侣俸镇工业园区创业路2号闲置生产厂房</w:t>
            </w:r>
            <w:r>
              <w:rPr>
                <w:rFonts w:hint="eastAsia" w:ascii="Times New Roman" w:hAnsi="Times New Roman" w:eastAsia="宋体" w:cs="Times New Roman"/>
                <w:bCs/>
                <w:snapToGrid w:val="0"/>
                <w:color w:val="auto"/>
                <w:kern w:val="0"/>
                <w:sz w:val="24"/>
                <w:lang w:val="en-US" w:eastAsia="zh-CN"/>
              </w:rPr>
              <w:t>进行本项目建设。</w:t>
            </w:r>
            <w:r>
              <w:rPr>
                <w:rFonts w:hint="eastAsia" w:cs="Times New Roman"/>
                <w:bCs/>
                <w:snapToGrid w:val="0"/>
                <w:color w:val="auto"/>
                <w:kern w:val="0"/>
                <w:sz w:val="24"/>
                <w:lang w:val="en-US" w:eastAsia="zh-CN"/>
              </w:rPr>
              <w:t>根据建设单位提供设计资料，项目运营自建生化池使用，且该生化池仅供本项目使用，</w:t>
            </w:r>
            <w:r>
              <w:rPr>
                <w:rFonts w:hint="eastAsia" w:ascii="Times New Roman" w:hAnsi="Times New Roman" w:eastAsia="宋体" w:cs="Times New Roman"/>
                <w:bCs/>
                <w:snapToGrid w:val="0"/>
                <w:color w:val="auto"/>
                <w:kern w:val="0"/>
                <w:sz w:val="24"/>
                <w:lang w:val="en-US" w:eastAsia="zh-CN"/>
              </w:rPr>
              <w:t>处理能力6m</w:t>
            </w:r>
            <w:r>
              <w:rPr>
                <w:rFonts w:hint="eastAsia" w:ascii="Times New Roman" w:hAnsi="Times New Roman" w:eastAsia="宋体" w:cs="Times New Roman"/>
                <w:bCs/>
                <w:snapToGrid w:val="0"/>
                <w:color w:val="auto"/>
                <w:kern w:val="0"/>
                <w:sz w:val="24"/>
                <w:vertAlign w:val="superscript"/>
                <w:lang w:val="en-US" w:eastAsia="zh-CN"/>
              </w:rPr>
              <w:t>3</w:t>
            </w:r>
            <w:r>
              <w:rPr>
                <w:rFonts w:hint="eastAsia" w:ascii="Times New Roman" w:hAnsi="Times New Roman" w:eastAsia="宋体" w:cs="Times New Roman"/>
                <w:bCs/>
                <w:snapToGrid w:val="0"/>
                <w:color w:val="auto"/>
                <w:kern w:val="0"/>
                <w:sz w:val="24"/>
                <w:lang w:val="en-US" w:eastAsia="zh-CN"/>
              </w:rPr>
              <w:t>/d，其处理能力能接纳本项目运营期产生的废水。厂区内供水、供电及排水设施已建成，可以利用。本项目依托已建厂房情况详见下表。</w:t>
            </w:r>
          </w:p>
          <w:p>
            <w:pPr>
              <w:keepNext w:val="0"/>
              <w:keepLines w:val="0"/>
              <w:pageBreakBefore w:val="0"/>
              <w:widowControl/>
              <w:kinsoku/>
              <w:wordWrap/>
              <w:overflowPunct/>
              <w:topLinePunct w:val="0"/>
              <w:autoSpaceDE/>
              <w:autoSpaceDN/>
              <w:bidi w:val="0"/>
              <w:adjustRightInd w:val="0"/>
              <w:snapToGrid/>
              <w:spacing w:line="360" w:lineRule="auto"/>
              <w:ind w:firstLine="0" w:firstLineChars="0"/>
              <w:jc w:val="center"/>
              <w:textAlignment w:val="auto"/>
              <w:rPr>
                <w:rFonts w:hint="eastAsia" w:ascii="Times New Roman" w:hAnsi="Times New Roman" w:eastAsia="宋体" w:cs="Times New Roman"/>
                <w:bCs/>
                <w:snapToGrid w:val="0"/>
                <w:color w:val="auto"/>
                <w:kern w:val="0"/>
                <w:sz w:val="24"/>
                <w:highlight w:val="none"/>
                <w:lang w:val="en-US" w:eastAsia="zh-CN"/>
              </w:rPr>
            </w:pPr>
            <w:r>
              <w:rPr>
                <w:rFonts w:hint="eastAsia" w:ascii="Times New Roman" w:hAnsi="Times New Roman" w:eastAsia="宋体" w:cs="Times New Roman"/>
                <w:bCs/>
                <w:snapToGrid w:val="0"/>
                <w:color w:val="auto"/>
                <w:kern w:val="0"/>
                <w:sz w:val="24"/>
                <w:highlight w:val="none"/>
                <w:lang w:val="en-US" w:eastAsia="zh-CN"/>
              </w:rPr>
              <w:t>表2-</w:t>
            </w:r>
            <w:r>
              <w:rPr>
                <w:rFonts w:hint="eastAsia" w:cs="Times New Roman"/>
                <w:bCs/>
                <w:snapToGrid w:val="0"/>
                <w:color w:val="auto"/>
                <w:kern w:val="0"/>
                <w:sz w:val="24"/>
                <w:highlight w:val="none"/>
                <w:lang w:val="en-US" w:eastAsia="zh-CN"/>
              </w:rPr>
              <w:t>6</w:t>
            </w:r>
            <w:r>
              <w:rPr>
                <w:rFonts w:hint="eastAsia" w:ascii="Times New Roman" w:hAnsi="Times New Roman" w:eastAsia="宋体" w:cs="Times New Roman"/>
                <w:bCs/>
                <w:snapToGrid w:val="0"/>
                <w:color w:val="auto"/>
                <w:kern w:val="0"/>
                <w:sz w:val="24"/>
                <w:highlight w:val="none"/>
                <w:lang w:val="en-US" w:eastAsia="zh-CN"/>
              </w:rPr>
              <w:t xml:space="preserve">  本项目依托关系一览表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609"/>
              <w:gridCol w:w="2701"/>
              <w:gridCol w:w="2480"/>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24" w:type="pc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序号</w:t>
                  </w:r>
                </w:p>
              </w:tc>
              <w:tc>
                <w:tcPr>
                  <w:tcW w:w="957" w:type="pc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内容</w:t>
                  </w:r>
                </w:p>
              </w:tc>
              <w:tc>
                <w:tcPr>
                  <w:tcW w:w="1606" w:type="pc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建设情况</w:t>
                  </w:r>
                </w:p>
              </w:tc>
              <w:tc>
                <w:tcPr>
                  <w:tcW w:w="1475" w:type="pc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依托关系</w:t>
                  </w:r>
                </w:p>
              </w:tc>
              <w:tc>
                <w:tcPr>
                  <w:tcW w:w="536" w:type="pct"/>
                  <w:noWrap w:val="0"/>
                  <w:vAlign w:val="center"/>
                </w:tcPr>
                <w:p>
                  <w:pPr>
                    <w:adjustRightInd w:val="0"/>
                    <w:snapToGrid w:val="0"/>
                    <w:jc w:val="center"/>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依托可行性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957"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生产厂房</w:t>
                  </w:r>
                </w:p>
              </w:tc>
              <w:tc>
                <w:tcPr>
                  <w:tcW w:w="1606" w:type="pct"/>
                  <w:noWrap w:val="0"/>
                  <w:vAlign w:val="center"/>
                </w:tcPr>
                <w:p>
                  <w:pPr>
                    <w:adjustRightInd w:val="0"/>
                    <w:snapToGrid w:val="0"/>
                    <w:jc w:val="center"/>
                    <w:rPr>
                      <w:rFonts w:hint="default" w:ascii="Times New Roman" w:hAnsi="Times New Roman" w:eastAsia="宋体" w:cs="Times New Roman"/>
                      <w:color w:val="auto"/>
                      <w:szCs w:val="21"/>
                      <w:lang w:val="en-US"/>
                    </w:rPr>
                  </w:pPr>
                  <w:r>
                    <w:rPr>
                      <w:rFonts w:hint="eastAsia" w:ascii="Times New Roman" w:hAnsi="Times New Roman" w:eastAsia="宋体" w:cs="Times New Roman"/>
                      <w:color w:val="auto"/>
                      <w:szCs w:val="21"/>
                      <w:lang w:val="en-US" w:eastAsia="zh-CN"/>
                    </w:rPr>
                    <w:t>重庆市铜梁区金鸿浆纱厂闲置厂房</w:t>
                  </w:r>
                </w:p>
              </w:tc>
              <w:tc>
                <w:tcPr>
                  <w:tcW w:w="1475" w:type="pct"/>
                  <w:noWrap w:val="0"/>
                  <w:vAlign w:val="center"/>
                </w:tcPr>
                <w:p>
                  <w:pPr>
                    <w:adjustRightInd w:val="0"/>
                    <w:snapToGrid w:val="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租赁</w:t>
                  </w:r>
                  <w:r>
                    <w:rPr>
                      <w:rFonts w:hint="default" w:ascii="Times New Roman" w:hAnsi="Times New Roman" w:eastAsia="宋体" w:cs="Times New Roman"/>
                      <w:color w:val="auto"/>
                      <w:szCs w:val="21"/>
                    </w:rPr>
                    <w:t>厂房</w:t>
                  </w:r>
                </w:p>
              </w:tc>
              <w:tc>
                <w:tcPr>
                  <w:tcW w:w="536" w:type="pct"/>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957"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供水、供电设施</w:t>
                  </w:r>
                </w:p>
              </w:tc>
              <w:tc>
                <w:tcPr>
                  <w:tcW w:w="1606" w:type="pct"/>
                  <w:noWrap w:val="0"/>
                  <w:vAlign w:val="center"/>
                </w:tcPr>
                <w:p>
                  <w:pPr>
                    <w:adjustRightInd w:val="0"/>
                    <w:snapToGrid w:val="0"/>
                    <w:jc w:val="center"/>
                    <w:rPr>
                      <w:rFonts w:hint="default" w:ascii="Times New Roman" w:hAnsi="Times New Roman" w:eastAsia="宋体" w:cs="Times New Roman"/>
                      <w:color w:val="auto"/>
                      <w:szCs w:val="21"/>
                    </w:rPr>
                  </w:pPr>
                  <w:r>
                    <w:rPr>
                      <w:rFonts w:hint="eastAsia" w:cs="Times New Roman"/>
                      <w:bCs/>
                      <w:snapToGrid w:val="0"/>
                      <w:color w:val="auto"/>
                      <w:kern w:val="0"/>
                      <w:sz w:val="21"/>
                      <w:szCs w:val="21"/>
                      <w:highlight w:val="none"/>
                      <w:vertAlign w:val="baseline"/>
                      <w:lang w:val="en-US" w:eastAsia="zh-CN"/>
                    </w:rPr>
                    <w:t>市政</w:t>
                  </w:r>
                  <w:r>
                    <w:rPr>
                      <w:rFonts w:hint="default" w:ascii="Times New Roman" w:hAnsi="Times New Roman" w:eastAsia="宋体" w:cs="Times New Roman"/>
                      <w:color w:val="auto"/>
                      <w:szCs w:val="21"/>
                    </w:rPr>
                    <w:t>及厂房已有供水系统</w:t>
                  </w:r>
                </w:p>
              </w:tc>
              <w:tc>
                <w:tcPr>
                  <w:tcW w:w="1475"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依托</w:t>
                  </w:r>
                  <w:r>
                    <w:rPr>
                      <w:rFonts w:hint="default" w:ascii="Times New Roman" w:hAnsi="Times New Roman" w:eastAsia="宋体" w:cs="Times New Roman"/>
                      <w:color w:val="auto"/>
                      <w:kern w:val="0"/>
                      <w:szCs w:val="21"/>
                    </w:rPr>
                    <w:t>厂房</w:t>
                  </w:r>
                  <w:r>
                    <w:rPr>
                      <w:rFonts w:hint="default" w:ascii="Times New Roman" w:hAnsi="Times New Roman" w:eastAsia="宋体" w:cs="Times New Roman"/>
                      <w:color w:val="auto"/>
                      <w:szCs w:val="21"/>
                    </w:rPr>
                    <w:t>现有设施</w:t>
                  </w:r>
                </w:p>
              </w:tc>
              <w:tc>
                <w:tcPr>
                  <w:tcW w:w="536" w:type="pct"/>
                  <w:noWrap w:val="0"/>
                  <w:vAlign w:val="center"/>
                </w:tcPr>
                <w:p>
                  <w:pPr>
                    <w:adjustRightInd w:val="0"/>
                    <w:snapToGrid w:val="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24"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c>
                <w:tcPr>
                  <w:tcW w:w="957" w:type="pct"/>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排水管网</w:t>
                  </w:r>
                </w:p>
              </w:tc>
              <w:tc>
                <w:tcPr>
                  <w:tcW w:w="1606" w:type="pct"/>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bCs/>
                      <w:snapToGrid w:val="0"/>
                      <w:color w:val="auto"/>
                      <w:kern w:val="0"/>
                      <w:sz w:val="21"/>
                      <w:szCs w:val="21"/>
                      <w:highlight w:val="none"/>
                      <w:vertAlign w:val="baseline"/>
                      <w:lang w:val="en-US" w:eastAsia="zh-CN"/>
                    </w:rPr>
                    <w:t>市政</w:t>
                  </w:r>
                  <w:r>
                    <w:rPr>
                      <w:rFonts w:hint="default" w:ascii="Times New Roman" w:hAnsi="Times New Roman" w:eastAsia="宋体" w:cs="Times New Roman"/>
                      <w:color w:val="auto"/>
                      <w:sz w:val="21"/>
                      <w:szCs w:val="21"/>
                    </w:rPr>
                    <w:t>及厂房已有排水系统</w:t>
                  </w:r>
                </w:p>
              </w:tc>
              <w:tc>
                <w:tcPr>
                  <w:tcW w:w="1475" w:type="pct"/>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依托</w:t>
                  </w:r>
                  <w:r>
                    <w:rPr>
                      <w:rFonts w:hint="eastAsia" w:cs="Times New Roman"/>
                      <w:bCs/>
                      <w:snapToGrid w:val="0"/>
                      <w:color w:val="auto"/>
                      <w:kern w:val="0"/>
                      <w:sz w:val="21"/>
                      <w:szCs w:val="21"/>
                      <w:highlight w:val="none"/>
                      <w:vertAlign w:val="baseline"/>
                      <w:lang w:val="en-US" w:eastAsia="zh-CN"/>
                    </w:rPr>
                    <w:t>市政</w:t>
                  </w:r>
                  <w:r>
                    <w:rPr>
                      <w:rFonts w:hint="default" w:ascii="Times New Roman" w:hAnsi="Times New Roman" w:eastAsia="宋体" w:cs="Times New Roman"/>
                      <w:color w:val="auto"/>
                      <w:kern w:val="0"/>
                      <w:sz w:val="21"/>
                      <w:szCs w:val="21"/>
                    </w:rPr>
                    <w:t>及厂房内</w:t>
                  </w:r>
                  <w:r>
                    <w:rPr>
                      <w:rFonts w:hint="default" w:ascii="Times New Roman" w:hAnsi="Times New Roman" w:eastAsia="宋体" w:cs="Times New Roman"/>
                      <w:color w:val="auto"/>
                      <w:sz w:val="21"/>
                      <w:szCs w:val="21"/>
                    </w:rPr>
                    <w:t>现有排水管网</w:t>
                  </w:r>
                </w:p>
              </w:tc>
              <w:tc>
                <w:tcPr>
                  <w:tcW w:w="536" w:type="pct"/>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w:t>
                  </w:r>
                </w:p>
              </w:tc>
              <w:tc>
                <w:tcPr>
                  <w:tcW w:w="957" w:type="pct"/>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厂区道路</w:t>
                  </w:r>
                </w:p>
              </w:tc>
              <w:tc>
                <w:tcPr>
                  <w:tcW w:w="1606" w:type="pct"/>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已建设</w:t>
                  </w:r>
                </w:p>
              </w:tc>
              <w:tc>
                <w:tcPr>
                  <w:tcW w:w="1475" w:type="pct"/>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依托</w:t>
                  </w:r>
                  <w:r>
                    <w:rPr>
                      <w:rFonts w:hint="eastAsia" w:cs="Times New Roman"/>
                      <w:bCs/>
                      <w:snapToGrid w:val="0"/>
                      <w:color w:val="auto"/>
                      <w:kern w:val="0"/>
                      <w:sz w:val="21"/>
                      <w:szCs w:val="21"/>
                      <w:highlight w:val="none"/>
                      <w:vertAlign w:val="baseline"/>
                      <w:lang w:val="en-US" w:eastAsia="zh-CN"/>
                    </w:rPr>
                    <w:t>市政</w:t>
                  </w:r>
                  <w:r>
                    <w:rPr>
                      <w:rFonts w:hint="default" w:ascii="Times New Roman" w:hAnsi="Times New Roman" w:eastAsia="宋体" w:cs="Times New Roman"/>
                      <w:color w:val="auto"/>
                      <w:sz w:val="21"/>
                      <w:szCs w:val="21"/>
                    </w:rPr>
                    <w:t>现有道路</w:t>
                  </w:r>
                </w:p>
              </w:tc>
              <w:tc>
                <w:tcPr>
                  <w:tcW w:w="536" w:type="pct"/>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可行</w:t>
                  </w:r>
                </w:p>
              </w:tc>
            </w:tr>
          </w:tbl>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cs="Times New Roman"/>
                <w:bCs/>
                <w:snapToGrid w:val="0"/>
                <w:color w:val="auto"/>
                <w:kern w:val="0"/>
                <w:sz w:val="24"/>
                <w:highlight w:val="none"/>
                <w:lang w:val="en-US" w:eastAsia="zh-CN"/>
              </w:rPr>
            </w:pPr>
            <w:r>
              <w:rPr>
                <w:rFonts w:hint="eastAsia" w:cs="Times New Roman"/>
                <w:bCs/>
                <w:snapToGrid w:val="0"/>
                <w:color w:val="auto"/>
                <w:kern w:val="0"/>
                <w:sz w:val="24"/>
                <w:highlight w:val="none"/>
                <w:lang w:val="en-US" w:eastAsia="zh-CN"/>
              </w:rPr>
              <w:t>8、主要原辅材料</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cs="Times New Roman"/>
                <w:bCs/>
                <w:snapToGrid w:val="0"/>
                <w:color w:val="auto"/>
                <w:kern w:val="0"/>
                <w:sz w:val="24"/>
                <w:highlight w:val="none"/>
                <w:lang w:val="en-US" w:eastAsia="zh-CN"/>
              </w:rPr>
            </w:pPr>
            <w:r>
              <w:rPr>
                <w:rFonts w:hint="eastAsia" w:cs="Times New Roman"/>
                <w:bCs/>
                <w:snapToGrid w:val="0"/>
                <w:color w:val="auto"/>
                <w:kern w:val="0"/>
                <w:sz w:val="24"/>
                <w:highlight w:val="none"/>
                <w:lang w:val="en-US" w:eastAsia="zh-CN"/>
              </w:rPr>
              <w:t>（1）主要原辅材料类别及用量</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cs="Times New Roman"/>
                <w:bCs/>
                <w:snapToGrid w:val="0"/>
                <w:color w:val="auto"/>
                <w:kern w:val="0"/>
                <w:sz w:val="24"/>
                <w:highlight w:val="yellow"/>
                <w:lang w:val="en-US" w:eastAsia="zh-CN"/>
              </w:rPr>
            </w:pPr>
            <w:r>
              <w:rPr>
                <w:rFonts w:hint="eastAsia" w:cs="Times New Roman"/>
                <w:bCs/>
                <w:snapToGrid w:val="0"/>
                <w:color w:val="auto"/>
                <w:kern w:val="0"/>
                <w:sz w:val="24"/>
                <w:highlight w:val="none"/>
                <w:lang w:val="en-US" w:eastAsia="zh-CN"/>
              </w:rPr>
              <w:t>项目运营期内主要原辅材料及消耗数量，详见下表。</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snapToGrid w:val="0"/>
                <w:color w:val="auto"/>
                <w:kern w:val="0"/>
                <w:sz w:val="24"/>
                <w:highlight w:val="none"/>
                <w:lang w:val="en-US" w:eastAsia="zh-CN"/>
              </w:rPr>
            </w:pPr>
            <w:r>
              <w:rPr>
                <w:rFonts w:hint="eastAsia" w:ascii="Times New Roman" w:hAnsi="Times New Roman" w:eastAsia="宋体" w:cs="Times New Roman"/>
                <w:bCs/>
                <w:snapToGrid w:val="0"/>
                <w:color w:val="auto"/>
                <w:kern w:val="0"/>
                <w:sz w:val="24"/>
                <w:highlight w:val="none"/>
                <w:lang w:val="en-US" w:eastAsia="zh-CN"/>
              </w:rPr>
              <w:t>表2-</w:t>
            </w:r>
            <w:r>
              <w:rPr>
                <w:rFonts w:hint="eastAsia" w:cs="Times New Roman"/>
                <w:bCs/>
                <w:snapToGrid w:val="0"/>
                <w:color w:val="auto"/>
                <w:kern w:val="0"/>
                <w:sz w:val="24"/>
                <w:highlight w:val="none"/>
                <w:lang w:val="en-US" w:eastAsia="zh-CN"/>
              </w:rPr>
              <w:t>7</w:t>
            </w:r>
            <w:r>
              <w:rPr>
                <w:rFonts w:hint="eastAsia" w:ascii="Times New Roman" w:hAnsi="Times New Roman" w:eastAsia="宋体" w:cs="Times New Roman"/>
                <w:bCs/>
                <w:snapToGrid w:val="0"/>
                <w:color w:val="auto"/>
                <w:kern w:val="0"/>
                <w:sz w:val="24"/>
                <w:highlight w:val="none"/>
                <w:lang w:val="en-US" w:eastAsia="zh-CN"/>
              </w:rPr>
              <w:t xml:space="preserve"> 项目主要原辅材料消耗一览表</w:t>
            </w:r>
          </w:p>
          <w:tbl>
            <w:tblPr>
              <w:tblStyle w:val="16"/>
              <w:tblW w:w="84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gridCol w:w="1360"/>
              <w:gridCol w:w="930"/>
              <w:gridCol w:w="975"/>
              <w:gridCol w:w="870"/>
              <w:gridCol w:w="1170"/>
              <w:gridCol w:w="2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43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序号</w:t>
                  </w:r>
                </w:p>
              </w:tc>
              <w:tc>
                <w:tcPr>
                  <w:tcW w:w="136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名称</w:t>
                  </w:r>
                </w:p>
              </w:tc>
              <w:tc>
                <w:tcPr>
                  <w:tcW w:w="93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年用量t/a</w:t>
                  </w:r>
                </w:p>
              </w:tc>
              <w:tc>
                <w:tcPr>
                  <w:tcW w:w="97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规格</w:t>
                  </w:r>
                </w:p>
              </w:tc>
              <w:tc>
                <w:tcPr>
                  <w:tcW w:w="87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储存方式</w:t>
                  </w:r>
                </w:p>
              </w:tc>
              <w:tc>
                <w:tcPr>
                  <w:tcW w:w="117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厂区最大储存量</w:t>
                  </w:r>
                  <w:r>
                    <w:rPr>
                      <w:rFonts w:hint="eastAsia" w:ascii="Times New Roman" w:hAnsi="Times New Roman" w:eastAsia="宋体" w:cs="Times New Roman"/>
                      <w:color w:val="auto"/>
                      <w:sz w:val="21"/>
                      <w:szCs w:val="21"/>
                      <w:highlight w:val="none"/>
                      <w:vertAlign w:val="baseline"/>
                      <w:lang w:val="en-US" w:eastAsia="zh-CN"/>
                    </w:rPr>
                    <w:t>t</w:t>
                  </w:r>
                </w:p>
              </w:tc>
              <w:tc>
                <w:tcPr>
                  <w:tcW w:w="269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1</w:t>
                  </w:r>
                </w:p>
              </w:tc>
              <w:tc>
                <w:tcPr>
                  <w:tcW w:w="1360"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bidi="ar-SA"/>
                    </w:rPr>
                  </w:pPr>
                  <w:r>
                    <w:rPr>
                      <w:rFonts w:hint="eastAsia" w:cs="Times New Roman"/>
                      <w:bCs/>
                      <w:snapToGrid w:val="0"/>
                      <w:color w:val="auto"/>
                      <w:kern w:val="0"/>
                      <w:sz w:val="21"/>
                      <w:szCs w:val="21"/>
                      <w:highlight w:val="none"/>
                      <w:vertAlign w:val="baseline"/>
                      <w:lang w:val="en-US" w:eastAsia="zh-CN"/>
                    </w:rPr>
                    <w:t>PP塑料颗粒</w:t>
                  </w:r>
                </w:p>
              </w:tc>
              <w:tc>
                <w:tcPr>
                  <w:tcW w:w="93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140</w:t>
                  </w:r>
                </w:p>
              </w:tc>
              <w:tc>
                <w:tcPr>
                  <w:tcW w:w="97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bCs/>
                      <w:snapToGrid w:val="0"/>
                      <w:color w:val="auto"/>
                      <w:kern w:val="0"/>
                      <w:sz w:val="21"/>
                      <w:szCs w:val="21"/>
                      <w:highlight w:val="none"/>
                      <w:vertAlign w:val="baseline"/>
                      <w:lang w:val="en-US" w:eastAsia="zh-CN"/>
                    </w:rPr>
                    <w:t>25kg/袋</w:t>
                  </w:r>
                </w:p>
              </w:tc>
              <w:tc>
                <w:tcPr>
                  <w:tcW w:w="87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袋装</w:t>
                  </w:r>
                </w:p>
              </w:tc>
              <w:tc>
                <w:tcPr>
                  <w:tcW w:w="117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12</w:t>
                  </w:r>
                </w:p>
              </w:tc>
              <w:tc>
                <w:tcPr>
                  <w:tcW w:w="269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外购，PP材质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2</w:t>
                  </w:r>
                </w:p>
              </w:tc>
              <w:tc>
                <w:tcPr>
                  <w:tcW w:w="1360"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bidi="ar-SA"/>
                    </w:rPr>
                  </w:pPr>
                  <w:r>
                    <w:rPr>
                      <w:rFonts w:hint="eastAsia" w:ascii="Times New Roman" w:hAnsi="Times New Roman" w:eastAsia="宋体" w:cs="Times New Roman"/>
                      <w:bCs/>
                      <w:snapToGrid w:val="0"/>
                      <w:color w:val="auto"/>
                      <w:kern w:val="0"/>
                      <w:sz w:val="21"/>
                      <w:szCs w:val="21"/>
                      <w:highlight w:val="none"/>
                      <w:vertAlign w:val="baseline"/>
                      <w:lang w:val="en-US" w:eastAsia="zh-CN"/>
                    </w:rPr>
                    <w:t>润滑油</w:t>
                  </w:r>
                </w:p>
              </w:tc>
              <w:tc>
                <w:tcPr>
                  <w:tcW w:w="93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0.34</w:t>
                  </w:r>
                </w:p>
              </w:tc>
              <w:tc>
                <w:tcPr>
                  <w:tcW w:w="97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0.17t/桶</w:t>
                  </w:r>
                </w:p>
              </w:tc>
              <w:tc>
                <w:tcPr>
                  <w:tcW w:w="87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桶装</w:t>
                  </w:r>
                </w:p>
              </w:tc>
              <w:tc>
                <w:tcPr>
                  <w:tcW w:w="117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0.34</w:t>
                  </w:r>
                </w:p>
              </w:tc>
              <w:tc>
                <w:tcPr>
                  <w:tcW w:w="269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外购成品，不储存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w:t>
                  </w:r>
                </w:p>
              </w:tc>
              <w:tc>
                <w:tcPr>
                  <w:tcW w:w="1360"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模具</w:t>
                  </w:r>
                </w:p>
              </w:tc>
              <w:tc>
                <w:tcPr>
                  <w:tcW w:w="93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200副</w:t>
                  </w:r>
                </w:p>
              </w:tc>
              <w:tc>
                <w:tcPr>
                  <w:tcW w:w="97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87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117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200套</w:t>
                  </w:r>
                </w:p>
              </w:tc>
              <w:tc>
                <w:tcPr>
                  <w:tcW w:w="269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外购成品，消耗量约10副</w:t>
                  </w:r>
                </w:p>
              </w:tc>
            </w:tr>
          </w:tbl>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snapToGrid w:val="0"/>
                <w:color w:val="auto"/>
                <w:kern w:val="0"/>
                <w:sz w:val="24"/>
                <w:highlight w:val="none"/>
                <w:lang w:val="en-US" w:eastAsia="zh-CN"/>
              </w:rPr>
            </w:pPr>
            <w:r>
              <w:rPr>
                <w:rFonts w:hint="eastAsia" w:cs="Times New Roman"/>
                <w:bCs/>
                <w:snapToGrid w:val="0"/>
                <w:color w:val="auto"/>
                <w:kern w:val="0"/>
                <w:sz w:val="24"/>
                <w:highlight w:val="none"/>
                <w:lang w:val="en-US" w:eastAsia="zh-CN"/>
              </w:rPr>
              <w:t>（2）主要化学材料及其理化性质</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cs="Times New Roman"/>
                <w:bCs/>
                <w:snapToGrid w:val="0"/>
                <w:color w:val="auto"/>
                <w:kern w:val="0"/>
                <w:sz w:val="24"/>
                <w:highlight w:val="yellow"/>
                <w:lang w:val="en-US" w:eastAsia="zh-CN"/>
              </w:rPr>
            </w:pPr>
            <w:r>
              <w:rPr>
                <w:rFonts w:hint="eastAsia" w:cs="Times New Roman"/>
                <w:bCs/>
                <w:snapToGrid w:val="0"/>
                <w:color w:val="auto"/>
                <w:kern w:val="0"/>
                <w:sz w:val="24"/>
                <w:highlight w:val="none"/>
                <w:lang w:val="en-US" w:eastAsia="zh-CN"/>
              </w:rPr>
              <w:t>PP塑料颗粒：</w:t>
            </w:r>
            <w:r>
              <w:rPr>
                <w:rFonts w:hint="default" w:cs="Times New Roman"/>
                <w:bCs/>
                <w:snapToGrid w:val="0"/>
                <w:color w:val="auto"/>
                <w:kern w:val="0"/>
                <w:sz w:val="24"/>
                <w:highlight w:val="none"/>
                <w:lang w:val="en-US" w:eastAsia="zh-CN"/>
              </w:rPr>
              <w:t>PP是聚丙烯树脂，是一种结构规整的结晶性聚合物，为淡乳白色粒料、无味、无毒、质轻的热塑性树脂。相对密度为0.90</w:t>
            </w:r>
            <w:r>
              <w:rPr>
                <w:rFonts w:hint="eastAsia" w:cs="Times New Roman"/>
                <w:bCs/>
                <w:snapToGrid w:val="0"/>
                <w:color w:val="auto"/>
                <w:kern w:val="0"/>
                <w:sz w:val="24"/>
                <w:highlight w:val="none"/>
                <w:lang w:val="en-US" w:eastAsia="zh-CN"/>
              </w:rPr>
              <w:t>~</w:t>
            </w:r>
            <w:r>
              <w:rPr>
                <w:rFonts w:hint="default" w:cs="Times New Roman"/>
                <w:bCs/>
                <w:snapToGrid w:val="0"/>
                <w:color w:val="auto"/>
                <w:kern w:val="0"/>
                <w:sz w:val="24"/>
                <w:highlight w:val="none"/>
                <w:lang w:val="en-US" w:eastAsia="zh-CN"/>
              </w:rPr>
              <w:t>0.91，是通用树脂中最轻的一种。机械性能良好，耐热性能良好，其熔点为170℃左右，在无外力作用下，150℃不变形，化学稳定性好，耐酸、碱和有机溶剂，与大多数化学药品（如发烟硝酸、铬酸溶液、卤素、苯、四氯化碳、氯仿等）不发生作用，且几乎不吸水。聚丙烯缺点是易老化，低温时变脆，低温冲击强度差，但可用加入添加剂、共混或共聚等方法来改进。PP分解温度为350℃</w:t>
            </w:r>
            <w:r>
              <w:rPr>
                <w:rFonts w:hint="eastAsia" w:cs="Times New Roman"/>
                <w:bCs/>
                <w:snapToGrid w:val="0"/>
                <w:color w:val="auto"/>
                <w:kern w:val="0"/>
                <w:sz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noWrap w:val="0"/>
            <w:vAlign w:val="center"/>
          </w:tcPr>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cs="Times New Roman"/>
                <w:color w:val="auto"/>
                <w:sz w:val="21"/>
                <w:szCs w:val="21"/>
                <w:highlight w:val="none"/>
                <w:lang w:val="en-US" w:eastAsia="zh-CN"/>
              </w:rPr>
              <w:t>工艺流程和产排污环节</w:t>
            </w:r>
          </w:p>
        </w:tc>
        <w:tc>
          <w:tcPr>
            <w:tcW w:w="8634" w:type="dxa"/>
            <w:noWrap w:val="0"/>
            <w:vAlign w:val="top"/>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snapToGrid w:val="0"/>
                <w:color w:val="auto"/>
                <w:kern w:val="0"/>
                <w:sz w:val="24"/>
                <w:highlight w:val="yellow"/>
                <w:lang w:val="en-US" w:eastAsia="zh-CN"/>
              </w:rPr>
            </w:pPr>
            <w:r>
              <w:rPr>
                <w:rFonts w:hint="eastAsia" w:ascii="Times New Roman" w:hAnsi="Times New Roman" w:eastAsia="宋体" w:cs="Times New Roman"/>
                <w:bCs/>
                <w:snapToGrid w:val="0"/>
                <w:color w:val="auto"/>
                <w:kern w:val="0"/>
                <w:sz w:val="24"/>
                <w:highlight w:val="none"/>
                <w:lang w:val="en-US" w:eastAsia="zh-CN"/>
              </w:rPr>
              <w:t>1、施工期工艺流程及产排污分析</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Cs/>
                <w:snapToGrid w:val="0"/>
                <w:color w:val="auto"/>
                <w:kern w:val="0"/>
                <w:sz w:val="24"/>
                <w:highlight w:val="yellow"/>
                <w:lang w:val="en-US" w:eastAsia="zh-CN"/>
              </w:rPr>
            </w:pPr>
            <w:r>
              <w:rPr>
                <w:rFonts w:hint="eastAsia" w:ascii="Times New Roman" w:hAnsi="Times New Roman" w:eastAsia="宋体" w:cs="Times New Roman"/>
                <w:bCs/>
                <w:snapToGrid w:val="0"/>
                <w:color w:val="auto"/>
                <w:kern w:val="0"/>
                <w:sz w:val="24"/>
                <w:highlight w:val="none"/>
                <w:lang w:val="en-US" w:eastAsia="zh-CN"/>
              </w:rPr>
              <w:t>项目租赁</w:t>
            </w:r>
            <w:r>
              <w:rPr>
                <w:rFonts w:hint="eastAsia"/>
                <w:color w:val="auto"/>
                <w:sz w:val="24"/>
                <w:highlight w:val="none"/>
                <w:lang w:val="en-US" w:eastAsia="zh-CN"/>
              </w:rPr>
              <w:t>重庆市铜梁区金鸿浆纱厂闲置</w:t>
            </w:r>
            <w:r>
              <w:rPr>
                <w:rFonts w:hint="eastAsia" w:ascii="Times New Roman" w:hAnsi="Times New Roman" w:eastAsia="宋体" w:cs="Times New Roman"/>
                <w:bCs/>
                <w:snapToGrid w:val="0"/>
                <w:color w:val="auto"/>
                <w:kern w:val="0"/>
                <w:sz w:val="24"/>
                <w:highlight w:val="none"/>
                <w:lang w:val="en-US" w:eastAsia="zh-CN"/>
              </w:rPr>
              <w:t>厂房及相关设施进行建设，施工期仅为设备安装和调试，无土建工程，工程量小。其作业流程及产排污详见下图。</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Times New Roman"/>
                <w:bCs/>
                <w:snapToGrid w:val="0"/>
                <w:color w:val="auto"/>
                <w:kern w:val="0"/>
                <w:sz w:val="24"/>
                <w:highlight w:val="yellow"/>
                <w:lang w:val="en-US" w:eastAsia="zh-CN"/>
              </w:rPr>
            </w:pPr>
            <w:r>
              <w:rPr>
                <w:color w:val="auto"/>
              </w:rPr>
              <w:drawing>
                <wp:inline distT="0" distB="0" distL="114300" distR="114300">
                  <wp:extent cx="4067810" cy="1022350"/>
                  <wp:effectExtent l="0" t="0" r="8890" b="635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tretch>
                            <a:fillRect/>
                          </a:stretch>
                        </pic:blipFill>
                        <pic:spPr>
                          <a:xfrm>
                            <a:off x="0" y="0"/>
                            <a:ext cx="4067810" cy="102235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snapToGrid w:val="0"/>
                <w:color w:val="auto"/>
                <w:kern w:val="0"/>
                <w:sz w:val="24"/>
                <w:highlight w:val="yellow"/>
                <w:lang w:val="en-US" w:eastAsia="zh-CN"/>
              </w:rPr>
            </w:pPr>
            <w:r>
              <w:rPr>
                <w:rFonts w:hint="eastAsia" w:ascii="Times New Roman" w:hAnsi="Times New Roman" w:eastAsia="宋体" w:cs="Times New Roman"/>
                <w:bCs/>
                <w:snapToGrid w:val="0"/>
                <w:color w:val="auto"/>
                <w:kern w:val="0"/>
                <w:sz w:val="24"/>
                <w:highlight w:val="none"/>
                <w:lang w:val="en-US" w:eastAsia="zh-CN"/>
              </w:rPr>
              <w:t>图2-</w:t>
            </w:r>
            <w:r>
              <w:rPr>
                <w:rFonts w:hint="eastAsia" w:cs="Times New Roman"/>
                <w:bCs/>
                <w:snapToGrid w:val="0"/>
                <w:color w:val="auto"/>
                <w:kern w:val="0"/>
                <w:sz w:val="24"/>
                <w:highlight w:val="none"/>
                <w:lang w:val="en-US" w:eastAsia="zh-CN"/>
              </w:rPr>
              <w:t>4</w:t>
            </w:r>
            <w:r>
              <w:rPr>
                <w:rFonts w:hint="eastAsia" w:ascii="Times New Roman" w:hAnsi="Times New Roman" w:eastAsia="宋体" w:cs="Times New Roman"/>
                <w:bCs/>
                <w:snapToGrid w:val="0"/>
                <w:color w:val="auto"/>
                <w:kern w:val="0"/>
                <w:sz w:val="24"/>
                <w:highlight w:val="none"/>
                <w:lang w:val="en-US" w:eastAsia="zh-CN"/>
              </w:rPr>
              <w:t xml:space="preserve"> 施工作业流程及产污环节图</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snapToGrid w:val="0"/>
                <w:color w:val="auto"/>
                <w:kern w:val="0"/>
                <w:sz w:val="24"/>
                <w:highlight w:val="none"/>
                <w:lang w:val="en-US" w:eastAsia="zh-CN"/>
              </w:rPr>
            </w:pPr>
            <w:r>
              <w:rPr>
                <w:rFonts w:hint="eastAsia" w:ascii="Times New Roman" w:hAnsi="Times New Roman" w:eastAsia="宋体" w:cs="Times New Roman"/>
                <w:bCs/>
                <w:snapToGrid w:val="0"/>
                <w:color w:val="auto"/>
                <w:kern w:val="0"/>
                <w:sz w:val="24"/>
                <w:highlight w:val="none"/>
                <w:lang w:val="en-US" w:eastAsia="zh-CN"/>
              </w:rPr>
              <w:t>2、运营期工艺流程及产排污分析</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snapToGrid w:val="0"/>
                <w:color w:val="auto"/>
                <w:kern w:val="0"/>
                <w:sz w:val="24"/>
                <w:highlight w:val="none"/>
                <w:lang w:val="en-US" w:eastAsia="zh-CN"/>
              </w:rPr>
            </w:pPr>
            <w:r>
              <w:rPr>
                <w:rFonts w:hint="eastAsia" w:cs="Times New Roman"/>
                <w:bCs/>
                <w:snapToGrid w:val="0"/>
                <w:color w:val="auto"/>
                <w:kern w:val="0"/>
                <w:sz w:val="24"/>
                <w:highlight w:val="none"/>
                <w:lang w:val="en-US" w:eastAsia="zh-CN"/>
              </w:rPr>
              <w:t>项目运营期主要产品为塑料打包盒及塑料杯，生产工艺均相同，仅吸塑成型过程生产设备有所不同，吸塑成型过程中，塑料杯采用打杯机进行生产，塑料打包盒（内包及外包）采用多功能成型机进行生产，塑料打包盒及塑料杯盖子采用吸塑机进行生产；其生产工艺流程及产排污节点，详见下图。</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Times New Roman"/>
                <w:bCs/>
                <w:snapToGrid w:val="0"/>
                <w:color w:val="auto"/>
                <w:kern w:val="0"/>
                <w:sz w:val="24"/>
                <w:highlight w:val="none"/>
                <w:lang w:val="en-US" w:eastAsia="zh-CN"/>
              </w:rPr>
            </w:pPr>
            <w:r>
              <w:rPr>
                <w:color w:val="auto"/>
              </w:rPr>
              <w:drawing>
                <wp:inline distT="0" distB="0" distL="114300" distR="114300">
                  <wp:extent cx="3754755" cy="1358900"/>
                  <wp:effectExtent l="0" t="0" r="17145" b="1270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a:off x="0" y="0"/>
                            <a:ext cx="3754755" cy="135890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Cs/>
                <w:snapToGrid w:val="0"/>
                <w:color w:val="auto"/>
                <w:kern w:val="0"/>
                <w:sz w:val="24"/>
                <w:highlight w:val="none"/>
                <w:lang w:val="en-US" w:eastAsia="zh-CN"/>
              </w:rPr>
            </w:pPr>
            <w:r>
              <w:rPr>
                <w:rFonts w:hint="eastAsia" w:ascii="Times New Roman" w:hAnsi="Times New Roman" w:eastAsia="宋体" w:cs="Times New Roman"/>
                <w:bCs/>
                <w:snapToGrid w:val="0"/>
                <w:color w:val="auto"/>
                <w:kern w:val="0"/>
                <w:sz w:val="24"/>
                <w:highlight w:val="none"/>
                <w:lang w:val="en-US" w:eastAsia="zh-CN"/>
              </w:rPr>
              <w:t>图2-5 塑料打包盒及塑料杯生产工艺流程及产、排污节点图</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snapToGrid w:val="0"/>
                <w:color w:val="auto"/>
                <w:kern w:val="0"/>
                <w:sz w:val="24"/>
                <w:highlight w:val="none"/>
                <w:lang w:val="en-US" w:eastAsia="zh-CN"/>
              </w:rPr>
            </w:pPr>
            <w:r>
              <w:rPr>
                <w:rFonts w:hint="eastAsia" w:cs="Times New Roman"/>
                <w:bCs/>
                <w:snapToGrid w:val="0"/>
                <w:color w:val="auto"/>
                <w:kern w:val="0"/>
                <w:sz w:val="24"/>
                <w:highlight w:val="none"/>
                <w:lang w:val="en-US" w:eastAsia="zh-CN"/>
              </w:rPr>
              <w:t>工艺流程简述：</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snapToGrid w:val="0"/>
                <w:color w:val="auto"/>
                <w:kern w:val="0"/>
                <w:sz w:val="24"/>
                <w:highlight w:val="none"/>
                <w:lang w:val="en-US" w:eastAsia="zh-CN"/>
              </w:rPr>
            </w:pPr>
            <w:r>
              <w:rPr>
                <w:rFonts w:hint="eastAsia" w:cs="Times New Roman"/>
                <w:bCs/>
                <w:snapToGrid w:val="0"/>
                <w:color w:val="auto"/>
                <w:kern w:val="0"/>
                <w:sz w:val="24"/>
                <w:highlight w:val="none"/>
                <w:lang w:val="en-US" w:eastAsia="zh-CN"/>
              </w:rPr>
              <w:t>熔融挤塑：通过人工操作，将外购PP塑料颗粒倒入片材机投料口，项目PP塑料粒径约</w:t>
            </w:r>
            <w:r>
              <w:rPr>
                <w:rFonts w:hint="eastAsia" w:ascii="Times New Roman" w:hAnsi="Times New Roman" w:eastAsia="宋体" w:cs="Times New Roman"/>
                <w:bCs/>
                <w:snapToGrid w:val="0"/>
                <w:color w:val="auto"/>
                <w:kern w:val="0"/>
                <w:sz w:val="24"/>
                <w:highlight w:val="none"/>
                <w:lang w:val="en-US" w:eastAsia="zh-CN"/>
              </w:rPr>
              <w:t>5</w:t>
            </w:r>
            <w:r>
              <w:rPr>
                <w:rFonts w:hint="default" w:ascii="Times New Roman" w:hAnsi="Times New Roman" w:eastAsia="宋体" w:cs="Times New Roman"/>
                <w:bCs/>
                <w:snapToGrid w:val="0"/>
                <w:color w:val="auto"/>
                <w:kern w:val="0"/>
                <w:sz w:val="24"/>
                <w:highlight w:val="none"/>
                <w:lang w:val="en-US" w:eastAsia="zh-CN"/>
              </w:rPr>
              <w:t>~</w:t>
            </w:r>
            <w:r>
              <w:rPr>
                <w:rFonts w:hint="eastAsia" w:ascii="Times New Roman" w:hAnsi="Times New Roman" w:eastAsia="宋体" w:cs="Times New Roman"/>
                <w:bCs/>
                <w:snapToGrid w:val="0"/>
                <w:color w:val="auto"/>
                <w:kern w:val="0"/>
                <w:sz w:val="24"/>
                <w:highlight w:val="none"/>
                <w:lang w:val="en-US" w:eastAsia="zh-CN"/>
              </w:rPr>
              <w:t>10</w:t>
            </w:r>
            <w:r>
              <w:rPr>
                <w:rFonts w:hint="default" w:ascii="Times New Roman" w:hAnsi="Times New Roman" w:eastAsia="宋体" w:cs="Times New Roman"/>
                <w:bCs/>
                <w:snapToGrid w:val="0"/>
                <w:color w:val="auto"/>
                <w:kern w:val="0"/>
                <w:sz w:val="24"/>
                <w:highlight w:val="none"/>
                <w:lang w:val="en-US" w:eastAsia="zh-CN"/>
              </w:rPr>
              <w:t>mm，由于粒径较大</w:t>
            </w:r>
            <w:r>
              <w:rPr>
                <w:rFonts w:hint="eastAsia" w:ascii="Times New Roman" w:hAnsi="Times New Roman" w:eastAsia="宋体" w:cs="Times New Roman"/>
                <w:bCs/>
                <w:snapToGrid w:val="0"/>
                <w:color w:val="auto"/>
                <w:kern w:val="0"/>
                <w:sz w:val="24"/>
                <w:highlight w:val="none"/>
                <w:lang w:val="en-US" w:eastAsia="zh-CN"/>
              </w:rPr>
              <w:t>，投料过程，基本无颗粒物逸散，无粉尘产生。利用片材机内加热器</w:t>
            </w:r>
            <w:r>
              <w:rPr>
                <w:rFonts w:hint="default" w:ascii="Times New Roman" w:hAnsi="Times New Roman" w:eastAsia="宋体" w:cs="Times New Roman"/>
                <w:bCs/>
                <w:snapToGrid w:val="0"/>
                <w:color w:val="auto"/>
                <w:kern w:val="0"/>
                <w:sz w:val="24"/>
                <w:highlight w:val="none"/>
                <w:lang w:val="en-US" w:eastAsia="zh-CN"/>
              </w:rPr>
              <w:t>加热塑料颗粒，使之熔融，</w:t>
            </w:r>
            <w:r>
              <w:rPr>
                <w:rFonts w:hint="eastAsia" w:ascii="Times New Roman" w:hAnsi="Times New Roman" w:eastAsia="宋体" w:cs="Times New Roman"/>
                <w:bCs/>
                <w:snapToGrid w:val="0"/>
                <w:color w:val="auto"/>
                <w:kern w:val="0"/>
                <w:sz w:val="24"/>
                <w:highlight w:val="none"/>
                <w:lang w:val="en-US" w:eastAsia="zh-CN"/>
              </w:rPr>
              <w:t>片材机内加热</w:t>
            </w:r>
            <w:r>
              <w:rPr>
                <w:rFonts w:hint="default" w:ascii="Times New Roman" w:hAnsi="Times New Roman" w:eastAsia="宋体" w:cs="Times New Roman"/>
                <w:bCs/>
                <w:snapToGrid w:val="0"/>
                <w:color w:val="auto"/>
                <w:kern w:val="0"/>
                <w:sz w:val="24"/>
                <w:highlight w:val="none"/>
                <w:lang w:val="en-US" w:eastAsia="zh-CN"/>
              </w:rPr>
              <w:t>温度</w:t>
            </w:r>
            <w:r>
              <w:rPr>
                <w:rFonts w:hint="eastAsia" w:ascii="Times New Roman" w:hAnsi="Times New Roman" w:eastAsia="宋体" w:cs="Times New Roman"/>
                <w:bCs/>
                <w:snapToGrid w:val="0"/>
                <w:color w:val="auto"/>
                <w:kern w:val="0"/>
                <w:sz w:val="24"/>
                <w:highlight w:val="none"/>
                <w:lang w:val="en-US" w:eastAsia="zh-CN"/>
              </w:rPr>
              <w:t>约220</w:t>
            </w:r>
            <w:r>
              <w:rPr>
                <w:rFonts w:hint="default" w:ascii="Times New Roman" w:hAnsi="Times New Roman" w:eastAsia="宋体" w:cs="Times New Roman"/>
                <w:bCs/>
                <w:snapToGrid w:val="0"/>
                <w:color w:val="auto"/>
                <w:kern w:val="0"/>
                <w:sz w:val="24"/>
                <w:highlight w:val="none"/>
                <w:lang w:val="en-US" w:eastAsia="zh-CN"/>
              </w:rPr>
              <w:t>℃；</w:t>
            </w:r>
            <w:r>
              <w:rPr>
                <w:rFonts w:hint="eastAsia" w:ascii="Times New Roman" w:hAnsi="Times New Roman" w:eastAsia="宋体" w:cs="Times New Roman"/>
                <w:bCs/>
                <w:snapToGrid w:val="0"/>
                <w:color w:val="auto"/>
                <w:kern w:val="0"/>
                <w:sz w:val="24"/>
                <w:highlight w:val="none"/>
                <w:lang w:val="en-US" w:eastAsia="zh-CN"/>
              </w:rPr>
              <w:t>利用电加热对模具进行加热，片材机配套的温控箱进行温控，便于产品的脱模（本项目不使用脱模剂），</w:t>
            </w:r>
            <w:r>
              <w:rPr>
                <w:rFonts w:hint="default" w:ascii="Times New Roman" w:hAnsi="Times New Roman" w:eastAsia="宋体" w:cs="Times New Roman"/>
                <w:bCs/>
                <w:snapToGrid w:val="0"/>
                <w:color w:val="auto"/>
                <w:kern w:val="0"/>
                <w:sz w:val="24"/>
                <w:highlight w:val="none"/>
                <w:lang w:val="en-US" w:eastAsia="zh-CN"/>
              </w:rPr>
              <w:t>防止塑料原料热解，然后通过螺杆搅拌完全熔融的塑料材料。热融完成后</w:t>
            </w:r>
            <w:r>
              <w:rPr>
                <w:rFonts w:hint="eastAsia" w:ascii="Times New Roman" w:hAnsi="Times New Roman" w:eastAsia="宋体" w:cs="Times New Roman"/>
                <w:bCs/>
                <w:snapToGrid w:val="0"/>
                <w:color w:val="auto"/>
                <w:kern w:val="0"/>
                <w:sz w:val="24"/>
                <w:highlight w:val="none"/>
                <w:lang w:val="en-US" w:eastAsia="zh-CN"/>
              </w:rPr>
              <w:t>利用片材机内部螺杆不断滚动挤压，使其呈片材或卷材状流出。</w:t>
            </w:r>
            <w:r>
              <w:rPr>
                <w:rFonts w:hint="default" w:ascii="Times New Roman" w:hAnsi="Times New Roman" w:eastAsia="宋体" w:cs="Times New Roman"/>
                <w:bCs/>
                <w:snapToGrid w:val="0"/>
                <w:color w:val="auto"/>
                <w:kern w:val="0"/>
                <w:sz w:val="24"/>
                <w:highlight w:val="none"/>
                <w:lang w:val="en-US" w:eastAsia="zh-CN"/>
              </w:rPr>
              <w:t>项目模具均</w:t>
            </w:r>
            <w:r>
              <w:rPr>
                <w:rFonts w:hint="eastAsia" w:ascii="Times New Roman" w:hAnsi="Times New Roman" w:eastAsia="宋体" w:cs="Times New Roman"/>
                <w:bCs/>
                <w:snapToGrid w:val="0"/>
                <w:color w:val="auto"/>
                <w:kern w:val="0"/>
                <w:sz w:val="24"/>
                <w:highlight w:val="none"/>
                <w:lang w:val="en-US" w:eastAsia="zh-CN"/>
              </w:rPr>
              <w:t>为定制</w:t>
            </w:r>
            <w:r>
              <w:rPr>
                <w:rFonts w:hint="default" w:ascii="Times New Roman" w:hAnsi="Times New Roman" w:eastAsia="宋体" w:cs="Times New Roman"/>
                <w:bCs/>
                <w:snapToGrid w:val="0"/>
                <w:color w:val="auto"/>
                <w:kern w:val="0"/>
                <w:sz w:val="24"/>
                <w:highlight w:val="none"/>
                <w:lang w:val="en-US" w:eastAsia="zh-CN"/>
              </w:rPr>
              <w:t>，模具损坏</w:t>
            </w:r>
            <w:r>
              <w:rPr>
                <w:rFonts w:hint="eastAsia" w:cs="Times New Roman"/>
                <w:bCs/>
                <w:snapToGrid w:val="0"/>
                <w:color w:val="auto"/>
                <w:kern w:val="0"/>
                <w:sz w:val="24"/>
                <w:highlight w:val="none"/>
                <w:lang w:val="en-US" w:eastAsia="zh-CN"/>
              </w:rPr>
              <w:t>后进行委外维修或报废处理。</w:t>
            </w:r>
            <w:r>
              <w:rPr>
                <w:rFonts w:hint="default" w:ascii="Times New Roman" w:hAnsi="Times New Roman" w:eastAsia="宋体" w:cs="Times New Roman"/>
                <w:bCs/>
                <w:snapToGrid w:val="0"/>
                <w:color w:val="auto"/>
                <w:kern w:val="0"/>
                <w:sz w:val="24"/>
                <w:highlight w:val="none"/>
                <w:lang w:val="en-US" w:eastAsia="zh-CN"/>
              </w:rPr>
              <w:t>该过程将产生</w:t>
            </w:r>
            <w:r>
              <w:rPr>
                <w:rFonts w:hint="eastAsia" w:ascii="Times New Roman" w:hAnsi="Times New Roman" w:eastAsia="宋体" w:cs="Times New Roman"/>
                <w:bCs/>
                <w:snapToGrid w:val="0"/>
                <w:color w:val="auto"/>
                <w:kern w:val="0"/>
                <w:sz w:val="24"/>
                <w:highlight w:val="none"/>
                <w:lang w:val="en-US" w:eastAsia="zh-CN"/>
              </w:rPr>
              <w:t>挤塑</w:t>
            </w:r>
            <w:r>
              <w:rPr>
                <w:rFonts w:hint="default" w:ascii="Times New Roman" w:hAnsi="Times New Roman" w:eastAsia="宋体" w:cs="Times New Roman"/>
                <w:bCs/>
                <w:snapToGrid w:val="0"/>
                <w:color w:val="auto"/>
                <w:kern w:val="0"/>
                <w:sz w:val="24"/>
                <w:highlight w:val="none"/>
                <w:lang w:val="en-US" w:eastAsia="zh-CN"/>
              </w:rPr>
              <w:t>废气</w:t>
            </w:r>
            <w:r>
              <w:rPr>
                <w:rFonts w:hint="eastAsia" w:ascii="Times New Roman" w:hAnsi="Times New Roman" w:eastAsia="宋体" w:cs="Times New Roman"/>
                <w:bCs/>
                <w:snapToGrid w:val="0"/>
                <w:color w:val="auto"/>
                <w:kern w:val="0"/>
                <w:sz w:val="24"/>
                <w:highlight w:val="none"/>
                <w:lang w:val="en-US" w:eastAsia="zh-CN"/>
              </w:rPr>
              <w:t>G1</w:t>
            </w:r>
            <w:r>
              <w:rPr>
                <w:rFonts w:hint="default" w:ascii="Times New Roman" w:hAnsi="Times New Roman" w:eastAsia="宋体" w:cs="Times New Roman"/>
                <w:bCs/>
                <w:snapToGrid w:val="0"/>
                <w:color w:val="auto"/>
                <w:kern w:val="0"/>
                <w:sz w:val="24"/>
                <w:highlight w:val="none"/>
                <w:lang w:val="en-US" w:eastAsia="zh-CN"/>
              </w:rPr>
              <w:t>、废模具</w:t>
            </w:r>
            <w:r>
              <w:rPr>
                <w:rFonts w:hint="eastAsia" w:ascii="Times New Roman" w:hAnsi="Times New Roman" w:eastAsia="宋体" w:cs="Times New Roman"/>
                <w:bCs/>
                <w:snapToGrid w:val="0"/>
                <w:color w:val="auto"/>
                <w:kern w:val="0"/>
                <w:sz w:val="24"/>
                <w:highlight w:val="none"/>
                <w:lang w:val="en-US" w:eastAsia="zh-CN"/>
              </w:rPr>
              <w:t>S1及噪声N</w:t>
            </w:r>
            <w:r>
              <w:rPr>
                <w:rFonts w:hint="default" w:ascii="Times New Roman" w:hAnsi="Times New Roman" w:eastAsia="宋体" w:cs="Times New Roman"/>
                <w:bCs/>
                <w:snapToGrid w:val="0"/>
                <w:color w:val="auto"/>
                <w:kern w:val="0"/>
                <w:sz w:val="24"/>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snapToGrid w:val="0"/>
                <w:color w:val="auto"/>
                <w:kern w:val="0"/>
                <w:sz w:val="24"/>
                <w:highlight w:val="none"/>
                <w:lang w:val="en-US" w:eastAsia="zh-CN"/>
              </w:rPr>
            </w:pPr>
            <w:r>
              <w:rPr>
                <w:rFonts w:hint="eastAsia" w:cs="Times New Roman"/>
                <w:bCs/>
                <w:snapToGrid w:val="0"/>
                <w:color w:val="auto"/>
                <w:kern w:val="0"/>
                <w:sz w:val="24"/>
                <w:highlight w:val="none"/>
                <w:lang w:val="en-US" w:eastAsia="zh-CN"/>
              </w:rPr>
              <w:t>吸塑成型：根据订单要求，将挤塑形成的片材或卷材放入打杯机、多功能成型机或吸塑机内加工成塑料杯体、塑料打包盒（外包、内包）、盖子（包括塑料打包盒盖子及塑料杯盖子）。利用打杯机、多功能成型机或吸塑机内电加热管将卷材或片材进行加热软化，加热温度约130</w:t>
            </w:r>
            <w:r>
              <w:rPr>
                <w:rFonts w:hint="default" w:ascii="Times New Roman" w:hAnsi="Times New Roman" w:cs="Times New Roman"/>
                <w:bCs/>
                <w:snapToGrid w:val="0"/>
                <w:color w:val="auto"/>
                <w:kern w:val="0"/>
                <w:sz w:val="24"/>
                <w:highlight w:val="none"/>
                <w:lang w:val="en-US" w:eastAsia="zh-CN"/>
              </w:rPr>
              <w:t>℃</w:t>
            </w:r>
            <w:r>
              <w:rPr>
                <w:rFonts w:hint="eastAsia" w:ascii="Times New Roman" w:hAnsi="Times New Roman" w:cs="Times New Roman"/>
                <w:bCs/>
                <w:snapToGrid w:val="0"/>
                <w:color w:val="auto"/>
                <w:kern w:val="0"/>
                <w:sz w:val="24"/>
                <w:highlight w:val="none"/>
                <w:lang w:val="en-US" w:eastAsia="zh-CN"/>
              </w:rPr>
              <w:t>，加热软化后的材料进行吸塑成型，使其成订单所需的</w:t>
            </w:r>
            <w:r>
              <w:rPr>
                <w:rFonts w:hint="eastAsia" w:cs="Times New Roman"/>
                <w:bCs/>
                <w:snapToGrid w:val="0"/>
                <w:color w:val="auto"/>
                <w:kern w:val="0"/>
                <w:sz w:val="24"/>
                <w:highlight w:val="none"/>
                <w:lang w:val="en-US" w:eastAsia="zh-CN"/>
              </w:rPr>
              <w:t>塑料杯体、塑料打包盒（外包、内包）、盖子（包括塑料打包盒盖子及塑料杯盖子）。成型后的产品通过设备自动进行裁切，将多余的边角料进行裁切。此过程将产生吸塑废气G2</w:t>
            </w:r>
            <w:r>
              <w:rPr>
                <w:rFonts w:hint="default" w:ascii="Times New Roman" w:hAnsi="Times New Roman" w:eastAsia="宋体" w:cs="Times New Roman"/>
                <w:bCs/>
                <w:snapToGrid w:val="0"/>
                <w:color w:val="auto"/>
                <w:kern w:val="0"/>
                <w:sz w:val="24"/>
                <w:highlight w:val="none"/>
                <w:lang w:val="en-US" w:eastAsia="zh-CN"/>
              </w:rPr>
              <w:t>、废模具</w:t>
            </w:r>
            <w:r>
              <w:rPr>
                <w:rFonts w:hint="eastAsia" w:ascii="Times New Roman" w:hAnsi="Times New Roman" w:eastAsia="宋体" w:cs="Times New Roman"/>
                <w:bCs/>
                <w:snapToGrid w:val="0"/>
                <w:color w:val="auto"/>
                <w:kern w:val="0"/>
                <w:sz w:val="24"/>
                <w:highlight w:val="none"/>
                <w:lang w:val="en-US" w:eastAsia="zh-CN"/>
              </w:rPr>
              <w:t>S1</w:t>
            </w:r>
            <w:r>
              <w:rPr>
                <w:rFonts w:hint="eastAsia" w:cs="Times New Roman"/>
                <w:bCs/>
                <w:snapToGrid w:val="0"/>
                <w:color w:val="auto"/>
                <w:kern w:val="0"/>
                <w:sz w:val="24"/>
                <w:highlight w:val="none"/>
                <w:lang w:val="en-US" w:eastAsia="zh-CN"/>
              </w:rPr>
              <w:t>、塑料边角料S2及噪声N。</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snapToGrid w:val="0"/>
                <w:color w:val="auto"/>
                <w:kern w:val="0"/>
                <w:sz w:val="24"/>
                <w:highlight w:val="none"/>
                <w:lang w:val="en-US" w:eastAsia="zh-CN"/>
              </w:rPr>
            </w:pPr>
            <w:r>
              <w:rPr>
                <w:rFonts w:hint="eastAsia" w:cs="Times New Roman"/>
                <w:bCs/>
                <w:snapToGrid w:val="0"/>
                <w:color w:val="auto"/>
                <w:kern w:val="0"/>
                <w:sz w:val="24"/>
                <w:highlight w:val="none"/>
                <w:lang w:val="en-US" w:eastAsia="zh-CN"/>
              </w:rPr>
              <w:t>检验：加工完成后的产品通过人工抽查的方式对产品外观进行检验，此过程将产生不合格品S3。</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snapToGrid w:val="0"/>
                <w:color w:val="auto"/>
                <w:kern w:val="0"/>
                <w:sz w:val="24"/>
                <w:highlight w:val="none"/>
                <w:lang w:val="en-US" w:eastAsia="zh-CN"/>
              </w:rPr>
            </w:pPr>
            <w:r>
              <w:rPr>
                <w:rFonts w:hint="eastAsia" w:cs="Times New Roman"/>
                <w:bCs/>
                <w:snapToGrid w:val="0"/>
                <w:color w:val="auto"/>
                <w:kern w:val="0"/>
                <w:sz w:val="24"/>
                <w:highlight w:val="none"/>
                <w:lang w:val="en-US" w:eastAsia="zh-CN"/>
              </w:rPr>
              <w:t>打包入库：检验后的产品通过人工打包的方式将打包完成的产品放入库房。</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snapToGrid w:val="0"/>
                <w:color w:val="auto"/>
                <w:kern w:val="0"/>
                <w:sz w:val="24"/>
                <w:highlight w:val="none"/>
                <w:lang w:val="en-US" w:eastAsia="zh-CN"/>
              </w:rPr>
            </w:pPr>
            <w:r>
              <w:rPr>
                <w:rFonts w:hint="eastAsia" w:cs="Times New Roman"/>
                <w:bCs/>
                <w:snapToGrid w:val="0"/>
                <w:color w:val="auto"/>
                <w:kern w:val="0"/>
                <w:sz w:val="24"/>
                <w:highlight w:val="none"/>
                <w:lang w:val="en-US" w:eastAsia="zh-CN"/>
              </w:rPr>
              <w:t>项目运营期内，主要污染物产生情况，详见下表。</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cs="Times New Roman"/>
                <w:bCs/>
                <w:snapToGrid w:val="0"/>
                <w:color w:val="auto"/>
                <w:kern w:val="0"/>
                <w:sz w:val="24"/>
                <w:highlight w:val="none"/>
                <w:lang w:val="en-US" w:eastAsia="zh-CN"/>
              </w:rPr>
            </w:pPr>
            <w:r>
              <w:rPr>
                <w:rFonts w:hint="eastAsia" w:cs="Times New Roman"/>
                <w:bCs/>
                <w:snapToGrid w:val="0"/>
                <w:color w:val="auto"/>
                <w:kern w:val="0"/>
                <w:sz w:val="24"/>
                <w:highlight w:val="none"/>
                <w:lang w:val="en-US" w:eastAsia="zh-CN"/>
              </w:rPr>
              <w:t>表2-8  大气污染物产生情况一览表</w:t>
            </w:r>
          </w:p>
          <w:tbl>
            <w:tblPr>
              <w:tblStyle w:val="16"/>
              <w:tblW w:w="84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1608"/>
              <w:gridCol w:w="2333"/>
              <w:gridCol w:w="3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编号</w:t>
                  </w:r>
                </w:p>
              </w:tc>
              <w:tc>
                <w:tcPr>
                  <w:tcW w:w="1608"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名称</w:t>
                  </w:r>
                </w:p>
              </w:tc>
              <w:tc>
                <w:tcPr>
                  <w:tcW w:w="2333"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污染工序</w:t>
                  </w:r>
                </w:p>
              </w:tc>
              <w:tc>
                <w:tcPr>
                  <w:tcW w:w="3543"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G1</w:t>
                  </w:r>
                </w:p>
              </w:tc>
              <w:tc>
                <w:tcPr>
                  <w:tcW w:w="1608"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挤塑废气</w:t>
                  </w:r>
                </w:p>
              </w:tc>
              <w:tc>
                <w:tcPr>
                  <w:tcW w:w="2333"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熔融注塑</w:t>
                  </w:r>
                </w:p>
              </w:tc>
              <w:tc>
                <w:tcPr>
                  <w:tcW w:w="3543"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auto"/>
                    <w:rPr>
                      <w:rFonts w:hint="eastAsia"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非甲烷总烃、颗粒物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G2</w:t>
                  </w:r>
                </w:p>
              </w:tc>
              <w:tc>
                <w:tcPr>
                  <w:tcW w:w="1608"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吸塑废气</w:t>
                  </w:r>
                </w:p>
              </w:tc>
              <w:tc>
                <w:tcPr>
                  <w:tcW w:w="2333"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吸塑成型</w:t>
                  </w:r>
                </w:p>
              </w:tc>
              <w:tc>
                <w:tcPr>
                  <w:tcW w:w="3543"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jc w:val="center"/>
                    <w:textAlignment w:val="auto"/>
                    <w:rPr>
                      <w:rFonts w:hint="eastAsia"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非甲烷总烃</w:t>
                  </w:r>
                </w:p>
              </w:tc>
            </w:tr>
          </w:tbl>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cs="Times New Roman"/>
                <w:bCs/>
                <w:snapToGrid w:val="0"/>
                <w:color w:val="auto"/>
                <w:kern w:val="0"/>
                <w:sz w:val="24"/>
                <w:highlight w:val="none"/>
                <w:lang w:val="en-US" w:eastAsia="zh-CN"/>
              </w:rPr>
            </w:pPr>
            <w:r>
              <w:rPr>
                <w:rFonts w:hint="eastAsia" w:cs="Times New Roman"/>
                <w:bCs/>
                <w:snapToGrid w:val="0"/>
                <w:color w:val="auto"/>
                <w:kern w:val="0"/>
                <w:sz w:val="24"/>
                <w:highlight w:val="none"/>
                <w:lang w:val="en-US" w:eastAsia="zh-CN"/>
              </w:rPr>
              <w:t>表2-9 废水污染物产生情况一览表</w:t>
            </w:r>
          </w:p>
          <w:tbl>
            <w:tblPr>
              <w:tblStyle w:val="16"/>
              <w:tblW w:w="84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2481"/>
              <w:gridCol w:w="2503"/>
              <w:gridCol w:w="2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编号</w:t>
                  </w:r>
                </w:p>
              </w:tc>
              <w:tc>
                <w:tcPr>
                  <w:tcW w:w="2481"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名称</w:t>
                  </w:r>
                </w:p>
              </w:tc>
              <w:tc>
                <w:tcPr>
                  <w:tcW w:w="2503"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污染工序</w:t>
                  </w:r>
                </w:p>
              </w:tc>
              <w:tc>
                <w:tcPr>
                  <w:tcW w:w="210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eastAsia" w:ascii="Times New Roman" w:hAnsi="Times New Roman" w:eastAsia="宋体" w:cs="Times New Roman"/>
                      <w:bCs/>
                      <w:snapToGrid w:val="0"/>
                      <w:color w:val="auto"/>
                      <w:kern w:val="0"/>
                      <w:sz w:val="21"/>
                      <w:szCs w:val="21"/>
                      <w:highlight w:val="none"/>
                      <w:vertAlign w:val="baseline"/>
                      <w:lang w:val="en-US" w:eastAsia="zh-CN" w:bidi="ar-SA"/>
                    </w:rPr>
                  </w:pPr>
                  <w:r>
                    <w:rPr>
                      <w:rFonts w:hint="eastAsia" w:cs="Times New Roman"/>
                      <w:bCs/>
                      <w:snapToGrid w:val="0"/>
                      <w:color w:val="auto"/>
                      <w:kern w:val="0"/>
                      <w:sz w:val="21"/>
                      <w:szCs w:val="21"/>
                      <w:highlight w:val="none"/>
                      <w:vertAlign w:val="baseline"/>
                      <w:lang w:val="en-US" w:eastAsia="zh-CN"/>
                    </w:rPr>
                    <w:t>W1</w:t>
                  </w:r>
                </w:p>
              </w:tc>
              <w:tc>
                <w:tcPr>
                  <w:tcW w:w="2481"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bidi="ar-SA"/>
                    </w:rPr>
                  </w:pPr>
                  <w:r>
                    <w:rPr>
                      <w:rFonts w:hint="eastAsia" w:cs="Times New Roman"/>
                      <w:bCs/>
                      <w:snapToGrid w:val="0"/>
                      <w:color w:val="auto"/>
                      <w:kern w:val="0"/>
                      <w:sz w:val="21"/>
                      <w:szCs w:val="21"/>
                      <w:highlight w:val="none"/>
                      <w:vertAlign w:val="baseline"/>
                      <w:lang w:val="en-US" w:eastAsia="zh-CN"/>
                    </w:rPr>
                    <w:t>空压机含油废水</w:t>
                  </w:r>
                </w:p>
              </w:tc>
              <w:tc>
                <w:tcPr>
                  <w:tcW w:w="2503"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bidi="ar-SA"/>
                    </w:rPr>
                  </w:pPr>
                  <w:r>
                    <w:rPr>
                      <w:rFonts w:hint="eastAsia" w:cs="Times New Roman"/>
                      <w:bCs/>
                      <w:snapToGrid w:val="0"/>
                      <w:color w:val="auto"/>
                      <w:kern w:val="0"/>
                      <w:sz w:val="21"/>
                      <w:szCs w:val="21"/>
                      <w:highlight w:val="none"/>
                      <w:vertAlign w:val="baseline"/>
                      <w:lang w:val="en-US" w:eastAsia="zh-CN"/>
                    </w:rPr>
                    <w:t>空压机</w:t>
                  </w:r>
                </w:p>
              </w:tc>
              <w:tc>
                <w:tcPr>
                  <w:tcW w:w="210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bidi="ar-SA"/>
                    </w:rPr>
                  </w:pPr>
                  <w:r>
                    <w:rPr>
                      <w:rFonts w:hint="eastAsia" w:cs="Times New Roman"/>
                      <w:bCs/>
                      <w:snapToGrid w:val="0"/>
                      <w:color w:val="auto"/>
                      <w:kern w:val="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eastAsia" w:ascii="Times New Roman" w:hAnsi="Times New Roman" w:eastAsia="宋体" w:cs="Times New Roman"/>
                      <w:bCs/>
                      <w:snapToGrid w:val="0"/>
                      <w:color w:val="auto"/>
                      <w:kern w:val="0"/>
                      <w:sz w:val="21"/>
                      <w:szCs w:val="21"/>
                      <w:highlight w:val="none"/>
                      <w:vertAlign w:val="baseline"/>
                      <w:lang w:val="en-US" w:eastAsia="zh-CN" w:bidi="ar-SA"/>
                    </w:rPr>
                  </w:pPr>
                  <w:r>
                    <w:rPr>
                      <w:rFonts w:hint="eastAsia" w:cs="Times New Roman"/>
                      <w:bCs/>
                      <w:snapToGrid w:val="0"/>
                      <w:color w:val="auto"/>
                      <w:kern w:val="0"/>
                      <w:sz w:val="21"/>
                      <w:szCs w:val="21"/>
                      <w:highlight w:val="none"/>
                      <w:vertAlign w:val="baseline"/>
                      <w:lang w:val="en-US" w:eastAsia="zh-CN"/>
                    </w:rPr>
                    <w:t>W2</w:t>
                  </w:r>
                </w:p>
              </w:tc>
              <w:tc>
                <w:tcPr>
                  <w:tcW w:w="2481"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bidi="ar-SA"/>
                    </w:rPr>
                  </w:pPr>
                  <w:r>
                    <w:rPr>
                      <w:rFonts w:hint="eastAsia" w:cs="Times New Roman"/>
                      <w:bCs/>
                      <w:snapToGrid w:val="0"/>
                      <w:color w:val="auto"/>
                      <w:kern w:val="0"/>
                      <w:sz w:val="21"/>
                      <w:szCs w:val="21"/>
                      <w:highlight w:val="none"/>
                      <w:vertAlign w:val="baseline"/>
                      <w:lang w:val="en-US" w:eastAsia="zh-CN"/>
                    </w:rPr>
                    <w:t>生活污水</w:t>
                  </w:r>
                </w:p>
              </w:tc>
              <w:tc>
                <w:tcPr>
                  <w:tcW w:w="2503"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bidi="ar-SA"/>
                    </w:rPr>
                  </w:pPr>
                  <w:r>
                    <w:rPr>
                      <w:rFonts w:hint="eastAsia" w:cs="Times New Roman"/>
                      <w:bCs/>
                      <w:snapToGrid w:val="0"/>
                      <w:color w:val="auto"/>
                      <w:kern w:val="0"/>
                      <w:sz w:val="21"/>
                      <w:szCs w:val="21"/>
                      <w:highlight w:val="none"/>
                      <w:vertAlign w:val="baseline"/>
                      <w:lang w:val="en-US" w:eastAsia="zh-CN"/>
                    </w:rPr>
                    <w:t>生活</w:t>
                  </w:r>
                </w:p>
              </w:tc>
              <w:tc>
                <w:tcPr>
                  <w:tcW w:w="210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eastAsia" w:ascii="Times New Roman" w:hAnsi="Times New Roman" w:eastAsia="宋体" w:cs="Times New Roman"/>
                      <w:bCs/>
                      <w:snapToGrid w:val="0"/>
                      <w:color w:val="auto"/>
                      <w:kern w:val="0"/>
                      <w:sz w:val="21"/>
                      <w:szCs w:val="21"/>
                      <w:highlight w:val="none"/>
                      <w:vertAlign w:val="baseline"/>
                      <w:lang w:val="en-US" w:eastAsia="zh-CN" w:bidi="ar-SA"/>
                    </w:rPr>
                  </w:pPr>
                  <w:r>
                    <w:rPr>
                      <w:rFonts w:hint="eastAsia" w:cs="Times New Roman"/>
                      <w:bCs/>
                      <w:snapToGrid w:val="0"/>
                      <w:color w:val="auto"/>
                      <w:kern w:val="0"/>
                      <w:sz w:val="21"/>
                      <w:szCs w:val="21"/>
                      <w:highlight w:val="none"/>
                      <w:vertAlign w:val="baseline"/>
                      <w:lang w:val="en-US" w:eastAsia="zh-CN"/>
                    </w:rPr>
                    <w:t>/</w:t>
                  </w:r>
                </w:p>
              </w:tc>
            </w:tr>
          </w:tbl>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default" w:cs="Times New Roman"/>
                <w:bCs/>
                <w:snapToGrid w:val="0"/>
                <w:color w:val="auto"/>
                <w:kern w:val="0"/>
                <w:sz w:val="24"/>
                <w:highlight w:val="none"/>
                <w:lang w:val="en-US" w:eastAsia="zh-CN"/>
              </w:rPr>
            </w:pPr>
            <w:r>
              <w:rPr>
                <w:rFonts w:hint="eastAsia" w:cs="Times New Roman"/>
                <w:bCs/>
                <w:snapToGrid w:val="0"/>
                <w:color w:val="auto"/>
                <w:kern w:val="0"/>
                <w:sz w:val="24"/>
                <w:highlight w:val="none"/>
                <w:lang w:val="en-US" w:eastAsia="zh-CN"/>
              </w:rPr>
              <w:t>表2-10 固体污染物产生情况一览表</w:t>
            </w:r>
          </w:p>
          <w:tbl>
            <w:tblPr>
              <w:tblStyle w:val="16"/>
              <w:tblW w:w="84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258"/>
              <w:gridCol w:w="2105"/>
              <w:gridCol w:w="2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编号</w:t>
                  </w:r>
                </w:p>
              </w:tc>
              <w:tc>
                <w:tcPr>
                  <w:tcW w:w="3258"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名称</w:t>
                  </w:r>
                </w:p>
              </w:tc>
              <w:tc>
                <w:tcPr>
                  <w:tcW w:w="210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污染工序</w:t>
                  </w:r>
                </w:p>
              </w:tc>
              <w:tc>
                <w:tcPr>
                  <w:tcW w:w="210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eastAsia" w:ascii="Times New Roman" w:hAnsi="Times New Roman" w:eastAsia="宋体" w:cs="Times New Roman"/>
                      <w:bCs/>
                      <w:snapToGrid w:val="0"/>
                      <w:color w:val="auto"/>
                      <w:kern w:val="0"/>
                      <w:sz w:val="21"/>
                      <w:szCs w:val="21"/>
                      <w:highlight w:val="none"/>
                      <w:vertAlign w:val="baseline"/>
                      <w:lang w:val="en-US" w:eastAsia="zh-CN" w:bidi="ar-SA"/>
                    </w:rPr>
                  </w:pPr>
                  <w:r>
                    <w:rPr>
                      <w:rFonts w:hint="eastAsia" w:cs="Times New Roman"/>
                      <w:bCs/>
                      <w:snapToGrid w:val="0"/>
                      <w:color w:val="auto"/>
                      <w:kern w:val="0"/>
                      <w:sz w:val="21"/>
                      <w:szCs w:val="21"/>
                      <w:highlight w:val="none"/>
                      <w:vertAlign w:val="baseline"/>
                      <w:lang w:val="en-US" w:eastAsia="zh-CN"/>
                    </w:rPr>
                    <w:t>S1</w:t>
                  </w:r>
                </w:p>
              </w:tc>
              <w:tc>
                <w:tcPr>
                  <w:tcW w:w="3258"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bidi="ar-SA"/>
                    </w:rPr>
                  </w:pPr>
                  <w:r>
                    <w:rPr>
                      <w:rFonts w:hint="eastAsia" w:cs="Times New Roman"/>
                      <w:bCs/>
                      <w:snapToGrid w:val="0"/>
                      <w:color w:val="auto"/>
                      <w:kern w:val="0"/>
                      <w:sz w:val="21"/>
                      <w:szCs w:val="21"/>
                      <w:highlight w:val="none"/>
                      <w:vertAlign w:val="baseline"/>
                      <w:lang w:val="en-US" w:eastAsia="zh-CN"/>
                    </w:rPr>
                    <w:t>废模具</w:t>
                  </w:r>
                </w:p>
              </w:tc>
              <w:tc>
                <w:tcPr>
                  <w:tcW w:w="210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熔融挤塑、吸塑成型</w:t>
                  </w:r>
                </w:p>
              </w:tc>
              <w:tc>
                <w:tcPr>
                  <w:tcW w:w="210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eastAsia"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eastAsia" w:ascii="Times New Roman" w:hAnsi="Times New Roman" w:eastAsia="宋体" w:cs="Times New Roman"/>
                      <w:bCs/>
                      <w:snapToGrid w:val="0"/>
                      <w:color w:val="auto"/>
                      <w:kern w:val="0"/>
                      <w:sz w:val="21"/>
                      <w:szCs w:val="21"/>
                      <w:highlight w:val="none"/>
                      <w:vertAlign w:val="baseline"/>
                      <w:lang w:val="en-US" w:eastAsia="zh-CN" w:bidi="ar-SA"/>
                    </w:rPr>
                  </w:pPr>
                  <w:r>
                    <w:rPr>
                      <w:rFonts w:hint="eastAsia" w:cs="Times New Roman"/>
                      <w:bCs/>
                      <w:snapToGrid w:val="0"/>
                      <w:color w:val="auto"/>
                      <w:kern w:val="0"/>
                      <w:sz w:val="21"/>
                      <w:szCs w:val="21"/>
                      <w:highlight w:val="none"/>
                      <w:vertAlign w:val="baseline"/>
                      <w:lang w:val="en-US" w:eastAsia="zh-CN"/>
                    </w:rPr>
                    <w:t>S2</w:t>
                  </w:r>
                </w:p>
              </w:tc>
              <w:tc>
                <w:tcPr>
                  <w:tcW w:w="3258"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eastAsia" w:ascii="Times New Roman" w:hAnsi="Times New Roman" w:eastAsia="宋体" w:cs="Times New Roman"/>
                      <w:bCs/>
                      <w:snapToGrid w:val="0"/>
                      <w:color w:val="auto"/>
                      <w:kern w:val="0"/>
                      <w:sz w:val="21"/>
                      <w:szCs w:val="21"/>
                      <w:highlight w:val="none"/>
                      <w:vertAlign w:val="baseline"/>
                      <w:lang w:val="en-US" w:eastAsia="zh-CN" w:bidi="ar-SA"/>
                    </w:rPr>
                  </w:pPr>
                  <w:r>
                    <w:rPr>
                      <w:rFonts w:hint="eastAsia" w:cs="Times New Roman"/>
                      <w:bCs/>
                      <w:snapToGrid w:val="0"/>
                      <w:color w:val="auto"/>
                      <w:kern w:val="0"/>
                      <w:sz w:val="21"/>
                      <w:szCs w:val="21"/>
                      <w:highlight w:val="none"/>
                      <w:vertAlign w:val="baseline"/>
                      <w:lang w:val="en-US" w:eastAsia="zh-CN"/>
                    </w:rPr>
                    <w:t>塑料边角料</w:t>
                  </w:r>
                </w:p>
              </w:tc>
              <w:tc>
                <w:tcPr>
                  <w:tcW w:w="210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吸塑成型</w:t>
                  </w:r>
                </w:p>
              </w:tc>
              <w:tc>
                <w:tcPr>
                  <w:tcW w:w="210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eastAsia"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eastAsia" w:ascii="Times New Roman" w:hAnsi="Times New Roman" w:eastAsia="宋体" w:cs="Times New Roman"/>
                      <w:bCs/>
                      <w:snapToGrid w:val="0"/>
                      <w:color w:val="auto"/>
                      <w:kern w:val="0"/>
                      <w:sz w:val="21"/>
                      <w:szCs w:val="21"/>
                      <w:highlight w:val="none"/>
                      <w:vertAlign w:val="baseline"/>
                      <w:lang w:val="en-US" w:eastAsia="zh-CN" w:bidi="ar-SA"/>
                    </w:rPr>
                  </w:pPr>
                  <w:r>
                    <w:rPr>
                      <w:rFonts w:hint="eastAsia" w:cs="Times New Roman"/>
                      <w:bCs/>
                      <w:snapToGrid w:val="0"/>
                      <w:color w:val="auto"/>
                      <w:kern w:val="0"/>
                      <w:sz w:val="21"/>
                      <w:szCs w:val="21"/>
                      <w:highlight w:val="none"/>
                      <w:vertAlign w:val="baseline"/>
                      <w:lang w:val="en-US" w:eastAsia="zh-CN"/>
                    </w:rPr>
                    <w:t>S3</w:t>
                  </w:r>
                </w:p>
              </w:tc>
              <w:tc>
                <w:tcPr>
                  <w:tcW w:w="3258"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eastAsia" w:ascii="Times New Roman" w:hAnsi="Times New Roman" w:eastAsia="宋体" w:cs="Times New Roman"/>
                      <w:bCs/>
                      <w:snapToGrid w:val="0"/>
                      <w:color w:val="auto"/>
                      <w:kern w:val="0"/>
                      <w:sz w:val="21"/>
                      <w:szCs w:val="21"/>
                      <w:highlight w:val="none"/>
                      <w:vertAlign w:val="baseline"/>
                      <w:lang w:val="en-US" w:eastAsia="zh-CN" w:bidi="ar-SA"/>
                    </w:rPr>
                  </w:pPr>
                  <w:r>
                    <w:rPr>
                      <w:rFonts w:hint="eastAsia" w:cs="Times New Roman"/>
                      <w:bCs/>
                      <w:snapToGrid w:val="0"/>
                      <w:color w:val="auto"/>
                      <w:kern w:val="0"/>
                      <w:sz w:val="21"/>
                      <w:szCs w:val="21"/>
                      <w:highlight w:val="none"/>
                      <w:vertAlign w:val="baseline"/>
                      <w:lang w:val="en-US" w:eastAsia="zh-CN"/>
                    </w:rPr>
                    <w:t>不合格产品</w:t>
                  </w:r>
                </w:p>
              </w:tc>
              <w:tc>
                <w:tcPr>
                  <w:tcW w:w="210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eastAsia" w:ascii="Times New Roman" w:hAnsi="Times New Roman" w:eastAsia="宋体" w:cs="Times New Roman"/>
                      <w:bCs/>
                      <w:snapToGrid w:val="0"/>
                      <w:color w:val="auto"/>
                      <w:kern w:val="0"/>
                      <w:sz w:val="21"/>
                      <w:szCs w:val="21"/>
                      <w:highlight w:val="none"/>
                      <w:vertAlign w:val="baseline"/>
                      <w:lang w:val="en-US" w:eastAsia="zh-CN" w:bidi="ar-SA"/>
                    </w:rPr>
                  </w:pPr>
                  <w:r>
                    <w:rPr>
                      <w:rFonts w:hint="eastAsia" w:cs="Times New Roman"/>
                      <w:bCs/>
                      <w:snapToGrid w:val="0"/>
                      <w:color w:val="auto"/>
                      <w:kern w:val="0"/>
                      <w:sz w:val="21"/>
                      <w:szCs w:val="21"/>
                      <w:highlight w:val="none"/>
                      <w:vertAlign w:val="baseline"/>
                      <w:lang w:val="en-US" w:eastAsia="zh-CN"/>
                    </w:rPr>
                    <w:t>检验</w:t>
                  </w:r>
                </w:p>
              </w:tc>
              <w:tc>
                <w:tcPr>
                  <w:tcW w:w="210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eastAsia"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eastAsia" w:ascii="Times New Roman" w:hAnsi="Times New Roman" w:eastAsia="宋体" w:cs="Times New Roman"/>
                      <w:bCs/>
                      <w:snapToGrid w:val="0"/>
                      <w:color w:val="auto"/>
                      <w:kern w:val="0"/>
                      <w:sz w:val="21"/>
                      <w:szCs w:val="21"/>
                      <w:highlight w:val="none"/>
                      <w:vertAlign w:val="baseline"/>
                      <w:lang w:val="en-US" w:eastAsia="zh-CN" w:bidi="ar-SA"/>
                    </w:rPr>
                  </w:pPr>
                  <w:r>
                    <w:rPr>
                      <w:rFonts w:hint="eastAsia" w:cs="Times New Roman"/>
                      <w:bCs/>
                      <w:snapToGrid w:val="0"/>
                      <w:color w:val="auto"/>
                      <w:kern w:val="0"/>
                      <w:sz w:val="21"/>
                      <w:szCs w:val="21"/>
                      <w:highlight w:val="none"/>
                      <w:vertAlign w:val="baseline"/>
                      <w:lang w:val="en-US" w:eastAsia="zh-CN"/>
                    </w:rPr>
                    <w:t>S4</w:t>
                  </w:r>
                </w:p>
              </w:tc>
              <w:tc>
                <w:tcPr>
                  <w:tcW w:w="3258"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eastAsia" w:ascii="Times New Roman" w:hAnsi="Times New Roman" w:eastAsia="宋体" w:cs="Times New Roman"/>
                      <w:bCs/>
                      <w:snapToGrid w:val="0"/>
                      <w:color w:val="auto"/>
                      <w:kern w:val="0"/>
                      <w:sz w:val="21"/>
                      <w:szCs w:val="21"/>
                      <w:highlight w:val="none"/>
                      <w:vertAlign w:val="baseline"/>
                      <w:lang w:val="en-US" w:eastAsia="zh-CN" w:bidi="ar-SA"/>
                    </w:rPr>
                  </w:pPr>
                  <w:r>
                    <w:rPr>
                      <w:rFonts w:hint="eastAsia" w:cs="Times New Roman"/>
                      <w:bCs/>
                      <w:snapToGrid w:val="0"/>
                      <w:color w:val="auto"/>
                      <w:kern w:val="0"/>
                      <w:sz w:val="21"/>
                      <w:szCs w:val="21"/>
                      <w:highlight w:val="none"/>
                      <w:vertAlign w:val="baseline"/>
                      <w:lang w:val="en-US" w:eastAsia="zh-CN"/>
                    </w:rPr>
                    <w:t>废包装袋</w:t>
                  </w:r>
                </w:p>
              </w:tc>
              <w:tc>
                <w:tcPr>
                  <w:tcW w:w="210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eastAsia" w:ascii="Times New Roman" w:hAnsi="Times New Roman" w:eastAsia="宋体" w:cs="Times New Roman"/>
                      <w:bCs/>
                      <w:snapToGrid w:val="0"/>
                      <w:color w:val="auto"/>
                      <w:kern w:val="0"/>
                      <w:sz w:val="21"/>
                      <w:szCs w:val="21"/>
                      <w:highlight w:val="none"/>
                      <w:vertAlign w:val="baseline"/>
                      <w:lang w:val="en-US" w:eastAsia="zh-CN" w:bidi="ar-SA"/>
                    </w:rPr>
                  </w:pPr>
                  <w:r>
                    <w:rPr>
                      <w:rFonts w:hint="eastAsia" w:cs="Times New Roman"/>
                      <w:bCs/>
                      <w:snapToGrid w:val="0"/>
                      <w:color w:val="auto"/>
                      <w:kern w:val="0"/>
                      <w:sz w:val="21"/>
                      <w:szCs w:val="21"/>
                      <w:highlight w:val="none"/>
                      <w:vertAlign w:val="baseline"/>
                      <w:lang w:val="en-US" w:eastAsia="zh-CN"/>
                    </w:rPr>
                    <w:t>/</w:t>
                  </w:r>
                </w:p>
              </w:tc>
              <w:tc>
                <w:tcPr>
                  <w:tcW w:w="210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eastAsia"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eastAsia" w:ascii="Times New Roman" w:hAnsi="Times New Roman" w:eastAsia="宋体" w:cs="Times New Roman"/>
                      <w:bCs/>
                      <w:snapToGrid w:val="0"/>
                      <w:color w:val="auto"/>
                      <w:kern w:val="0"/>
                      <w:sz w:val="21"/>
                      <w:szCs w:val="21"/>
                      <w:highlight w:val="none"/>
                      <w:vertAlign w:val="baseline"/>
                      <w:lang w:val="en-US" w:eastAsia="zh-CN" w:bidi="ar-SA"/>
                    </w:rPr>
                  </w:pPr>
                  <w:r>
                    <w:rPr>
                      <w:rFonts w:hint="eastAsia" w:cs="Times New Roman"/>
                      <w:bCs/>
                      <w:snapToGrid w:val="0"/>
                      <w:color w:val="auto"/>
                      <w:kern w:val="0"/>
                      <w:sz w:val="21"/>
                      <w:szCs w:val="21"/>
                      <w:highlight w:val="none"/>
                      <w:vertAlign w:val="baseline"/>
                      <w:lang w:val="en-US" w:eastAsia="zh-CN"/>
                    </w:rPr>
                    <w:t>S5</w:t>
                  </w:r>
                </w:p>
              </w:tc>
              <w:tc>
                <w:tcPr>
                  <w:tcW w:w="3258"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废润滑油</w:t>
                  </w:r>
                </w:p>
              </w:tc>
              <w:tc>
                <w:tcPr>
                  <w:tcW w:w="2105"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设备维护、保养</w:t>
                  </w:r>
                </w:p>
              </w:tc>
              <w:tc>
                <w:tcPr>
                  <w:tcW w:w="210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eastAsia"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eastAsia" w:ascii="Times New Roman" w:hAnsi="Times New Roman" w:eastAsia="宋体" w:cs="Times New Roman"/>
                      <w:bCs/>
                      <w:snapToGrid w:val="0"/>
                      <w:color w:val="auto"/>
                      <w:kern w:val="0"/>
                      <w:sz w:val="21"/>
                      <w:szCs w:val="21"/>
                      <w:highlight w:val="none"/>
                      <w:vertAlign w:val="baseline"/>
                      <w:lang w:val="en-US" w:eastAsia="zh-CN" w:bidi="ar-SA"/>
                    </w:rPr>
                  </w:pPr>
                  <w:r>
                    <w:rPr>
                      <w:rFonts w:hint="eastAsia" w:cs="Times New Roman"/>
                      <w:bCs/>
                      <w:snapToGrid w:val="0"/>
                      <w:color w:val="auto"/>
                      <w:kern w:val="0"/>
                      <w:sz w:val="21"/>
                      <w:szCs w:val="21"/>
                      <w:highlight w:val="none"/>
                      <w:vertAlign w:val="baseline"/>
                      <w:lang w:val="en-US" w:eastAsia="zh-CN"/>
                    </w:rPr>
                    <w:t>S6</w:t>
                  </w:r>
                </w:p>
              </w:tc>
              <w:tc>
                <w:tcPr>
                  <w:tcW w:w="3258"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废润滑油桶</w:t>
                  </w:r>
                </w:p>
              </w:tc>
              <w:tc>
                <w:tcPr>
                  <w:tcW w:w="2105"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cs="Times New Roman"/>
                      <w:bCs/>
                      <w:snapToGrid w:val="0"/>
                      <w:color w:val="auto"/>
                      <w:kern w:val="0"/>
                      <w:sz w:val="21"/>
                      <w:szCs w:val="21"/>
                      <w:highlight w:val="none"/>
                      <w:vertAlign w:val="baseline"/>
                      <w:lang w:val="en-US" w:eastAsia="zh-CN"/>
                    </w:rPr>
                  </w:pPr>
                </w:p>
              </w:tc>
              <w:tc>
                <w:tcPr>
                  <w:tcW w:w="210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eastAsia"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eastAsia" w:ascii="Times New Roman" w:hAnsi="Times New Roman" w:eastAsia="宋体" w:cs="Times New Roman"/>
                      <w:bCs/>
                      <w:snapToGrid w:val="0"/>
                      <w:color w:val="auto"/>
                      <w:kern w:val="0"/>
                      <w:sz w:val="21"/>
                      <w:szCs w:val="21"/>
                      <w:highlight w:val="none"/>
                      <w:vertAlign w:val="baseline"/>
                      <w:lang w:val="en-US" w:eastAsia="zh-CN" w:bidi="ar-SA"/>
                    </w:rPr>
                  </w:pPr>
                  <w:r>
                    <w:rPr>
                      <w:rFonts w:hint="eastAsia" w:cs="Times New Roman"/>
                      <w:bCs/>
                      <w:snapToGrid w:val="0"/>
                      <w:color w:val="auto"/>
                      <w:kern w:val="0"/>
                      <w:sz w:val="21"/>
                      <w:szCs w:val="21"/>
                      <w:highlight w:val="none"/>
                      <w:vertAlign w:val="baseline"/>
                      <w:lang w:val="en-US" w:eastAsia="zh-CN"/>
                    </w:rPr>
                    <w:t>S7</w:t>
                  </w:r>
                </w:p>
              </w:tc>
              <w:tc>
                <w:tcPr>
                  <w:tcW w:w="3258"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bidi="ar-SA"/>
                    </w:rPr>
                  </w:pPr>
                  <w:r>
                    <w:rPr>
                      <w:rFonts w:hint="eastAsia" w:cs="Times New Roman"/>
                      <w:bCs/>
                      <w:snapToGrid w:val="0"/>
                      <w:color w:val="auto"/>
                      <w:kern w:val="0"/>
                      <w:sz w:val="21"/>
                      <w:szCs w:val="21"/>
                      <w:highlight w:val="none"/>
                      <w:vertAlign w:val="baseline"/>
                      <w:lang w:val="en-US" w:eastAsia="zh-CN"/>
                    </w:rPr>
                    <w:t>废过滤棉</w:t>
                  </w:r>
                </w:p>
              </w:tc>
              <w:tc>
                <w:tcPr>
                  <w:tcW w:w="2105"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废气治理</w:t>
                  </w:r>
                </w:p>
              </w:tc>
              <w:tc>
                <w:tcPr>
                  <w:tcW w:w="210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eastAsia"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eastAsia" w:ascii="Times New Roman" w:hAnsi="Times New Roman" w:eastAsia="宋体" w:cs="Times New Roman"/>
                      <w:bCs/>
                      <w:snapToGrid w:val="0"/>
                      <w:color w:val="auto"/>
                      <w:kern w:val="0"/>
                      <w:sz w:val="21"/>
                      <w:szCs w:val="21"/>
                      <w:highlight w:val="none"/>
                      <w:vertAlign w:val="baseline"/>
                      <w:lang w:val="en-US" w:eastAsia="zh-CN" w:bidi="ar-SA"/>
                    </w:rPr>
                  </w:pPr>
                  <w:r>
                    <w:rPr>
                      <w:rFonts w:hint="eastAsia" w:cs="Times New Roman"/>
                      <w:bCs/>
                      <w:snapToGrid w:val="0"/>
                      <w:color w:val="auto"/>
                      <w:kern w:val="0"/>
                      <w:sz w:val="21"/>
                      <w:szCs w:val="21"/>
                      <w:highlight w:val="none"/>
                      <w:vertAlign w:val="baseline"/>
                      <w:lang w:val="en-US" w:eastAsia="zh-CN"/>
                    </w:rPr>
                    <w:t>S8</w:t>
                  </w:r>
                </w:p>
              </w:tc>
              <w:tc>
                <w:tcPr>
                  <w:tcW w:w="3258"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bidi="ar-SA"/>
                    </w:rPr>
                  </w:pPr>
                  <w:r>
                    <w:rPr>
                      <w:rFonts w:hint="eastAsia" w:cs="Times New Roman"/>
                      <w:bCs/>
                      <w:snapToGrid w:val="0"/>
                      <w:color w:val="auto"/>
                      <w:kern w:val="0"/>
                      <w:sz w:val="21"/>
                      <w:szCs w:val="21"/>
                      <w:highlight w:val="none"/>
                      <w:vertAlign w:val="baseline"/>
                      <w:lang w:val="en-US" w:eastAsia="zh-CN"/>
                    </w:rPr>
                    <w:t>废uv灯管</w:t>
                  </w:r>
                </w:p>
              </w:tc>
              <w:tc>
                <w:tcPr>
                  <w:tcW w:w="2105"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cs="Times New Roman"/>
                      <w:bCs/>
                      <w:snapToGrid w:val="0"/>
                      <w:color w:val="auto"/>
                      <w:kern w:val="0"/>
                      <w:sz w:val="21"/>
                      <w:szCs w:val="21"/>
                      <w:highlight w:val="none"/>
                      <w:vertAlign w:val="baseline"/>
                      <w:lang w:val="en-US" w:eastAsia="zh-CN"/>
                    </w:rPr>
                  </w:pPr>
                </w:p>
              </w:tc>
              <w:tc>
                <w:tcPr>
                  <w:tcW w:w="210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eastAsia"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eastAsia" w:ascii="Times New Roman" w:hAnsi="Times New Roman" w:eastAsia="宋体" w:cs="Times New Roman"/>
                      <w:bCs/>
                      <w:snapToGrid w:val="0"/>
                      <w:color w:val="auto"/>
                      <w:kern w:val="0"/>
                      <w:sz w:val="21"/>
                      <w:szCs w:val="21"/>
                      <w:highlight w:val="none"/>
                      <w:vertAlign w:val="baseline"/>
                      <w:lang w:val="en-US" w:eastAsia="zh-CN" w:bidi="ar-SA"/>
                    </w:rPr>
                  </w:pPr>
                  <w:r>
                    <w:rPr>
                      <w:rFonts w:hint="eastAsia" w:cs="Times New Roman"/>
                      <w:bCs/>
                      <w:snapToGrid w:val="0"/>
                      <w:color w:val="auto"/>
                      <w:kern w:val="0"/>
                      <w:sz w:val="21"/>
                      <w:szCs w:val="21"/>
                      <w:highlight w:val="none"/>
                      <w:vertAlign w:val="baseline"/>
                      <w:lang w:val="en-US" w:eastAsia="zh-CN"/>
                    </w:rPr>
                    <w:t>S9</w:t>
                  </w:r>
                </w:p>
              </w:tc>
              <w:tc>
                <w:tcPr>
                  <w:tcW w:w="3258"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bidi="ar-SA"/>
                    </w:rPr>
                  </w:pPr>
                  <w:r>
                    <w:rPr>
                      <w:rFonts w:hint="eastAsia" w:cs="Times New Roman"/>
                      <w:bCs/>
                      <w:snapToGrid w:val="0"/>
                      <w:color w:val="auto"/>
                      <w:kern w:val="0"/>
                      <w:sz w:val="21"/>
                      <w:szCs w:val="21"/>
                      <w:highlight w:val="none"/>
                      <w:vertAlign w:val="baseline"/>
                      <w:lang w:val="en-US" w:eastAsia="zh-CN"/>
                    </w:rPr>
                    <w:t>废活性炭</w:t>
                  </w:r>
                </w:p>
              </w:tc>
              <w:tc>
                <w:tcPr>
                  <w:tcW w:w="2105"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cs="Times New Roman"/>
                      <w:bCs/>
                      <w:snapToGrid w:val="0"/>
                      <w:color w:val="auto"/>
                      <w:kern w:val="0"/>
                      <w:sz w:val="21"/>
                      <w:szCs w:val="21"/>
                      <w:highlight w:val="none"/>
                      <w:vertAlign w:val="baseline"/>
                      <w:lang w:val="en-US" w:eastAsia="zh-CN"/>
                    </w:rPr>
                  </w:pPr>
                </w:p>
              </w:tc>
              <w:tc>
                <w:tcPr>
                  <w:tcW w:w="210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eastAsia" w:cs="Times New Roman"/>
                      <w:bCs/>
                      <w:snapToGrid w:val="0"/>
                      <w:color w:val="auto"/>
                      <w:kern w:val="0"/>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S10</w:t>
                  </w:r>
                </w:p>
              </w:tc>
              <w:tc>
                <w:tcPr>
                  <w:tcW w:w="3258"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ascii="Times New Roman" w:hAnsi="Times New Roman" w:eastAsia="宋体" w:cs="Times New Roman"/>
                      <w:bCs/>
                      <w:snapToGrid w:val="0"/>
                      <w:color w:val="auto"/>
                      <w:kern w:val="0"/>
                      <w:sz w:val="21"/>
                      <w:szCs w:val="21"/>
                      <w:highlight w:val="none"/>
                      <w:vertAlign w:val="baseline"/>
                      <w:lang w:val="en-US" w:eastAsia="zh-CN" w:bidi="ar-SA"/>
                    </w:rPr>
                  </w:pPr>
                  <w:r>
                    <w:rPr>
                      <w:rFonts w:hint="eastAsia" w:cs="Times New Roman"/>
                      <w:bCs/>
                      <w:snapToGrid w:val="0"/>
                      <w:color w:val="auto"/>
                      <w:kern w:val="0"/>
                      <w:sz w:val="21"/>
                      <w:szCs w:val="21"/>
                      <w:highlight w:val="none"/>
                      <w:vertAlign w:val="baseline"/>
                      <w:lang w:val="en-US" w:eastAsia="zh-CN"/>
                    </w:rPr>
                    <w:t>废含油棉纱手套</w:t>
                  </w:r>
                </w:p>
              </w:tc>
              <w:tc>
                <w:tcPr>
                  <w:tcW w:w="210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eastAsia" w:ascii="Times New Roman" w:hAnsi="Times New Roman" w:eastAsia="宋体" w:cs="Times New Roman"/>
                      <w:bCs/>
                      <w:snapToGrid w:val="0"/>
                      <w:color w:val="auto"/>
                      <w:kern w:val="0"/>
                      <w:sz w:val="21"/>
                      <w:szCs w:val="21"/>
                      <w:highlight w:val="none"/>
                      <w:vertAlign w:val="baseline"/>
                      <w:lang w:val="en-US" w:eastAsia="zh-CN" w:bidi="ar-SA"/>
                    </w:rPr>
                  </w:pPr>
                  <w:r>
                    <w:rPr>
                      <w:rFonts w:hint="eastAsia" w:cs="Times New Roman"/>
                      <w:bCs/>
                      <w:snapToGrid w:val="0"/>
                      <w:color w:val="auto"/>
                      <w:kern w:val="0"/>
                      <w:sz w:val="21"/>
                      <w:szCs w:val="21"/>
                      <w:highlight w:val="none"/>
                      <w:vertAlign w:val="baseline"/>
                      <w:lang w:val="en-US" w:eastAsia="zh-CN"/>
                    </w:rPr>
                    <w:t>设备维护、保养</w:t>
                  </w:r>
                </w:p>
              </w:tc>
              <w:tc>
                <w:tcPr>
                  <w:tcW w:w="210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eastAsia"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eastAsia" w:ascii="Times New Roman" w:hAnsi="Times New Roman" w:eastAsia="宋体" w:cs="Times New Roman"/>
                      <w:bCs/>
                      <w:snapToGrid w:val="0"/>
                      <w:color w:val="auto"/>
                      <w:kern w:val="0"/>
                      <w:sz w:val="21"/>
                      <w:szCs w:val="21"/>
                      <w:highlight w:val="none"/>
                      <w:vertAlign w:val="baseline"/>
                      <w:lang w:val="en-US" w:eastAsia="zh-CN" w:bidi="ar-SA"/>
                    </w:rPr>
                  </w:pPr>
                  <w:r>
                    <w:rPr>
                      <w:rFonts w:hint="eastAsia" w:cs="Times New Roman"/>
                      <w:bCs/>
                      <w:snapToGrid w:val="0"/>
                      <w:color w:val="auto"/>
                      <w:kern w:val="0"/>
                      <w:sz w:val="21"/>
                      <w:szCs w:val="21"/>
                      <w:highlight w:val="none"/>
                      <w:vertAlign w:val="baseline"/>
                      <w:lang w:val="en-US" w:eastAsia="zh-CN"/>
                    </w:rPr>
                    <w:t>S11</w:t>
                  </w:r>
                </w:p>
              </w:tc>
              <w:tc>
                <w:tcPr>
                  <w:tcW w:w="3258"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bidi="ar-SA"/>
                    </w:rPr>
                    <w:t>生活垃圾</w:t>
                  </w:r>
                </w:p>
              </w:tc>
              <w:tc>
                <w:tcPr>
                  <w:tcW w:w="210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default"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生活</w:t>
                  </w:r>
                </w:p>
              </w:tc>
              <w:tc>
                <w:tcPr>
                  <w:tcW w:w="2105" w:type="dxa"/>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right="0" w:rightChars="0"/>
                    <w:jc w:val="center"/>
                    <w:textAlignment w:val="auto"/>
                    <w:rPr>
                      <w:rFonts w:hint="eastAsia" w:cs="Times New Roman"/>
                      <w:bCs/>
                      <w:snapToGrid w:val="0"/>
                      <w:color w:val="auto"/>
                      <w:kern w:val="0"/>
                      <w:sz w:val="21"/>
                      <w:szCs w:val="21"/>
                      <w:highlight w:val="none"/>
                      <w:vertAlign w:val="baseline"/>
                      <w:lang w:val="en-US" w:eastAsia="zh-CN"/>
                    </w:rPr>
                  </w:pPr>
                  <w:r>
                    <w:rPr>
                      <w:rFonts w:hint="eastAsia" w:cs="Times New Roman"/>
                      <w:bCs/>
                      <w:snapToGrid w:val="0"/>
                      <w:color w:val="auto"/>
                      <w:kern w:val="0"/>
                      <w:sz w:val="21"/>
                      <w:szCs w:val="21"/>
                      <w:highlight w:val="none"/>
                      <w:vertAlign w:val="baseline"/>
                      <w:lang w:val="en-US" w:eastAsia="zh-CN"/>
                    </w:rPr>
                    <w:t>/</w:t>
                  </w:r>
                </w:p>
              </w:tc>
            </w:tr>
          </w:tbl>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snapToGrid w:val="0"/>
                <w:color w:val="auto"/>
                <w:kern w:val="0"/>
                <w:sz w:val="24"/>
                <w:highlight w:val="yellow"/>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noWrap w:val="0"/>
            <w:vAlign w:val="center"/>
          </w:tcPr>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与项目有关的原有环境污染问题</w:t>
            </w:r>
          </w:p>
        </w:tc>
        <w:tc>
          <w:tcPr>
            <w:tcW w:w="8634" w:type="dxa"/>
            <w:noWrap w:val="0"/>
            <w:vAlign w:val="top"/>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bCs/>
                <w:snapToGrid w:val="0"/>
                <w:color w:val="auto"/>
                <w:kern w:val="0"/>
                <w:sz w:val="24"/>
                <w:highlight w:val="none"/>
                <w:lang w:val="en-US" w:eastAsia="zh-CN"/>
              </w:rPr>
            </w:pPr>
            <w:r>
              <w:rPr>
                <w:rFonts w:hint="eastAsia"/>
                <w:color w:val="auto"/>
                <w:sz w:val="24"/>
                <w:highlight w:val="none"/>
                <w:lang w:val="en-US" w:eastAsia="zh-CN"/>
              </w:rPr>
              <w:t>翔达公司</w:t>
            </w:r>
            <w:r>
              <w:rPr>
                <w:rFonts w:hint="eastAsia" w:cs="Times New Roman"/>
                <w:bCs/>
                <w:snapToGrid w:val="0"/>
                <w:color w:val="auto"/>
                <w:kern w:val="0"/>
                <w:sz w:val="24"/>
                <w:highlight w:val="none"/>
                <w:lang w:val="en-US" w:eastAsia="zh-CN"/>
              </w:rPr>
              <w:t>租赁</w:t>
            </w:r>
            <w:r>
              <w:rPr>
                <w:rFonts w:hint="eastAsia"/>
                <w:color w:val="auto"/>
                <w:sz w:val="24"/>
                <w:highlight w:val="none"/>
                <w:lang w:val="en-US" w:eastAsia="zh-CN"/>
              </w:rPr>
              <w:t>重庆市铜梁区金鸿浆纱厂位于</w:t>
            </w:r>
            <w:r>
              <w:rPr>
                <w:rFonts w:hint="eastAsia"/>
                <w:color w:val="auto"/>
                <w:sz w:val="24"/>
                <w:highlight w:val="none"/>
              </w:rPr>
              <w:t>重庆市</w:t>
            </w:r>
            <w:r>
              <w:rPr>
                <w:rFonts w:hint="eastAsia"/>
                <w:color w:val="auto"/>
                <w:sz w:val="24"/>
                <w:highlight w:val="none"/>
                <w:lang w:val="en-US" w:eastAsia="zh-CN"/>
              </w:rPr>
              <w:t>铜梁</w:t>
            </w:r>
            <w:r>
              <w:rPr>
                <w:rFonts w:hint="eastAsia"/>
                <w:color w:val="auto"/>
                <w:sz w:val="24"/>
                <w:highlight w:val="none"/>
              </w:rPr>
              <w:t>区</w:t>
            </w:r>
            <w:r>
              <w:rPr>
                <w:rFonts w:hint="eastAsia"/>
                <w:color w:val="auto"/>
                <w:sz w:val="24"/>
                <w:highlight w:val="none"/>
                <w:lang w:val="en-US" w:eastAsia="zh-CN"/>
              </w:rPr>
              <w:t>侣俸镇工业园区创业路2号闲置生产厂房，建筑面积3000m</w:t>
            </w:r>
            <w:r>
              <w:rPr>
                <w:rFonts w:hint="eastAsia"/>
                <w:color w:val="auto"/>
                <w:sz w:val="24"/>
                <w:highlight w:val="none"/>
                <w:vertAlign w:val="superscript"/>
                <w:lang w:val="en-US" w:eastAsia="zh-CN"/>
              </w:rPr>
              <w:t>2</w:t>
            </w:r>
            <w:r>
              <w:rPr>
                <w:rFonts w:hint="eastAsia" w:cs="Times New Roman"/>
                <w:bCs/>
                <w:snapToGrid w:val="0"/>
                <w:color w:val="auto"/>
                <w:kern w:val="0"/>
                <w:sz w:val="24"/>
                <w:highlight w:val="none"/>
                <w:lang w:val="en-US" w:eastAsia="zh-CN"/>
              </w:rPr>
              <w:t>，进行建设“年产包装制品100万套生产项目”</w:t>
            </w:r>
            <w:r>
              <w:rPr>
                <w:rFonts w:hint="eastAsia"/>
                <w:color w:val="auto"/>
                <w:sz w:val="24"/>
                <w:highlight w:val="none"/>
                <w:lang w:val="en-US" w:eastAsia="zh-CN"/>
              </w:rPr>
              <w:t>。项目为新建项目，根据现场踏勘，该地块现为闲置状态，无任何企业入驻。故不存在与本项目有关的原有环境污染物问题。</w:t>
            </w:r>
          </w:p>
        </w:tc>
      </w:tr>
    </w:tbl>
    <w:p>
      <w:pPr>
        <w:rPr>
          <w:color w:val="auto"/>
        </w:rPr>
        <w:sectPr>
          <w:pgSz w:w="11906" w:h="16838"/>
          <w:pgMar w:top="1440" w:right="1800" w:bottom="1440" w:left="1800" w:header="851" w:footer="992" w:gutter="0"/>
          <w:pgNumType w:fmt="decimal"/>
          <w:cols w:space="425" w:num="1"/>
          <w:docGrid w:type="lines" w:linePitch="312" w:charSpace="0"/>
        </w:sectPr>
      </w:pPr>
    </w:p>
    <w:p>
      <w:pPr>
        <w:pStyle w:val="13"/>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三、区域环境质量现状、环境保护目标及评价标准</w:t>
      </w:r>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区域</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环境</w:t>
            </w:r>
          </w:p>
          <w:p>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质量</w:t>
            </w:r>
          </w:p>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现状</w:t>
            </w:r>
          </w:p>
        </w:tc>
        <w:tc>
          <w:tcPr>
            <w:tcW w:w="8190" w:type="dxa"/>
            <w:noWrap w:val="0"/>
            <w:vAlign w:val="top"/>
          </w:tcPr>
          <w:p>
            <w:pPr>
              <w:keepNext w:val="0"/>
              <w:keepLines w:val="0"/>
              <w:suppressLineNumbers w:val="0"/>
              <w:spacing w:before="0" w:beforeAutospacing="0" w:after="0" w:afterAutospacing="0" w:line="360" w:lineRule="auto"/>
              <w:ind w:left="0" w:right="0" w:firstLine="482" w:firstLineChars="200"/>
              <w:contextualSpacing/>
              <w:rPr>
                <w:rFonts w:hint="default"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sz w:val="24"/>
                <w:szCs w:val="24"/>
                <w:highlight w:val="none"/>
                <w:lang w:val="en-US" w:eastAsia="zh-CN"/>
              </w:rPr>
              <w:t>3.1</w:t>
            </w:r>
            <w:r>
              <w:rPr>
                <w:rFonts w:hint="default" w:ascii="Times New Roman" w:hAnsi="Times New Roman" w:eastAsia="宋体" w:cs="Times New Roman"/>
                <w:b/>
                <w:bCs/>
                <w:color w:val="auto"/>
                <w:sz w:val="24"/>
                <w:szCs w:val="24"/>
                <w:highlight w:val="none"/>
                <w:lang w:eastAsia="zh-CN"/>
              </w:rPr>
              <w:t>环境空气质量现状</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区域环境质量达标情况</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lang w:val="en-US" w:eastAsia="zh-CN"/>
              </w:rPr>
              <w:t>位于</w:t>
            </w:r>
            <w:r>
              <w:rPr>
                <w:rFonts w:hint="eastAsia"/>
                <w:color w:val="auto"/>
                <w:sz w:val="24"/>
                <w:highlight w:val="none"/>
              </w:rPr>
              <w:t>重庆市</w:t>
            </w:r>
            <w:r>
              <w:rPr>
                <w:rFonts w:hint="eastAsia"/>
                <w:color w:val="auto"/>
                <w:sz w:val="24"/>
                <w:highlight w:val="none"/>
                <w:lang w:val="en-US" w:eastAsia="zh-CN"/>
              </w:rPr>
              <w:t>铜梁</w:t>
            </w:r>
            <w:r>
              <w:rPr>
                <w:rFonts w:hint="eastAsia"/>
                <w:color w:val="auto"/>
                <w:sz w:val="24"/>
                <w:highlight w:val="none"/>
              </w:rPr>
              <w:t>区</w:t>
            </w:r>
            <w:r>
              <w:rPr>
                <w:rFonts w:hint="eastAsia"/>
                <w:color w:val="auto"/>
                <w:sz w:val="24"/>
                <w:highlight w:val="none"/>
                <w:lang w:val="en-US" w:eastAsia="zh-CN"/>
              </w:rPr>
              <w:t>侣俸镇工业园区创业路2号</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为《重庆市人民政府关于印发重庆市环境空气质量功能区划分规定的通知》（渝府发</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2016</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19号）中的环境空气质量二类功能区，应执行《环境空气质量标准》（GB3095-2012）</w:t>
            </w:r>
            <w:r>
              <w:rPr>
                <w:rFonts w:hint="eastAsia"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lang w:val="en-US" w:eastAsia="zh-CN"/>
              </w:rPr>
              <w:t>二级标准。</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本评价采用重庆市生态环境局公布的《2021年重庆市环境状况公报》中</w:t>
            </w:r>
            <w:r>
              <w:rPr>
                <w:rFonts w:hint="eastAsia" w:cs="Times New Roman"/>
                <w:color w:val="auto"/>
                <w:sz w:val="24"/>
                <w:szCs w:val="24"/>
                <w:highlight w:val="none"/>
                <w:lang w:val="en-US" w:eastAsia="zh-CN"/>
              </w:rPr>
              <w:t>铜梁</w:t>
            </w:r>
            <w:r>
              <w:rPr>
                <w:rFonts w:hint="default" w:ascii="Times New Roman" w:hAnsi="Times New Roman" w:eastAsia="宋体" w:cs="Times New Roman"/>
                <w:color w:val="auto"/>
                <w:sz w:val="24"/>
                <w:szCs w:val="24"/>
                <w:highlight w:val="none"/>
              </w:rPr>
              <w:t>区环境空气质量现状数据，环境质量公报数据距今在3年内，符合《环境影响评价技术导则大气环境》（HJ2.2-2018）评价基准年数据要求。具体监测结果及评价见表</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-1。</w:t>
            </w:r>
          </w:p>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表</w:t>
            </w:r>
            <w:r>
              <w:rPr>
                <w:rFonts w:hint="eastAsia" w:ascii="Times New Roman" w:hAnsi="Times New Roman" w:eastAsia="宋体" w:cs="Times New Roman"/>
                <w:color w:val="auto"/>
                <w:sz w:val="24"/>
                <w:szCs w:val="24"/>
                <w:highlight w:val="none"/>
                <w:lang w:val="en-US" w:eastAsia="zh-CN"/>
              </w:rPr>
              <w:t>3-1  2021年</w:t>
            </w:r>
            <w:r>
              <w:rPr>
                <w:rFonts w:hint="eastAsia" w:cs="Times New Roman"/>
                <w:color w:val="auto"/>
                <w:sz w:val="24"/>
                <w:szCs w:val="24"/>
                <w:highlight w:val="none"/>
                <w:lang w:val="en-US" w:eastAsia="zh-CN"/>
              </w:rPr>
              <w:t>铜梁</w:t>
            </w:r>
            <w:r>
              <w:rPr>
                <w:rFonts w:hint="eastAsia" w:ascii="Times New Roman" w:hAnsi="Times New Roman" w:eastAsia="宋体" w:cs="Times New Roman"/>
                <w:color w:val="auto"/>
                <w:sz w:val="24"/>
                <w:szCs w:val="24"/>
                <w:highlight w:val="none"/>
                <w:lang w:val="en-US" w:eastAsia="zh-CN"/>
              </w:rPr>
              <w:t>区各基本污染物年均浓度及达标情况</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3185"/>
              <w:gridCol w:w="1033"/>
              <w:gridCol w:w="1133"/>
              <w:gridCol w:w="767"/>
              <w:gridCol w:w="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52" w:type="dxa"/>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污染物</w:t>
                  </w:r>
                </w:p>
              </w:tc>
              <w:tc>
                <w:tcPr>
                  <w:tcW w:w="3186" w:type="dxa"/>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评价指标</w:t>
                  </w:r>
                </w:p>
              </w:tc>
              <w:tc>
                <w:tcPr>
                  <w:tcW w:w="1033" w:type="dxa"/>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现状浓度μg/m</w:t>
                  </w:r>
                  <w:r>
                    <w:rPr>
                      <w:rFonts w:hint="default" w:ascii="Times New Roman" w:hAnsi="Times New Roman" w:eastAsia="宋体" w:cs="Times New Roman"/>
                      <w:color w:val="auto"/>
                      <w:sz w:val="21"/>
                      <w:szCs w:val="21"/>
                      <w:highlight w:val="none"/>
                      <w:vertAlign w:val="superscript"/>
                      <w:lang w:val="en-US" w:eastAsia="zh-CN"/>
                    </w:rPr>
                    <w:t>3</w:t>
                  </w:r>
                </w:p>
              </w:tc>
              <w:tc>
                <w:tcPr>
                  <w:tcW w:w="1134" w:type="dxa"/>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标准值μg/m</w:t>
                  </w:r>
                  <w:r>
                    <w:rPr>
                      <w:rFonts w:hint="default" w:ascii="Times New Roman" w:hAnsi="Times New Roman" w:eastAsia="宋体" w:cs="Times New Roman"/>
                      <w:color w:val="auto"/>
                      <w:sz w:val="21"/>
                      <w:szCs w:val="21"/>
                      <w:highlight w:val="none"/>
                      <w:vertAlign w:val="superscript"/>
                      <w:lang w:val="en-US" w:eastAsia="zh-CN"/>
                    </w:rPr>
                    <w:t>3</w:t>
                  </w:r>
                </w:p>
              </w:tc>
              <w:tc>
                <w:tcPr>
                  <w:tcW w:w="766" w:type="dxa"/>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占标率%</w:t>
                  </w:r>
                </w:p>
              </w:tc>
              <w:tc>
                <w:tcPr>
                  <w:tcW w:w="989" w:type="dxa"/>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852" w:type="dxa"/>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PM</w:t>
                  </w:r>
                  <w:r>
                    <w:rPr>
                      <w:rFonts w:hint="default" w:ascii="Times New Roman" w:hAnsi="Times New Roman" w:eastAsia="宋体" w:cs="Times New Roman"/>
                      <w:color w:val="auto"/>
                      <w:sz w:val="21"/>
                      <w:szCs w:val="21"/>
                      <w:highlight w:val="none"/>
                      <w:vertAlign w:val="subscript"/>
                      <w:lang w:val="en-US" w:eastAsia="zh-CN"/>
                    </w:rPr>
                    <w:t>10</w:t>
                  </w:r>
                </w:p>
              </w:tc>
              <w:tc>
                <w:tcPr>
                  <w:tcW w:w="3186" w:type="dxa"/>
                  <w:vMerge w:val="restart"/>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年平均质量浓度</w:t>
                  </w:r>
                </w:p>
              </w:tc>
              <w:tc>
                <w:tcPr>
                  <w:tcW w:w="1033" w:type="dxa"/>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54</w:t>
                  </w:r>
                </w:p>
              </w:tc>
              <w:tc>
                <w:tcPr>
                  <w:tcW w:w="1134" w:type="dxa"/>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w:t>
                  </w:r>
                </w:p>
              </w:tc>
              <w:tc>
                <w:tcPr>
                  <w:tcW w:w="766" w:type="dxa"/>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77.1</w:t>
                  </w:r>
                </w:p>
              </w:tc>
              <w:tc>
                <w:tcPr>
                  <w:tcW w:w="989" w:type="dxa"/>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852" w:type="dxa"/>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SO</w:t>
                  </w:r>
                  <w:r>
                    <w:rPr>
                      <w:rFonts w:hint="default" w:ascii="Times New Roman" w:hAnsi="Times New Roman" w:eastAsia="宋体" w:cs="Times New Roman"/>
                      <w:color w:val="auto"/>
                      <w:sz w:val="21"/>
                      <w:szCs w:val="21"/>
                      <w:highlight w:val="none"/>
                      <w:vertAlign w:val="subscript"/>
                      <w:lang w:val="en-US" w:eastAsia="zh-CN"/>
                    </w:rPr>
                    <w:t>2</w:t>
                  </w:r>
                </w:p>
              </w:tc>
              <w:tc>
                <w:tcPr>
                  <w:tcW w:w="3186" w:type="dxa"/>
                  <w:vMerge w:val="continue"/>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1033" w:type="dxa"/>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1134" w:type="dxa"/>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w:t>
                  </w:r>
                </w:p>
              </w:tc>
              <w:tc>
                <w:tcPr>
                  <w:tcW w:w="766" w:type="dxa"/>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89" w:type="dxa"/>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852" w:type="dxa"/>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NO</w:t>
                  </w:r>
                  <w:r>
                    <w:rPr>
                      <w:rFonts w:hint="default" w:ascii="Times New Roman" w:hAnsi="Times New Roman" w:eastAsia="宋体" w:cs="Times New Roman"/>
                      <w:color w:val="auto"/>
                      <w:sz w:val="21"/>
                      <w:szCs w:val="21"/>
                      <w:highlight w:val="none"/>
                      <w:vertAlign w:val="subscript"/>
                      <w:lang w:val="en-US" w:eastAsia="zh-CN"/>
                    </w:rPr>
                    <w:t>2</w:t>
                  </w:r>
                </w:p>
              </w:tc>
              <w:tc>
                <w:tcPr>
                  <w:tcW w:w="3186" w:type="dxa"/>
                  <w:vMerge w:val="continue"/>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1033" w:type="dxa"/>
                  <w:noWrap w:val="0"/>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29</w:t>
                  </w:r>
                </w:p>
              </w:tc>
              <w:tc>
                <w:tcPr>
                  <w:tcW w:w="1134" w:type="dxa"/>
                  <w:noWrap w:val="0"/>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40</w:t>
                  </w:r>
                </w:p>
              </w:tc>
              <w:tc>
                <w:tcPr>
                  <w:tcW w:w="766" w:type="dxa"/>
                  <w:noWrap w:val="0"/>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72.5</w:t>
                  </w:r>
                </w:p>
              </w:tc>
              <w:tc>
                <w:tcPr>
                  <w:tcW w:w="989" w:type="dxa"/>
                  <w:noWrap w:val="0"/>
                  <w:vAlign w:val="center"/>
                </w:tcPr>
                <w:p>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852" w:type="dxa"/>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PM</w:t>
                  </w:r>
                  <w:r>
                    <w:rPr>
                      <w:rFonts w:hint="default" w:ascii="Times New Roman" w:hAnsi="Times New Roman" w:eastAsia="宋体" w:cs="Times New Roman"/>
                      <w:color w:val="auto"/>
                      <w:sz w:val="21"/>
                      <w:szCs w:val="21"/>
                      <w:highlight w:val="none"/>
                      <w:vertAlign w:val="subscript"/>
                      <w:lang w:val="en-US" w:eastAsia="zh-CN"/>
                    </w:rPr>
                    <w:t>2.5</w:t>
                  </w:r>
                </w:p>
              </w:tc>
              <w:tc>
                <w:tcPr>
                  <w:tcW w:w="3186" w:type="dxa"/>
                  <w:vMerge w:val="continue"/>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p>
              </w:tc>
              <w:tc>
                <w:tcPr>
                  <w:tcW w:w="1033" w:type="dxa"/>
                  <w:noWrap w:val="0"/>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38</w:t>
                  </w:r>
                </w:p>
              </w:tc>
              <w:tc>
                <w:tcPr>
                  <w:tcW w:w="1134" w:type="dxa"/>
                  <w:noWrap w:val="0"/>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35</w:t>
                  </w:r>
                </w:p>
              </w:tc>
              <w:tc>
                <w:tcPr>
                  <w:tcW w:w="766" w:type="dxa"/>
                  <w:noWrap w:val="0"/>
                  <w:vAlign w:val="center"/>
                </w:tcPr>
                <w:p>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108.6</w:t>
                  </w:r>
                </w:p>
              </w:tc>
              <w:tc>
                <w:tcPr>
                  <w:tcW w:w="989" w:type="dxa"/>
                  <w:noWrap w:val="0"/>
                  <w:vAlign w:val="center"/>
                </w:tcPr>
                <w:p>
                  <w:pP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852" w:type="dxa"/>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O</w:t>
                  </w:r>
                  <w:r>
                    <w:rPr>
                      <w:rFonts w:hint="default" w:ascii="Times New Roman" w:hAnsi="Times New Roman" w:eastAsia="宋体" w:cs="Times New Roman"/>
                      <w:color w:val="auto"/>
                      <w:sz w:val="21"/>
                      <w:szCs w:val="21"/>
                      <w:highlight w:val="none"/>
                      <w:vertAlign w:val="subscript"/>
                      <w:lang w:val="en-US" w:eastAsia="zh-CN"/>
                    </w:rPr>
                    <w:t>3</w:t>
                  </w:r>
                </w:p>
              </w:tc>
              <w:tc>
                <w:tcPr>
                  <w:tcW w:w="3186" w:type="dxa"/>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日最大8小时平均值的第90百分位数</w:t>
                  </w:r>
                </w:p>
              </w:tc>
              <w:tc>
                <w:tcPr>
                  <w:tcW w:w="1033" w:type="dxa"/>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132</w:t>
                  </w:r>
                </w:p>
              </w:tc>
              <w:tc>
                <w:tcPr>
                  <w:tcW w:w="1134" w:type="dxa"/>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160</w:t>
                  </w:r>
                </w:p>
              </w:tc>
              <w:tc>
                <w:tcPr>
                  <w:tcW w:w="766" w:type="dxa"/>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82.5</w:t>
                  </w:r>
                </w:p>
              </w:tc>
              <w:tc>
                <w:tcPr>
                  <w:tcW w:w="989" w:type="dxa"/>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 w:type="dxa"/>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CO</w:t>
                  </w:r>
                </w:p>
              </w:tc>
              <w:tc>
                <w:tcPr>
                  <w:tcW w:w="3186" w:type="dxa"/>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24小时平均值的第95百分位数</w:t>
                  </w:r>
                </w:p>
              </w:tc>
              <w:tc>
                <w:tcPr>
                  <w:tcW w:w="1033" w:type="dxa"/>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1100</w:t>
                  </w:r>
                </w:p>
              </w:tc>
              <w:tc>
                <w:tcPr>
                  <w:tcW w:w="1134" w:type="dxa"/>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4000</w:t>
                  </w:r>
                </w:p>
              </w:tc>
              <w:tc>
                <w:tcPr>
                  <w:tcW w:w="766" w:type="dxa"/>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27.5</w:t>
                  </w:r>
                </w:p>
              </w:tc>
              <w:tc>
                <w:tcPr>
                  <w:tcW w:w="989" w:type="dxa"/>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bl>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根据20</w:t>
            </w:r>
            <w:r>
              <w:rPr>
                <w:rFonts w:hint="eastAsia"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年重庆市生态环境状况公报</w:t>
            </w:r>
            <w:r>
              <w:rPr>
                <w:rFonts w:hint="eastAsia" w:ascii="Times New Roman" w:hAnsi="Times New Roman" w:eastAsia="宋体" w:cs="Times New Roman"/>
                <w:color w:val="auto"/>
                <w:sz w:val="24"/>
                <w:szCs w:val="24"/>
                <w:highlight w:val="none"/>
                <w:lang w:eastAsia="zh-CN"/>
              </w:rPr>
              <w:t>中给出的</w:t>
            </w:r>
            <w:r>
              <w:rPr>
                <w:rFonts w:hint="eastAsia" w:cs="Times New Roman"/>
                <w:color w:val="auto"/>
                <w:sz w:val="24"/>
                <w:szCs w:val="24"/>
                <w:highlight w:val="none"/>
                <w:lang w:val="en-US" w:eastAsia="zh-CN"/>
              </w:rPr>
              <w:t>铜梁</w:t>
            </w:r>
            <w:r>
              <w:rPr>
                <w:rFonts w:hint="eastAsia" w:ascii="Times New Roman" w:hAnsi="Times New Roman" w:eastAsia="宋体" w:cs="Times New Roman"/>
                <w:color w:val="auto"/>
                <w:sz w:val="24"/>
                <w:szCs w:val="24"/>
                <w:highlight w:val="none"/>
                <w:lang w:eastAsia="zh-CN"/>
              </w:rPr>
              <w:t>区</w:t>
            </w:r>
            <w:r>
              <w:rPr>
                <w:rFonts w:hint="default" w:ascii="Times New Roman" w:hAnsi="Times New Roman" w:eastAsia="宋体" w:cs="Times New Roman"/>
                <w:color w:val="auto"/>
                <w:sz w:val="24"/>
                <w:szCs w:val="24"/>
                <w:highlight w:val="none"/>
              </w:rPr>
              <w:t>的例行监测数据，</w:t>
            </w:r>
            <w:r>
              <w:rPr>
                <w:rFonts w:hint="eastAsia" w:ascii="Times New Roman" w:hAnsi="Times New Roman" w:eastAsia="宋体" w:cs="Times New Roman"/>
                <w:color w:val="auto"/>
                <w:sz w:val="24"/>
                <w:szCs w:val="24"/>
                <w:highlight w:val="none"/>
                <w:lang w:eastAsia="zh-CN"/>
              </w:rPr>
              <w:t>NO</w:t>
            </w:r>
            <w:r>
              <w:rPr>
                <w:rFonts w:hint="eastAsia" w:ascii="Times New Roman" w:hAnsi="Times New Roman" w:eastAsia="宋体" w:cs="Times New Roman"/>
                <w:color w:val="auto"/>
                <w:sz w:val="24"/>
                <w:szCs w:val="24"/>
                <w:highlight w:val="none"/>
                <w:vertAlign w:val="subscript"/>
                <w:lang w:eastAsia="zh-CN"/>
              </w:rPr>
              <w:t>2</w:t>
            </w:r>
            <w:r>
              <w:rPr>
                <w:rFonts w:hint="eastAsia" w:ascii="Times New Roman" w:hAnsi="Times New Roman" w:eastAsia="宋体" w:cs="Times New Roman"/>
                <w:color w:val="auto"/>
                <w:sz w:val="24"/>
                <w:szCs w:val="24"/>
                <w:highlight w:val="none"/>
                <w:lang w:eastAsia="zh-CN"/>
              </w:rPr>
              <w:t>、PM</w:t>
            </w:r>
            <w:r>
              <w:rPr>
                <w:rFonts w:hint="eastAsia" w:ascii="Times New Roman" w:hAnsi="Times New Roman" w:eastAsia="宋体" w:cs="Times New Roman"/>
                <w:color w:val="auto"/>
                <w:sz w:val="24"/>
                <w:szCs w:val="24"/>
                <w:highlight w:val="none"/>
                <w:vertAlign w:val="subscript"/>
                <w:lang w:eastAsia="zh-CN"/>
              </w:rPr>
              <w:t>10</w:t>
            </w:r>
            <w:r>
              <w:rPr>
                <w:rFonts w:hint="eastAsia" w:ascii="Times New Roman" w:hAnsi="Times New Roman" w:eastAsia="宋体" w:cs="Times New Roman"/>
                <w:color w:val="auto"/>
                <w:sz w:val="24"/>
                <w:szCs w:val="24"/>
                <w:highlight w:val="none"/>
                <w:lang w:eastAsia="zh-CN"/>
              </w:rPr>
              <w:t>、SO</w:t>
            </w:r>
            <w:r>
              <w:rPr>
                <w:rFonts w:hint="eastAsia" w:ascii="Times New Roman" w:hAnsi="Times New Roman" w:eastAsia="宋体" w:cs="Times New Roman"/>
                <w:color w:val="auto"/>
                <w:sz w:val="24"/>
                <w:szCs w:val="24"/>
                <w:highlight w:val="none"/>
                <w:vertAlign w:val="subscript"/>
                <w:lang w:eastAsia="zh-CN"/>
              </w:rPr>
              <w:t>2</w:t>
            </w:r>
            <w:r>
              <w:rPr>
                <w:rFonts w:hint="eastAsia" w:ascii="Times New Roman" w:hAnsi="Times New Roman" w:eastAsia="宋体" w:cs="Times New Roman"/>
                <w:color w:val="auto"/>
                <w:sz w:val="24"/>
                <w:szCs w:val="24"/>
                <w:highlight w:val="none"/>
                <w:lang w:eastAsia="zh-CN"/>
              </w:rPr>
              <w:t>、CO</w:t>
            </w:r>
            <w:r>
              <w:rPr>
                <w:rFonts w:hint="eastAsia" w:cs="Times New Roman"/>
                <w:color w:val="auto"/>
                <w:sz w:val="24"/>
                <w:szCs w:val="24"/>
                <w:highlight w:val="none"/>
                <w:lang w:val="en-US" w:eastAsia="zh-CN"/>
              </w:rPr>
              <w:t xml:space="preserve"> </w:t>
            </w:r>
            <w:r>
              <w:rPr>
                <w:rFonts w:hint="eastAsia" w:ascii="Times New Roman" w:hAnsi="Times New Roman" w:eastAsia="宋体" w:cs="Times New Roman"/>
                <w:color w:val="auto"/>
                <w:sz w:val="24"/>
                <w:szCs w:val="24"/>
                <w:highlight w:val="none"/>
                <w:lang w:eastAsia="zh-CN"/>
              </w:rPr>
              <w:t>24小时平均值和O</w:t>
            </w:r>
            <w:r>
              <w:rPr>
                <w:rFonts w:hint="eastAsia" w:ascii="Times New Roman" w:hAnsi="Times New Roman" w:eastAsia="宋体" w:cs="Times New Roman"/>
                <w:color w:val="auto"/>
                <w:sz w:val="24"/>
                <w:szCs w:val="24"/>
                <w:highlight w:val="none"/>
                <w:vertAlign w:val="subscript"/>
                <w:lang w:eastAsia="zh-CN"/>
              </w:rPr>
              <w:t>3</w:t>
            </w:r>
            <w:r>
              <w:rPr>
                <w:rFonts w:hint="eastAsia" w:ascii="Times New Roman" w:hAnsi="Times New Roman" w:eastAsia="宋体" w:cs="Times New Roman"/>
                <w:color w:val="auto"/>
                <w:sz w:val="24"/>
                <w:szCs w:val="24"/>
                <w:highlight w:val="none"/>
                <w:lang w:eastAsia="zh-CN"/>
              </w:rPr>
              <w:t>最大8小时平均值均满足《环境空气质量标准》(GB3095-2012）二级标准</w:t>
            </w:r>
            <w:r>
              <w:rPr>
                <w:rFonts w:hint="eastAsia" w:ascii="Times New Roman" w:hAnsi="Times New Roman"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PM</w:t>
            </w:r>
            <w:r>
              <w:rPr>
                <w:rFonts w:hint="eastAsia" w:ascii="Times New Roman" w:hAnsi="Times New Roman" w:eastAsia="宋体" w:cs="Times New Roman"/>
                <w:color w:val="auto"/>
                <w:sz w:val="24"/>
                <w:szCs w:val="24"/>
                <w:highlight w:val="none"/>
                <w:vertAlign w:val="subscript"/>
                <w:lang w:eastAsia="zh-CN"/>
              </w:rPr>
              <w:t>2.5</w:t>
            </w:r>
            <w:r>
              <w:rPr>
                <w:rFonts w:hint="eastAsia" w:cs="Times New Roman"/>
                <w:color w:val="auto"/>
                <w:sz w:val="24"/>
                <w:szCs w:val="24"/>
                <w:highlight w:val="none"/>
                <w:lang w:val="en-US" w:eastAsia="zh-CN"/>
              </w:rPr>
              <w:t>浓度不满足</w:t>
            </w:r>
            <w:r>
              <w:rPr>
                <w:rFonts w:hint="eastAsia" w:ascii="Times New Roman" w:hAnsi="Times New Roman" w:eastAsia="宋体" w:cs="Times New Roman"/>
                <w:color w:val="auto"/>
                <w:sz w:val="24"/>
                <w:szCs w:val="24"/>
                <w:highlight w:val="none"/>
                <w:lang w:eastAsia="zh-CN"/>
              </w:rPr>
              <w:t>《环境空气质量标准》(GB3095-2012）二级标准</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项目所在区域</w:t>
            </w:r>
            <w:r>
              <w:rPr>
                <w:rFonts w:hint="eastAsia" w:ascii="Times New Roman" w:hAnsi="Times New Roman" w:cs="Times New Roman"/>
                <w:color w:val="auto"/>
                <w:sz w:val="24"/>
                <w:szCs w:val="24"/>
                <w:highlight w:val="none"/>
                <w:lang w:val="en-US" w:eastAsia="zh-CN"/>
              </w:rPr>
              <w:t>属于</w:t>
            </w:r>
            <w:r>
              <w:rPr>
                <w:rFonts w:hint="eastAsia" w:cs="Times New Roman"/>
                <w:color w:val="auto"/>
                <w:sz w:val="24"/>
                <w:szCs w:val="24"/>
                <w:highlight w:val="none"/>
                <w:lang w:val="en-US" w:eastAsia="zh-CN"/>
              </w:rPr>
              <w:t>不达标</w:t>
            </w:r>
            <w:r>
              <w:rPr>
                <w:rFonts w:hint="eastAsia" w:ascii="Times New Roman" w:hAnsi="Times New Roman" w:eastAsia="宋体" w:cs="Times New Roman"/>
                <w:color w:val="auto"/>
                <w:sz w:val="24"/>
                <w:szCs w:val="24"/>
                <w:highlight w:val="none"/>
                <w:lang w:eastAsia="zh-CN"/>
              </w:rPr>
              <w:t>区域。</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铜梁区已发布《铜梁区环境空气质量限期达标规划（2017~2025）》，达标规划中明确减缓的方案如下：</w:t>
            </w:r>
          </w:p>
          <w:p>
            <w:pPr>
              <w:keepNext w:val="0"/>
              <w:keepLines w:val="0"/>
              <w:suppressLineNumbers w:val="0"/>
              <w:spacing w:before="0" w:beforeAutospacing="0" w:after="0" w:afterAutospacing="0" w:line="360" w:lineRule="auto"/>
              <w:ind w:left="0" w:right="0" w:firstLine="482" w:firstLineChars="200"/>
              <w:contextualSpacing/>
              <w:rPr>
                <w:rFonts w:hint="default" w:ascii="Times New Roman" w:hAnsi="Times New Roman" w:eastAsia="宋体" w:cs="Times New Roman"/>
                <w:color w:val="auto"/>
                <w:sz w:val="24"/>
                <w:szCs w:val="24"/>
                <w:highlight w:val="none"/>
                <w:lang w:eastAsia="zh-CN"/>
              </w:rPr>
            </w:pPr>
            <w:r>
              <w:rPr>
                <w:rFonts w:hint="eastAsia"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eastAsia="zh-CN"/>
              </w:rPr>
              <w:t>推进绿色低碳循环发展</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lang w:eastAsia="zh-CN"/>
              </w:rPr>
              <w:t>优化调整产业结构：严格产业环境准入。严格执行国家产业政策和《重庆市产业投资准入工作手册》，严控“两高一资”和过剩产能行业，积极引进环境友好型、科技</w:t>
            </w:r>
            <w:r>
              <w:rPr>
                <w:rFonts w:hint="eastAsia" w:ascii="Times New Roman" w:hAnsi="Times New Roman" w:eastAsia="宋体" w:cs="Times New Roman"/>
                <w:color w:val="auto"/>
                <w:sz w:val="24"/>
                <w:szCs w:val="24"/>
                <w:highlight w:val="none"/>
                <w:lang w:eastAsia="zh-CN"/>
              </w:rPr>
              <w:t>创新型</w:t>
            </w:r>
            <w:r>
              <w:rPr>
                <w:rFonts w:hint="default" w:ascii="Times New Roman" w:hAnsi="Times New Roman" w:eastAsia="宋体" w:cs="Times New Roman"/>
                <w:color w:val="auto"/>
                <w:sz w:val="24"/>
                <w:szCs w:val="24"/>
                <w:highlight w:val="none"/>
                <w:lang w:eastAsia="zh-CN"/>
              </w:rPr>
              <w:t>和高附加值型的企业落户。推进产业转型升级。</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lang w:eastAsia="zh-CN"/>
              </w:rPr>
              <w:t>优化调整能源结构：围绕能源消耗总量和强度双控要求，严格控制煤炭消耗总量，大力推广清洁能源，降低煤炭消费比重。</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lang w:eastAsia="zh-CN"/>
              </w:rPr>
              <w:t>大力推进绿色发展：以制造业升级为重点，以科技创新为支撑、以示 范试点为抓手，推动绿色产品、绿色工厂、绿色园区和绿色供应链全面发展。</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2</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 xml:space="preserve">推进工业企业污染防治 </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lang w:eastAsia="zh-CN"/>
              </w:rPr>
              <w:t>强化工业废气污染防治：督促辖区内水泥、化工企业严格执行国家大 气污染特别排放限值。</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lang w:eastAsia="zh-CN"/>
              </w:rPr>
              <w:t>加强挥发性有机物污染防治：推广使用水性涂料，鼓励生产、销售和 使用低毒、低挥发性有机溶剂。</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lang w:eastAsia="zh-CN"/>
              </w:rPr>
              <w:t>推进散乱污企业综合整治：以铜梁区工业污染整治攻坚战为依托，以 “四无”企业为重点，依法整治生产经营中环境保护不达标、节能降耗不达 标以及投诉突出的小型工业企业、小作坊。制定综合整改方案，实施提升、集约布局、关停等分类治理。</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④</w:t>
            </w:r>
            <w:r>
              <w:rPr>
                <w:rFonts w:hint="default" w:ascii="Times New Roman" w:hAnsi="Times New Roman" w:eastAsia="宋体" w:cs="Times New Roman"/>
                <w:color w:val="auto"/>
                <w:sz w:val="24"/>
                <w:szCs w:val="24"/>
                <w:highlight w:val="none"/>
                <w:lang w:eastAsia="zh-CN"/>
              </w:rPr>
              <w:t>加强工业污染物排放管理：以排污许可证为载体，有机衔接环境影响 评价制度，实现污染物从污染预防到污染治理和排放的全过程监管，禁止无 证排污或不按许可证规定排污。</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 xml:space="preserve"> </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3</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 xml:space="preserve">加强城市扬尘污染控制 </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lang w:eastAsia="zh-CN"/>
              </w:rPr>
              <w:t>加强施工扬尘控制：以城镇基础设施建设、城市功能建设、城市交通 建设、旅游开发、园区基础设施建设、园区功能完善建设等施工项目为重点，突出“一心三轴四组团”城市空间开发建设，加强施工扬尘控制，强化施工单位监管，督促其严格落实扬尘控制十项强制性规定。</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 xml:space="preserve"> </w:t>
            </w:r>
            <w:r>
              <w:rPr>
                <w:rFonts w:hint="eastAsia"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lang w:eastAsia="zh-CN"/>
              </w:rPr>
              <w:t>加强道路扬尘控制：严格落实城市道路扬尘控制六项要求，以龙腾大 道、金龙大道、龙安大道、中南路等城市道路为重点，加强道路扬尘控制。</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lang w:eastAsia="zh-CN"/>
              </w:rPr>
              <w:t>加强其他扬尘污染控制：加强裸露地面扬尘控制。控制生产经营过程 烟粉尘。</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4</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 xml:space="preserve">统筹控制交通污染 </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lang w:eastAsia="zh-CN"/>
              </w:rPr>
              <w:t>加强机动车监管：加强在用和新车监管。</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lang w:eastAsia="zh-CN"/>
              </w:rPr>
              <w:t>强化交通管理与油品监督：加强城市交通指挥与疏导，推广城市智能交通管理，科学设置交通信号灯并实施联网控制，在拥堵路段采取必要措施，合理引导车辆通行，缓解交通拥堵带来的大气污染。</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lang w:eastAsia="zh-CN"/>
              </w:rPr>
              <w:t>加强非道路移动机械和船舶污染防治：加强非道路移动机械大气污染物排放监管，实行非道路移动机械登记制度，建立完善非道路移动机械污染 控制管理台账。推进船舶排气污染防治。依法强制报废超过使用年限的船舶， 加强船只报废更新，积极鼓励发展厢式化、模块化、轻量化等先进车型船型。</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在铜梁执行相应的整治措施后，可改善区域环境质量达标情况。</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评价范围内</w:t>
            </w:r>
            <w:r>
              <w:rPr>
                <w:rFonts w:hint="eastAsia" w:ascii="Times New Roman" w:hAnsi="Times New Roman" w:cs="Times New Roman"/>
                <w:color w:val="auto"/>
                <w:sz w:val="24"/>
                <w:szCs w:val="24"/>
                <w:highlight w:val="none"/>
                <w:lang w:val="en-US" w:eastAsia="zh-CN"/>
              </w:rPr>
              <w:t>其他污染物</w:t>
            </w:r>
            <w:r>
              <w:rPr>
                <w:rFonts w:hint="eastAsia" w:ascii="Times New Roman" w:hAnsi="Times New Roman" w:eastAsia="宋体" w:cs="Times New Roman"/>
                <w:color w:val="auto"/>
                <w:sz w:val="24"/>
                <w:szCs w:val="24"/>
                <w:highlight w:val="none"/>
                <w:lang w:val="en-US" w:eastAsia="zh-CN"/>
              </w:rPr>
              <w:t>环境质量现状</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本项目特征因子为非甲烷总烃，为了解项目所在区域环境空气质量，本次评价</w:t>
            </w:r>
            <w:r>
              <w:rPr>
                <w:rFonts w:hint="eastAsia" w:cs="Times New Roman"/>
                <w:color w:val="auto"/>
                <w:sz w:val="24"/>
                <w:szCs w:val="24"/>
                <w:highlight w:val="none"/>
                <w:lang w:val="en-US" w:eastAsia="zh-CN"/>
              </w:rPr>
              <w:t>委托</w:t>
            </w:r>
            <w:r>
              <w:rPr>
                <w:rFonts w:hint="eastAsia" w:ascii="Times New Roman" w:hAnsi="Times New Roman" w:eastAsia="宋体" w:cs="Times New Roman"/>
                <w:color w:val="auto"/>
                <w:sz w:val="24"/>
                <w:szCs w:val="24"/>
                <w:highlight w:val="none"/>
                <w:lang w:eastAsia="zh-CN"/>
              </w:rPr>
              <w:t>重庆</w:t>
            </w:r>
            <w:r>
              <w:rPr>
                <w:rFonts w:hint="eastAsia" w:cs="Times New Roman"/>
                <w:color w:val="auto"/>
                <w:sz w:val="24"/>
                <w:szCs w:val="24"/>
                <w:highlight w:val="none"/>
                <w:lang w:val="en-US" w:eastAsia="zh-CN"/>
              </w:rPr>
              <w:t>国环环境监测有限公司</w:t>
            </w:r>
            <w:r>
              <w:rPr>
                <w:rFonts w:hint="eastAsia" w:ascii="Times New Roman" w:hAnsi="Times New Roman" w:cs="Times New Roman"/>
                <w:color w:val="auto"/>
                <w:sz w:val="24"/>
                <w:szCs w:val="24"/>
                <w:highlight w:val="none"/>
                <w:lang w:val="en-US" w:eastAsia="zh-CN"/>
              </w:rPr>
              <w:t>对</w:t>
            </w:r>
            <w:r>
              <w:rPr>
                <w:rFonts w:hint="eastAsia" w:cs="Times New Roman"/>
                <w:color w:val="auto"/>
                <w:sz w:val="24"/>
                <w:szCs w:val="24"/>
                <w:highlight w:val="none"/>
                <w:lang w:val="en-US" w:eastAsia="zh-CN"/>
              </w:rPr>
              <w:t>项目所在区域环境质量现状进行监测，</w:t>
            </w:r>
            <w:r>
              <w:rPr>
                <w:rFonts w:hint="eastAsia" w:ascii="Times New Roman" w:hAnsi="Times New Roman" w:eastAsia="宋体" w:cs="Times New Roman"/>
                <w:color w:val="auto"/>
                <w:sz w:val="24"/>
                <w:szCs w:val="24"/>
                <w:highlight w:val="none"/>
                <w:lang w:eastAsia="zh-CN"/>
              </w:rPr>
              <w:t>监测时间为</w:t>
            </w:r>
            <w:r>
              <w:rPr>
                <w:rFonts w:hint="eastAsia" w:ascii="Times New Roman" w:hAnsi="Times New Roman" w:cs="Times New Roman"/>
                <w:color w:val="auto"/>
                <w:sz w:val="24"/>
                <w:szCs w:val="24"/>
                <w:highlight w:val="none"/>
                <w:lang w:val="en-US" w:eastAsia="zh-CN"/>
              </w:rPr>
              <w:t>202</w:t>
            </w:r>
            <w:r>
              <w:rPr>
                <w:rFonts w:hint="eastAsia" w:cs="Times New Roman"/>
                <w:color w:val="auto"/>
                <w:sz w:val="24"/>
                <w:szCs w:val="24"/>
                <w:highlight w:val="none"/>
                <w:lang w:val="en-US" w:eastAsia="zh-CN"/>
              </w:rPr>
              <w:t>3</w:t>
            </w:r>
            <w:r>
              <w:rPr>
                <w:rFonts w:hint="eastAsia" w:ascii="Times New Roman" w:hAnsi="Times New Roman" w:cs="Times New Roman"/>
                <w:color w:val="auto"/>
                <w:sz w:val="24"/>
                <w:szCs w:val="24"/>
                <w:highlight w:val="none"/>
                <w:lang w:val="en-US" w:eastAsia="zh-CN"/>
              </w:rPr>
              <w:t>年</w:t>
            </w:r>
            <w:r>
              <w:rPr>
                <w:rFonts w:hint="eastAsia" w:cs="Times New Roman"/>
                <w:color w:val="auto"/>
                <w:sz w:val="24"/>
                <w:szCs w:val="24"/>
                <w:highlight w:val="none"/>
                <w:lang w:val="en-US" w:eastAsia="zh-CN"/>
              </w:rPr>
              <w:t>3</w:t>
            </w:r>
            <w:r>
              <w:rPr>
                <w:rFonts w:hint="eastAsia" w:ascii="Times New Roman" w:hAnsi="Times New Roman" w:cs="Times New Roman"/>
                <w:color w:val="auto"/>
                <w:sz w:val="24"/>
                <w:szCs w:val="24"/>
                <w:highlight w:val="none"/>
                <w:lang w:val="en-US" w:eastAsia="zh-CN"/>
              </w:rPr>
              <w:t>月</w:t>
            </w:r>
            <w:r>
              <w:rPr>
                <w:rFonts w:hint="eastAsia" w:cs="Times New Roman"/>
                <w:color w:val="auto"/>
                <w:sz w:val="24"/>
                <w:szCs w:val="24"/>
                <w:highlight w:val="none"/>
                <w:lang w:val="en-US" w:eastAsia="zh-CN"/>
              </w:rPr>
              <w:t>23</w:t>
            </w:r>
            <w:r>
              <w:rPr>
                <w:rFonts w:hint="eastAsia" w:ascii="Times New Roman" w:hAnsi="Times New Roman" w:cs="Times New Roman"/>
                <w:color w:val="auto"/>
                <w:sz w:val="24"/>
                <w:szCs w:val="24"/>
                <w:highlight w:val="none"/>
                <w:lang w:val="en-US" w:eastAsia="zh-CN"/>
              </w:rPr>
              <w:t>日~2</w:t>
            </w:r>
            <w:r>
              <w:rPr>
                <w:rFonts w:hint="eastAsia" w:cs="Times New Roman"/>
                <w:color w:val="auto"/>
                <w:sz w:val="24"/>
                <w:szCs w:val="24"/>
                <w:highlight w:val="none"/>
                <w:lang w:val="en-US" w:eastAsia="zh-CN"/>
              </w:rPr>
              <w:t>5</w:t>
            </w:r>
            <w:r>
              <w:rPr>
                <w:rFonts w:hint="eastAsia" w:ascii="Times New Roman" w:hAnsi="Times New Roman" w:cs="Times New Roman"/>
                <w:color w:val="auto"/>
                <w:sz w:val="24"/>
                <w:szCs w:val="24"/>
                <w:highlight w:val="none"/>
                <w:lang w:val="en-US" w:eastAsia="zh-CN"/>
              </w:rPr>
              <w:t>日</w:t>
            </w:r>
            <w:r>
              <w:rPr>
                <w:rFonts w:hint="eastAsia" w:ascii="Times New Roman" w:hAnsi="Times New Roman" w:eastAsia="宋体" w:cs="Times New Roman"/>
                <w:color w:val="auto"/>
                <w:sz w:val="24"/>
                <w:szCs w:val="24"/>
                <w:highlight w:val="none"/>
                <w:lang w:eastAsia="zh-CN"/>
              </w:rPr>
              <w:t>，监测</w:t>
            </w:r>
            <w:r>
              <w:rPr>
                <w:rFonts w:hint="eastAsia" w:cs="Times New Roman"/>
                <w:color w:val="auto"/>
                <w:sz w:val="24"/>
                <w:szCs w:val="24"/>
                <w:highlight w:val="none"/>
                <w:lang w:val="en-US" w:eastAsia="zh-CN"/>
              </w:rPr>
              <w:t>点位为项目所在地西侧40m居民处</w:t>
            </w:r>
            <w:r>
              <w:rPr>
                <w:rFonts w:hint="eastAsia" w:ascii="Times New Roman" w:hAnsi="Times New Roman" w:eastAsia="宋体" w:cs="Times New Roman"/>
                <w:color w:val="auto"/>
                <w:sz w:val="24"/>
                <w:szCs w:val="24"/>
                <w:highlight w:val="none"/>
              </w:rPr>
              <w:t>。具体监测情况如下：</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①</w:t>
            </w:r>
            <w:r>
              <w:rPr>
                <w:rFonts w:hint="default" w:ascii="Times New Roman" w:hAnsi="Times New Roman" w:eastAsia="宋体" w:cs="Times New Roman"/>
                <w:color w:val="auto"/>
                <w:sz w:val="24"/>
                <w:szCs w:val="24"/>
                <w:highlight w:val="none"/>
                <w:lang w:val="en-US" w:eastAsia="zh-CN"/>
              </w:rPr>
              <w:t>评价因子</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非甲烷总烃。</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②</w:t>
            </w:r>
            <w:r>
              <w:rPr>
                <w:rFonts w:hint="default" w:ascii="Times New Roman" w:hAnsi="Times New Roman" w:eastAsia="宋体" w:cs="Times New Roman"/>
                <w:color w:val="auto"/>
                <w:sz w:val="24"/>
                <w:szCs w:val="24"/>
                <w:highlight w:val="none"/>
                <w:lang w:val="en-US" w:eastAsia="zh-CN"/>
              </w:rPr>
              <w:t>评价</w:t>
            </w:r>
            <w:r>
              <w:rPr>
                <w:rFonts w:hint="eastAsia" w:ascii="Times New Roman" w:hAnsi="Times New Roman" w:eastAsia="宋体" w:cs="Times New Roman"/>
                <w:color w:val="auto"/>
                <w:sz w:val="24"/>
                <w:szCs w:val="24"/>
                <w:highlight w:val="none"/>
                <w:lang w:val="en-US" w:eastAsia="zh-CN"/>
              </w:rPr>
              <w:t>标准</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非甲烷总烃参照</w:t>
            </w:r>
            <w:r>
              <w:rPr>
                <w:rFonts w:hint="default" w:ascii="Times New Roman" w:hAnsi="Times New Roman" w:eastAsia="宋体" w:cs="Times New Roman"/>
                <w:color w:val="auto"/>
                <w:sz w:val="24"/>
                <w:szCs w:val="24"/>
                <w:highlight w:val="none"/>
                <w:lang w:val="en-US" w:eastAsia="zh-CN"/>
              </w:rPr>
              <w:t>执行河北省地方标准《环境空气质量非甲烷总烃限值》（DB13/1577-2012）标准限值</w:t>
            </w:r>
            <w:r>
              <w:rPr>
                <w:rFonts w:hint="eastAsia" w:ascii="Times New Roman" w:hAnsi="Times New Roman" w:eastAsia="宋体" w:cs="Times New Roman"/>
                <w:color w:val="auto"/>
                <w:sz w:val="24"/>
                <w:szCs w:val="24"/>
                <w:highlight w:val="none"/>
                <w:lang w:val="en-US" w:eastAsia="zh-CN"/>
              </w:rPr>
              <w:t>。</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③</w:t>
            </w:r>
            <w:r>
              <w:rPr>
                <w:rFonts w:hint="eastAsia" w:ascii="Times New Roman" w:hAnsi="Times New Roman" w:eastAsia="宋体" w:cs="Times New Roman"/>
                <w:color w:val="auto"/>
                <w:sz w:val="24"/>
                <w:szCs w:val="24"/>
                <w:highlight w:val="none"/>
                <w:lang w:val="en-US" w:eastAsia="zh-CN"/>
              </w:rPr>
              <w:t>监测情况</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监测因子：非甲烷总烃</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监测时间及监测频率：</w:t>
            </w:r>
            <w:r>
              <w:rPr>
                <w:rFonts w:hint="eastAsia" w:ascii="Times New Roman" w:hAnsi="Times New Roman" w:cs="Times New Roman"/>
                <w:color w:val="auto"/>
                <w:sz w:val="24"/>
                <w:szCs w:val="24"/>
                <w:highlight w:val="none"/>
                <w:lang w:val="en-US" w:eastAsia="zh-CN"/>
              </w:rPr>
              <w:t>202</w:t>
            </w:r>
            <w:r>
              <w:rPr>
                <w:rFonts w:hint="eastAsia" w:cs="Times New Roman"/>
                <w:color w:val="auto"/>
                <w:sz w:val="24"/>
                <w:szCs w:val="24"/>
                <w:highlight w:val="none"/>
                <w:lang w:val="en-US" w:eastAsia="zh-CN"/>
              </w:rPr>
              <w:t>3</w:t>
            </w:r>
            <w:r>
              <w:rPr>
                <w:rFonts w:hint="eastAsia" w:ascii="Times New Roman" w:hAnsi="Times New Roman" w:cs="Times New Roman"/>
                <w:color w:val="auto"/>
                <w:sz w:val="24"/>
                <w:szCs w:val="24"/>
                <w:highlight w:val="none"/>
                <w:lang w:val="en-US" w:eastAsia="zh-CN"/>
              </w:rPr>
              <w:t>年</w:t>
            </w:r>
            <w:r>
              <w:rPr>
                <w:rFonts w:hint="eastAsia" w:cs="Times New Roman"/>
                <w:color w:val="auto"/>
                <w:sz w:val="24"/>
                <w:szCs w:val="24"/>
                <w:highlight w:val="none"/>
                <w:lang w:val="en-US" w:eastAsia="zh-CN"/>
              </w:rPr>
              <w:t>3</w:t>
            </w:r>
            <w:r>
              <w:rPr>
                <w:rFonts w:hint="eastAsia" w:ascii="Times New Roman" w:hAnsi="Times New Roman" w:cs="Times New Roman"/>
                <w:color w:val="auto"/>
                <w:sz w:val="24"/>
                <w:szCs w:val="24"/>
                <w:highlight w:val="none"/>
                <w:lang w:val="en-US" w:eastAsia="zh-CN"/>
              </w:rPr>
              <w:t>月</w:t>
            </w:r>
            <w:r>
              <w:rPr>
                <w:rFonts w:hint="eastAsia" w:cs="Times New Roman"/>
                <w:color w:val="auto"/>
                <w:sz w:val="24"/>
                <w:szCs w:val="24"/>
                <w:highlight w:val="none"/>
                <w:lang w:val="en-US" w:eastAsia="zh-CN"/>
              </w:rPr>
              <w:t>23</w:t>
            </w:r>
            <w:r>
              <w:rPr>
                <w:rFonts w:hint="eastAsia" w:ascii="Times New Roman" w:hAnsi="Times New Roman" w:cs="Times New Roman"/>
                <w:color w:val="auto"/>
                <w:sz w:val="24"/>
                <w:szCs w:val="24"/>
                <w:highlight w:val="none"/>
                <w:lang w:val="en-US" w:eastAsia="zh-CN"/>
              </w:rPr>
              <w:t>日~</w:t>
            </w:r>
            <w:r>
              <w:rPr>
                <w:rFonts w:hint="eastAsia" w:cs="Times New Roman"/>
                <w:color w:val="auto"/>
                <w:sz w:val="24"/>
                <w:szCs w:val="24"/>
                <w:highlight w:val="none"/>
                <w:lang w:val="en-US" w:eastAsia="zh-CN"/>
              </w:rPr>
              <w:t>25</w:t>
            </w:r>
            <w:r>
              <w:rPr>
                <w:rFonts w:hint="eastAsia" w:ascii="Times New Roman" w:hAnsi="Times New Roman" w:cs="Times New Roman"/>
                <w:color w:val="auto"/>
                <w:sz w:val="24"/>
                <w:szCs w:val="24"/>
                <w:highlight w:val="none"/>
                <w:lang w:val="en-US" w:eastAsia="zh-CN"/>
              </w:rPr>
              <w:t>日</w:t>
            </w:r>
            <w:r>
              <w:rPr>
                <w:rFonts w:hint="eastAsia" w:ascii="Times New Roman" w:hAnsi="Times New Roman" w:eastAsia="宋体" w:cs="Times New Roman"/>
                <w:color w:val="auto"/>
                <w:sz w:val="24"/>
                <w:szCs w:val="24"/>
                <w:highlight w:val="none"/>
                <w:lang w:val="en-US" w:eastAsia="zh-CN"/>
              </w:rPr>
              <w:t>，连续监测</w:t>
            </w:r>
            <w:r>
              <w:rPr>
                <w:rFonts w:hint="eastAsia"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天，4次/天，监测小时值；</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监测点位：</w:t>
            </w:r>
            <w:r>
              <w:rPr>
                <w:rFonts w:hint="eastAsia" w:cs="Times New Roman"/>
                <w:color w:val="auto"/>
                <w:sz w:val="24"/>
                <w:szCs w:val="24"/>
                <w:highlight w:val="none"/>
                <w:lang w:val="en-US" w:eastAsia="zh-CN"/>
              </w:rPr>
              <w:t>位于项目西侧40m居民处</w:t>
            </w:r>
            <w:r>
              <w:rPr>
                <w:rFonts w:hint="eastAsia" w:ascii="Times New Roman" w:hAnsi="Times New Roman" w:eastAsia="宋体" w:cs="Times New Roman"/>
                <w:color w:val="auto"/>
                <w:sz w:val="24"/>
                <w:szCs w:val="24"/>
                <w:highlight w:val="none"/>
                <w:lang w:val="en-US" w:eastAsia="zh-CN"/>
              </w:rPr>
              <w:t>；</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监测结果：监测数据详见表</w:t>
            </w:r>
            <w:r>
              <w:rPr>
                <w:rFonts w:hint="eastAsia" w:ascii="Times New Roman" w:hAnsi="Times New Roman" w:eastAsia="宋体" w:cs="Times New Roman"/>
                <w:color w:val="auto"/>
                <w:sz w:val="24"/>
                <w:szCs w:val="24"/>
                <w:highlight w:val="none"/>
                <w:lang w:val="en-US" w:eastAsia="zh-CN"/>
              </w:rPr>
              <w:t>3-2</w:t>
            </w:r>
            <w:r>
              <w:rPr>
                <w:rFonts w:hint="eastAsia" w:ascii="Times New Roman" w:hAnsi="Times New Roman" w:eastAsia="宋体" w:cs="Times New Roman"/>
                <w:color w:val="auto"/>
                <w:sz w:val="24"/>
                <w:szCs w:val="24"/>
                <w:highlight w:val="none"/>
                <w:lang w:eastAsia="zh-CN"/>
              </w:rPr>
              <w:t>。</w:t>
            </w:r>
          </w:p>
          <w:p>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表</w:t>
            </w:r>
            <w:r>
              <w:rPr>
                <w:rFonts w:hint="eastAsia"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eastAsia="zh-CN"/>
              </w:rPr>
              <w:t xml:space="preserve">   项目区</w:t>
            </w:r>
            <w:r>
              <w:rPr>
                <w:rFonts w:hint="eastAsia" w:ascii="Times New Roman" w:hAnsi="Times New Roman" w:eastAsia="宋体" w:cs="Times New Roman"/>
                <w:color w:val="auto"/>
                <w:sz w:val="24"/>
                <w:szCs w:val="24"/>
                <w:highlight w:val="none"/>
                <w:lang w:val="en-US" w:eastAsia="zh-CN"/>
              </w:rPr>
              <w:t>环境质量</w:t>
            </w:r>
            <w:r>
              <w:rPr>
                <w:rFonts w:hint="eastAsia" w:ascii="Times New Roman" w:hAnsi="Times New Roman" w:eastAsia="宋体" w:cs="Times New Roman"/>
                <w:color w:val="auto"/>
                <w:sz w:val="24"/>
                <w:szCs w:val="24"/>
                <w:highlight w:val="none"/>
                <w:lang w:eastAsia="zh-CN"/>
              </w:rPr>
              <w:t>现状监测及评价结果</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4"/>
              <w:gridCol w:w="854"/>
              <w:gridCol w:w="1320"/>
              <w:gridCol w:w="1110"/>
              <w:gridCol w:w="900"/>
              <w:gridCol w:w="1095"/>
              <w:gridCol w:w="696"/>
              <w:gridCol w:w="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844" w:type="pct"/>
                  <w:vMerge w:val="restart"/>
                  <w:noWrap w:val="0"/>
                  <w:vAlign w:val="center"/>
                </w:tcPr>
                <w:p>
                  <w:pPr>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监测时间</w:t>
                  </w:r>
                </w:p>
              </w:tc>
              <w:tc>
                <w:tcPr>
                  <w:tcW w:w="537" w:type="pct"/>
                  <w:vMerge w:val="restart"/>
                  <w:noWrap w:val="0"/>
                  <w:vAlign w:val="center"/>
                </w:tcPr>
                <w:p>
                  <w:pPr>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监测</w:t>
                  </w:r>
                </w:p>
                <w:p>
                  <w:pPr>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因子</w:t>
                  </w:r>
                </w:p>
              </w:tc>
              <w:tc>
                <w:tcPr>
                  <w:tcW w:w="829" w:type="pct"/>
                  <w:vMerge w:val="restart"/>
                  <w:noWrap w:val="0"/>
                  <w:vAlign w:val="center"/>
                </w:tcPr>
                <w:p>
                  <w:pPr>
                    <w:spacing w:line="240" w:lineRule="auto"/>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监测</w:t>
                  </w:r>
                  <w:r>
                    <w:rPr>
                      <w:rFonts w:hint="eastAsia" w:cs="Times New Roman"/>
                      <w:color w:val="auto"/>
                      <w:sz w:val="21"/>
                      <w:szCs w:val="21"/>
                      <w:highlight w:val="none"/>
                      <w:lang w:val="en-US" w:eastAsia="zh-CN"/>
                    </w:rPr>
                    <w:t>点位</w:t>
                  </w:r>
                </w:p>
              </w:tc>
              <w:tc>
                <w:tcPr>
                  <w:tcW w:w="2788" w:type="pct"/>
                  <w:gridSpan w:val="5"/>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日均值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4" w:type="pct"/>
                  <w:vMerge w:val="continue"/>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537" w:type="pct"/>
                  <w:vMerge w:val="continue"/>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829" w:type="pct"/>
                  <w:vMerge w:val="continue"/>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697"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浓度范围</w:t>
                  </w:r>
                </w:p>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c>
                <w:tcPr>
                  <w:tcW w:w="565"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标准值mg/m</w:t>
                  </w:r>
                  <w:r>
                    <w:rPr>
                      <w:rFonts w:hint="default" w:ascii="Times New Roman" w:hAnsi="Times New Roman" w:eastAsia="宋体" w:cs="Times New Roman"/>
                      <w:color w:val="auto"/>
                      <w:sz w:val="21"/>
                      <w:szCs w:val="21"/>
                      <w:highlight w:val="none"/>
                      <w:vertAlign w:val="superscript"/>
                    </w:rPr>
                    <w:t>3</w:t>
                  </w:r>
                </w:p>
              </w:tc>
              <w:tc>
                <w:tcPr>
                  <w:tcW w:w="687"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最大浓度占标率%</w:t>
                  </w:r>
                </w:p>
              </w:tc>
              <w:tc>
                <w:tcPr>
                  <w:tcW w:w="437"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超标率%</w:t>
                  </w:r>
                </w:p>
              </w:tc>
              <w:tc>
                <w:tcPr>
                  <w:tcW w:w="401" w:type="pct"/>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844" w:type="pct"/>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202</w:t>
                  </w:r>
                  <w:r>
                    <w:rPr>
                      <w:rFonts w:hint="eastAsia" w:cs="Times New Roman"/>
                      <w:color w:val="auto"/>
                      <w:kern w:val="0"/>
                      <w:sz w:val="21"/>
                      <w:szCs w:val="21"/>
                      <w:highlight w:val="none"/>
                      <w:lang w:val="en-US" w:eastAsia="zh-CN"/>
                    </w:rPr>
                    <w:t>3</w:t>
                  </w:r>
                  <w:r>
                    <w:rPr>
                      <w:rFonts w:hint="default" w:ascii="Times New Roman" w:hAnsi="Times New Roman" w:eastAsia="宋体" w:cs="Times New Roman"/>
                      <w:color w:val="auto"/>
                      <w:kern w:val="0"/>
                      <w:sz w:val="21"/>
                      <w:szCs w:val="21"/>
                      <w:highlight w:val="none"/>
                      <w:lang w:val="en-US" w:eastAsia="zh-CN"/>
                    </w:rPr>
                    <w:t>年</w:t>
                  </w:r>
                  <w:r>
                    <w:rPr>
                      <w:rFonts w:hint="eastAsia" w:cs="Times New Roman"/>
                      <w:color w:val="auto"/>
                      <w:kern w:val="0"/>
                      <w:sz w:val="21"/>
                      <w:szCs w:val="21"/>
                      <w:highlight w:val="none"/>
                      <w:lang w:val="en-US" w:eastAsia="zh-CN"/>
                    </w:rPr>
                    <w:t>3</w:t>
                  </w:r>
                  <w:r>
                    <w:rPr>
                      <w:rFonts w:hint="default" w:ascii="Times New Roman" w:hAnsi="Times New Roman" w:eastAsia="宋体" w:cs="Times New Roman"/>
                      <w:color w:val="auto"/>
                      <w:kern w:val="0"/>
                      <w:sz w:val="21"/>
                      <w:szCs w:val="21"/>
                      <w:highlight w:val="none"/>
                      <w:lang w:val="en-US" w:eastAsia="zh-CN"/>
                    </w:rPr>
                    <w:t>月</w:t>
                  </w:r>
                  <w:r>
                    <w:rPr>
                      <w:rFonts w:hint="eastAsia" w:cs="Times New Roman"/>
                      <w:color w:val="auto"/>
                      <w:kern w:val="0"/>
                      <w:sz w:val="21"/>
                      <w:szCs w:val="21"/>
                      <w:highlight w:val="none"/>
                      <w:lang w:val="en-US" w:eastAsia="zh-CN"/>
                    </w:rPr>
                    <w:t>23</w:t>
                  </w:r>
                  <w:r>
                    <w:rPr>
                      <w:rFonts w:hint="default" w:ascii="Times New Roman" w:hAnsi="Times New Roman" w:eastAsia="宋体" w:cs="Times New Roman"/>
                      <w:color w:val="auto"/>
                      <w:kern w:val="0"/>
                      <w:sz w:val="21"/>
                      <w:szCs w:val="21"/>
                      <w:highlight w:val="none"/>
                      <w:lang w:val="en-US" w:eastAsia="zh-CN"/>
                    </w:rPr>
                    <w:t>日</w:t>
                  </w:r>
                  <w:r>
                    <w:rPr>
                      <w:rFonts w:hint="eastAsia"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2</w:t>
                  </w:r>
                  <w:r>
                    <w:rPr>
                      <w:rFonts w:hint="eastAsia" w:cs="Times New Roman"/>
                      <w:color w:val="auto"/>
                      <w:kern w:val="0"/>
                      <w:sz w:val="21"/>
                      <w:szCs w:val="21"/>
                      <w:highlight w:val="none"/>
                      <w:lang w:val="en-US" w:eastAsia="zh-CN"/>
                    </w:rPr>
                    <w:t>5</w:t>
                  </w:r>
                  <w:r>
                    <w:rPr>
                      <w:rFonts w:hint="default" w:ascii="Times New Roman" w:hAnsi="Times New Roman" w:eastAsia="宋体" w:cs="Times New Roman"/>
                      <w:color w:val="auto"/>
                      <w:kern w:val="0"/>
                      <w:sz w:val="21"/>
                      <w:szCs w:val="21"/>
                      <w:highlight w:val="none"/>
                      <w:lang w:val="en-US" w:eastAsia="zh-CN"/>
                    </w:rPr>
                    <w:t>日</w:t>
                  </w:r>
                </w:p>
              </w:tc>
              <w:tc>
                <w:tcPr>
                  <w:tcW w:w="537" w:type="pct"/>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829" w:type="pct"/>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项目西侧约40m居民处</w:t>
                  </w:r>
                </w:p>
              </w:tc>
              <w:tc>
                <w:tcPr>
                  <w:tcW w:w="697" w:type="pct"/>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1.11~1.57</w:t>
                  </w:r>
                </w:p>
              </w:tc>
              <w:tc>
                <w:tcPr>
                  <w:tcW w:w="565" w:type="pct"/>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687" w:type="pct"/>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78.5</w:t>
                  </w:r>
                </w:p>
              </w:tc>
              <w:tc>
                <w:tcPr>
                  <w:tcW w:w="437" w:type="pct"/>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01" w:type="pct"/>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bl>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根据表</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-2可知，</w:t>
            </w:r>
            <w:r>
              <w:rPr>
                <w:rFonts w:hint="eastAsia" w:ascii="Times New Roman" w:hAnsi="Times New Roman" w:eastAsia="宋体" w:cs="Times New Roman"/>
                <w:color w:val="auto"/>
                <w:sz w:val="24"/>
                <w:szCs w:val="24"/>
                <w:highlight w:val="none"/>
                <w:lang w:eastAsia="zh-CN"/>
              </w:rPr>
              <w:t>本项目</w:t>
            </w:r>
            <w:r>
              <w:rPr>
                <w:rFonts w:hint="default" w:ascii="Times New Roman" w:hAnsi="Times New Roman" w:eastAsia="宋体" w:cs="Times New Roman"/>
                <w:color w:val="auto"/>
                <w:sz w:val="24"/>
                <w:szCs w:val="24"/>
                <w:highlight w:val="none"/>
                <w:lang w:eastAsia="zh-CN"/>
              </w:rPr>
              <w:t>所在区域环境空气特征因子</w:t>
            </w:r>
            <w:r>
              <w:rPr>
                <w:rFonts w:hint="eastAsia" w:ascii="Times New Roman" w:hAnsi="Times New Roman" w:eastAsia="宋体" w:cs="Times New Roman"/>
                <w:color w:val="auto"/>
                <w:sz w:val="24"/>
                <w:szCs w:val="24"/>
                <w:highlight w:val="none"/>
                <w:lang w:val="en-US" w:eastAsia="zh-CN"/>
              </w:rPr>
              <w:t>非甲烷总烃小时</w:t>
            </w:r>
            <w:r>
              <w:rPr>
                <w:rFonts w:hint="default" w:ascii="Times New Roman" w:hAnsi="Times New Roman" w:eastAsia="宋体" w:cs="Times New Roman"/>
                <w:color w:val="auto"/>
                <w:sz w:val="24"/>
                <w:szCs w:val="24"/>
                <w:highlight w:val="none"/>
                <w:lang w:eastAsia="zh-CN"/>
              </w:rPr>
              <w:t>浓度满足</w:t>
            </w:r>
            <w:r>
              <w:rPr>
                <w:rFonts w:hint="default" w:ascii="Times New Roman" w:hAnsi="Times New Roman" w:eastAsia="宋体" w:cs="Times New Roman"/>
                <w:color w:val="auto"/>
                <w:sz w:val="24"/>
                <w:szCs w:val="24"/>
                <w:highlight w:val="none"/>
                <w:lang w:val="en-US" w:eastAsia="zh-CN"/>
              </w:rPr>
              <w:t>《环境空气质量 非甲烷总烃限值》（DB 13/1577-2012）中限值要求</w:t>
            </w:r>
            <w:r>
              <w:rPr>
                <w:rFonts w:hint="eastAsia" w:ascii="Times New Roman" w:hAnsi="Times New Roman" w:eastAsia="宋体" w:cs="Times New Roman"/>
                <w:color w:val="auto"/>
                <w:sz w:val="24"/>
                <w:szCs w:val="24"/>
                <w:highlight w:val="none"/>
                <w:lang w:val="en-US" w:eastAsia="zh-CN"/>
              </w:rPr>
              <w:t>。</w:t>
            </w:r>
          </w:p>
          <w:p>
            <w:pPr>
              <w:keepNext w:val="0"/>
              <w:keepLines w:val="0"/>
              <w:suppressLineNumbers w:val="0"/>
              <w:spacing w:before="0" w:beforeAutospacing="0" w:after="0" w:afterAutospacing="0" w:line="360" w:lineRule="auto"/>
              <w:ind w:left="0" w:right="0" w:firstLine="482" w:firstLineChars="200"/>
              <w:contextualSpacing/>
              <w:rPr>
                <w:rFonts w:hint="eastAsia"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sz w:val="24"/>
                <w:szCs w:val="24"/>
                <w:highlight w:val="none"/>
                <w:lang w:val="en-US" w:eastAsia="zh-CN"/>
              </w:rPr>
              <w:t>3.2</w:t>
            </w:r>
            <w:r>
              <w:rPr>
                <w:rFonts w:hint="eastAsia" w:ascii="Times New Roman" w:hAnsi="Times New Roman" w:eastAsia="宋体" w:cs="Times New Roman"/>
                <w:b/>
                <w:bCs/>
                <w:color w:val="auto"/>
                <w:sz w:val="24"/>
                <w:szCs w:val="24"/>
                <w:highlight w:val="none"/>
                <w:lang w:eastAsia="zh-CN"/>
              </w:rPr>
              <w:t>地表水环境质量现状</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本</w:t>
            </w:r>
            <w:r>
              <w:rPr>
                <w:rFonts w:hint="eastAsia" w:ascii="Times New Roman" w:hAnsi="Times New Roman" w:eastAsia="宋体" w:cs="Times New Roman"/>
                <w:color w:val="auto"/>
                <w:sz w:val="24"/>
                <w:szCs w:val="24"/>
                <w:highlight w:val="none"/>
                <w:lang w:val="en-US" w:eastAsia="zh-CN"/>
              </w:rPr>
              <w:t>项目位于重庆市铜梁区侣俸镇，受纳水体主要为侣俸河，根据《重庆市人民政府批转重庆市地表水环境功能类别调整方案的通知》（渝环发</w:t>
            </w:r>
            <w:r>
              <w:rPr>
                <w:rFonts w:hint="default" w:ascii="Times New Roman" w:hAnsi="Times New Roman" w:eastAsia="宋体" w:cs="Times New Roman"/>
                <w:color w:val="auto"/>
                <w:sz w:val="24"/>
                <w:szCs w:val="24"/>
                <w:highlight w:val="none"/>
                <w:lang w:val="en-US" w:eastAsia="zh-CN"/>
              </w:rPr>
              <w:t xml:space="preserve">[2012]4 </w:t>
            </w:r>
            <w:r>
              <w:rPr>
                <w:rFonts w:hint="eastAsia" w:ascii="Times New Roman" w:hAnsi="Times New Roman" w:eastAsia="宋体" w:cs="Times New Roman"/>
                <w:color w:val="auto"/>
                <w:sz w:val="24"/>
                <w:szCs w:val="24"/>
                <w:highlight w:val="none"/>
                <w:lang w:val="en-US" w:eastAsia="zh-CN"/>
              </w:rPr>
              <w:t>号）规定，侣俸河执行《地表水环境质量标准》（</w:t>
            </w:r>
            <w:r>
              <w:rPr>
                <w:rFonts w:hint="default" w:ascii="Times New Roman" w:hAnsi="Times New Roman" w:eastAsia="宋体" w:cs="Times New Roman"/>
                <w:color w:val="auto"/>
                <w:sz w:val="24"/>
                <w:szCs w:val="24"/>
                <w:highlight w:val="none"/>
                <w:lang w:val="en-US" w:eastAsia="zh-CN"/>
              </w:rPr>
              <w:t>GB3838-2002</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Ⅲ</w:t>
            </w:r>
            <w:r>
              <w:rPr>
                <w:rFonts w:hint="eastAsia" w:ascii="Times New Roman" w:hAnsi="Times New Roman" w:eastAsia="宋体" w:cs="Times New Roman"/>
                <w:color w:val="auto"/>
                <w:sz w:val="24"/>
                <w:szCs w:val="24"/>
                <w:highlight w:val="none"/>
                <w:lang w:val="en-US" w:eastAsia="zh-CN"/>
              </w:rPr>
              <w:t xml:space="preserve">类水域标准。 </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为了解项目排污之前的地表水质量现状，引用重庆中机中联检测技术有限公司于</w:t>
            </w:r>
            <w:r>
              <w:rPr>
                <w:rFonts w:hint="default"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12</w:t>
            </w:r>
            <w:r>
              <w:rPr>
                <w:rFonts w:hint="eastAsia"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 xml:space="preserve"> </w:t>
            </w:r>
            <w:r>
              <w:rPr>
                <w:rFonts w:hint="eastAsia" w:ascii="Times New Roman" w:hAnsi="Times New Roman" w:eastAsia="宋体" w:cs="Times New Roman"/>
                <w:color w:val="auto"/>
                <w:sz w:val="24"/>
                <w:szCs w:val="24"/>
                <w:highlight w:val="none"/>
                <w:lang w:val="en-US" w:eastAsia="zh-CN"/>
              </w:rPr>
              <w:t>日</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7</w:t>
            </w:r>
            <w:r>
              <w:rPr>
                <w:rFonts w:hint="eastAsia" w:ascii="Times New Roman" w:hAnsi="Times New Roman" w:eastAsia="宋体" w:cs="Times New Roman"/>
                <w:color w:val="auto"/>
                <w:sz w:val="24"/>
                <w:szCs w:val="24"/>
                <w:highlight w:val="none"/>
                <w:lang w:val="en-US" w:eastAsia="zh-CN"/>
              </w:rPr>
              <w:t>日对</w:t>
            </w:r>
            <w:r>
              <w:rPr>
                <w:rFonts w:hint="eastAsia" w:cs="Times New Roman"/>
                <w:color w:val="auto"/>
                <w:sz w:val="24"/>
                <w:szCs w:val="24"/>
                <w:highlight w:val="none"/>
                <w:lang w:val="en-US" w:eastAsia="zh-CN"/>
              </w:rPr>
              <w:t>观测滩水库坝址断面监测数据，</w:t>
            </w:r>
            <w:r>
              <w:rPr>
                <w:rFonts w:hint="eastAsia" w:ascii="Times New Roman" w:hAnsi="Times New Roman" w:eastAsia="宋体" w:cs="Times New Roman"/>
                <w:color w:val="auto"/>
                <w:sz w:val="24"/>
                <w:szCs w:val="24"/>
                <w:highlight w:val="none"/>
                <w:lang w:val="en-US" w:eastAsia="zh-CN"/>
              </w:rPr>
              <w:t>地表水质量现状监测时间和断面符合导则要求，评价数据有效。</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 xml:space="preserve">）监测方案 </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①监测断面：</w:t>
            </w:r>
            <w:r>
              <w:rPr>
                <w:rFonts w:hint="eastAsia" w:cs="Times New Roman"/>
                <w:color w:val="auto"/>
                <w:sz w:val="24"/>
                <w:szCs w:val="24"/>
                <w:highlight w:val="none"/>
                <w:lang w:val="en-US" w:eastAsia="zh-CN"/>
              </w:rPr>
              <w:t>共1</w:t>
            </w:r>
            <w:r>
              <w:rPr>
                <w:rFonts w:hint="eastAsia" w:ascii="Times New Roman" w:hAnsi="Times New Roman" w:eastAsia="宋体" w:cs="Times New Roman"/>
                <w:color w:val="auto"/>
                <w:sz w:val="24"/>
                <w:szCs w:val="24"/>
                <w:highlight w:val="none"/>
                <w:lang w:val="en-US" w:eastAsia="zh-CN"/>
              </w:rPr>
              <w:t>个监测断面</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 xml:space="preserve">位于观测滩水库坝址处。 </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②监测因子</w:t>
            </w:r>
            <w:r>
              <w:rPr>
                <w:rFonts w:hint="eastAsia" w:cs="Times New Roman"/>
                <w:color w:val="auto"/>
                <w:sz w:val="24"/>
                <w:szCs w:val="24"/>
                <w:highlight w:val="none"/>
                <w:lang w:val="en-US" w:eastAsia="zh-CN"/>
              </w:rPr>
              <w:t>及时间</w:t>
            </w:r>
            <w:r>
              <w:rPr>
                <w:rFonts w:hint="eastAsia" w:ascii="Times New Roman" w:hAnsi="Times New Roman" w:eastAsia="宋体" w:cs="Times New Roman"/>
                <w:color w:val="auto"/>
                <w:sz w:val="24"/>
                <w:szCs w:val="24"/>
                <w:highlight w:val="none"/>
                <w:lang w:val="en-US" w:eastAsia="zh-CN"/>
              </w:rPr>
              <w:t xml:space="preserve">： </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2021</w:t>
            </w:r>
            <w:r>
              <w:rPr>
                <w:rFonts w:hint="eastAsia" w:ascii="Times New Roman" w:hAnsi="Times New Roman" w:eastAsia="宋体" w:cs="Times New Roman"/>
                <w:color w:val="auto"/>
                <w:sz w:val="24"/>
                <w:szCs w:val="24"/>
                <w:highlight w:val="none"/>
                <w:lang w:val="en-US" w:eastAsia="zh-CN"/>
              </w:rPr>
              <w:t>年</w:t>
            </w:r>
            <w:r>
              <w:rPr>
                <w:rFonts w:hint="default" w:ascii="Times New Roman" w:hAnsi="Times New Roman" w:eastAsia="宋体" w:cs="Times New Roman"/>
                <w:color w:val="auto"/>
                <w:sz w:val="24"/>
                <w:szCs w:val="24"/>
                <w:highlight w:val="none"/>
                <w:lang w:val="en-US" w:eastAsia="zh-CN"/>
              </w:rPr>
              <w:t>12</w:t>
            </w:r>
            <w:r>
              <w:rPr>
                <w:rFonts w:hint="eastAsia" w:ascii="Times New Roman" w:hAnsi="Times New Roman" w:eastAsia="宋体" w:cs="Times New Roman"/>
                <w:color w:val="auto"/>
                <w:sz w:val="24"/>
                <w:szCs w:val="24"/>
                <w:highlight w:val="none"/>
                <w:lang w:val="en-US" w:eastAsia="zh-CN"/>
              </w:rPr>
              <w:t>月</w:t>
            </w:r>
            <w:r>
              <w:rPr>
                <w:rFonts w:hint="default" w:ascii="Times New Roman" w:hAnsi="Times New Roman" w:eastAsia="宋体"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val="en-US" w:eastAsia="zh-CN"/>
              </w:rPr>
              <w:t>日</w:t>
            </w:r>
            <w:r>
              <w:rPr>
                <w:rFonts w:hint="default" w:ascii="Times New Roman" w:hAnsi="Times New Roman" w:eastAsia="宋体" w:cs="Times New Roman"/>
                <w:color w:val="auto"/>
                <w:sz w:val="24"/>
                <w:szCs w:val="24"/>
                <w:highlight w:val="none"/>
                <w:lang w:val="en-US" w:eastAsia="zh-CN"/>
              </w:rPr>
              <w:t>~7</w:t>
            </w:r>
            <w:r>
              <w:rPr>
                <w:rFonts w:hint="eastAsia" w:ascii="Times New Roman" w:hAnsi="Times New Roman" w:eastAsia="宋体" w:cs="Times New Roman"/>
                <w:color w:val="auto"/>
                <w:sz w:val="24"/>
                <w:szCs w:val="24"/>
                <w:highlight w:val="none"/>
                <w:lang w:val="en-US" w:eastAsia="zh-CN"/>
              </w:rPr>
              <w:t>日监测因子：</w:t>
            </w:r>
            <w:r>
              <w:rPr>
                <w:rFonts w:hint="default" w:ascii="Times New Roman" w:hAnsi="Times New Roman" w:eastAsia="宋体" w:cs="Times New Roman"/>
                <w:color w:val="auto"/>
                <w:sz w:val="24"/>
                <w:szCs w:val="24"/>
                <w:highlight w:val="none"/>
                <w:lang w:val="en-US" w:eastAsia="zh-CN"/>
              </w:rPr>
              <w:t>pH</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COD</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BOD</w:t>
            </w:r>
            <w:r>
              <w:rPr>
                <w:rFonts w:hint="default" w:ascii="Times New Roman" w:hAnsi="Times New Roman" w:eastAsia="宋体" w:cs="Times New Roman"/>
                <w:color w:val="auto"/>
                <w:sz w:val="24"/>
                <w:szCs w:val="24"/>
                <w:highlight w:val="none"/>
                <w:vertAlign w:val="subscript"/>
                <w:lang w:val="en-US" w:eastAsia="zh-CN"/>
              </w:rPr>
              <w:t>5</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NH</w:t>
            </w:r>
            <w:r>
              <w:rPr>
                <w:rFonts w:hint="default" w:ascii="Times New Roman" w:hAnsi="Times New Roman" w:eastAsia="宋体"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lang w:val="en-US" w:eastAsia="zh-CN"/>
              </w:rPr>
              <w:t>-N</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TP</w:t>
            </w:r>
            <w:r>
              <w:rPr>
                <w:rFonts w:hint="eastAsia" w:ascii="Times New Roman" w:hAnsi="Times New Roman" w:eastAsia="宋体" w:cs="Times New Roman"/>
                <w:color w:val="auto"/>
                <w:sz w:val="24"/>
                <w:szCs w:val="24"/>
                <w:highlight w:val="none"/>
                <w:lang w:val="en-US" w:eastAsia="zh-CN"/>
              </w:rPr>
              <w:t xml:space="preserve">、石油类 。 </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③监测频率：连续监测</w:t>
            </w:r>
            <w:r>
              <w:rPr>
                <w:rFonts w:hint="default"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 xml:space="preserve">天，每天采样一次； </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）评价方法</w:t>
            </w:r>
          </w:p>
          <w:p>
            <w:pPr>
              <w:spacing w:line="360" w:lineRule="auto"/>
              <w:ind w:firstLine="480" w:firstLineChars="200"/>
              <w:rPr>
                <w:color w:val="auto"/>
                <w:sz w:val="24"/>
              </w:rPr>
            </w:pPr>
            <w:r>
              <w:rPr>
                <w:rFonts w:hint="eastAsia"/>
                <w:color w:val="auto"/>
                <w:sz w:val="24"/>
              </w:rPr>
              <w:t>参照《环境影响评价技术导则 地表水环境》（</w:t>
            </w:r>
            <w:r>
              <w:rPr>
                <w:color w:val="auto"/>
                <w:sz w:val="24"/>
              </w:rPr>
              <w:t>HJ2.3-2018</w:t>
            </w:r>
            <w:r>
              <w:rPr>
                <w:rFonts w:hint="eastAsia"/>
                <w:color w:val="auto"/>
                <w:sz w:val="24"/>
              </w:rPr>
              <w:t>）中规定方法进行。评价采用水质指数法进行评价。计算公式如下：</w:t>
            </w:r>
          </w:p>
          <w:p>
            <w:pPr>
              <w:spacing w:line="360" w:lineRule="auto"/>
              <w:ind w:firstLine="480" w:firstLineChars="200"/>
              <w:rPr>
                <w:bCs/>
                <w:color w:val="auto"/>
                <w:sz w:val="24"/>
              </w:rPr>
            </w:pPr>
            <w:r>
              <w:rPr>
                <w:bCs/>
                <w:color w:val="auto"/>
                <w:sz w:val="24"/>
              </w:rPr>
              <w:fldChar w:fldCharType="begin"/>
            </w:r>
            <w:r>
              <w:rPr>
                <w:bCs/>
                <w:color w:val="auto"/>
                <w:sz w:val="24"/>
              </w:rPr>
              <w:instrText xml:space="preserve"> = 1 \* GB3 </w:instrText>
            </w:r>
            <w:r>
              <w:rPr>
                <w:bCs/>
                <w:color w:val="auto"/>
                <w:sz w:val="24"/>
              </w:rPr>
              <w:fldChar w:fldCharType="separate"/>
            </w:r>
            <w:r>
              <w:rPr>
                <w:bCs/>
                <w:color w:val="auto"/>
                <w:sz w:val="24"/>
              </w:rPr>
              <w:t>①</w:t>
            </w:r>
            <w:r>
              <w:rPr>
                <w:bCs/>
                <w:color w:val="auto"/>
                <w:sz w:val="24"/>
              </w:rPr>
              <w:fldChar w:fldCharType="end"/>
            </w:r>
            <w:r>
              <w:rPr>
                <w:bCs/>
                <w:color w:val="auto"/>
                <w:sz w:val="24"/>
              </w:rPr>
              <w:t>除pH以外，其余评价因子的评价模式如下：</w:t>
            </w:r>
          </w:p>
          <w:p>
            <w:pPr>
              <w:spacing w:line="360" w:lineRule="auto"/>
              <w:ind w:firstLine="480" w:firstLineChars="200"/>
              <w:jc w:val="center"/>
              <w:rPr>
                <w:bCs/>
                <w:color w:val="auto"/>
                <w:sz w:val="24"/>
              </w:rPr>
            </w:pPr>
            <w:r>
              <w:rPr>
                <w:bCs/>
                <w:color w:val="auto"/>
                <w:sz w:val="24"/>
              </w:rPr>
              <w:t>Si，j=Ci，j/Csi</w:t>
            </w:r>
          </w:p>
          <w:p>
            <w:pPr>
              <w:spacing w:line="360" w:lineRule="auto"/>
              <w:ind w:firstLine="480" w:firstLineChars="200"/>
              <w:jc w:val="center"/>
              <w:rPr>
                <w:bCs/>
                <w:color w:val="auto"/>
                <w:sz w:val="24"/>
              </w:rPr>
            </w:pPr>
            <w:r>
              <w:rPr>
                <w:bCs/>
                <w:color w:val="auto"/>
                <w:sz w:val="24"/>
              </w:rPr>
              <w:t>式中：Si，j—评价因子i的水质指数，大于1表明该水质因子超标；</w:t>
            </w:r>
          </w:p>
          <w:p>
            <w:pPr>
              <w:spacing w:line="360" w:lineRule="auto"/>
              <w:ind w:firstLine="1920" w:firstLineChars="800"/>
              <w:rPr>
                <w:bCs/>
                <w:color w:val="auto"/>
                <w:sz w:val="24"/>
              </w:rPr>
            </w:pPr>
            <w:r>
              <w:rPr>
                <w:bCs/>
                <w:color w:val="auto"/>
                <w:sz w:val="24"/>
              </w:rPr>
              <w:t>Ci，j—评价因子i在j点的实测统计代表值，mg/L；</w:t>
            </w:r>
          </w:p>
          <w:p>
            <w:pPr>
              <w:spacing w:line="360" w:lineRule="auto"/>
              <w:ind w:firstLine="1920" w:firstLineChars="800"/>
              <w:rPr>
                <w:bCs/>
                <w:color w:val="auto"/>
                <w:sz w:val="24"/>
              </w:rPr>
            </w:pPr>
            <w:r>
              <w:rPr>
                <w:bCs/>
                <w:color w:val="auto"/>
                <w:sz w:val="24"/>
              </w:rPr>
              <w:t>Csi—评价因子i的水质评价标准限值，mg/L；</w:t>
            </w:r>
          </w:p>
          <w:p>
            <w:pPr>
              <w:spacing w:line="360" w:lineRule="auto"/>
              <w:ind w:firstLine="480" w:firstLineChars="200"/>
              <w:rPr>
                <w:bCs/>
                <w:color w:val="auto"/>
                <w:sz w:val="24"/>
              </w:rPr>
            </w:pPr>
            <w:r>
              <w:rPr>
                <w:bCs/>
                <w:color w:val="auto"/>
                <w:sz w:val="24"/>
              </w:rPr>
              <w:fldChar w:fldCharType="begin"/>
            </w:r>
            <w:r>
              <w:rPr>
                <w:bCs/>
                <w:color w:val="auto"/>
                <w:sz w:val="24"/>
              </w:rPr>
              <w:instrText xml:space="preserve"> = 2 \* GB3 </w:instrText>
            </w:r>
            <w:r>
              <w:rPr>
                <w:bCs/>
                <w:color w:val="auto"/>
                <w:sz w:val="24"/>
              </w:rPr>
              <w:fldChar w:fldCharType="separate"/>
            </w:r>
            <w:r>
              <w:rPr>
                <w:bCs/>
                <w:color w:val="auto"/>
                <w:sz w:val="24"/>
              </w:rPr>
              <w:t>②</w:t>
            </w:r>
            <w:r>
              <w:rPr>
                <w:bCs/>
                <w:color w:val="auto"/>
                <w:sz w:val="24"/>
              </w:rPr>
              <w:fldChar w:fldCharType="end"/>
            </w:r>
            <w:r>
              <w:rPr>
                <w:bCs/>
                <w:color w:val="auto"/>
                <w:sz w:val="24"/>
              </w:rPr>
              <w:t xml:space="preserve"> pH评价模式为：</w:t>
            </w:r>
          </w:p>
          <w:p>
            <w:pPr>
              <w:spacing w:line="360" w:lineRule="auto"/>
              <w:ind w:firstLine="480" w:firstLineChars="200"/>
              <w:jc w:val="center"/>
              <w:rPr>
                <w:bCs/>
                <w:color w:val="auto"/>
                <w:sz w:val="24"/>
              </w:rPr>
            </w:pPr>
            <w:r>
              <w:rPr>
                <w:bCs/>
                <w:color w:val="auto"/>
                <w:sz w:val="24"/>
              </w:rPr>
              <w:t>SpH,j＝（pHj-7.0）/（pHsu -7.0）    pHj＞7.0</w:t>
            </w:r>
          </w:p>
          <w:p>
            <w:pPr>
              <w:spacing w:line="360" w:lineRule="auto"/>
              <w:ind w:firstLine="480" w:firstLineChars="200"/>
              <w:jc w:val="center"/>
              <w:rPr>
                <w:bCs/>
                <w:color w:val="auto"/>
                <w:sz w:val="24"/>
              </w:rPr>
            </w:pPr>
            <w:r>
              <w:rPr>
                <w:bCs/>
                <w:color w:val="auto"/>
                <w:sz w:val="24"/>
              </w:rPr>
              <w:t>SpH,j＝（7.0-pHj）/（7.0-pHsd ）    pHj≤7.0</w:t>
            </w:r>
          </w:p>
          <w:p>
            <w:pPr>
              <w:spacing w:line="360" w:lineRule="auto"/>
              <w:ind w:firstLine="480" w:firstLineChars="200"/>
              <w:jc w:val="center"/>
              <w:rPr>
                <w:bCs/>
                <w:color w:val="auto"/>
                <w:sz w:val="24"/>
              </w:rPr>
            </w:pPr>
            <w:r>
              <w:rPr>
                <w:bCs/>
                <w:color w:val="auto"/>
                <w:sz w:val="24"/>
              </w:rPr>
              <w:t>式中：SpH,j－pH值的指数，大于1表明该水质因子超标；</w:t>
            </w:r>
          </w:p>
          <w:p>
            <w:pPr>
              <w:spacing w:line="360" w:lineRule="auto"/>
              <w:ind w:firstLine="2520" w:firstLineChars="1050"/>
              <w:rPr>
                <w:bCs/>
                <w:color w:val="auto"/>
                <w:sz w:val="24"/>
              </w:rPr>
            </w:pPr>
            <w:r>
              <w:rPr>
                <w:bCs/>
                <w:color w:val="auto"/>
                <w:sz w:val="24"/>
              </w:rPr>
              <w:t>pHj－PH值实测统计代表值；</w:t>
            </w:r>
          </w:p>
          <w:p>
            <w:pPr>
              <w:spacing w:line="360" w:lineRule="auto"/>
              <w:ind w:firstLine="2520" w:firstLineChars="1050"/>
              <w:rPr>
                <w:bCs/>
                <w:color w:val="auto"/>
                <w:sz w:val="24"/>
              </w:rPr>
            </w:pPr>
            <w:r>
              <w:rPr>
                <w:bCs/>
                <w:color w:val="auto"/>
                <w:sz w:val="24"/>
              </w:rPr>
              <w:t>pHsd－评价标准pH值的下限值；</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color w:val="auto"/>
                <w:sz w:val="24"/>
                <w:szCs w:val="24"/>
                <w:highlight w:val="none"/>
                <w:lang w:val="en-US" w:eastAsia="zh-CN"/>
              </w:rPr>
            </w:pPr>
            <w:r>
              <w:rPr>
                <w:bCs/>
                <w:color w:val="auto"/>
                <w:sz w:val="24"/>
              </w:rPr>
              <w:t>pHsu－评价标准pH值的上限值。</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3</w:t>
            </w:r>
            <w:r>
              <w:rPr>
                <w:rFonts w:hint="eastAsia" w:ascii="Times New Roman" w:hAnsi="Times New Roman" w:cs="Times New Roman"/>
                <w:color w:val="auto"/>
                <w:sz w:val="24"/>
                <w:szCs w:val="24"/>
                <w:highlight w:val="none"/>
                <w:lang w:val="en-US" w:eastAsia="zh-CN"/>
              </w:rPr>
              <w:t>）监测结果</w:t>
            </w:r>
          </w:p>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表3-3 地表水环境质量一览表  单位：mg/L</w:t>
            </w:r>
          </w:p>
          <w:tbl>
            <w:tblPr>
              <w:tblStyle w:val="16"/>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1329"/>
              <w:gridCol w:w="1329"/>
              <w:gridCol w:w="1329"/>
              <w:gridCol w:w="1329"/>
              <w:gridCol w:w="1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断面</w:t>
                  </w:r>
                </w:p>
              </w:tc>
              <w:tc>
                <w:tcPr>
                  <w:tcW w:w="1329"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监测项目</w:t>
                  </w:r>
                </w:p>
              </w:tc>
              <w:tc>
                <w:tcPr>
                  <w:tcW w:w="1329"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标准限值</w:t>
                  </w:r>
                </w:p>
              </w:tc>
              <w:tc>
                <w:tcPr>
                  <w:tcW w:w="1329"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浓度值</w:t>
                  </w:r>
                </w:p>
              </w:tc>
              <w:tc>
                <w:tcPr>
                  <w:tcW w:w="1329"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标准指数</w:t>
                  </w:r>
                </w:p>
              </w:tc>
              <w:tc>
                <w:tcPr>
                  <w:tcW w:w="1329"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vMerge w:val="restart"/>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4"/>
                      <w:szCs w:val="24"/>
                      <w:highlight w:val="none"/>
                      <w:lang w:val="en-US" w:eastAsia="zh-CN"/>
                    </w:rPr>
                    <w:t>观测滩水库坝址</w:t>
                  </w:r>
                </w:p>
              </w:tc>
              <w:tc>
                <w:tcPr>
                  <w:tcW w:w="1329"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pH</w:t>
                  </w:r>
                </w:p>
              </w:tc>
              <w:tc>
                <w:tcPr>
                  <w:tcW w:w="1329"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6~9</w:t>
                  </w:r>
                </w:p>
              </w:tc>
              <w:tc>
                <w:tcPr>
                  <w:tcW w:w="1329"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7.31~7.35</w:t>
                  </w:r>
                </w:p>
              </w:tc>
              <w:tc>
                <w:tcPr>
                  <w:tcW w:w="1329"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0.175</w:t>
                  </w:r>
                </w:p>
              </w:tc>
              <w:tc>
                <w:tcPr>
                  <w:tcW w:w="1329"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vMerge w:val="continue"/>
                  <w:vAlign w:val="center"/>
                </w:tcPr>
                <w:p>
                  <w:pPr>
                    <w:spacing w:line="240" w:lineRule="auto"/>
                    <w:jc w:val="center"/>
                    <w:rPr>
                      <w:rFonts w:hint="eastAsia" w:ascii="Times New Roman" w:hAnsi="Times New Roman" w:eastAsia="宋体" w:cs="Times New Roman"/>
                      <w:color w:val="auto"/>
                      <w:sz w:val="21"/>
                      <w:szCs w:val="21"/>
                      <w:highlight w:val="none"/>
                      <w:lang w:val="en-US" w:eastAsia="zh-CN"/>
                    </w:rPr>
                  </w:pPr>
                </w:p>
              </w:tc>
              <w:tc>
                <w:tcPr>
                  <w:tcW w:w="1329"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COD</w:t>
                  </w:r>
                </w:p>
              </w:tc>
              <w:tc>
                <w:tcPr>
                  <w:tcW w:w="1329"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1329"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17~18</w:t>
                  </w:r>
                </w:p>
              </w:tc>
              <w:tc>
                <w:tcPr>
                  <w:tcW w:w="1329"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0.9</w:t>
                  </w:r>
                </w:p>
              </w:tc>
              <w:tc>
                <w:tcPr>
                  <w:tcW w:w="1329" w:type="dxa"/>
                  <w:vAlign w:val="center"/>
                </w:tcPr>
                <w:p>
                  <w:pPr>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vMerge w:val="continue"/>
                  <w:vAlign w:val="center"/>
                </w:tcPr>
                <w:p>
                  <w:pPr>
                    <w:spacing w:line="240" w:lineRule="auto"/>
                    <w:jc w:val="center"/>
                    <w:rPr>
                      <w:rFonts w:hint="eastAsia" w:ascii="Times New Roman" w:hAnsi="Times New Roman" w:eastAsia="宋体" w:cs="Times New Roman"/>
                      <w:color w:val="auto"/>
                      <w:sz w:val="21"/>
                      <w:szCs w:val="21"/>
                      <w:highlight w:val="none"/>
                      <w:lang w:val="en-US" w:eastAsia="zh-CN"/>
                    </w:rPr>
                  </w:pPr>
                </w:p>
              </w:tc>
              <w:tc>
                <w:tcPr>
                  <w:tcW w:w="1329" w:type="dxa"/>
                  <w:vAlign w:val="center"/>
                </w:tcPr>
                <w:p>
                  <w:pPr>
                    <w:spacing w:line="240" w:lineRule="auto"/>
                    <w:jc w:val="center"/>
                    <w:rPr>
                      <w:rFonts w:hint="default" w:ascii="Times New Roman" w:hAnsi="Times New Roman" w:eastAsia="宋体" w:cs="Times New Roman"/>
                      <w:color w:val="auto"/>
                      <w:sz w:val="21"/>
                      <w:szCs w:val="21"/>
                      <w:highlight w:val="none"/>
                      <w:vertAlign w:val="subscript"/>
                      <w:lang w:val="en-US" w:eastAsia="zh-CN"/>
                    </w:rPr>
                  </w:pPr>
                  <w:r>
                    <w:rPr>
                      <w:rFonts w:hint="eastAsia" w:ascii="Times New Roman" w:hAnsi="Times New Roman" w:eastAsia="宋体" w:cs="Times New Roman"/>
                      <w:color w:val="auto"/>
                      <w:sz w:val="21"/>
                      <w:szCs w:val="21"/>
                      <w:highlight w:val="none"/>
                      <w:lang w:val="en-US" w:eastAsia="zh-CN"/>
                    </w:rPr>
                    <w:t>BOD</w:t>
                  </w:r>
                  <w:r>
                    <w:rPr>
                      <w:rFonts w:hint="eastAsia" w:ascii="Times New Roman" w:hAnsi="Times New Roman" w:eastAsia="宋体" w:cs="Times New Roman"/>
                      <w:color w:val="auto"/>
                      <w:sz w:val="21"/>
                      <w:szCs w:val="21"/>
                      <w:highlight w:val="none"/>
                      <w:vertAlign w:val="subscript"/>
                      <w:lang w:val="en-US" w:eastAsia="zh-CN"/>
                    </w:rPr>
                    <w:t>5</w:t>
                  </w:r>
                </w:p>
              </w:tc>
              <w:tc>
                <w:tcPr>
                  <w:tcW w:w="1329"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c>
                <w:tcPr>
                  <w:tcW w:w="1329"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3.0~3.3</w:t>
                  </w:r>
                </w:p>
              </w:tc>
              <w:tc>
                <w:tcPr>
                  <w:tcW w:w="1329"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0.825</w:t>
                  </w:r>
                </w:p>
              </w:tc>
              <w:tc>
                <w:tcPr>
                  <w:tcW w:w="1329" w:type="dxa"/>
                  <w:vAlign w:val="center"/>
                </w:tcPr>
                <w:p>
                  <w:pPr>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vMerge w:val="continue"/>
                  <w:vAlign w:val="center"/>
                </w:tcPr>
                <w:p>
                  <w:pPr>
                    <w:spacing w:line="240" w:lineRule="auto"/>
                    <w:jc w:val="center"/>
                    <w:rPr>
                      <w:rFonts w:hint="eastAsia" w:ascii="Times New Roman" w:hAnsi="Times New Roman" w:eastAsia="宋体" w:cs="Times New Roman"/>
                      <w:color w:val="auto"/>
                      <w:sz w:val="21"/>
                      <w:szCs w:val="21"/>
                      <w:highlight w:val="none"/>
                      <w:lang w:val="en-US" w:eastAsia="zh-CN"/>
                    </w:rPr>
                  </w:pPr>
                </w:p>
              </w:tc>
              <w:tc>
                <w:tcPr>
                  <w:tcW w:w="1329" w:type="dxa"/>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氨氮</w:t>
                  </w:r>
                </w:p>
              </w:tc>
              <w:tc>
                <w:tcPr>
                  <w:tcW w:w="1329" w:type="dxa"/>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.0</w:t>
                  </w:r>
                </w:p>
              </w:tc>
              <w:tc>
                <w:tcPr>
                  <w:tcW w:w="1329"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0.356~0.377</w:t>
                  </w:r>
                </w:p>
              </w:tc>
              <w:tc>
                <w:tcPr>
                  <w:tcW w:w="1329"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0.377</w:t>
                  </w:r>
                </w:p>
              </w:tc>
              <w:tc>
                <w:tcPr>
                  <w:tcW w:w="1329" w:type="dxa"/>
                  <w:vAlign w:val="center"/>
                </w:tcPr>
                <w:p>
                  <w:pPr>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vMerge w:val="continue"/>
                  <w:vAlign w:val="center"/>
                </w:tcPr>
                <w:p>
                  <w:pPr>
                    <w:spacing w:line="240" w:lineRule="auto"/>
                    <w:jc w:val="center"/>
                    <w:rPr>
                      <w:rFonts w:hint="eastAsia" w:ascii="Times New Roman" w:hAnsi="Times New Roman" w:eastAsia="宋体" w:cs="Times New Roman"/>
                      <w:color w:val="auto"/>
                      <w:sz w:val="21"/>
                      <w:szCs w:val="21"/>
                      <w:highlight w:val="none"/>
                      <w:lang w:val="en-US" w:eastAsia="zh-CN"/>
                    </w:rPr>
                  </w:pPr>
                </w:p>
              </w:tc>
              <w:tc>
                <w:tcPr>
                  <w:tcW w:w="1329"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TP</w:t>
                  </w:r>
                </w:p>
              </w:tc>
              <w:tc>
                <w:tcPr>
                  <w:tcW w:w="1329"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w:t>
                  </w:r>
                </w:p>
              </w:tc>
              <w:tc>
                <w:tcPr>
                  <w:tcW w:w="1329"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0.174~0.185</w:t>
                  </w:r>
                </w:p>
              </w:tc>
              <w:tc>
                <w:tcPr>
                  <w:tcW w:w="1329"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0.925</w:t>
                  </w:r>
                </w:p>
              </w:tc>
              <w:tc>
                <w:tcPr>
                  <w:tcW w:w="1329" w:type="dxa"/>
                  <w:vAlign w:val="center"/>
                </w:tcPr>
                <w:p>
                  <w:pPr>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vMerge w:val="continue"/>
                  <w:vAlign w:val="center"/>
                </w:tcPr>
                <w:p>
                  <w:pPr>
                    <w:spacing w:line="240" w:lineRule="auto"/>
                    <w:jc w:val="center"/>
                    <w:rPr>
                      <w:rFonts w:hint="eastAsia" w:ascii="Times New Roman" w:hAnsi="Times New Roman" w:eastAsia="宋体" w:cs="Times New Roman"/>
                      <w:color w:val="auto"/>
                      <w:sz w:val="21"/>
                      <w:szCs w:val="21"/>
                      <w:highlight w:val="none"/>
                      <w:lang w:val="en-US" w:eastAsia="zh-CN"/>
                    </w:rPr>
                  </w:pPr>
                </w:p>
              </w:tc>
              <w:tc>
                <w:tcPr>
                  <w:tcW w:w="1329" w:type="dxa"/>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石油类</w:t>
                  </w:r>
                </w:p>
              </w:tc>
              <w:tc>
                <w:tcPr>
                  <w:tcW w:w="1329" w:type="dxa"/>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05</w:t>
                  </w:r>
                </w:p>
              </w:tc>
              <w:tc>
                <w:tcPr>
                  <w:tcW w:w="1329"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0.01L</w:t>
                  </w:r>
                </w:p>
              </w:tc>
              <w:tc>
                <w:tcPr>
                  <w:tcW w:w="1329"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329" w:type="dxa"/>
                  <w:vAlign w:val="center"/>
                </w:tcPr>
                <w:p>
                  <w:pPr>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bl>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color w:val="auto"/>
                <w:sz w:val="24"/>
                <w:szCs w:val="24"/>
                <w:highlight w:val="none"/>
                <w:lang w:val="en-US" w:eastAsia="zh-CN"/>
              </w:rPr>
            </w:pPr>
            <w:r>
              <w:rPr>
                <w:rFonts w:hint="eastAsia"/>
                <w:color w:val="auto"/>
                <w:kern w:val="0"/>
                <w:sz w:val="24"/>
              </w:rPr>
              <w:t>从</w:t>
            </w:r>
            <w:r>
              <w:rPr>
                <w:rFonts w:hint="default" w:ascii="Times New Roman" w:hAnsi="Times New Roman" w:cs="Times New Roman"/>
                <w:color w:val="auto"/>
                <w:kern w:val="0"/>
                <w:sz w:val="24"/>
              </w:rPr>
              <w:t>上表中的监测和评价结果可以看出，监测断面监测因子标准指数均小于1，满足《地表水环境质量标准》（GB3838-2002）</w:t>
            </w:r>
            <w:r>
              <w:rPr>
                <w:rFonts w:hint="default" w:ascii="Times New Roman" w:hAnsi="Times New Roman" w:eastAsia="宋体" w:cs="Times New Roman"/>
                <w:color w:val="auto"/>
                <w:sz w:val="24"/>
                <w:szCs w:val="24"/>
                <w:highlight w:val="none"/>
                <w:lang w:val="en-US" w:eastAsia="zh-CN"/>
              </w:rPr>
              <w:t>Ⅲ</w:t>
            </w:r>
            <w:r>
              <w:rPr>
                <w:rFonts w:hint="default" w:ascii="Times New Roman" w:hAnsi="Times New Roman" w:cs="Times New Roman"/>
                <w:color w:val="auto"/>
                <w:kern w:val="0"/>
                <w:sz w:val="24"/>
              </w:rPr>
              <w:t>类水域水质标准的要求。</w:t>
            </w:r>
            <w:r>
              <w:rPr>
                <w:rFonts w:hint="eastAsia" w:ascii="Times New Roman" w:hAnsi="Times New Roman" w:eastAsia="宋体" w:cs="Times New Roman"/>
                <w:color w:val="auto"/>
                <w:sz w:val="24"/>
                <w:szCs w:val="24"/>
                <w:highlight w:val="none"/>
                <w:lang w:val="en-US" w:eastAsia="zh-CN"/>
              </w:rPr>
              <w:t>项目所在区域地表水环境质量现状较好，不会制约本项目的建设。</w:t>
            </w:r>
          </w:p>
          <w:p>
            <w:pPr>
              <w:keepNext w:val="0"/>
              <w:keepLines w:val="0"/>
              <w:suppressLineNumbers w:val="0"/>
              <w:spacing w:before="0" w:beforeAutospacing="0" w:after="0" w:afterAutospacing="0" w:line="360" w:lineRule="auto"/>
              <w:ind w:left="0" w:right="0" w:firstLine="482" w:firstLineChars="200"/>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3.3 声环境质量现状</w:t>
            </w:r>
          </w:p>
          <w:p>
            <w:pPr>
              <w:keepNext w:val="0"/>
              <w:keepLines w:val="0"/>
              <w:suppressLineNumbers w:val="0"/>
              <w:spacing w:before="0" w:beforeAutospacing="0" w:after="0" w:afterAutospacing="0" w:line="360" w:lineRule="auto"/>
              <w:ind w:left="0" w:right="0" w:firstLine="480" w:firstLineChars="200"/>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本项目位于</w:t>
            </w:r>
            <w:r>
              <w:rPr>
                <w:rFonts w:hint="eastAsia"/>
                <w:color w:val="auto"/>
                <w:sz w:val="24"/>
                <w:highlight w:val="none"/>
              </w:rPr>
              <w:t>重庆市</w:t>
            </w:r>
            <w:r>
              <w:rPr>
                <w:rFonts w:hint="eastAsia"/>
                <w:color w:val="auto"/>
                <w:sz w:val="24"/>
                <w:highlight w:val="none"/>
                <w:lang w:val="en-US" w:eastAsia="zh-CN"/>
              </w:rPr>
              <w:t>铜梁</w:t>
            </w:r>
            <w:r>
              <w:rPr>
                <w:rFonts w:hint="eastAsia"/>
                <w:color w:val="auto"/>
                <w:sz w:val="24"/>
                <w:highlight w:val="none"/>
              </w:rPr>
              <w:t>区</w:t>
            </w:r>
            <w:r>
              <w:rPr>
                <w:rFonts w:hint="eastAsia"/>
                <w:color w:val="auto"/>
                <w:sz w:val="24"/>
                <w:highlight w:val="none"/>
                <w:lang w:val="en-US" w:eastAsia="zh-CN"/>
              </w:rPr>
              <w:t>侣俸镇工业园区创业路2号</w:t>
            </w:r>
            <w:r>
              <w:rPr>
                <w:rFonts w:hint="eastAsia" w:cs="Times New Roman"/>
                <w:color w:val="auto"/>
                <w:sz w:val="24"/>
                <w:szCs w:val="24"/>
                <w:highlight w:val="none"/>
                <w:lang w:val="en-US" w:eastAsia="zh-CN"/>
              </w:rPr>
              <w:t>，项目北侧为省道S302铜延线，属于交通干线，故项目北侧属于</w:t>
            </w:r>
            <w:r>
              <w:rPr>
                <w:rFonts w:hint="eastAsia"/>
                <w:color w:val="auto"/>
                <w:kern w:val="0"/>
                <w:sz w:val="24"/>
                <w:highlight w:val="none"/>
                <w:lang w:val="en-US" w:eastAsia="zh-CN"/>
              </w:rPr>
              <w:t>《声环境质量标准》（GB3096-2008）4a类声环境功能区，</w:t>
            </w:r>
            <w:r>
              <w:rPr>
                <w:rFonts w:hint="eastAsia" w:cs="Times New Roman"/>
                <w:color w:val="auto"/>
                <w:sz w:val="24"/>
                <w:szCs w:val="24"/>
                <w:highlight w:val="none"/>
                <w:lang w:val="en-US" w:eastAsia="zh-CN"/>
              </w:rPr>
              <w:t>西侧居民点处属于</w:t>
            </w:r>
            <w:r>
              <w:rPr>
                <w:rFonts w:hint="eastAsia"/>
                <w:color w:val="auto"/>
                <w:kern w:val="0"/>
                <w:sz w:val="24"/>
                <w:highlight w:val="none"/>
                <w:lang w:val="en-US" w:eastAsia="zh-CN"/>
              </w:rPr>
              <w:t>《声环境质量标准》（GB3096-2008）2类声环境功能区，执行《声环境质量标准》（GB3096-2008）中2类标准。</w:t>
            </w:r>
          </w:p>
          <w:p>
            <w:pPr>
              <w:spacing w:line="360" w:lineRule="auto"/>
              <w:ind w:firstLine="480" w:firstLineChars="200"/>
              <w:rPr>
                <w:rFonts w:hint="eastAsia"/>
                <w:color w:val="auto"/>
                <w:kern w:val="0"/>
                <w:sz w:val="24"/>
                <w:highlight w:val="none"/>
                <w:lang w:val="en-US" w:eastAsia="zh-CN"/>
              </w:rPr>
            </w:pPr>
            <w:r>
              <w:rPr>
                <w:rFonts w:hint="eastAsia"/>
                <w:color w:val="auto"/>
                <w:kern w:val="0"/>
                <w:sz w:val="24"/>
                <w:highlight w:val="none"/>
                <w:lang w:val="en-US" w:eastAsia="zh-CN"/>
              </w:rPr>
              <w:t>项目周边50m范围内有声环境保护目标，根据《建设项目环境影响报告表编制技术指南》，本次评价对厂界外50m范围内环境敏感目标处的环境噪声进行现状监测，监测及评价情况如下：</w:t>
            </w:r>
          </w:p>
          <w:p>
            <w:pPr>
              <w:spacing w:line="360" w:lineRule="auto"/>
              <w:ind w:firstLine="480" w:firstLineChars="200"/>
              <w:rPr>
                <w:rFonts w:hint="default"/>
                <w:color w:val="auto"/>
                <w:kern w:val="0"/>
                <w:sz w:val="24"/>
                <w:highlight w:val="none"/>
                <w:lang w:val="en-US" w:eastAsia="zh-CN"/>
              </w:rPr>
            </w:pPr>
            <w:r>
              <w:rPr>
                <w:rFonts w:hint="eastAsia"/>
                <w:color w:val="auto"/>
                <w:kern w:val="0"/>
                <w:sz w:val="24"/>
                <w:highlight w:val="none"/>
                <w:lang w:val="en-US" w:eastAsia="zh-CN"/>
              </w:rPr>
              <w:t>监测点位：1#点位于项目西南侧约40m居民处，2#点位于项目北侧约29m居民处；</w:t>
            </w:r>
          </w:p>
          <w:p>
            <w:pPr>
              <w:spacing w:line="360" w:lineRule="auto"/>
              <w:ind w:firstLine="480" w:firstLineChars="200"/>
              <w:rPr>
                <w:rFonts w:hint="default"/>
                <w:color w:val="auto"/>
                <w:kern w:val="0"/>
                <w:sz w:val="24"/>
                <w:highlight w:val="none"/>
                <w:lang w:val="en-US" w:eastAsia="zh-CN"/>
              </w:rPr>
            </w:pPr>
            <w:r>
              <w:rPr>
                <w:rFonts w:hint="eastAsia"/>
                <w:color w:val="auto"/>
                <w:kern w:val="0"/>
                <w:sz w:val="24"/>
                <w:highlight w:val="none"/>
                <w:lang w:val="en-US" w:eastAsia="zh-CN"/>
              </w:rPr>
              <w:t>监测项目：连续等效A声级；</w:t>
            </w:r>
          </w:p>
          <w:p>
            <w:pPr>
              <w:spacing w:line="360" w:lineRule="auto"/>
              <w:ind w:firstLine="480" w:firstLineChars="200"/>
              <w:rPr>
                <w:rFonts w:hint="default"/>
                <w:color w:val="auto"/>
                <w:kern w:val="0"/>
                <w:sz w:val="24"/>
                <w:highlight w:val="none"/>
                <w:lang w:val="en-US" w:eastAsia="zh-CN"/>
              </w:rPr>
            </w:pPr>
            <w:r>
              <w:rPr>
                <w:rFonts w:hint="eastAsia"/>
                <w:color w:val="auto"/>
                <w:kern w:val="0"/>
                <w:sz w:val="24"/>
                <w:highlight w:val="none"/>
                <w:lang w:val="en-US" w:eastAsia="zh-CN"/>
              </w:rPr>
              <w:t>监测频率：监测2天，昼、夜间各监测一次；</w:t>
            </w:r>
          </w:p>
          <w:p>
            <w:pPr>
              <w:spacing w:line="360" w:lineRule="auto"/>
              <w:ind w:firstLine="480" w:firstLineChars="200"/>
              <w:rPr>
                <w:rFonts w:hint="default"/>
                <w:color w:val="auto"/>
                <w:kern w:val="0"/>
                <w:sz w:val="24"/>
                <w:highlight w:val="none"/>
                <w:lang w:val="en-US" w:eastAsia="zh-CN"/>
              </w:rPr>
            </w:pPr>
            <w:r>
              <w:rPr>
                <w:rFonts w:hint="eastAsia"/>
                <w:color w:val="auto"/>
                <w:kern w:val="0"/>
                <w:sz w:val="24"/>
                <w:highlight w:val="none"/>
                <w:lang w:val="en-US" w:eastAsia="zh-CN"/>
              </w:rPr>
              <w:t>监测时间：2023年3月23日~2023年3月24日；</w:t>
            </w:r>
          </w:p>
          <w:p>
            <w:pPr>
              <w:spacing w:line="360" w:lineRule="auto"/>
              <w:ind w:firstLine="480" w:firstLineChars="200"/>
              <w:rPr>
                <w:rFonts w:hint="default"/>
                <w:color w:val="auto"/>
                <w:kern w:val="0"/>
                <w:sz w:val="24"/>
                <w:highlight w:val="none"/>
                <w:lang w:val="en-US" w:eastAsia="zh-CN"/>
              </w:rPr>
            </w:pPr>
            <w:r>
              <w:rPr>
                <w:rFonts w:hint="eastAsia"/>
                <w:color w:val="auto"/>
                <w:kern w:val="0"/>
                <w:sz w:val="24"/>
                <w:highlight w:val="none"/>
                <w:lang w:val="en-US" w:eastAsia="zh-CN"/>
              </w:rPr>
              <w:t>评价方法：采用与《声环境质量标准》（GB3096-2008）直接比较的方法；</w:t>
            </w:r>
          </w:p>
          <w:p>
            <w:pPr>
              <w:spacing w:line="360" w:lineRule="auto"/>
              <w:ind w:firstLine="480" w:firstLineChars="200"/>
              <w:rPr>
                <w:rFonts w:hint="default"/>
                <w:color w:val="auto"/>
                <w:kern w:val="0"/>
                <w:sz w:val="24"/>
                <w:highlight w:val="none"/>
                <w:lang w:val="en-US" w:eastAsia="zh-CN"/>
              </w:rPr>
            </w:pPr>
            <w:r>
              <w:rPr>
                <w:rFonts w:hint="eastAsia"/>
                <w:color w:val="auto"/>
                <w:kern w:val="0"/>
                <w:sz w:val="24"/>
                <w:highlight w:val="none"/>
                <w:lang w:val="en-US" w:eastAsia="zh-CN"/>
              </w:rPr>
              <w:t>监测结果详见下表。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color w:val="auto"/>
                <w:kern w:val="0"/>
                <w:sz w:val="24"/>
                <w:highlight w:val="none"/>
                <w:lang w:val="en-US" w:eastAsia="zh-CN"/>
              </w:rPr>
            </w:pPr>
            <w:r>
              <w:rPr>
                <w:rFonts w:hint="eastAsia"/>
                <w:color w:val="auto"/>
                <w:kern w:val="0"/>
                <w:sz w:val="24"/>
                <w:highlight w:val="none"/>
                <w:lang w:val="en-US" w:eastAsia="zh-CN"/>
              </w:rPr>
              <w:t>表3-4 环境噪声监测结果一览表  单位：dB（A）</w:t>
            </w:r>
          </w:p>
          <w:tbl>
            <w:tblPr>
              <w:tblStyle w:val="16"/>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7"/>
              <w:gridCol w:w="1164"/>
              <w:gridCol w:w="1500"/>
              <w:gridCol w:w="1341"/>
              <w:gridCol w:w="1342"/>
              <w:gridCol w:w="1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restart"/>
                  <w:vAlign w:val="center"/>
                </w:tcPr>
                <w:p>
                  <w:pPr>
                    <w:spacing w:line="240" w:lineRule="auto"/>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监测点位</w:t>
                  </w:r>
                </w:p>
              </w:tc>
              <w:tc>
                <w:tcPr>
                  <w:tcW w:w="1164" w:type="dxa"/>
                  <w:vMerge w:val="restart"/>
                  <w:vAlign w:val="center"/>
                </w:tcPr>
                <w:p>
                  <w:pPr>
                    <w:spacing w:line="240" w:lineRule="auto"/>
                    <w:jc w:val="center"/>
                    <w:rPr>
                      <w:rFonts w:hint="default"/>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监测时间</w:t>
                  </w:r>
                </w:p>
              </w:tc>
              <w:tc>
                <w:tcPr>
                  <w:tcW w:w="2841" w:type="dxa"/>
                  <w:gridSpan w:val="2"/>
                  <w:vAlign w:val="center"/>
                </w:tcPr>
                <w:p>
                  <w:pPr>
                    <w:spacing w:line="240" w:lineRule="auto"/>
                    <w:jc w:val="center"/>
                    <w:rPr>
                      <w:rFonts w:hint="eastAsia"/>
                      <w:color w:val="auto"/>
                      <w:kern w:val="0"/>
                      <w:sz w:val="21"/>
                      <w:szCs w:val="21"/>
                      <w:highlight w:val="none"/>
                      <w:lang w:val="en-US" w:eastAsia="zh-CN"/>
                    </w:rPr>
                  </w:pPr>
                  <w:r>
                    <w:rPr>
                      <w:rFonts w:hint="eastAsia"/>
                      <w:color w:val="auto"/>
                      <w:kern w:val="0"/>
                      <w:sz w:val="21"/>
                      <w:szCs w:val="21"/>
                      <w:highlight w:val="none"/>
                      <w:vertAlign w:val="baseline"/>
                      <w:lang w:val="en-US" w:eastAsia="zh-CN"/>
                    </w:rPr>
                    <w:t>监测结果</w:t>
                  </w:r>
                </w:p>
              </w:tc>
              <w:tc>
                <w:tcPr>
                  <w:tcW w:w="2682" w:type="dxa"/>
                  <w:gridSpan w:val="2"/>
                  <w:vAlign w:val="center"/>
                </w:tcPr>
                <w:p>
                  <w:pPr>
                    <w:spacing w:line="240" w:lineRule="auto"/>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spacing w:line="240" w:lineRule="auto"/>
                    <w:jc w:val="center"/>
                    <w:rPr>
                      <w:rFonts w:hint="eastAsia"/>
                      <w:color w:val="auto"/>
                      <w:kern w:val="0"/>
                      <w:sz w:val="21"/>
                      <w:szCs w:val="21"/>
                      <w:highlight w:val="none"/>
                      <w:lang w:val="en-US" w:eastAsia="zh-CN"/>
                    </w:rPr>
                  </w:pPr>
                </w:p>
              </w:tc>
              <w:tc>
                <w:tcPr>
                  <w:tcW w:w="1164" w:type="dxa"/>
                  <w:vMerge w:val="continue"/>
                  <w:vAlign w:val="center"/>
                </w:tcPr>
                <w:p>
                  <w:pPr>
                    <w:spacing w:line="240" w:lineRule="auto"/>
                    <w:jc w:val="center"/>
                    <w:rPr>
                      <w:rFonts w:hint="eastAsia"/>
                      <w:color w:val="auto"/>
                      <w:kern w:val="0"/>
                      <w:sz w:val="21"/>
                      <w:szCs w:val="21"/>
                      <w:highlight w:val="none"/>
                      <w:vertAlign w:val="baseline"/>
                      <w:lang w:val="en-US" w:eastAsia="zh-CN"/>
                    </w:rPr>
                  </w:pPr>
                </w:p>
              </w:tc>
              <w:tc>
                <w:tcPr>
                  <w:tcW w:w="1500" w:type="dxa"/>
                  <w:vAlign w:val="center"/>
                </w:tcPr>
                <w:p>
                  <w:pPr>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昼间</w:t>
                  </w:r>
                </w:p>
              </w:tc>
              <w:tc>
                <w:tcPr>
                  <w:tcW w:w="1341" w:type="dxa"/>
                  <w:vAlign w:val="center"/>
                </w:tcPr>
                <w:p>
                  <w:pPr>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夜间</w:t>
                  </w:r>
                </w:p>
              </w:tc>
              <w:tc>
                <w:tcPr>
                  <w:tcW w:w="1342" w:type="dxa"/>
                  <w:vAlign w:val="center"/>
                </w:tcPr>
                <w:p>
                  <w:pPr>
                    <w:spacing w:line="240" w:lineRule="auto"/>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昼间</w:t>
                  </w:r>
                </w:p>
              </w:tc>
              <w:tc>
                <w:tcPr>
                  <w:tcW w:w="1340" w:type="dxa"/>
                  <w:vAlign w:val="center"/>
                </w:tcPr>
                <w:p>
                  <w:pPr>
                    <w:spacing w:line="240" w:lineRule="auto"/>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restart"/>
                  <w:vAlign w:val="center"/>
                </w:tcPr>
                <w:p>
                  <w:pPr>
                    <w:spacing w:line="240" w:lineRule="auto"/>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1#项目西侧40m居民处</w:t>
                  </w:r>
                </w:p>
              </w:tc>
              <w:tc>
                <w:tcPr>
                  <w:tcW w:w="1164" w:type="dxa"/>
                  <w:vAlign w:val="center"/>
                </w:tcPr>
                <w:p>
                  <w:pPr>
                    <w:spacing w:line="240" w:lineRule="auto"/>
                    <w:jc w:val="center"/>
                    <w:rPr>
                      <w:rFonts w:hint="default"/>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2023.3.23</w:t>
                  </w:r>
                </w:p>
              </w:tc>
              <w:tc>
                <w:tcPr>
                  <w:tcW w:w="1500" w:type="dxa"/>
                  <w:vAlign w:val="center"/>
                </w:tcPr>
                <w:p>
                  <w:pPr>
                    <w:spacing w:line="240" w:lineRule="auto"/>
                    <w:jc w:val="center"/>
                    <w:rPr>
                      <w:rFonts w:hint="default"/>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52</w:t>
                  </w:r>
                </w:p>
              </w:tc>
              <w:tc>
                <w:tcPr>
                  <w:tcW w:w="1341" w:type="dxa"/>
                  <w:vAlign w:val="center"/>
                </w:tcPr>
                <w:p>
                  <w:pPr>
                    <w:spacing w:line="240" w:lineRule="auto"/>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42</w:t>
                  </w:r>
                </w:p>
              </w:tc>
              <w:tc>
                <w:tcPr>
                  <w:tcW w:w="1342" w:type="dxa"/>
                  <w:vMerge w:val="restart"/>
                  <w:vAlign w:val="center"/>
                </w:tcPr>
                <w:p>
                  <w:pPr>
                    <w:spacing w:line="240" w:lineRule="auto"/>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60</w:t>
                  </w:r>
                </w:p>
              </w:tc>
              <w:tc>
                <w:tcPr>
                  <w:tcW w:w="1340" w:type="dxa"/>
                  <w:vMerge w:val="restart"/>
                  <w:vAlign w:val="center"/>
                </w:tcPr>
                <w:p>
                  <w:pPr>
                    <w:spacing w:line="240" w:lineRule="auto"/>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spacing w:line="240" w:lineRule="auto"/>
                    <w:jc w:val="center"/>
                    <w:rPr>
                      <w:rFonts w:hint="eastAsia"/>
                      <w:color w:val="auto"/>
                      <w:kern w:val="0"/>
                      <w:sz w:val="21"/>
                      <w:szCs w:val="21"/>
                      <w:highlight w:val="none"/>
                      <w:lang w:val="en-US" w:eastAsia="zh-CN"/>
                    </w:rPr>
                  </w:pPr>
                </w:p>
              </w:tc>
              <w:tc>
                <w:tcPr>
                  <w:tcW w:w="1164" w:type="dxa"/>
                  <w:vAlign w:val="center"/>
                </w:tcPr>
                <w:p>
                  <w:pPr>
                    <w:spacing w:line="240" w:lineRule="auto"/>
                    <w:jc w:val="center"/>
                    <w:rPr>
                      <w:rFonts w:hint="default"/>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2023.3.24</w:t>
                  </w:r>
                </w:p>
              </w:tc>
              <w:tc>
                <w:tcPr>
                  <w:tcW w:w="1500" w:type="dxa"/>
                  <w:vAlign w:val="center"/>
                </w:tcPr>
                <w:p>
                  <w:pPr>
                    <w:spacing w:line="240" w:lineRule="auto"/>
                    <w:jc w:val="center"/>
                    <w:rPr>
                      <w:rFonts w:hint="default"/>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51</w:t>
                  </w:r>
                </w:p>
              </w:tc>
              <w:tc>
                <w:tcPr>
                  <w:tcW w:w="1341" w:type="dxa"/>
                  <w:vAlign w:val="center"/>
                </w:tcPr>
                <w:p>
                  <w:pPr>
                    <w:spacing w:line="240" w:lineRule="auto"/>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40</w:t>
                  </w:r>
                </w:p>
              </w:tc>
              <w:tc>
                <w:tcPr>
                  <w:tcW w:w="1342" w:type="dxa"/>
                  <w:vMerge w:val="continue"/>
                  <w:vAlign w:val="center"/>
                </w:tcPr>
                <w:p>
                  <w:pPr>
                    <w:spacing w:line="240" w:lineRule="auto"/>
                    <w:jc w:val="center"/>
                    <w:rPr>
                      <w:rFonts w:hint="eastAsia"/>
                      <w:color w:val="auto"/>
                      <w:kern w:val="0"/>
                      <w:sz w:val="21"/>
                      <w:szCs w:val="21"/>
                      <w:highlight w:val="none"/>
                      <w:lang w:val="en-US" w:eastAsia="zh-CN"/>
                    </w:rPr>
                  </w:pPr>
                </w:p>
              </w:tc>
              <w:tc>
                <w:tcPr>
                  <w:tcW w:w="1340" w:type="dxa"/>
                  <w:vMerge w:val="continue"/>
                  <w:vAlign w:val="center"/>
                </w:tcPr>
                <w:p>
                  <w:pPr>
                    <w:spacing w:line="240" w:lineRule="auto"/>
                    <w:jc w:val="center"/>
                    <w:rPr>
                      <w:rFonts w:hint="eastAsia"/>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restart"/>
                  <w:vAlign w:val="center"/>
                </w:tcPr>
                <w:p>
                  <w:pPr>
                    <w:spacing w:line="240" w:lineRule="auto"/>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2#项目北侧29m居民处</w:t>
                  </w:r>
                </w:p>
              </w:tc>
              <w:tc>
                <w:tcPr>
                  <w:tcW w:w="1164" w:type="dxa"/>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color w:val="auto"/>
                      <w:kern w:val="0"/>
                      <w:sz w:val="21"/>
                      <w:szCs w:val="21"/>
                      <w:highlight w:val="none"/>
                      <w:vertAlign w:val="baseline"/>
                      <w:lang w:val="en-US" w:eastAsia="zh-CN"/>
                    </w:rPr>
                    <w:t>2023.3.23</w:t>
                  </w:r>
                </w:p>
              </w:tc>
              <w:tc>
                <w:tcPr>
                  <w:tcW w:w="1500" w:type="dxa"/>
                  <w:vAlign w:val="center"/>
                </w:tcPr>
                <w:p>
                  <w:pPr>
                    <w:spacing w:line="240" w:lineRule="auto"/>
                    <w:jc w:val="center"/>
                    <w:rPr>
                      <w:rFonts w:hint="default"/>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57</w:t>
                  </w:r>
                </w:p>
              </w:tc>
              <w:tc>
                <w:tcPr>
                  <w:tcW w:w="1341" w:type="dxa"/>
                  <w:vAlign w:val="center"/>
                </w:tcPr>
                <w:p>
                  <w:pPr>
                    <w:spacing w:line="240" w:lineRule="auto"/>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48</w:t>
                  </w:r>
                </w:p>
              </w:tc>
              <w:tc>
                <w:tcPr>
                  <w:tcW w:w="1342" w:type="dxa"/>
                  <w:vMerge w:val="restart"/>
                  <w:vAlign w:val="center"/>
                </w:tcPr>
                <w:p>
                  <w:pPr>
                    <w:spacing w:line="240" w:lineRule="auto"/>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70</w:t>
                  </w:r>
                </w:p>
              </w:tc>
              <w:tc>
                <w:tcPr>
                  <w:tcW w:w="1340" w:type="dxa"/>
                  <w:vMerge w:val="restart"/>
                  <w:vAlign w:val="center"/>
                </w:tcPr>
                <w:p>
                  <w:pPr>
                    <w:spacing w:line="240" w:lineRule="auto"/>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spacing w:line="240" w:lineRule="auto"/>
                    <w:jc w:val="center"/>
                    <w:rPr>
                      <w:rFonts w:hint="eastAsia"/>
                      <w:color w:val="auto"/>
                      <w:kern w:val="0"/>
                      <w:sz w:val="21"/>
                      <w:szCs w:val="21"/>
                      <w:highlight w:val="none"/>
                      <w:lang w:val="en-US" w:eastAsia="zh-CN"/>
                    </w:rPr>
                  </w:pPr>
                </w:p>
              </w:tc>
              <w:tc>
                <w:tcPr>
                  <w:tcW w:w="1164" w:type="dxa"/>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color w:val="auto"/>
                      <w:kern w:val="0"/>
                      <w:sz w:val="21"/>
                      <w:szCs w:val="21"/>
                      <w:highlight w:val="none"/>
                      <w:vertAlign w:val="baseline"/>
                      <w:lang w:val="en-US" w:eastAsia="zh-CN"/>
                    </w:rPr>
                    <w:t>2023.3.24</w:t>
                  </w:r>
                </w:p>
              </w:tc>
              <w:tc>
                <w:tcPr>
                  <w:tcW w:w="1500" w:type="dxa"/>
                  <w:vAlign w:val="center"/>
                </w:tcPr>
                <w:p>
                  <w:pPr>
                    <w:spacing w:line="240" w:lineRule="auto"/>
                    <w:jc w:val="center"/>
                    <w:rPr>
                      <w:rFonts w:hint="default"/>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56</w:t>
                  </w:r>
                </w:p>
              </w:tc>
              <w:tc>
                <w:tcPr>
                  <w:tcW w:w="1341" w:type="dxa"/>
                  <w:vAlign w:val="center"/>
                </w:tcPr>
                <w:p>
                  <w:pPr>
                    <w:spacing w:line="240" w:lineRule="auto"/>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47</w:t>
                  </w:r>
                </w:p>
              </w:tc>
              <w:tc>
                <w:tcPr>
                  <w:tcW w:w="1342" w:type="dxa"/>
                  <w:vMerge w:val="continue"/>
                  <w:vAlign w:val="center"/>
                </w:tcPr>
                <w:p>
                  <w:pPr>
                    <w:spacing w:line="240" w:lineRule="auto"/>
                    <w:jc w:val="center"/>
                    <w:rPr>
                      <w:rFonts w:hint="eastAsia"/>
                      <w:color w:val="auto"/>
                      <w:kern w:val="0"/>
                      <w:sz w:val="21"/>
                      <w:szCs w:val="21"/>
                      <w:highlight w:val="none"/>
                      <w:lang w:val="en-US" w:eastAsia="zh-CN"/>
                    </w:rPr>
                  </w:pPr>
                </w:p>
              </w:tc>
              <w:tc>
                <w:tcPr>
                  <w:tcW w:w="1340" w:type="dxa"/>
                  <w:vMerge w:val="continue"/>
                  <w:vAlign w:val="center"/>
                </w:tcPr>
                <w:p>
                  <w:pPr>
                    <w:spacing w:line="240" w:lineRule="auto"/>
                    <w:jc w:val="center"/>
                    <w:rPr>
                      <w:rFonts w:hint="eastAsia"/>
                      <w:color w:val="auto"/>
                      <w:kern w:val="0"/>
                      <w:sz w:val="21"/>
                      <w:szCs w:val="21"/>
                      <w:highlight w:val="none"/>
                      <w:lang w:val="en-US" w:eastAsia="zh-CN"/>
                    </w:rPr>
                  </w:pPr>
                </w:p>
              </w:tc>
            </w:tr>
          </w:tbl>
          <w:p>
            <w:pPr>
              <w:keepNext w:val="0"/>
              <w:keepLines w:val="0"/>
              <w:suppressLineNumbers w:val="0"/>
              <w:spacing w:before="0" w:beforeAutospacing="0" w:after="0" w:afterAutospacing="0" w:line="360" w:lineRule="auto"/>
              <w:ind w:left="0" w:right="0" w:firstLine="480" w:firstLineChars="200"/>
              <w:rPr>
                <w:rFonts w:hint="eastAsia" w:cs="Times New Roman"/>
                <w:color w:val="auto"/>
                <w:sz w:val="24"/>
                <w:szCs w:val="24"/>
                <w:highlight w:val="none"/>
                <w:lang w:val="en-US" w:eastAsia="zh-CN"/>
              </w:rPr>
            </w:pPr>
            <w:r>
              <w:rPr>
                <w:rFonts w:hint="eastAsia"/>
                <w:color w:val="auto"/>
                <w:kern w:val="0"/>
                <w:sz w:val="24"/>
                <w:highlight w:val="none"/>
                <w:lang w:val="en-US" w:eastAsia="zh-CN"/>
              </w:rPr>
              <w:t>根据监测结果可知，项目监测点处昼、夜间声环境质量满足《声环境质量标准》（GB3096-2008）2类和4a类标准限值。</w:t>
            </w:r>
          </w:p>
          <w:p>
            <w:pPr>
              <w:keepNext w:val="0"/>
              <w:keepLines w:val="0"/>
              <w:suppressLineNumbers w:val="0"/>
              <w:spacing w:before="0" w:beforeAutospacing="0" w:after="0" w:afterAutospacing="0" w:line="360" w:lineRule="auto"/>
              <w:ind w:left="0" w:right="0" w:firstLine="482" w:firstLineChars="200"/>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3.4 生态环境</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项目位于工业园区内，无需进行生态现状调查。</w:t>
            </w:r>
          </w:p>
          <w:p>
            <w:pPr>
              <w:keepNext w:val="0"/>
              <w:keepLines w:val="0"/>
              <w:suppressLineNumbers w:val="0"/>
              <w:spacing w:before="0" w:beforeAutospacing="0" w:after="0" w:afterAutospacing="0" w:line="360" w:lineRule="auto"/>
              <w:ind w:left="0" w:right="0" w:firstLine="482" w:firstLineChars="200"/>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3.5 电磁辐射</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项目不属于新建或改建、扩建广播电台、差转台、电视塔台、卫星地图上行站、雷达等电磁辐射类项目，无需对电磁辐射现状开展监测与评价。</w:t>
            </w:r>
          </w:p>
          <w:p>
            <w:pPr>
              <w:keepNext w:val="0"/>
              <w:keepLines w:val="0"/>
              <w:suppressLineNumbers w:val="0"/>
              <w:spacing w:before="0" w:beforeAutospacing="0" w:after="0" w:afterAutospacing="0" w:line="360" w:lineRule="auto"/>
              <w:ind w:left="0" w:right="0" w:firstLine="482" w:firstLineChars="200"/>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3.6 地下水、土壤</w:t>
            </w:r>
          </w:p>
          <w:p>
            <w:pPr>
              <w:keepNext w:val="0"/>
              <w:keepLines w:val="0"/>
              <w:suppressLineNumbers w:val="0"/>
              <w:spacing w:before="0" w:beforeAutospacing="0" w:after="0" w:afterAutospacing="0" w:line="360" w:lineRule="auto"/>
              <w:ind w:left="0" w:right="0" w:firstLine="480" w:firstLineChars="200"/>
              <w:rPr>
                <w:rFonts w:hint="default" w:cs="Times New Roman"/>
                <w:color w:val="auto"/>
                <w:sz w:val="24"/>
                <w:szCs w:val="22"/>
                <w:highlight w:val="none"/>
                <w:lang w:val="en-US" w:eastAsia="zh-CN" w:bidi="ar-SA"/>
              </w:rPr>
            </w:pPr>
            <w:r>
              <w:rPr>
                <w:rFonts w:hint="eastAsia" w:ascii="Times New Roman" w:hAnsi="Times New Roman" w:eastAsia="宋体" w:cs="Times New Roman"/>
                <w:color w:val="auto"/>
                <w:sz w:val="24"/>
                <w:szCs w:val="24"/>
                <w:highlight w:val="none"/>
                <w:lang w:val="en-US" w:eastAsia="zh-CN"/>
              </w:rPr>
              <w:t>无需开展。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环境敏感目标</w:t>
            </w:r>
          </w:p>
        </w:tc>
        <w:tc>
          <w:tcPr>
            <w:tcW w:w="8190" w:type="dxa"/>
            <w:noWrap w:val="0"/>
            <w:vAlign w:val="top"/>
          </w:tcPr>
          <w:p>
            <w:pPr>
              <w:spacing w:line="360" w:lineRule="auto"/>
              <w:ind w:firstLine="482" w:firstLineChars="200"/>
              <w:rPr>
                <w:rFonts w:hint="default" w:eastAsia="宋体"/>
                <w:b/>
                <w:bCs/>
                <w:color w:val="auto"/>
                <w:kern w:val="0"/>
                <w:sz w:val="24"/>
                <w:highlight w:val="none"/>
                <w:lang w:val="en-US" w:eastAsia="zh-CN"/>
              </w:rPr>
            </w:pPr>
            <w:r>
              <w:rPr>
                <w:rFonts w:hint="eastAsia" w:eastAsia="宋体"/>
                <w:b/>
                <w:bCs/>
                <w:color w:val="auto"/>
                <w:kern w:val="0"/>
                <w:sz w:val="24"/>
                <w:highlight w:val="none"/>
                <w:lang w:val="en-US" w:eastAsia="zh-CN"/>
              </w:rPr>
              <w:t>环境保护目标</w:t>
            </w:r>
          </w:p>
          <w:p>
            <w:pPr>
              <w:spacing w:line="360" w:lineRule="auto"/>
              <w:ind w:firstLine="480" w:firstLineChars="200"/>
              <w:rPr>
                <w:rFonts w:hint="eastAsia" w:eastAsia="宋体"/>
                <w:color w:val="auto"/>
                <w:kern w:val="0"/>
                <w:sz w:val="24"/>
                <w:highlight w:val="none"/>
                <w:lang w:val="en-US" w:eastAsia="zh-CN"/>
              </w:rPr>
            </w:pPr>
            <w:r>
              <w:rPr>
                <w:rFonts w:hint="eastAsia" w:eastAsia="宋体"/>
                <w:color w:val="auto"/>
                <w:kern w:val="0"/>
                <w:sz w:val="24"/>
                <w:highlight w:val="none"/>
                <w:lang w:val="en-US" w:eastAsia="zh-CN"/>
              </w:rPr>
              <w:t>①大气环境保护目标</w:t>
            </w:r>
          </w:p>
          <w:p>
            <w:pPr>
              <w:spacing w:line="360" w:lineRule="auto"/>
              <w:ind w:firstLine="480" w:firstLineChars="200"/>
              <w:rPr>
                <w:rFonts w:hint="default" w:eastAsia="宋体"/>
                <w:color w:val="auto"/>
                <w:kern w:val="0"/>
                <w:sz w:val="24"/>
                <w:highlight w:val="none"/>
                <w:lang w:val="en-US" w:eastAsia="zh-CN"/>
              </w:rPr>
            </w:pPr>
            <w:r>
              <w:rPr>
                <w:rFonts w:hint="eastAsia" w:eastAsia="宋体"/>
                <w:color w:val="auto"/>
                <w:kern w:val="0"/>
                <w:sz w:val="24"/>
                <w:highlight w:val="none"/>
                <w:lang w:val="en-US" w:eastAsia="zh-CN"/>
              </w:rPr>
              <w:t>项目位于</w:t>
            </w:r>
            <w:r>
              <w:rPr>
                <w:rFonts w:hint="eastAsia"/>
                <w:color w:val="auto"/>
                <w:sz w:val="24"/>
                <w:highlight w:val="none"/>
              </w:rPr>
              <w:t>重庆市</w:t>
            </w:r>
            <w:r>
              <w:rPr>
                <w:rFonts w:hint="eastAsia"/>
                <w:color w:val="auto"/>
                <w:sz w:val="24"/>
                <w:highlight w:val="none"/>
                <w:lang w:val="en-US" w:eastAsia="zh-CN"/>
              </w:rPr>
              <w:t>铜梁</w:t>
            </w:r>
            <w:r>
              <w:rPr>
                <w:rFonts w:hint="eastAsia"/>
                <w:color w:val="auto"/>
                <w:sz w:val="24"/>
                <w:highlight w:val="none"/>
              </w:rPr>
              <w:t>区</w:t>
            </w:r>
            <w:r>
              <w:rPr>
                <w:rFonts w:hint="eastAsia"/>
                <w:color w:val="auto"/>
                <w:sz w:val="24"/>
                <w:highlight w:val="none"/>
                <w:lang w:val="en-US" w:eastAsia="zh-CN"/>
              </w:rPr>
              <w:t>侣俸镇工业园区创业路2号，经现场踏勘，项目周边500m范围内大气环境保护目标主要为铜梁区精神病医院及零散居民点。项目大气环境保护目标分布，详见下表。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color w:val="auto"/>
                <w:kern w:val="0"/>
                <w:sz w:val="24"/>
                <w:highlight w:val="none"/>
                <w:lang w:val="en-US" w:eastAsia="zh-CN"/>
              </w:rPr>
            </w:pPr>
            <w:r>
              <w:rPr>
                <w:rFonts w:hint="eastAsia"/>
                <w:color w:val="auto"/>
                <w:kern w:val="0"/>
                <w:sz w:val="24"/>
                <w:highlight w:val="none"/>
                <w:lang w:val="en-US" w:eastAsia="zh-CN"/>
              </w:rPr>
              <w:t>表3-5 大气环境保护目标分布一览表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2032"/>
              <w:gridCol w:w="615"/>
              <w:gridCol w:w="660"/>
              <w:gridCol w:w="660"/>
              <w:gridCol w:w="904"/>
              <w:gridCol w:w="676"/>
              <w:gridCol w:w="895"/>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85" w:type="pct"/>
                  <w:vMerge w:val="restart"/>
                  <w:noWrap w:val="0"/>
                  <w:vAlign w:val="center"/>
                </w:tcPr>
                <w:p>
                  <w:pPr>
                    <w:pStyle w:val="4"/>
                    <w:tabs>
                      <w:tab w:val="left" w:pos="1277"/>
                    </w:tabs>
                    <w:spacing w:line="240" w:lineRule="auto"/>
                    <w:jc w:val="center"/>
                    <w:rPr>
                      <w:rFonts w:hint="eastAsia" w:ascii="Times New Roman" w:hAnsi="Times New Roman" w:eastAsia="宋体" w:cs="Times New Roman"/>
                      <w:bCs w:val="0"/>
                      <w:color w:val="auto"/>
                      <w:sz w:val="21"/>
                      <w:szCs w:val="21"/>
                      <w:highlight w:val="none"/>
                      <w:lang w:eastAsia="zh-CN"/>
                    </w:rPr>
                  </w:pPr>
                  <w:r>
                    <w:rPr>
                      <w:rFonts w:hint="eastAsia" w:eastAsia="宋体" w:cs="Times New Roman"/>
                      <w:bCs w:val="0"/>
                      <w:color w:val="auto"/>
                      <w:sz w:val="21"/>
                      <w:szCs w:val="21"/>
                      <w:highlight w:val="none"/>
                      <w:lang w:val="en-US" w:eastAsia="zh-CN"/>
                    </w:rPr>
                    <w:t>序号</w:t>
                  </w:r>
                </w:p>
              </w:tc>
              <w:tc>
                <w:tcPr>
                  <w:tcW w:w="1275" w:type="pct"/>
                  <w:vMerge w:val="restart"/>
                  <w:noWrap w:val="0"/>
                  <w:vAlign w:val="center"/>
                </w:tcPr>
                <w:p>
                  <w:pPr>
                    <w:pStyle w:val="4"/>
                    <w:tabs>
                      <w:tab w:val="left" w:pos="1277"/>
                    </w:tabs>
                    <w:spacing w:line="240" w:lineRule="auto"/>
                    <w:jc w:val="center"/>
                    <w:rPr>
                      <w:rFonts w:hint="default" w:ascii="Times New Roman" w:hAnsi="Times New Roman" w:eastAsia="宋体" w:cs="Times New Roman"/>
                      <w:bCs w:val="0"/>
                      <w:color w:val="auto"/>
                      <w:sz w:val="21"/>
                      <w:szCs w:val="21"/>
                      <w:highlight w:val="none"/>
                    </w:rPr>
                  </w:pPr>
                  <w:r>
                    <w:rPr>
                      <w:rFonts w:hint="eastAsia" w:eastAsia="宋体" w:cs="Times New Roman"/>
                      <w:bCs w:val="0"/>
                      <w:color w:val="auto"/>
                      <w:sz w:val="21"/>
                      <w:szCs w:val="21"/>
                      <w:highlight w:val="none"/>
                      <w:lang w:eastAsia="zh-CN"/>
                    </w:rPr>
                    <w:t>环境保护</w:t>
                  </w:r>
                  <w:r>
                    <w:rPr>
                      <w:rFonts w:hint="default" w:ascii="Times New Roman" w:hAnsi="Times New Roman" w:eastAsia="宋体" w:cs="Times New Roman"/>
                      <w:bCs w:val="0"/>
                      <w:color w:val="auto"/>
                      <w:sz w:val="21"/>
                      <w:szCs w:val="21"/>
                      <w:highlight w:val="none"/>
                    </w:rPr>
                    <w:t>目标</w:t>
                  </w:r>
                </w:p>
              </w:tc>
              <w:tc>
                <w:tcPr>
                  <w:tcW w:w="800" w:type="pct"/>
                  <w:gridSpan w:val="2"/>
                  <w:noWrap w:val="0"/>
                  <w:vAlign w:val="center"/>
                </w:tcPr>
                <w:p>
                  <w:pPr>
                    <w:pStyle w:val="4"/>
                    <w:tabs>
                      <w:tab w:val="left" w:pos="1277"/>
                    </w:tabs>
                    <w:spacing w:line="240" w:lineRule="auto"/>
                    <w:jc w:val="center"/>
                    <w:rPr>
                      <w:rFonts w:hint="default" w:ascii="Times New Roman" w:hAnsi="Times New Roman" w:eastAsia="宋体" w:cs="Times New Roman"/>
                      <w:bCs w:val="0"/>
                      <w:color w:val="auto"/>
                      <w:sz w:val="21"/>
                      <w:szCs w:val="21"/>
                      <w:highlight w:val="none"/>
                    </w:rPr>
                  </w:pPr>
                  <w:r>
                    <w:rPr>
                      <w:rFonts w:hint="default" w:ascii="Times New Roman" w:hAnsi="Times New Roman" w:eastAsia="宋体" w:cs="Times New Roman"/>
                      <w:bCs w:val="0"/>
                      <w:color w:val="auto"/>
                      <w:sz w:val="21"/>
                      <w:szCs w:val="21"/>
                      <w:highlight w:val="none"/>
                    </w:rPr>
                    <w:t>坐标</w:t>
                  </w:r>
                </w:p>
              </w:tc>
              <w:tc>
                <w:tcPr>
                  <w:tcW w:w="414" w:type="pct"/>
                  <w:vMerge w:val="restart"/>
                  <w:noWrap w:val="0"/>
                  <w:vAlign w:val="center"/>
                </w:tcPr>
                <w:p>
                  <w:pPr>
                    <w:pStyle w:val="4"/>
                    <w:tabs>
                      <w:tab w:val="left" w:pos="1277"/>
                    </w:tabs>
                    <w:spacing w:line="240" w:lineRule="auto"/>
                    <w:jc w:val="center"/>
                    <w:rPr>
                      <w:rFonts w:hint="default" w:ascii="Times New Roman" w:hAnsi="Times New Roman" w:eastAsia="宋体" w:cs="Times New Roman"/>
                      <w:bCs w:val="0"/>
                      <w:color w:val="auto"/>
                      <w:sz w:val="21"/>
                      <w:szCs w:val="21"/>
                      <w:highlight w:val="none"/>
                    </w:rPr>
                  </w:pPr>
                  <w:r>
                    <w:rPr>
                      <w:rFonts w:hint="default" w:ascii="Times New Roman" w:hAnsi="Times New Roman" w:eastAsia="宋体" w:cs="Times New Roman"/>
                      <w:bCs w:val="0"/>
                      <w:color w:val="auto"/>
                      <w:sz w:val="21"/>
                      <w:szCs w:val="21"/>
                      <w:highlight w:val="none"/>
                    </w:rPr>
                    <w:t>保护对象</w:t>
                  </w:r>
                </w:p>
              </w:tc>
              <w:tc>
                <w:tcPr>
                  <w:tcW w:w="567" w:type="pct"/>
                  <w:vMerge w:val="restart"/>
                  <w:noWrap w:val="0"/>
                  <w:vAlign w:val="center"/>
                </w:tcPr>
                <w:p>
                  <w:pPr>
                    <w:pStyle w:val="4"/>
                    <w:tabs>
                      <w:tab w:val="left" w:pos="1277"/>
                    </w:tabs>
                    <w:spacing w:line="240" w:lineRule="auto"/>
                    <w:jc w:val="center"/>
                    <w:rPr>
                      <w:rFonts w:hint="default" w:ascii="Times New Roman" w:hAnsi="Times New Roman" w:eastAsia="宋体" w:cs="Times New Roman"/>
                      <w:bCs w:val="0"/>
                      <w:color w:val="auto"/>
                      <w:sz w:val="21"/>
                      <w:szCs w:val="21"/>
                      <w:highlight w:val="none"/>
                    </w:rPr>
                  </w:pPr>
                  <w:r>
                    <w:rPr>
                      <w:rFonts w:hint="default" w:ascii="Times New Roman" w:hAnsi="Times New Roman" w:eastAsia="宋体" w:cs="Times New Roman"/>
                      <w:bCs w:val="0"/>
                      <w:color w:val="auto"/>
                      <w:sz w:val="21"/>
                      <w:szCs w:val="21"/>
                      <w:highlight w:val="none"/>
                    </w:rPr>
                    <w:t>保护内容</w:t>
                  </w:r>
                </w:p>
              </w:tc>
              <w:tc>
                <w:tcPr>
                  <w:tcW w:w="424" w:type="pct"/>
                  <w:vMerge w:val="restart"/>
                  <w:noWrap w:val="0"/>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default" w:ascii="Times New Roman" w:hAnsi="Times New Roman" w:eastAsia="宋体" w:cs="Times New Roman"/>
                      <w:bCs w:val="0"/>
                      <w:color w:val="auto"/>
                      <w:sz w:val="21"/>
                      <w:szCs w:val="21"/>
                      <w:highlight w:val="none"/>
                    </w:rPr>
                    <w:t>环境功能</w:t>
                  </w:r>
                </w:p>
                <w:p>
                  <w:pPr>
                    <w:pStyle w:val="4"/>
                    <w:tabs>
                      <w:tab w:val="left" w:pos="1277"/>
                    </w:tabs>
                    <w:spacing w:line="240" w:lineRule="auto"/>
                    <w:jc w:val="center"/>
                    <w:rPr>
                      <w:rFonts w:hint="default" w:ascii="Times New Roman" w:hAnsi="Times New Roman" w:eastAsia="宋体" w:cs="Times New Roman"/>
                      <w:bCs w:val="0"/>
                      <w:color w:val="auto"/>
                      <w:sz w:val="21"/>
                      <w:szCs w:val="21"/>
                      <w:highlight w:val="none"/>
                    </w:rPr>
                  </w:pPr>
                </w:p>
              </w:tc>
              <w:tc>
                <w:tcPr>
                  <w:tcW w:w="561" w:type="pct"/>
                  <w:vMerge w:val="restart"/>
                  <w:noWrap w:val="0"/>
                  <w:vAlign w:val="center"/>
                </w:tcPr>
                <w:p>
                  <w:pPr>
                    <w:pStyle w:val="4"/>
                    <w:tabs>
                      <w:tab w:val="left" w:pos="1277"/>
                    </w:tabs>
                    <w:spacing w:line="240" w:lineRule="auto"/>
                    <w:jc w:val="center"/>
                    <w:rPr>
                      <w:rFonts w:hint="default" w:ascii="Times New Roman" w:hAnsi="Times New Roman" w:eastAsia="宋体" w:cs="Times New Roman"/>
                      <w:bCs w:val="0"/>
                      <w:color w:val="auto"/>
                      <w:sz w:val="21"/>
                      <w:szCs w:val="21"/>
                      <w:highlight w:val="none"/>
                      <w:lang w:val="en-US" w:eastAsia="zh-CN"/>
                    </w:rPr>
                  </w:pPr>
                  <w:r>
                    <w:rPr>
                      <w:rFonts w:hint="default" w:ascii="Times New Roman" w:hAnsi="Times New Roman" w:eastAsia="宋体" w:cs="Times New Roman"/>
                      <w:bCs w:val="0"/>
                      <w:color w:val="auto"/>
                      <w:sz w:val="21"/>
                      <w:szCs w:val="21"/>
                      <w:highlight w:val="none"/>
                    </w:rPr>
                    <w:t>相对厂址方位</w:t>
                  </w:r>
                </w:p>
              </w:tc>
              <w:tc>
                <w:tcPr>
                  <w:tcW w:w="669" w:type="pct"/>
                  <w:vMerge w:val="restart"/>
                  <w:noWrap w:val="0"/>
                  <w:vAlign w:val="center"/>
                </w:tcPr>
                <w:p>
                  <w:pPr>
                    <w:pStyle w:val="4"/>
                    <w:tabs>
                      <w:tab w:val="left" w:pos="1277"/>
                    </w:tabs>
                    <w:spacing w:line="240" w:lineRule="auto"/>
                    <w:jc w:val="center"/>
                    <w:rPr>
                      <w:rFonts w:hint="default" w:ascii="Times New Roman" w:hAnsi="Times New Roman" w:eastAsia="宋体" w:cs="Times New Roman"/>
                      <w:bCs w:val="0"/>
                      <w:color w:val="auto"/>
                      <w:sz w:val="21"/>
                      <w:szCs w:val="21"/>
                      <w:highlight w:val="none"/>
                    </w:rPr>
                  </w:pPr>
                  <w:r>
                    <w:rPr>
                      <w:rFonts w:hint="default" w:ascii="Times New Roman" w:hAnsi="Times New Roman" w:eastAsia="宋体" w:cs="Times New Roman"/>
                      <w:bCs w:val="0"/>
                      <w:color w:val="auto"/>
                      <w:sz w:val="21"/>
                      <w:szCs w:val="21"/>
                      <w:highlight w:val="none"/>
                    </w:rPr>
                    <w:t>相对厂界</w:t>
                  </w:r>
                  <w:r>
                    <w:rPr>
                      <w:rFonts w:hint="eastAsia" w:eastAsia="宋体" w:cs="Times New Roman"/>
                      <w:bCs w:val="0"/>
                      <w:color w:val="auto"/>
                      <w:sz w:val="21"/>
                      <w:szCs w:val="21"/>
                      <w:highlight w:val="none"/>
                      <w:lang w:val="en-US" w:eastAsia="zh-CN"/>
                    </w:rPr>
                    <w:t>最近</w:t>
                  </w:r>
                  <w:r>
                    <w:rPr>
                      <w:rFonts w:hint="default" w:ascii="Times New Roman" w:hAnsi="Times New Roman" w:eastAsia="宋体" w:cs="Times New Roman"/>
                      <w:bCs w:val="0"/>
                      <w:color w:val="auto"/>
                      <w:sz w:val="21"/>
                      <w:szCs w:val="21"/>
                      <w:highlight w:val="none"/>
                    </w:rPr>
                    <w:t>距离</w:t>
                  </w:r>
                  <w:r>
                    <w:rPr>
                      <w:rFonts w:hint="eastAsia" w:eastAsia="宋体" w:cs="Times New Roman"/>
                      <w:bCs w:val="0"/>
                      <w:color w:val="auto"/>
                      <w:sz w:val="21"/>
                      <w:szCs w:val="21"/>
                      <w:highlight w:val="none"/>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5" w:type="pct"/>
                  <w:vMerge w:val="continue"/>
                  <w:noWrap w:val="0"/>
                  <w:vAlign w:val="center"/>
                </w:tcPr>
                <w:p>
                  <w:pPr>
                    <w:pStyle w:val="4"/>
                    <w:tabs>
                      <w:tab w:val="left" w:pos="1277"/>
                    </w:tabs>
                    <w:spacing w:line="240" w:lineRule="auto"/>
                    <w:jc w:val="center"/>
                    <w:rPr>
                      <w:rFonts w:hint="default" w:ascii="Times New Roman" w:hAnsi="Times New Roman" w:eastAsia="宋体" w:cs="Times New Roman"/>
                      <w:bCs w:val="0"/>
                      <w:color w:val="auto"/>
                      <w:sz w:val="21"/>
                      <w:szCs w:val="21"/>
                      <w:highlight w:val="none"/>
                    </w:rPr>
                  </w:pPr>
                </w:p>
              </w:tc>
              <w:tc>
                <w:tcPr>
                  <w:tcW w:w="1275" w:type="pct"/>
                  <w:vMerge w:val="continue"/>
                  <w:noWrap w:val="0"/>
                  <w:vAlign w:val="center"/>
                </w:tcPr>
                <w:p>
                  <w:pPr>
                    <w:pStyle w:val="4"/>
                    <w:tabs>
                      <w:tab w:val="left" w:pos="1277"/>
                    </w:tabs>
                    <w:spacing w:line="240" w:lineRule="auto"/>
                    <w:jc w:val="center"/>
                    <w:rPr>
                      <w:rFonts w:hint="default" w:ascii="Times New Roman" w:hAnsi="Times New Roman" w:eastAsia="宋体" w:cs="Times New Roman"/>
                      <w:bCs w:val="0"/>
                      <w:color w:val="auto"/>
                      <w:sz w:val="21"/>
                      <w:szCs w:val="21"/>
                      <w:highlight w:val="none"/>
                    </w:rPr>
                  </w:pPr>
                </w:p>
              </w:tc>
              <w:tc>
                <w:tcPr>
                  <w:tcW w:w="386" w:type="pct"/>
                  <w:noWrap w:val="0"/>
                  <w:vAlign w:val="center"/>
                </w:tcPr>
                <w:p>
                  <w:pPr>
                    <w:pStyle w:val="4"/>
                    <w:tabs>
                      <w:tab w:val="left" w:pos="1277"/>
                    </w:tabs>
                    <w:spacing w:line="240" w:lineRule="auto"/>
                    <w:jc w:val="center"/>
                    <w:rPr>
                      <w:rFonts w:hint="default" w:ascii="Times New Roman" w:hAnsi="Times New Roman" w:eastAsia="宋体" w:cs="Times New Roman"/>
                      <w:bCs w:val="0"/>
                      <w:color w:val="auto"/>
                      <w:sz w:val="21"/>
                      <w:szCs w:val="21"/>
                      <w:highlight w:val="none"/>
                    </w:rPr>
                  </w:pPr>
                  <w:r>
                    <w:rPr>
                      <w:rFonts w:hint="default" w:ascii="Times New Roman" w:hAnsi="Times New Roman" w:eastAsia="宋体" w:cs="Times New Roman"/>
                      <w:bCs w:val="0"/>
                      <w:color w:val="auto"/>
                      <w:sz w:val="21"/>
                      <w:szCs w:val="21"/>
                      <w:highlight w:val="none"/>
                    </w:rPr>
                    <w:t>X</w:t>
                  </w:r>
                </w:p>
              </w:tc>
              <w:tc>
                <w:tcPr>
                  <w:tcW w:w="414" w:type="pct"/>
                  <w:noWrap w:val="0"/>
                  <w:vAlign w:val="center"/>
                </w:tcPr>
                <w:p>
                  <w:pPr>
                    <w:pStyle w:val="4"/>
                    <w:tabs>
                      <w:tab w:val="left" w:pos="1277"/>
                    </w:tabs>
                    <w:spacing w:line="240" w:lineRule="auto"/>
                    <w:jc w:val="center"/>
                    <w:rPr>
                      <w:rFonts w:hint="default" w:ascii="Times New Roman" w:hAnsi="Times New Roman" w:eastAsia="宋体" w:cs="Times New Roman"/>
                      <w:bCs w:val="0"/>
                      <w:color w:val="auto"/>
                      <w:sz w:val="21"/>
                      <w:szCs w:val="21"/>
                      <w:highlight w:val="none"/>
                    </w:rPr>
                  </w:pPr>
                  <w:r>
                    <w:rPr>
                      <w:rFonts w:hint="default" w:ascii="Times New Roman" w:hAnsi="Times New Roman" w:eastAsia="宋体" w:cs="Times New Roman"/>
                      <w:bCs w:val="0"/>
                      <w:color w:val="auto"/>
                      <w:sz w:val="21"/>
                      <w:szCs w:val="21"/>
                      <w:highlight w:val="none"/>
                    </w:rPr>
                    <w:t>Y</w:t>
                  </w:r>
                </w:p>
              </w:tc>
              <w:tc>
                <w:tcPr>
                  <w:tcW w:w="414" w:type="pct"/>
                  <w:vMerge w:val="continue"/>
                  <w:noWrap w:val="0"/>
                  <w:vAlign w:val="center"/>
                </w:tcPr>
                <w:p>
                  <w:pPr>
                    <w:pStyle w:val="4"/>
                    <w:tabs>
                      <w:tab w:val="left" w:pos="1277"/>
                    </w:tabs>
                    <w:spacing w:line="240" w:lineRule="auto"/>
                    <w:jc w:val="center"/>
                    <w:rPr>
                      <w:rFonts w:hint="default" w:ascii="Times New Roman" w:hAnsi="Times New Roman" w:eastAsia="宋体" w:cs="Times New Roman"/>
                      <w:bCs w:val="0"/>
                      <w:color w:val="auto"/>
                      <w:sz w:val="21"/>
                      <w:szCs w:val="21"/>
                      <w:highlight w:val="none"/>
                    </w:rPr>
                  </w:pPr>
                </w:p>
              </w:tc>
              <w:tc>
                <w:tcPr>
                  <w:tcW w:w="567" w:type="pct"/>
                  <w:vMerge w:val="continue"/>
                  <w:noWrap w:val="0"/>
                  <w:vAlign w:val="center"/>
                </w:tcPr>
                <w:p>
                  <w:pPr>
                    <w:pStyle w:val="4"/>
                    <w:tabs>
                      <w:tab w:val="left" w:pos="1277"/>
                    </w:tabs>
                    <w:spacing w:line="240" w:lineRule="auto"/>
                    <w:jc w:val="center"/>
                    <w:rPr>
                      <w:rFonts w:hint="default" w:ascii="Times New Roman" w:hAnsi="Times New Roman" w:eastAsia="宋体" w:cs="Times New Roman"/>
                      <w:bCs w:val="0"/>
                      <w:color w:val="auto"/>
                      <w:sz w:val="21"/>
                      <w:szCs w:val="21"/>
                      <w:highlight w:val="none"/>
                    </w:rPr>
                  </w:pPr>
                </w:p>
              </w:tc>
              <w:tc>
                <w:tcPr>
                  <w:tcW w:w="424" w:type="pct"/>
                  <w:vMerge w:val="continue"/>
                  <w:noWrap w:val="0"/>
                  <w:vAlign w:val="center"/>
                </w:tcPr>
                <w:p>
                  <w:pPr>
                    <w:pStyle w:val="4"/>
                    <w:tabs>
                      <w:tab w:val="left" w:pos="1277"/>
                    </w:tabs>
                    <w:spacing w:line="240" w:lineRule="auto"/>
                    <w:jc w:val="center"/>
                    <w:rPr>
                      <w:rFonts w:hint="default" w:ascii="Times New Roman" w:hAnsi="Times New Roman" w:eastAsia="宋体" w:cs="Times New Roman"/>
                      <w:bCs w:val="0"/>
                      <w:color w:val="auto"/>
                      <w:sz w:val="21"/>
                      <w:szCs w:val="21"/>
                      <w:highlight w:val="none"/>
                    </w:rPr>
                  </w:pPr>
                </w:p>
              </w:tc>
              <w:tc>
                <w:tcPr>
                  <w:tcW w:w="561" w:type="pct"/>
                  <w:vMerge w:val="continue"/>
                  <w:noWrap w:val="0"/>
                  <w:vAlign w:val="center"/>
                </w:tcPr>
                <w:p>
                  <w:pPr>
                    <w:pStyle w:val="4"/>
                    <w:tabs>
                      <w:tab w:val="left" w:pos="1277"/>
                    </w:tabs>
                    <w:spacing w:line="240" w:lineRule="auto"/>
                    <w:jc w:val="center"/>
                    <w:rPr>
                      <w:rFonts w:hint="default" w:ascii="Times New Roman" w:hAnsi="Times New Roman" w:eastAsia="宋体" w:cs="Times New Roman"/>
                      <w:bCs w:val="0"/>
                      <w:color w:val="auto"/>
                      <w:sz w:val="21"/>
                      <w:szCs w:val="21"/>
                      <w:highlight w:val="none"/>
                    </w:rPr>
                  </w:pPr>
                </w:p>
              </w:tc>
              <w:tc>
                <w:tcPr>
                  <w:tcW w:w="669" w:type="pct"/>
                  <w:vMerge w:val="continue"/>
                  <w:noWrap w:val="0"/>
                  <w:vAlign w:val="center"/>
                </w:tcPr>
                <w:p>
                  <w:pPr>
                    <w:pStyle w:val="4"/>
                    <w:tabs>
                      <w:tab w:val="left" w:pos="1277"/>
                    </w:tabs>
                    <w:spacing w:line="240" w:lineRule="auto"/>
                    <w:jc w:val="center"/>
                    <w:rPr>
                      <w:rFonts w:hint="default" w:ascii="Times New Roman" w:hAnsi="Times New Roman" w:eastAsia="宋体" w:cs="Times New Roman"/>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5" w:type="pct"/>
                  <w:noWrap w:val="0"/>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1</w:t>
                  </w:r>
                </w:p>
              </w:tc>
              <w:tc>
                <w:tcPr>
                  <w:tcW w:w="1275" w:type="pct"/>
                  <w:noWrap w:val="0"/>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1#居民点</w:t>
                  </w:r>
                </w:p>
              </w:tc>
              <w:tc>
                <w:tcPr>
                  <w:tcW w:w="386" w:type="pct"/>
                  <w:noWrap w:val="0"/>
                  <w:vAlign w:val="center"/>
                </w:tcPr>
                <w:p>
                  <w:pPr>
                    <w:pStyle w:val="4"/>
                    <w:tabs>
                      <w:tab w:val="left" w:pos="1277"/>
                    </w:tabs>
                    <w:spacing w:line="240" w:lineRule="auto"/>
                    <w:jc w:val="center"/>
                    <w:rPr>
                      <w:rFonts w:hint="default"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-68</w:t>
                  </w:r>
                </w:p>
              </w:tc>
              <w:tc>
                <w:tcPr>
                  <w:tcW w:w="414" w:type="pct"/>
                  <w:noWrap w:val="0"/>
                  <w:vAlign w:val="center"/>
                </w:tcPr>
                <w:p>
                  <w:pPr>
                    <w:pStyle w:val="4"/>
                    <w:tabs>
                      <w:tab w:val="left" w:pos="1277"/>
                    </w:tabs>
                    <w:spacing w:line="240" w:lineRule="auto"/>
                    <w:jc w:val="center"/>
                    <w:rPr>
                      <w:rFonts w:hint="default"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-41</w:t>
                  </w:r>
                </w:p>
              </w:tc>
              <w:tc>
                <w:tcPr>
                  <w:tcW w:w="414" w:type="pct"/>
                  <w:noWrap w:val="0"/>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住户</w:t>
                  </w:r>
                </w:p>
              </w:tc>
              <w:tc>
                <w:tcPr>
                  <w:tcW w:w="567" w:type="pct"/>
                  <w:noWrap w:val="0"/>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约3人</w:t>
                  </w:r>
                </w:p>
              </w:tc>
              <w:tc>
                <w:tcPr>
                  <w:tcW w:w="424" w:type="pct"/>
                  <w:vMerge w:val="restart"/>
                  <w:noWrap w:val="0"/>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二类区</w:t>
                  </w:r>
                </w:p>
              </w:tc>
              <w:tc>
                <w:tcPr>
                  <w:tcW w:w="561" w:type="pct"/>
                  <w:noWrap w:val="0"/>
                  <w:vAlign w:val="center"/>
                </w:tcPr>
                <w:p>
                  <w:pPr>
                    <w:pStyle w:val="4"/>
                    <w:tabs>
                      <w:tab w:val="left" w:pos="1277"/>
                    </w:tabs>
                    <w:spacing w:line="240" w:lineRule="auto"/>
                    <w:jc w:val="center"/>
                    <w:rPr>
                      <w:rFonts w:hint="default"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西南</w:t>
                  </w:r>
                </w:p>
              </w:tc>
              <w:tc>
                <w:tcPr>
                  <w:tcW w:w="669" w:type="pct"/>
                  <w:noWrap w:val="0"/>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5" w:type="pct"/>
                  <w:noWrap w:val="0"/>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2</w:t>
                  </w:r>
                </w:p>
              </w:tc>
              <w:tc>
                <w:tcPr>
                  <w:tcW w:w="1275" w:type="pct"/>
                  <w:noWrap w:val="0"/>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2#居民点</w:t>
                  </w:r>
                </w:p>
              </w:tc>
              <w:tc>
                <w:tcPr>
                  <w:tcW w:w="386" w:type="pct"/>
                  <w:noWrap w:val="0"/>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10</w:t>
                  </w:r>
                </w:p>
              </w:tc>
              <w:tc>
                <w:tcPr>
                  <w:tcW w:w="414" w:type="pct"/>
                  <w:noWrap w:val="0"/>
                  <w:vAlign w:val="center"/>
                </w:tcPr>
                <w:p>
                  <w:pPr>
                    <w:pStyle w:val="4"/>
                    <w:tabs>
                      <w:tab w:val="left" w:pos="1277"/>
                    </w:tabs>
                    <w:spacing w:line="240" w:lineRule="auto"/>
                    <w:jc w:val="center"/>
                    <w:rPr>
                      <w:rFonts w:hint="default"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92</w:t>
                  </w:r>
                </w:p>
              </w:tc>
              <w:tc>
                <w:tcPr>
                  <w:tcW w:w="414" w:type="pct"/>
                  <w:noWrap w:val="0"/>
                  <w:vAlign w:val="center"/>
                </w:tcPr>
                <w:p>
                  <w:pPr>
                    <w:spacing w:line="240" w:lineRule="auto"/>
                    <w:jc w:val="center"/>
                    <w:rPr>
                      <w:rFonts w:hint="eastAsia" w:ascii="Times New Roman" w:hAnsi="Times New Roman" w:eastAsia="宋体" w:cs="Times New Roman"/>
                      <w:bCs w:val="0"/>
                      <w:color w:val="auto"/>
                      <w:kern w:val="2"/>
                      <w:sz w:val="21"/>
                      <w:szCs w:val="21"/>
                      <w:highlight w:val="none"/>
                      <w:lang w:val="en-US" w:eastAsia="zh-CN" w:bidi="ar-SA"/>
                    </w:rPr>
                  </w:pPr>
                  <w:r>
                    <w:rPr>
                      <w:rFonts w:hint="eastAsia" w:eastAsia="宋体" w:cs="Times New Roman"/>
                      <w:bCs w:val="0"/>
                      <w:color w:val="auto"/>
                      <w:sz w:val="21"/>
                      <w:szCs w:val="21"/>
                      <w:highlight w:val="none"/>
                      <w:lang w:val="en-US" w:eastAsia="zh-CN"/>
                    </w:rPr>
                    <w:t>住户</w:t>
                  </w:r>
                </w:p>
              </w:tc>
              <w:tc>
                <w:tcPr>
                  <w:tcW w:w="567" w:type="pct"/>
                  <w:noWrap w:val="0"/>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约9人</w:t>
                  </w:r>
                </w:p>
              </w:tc>
              <w:tc>
                <w:tcPr>
                  <w:tcW w:w="424" w:type="pct"/>
                  <w:vMerge w:val="continue"/>
                  <w:noWrap w:val="0"/>
                  <w:vAlign w:val="center"/>
                </w:tcPr>
                <w:p>
                  <w:pPr>
                    <w:spacing w:line="240" w:lineRule="auto"/>
                    <w:jc w:val="center"/>
                    <w:rPr>
                      <w:rFonts w:hint="eastAsia" w:ascii="Times New Roman" w:hAnsi="Times New Roman" w:eastAsia="宋体" w:cs="Times New Roman"/>
                      <w:bCs w:val="0"/>
                      <w:color w:val="auto"/>
                      <w:kern w:val="2"/>
                      <w:sz w:val="21"/>
                      <w:szCs w:val="21"/>
                      <w:highlight w:val="none"/>
                      <w:lang w:val="en-US" w:eastAsia="zh-CN" w:bidi="ar-SA"/>
                    </w:rPr>
                  </w:pPr>
                </w:p>
              </w:tc>
              <w:tc>
                <w:tcPr>
                  <w:tcW w:w="561" w:type="pct"/>
                  <w:noWrap w:val="0"/>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北</w:t>
                  </w:r>
                </w:p>
              </w:tc>
              <w:tc>
                <w:tcPr>
                  <w:tcW w:w="669" w:type="pct"/>
                  <w:noWrap w:val="0"/>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5" w:type="pct"/>
                  <w:noWrap w:val="0"/>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3</w:t>
                  </w:r>
                </w:p>
              </w:tc>
              <w:tc>
                <w:tcPr>
                  <w:tcW w:w="1275" w:type="pct"/>
                  <w:noWrap w:val="0"/>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3#居民点</w:t>
                  </w:r>
                </w:p>
              </w:tc>
              <w:tc>
                <w:tcPr>
                  <w:tcW w:w="386" w:type="pct"/>
                  <w:noWrap w:val="0"/>
                  <w:vAlign w:val="center"/>
                </w:tcPr>
                <w:p>
                  <w:pPr>
                    <w:pStyle w:val="4"/>
                    <w:tabs>
                      <w:tab w:val="left" w:pos="1277"/>
                    </w:tabs>
                    <w:spacing w:line="240" w:lineRule="auto"/>
                    <w:jc w:val="center"/>
                    <w:rPr>
                      <w:rFonts w:hint="default"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-74</w:t>
                  </w:r>
                </w:p>
              </w:tc>
              <w:tc>
                <w:tcPr>
                  <w:tcW w:w="414" w:type="pct"/>
                  <w:noWrap w:val="0"/>
                  <w:vAlign w:val="center"/>
                </w:tcPr>
                <w:p>
                  <w:pPr>
                    <w:pStyle w:val="4"/>
                    <w:tabs>
                      <w:tab w:val="left" w:pos="1277"/>
                    </w:tabs>
                    <w:spacing w:line="240" w:lineRule="auto"/>
                    <w:jc w:val="center"/>
                    <w:rPr>
                      <w:rFonts w:hint="default"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59</w:t>
                  </w:r>
                </w:p>
              </w:tc>
              <w:tc>
                <w:tcPr>
                  <w:tcW w:w="414" w:type="pct"/>
                  <w:noWrap w:val="0"/>
                  <w:vAlign w:val="center"/>
                </w:tcPr>
                <w:p>
                  <w:pPr>
                    <w:spacing w:line="240" w:lineRule="auto"/>
                    <w:jc w:val="center"/>
                    <w:rPr>
                      <w:rFonts w:hint="eastAsia" w:ascii="Times New Roman" w:hAnsi="Times New Roman" w:eastAsia="宋体" w:cs="Times New Roman"/>
                      <w:bCs w:val="0"/>
                      <w:color w:val="auto"/>
                      <w:kern w:val="2"/>
                      <w:sz w:val="21"/>
                      <w:szCs w:val="21"/>
                      <w:highlight w:val="none"/>
                      <w:lang w:val="en-US" w:eastAsia="zh-CN" w:bidi="ar-SA"/>
                    </w:rPr>
                  </w:pPr>
                  <w:r>
                    <w:rPr>
                      <w:rFonts w:hint="eastAsia" w:cs="Times New Roman"/>
                      <w:bCs w:val="0"/>
                      <w:color w:val="auto"/>
                      <w:sz w:val="21"/>
                      <w:szCs w:val="21"/>
                      <w:highlight w:val="none"/>
                      <w:lang w:val="en-US" w:eastAsia="zh-CN"/>
                    </w:rPr>
                    <w:t>住户</w:t>
                  </w:r>
                </w:p>
              </w:tc>
              <w:tc>
                <w:tcPr>
                  <w:tcW w:w="567" w:type="pct"/>
                  <w:noWrap w:val="0"/>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约3人</w:t>
                  </w:r>
                </w:p>
              </w:tc>
              <w:tc>
                <w:tcPr>
                  <w:tcW w:w="424" w:type="pct"/>
                  <w:vMerge w:val="continue"/>
                  <w:noWrap w:val="0"/>
                  <w:vAlign w:val="center"/>
                </w:tcPr>
                <w:p>
                  <w:pPr>
                    <w:spacing w:line="240" w:lineRule="auto"/>
                    <w:jc w:val="center"/>
                    <w:rPr>
                      <w:rFonts w:hint="eastAsia" w:ascii="Times New Roman" w:hAnsi="Times New Roman" w:eastAsia="宋体" w:cs="Times New Roman"/>
                      <w:bCs w:val="0"/>
                      <w:color w:val="auto"/>
                      <w:kern w:val="2"/>
                      <w:sz w:val="21"/>
                      <w:szCs w:val="21"/>
                      <w:highlight w:val="none"/>
                      <w:lang w:val="en-US" w:eastAsia="zh-CN" w:bidi="ar-SA"/>
                    </w:rPr>
                  </w:pPr>
                </w:p>
              </w:tc>
              <w:tc>
                <w:tcPr>
                  <w:tcW w:w="561" w:type="pct"/>
                  <w:noWrap w:val="0"/>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西北</w:t>
                  </w:r>
                </w:p>
              </w:tc>
              <w:tc>
                <w:tcPr>
                  <w:tcW w:w="669" w:type="pct"/>
                  <w:noWrap w:val="0"/>
                  <w:vAlign w:val="center"/>
                </w:tcPr>
                <w:p>
                  <w:pPr>
                    <w:pStyle w:val="4"/>
                    <w:tabs>
                      <w:tab w:val="left" w:pos="1277"/>
                    </w:tabs>
                    <w:spacing w:line="240" w:lineRule="auto"/>
                    <w:jc w:val="center"/>
                    <w:rPr>
                      <w:rFonts w:hint="default"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5" w:type="pct"/>
                  <w:noWrap w:val="0"/>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4</w:t>
                  </w:r>
                </w:p>
              </w:tc>
              <w:tc>
                <w:tcPr>
                  <w:tcW w:w="1275" w:type="pct"/>
                  <w:noWrap w:val="0"/>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4#居民点</w:t>
                  </w:r>
                </w:p>
              </w:tc>
              <w:tc>
                <w:tcPr>
                  <w:tcW w:w="386" w:type="pct"/>
                  <w:noWrap w:val="0"/>
                  <w:vAlign w:val="center"/>
                </w:tcPr>
                <w:p>
                  <w:pPr>
                    <w:pStyle w:val="4"/>
                    <w:tabs>
                      <w:tab w:val="left" w:pos="1277"/>
                    </w:tabs>
                    <w:spacing w:line="240" w:lineRule="auto"/>
                    <w:jc w:val="center"/>
                    <w:rPr>
                      <w:rFonts w:hint="default" w:eastAsia="宋体" w:cs="Times New Roman"/>
                      <w:bCs w:val="0"/>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-105</w:t>
                  </w:r>
                </w:p>
              </w:tc>
              <w:tc>
                <w:tcPr>
                  <w:tcW w:w="414" w:type="pct"/>
                  <w:noWrap w:val="0"/>
                  <w:vAlign w:val="center"/>
                </w:tcPr>
                <w:p>
                  <w:pPr>
                    <w:pStyle w:val="4"/>
                    <w:tabs>
                      <w:tab w:val="left" w:pos="1277"/>
                    </w:tabs>
                    <w:spacing w:line="240" w:lineRule="auto"/>
                    <w:jc w:val="center"/>
                    <w:rPr>
                      <w:rFonts w:hint="default" w:eastAsia="宋体" w:cs="Times New Roman"/>
                      <w:bCs w:val="0"/>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43</w:t>
                  </w:r>
                </w:p>
              </w:tc>
              <w:tc>
                <w:tcPr>
                  <w:tcW w:w="414" w:type="pct"/>
                  <w:noWrap w:val="0"/>
                  <w:vAlign w:val="center"/>
                </w:tcPr>
                <w:p>
                  <w:pPr>
                    <w:spacing w:line="240" w:lineRule="auto"/>
                    <w:jc w:val="center"/>
                    <w:rPr>
                      <w:rFonts w:hint="eastAsia" w:cs="Times New Roman"/>
                      <w:bCs w:val="0"/>
                      <w:color w:val="auto"/>
                      <w:kern w:val="2"/>
                      <w:sz w:val="21"/>
                      <w:szCs w:val="21"/>
                      <w:highlight w:val="none"/>
                      <w:lang w:val="en-US" w:eastAsia="zh-CN" w:bidi="ar-SA"/>
                    </w:rPr>
                  </w:pPr>
                  <w:r>
                    <w:rPr>
                      <w:rFonts w:hint="eastAsia" w:cs="Times New Roman"/>
                      <w:bCs w:val="0"/>
                      <w:color w:val="auto"/>
                      <w:sz w:val="21"/>
                      <w:szCs w:val="21"/>
                      <w:highlight w:val="none"/>
                      <w:lang w:val="en-US" w:eastAsia="zh-CN"/>
                    </w:rPr>
                    <w:t>住户</w:t>
                  </w:r>
                </w:p>
              </w:tc>
              <w:tc>
                <w:tcPr>
                  <w:tcW w:w="567" w:type="pct"/>
                  <w:noWrap w:val="0"/>
                  <w:vAlign w:val="center"/>
                </w:tcPr>
                <w:p>
                  <w:pPr>
                    <w:pStyle w:val="4"/>
                    <w:tabs>
                      <w:tab w:val="left" w:pos="1277"/>
                    </w:tabs>
                    <w:spacing w:line="240" w:lineRule="auto"/>
                    <w:jc w:val="center"/>
                    <w:rPr>
                      <w:rFonts w:hint="eastAsia" w:eastAsia="宋体" w:cs="Times New Roman"/>
                      <w:bCs w:val="0"/>
                      <w:color w:val="auto"/>
                      <w:sz w:val="21"/>
                      <w:szCs w:val="21"/>
                      <w:highlight w:val="none"/>
                      <w:lang w:val="en-US" w:eastAsia="zh-CN"/>
                    </w:rPr>
                  </w:pPr>
                  <w:r>
                    <w:rPr>
                      <w:rFonts w:hint="eastAsia" w:eastAsia="宋体" w:cs="Times New Roman"/>
                      <w:bCs w:val="0"/>
                      <w:color w:val="auto"/>
                      <w:sz w:val="21"/>
                      <w:szCs w:val="21"/>
                      <w:highlight w:val="none"/>
                      <w:lang w:val="en-US" w:eastAsia="zh-CN"/>
                    </w:rPr>
                    <w:t>约9人</w:t>
                  </w:r>
                </w:p>
              </w:tc>
              <w:tc>
                <w:tcPr>
                  <w:tcW w:w="424" w:type="pct"/>
                  <w:vMerge w:val="continue"/>
                  <w:noWrap w:val="0"/>
                  <w:vAlign w:val="center"/>
                </w:tcPr>
                <w:p>
                  <w:pPr>
                    <w:spacing w:line="240" w:lineRule="auto"/>
                    <w:jc w:val="center"/>
                    <w:rPr>
                      <w:rFonts w:hint="eastAsia" w:ascii="Times New Roman" w:hAnsi="Times New Roman" w:eastAsia="宋体" w:cs="Times New Roman"/>
                      <w:bCs w:val="0"/>
                      <w:color w:val="auto"/>
                      <w:kern w:val="2"/>
                      <w:sz w:val="21"/>
                      <w:szCs w:val="21"/>
                      <w:highlight w:val="none"/>
                      <w:lang w:val="en-US" w:eastAsia="zh-CN" w:bidi="ar-SA"/>
                    </w:rPr>
                  </w:pPr>
                </w:p>
              </w:tc>
              <w:tc>
                <w:tcPr>
                  <w:tcW w:w="561" w:type="pct"/>
                  <w:noWrap w:val="0"/>
                  <w:vAlign w:val="center"/>
                </w:tcPr>
                <w:p>
                  <w:pPr>
                    <w:pStyle w:val="4"/>
                    <w:tabs>
                      <w:tab w:val="left" w:pos="1277"/>
                    </w:tabs>
                    <w:spacing w:line="240" w:lineRule="auto"/>
                    <w:jc w:val="center"/>
                    <w:rPr>
                      <w:rFonts w:hint="eastAsia"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西北</w:t>
                  </w:r>
                </w:p>
              </w:tc>
              <w:tc>
                <w:tcPr>
                  <w:tcW w:w="669" w:type="pct"/>
                  <w:noWrap w:val="0"/>
                  <w:vAlign w:val="center"/>
                </w:tcPr>
                <w:p>
                  <w:pPr>
                    <w:pStyle w:val="4"/>
                    <w:tabs>
                      <w:tab w:val="left" w:pos="1277"/>
                    </w:tabs>
                    <w:spacing w:line="240" w:lineRule="auto"/>
                    <w:jc w:val="center"/>
                    <w:rPr>
                      <w:rFonts w:hint="default" w:eastAsia="宋体" w:cs="Times New Roman"/>
                      <w:bCs w:val="0"/>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5" w:type="pct"/>
                  <w:noWrap w:val="0"/>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5</w:t>
                  </w:r>
                </w:p>
              </w:tc>
              <w:tc>
                <w:tcPr>
                  <w:tcW w:w="1275" w:type="pct"/>
                  <w:noWrap w:val="0"/>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5#侣俸市监局</w:t>
                  </w:r>
                </w:p>
              </w:tc>
              <w:tc>
                <w:tcPr>
                  <w:tcW w:w="386" w:type="pct"/>
                  <w:noWrap w:val="0"/>
                  <w:vAlign w:val="center"/>
                </w:tcPr>
                <w:p>
                  <w:pPr>
                    <w:pStyle w:val="4"/>
                    <w:tabs>
                      <w:tab w:val="left" w:pos="1277"/>
                    </w:tabs>
                    <w:spacing w:line="240" w:lineRule="auto"/>
                    <w:jc w:val="center"/>
                    <w:rPr>
                      <w:rFonts w:hint="default" w:eastAsia="宋体" w:cs="Times New Roman"/>
                      <w:bCs w:val="0"/>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-147</w:t>
                  </w:r>
                </w:p>
              </w:tc>
              <w:tc>
                <w:tcPr>
                  <w:tcW w:w="414" w:type="pct"/>
                  <w:noWrap w:val="0"/>
                  <w:vAlign w:val="center"/>
                </w:tcPr>
                <w:p>
                  <w:pPr>
                    <w:pStyle w:val="4"/>
                    <w:tabs>
                      <w:tab w:val="left" w:pos="1277"/>
                    </w:tabs>
                    <w:spacing w:line="240" w:lineRule="auto"/>
                    <w:jc w:val="center"/>
                    <w:rPr>
                      <w:rFonts w:hint="default" w:eastAsia="宋体" w:cs="Times New Roman"/>
                      <w:bCs w:val="0"/>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102</w:t>
                  </w:r>
                </w:p>
              </w:tc>
              <w:tc>
                <w:tcPr>
                  <w:tcW w:w="414" w:type="pct"/>
                  <w:noWrap w:val="0"/>
                  <w:vAlign w:val="center"/>
                </w:tcPr>
                <w:p>
                  <w:pPr>
                    <w:spacing w:line="240" w:lineRule="auto"/>
                    <w:jc w:val="center"/>
                    <w:rPr>
                      <w:rFonts w:hint="default" w:cs="Times New Roman"/>
                      <w:bCs w:val="0"/>
                      <w:color w:val="auto"/>
                      <w:kern w:val="2"/>
                      <w:sz w:val="21"/>
                      <w:szCs w:val="21"/>
                      <w:highlight w:val="none"/>
                      <w:lang w:val="en-US" w:eastAsia="zh-CN" w:bidi="ar-SA"/>
                    </w:rPr>
                  </w:pPr>
                  <w:r>
                    <w:rPr>
                      <w:rFonts w:hint="eastAsia" w:cs="Times New Roman"/>
                      <w:bCs w:val="0"/>
                      <w:color w:val="auto"/>
                      <w:kern w:val="2"/>
                      <w:sz w:val="21"/>
                      <w:szCs w:val="21"/>
                      <w:highlight w:val="none"/>
                      <w:lang w:val="en-US" w:eastAsia="zh-CN" w:bidi="ar-SA"/>
                    </w:rPr>
                    <w:t>行政</w:t>
                  </w:r>
                </w:p>
              </w:tc>
              <w:tc>
                <w:tcPr>
                  <w:tcW w:w="567" w:type="pct"/>
                  <w:noWrap w:val="0"/>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约30人</w:t>
                  </w:r>
                </w:p>
              </w:tc>
              <w:tc>
                <w:tcPr>
                  <w:tcW w:w="424" w:type="pct"/>
                  <w:vMerge w:val="continue"/>
                  <w:noWrap w:val="0"/>
                  <w:vAlign w:val="center"/>
                </w:tcPr>
                <w:p>
                  <w:pPr>
                    <w:spacing w:line="240" w:lineRule="auto"/>
                    <w:jc w:val="center"/>
                    <w:rPr>
                      <w:rFonts w:hint="eastAsia" w:ascii="Times New Roman" w:hAnsi="Times New Roman" w:eastAsia="宋体" w:cs="Times New Roman"/>
                      <w:bCs w:val="0"/>
                      <w:color w:val="auto"/>
                      <w:kern w:val="2"/>
                      <w:sz w:val="21"/>
                      <w:szCs w:val="21"/>
                      <w:highlight w:val="none"/>
                      <w:lang w:val="en-US" w:eastAsia="zh-CN" w:bidi="ar-SA"/>
                    </w:rPr>
                  </w:pPr>
                </w:p>
              </w:tc>
              <w:tc>
                <w:tcPr>
                  <w:tcW w:w="561" w:type="pct"/>
                  <w:noWrap w:val="0"/>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西北</w:t>
                  </w:r>
                </w:p>
              </w:tc>
              <w:tc>
                <w:tcPr>
                  <w:tcW w:w="669" w:type="pct"/>
                  <w:noWrap w:val="0"/>
                  <w:vAlign w:val="center"/>
                </w:tcPr>
                <w:p>
                  <w:pPr>
                    <w:pStyle w:val="4"/>
                    <w:tabs>
                      <w:tab w:val="left" w:pos="1277"/>
                    </w:tabs>
                    <w:spacing w:line="240" w:lineRule="auto"/>
                    <w:jc w:val="center"/>
                    <w:rPr>
                      <w:rFonts w:hint="default"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5" w:type="pct"/>
                  <w:noWrap w:val="0"/>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6</w:t>
                  </w:r>
                </w:p>
              </w:tc>
              <w:tc>
                <w:tcPr>
                  <w:tcW w:w="1275" w:type="pct"/>
                  <w:noWrap w:val="0"/>
                  <w:vAlign w:val="center"/>
                </w:tcPr>
                <w:p>
                  <w:pPr>
                    <w:pStyle w:val="4"/>
                    <w:tabs>
                      <w:tab w:val="left" w:pos="1277"/>
                    </w:tabs>
                    <w:spacing w:line="240" w:lineRule="auto"/>
                    <w:jc w:val="center"/>
                    <w:rPr>
                      <w:rFonts w:hint="default" w:eastAsia="宋体" w:cs="Times New Roman"/>
                      <w:bCs w:val="0"/>
                      <w:color w:val="auto"/>
                      <w:sz w:val="21"/>
                      <w:szCs w:val="21"/>
                      <w:highlight w:val="none"/>
                      <w:lang w:val="en-US" w:eastAsia="zh-CN"/>
                    </w:rPr>
                  </w:pPr>
                  <w:r>
                    <w:rPr>
                      <w:rFonts w:hint="eastAsia" w:eastAsia="宋体" w:cs="Times New Roman"/>
                      <w:bCs w:val="0"/>
                      <w:color w:val="auto"/>
                      <w:sz w:val="21"/>
                      <w:szCs w:val="21"/>
                      <w:highlight w:val="none"/>
                      <w:lang w:val="en-US" w:eastAsia="zh-CN"/>
                    </w:rPr>
                    <w:t>6#居民点</w:t>
                  </w:r>
                </w:p>
              </w:tc>
              <w:tc>
                <w:tcPr>
                  <w:tcW w:w="386" w:type="pct"/>
                  <w:noWrap w:val="0"/>
                  <w:vAlign w:val="center"/>
                </w:tcPr>
                <w:p>
                  <w:pPr>
                    <w:pStyle w:val="4"/>
                    <w:tabs>
                      <w:tab w:val="left" w:pos="1277"/>
                    </w:tabs>
                    <w:spacing w:line="240" w:lineRule="auto"/>
                    <w:jc w:val="center"/>
                    <w:rPr>
                      <w:rFonts w:hint="default" w:eastAsia="宋体" w:cs="Times New Roman"/>
                      <w:bCs w:val="0"/>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13</w:t>
                  </w:r>
                </w:p>
              </w:tc>
              <w:tc>
                <w:tcPr>
                  <w:tcW w:w="414" w:type="pct"/>
                  <w:noWrap w:val="0"/>
                  <w:vAlign w:val="center"/>
                </w:tcPr>
                <w:p>
                  <w:pPr>
                    <w:pStyle w:val="4"/>
                    <w:tabs>
                      <w:tab w:val="left" w:pos="1277"/>
                    </w:tabs>
                    <w:spacing w:line="240" w:lineRule="auto"/>
                    <w:jc w:val="center"/>
                    <w:rPr>
                      <w:rFonts w:hint="default" w:eastAsia="宋体" w:cs="Times New Roman"/>
                      <w:bCs w:val="0"/>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107</w:t>
                  </w:r>
                </w:p>
              </w:tc>
              <w:tc>
                <w:tcPr>
                  <w:tcW w:w="414" w:type="pct"/>
                  <w:noWrap w:val="0"/>
                  <w:vAlign w:val="center"/>
                </w:tcPr>
                <w:p>
                  <w:pPr>
                    <w:spacing w:line="240" w:lineRule="auto"/>
                    <w:jc w:val="center"/>
                    <w:rPr>
                      <w:rFonts w:hint="eastAsia" w:cs="Times New Roman"/>
                      <w:bCs w:val="0"/>
                      <w:color w:val="auto"/>
                      <w:kern w:val="2"/>
                      <w:sz w:val="21"/>
                      <w:szCs w:val="21"/>
                      <w:highlight w:val="none"/>
                      <w:lang w:val="en-US" w:eastAsia="zh-CN" w:bidi="ar-SA"/>
                    </w:rPr>
                  </w:pPr>
                  <w:r>
                    <w:rPr>
                      <w:rFonts w:hint="eastAsia" w:cs="Times New Roman"/>
                      <w:bCs w:val="0"/>
                      <w:color w:val="auto"/>
                      <w:sz w:val="21"/>
                      <w:szCs w:val="21"/>
                      <w:highlight w:val="none"/>
                      <w:lang w:val="en-US" w:eastAsia="zh-CN"/>
                    </w:rPr>
                    <w:t>住户</w:t>
                  </w:r>
                </w:p>
              </w:tc>
              <w:tc>
                <w:tcPr>
                  <w:tcW w:w="567" w:type="pct"/>
                  <w:noWrap w:val="0"/>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约27人</w:t>
                  </w:r>
                </w:p>
              </w:tc>
              <w:tc>
                <w:tcPr>
                  <w:tcW w:w="424" w:type="pct"/>
                  <w:vMerge w:val="continue"/>
                  <w:noWrap w:val="0"/>
                  <w:vAlign w:val="center"/>
                </w:tcPr>
                <w:p>
                  <w:pPr>
                    <w:spacing w:line="240" w:lineRule="auto"/>
                    <w:jc w:val="center"/>
                    <w:rPr>
                      <w:rFonts w:hint="eastAsia" w:ascii="Times New Roman" w:hAnsi="Times New Roman" w:eastAsia="宋体" w:cs="Times New Roman"/>
                      <w:bCs w:val="0"/>
                      <w:color w:val="auto"/>
                      <w:kern w:val="2"/>
                      <w:sz w:val="21"/>
                      <w:szCs w:val="21"/>
                      <w:highlight w:val="none"/>
                      <w:lang w:val="en-US" w:eastAsia="zh-CN" w:bidi="ar-SA"/>
                    </w:rPr>
                  </w:pPr>
                </w:p>
              </w:tc>
              <w:tc>
                <w:tcPr>
                  <w:tcW w:w="561" w:type="pct"/>
                  <w:noWrap w:val="0"/>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北</w:t>
                  </w:r>
                </w:p>
              </w:tc>
              <w:tc>
                <w:tcPr>
                  <w:tcW w:w="669" w:type="pct"/>
                  <w:noWrap w:val="0"/>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5" w:type="pct"/>
                  <w:noWrap w:val="0"/>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7</w:t>
                  </w:r>
                </w:p>
              </w:tc>
              <w:tc>
                <w:tcPr>
                  <w:tcW w:w="1275" w:type="pct"/>
                  <w:noWrap w:val="0"/>
                  <w:vAlign w:val="center"/>
                </w:tcPr>
                <w:p>
                  <w:pPr>
                    <w:pStyle w:val="4"/>
                    <w:tabs>
                      <w:tab w:val="left" w:pos="1277"/>
                    </w:tabs>
                    <w:spacing w:line="240" w:lineRule="auto"/>
                    <w:jc w:val="center"/>
                    <w:rPr>
                      <w:rFonts w:hint="eastAsia" w:eastAsia="宋体" w:cs="Times New Roman"/>
                      <w:bCs w:val="0"/>
                      <w:color w:val="auto"/>
                      <w:sz w:val="21"/>
                      <w:szCs w:val="21"/>
                      <w:highlight w:val="none"/>
                      <w:lang w:val="en-US" w:eastAsia="zh-CN"/>
                    </w:rPr>
                  </w:pPr>
                  <w:r>
                    <w:rPr>
                      <w:rFonts w:hint="eastAsia" w:eastAsia="宋体" w:cs="Times New Roman"/>
                      <w:bCs w:val="0"/>
                      <w:color w:val="auto"/>
                      <w:sz w:val="21"/>
                      <w:szCs w:val="21"/>
                      <w:highlight w:val="none"/>
                      <w:lang w:val="en-US" w:eastAsia="zh-CN"/>
                    </w:rPr>
                    <w:t>7#铜梁区</w:t>
                  </w:r>
                  <w:r>
                    <w:rPr>
                      <w:rFonts w:hint="eastAsia" w:eastAsia="宋体" w:cs="Times New Roman"/>
                      <w:bCs w:val="0"/>
                      <w:color w:val="auto"/>
                      <w:kern w:val="0"/>
                      <w:sz w:val="21"/>
                      <w:szCs w:val="21"/>
                      <w:highlight w:val="none"/>
                      <w:lang w:val="en-US" w:eastAsia="zh-CN" w:bidi="ar-SA"/>
                    </w:rPr>
                    <w:t>精神病医院</w:t>
                  </w:r>
                </w:p>
              </w:tc>
              <w:tc>
                <w:tcPr>
                  <w:tcW w:w="386" w:type="pct"/>
                  <w:noWrap w:val="0"/>
                  <w:vAlign w:val="center"/>
                </w:tcPr>
                <w:p>
                  <w:pPr>
                    <w:pStyle w:val="4"/>
                    <w:tabs>
                      <w:tab w:val="left" w:pos="1277"/>
                    </w:tabs>
                    <w:spacing w:line="240" w:lineRule="auto"/>
                    <w:jc w:val="center"/>
                    <w:rPr>
                      <w:rFonts w:hint="default" w:eastAsia="宋体" w:cs="Times New Roman"/>
                      <w:bCs w:val="0"/>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-127</w:t>
                  </w:r>
                </w:p>
              </w:tc>
              <w:tc>
                <w:tcPr>
                  <w:tcW w:w="414" w:type="pct"/>
                  <w:noWrap w:val="0"/>
                  <w:vAlign w:val="center"/>
                </w:tcPr>
                <w:p>
                  <w:pPr>
                    <w:pStyle w:val="4"/>
                    <w:tabs>
                      <w:tab w:val="left" w:pos="1277"/>
                    </w:tabs>
                    <w:spacing w:line="240" w:lineRule="auto"/>
                    <w:jc w:val="center"/>
                    <w:rPr>
                      <w:rFonts w:hint="default" w:eastAsia="宋体" w:cs="Times New Roman"/>
                      <w:bCs w:val="0"/>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172</w:t>
                  </w:r>
                </w:p>
              </w:tc>
              <w:tc>
                <w:tcPr>
                  <w:tcW w:w="414" w:type="pct"/>
                  <w:noWrap w:val="0"/>
                  <w:vAlign w:val="center"/>
                </w:tcPr>
                <w:p>
                  <w:pPr>
                    <w:spacing w:line="240" w:lineRule="auto"/>
                    <w:jc w:val="center"/>
                    <w:rPr>
                      <w:rFonts w:hint="default" w:cs="Times New Roman"/>
                      <w:bCs w:val="0"/>
                      <w:color w:val="auto"/>
                      <w:kern w:val="2"/>
                      <w:sz w:val="21"/>
                      <w:szCs w:val="21"/>
                      <w:highlight w:val="none"/>
                      <w:lang w:val="en-US" w:eastAsia="zh-CN" w:bidi="ar-SA"/>
                    </w:rPr>
                  </w:pPr>
                  <w:r>
                    <w:rPr>
                      <w:rFonts w:hint="eastAsia" w:cs="Times New Roman"/>
                      <w:bCs w:val="0"/>
                      <w:color w:val="auto"/>
                      <w:kern w:val="2"/>
                      <w:sz w:val="21"/>
                      <w:szCs w:val="21"/>
                      <w:highlight w:val="none"/>
                      <w:lang w:val="en-US" w:eastAsia="zh-CN" w:bidi="ar-SA"/>
                    </w:rPr>
                    <w:t>医院</w:t>
                  </w:r>
                </w:p>
              </w:tc>
              <w:tc>
                <w:tcPr>
                  <w:tcW w:w="567" w:type="pct"/>
                  <w:noWrap w:val="0"/>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约80人</w:t>
                  </w:r>
                </w:p>
              </w:tc>
              <w:tc>
                <w:tcPr>
                  <w:tcW w:w="424" w:type="pct"/>
                  <w:vMerge w:val="continue"/>
                  <w:noWrap w:val="0"/>
                  <w:vAlign w:val="center"/>
                </w:tcPr>
                <w:p>
                  <w:pPr>
                    <w:spacing w:line="240" w:lineRule="auto"/>
                    <w:jc w:val="center"/>
                    <w:rPr>
                      <w:rFonts w:hint="eastAsia" w:ascii="Times New Roman" w:hAnsi="Times New Roman" w:eastAsia="宋体" w:cs="Times New Roman"/>
                      <w:bCs w:val="0"/>
                      <w:color w:val="auto"/>
                      <w:kern w:val="2"/>
                      <w:sz w:val="21"/>
                      <w:szCs w:val="21"/>
                      <w:highlight w:val="none"/>
                      <w:lang w:val="en-US" w:eastAsia="zh-CN" w:bidi="ar-SA"/>
                    </w:rPr>
                  </w:pPr>
                </w:p>
              </w:tc>
              <w:tc>
                <w:tcPr>
                  <w:tcW w:w="561" w:type="pct"/>
                  <w:noWrap w:val="0"/>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西北</w:t>
                  </w:r>
                </w:p>
              </w:tc>
              <w:tc>
                <w:tcPr>
                  <w:tcW w:w="669" w:type="pct"/>
                  <w:noWrap w:val="0"/>
                  <w:vAlign w:val="center"/>
                </w:tcPr>
                <w:p>
                  <w:pPr>
                    <w:pStyle w:val="4"/>
                    <w:tabs>
                      <w:tab w:val="left" w:pos="1277"/>
                    </w:tabs>
                    <w:spacing w:line="240" w:lineRule="auto"/>
                    <w:jc w:val="center"/>
                    <w:rPr>
                      <w:rFonts w:hint="default"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5" w:type="pct"/>
                  <w:noWrap w:val="0"/>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8</w:t>
                  </w:r>
                </w:p>
              </w:tc>
              <w:tc>
                <w:tcPr>
                  <w:tcW w:w="1275" w:type="pct"/>
                  <w:noWrap w:val="0"/>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8</w:t>
                  </w:r>
                  <w:r>
                    <w:rPr>
                      <w:rFonts w:hint="eastAsia" w:eastAsia="宋体" w:cs="Times New Roman"/>
                      <w:bCs w:val="0"/>
                      <w:color w:val="auto"/>
                      <w:sz w:val="21"/>
                      <w:szCs w:val="21"/>
                      <w:highlight w:val="none"/>
                      <w:lang w:val="en-US" w:eastAsia="zh-CN"/>
                    </w:rPr>
                    <w:t>#居民点</w:t>
                  </w:r>
                </w:p>
              </w:tc>
              <w:tc>
                <w:tcPr>
                  <w:tcW w:w="386" w:type="pct"/>
                  <w:noWrap w:val="0"/>
                  <w:vAlign w:val="center"/>
                </w:tcPr>
                <w:p>
                  <w:pPr>
                    <w:pStyle w:val="4"/>
                    <w:tabs>
                      <w:tab w:val="left" w:pos="1277"/>
                    </w:tabs>
                    <w:spacing w:line="240" w:lineRule="auto"/>
                    <w:jc w:val="center"/>
                    <w:rPr>
                      <w:rFonts w:hint="default" w:eastAsia="宋体" w:cs="Times New Roman"/>
                      <w:bCs w:val="0"/>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-214</w:t>
                  </w:r>
                </w:p>
              </w:tc>
              <w:tc>
                <w:tcPr>
                  <w:tcW w:w="414" w:type="pct"/>
                  <w:noWrap w:val="0"/>
                  <w:vAlign w:val="center"/>
                </w:tcPr>
                <w:p>
                  <w:pPr>
                    <w:pStyle w:val="4"/>
                    <w:tabs>
                      <w:tab w:val="left" w:pos="1277"/>
                    </w:tabs>
                    <w:spacing w:line="240" w:lineRule="auto"/>
                    <w:jc w:val="center"/>
                    <w:rPr>
                      <w:rFonts w:hint="default" w:eastAsia="宋体" w:cs="Times New Roman"/>
                      <w:bCs w:val="0"/>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194</w:t>
                  </w:r>
                </w:p>
              </w:tc>
              <w:tc>
                <w:tcPr>
                  <w:tcW w:w="414" w:type="pct"/>
                  <w:noWrap w:val="0"/>
                  <w:vAlign w:val="center"/>
                </w:tcPr>
                <w:p>
                  <w:pPr>
                    <w:spacing w:line="240" w:lineRule="auto"/>
                    <w:jc w:val="center"/>
                    <w:rPr>
                      <w:rFonts w:hint="eastAsia" w:cs="Times New Roman"/>
                      <w:bCs w:val="0"/>
                      <w:color w:val="auto"/>
                      <w:kern w:val="2"/>
                      <w:sz w:val="21"/>
                      <w:szCs w:val="21"/>
                      <w:highlight w:val="none"/>
                      <w:lang w:val="en-US" w:eastAsia="zh-CN" w:bidi="ar-SA"/>
                    </w:rPr>
                  </w:pPr>
                  <w:r>
                    <w:rPr>
                      <w:rFonts w:hint="eastAsia" w:cs="Times New Roman"/>
                      <w:bCs w:val="0"/>
                      <w:color w:val="auto"/>
                      <w:sz w:val="21"/>
                      <w:szCs w:val="21"/>
                      <w:highlight w:val="none"/>
                      <w:lang w:val="en-US" w:eastAsia="zh-CN"/>
                    </w:rPr>
                    <w:t>住户</w:t>
                  </w:r>
                </w:p>
              </w:tc>
              <w:tc>
                <w:tcPr>
                  <w:tcW w:w="567" w:type="pct"/>
                  <w:noWrap w:val="0"/>
                  <w:vAlign w:val="center"/>
                </w:tcPr>
                <w:p>
                  <w:pPr>
                    <w:pStyle w:val="4"/>
                    <w:tabs>
                      <w:tab w:val="left" w:pos="1277"/>
                    </w:tabs>
                    <w:spacing w:line="240" w:lineRule="auto"/>
                    <w:jc w:val="center"/>
                    <w:rPr>
                      <w:rFonts w:hint="eastAsia" w:eastAsia="宋体" w:cs="Times New Roman"/>
                      <w:bCs w:val="0"/>
                      <w:color w:val="auto"/>
                      <w:sz w:val="21"/>
                      <w:szCs w:val="21"/>
                      <w:highlight w:val="none"/>
                      <w:lang w:val="en-US" w:eastAsia="zh-CN"/>
                    </w:rPr>
                  </w:pPr>
                  <w:r>
                    <w:rPr>
                      <w:rFonts w:hint="eastAsia" w:eastAsia="宋体" w:cs="Times New Roman"/>
                      <w:bCs w:val="0"/>
                      <w:color w:val="auto"/>
                      <w:sz w:val="21"/>
                      <w:szCs w:val="21"/>
                      <w:highlight w:val="none"/>
                      <w:lang w:val="en-US" w:eastAsia="zh-CN"/>
                    </w:rPr>
                    <w:t>约66人</w:t>
                  </w:r>
                </w:p>
              </w:tc>
              <w:tc>
                <w:tcPr>
                  <w:tcW w:w="424" w:type="pct"/>
                  <w:vMerge w:val="continue"/>
                  <w:noWrap w:val="0"/>
                  <w:vAlign w:val="center"/>
                </w:tcPr>
                <w:p>
                  <w:pPr>
                    <w:spacing w:line="240" w:lineRule="auto"/>
                    <w:jc w:val="center"/>
                    <w:rPr>
                      <w:rFonts w:hint="eastAsia" w:ascii="Times New Roman" w:hAnsi="Times New Roman" w:eastAsia="宋体" w:cs="Times New Roman"/>
                      <w:bCs w:val="0"/>
                      <w:color w:val="auto"/>
                      <w:kern w:val="2"/>
                      <w:sz w:val="21"/>
                      <w:szCs w:val="21"/>
                      <w:highlight w:val="none"/>
                      <w:lang w:val="en-US" w:eastAsia="zh-CN" w:bidi="ar-SA"/>
                    </w:rPr>
                  </w:pPr>
                </w:p>
              </w:tc>
              <w:tc>
                <w:tcPr>
                  <w:tcW w:w="561" w:type="pct"/>
                  <w:noWrap w:val="0"/>
                  <w:vAlign w:val="center"/>
                </w:tcPr>
                <w:p>
                  <w:pPr>
                    <w:pStyle w:val="4"/>
                    <w:tabs>
                      <w:tab w:val="left" w:pos="1277"/>
                    </w:tabs>
                    <w:spacing w:line="240" w:lineRule="auto"/>
                    <w:jc w:val="center"/>
                    <w:rPr>
                      <w:rFonts w:hint="eastAsia" w:eastAsia="宋体" w:cs="Times New Roman"/>
                      <w:bCs w:val="0"/>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西北</w:t>
                  </w:r>
                </w:p>
              </w:tc>
              <w:tc>
                <w:tcPr>
                  <w:tcW w:w="669" w:type="pct"/>
                  <w:noWrap w:val="0"/>
                  <w:vAlign w:val="center"/>
                </w:tcPr>
                <w:p>
                  <w:pPr>
                    <w:pStyle w:val="4"/>
                    <w:tabs>
                      <w:tab w:val="left" w:pos="1277"/>
                    </w:tabs>
                    <w:spacing w:line="240" w:lineRule="auto"/>
                    <w:jc w:val="center"/>
                    <w:rPr>
                      <w:rFonts w:hint="default" w:eastAsia="宋体" w:cs="Times New Roman"/>
                      <w:bCs w:val="0"/>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5" w:type="pct"/>
                  <w:noWrap w:val="0"/>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9</w:t>
                  </w:r>
                </w:p>
              </w:tc>
              <w:tc>
                <w:tcPr>
                  <w:tcW w:w="1275" w:type="pct"/>
                  <w:noWrap w:val="0"/>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9</w:t>
                  </w:r>
                  <w:r>
                    <w:rPr>
                      <w:rFonts w:hint="eastAsia" w:eastAsia="宋体" w:cs="Times New Roman"/>
                      <w:bCs w:val="0"/>
                      <w:color w:val="auto"/>
                      <w:sz w:val="21"/>
                      <w:szCs w:val="21"/>
                      <w:highlight w:val="none"/>
                      <w:lang w:val="en-US" w:eastAsia="zh-CN"/>
                    </w:rPr>
                    <w:t>#居民点</w:t>
                  </w:r>
                </w:p>
              </w:tc>
              <w:tc>
                <w:tcPr>
                  <w:tcW w:w="386" w:type="pct"/>
                  <w:noWrap w:val="0"/>
                  <w:vAlign w:val="center"/>
                </w:tcPr>
                <w:p>
                  <w:pPr>
                    <w:pStyle w:val="4"/>
                    <w:tabs>
                      <w:tab w:val="left" w:pos="1277"/>
                    </w:tabs>
                    <w:spacing w:line="240" w:lineRule="auto"/>
                    <w:jc w:val="center"/>
                    <w:rPr>
                      <w:rFonts w:hint="default" w:eastAsia="宋体" w:cs="Times New Roman"/>
                      <w:bCs w:val="0"/>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-391</w:t>
                  </w:r>
                </w:p>
              </w:tc>
              <w:tc>
                <w:tcPr>
                  <w:tcW w:w="414" w:type="pct"/>
                  <w:noWrap w:val="0"/>
                  <w:vAlign w:val="center"/>
                </w:tcPr>
                <w:p>
                  <w:pPr>
                    <w:pStyle w:val="4"/>
                    <w:tabs>
                      <w:tab w:val="left" w:pos="1277"/>
                    </w:tabs>
                    <w:spacing w:line="240" w:lineRule="auto"/>
                    <w:jc w:val="center"/>
                    <w:rPr>
                      <w:rFonts w:hint="default" w:eastAsia="宋体" w:cs="Times New Roman"/>
                      <w:bCs w:val="0"/>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473</w:t>
                  </w:r>
                </w:p>
              </w:tc>
              <w:tc>
                <w:tcPr>
                  <w:tcW w:w="414" w:type="pct"/>
                  <w:noWrap w:val="0"/>
                  <w:vAlign w:val="center"/>
                </w:tcPr>
                <w:p>
                  <w:pPr>
                    <w:spacing w:line="240" w:lineRule="auto"/>
                    <w:jc w:val="center"/>
                    <w:rPr>
                      <w:rFonts w:hint="eastAsia" w:cs="Times New Roman"/>
                      <w:bCs w:val="0"/>
                      <w:color w:val="auto"/>
                      <w:kern w:val="2"/>
                      <w:sz w:val="21"/>
                      <w:szCs w:val="21"/>
                      <w:highlight w:val="none"/>
                      <w:lang w:val="en-US" w:eastAsia="zh-CN" w:bidi="ar-SA"/>
                    </w:rPr>
                  </w:pPr>
                  <w:r>
                    <w:rPr>
                      <w:rFonts w:hint="eastAsia" w:cs="Times New Roman"/>
                      <w:bCs w:val="0"/>
                      <w:color w:val="auto"/>
                      <w:sz w:val="21"/>
                      <w:szCs w:val="21"/>
                      <w:highlight w:val="none"/>
                      <w:lang w:val="en-US" w:eastAsia="zh-CN"/>
                    </w:rPr>
                    <w:t>住户</w:t>
                  </w:r>
                </w:p>
              </w:tc>
              <w:tc>
                <w:tcPr>
                  <w:tcW w:w="567" w:type="pct"/>
                  <w:noWrap w:val="0"/>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约15人</w:t>
                  </w:r>
                </w:p>
              </w:tc>
              <w:tc>
                <w:tcPr>
                  <w:tcW w:w="424" w:type="pct"/>
                  <w:vMerge w:val="continue"/>
                  <w:noWrap w:val="0"/>
                  <w:vAlign w:val="center"/>
                </w:tcPr>
                <w:p>
                  <w:pPr>
                    <w:spacing w:line="240" w:lineRule="auto"/>
                    <w:jc w:val="center"/>
                    <w:rPr>
                      <w:rFonts w:hint="eastAsia" w:ascii="Times New Roman" w:hAnsi="Times New Roman" w:eastAsia="宋体" w:cs="Times New Roman"/>
                      <w:bCs w:val="0"/>
                      <w:color w:val="auto"/>
                      <w:kern w:val="2"/>
                      <w:sz w:val="21"/>
                      <w:szCs w:val="21"/>
                      <w:highlight w:val="none"/>
                      <w:lang w:val="en-US" w:eastAsia="zh-CN" w:bidi="ar-SA"/>
                    </w:rPr>
                  </w:pPr>
                </w:p>
              </w:tc>
              <w:tc>
                <w:tcPr>
                  <w:tcW w:w="561" w:type="pct"/>
                  <w:noWrap w:val="0"/>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西北</w:t>
                  </w:r>
                </w:p>
              </w:tc>
              <w:tc>
                <w:tcPr>
                  <w:tcW w:w="669" w:type="pct"/>
                  <w:noWrap w:val="0"/>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5" w:type="pct"/>
                  <w:noWrap w:val="0"/>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10</w:t>
                  </w:r>
                </w:p>
              </w:tc>
              <w:tc>
                <w:tcPr>
                  <w:tcW w:w="1275" w:type="pct"/>
                  <w:noWrap w:val="0"/>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10</w:t>
                  </w:r>
                  <w:r>
                    <w:rPr>
                      <w:rFonts w:hint="eastAsia" w:eastAsia="宋体" w:cs="Times New Roman"/>
                      <w:bCs w:val="0"/>
                      <w:color w:val="auto"/>
                      <w:sz w:val="21"/>
                      <w:szCs w:val="21"/>
                      <w:highlight w:val="none"/>
                      <w:lang w:val="en-US" w:eastAsia="zh-CN"/>
                    </w:rPr>
                    <w:t>#居民点</w:t>
                  </w:r>
                </w:p>
              </w:tc>
              <w:tc>
                <w:tcPr>
                  <w:tcW w:w="386" w:type="pct"/>
                  <w:noWrap w:val="0"/>
                  <w:vAlign w:val="center"/>
                </w:tcPr>
                <w:p>
                  <w:pPr>
                    <w:pStyle w:val="4"/>
                    <w:tabs>
                      <w:tab w:val="left" w:pos="1277"/>
                    </w:tabs>
                    <w:spacing w:line="240" w:lineRule="auto"/>
                    <w:jc w:val="center"/>
                    <w:rPr>
                      <w:rFonts w:hint="default" w:eastAsia="宋体" w:cs="Times New Roman"/>
                      <w:bCs w:val="0"/>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363</w:t>
                  </w:r>
                </w:p>
              </w:tc>
              <w:tc>
                <w:tcPr>
                  <w:tcW w:w="414" w:type="pct"/>
                  <w:noWrap w:val="0"/>
                  <w:vAlign w:val="center"/>
                </w:tcPr>
                <w:p>
                  <w:pPr>
                    <w:pStyle w:val="4"/>
                    <w:tabs>
                      <w:tab w:val="left" w:pos="1277"/>
                    </w:tabs>
                    <w:spacing w:line="240" w:lineRule="auto"/>
                    <w:jc w:val="center"/>
                    <w:rPr>
                      <w:rFonts w:hint="default" w:eastAsia="宋体" w:cs="Times New Roman"/>
                      <w:bCs w:val="0"/>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340</w:t>
                  </w:r>
                </w:p>
              </w:tc>
              <w:tc>
                <w:tcPr>
                  <w:tcW w:w="414" w:type="pct"/>
                  <w:noWrap w:val="0"/>
                  <w:vAlign w:val="center"/>
                </w:tcPr>
                <w:p>
                  <w:pPr>
                    <w:spacing w:line="240" w:lineRule="auto"/>
                    <w:jc w:val="center"/>
                    <w:rPr>
                      <w:rFonts w:hint="eastAsia" w:cs="Times New Roman"/>
                      <w:bCs w:val="0"/>
                      <w:color w:val="auto"/>
                      <w:kern w:val="2"/>
                      <w:sz w:val="21"/>
                      <w:szCs w:val="21"/>
                      <w:highlight w:val="none"/>
                      <w:lang w:val="en-US" w:eastAsia="zh-CN" w:bidi="ar-SA"/>
                    </w:rPr>
                  </w:pPr>
                  <w:r>
                    <w:rPr>
                      <w:rFonts w:hint="eastAsia" w:cs="Times New Roman"/>
                      <w:bCs w:val="0"/>
                      <w:color w:val="auto"/>
                      <w:sz w:val="21"/>
                      <w:szCs w:val="21"/>
                      <w:highlight w:val="none"/>
                      <w:lang w:val="en-US" w:eastAsia="zh-CN"/>
                    </w:rPr>
                    <w:t>住户</w:t>
                  </w:r>
                </w:p>
              </w:tc>
              <w:tc>
                <w:tcPr>
                  <w:tcW w:w="567" w:type="pct"/>
                  <w:noWrap w:val="0"/>
                  <w:vAlign w:val="center"/>
                </w:tcPr>
                <w:p>
                  <w:pPr>
                    <w:pStyle w:val="4"/>
                    <w:tabs>
                      <w:tab w:val="left" w:pos="1277"/>
                    </w:tabs>
                    <w:spacing w:line="240" w:lineRule="auto"/>
                    <w:jc w:val="center"/>
                    <w:rPr>
                      <w:rFonts w:hint="eastAsia" w:eastAsia="宋体" w:cs="Times New Roman"/>
                      <w:bCs w:val="0"/>
                      <w:color w:val="auto"/>
                      <w:sz w:val="21"/>
                      <w:szCs w:val="21"/>
                      <w:highlight w:val="none"/>
                      <w:lang w:val="en-US" w:eastAsia="zh-CN"/>
                    </w:rPr>
                  </w:pPr>
                  <w:r>
                    <w:rPr>
                      <w:rFonts w:hint="eastAsia" w:eastAsia="宋体" w:cs="Times New Roman"/>
                      <w:bCs w:val="0"/>
                      <w:color w:val="auto"/>
                      <w:sz w:val="21"/>
                      <w:szCs w:val="21"/>
                      <w:highlight w:val="none"/>
                      <w:lang w:val="en-US" w:eastAsia="zh-CN"/>
                    </w:rPr>
                    <w:t>约54人</w:t>
                  </w:r>
                </w:p>
              </w:tc>
              <w:tc>
                <w:tcPr>
                  <w:tcW w:w="424" w:type="pct"/>
                  <w:vMerge w:val="continue"/>
                  <w:noWrap w:val="0"/>
                  <w:vAlign w:val="center"/>
                </w:tcPr>
                <w:p>
                  <w:pPr>
                    <w:spacing w:line="240" w:lineRule="auto"/>
                    <w:jc w:val="center"/>
                    <w:rPr>
                      <w:rFonts w:hint="eastAsia" w:ascii="Times New Roman" w:hAnsi="Times New Roman" w:eastAsia="宋体" w:cs="Times New Roman"/>
                      <w:bCs w:val="0"/>
                      <w:color w:val="auto"/>
                      <w:kern w:val="2"/>
                      <w:sz w:val="21"/>
                      <w:szCs w:val="21"/>
                      <w:highlight w:val="none"/>
                      <w:lang w:val="en-US" w:eastAsia="zh-CN" w:bidi="ar-SA"/>
                    </w:rPr>
                  </w:pPr>
                </w:p>
              </w:tc>
              <w:tc>
                <w:tcPr>
                  <w:tcW w:w="561" w:type="pct"/>
                  <w:noWrap w:val="0"/>
                  <w:vAlign w:val="center"/>
                </w:tcPr>
                <w:p>
                  <w:pPr>
                    <w:pStyle w:val="4"/>
                    <w:tabs>
                      <w:tab w:val="left" w:pos="1277"/>
                    </w:tabs>
                    <w:spacing w:line="240" w:lineRule="auto"/>
                    <w:jc w:val="center"/>
                    <w:rPr>
                      <w:rFonts w:hint="default" w:eastAsia="宋体" w:cs="Times New Roman"/>
                      <w:bCs w:val="0"/>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东</w:t>
                  </w:r>
                </w:p>
              </w:tc>
              <w:tc>
                <w:tcPr>
                  <w:tcW w:w="669" w:type="pct"/>
                  <w:noWrap w:val="0"/>
                  <w:vAlign w:val="center"/>
                </w:tcPr>
                <w:p>
                  <w:pPr>
                    <w:pStyle w:val="4"/>
                    <w:tabs>
                      <w:tab w:val="left" w:pos="1277"/>
                    </w:tabs>
                    <w:spacing w:line="240" w:lineRule="auto"/>
                    <w:jc w:val="center"/>
                    <w:rPr>
                      <w:rFonts w:hint="default" w:eastAsia="宋体" w:cs="Times New Roman"/>
                      <w:bCs w:val="0"/>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5" w:type="pct"/>
                  <w:noWrap w:val="0"/>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11</w:t>
                  </w:r>
                </w:p>
              </w:tc>
              <w:tc>
                <w:tcPr>
                  <w:tcW w:w="1275" w:type="pct"/>
                  <w:noWrap w:val="0"/>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11</w:t>
                  </w:r>
                  <w:r>
                    <w:rPr>
                      <w:rFonts w:hint="eastAsia" w:eastAsia="宋体" w:cs="Times New Roman"/>
                      <w:bCs w:val="0"/>
                      <w:color w:val="auto"/>
                      <w:sz w:val="21"/>
                      <w:szCs w:val="21"/>
                      <w:highlight w:val="none"/>
                      <w:lang w:val="en-US" w:eastAsia="zh-CN"/>
                    </w:rPr>
                    <w:t>#居民点</w:t>
                  </w:r>
                </w:p>
              </w:tc>
              <w:tc>
                <w:tcPr>
                  <w:tcW w:w="386" w:type="pct"/>
                  <w:noWrap w:val="0"/>
                  <w:vAlign w:val="center"/>
                </w:tcPr>
                <w:p>
                  <w:pPr>
                    <w:pStyle w:val="4"/>
                    <w:tabs>
                      <w:tab w:val="left" w:pos="1277"/>
                    </w:tabs>
                    <w:spacing w:line="240" w:lineRule="auto"/>
                    <w:jc w:val="center"/>
                    <w:rPr>
                      <w:rFonts w:hint="default" w:eastAsia="宋体" w:cs="Times New Roman"/>
                      <w:bCs w:val="0"/>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310</w:t>
                  </w:r>
                </w:p>
              </w:tc>
              <w:tc>
                <w:tcPr>
                  <w:tcW w:w="414" w:type="pct"/>
                  <w:noWrap w:val="0"/>
                  <w:vAlign w:val="center"/>
                </w:tcPr>
                <w:p>
                  <w:pPr>
                    <w:pStyle w:val="4"/>
                    <w:tabs>
                      <w:tab w:val="left" w:pos="1277"/>
                    </w:tabs>
                    <w:spacing w:line="240" w:lineRule="auto"/>
                    <w:jc w:val="center"/>
                    <w:rPr>
                      <w:rFonts w:hint="default" w:eastAsia="宋体" w:cs="Times New Roman"/>
                      <w:bCs w:val="0"/>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21</w:t>
                  </w:r>
                </w:p>
              </w:tc>
              <w:tc>
                <w:tcPr>
                  <w:tcW w:w="414" w:type="pct"/>
                  <w:noWrap w:val="0"/>
                  <w:vAlign w:val="center"/>
                </w:tcPr>
                <w:p>
                  <w:pPr>
                    <w:spacing w:line="240" w:lineRule="auto"/>
                    <w:jc w:val="center"/>
                    <w:rPr>
                      <w:rFonts w:hint="eastAsia" w:cs="Times New Roman"/>
                      <w:bCs w:val="0"/>
                      <w:color w:val="auto"/>
                      <w:kern w:val="2"/>
                      <w:sz w:val="21"/>
                      <w:szCs w:val="21"/>
                      <w:highlight w:val="none"/>
                      <w:lang w:val="en-US" w:eastAsia="zh-CN" w:bidi="ar-SA"/>
                    </w:rPr>
                  </w:pPr>
                  <w:r>
                    <w:rPr>
                      <w:rFonts w:hint="eastAsia" w:cs="Times New Roman"/>
                      <w:bCs w:val="0"/>
                      <w:color w:val="auto"/>
                      <w:sz w:val="21"/>
                      <w:szCs w:val="21"/>
                      <w:highlight w:val="none"/>
                      <w:lang w:val="en-US" w:eastAsia="zh-CN"/>
                    </w:rPr>
                    <w:t>住户</w:t>
                  </w:r>
                </w:p>
              </w:tc>
              <w:tc>
                <w:tcPr>
                  <w:tcW w:w="567" w:type="pct"/>
                  <w:noWrap w:val="0"/>
                  <w:vAlign w:val="center"/>
                </w:tcPr>
                <w:p>
                  <w:pPr>
                    <w:pStyle w:val="4"/>
                    <w:tabs>
                      <w:tab w:val="left" w:pos="1277"/>
                    </w:tabs>
                    <w:spacing w:line="240" w:lineRule="auto"/>
                    <w:jc w:val="center"/>
                    <w:rPr>
                      <w:rFonts w:hint="eastAsia" w:eastAsia="宋体" w:cs="Times New Roman"/>
                      <w:bCs w:val="0"/>
                      <w:color w:val="auto"/>
                      <w:sz w:val="21"/>
                      <w:szCs w:val="21"/>
                      <w:highlight w:val="none"/>
                      <w:lang w:val="en-US" w:eastAsia="zh-CN"/>
                    </w:rPr>
                  </w:pPr>
                  <w:r>
                    <w:rPr>
                      <w:rFonts w:hint="eastAsia" w:eastAsia="宋体" w:cs="Times New Roman"/>
                      <w:bCs w:val="0"/>
                      <w:color w:val="auto"/>
                      <w:sz w:val="21"/>
                      <w:szCs w:val="21"/>
                      <w:highlight w:val="none"/>
                      <w:lang w:val="en-US" w:eastAsia="zh-CN"/>
                    </w:rPr>
                    <w:t>约81人</w:t>
                  </w:r>
                </w:p>
              </w:tc>
              <w:tc>
                <w:tcPr>
                  <w:tcW w:w="424" w:type="pct"/>
                  <w:vMerge w:val="continue"/>
                  <w:noWrap w:val="0"/>
                  <w:vAlign w:val="center"/>
                </w:tcPr>
                <w:p>
                  <w:pPr>
                    <w:spacing w:line="240" w:lineRule="auto"/>
                    <w:jc w:val="center"/>
                    <w:rPr>
                      <w:rFonts w:hint="eastAsia" w:ascii="Times New Roman" w:hAnsi="Times New Roman" w:eastAsia="宋体" w:cs="Times New Roman"/>
                      <w:bCs w:val="0"/>
                      <w:color w:val="auto"/>
                      <w:kern w:val="2"/>
                      <w:sz w:val="21"/>
                      <w:szCs w:val="21"/>
                      <w:highlight w:val="none"/>
                      <w:lang w:val="en-US" w:eastAsia="zh-CN" w:bidi="ar-SA"/>
                    </w:rPr>
                  </w:pPr>
                </w:p>
              </w:tc>
              <w:tc>
                <w:tcPr>
                  <w:tcW w:w="561" w:type="pct"/>
                  <w:noWrap w:val="0"/>
                  <w:vAlign w:val="center"/>
                </w:tcPr>
                <w:p>
                  <w:pPr>
                    <w:pStyle w:val="4"/>
                    <w:tabs>
                      <w:tab w:val="left" w:pos="1277"/>
                    </w:tabs>
                    <w:spacing w:line="240" w:lineRule="auto"/>
                    <w:jc w:val="center"/>
                    <w:rPr>
                      <w:rFonts w:hint="eastAsia" w:eastAsia="宋体" w:cs="Times New Roman"/>
                      <w:bCs w:val="0"/>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东</w:t>
                  </w:r>
                </w:p>
              </w:tc>
              <w:tc>
                <w:tcPr>
                  <w:tcW w:w="669" w:type="pct"/>
                  <w:noWrap w:val="0"/>
                  <w:vAlign w:val="center"/>
                </w:tcPr>
                <w:p>
                  <w:pPr>
                    <w:pStyle w:val="4"/>
                    <w:tabs>
                      <w:tab w:val="left" w:pos="1277"/>
                    </w:tabs>
                    <w:spacing w:line="240" w:lineRule="auto"/>
                    <w:jc w:val="center"/>
                    <w:rPr>
                      <w:rFonts w:hint="default" w:eastAsia="宋体" w:cs="Times New Roman"/>
                      <w:bCs w:val="0"/>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5" w:type="pct"/>
                  <w:noWrap w:val="0"/>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12</w:t>
                  </w:r>
                </w:p>
              </w:tc>
              <w:tc>
                <w:tcPr>
                  <w:tcW w:w="1275" w:type="pct"/>
                  <w:noWrap w:val="0"/>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12#</w:t>
                  </w:r>
                  <w:r>
                    <w:rPr>
                      <w:rFonts w:hint="eastAsia" w:eastAsia="宋体" w:cs="Times New Roman"/>
                      <w:bCs w:val="0"/>
                      <w:color w:val="auto"/>
                      <w:sz w:val="21"/>
                      <w:szCs w:val="21"/>
                      <w:highlight w:val="none"/>
                      <w:lang w:val="en-US" w:eastAsia="zh-CN"/>
                    </w:rPr>
                    <w:t>居民点</w:t>
                  </w:r>
                </w:p>
              </w:tc>
              <w:tc>
                <w:tcPr>
                  <w:tcW w:w="386" w:type="pct"/>
                  <w:noWrap w:val="0"/>
                  <w:vAlign w:val="center"/>
                </w:tcPr>
                <w:p>
                  <w:pPr>
                    <w:pStyle w:val="4"/>
                    <w:tabs>
                      <w:tab w:val="left" w:pos="1277"/>
                    </w:tabs>
                    <w:spacing w:line="240" w:lineRule="auto"/>
                    <w:jc w:val="center"/>
                    <w:rPr>
                      <w:rFonts w:hint="default" w:eastAsia="宋体" w:cs="Times New Roman"/>
                      <w:bCs w:val="0"/>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300</w:t>
                  </w:r>
                </w:p>
              </w:tc>
              <w:tc>
                <w:tcPr>
                  <w:tcW w:w="414" w:type="pct"/>
                  <w:noWrap w:val="0"/>
                  <w:vAlign w:val="center"/>
                </w:tcPr>
                <w:p>
                  <w:pPr>
                    <w:pStyle w:val="4"/>
                    <w:tabs>
                      <w:tab w:val="left" w:pos="1277"/>
                    </w:tabs>
                    <w:spacing w:line="240" w:lineRule="auto"/>
                    <w:jc w:val="center"/>
                    <w:rPr>
                      <w:rFonts w:hint="default" w:eastAsia="宋体" w:cs="Times New Roman"/>
                      <w:bCs w:val="0"/>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-492</w:t>
                  </w:r>
                </w:p>
              </w:tc>
              <w:tc>
                <w:tcPr>
                  <w:tcW w:w="414" w:type="pct"/>
                  <w:noWrap w:val="0"/>
                  <w:vAlign w:val="center"/>
                </w:tcPr>
                <w:p>
                  <w:pPr>
                    <w:spacing w:line="240" w:lineRule="auto"/>
                    <w:jc w:val="center"/>
                    <w:rPr>
                      <w:rFonts w:hint="eastAsia" w:cs="Times New Roman"/>
                      <w:bCs w:val="0"/>
                      <w:color w:val="auto"/>
                      <w:kern w:val="2"/>
                      <w:sz w:val="21"/>
                      <w:szCs w:val="21"/>
                      <w:highlight w:val="none"/>
                      <w:lang w:val="en-US" w:eastAsia="zh-CN" w:bidi="ar-SA"/>
                    </w:rPr>
                  </w:pPr>
                  <w:r>
                    <w:rPr>
                      <w:rFonts w:hint="eastAsia" w:cs="Times New Roman"/>
                      <w:bCs w:val="0"/>
                      <w:color w:val="auto"/>
                      <w:sz w:val="21"/>
                      <w:szCs w:val="21"/>
                      <w:highlight w:val="none"/>
                      <w:lang w:val="en-US" w:eastAsia="zh-CN"/>
                    </w:rPr>
                    <w:t>住户</w:t>
                  </w:r>
                </w:p>
              </w:tc>
              <w:tc>
                <w:tcPr>
                  <w:tcW w:w="567" w:type="pct"/>
                  <w:noWrap w:val="0"/>
                  <w:vAlign w:val="center"/>
                </w:tcPr>
                <w:p>
                  <w:pPr>
                    <w:pStyle w:val="4"/>
                    <w:tabs>
                      <w:tab w:val="left" w:pos="1277"/>
                    </w:tabs>
                    <w:spacing w:line="240" w:lineRule="auto"/>
                    <w:jc w:val="center"/>
                    <w:rPr>
                      <w:rFonts w:hint="eastAsia" w:eastAsia="宋体" w:cs="Times New Roman"/>
                      <w:bCs w:val="0"/>
                      <w:color w:val="auto"/>
                      <w:sz w:val="21"/>
                      <w:szCs w:val="21"/>
                      <w:highlight w:val="none"/>
                      <w:lang w:val="en-US" w:eastAsia="zh-CN"/>
                    </w:rPr>
                  </w:pPr>
                  <w:r>
                    <w:rPr>
                      <w:rFonts w:hint="eastAsia" w:eastAsia="宋体" w:cs="Times New Roman"/>
                      <w:bCs w:val="0"/>
                      <w:color w:val="auto"/>
                      <w:sz w:val="21"/>
                      <w:szCs w:val="21"/>
                      <w:highlight w:val="none"/>
                      <w:lang w:val="en-US" w:eastAsia="zh-CN"/>
                    </w:rPr>
                    <w:t>约27人</w:t>
                  </w:r>
                </w:p>
              </w:tc>
              <w:tc>
                <w:tcPr>
                  <w:tcW w:w="424" w:type="pct"/>
                  <w:vMerge w:val="continue"/>
                  <w:noWrap w:val="0"/>
                  <w:vAlign w:val="center"/>
                </w:tcPr>
                <w:p>
                  <w:pPr>
                    <w:spacing w:line="240" w:lineRule="auto"/>
                    <w:jc w:val="center"/>
                    <w:rPr>
                      <w:rFonts w:hint="eastAsia" w:ascii="Times New Roman" w:hAnsi="Times New Roman" w:eastAsia="宋体" w:cs="Times New Roman"/>
                      <w:bCs w:val="0"/>
                      <w:color w:val="auto"/>
                      <w:kern w:val="2"/>
                      <w:sz w:val="21"/>
                      <w:szCs w:val="21"/>
                      <w:highlight w:val="none"/>
                      <w:lang w:val="en-US" w:eastAsia="zh-CN" w:bidi="ar-SA"/>
                    </w:rPr>
                  </w:pPr>
                </w:p>
              </w:tc>
              <w:tc>
                <w:tcPr>
                  <w:tcW w:w="561" w:type="pct"/>
                  <w:noWrap w:val="0"/>
                  <w:vAlign w:val="center"/>
                </w:tcPr>
                <w:p>
                  <w:pPr>
                    <w:pStyle w:val="4"/>
                    <w:tabs>
                      <w:tab w:val="left" w:pos="1277"/>
                    </w:tabs>
                    <w:spacing w:line="240" w:lineRule="auto"/>
                    <w:jc w:val="center"/>
                    <w:rPr>
                      <w:rFonts w:hint="default" w:eastAsia="宋体" w:cs="Times New Roman"/>
                      <w:bCs w:val="0"/>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东南</w:t>
                  </w:r>
                </w:p>
              </w:tc>
              <w:tc>
                <w:tcPr>
                  <w:tcW w:w="669" w:type="pct"/>
                  <w:noWrap w:val="0"/>
                  <w:vAlign w:val="center"/>
                </w:tcPr>
                <w:p>
                  <w:pPr>
                    <w:pStyle w:val="4"/>
                    <w:tabs>
                      <w:tab w:val="left" w:pos="1277"/>
                    </w:tabs>
                    <w:spacing w:line="240" w:lineRule="auto"/>
                    <w:jc w:val="center"/>
                    <w:rPr>
                      <w:rFonts w:hint="default" w:eastAsia="宋体" w:cs="Times New Roman"/>
                      <w:bCs w:val="0"/>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5" w:type="pct"/>
                  <w:noWrap w:val="0"/>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13</w:t>
                  </w:r>
                </w:p>
              </w:tc>
              <w:tc>
                <w:tcPr>
                  <w:tcW w:w="1275" w:type="pct"/>
                  <w:noWrap w:val="0"/>
                  <w:vAlign w:val="center"/>
                </w:tcPr>
                <w:p>
                  <w:pPr>
                    <w:pStyle w:val="4"/>
                    <w:tabs>
                      <w:tab w:val="left" w:pos="1277"/>
                    </w:tabs>
                    <w:spacing w:line="240" w:lineRule="auto"/>
                    <w:jc w:val="center"/>
                    <w:rPr>
                      <w:rFonts w:hint="default" w:eastAsia="宋体" w:cs="Times New Roman"/>
                      <w:bCs w:val="0"/>
                      <w:color w:val="auto"/>
                      <w:sz w:val="21"/>
                      <w:szCs w:val="21"/>
                      <w:highlight w:val="none"/>
                      <w:lang w:val="en-US" w:eastAsia="zh-CN"/>
                    </w:rPr>
                  </w:pPr>
                  <w:r>
                    <w:rPr>
                      <w:rFonts w:hint="eastAsia" w:eastAsia="宋体" w:cs="Times New Roman"/>
                      <w:bCs w:val="0"/>
                      <w:color w:val="auto"/>
                      <w:sz w:val="21"/>
                      <w:szCs w:val="21"/>
                      <w:highlight w:val="none"/>
                      <w:lang w:val="en-US" w:eastAsia="zh-CN"/>
                    </w:rPr>
                    <w:t>13</w:t>
                  </w:r>
                  <w:r>
                    <w:rPr>
                      <w:rFonts w:hint="eastAsia" w:eastAsia="宋体" w:cs="Times New Roman"/>
                      <w:bCs w:val="0"/>
                      <w:color w:val="auto"/>
                      <w:kern w:val="0"/>
                      <w:sz w:val="21"/>
                      <w:szCs w:val="21"/>
                      <w:highlight w:val="none"/>
                      <w:lang w:val="en-US" w:eastAsia="zh-CN" w:bidi="ar-SA"/>
                    </w:rPr>
                    <w:t>#</w:t>
                  </w:r>
                  <w:r>
                    <w:rPr>
                      <w:rFonts w:hint="eastAsia" w:eastAsia="宋体" w:cs="Times New Roman"/>
                      <w:bCs w:val="0"/>
                      <w:color w:val="auto"/>
                      <w:sz w:val="21"/>
                      <w:szCs w:val="21"/>
                      <w:highlight w:val="none"/>
                      <w:lang w:val="en-US" w:eastAsia="zh-CN"/>
                    </w:rPr>
                    <w:t>居民点</w:t>
                  </w:r>
                </w:p>
              </w:tc>
              <w:tc>
                <w:tcPr>
                  <w:tcW w:w="386" w:type="pct"/>
                  <w:noWrap w:val="0"/>
                  <w:vAlign w:val="center"/>
                </w:tcPr>
                <w:p>
                  <w:pPr>
                    <w:pStyle w:val="4"/>
                    <w:tabs>
                      <w:tab w:val="left" w:pos="1277"/>
                    </w:tabs>
                    <w:spacing w:line="240" w:lineRule="auto"/>
                    <w:jc w:val="center"/>
                    <w:rPr>
                      <w:rFonts w:hint="default" w:eastAsia="宋体" w:cs="Times New Roman"/>
                      <w:bCs w:val="0"/>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6.7</w:t>
                  </w:r>
                </w:p>
              </w:tc>
              <w:tc>
                <w:tcPr>
                  <w:tcW w:w="414" w:type="pct"/>
                  <w:noWrap w:val="0"/>
                  <w:vAlign w:val="center"/>
                </w:tcPr>
                <w:p>
                  <w:pPr>
                    <w:pStyle w:val="4"/>
                    <w:tabs>
                      <w:tab w:val="left" w:pos="1277"/>
                    </w:tabs>
                    <w:spacing w:line="240" w:lineRule="auto"/>
                    <w:jc w:val="center"/>
                    <w:rPr>
                      <w:rFonts w:hint="default" w:eastAsia="宋体" w:cs="Times New Roman"/>
                      <w:bCs w:val="0"/>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-153</w:t>
                  </w:r>
                </w:p>
              </w:tc>
              <w:tc>
                <w:tcPr>
                  <w:tcW w:w="414" w:type="pct"/>
                  <w:noWrap w:val="0"/>
                  <w:vAlign w:val="center"/>
                </w:tcPr>
                <w:p>
                  <w:pPr>
                    <w:spacing w:line="240" w:lineRule="auto"/>
                    <w:jc w:val="center"/>
                    <w:rPr>
                      <w:rFonts w:hint="eastAsia" w:cs="Times New Roman"/>
                      <w:bCs w:val="0"/>
                      <w:color w:val="auto"/>
                      <w:kern w:val="2"/>
                      <w:sz w:val="21"/>
                      <w:szCs w:val="21"/>
                      <w:highlight w:val="none"/>
                      <w:lang w:val="en-US" w:eastAsia="zh-CN" w:bidi="ar-SA"/>
                    </w:rPr>
                  </w:pPr>
                  <w:r>
                    <w:rPr>
                      <w:rFonts w:hint="eastAsia" w:cs="Times New Roman"/>
                      <w:bCs w:val="0"/>
                      <w:color w:val="auto"/>
                      <w:sz w:val="21"/>
                      <w:szCs w:val="21"/>
                      <w:highlight w:val="none"/>
                      <w:lang w:val="en-US" w:eastAsia="zh-CN"/>
                    </w:rPr>
                    <w:t>住户</w:t>
                  </w:r>
                </w:p>
              </w:tc>
              <w:tc>
                <w:tcPr>
                  <w:tcW w:w="567" w:type="pct"/>
                  <w:noWrap w:val="0"/>
                  <w:vAlign w:val="center"/>
                </w:tcPr>
                <w:p>
                  <w:pPr>
                    <w:pStyle w:val="4"/>
                    <w:tabs>
                      <w:tab w:val="left" w:pos="1277"/>
                    </w:tabs>
                    <w:spacing w:line="240" w:lineRule="auto"/>
                    <w:jc w:val="center"/>
                    <w:rPr>
                      <w:rFonts w:hint="eastAsia" w:eastAsia="宋体" w:cs="Times New Roman"/>
                      <w:bCs w:val="0"/>
                      <w:color w:val="auto"/>
                      <w:sz w:val="21"/>
                      <w:szCs w:val="21"/>
                      <w:highlight w:val="none"/>
                      <w:lang w:val="en-US" w:eastAsia="zh-CN"/>
                    </w:rPr>
                  </w:pPr>
                  <w:r>
                    <w:rPr>
                      <w:rFonts w:hint="eastAsia" w:eastAsia="宋体" w:cs="Times New Roman"/>
                      <w:bCs w:val="0"/>
                      <w:color w:val="auto"/>
                      <w:sz w:val="21"/>
                      <w:szCs w:val="21"/>
                      <w:highlight w:val="none"/>
                      <w:lang w:val="en-US" w:eastAsia="zh-CN"/>
                    </w:rPr>
                    <w:t>约150人</w:t>
                  </w:r>
                </w:p>
              </w:tc>
              <w:tc>
                <w:tcPr>
                  <w:tcW w:w="424" w:type="pct"/>
                  <w:vMerge w:val="continue"/>
                  <w:noWrap w:val="0"/>
                  <w:vAlign w:val="center"/>
                </w:tcPr>
                <w:p>
                  <w:pPr>
                    <w:spacing w:line="240" w:lineRule="auto"/>
                    <w:jc w:val="center"/>
                    <w:rPr>
                      <w:rFonts w:hint="eastAsia" w:ascii="Times New Roman" w:hAnsi="Times New Roman" w:eastAsia="宋体" w:cs="Times New Roman"/>
                      <w:bCs w:val="0"/>
                      <w:color w:val="auto"/>
                      <w:kern w:val="2"/>
                      <w:sz w:val="21"/>
                      <w:szCs w:val="21"/>
                      <w:highlight w:val="none"/>
                      <w:lang w:val="en-US" w:eastAsia="zh-CN" w:bidi="ar-SA"/>
                    </w:rPr>
                  </w:pPr>
                </w:p>
              </w:tc>
              <w:tc>
                <w:tcPr>
                  <w:tcW w:w="561" w:type="pct"/>
                  <w:noWrap w:val="0"/>
                  <w:vAlign w:val="center"/>
                </w:tcPr>
                <w:p>
                  <w:pPr>
                    <w:pStyle w:val="4"/>
                    <w:tabs>
                      <w:tab w:val="left" w:pos="1277"/>
                    </w:tabs>
                    <w:spacing w:line="240" w:lineRule="auto"/>
                    <w:jc w:val="center"/>
                    <w:rPr>
                      <w:rFonts w:hint="eastAsia" w:eastAsia="宋体" w:cs="Times New Roman"/>
                      <w:bCs w:val="0"/>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南</w:t>
                  </w:r>
                </w:p>
              </w:tc>
              <w:tc>
                <w:tcPr>
                  <w:tcW w:w="669" w:type="pct"/>
                  <w:noWrap w:val="0"/>
                  <w:vAlign w:val="center"/>
                </w:tcPr>
                <w:p>
                  <w:pPr>
                    <w:pStyle w:val="4"/>
                    <w:tabs>
                      <w:tab w:val="left" w:pos="1277"/>
                    </w:tabs>
                    <w:spacing w:line="240" w:lineRule="auto"/>
                    <w:jc w:val="center"/>
                    <w:rPr>
                      <w:rFonts w:hint="default" w:eastAsia="宋体" w:cs="Times New Roman"/>
                      <w:bCs w:val="0"/>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70</w:t>
                  </w:r>
                </w:p>
              </w:tc>
            </w:tr>
          </w:tbl>
          <w:p>
            <w:pPr>
              <w:spacing w:line="240" w:lineRule="auto"/>
              <w:rPr>
                <w:rFonts w:hint="default" w:eastAsia="宋体"/>
                <w:b/>
                <w:bCs/>
                <w:color w:val="auto"/>
                <w:kern w:val="0"/>
                <w:sz w:val="21"/>
                <w:szCs w:val="21"/>
                <w:highlight w:val="none"/>
                <w:lang w:val="en-US" w:eastAsia="zh-CN"/>
              </w:rPr>
            </w:pPr>
            <w:r>
              <w:rPr>
                <w:rFonts w:hint="eastAsia"/>
                <w:b/>
                <w:bCs/>
                <w:color w:val="auto"/>
                <w:kern w:val="0"/>
                <w:sz w:val="21"/>
                <w:szCs w:val="21"/>
                <w:highlight w:val="none"/>
                <w:lang w:val="en-US" w:eastAsia="zh-CN"/>
              </w:rPr>
              <w:t>注：项目以厂界中心点为坐标原点（0</w:t>
            </w:r>
            <w:r>
              <w:rPr>
                <w:rFonts w:ascii="Arial" w:hAnsi="Arial" w:eastAsia="宋体" w:cs="Arial"/>
                <w:b/>
                <w:bCs/>
                <w:i w:val="0"/>
                <w:iCs w:val="0"/>
                <w:caps w:val="0"/>
                <w:color w:val="auto"/>
                <w:spacing w:val="0"/>
                <w:sz w:val="21"/>
                <w:szCs w:val="21"/>
                <w:shd w:val="clear" w:fill="FFFFFF"/>
              </w:rPr>
              <w:t>,</w:t>
            </w:r>
            <w:r>
              <w:rPr>
                <w:rFonts w:hint="eastAsia"/>
                <w:b/>
                <w:bCs/>
                <w:color w:val="auto"/>
                <w:kern w:val="0"/>
                <w:sz w:val="21"/>
                <w:szCs w:val="21"/>
                <w:highlight w:val="none"/>
                <w:lang w:val="en-US" w:eastAsia="zh-CN"/>
              </w:rPr>
              <w:t>0）。</w:t>
            </w:r>
          </w:p>
          <w:p>
            <w:pPr>
              <w:spacing w:line="360" w:lineRule="auto"/>
              <w:ind w:firstLine="480" w:firstLineChars="200"/>
              <w:rPr>
                <w:rFonts w:hint="default" w:eastAsia="宋体"/>
                <w:color w:val="auto"/>
                <w:kern w:val="0"/>
                <w:sz w:val="24"/>
                <w:highlight w:val="none"/>
                <w:lang w:val="en-US" w:eastAsia="zh-CN"/>
              </w:rPr>
            </w:pPr>
            <w:r>
              <w:rPr>
                <w:rFonts w:hint="eastAsia" w:eastAsia="宋体"/>
                <w:color w:val="auto"/>
                <w:kern w:val="0"/>
                <w:sz w:val="24"/>
                <w:highlight w:val="none"/>
                <w:lang w:val="en-US" w:eastAsia="zh-CN"/>
              </w:rPr>
              <w:t>②声环境保护目标</w:t>
            </w:r>
          </w:p>
          <w:p>
            <w:pPr>
              <w:spacing w:line="360" w:lineRule="auto"/>
              <w:ind w:firstLine="480" w:firstLineChars="200"/>
              <w:rPr>
                <w:rFonts w:hint="default" w:eastAsia="宋体"/>
                <w:color w:val="auto"/>
                <w:kern w:val="0"/>
                <w:sz w:val="24"/>
                <w:highlight w:val="none"/>
                <w:lang w:val="en-US" w:eastAsia="zh-CN"/>
              </w:rPr>
            </w:pPr>
            <w:r>
              <w:rPr>
                <w:rFonts w:hint="eastAsia" w:eastAsia="宋体"/>
                <w:color w:val="auto"/>
                <w:kern w:val="0"/>
                <w:sz w:val="24"/>
                <w:highlight w:val="none"/>
                <w:lang w:val="en-US" w:eastAsia="zh-CN"/>
              </w:rPr>
              <w:t>项目50m范围内声环境</w:t>
            </w:r>
            <w:r>
              <w:rPr>
                <w:rFonts w:hint="eastAsia"/>
                <w:color w:val="auto"/>
                <w:kern w:val="0"/>
                <w:sz w:val="24"/>
                <w:highlight w:val="none"/>
                <w:lang w:val="en-US" w:eastAsia="zh-CN"/>
              </w:rPr>
              <w:t>保护</w:t>
            </w:r>
            <w:r>
              <w:rPr>
                <w:rFonts w:hint="eastAsia" w:eastAsia="宋体"/>
                <w:color w:val="auto"/>
                <w:kern w:val="0"/>
                <w:sz w:val="24"/>
                <w:highlight w:val="none"/>
                <w:lang w:val="en-US" w:eastAsia="zh-CN"/>
              </w:rPr>
              <w:t>目标，详见下表。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表3-</w:t>
            </w:r>
            <w:r>
              <w:rPr>
                <w:rFonts w:hint="eastAsia" w:eastAsia="宋体" w:cs="Times New Roman"/>
                <w:color w:val="auto"/>
                <w:kern w:val="0"/>
                <w:sz w:val="24"/>
                <w:highlight w:val="none"/>
                <w:lang w:val="en-US" w:eastAsia="zh-CN"/>
              </w:rPr>
              <w:t>6</w:t>
            </w:r>
            <w:r>
              <w:rPr>
                <w:rFonts w:hint="eastAsia" w:ascii="Times New Roman" w:hAnsi="Times New Roman" w:eastAsia="宋体" w:cs="Times New Roman"/>
                <w:color w:val="auto"/>
                <w:kern w:val="0"/>
                <w:sz w:val="24"/>
                <w:highlight w:val="none"/>
                <w:lang w:val="en-US" w:eastAsia="zh-CN"/>
              </w:rPr>
              <w:t xml:space="preserve"> 声环境</w:t>
            </w:r>
            <w:r>
              <w:rPr>
                <w:rFonts w:hint="eastAsia" w:cs="Times New Roman"/>
                <w:color w:val="auto"/>
                <w:kern w:val="0"/>
                <w:sz w:val="24"/>
                <w:highlight w:val="none"/>
                <w:lang w:val="en-US" w:eastAsia="zh-CN"/>
              </w:rPr>
              <w:t>保护</w:t>
            </w:r>
            <w:r>
              <w:rPr>
                <w:rFonts w:hint="eastAsia" w:ascii="Times New Roman" w:hAnsi="Times New Roman" w:eastAsia="宋体" w:cs="Times New Roman"/>
                <w:color w:val="auto"/>
                <w:kern w:val="0"/>
                <w:sz w:val="24"/>
                <w:highlight w:val="none"/>
                <w:lang w:val="en-US" w:eastAsia="zh-CN"/>
              </w:rPr>
              <w:t>目标分布一览表</w:t>
            </w:r>
          </w:p>
          <w:tbl>
            <w:tblPr>
              <w:tblStyle w:val="16"/>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0"/>
              <w:gridCol w:w="860"/>
              <w:gridCol w:w="600"/>
              <w:gridCol w:w="567"/>
              <w:gridCol w:w="733"/>
              <w:gridCol w:w="945"/>
              <w:gridCol w:w="780"/>
              <w:gridCol w:w="1410"/>
              <w:gridCol w:w="1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dxa"/>
                  <w:vMerge w:val="restart"/>
                  <w:vAlign w:val="center"/>
                </w:tcPr>
                <w:p>
                  <w:pPr>
                    <w:pStyle w:val="4"/>
                    <w:tabs>
                      <w:tab w:val="left" w:pos="1277"/>
                    </w:tabs>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序号</w:t>
                  </w:r>
                </w:p>
              </w:tc>
              <w:tc>
                <w:tcPr>
                  <w:tcW w:w="860" w:type="dxa"/>
                  <w:vMerge w:val="restart"/>
                  <w:vAlign w:val="center"/>
                </w:tcPr>
                <w:p>
                  <w:pPr>
                    <w:pStyle w:val="4"/>
                    <w:tabs>
                      <w:tab w:val="left" w:pos="1277"/>
                    </w:tabs>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声环境保护目标名称</w:t>
                  </w:r>
                </w:p>
              </w:tc>
              <w:tc>
                <w:tcPr>
                  <w:tcW w:w="1900" w:type="dxa"/>
                  <w:gridSpan w:val="3"/>
                  <w:vAlign w:val="center"/>
                </w:tcPr>
                <w:p>
                  <w:pPr>
                    <w:pStyle w:val="4"/>
                    <w:tabs>
                      <w:tab w:val="left" w:pos="1277"/>
                    </w:tabs>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空间相对位置/m</w:t>
                  </w:r>
                </w:p>
              </w:tc>
              <w:tc>
                <w:tcPr>
                  <w:tcW w:w="945" w:type="dxa"/>
                  <w:vMerge w:val="restart"/>
                  <w:vAlign w:val="center"/>
                </w:tcPr>
                <w:p>
                  <w:pPr>
                    <w:pStyle w:val="4"/>
                    <w:tabs>
                      <w:tab w:val="left" w:pos="1277"/>
                    </w:tabs>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距厂界最近距离/m</w:t>
                  </w:r>
                </w:p>
              </w:tc>
              <w:tc>
                <w:tcPr>
                  <w:tcW w:w="780" w:type="dxa"/>
                  <w:vMerge w:val="restart"/>
                  <w:vAlign w:val="center"/>
                </w:tcPr>
                <w:p>
                  <w:pPr>
                    <w:pStyle w:val="4"/>
                    <w:tabs>
                      <w:tab w:val="left" w:pos="1277"/>
                    </w:tabs>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方位</w:t>
                  </w:r>
                </w:p>
              </w:tc>
              <w:tc>
                <w:tcPr>
                  <w:tcW w:w="1410" w:type="dxa"/>
                  <w:vMerge w:val="restart"/>
                  <w:vAlign w:val="center"/>
                </w:tcPr>
                <w:p>
                  <w:pPr>
                    <w:pStyle w:val="4"/>
                    <w:tabs>
                      <w:tab w:val="left" w:pos="1277"/>
                    </w:tabs>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执行标准/功能区类别</w:t>
                  </w:r>
                </w:p>
              </w:tc>
              <w:tc>
                <w:tcPr>
                  <w:tcW w:w="1699" w:type="dxa"/>
                  <w:vMerge w:val="restart"/>
                  <w:vAlign w:val="center"/>
                </w:tcPr>
                <w:p>
                  <w:pPr>
                    <w:pStyle w:val="4"/>
                    <w:tabs>
                      <w:tab w:val="left" w:pos="1277"/>
                    </w:tabs>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声环境保护目标情况说明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dxa"/>
                  <w:vMerge w:val="continue"/>
                  <w:vAlign w:val="center"/>
                </w:tcPr>
                <w:p>
                  <w:pPr>
                    <w:pStyle w:val="4"/>
                    <w:tabs>
                      <w:tab w:val="left" w:pos="1277"/>
                    </w:tabs>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860" w:type="dxa"/>
                  <w:vMerge w:val="continue"/>
                  <w:vAlign w:val="center"/>
                </w:tcPr>
                <w:p>
                  <w:pPr>
                    <w:pStyle w:val="4"/>
                    <w:tabs>
                      <w:tab w:val="left" w:pos="1277"/>
                    </w:tabs>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600" w:type="dxa"/>
                  <w:vAlign w:val="center"/>
                </w:tcPr>
                <w:p>
                  <w:pPr>
                    <w:pStyle w:val="4"/>
                    <w:tabs>
                      <w:tab w:val="left" w:pos="1277"/>
                    </w:tabs>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X</w:t>
                  </w:r>
                </w:p>
              </w:tc>
              <w:tc>
                <w:tcPr>
                  <w:tcW w:w="567" w:type="dxa"/>
                  <w:vAlign w:val="center"/>
                </w:tcPr>
                <w:p>
                  <w:pPr>
                    <w:pStyle w:val="4"/>
                    <w:tabs>
                      <w:tab w:val="left" w:pos="1277"/>
                    </w:tabs>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Y</w:t>
                  </w:r>
                </w:p>
              </w:tc>
              <w:tc>
                <w:tcPr>
                  <w:tcW w:w="733" w:type="dxa"/>
                  <w:vAlign w:val="center"/>
                </w:tcPr>
                <w:p>
                  <w:pPr>
                    <w:pStyle w:val="4"/>
                    <w:tabs>
                      <w:tab w:val="left" w:pos="1277"/>
                    </w:tabs>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Z</w:t>
                  </w:r>
                </w:p>
              </w:tc>
              <w:tc>
                <w:tcPr>
                  <w:tcW w:w="945" w:type="dxa"/>
                  <w:vMerge w:val="continue"/>
                  <w:vAlign w:val="center"/>
                </w:tcPr>
                <w:p>
                  <w:pPr>
                    <w:pStyle w:val="4"/>
                    <w:tabs>
                      <w:tab w:val="left" w:pos="1277"/>
                    </w:tabs>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780" w:type="dxa"/>
                  <w:vMerge w:val="continue"/>
                  <w:vAlign w:val="center"/>
                </w:tcPr>
                <w:p>
                  <w:pPr>
                    <w:pStyle w:val="4"/>
                    <w:tabs>
                      <w:tab w:val="left" w:pos="1277"/>
                    </w:tabs>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1410" w:type="dxa"/>
                  <w:vMerge w:val="continue"/>
                  <w:vAlign w:val="center"/>
                </w:tcPr>
                <w:p>
                  <w:pPr>
                    <w:pStyle w:val="4"/>
                    <w:tabs>
                      <w:tab w:val="left" w:pos="1277"/>
                    </w:tabs>
                    <w:spacing w:line="240" w:lineRule="auto"/>
                    <w:jc w:val="center"/>
                    <w:rPr>
                      <w:rFonts w:hint="default" w:ascii="Times New Roman" w:hAnsi="Times New Roman" w:eastAsia="宋体" w:cs="Times New Roman"/>
                      <w:b w:val="0"/>
                      <w:bCs/>
                      <w:color w:val="auto"/>
                      <w:sz w:val="21"/>
                      <w:szCs w:val="21"/>
                      <w:highlight w:val="none"/>
                      <w:lang w:val="en-US" w:eastAsia="zh-CN"/>
                    </w:rPr>
                  </w:pPr>
                </w:p>
              </w:tc>
              <w:tc>
                <w:tcPr>
                  <w:tcW w:w="1699" w:type="dxa"/>
                  <w:vMerge w:val="continue"/>
                  <w:vAlign w:val="center"/>
                </w:tcPr>
                <w:p>
                  <w:pPr>
                    <w:pStyle w:val="4"/>
                    <w:tabs>
                      <w:tab w:val="left" w:pos="1277"/>
                    </w:tabs>
                    <w:spacing w:line="240" w:lineRule="auto"/>
                    <w:jc w:val="center"/>
                    <w:rPr>
                      <w:rFonts w:hint="default" w:ascii="Times New Roman" w:hAnsi="Times New Roman" w:eastAsia="宋体" w:cs="Times New Roman"/>
                      <w:b w:val="0"/>
                      <w:bCs/>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0" w:type="dxa"/>
                  <w:vAlign w:val="center"/>
                </w:tcPr>
                <w:p>
                  <w:pPr>
                    <w:pStyle w:val="4"/>
                    <w:tabs>
                      <w:tab w:val="left" w:pos="1277"/>
                    </w:tabs>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860" w:type="dxa"/>
                  <w:vAlign w:val="center"/>
                </w:tcPr>
                <w:p>
                  <w:pPr>
                    <w:pStyle w:val="4"/>
                    <w:tabs>
                      <w:tab w:val="left" w:pos="1277"/>
                    </w:tabs>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1#居民点</w:t>
                  </w:r>
                </w:p>
              </w:tc>
              <w:tc>
                <w:tcPr>
                  <w:tcW w:w="600" w:type="dxa"/>
                  <w:vAlign w:val="center"/>
                </w:tcPr>
                <w:p>
                  <w:pPr>
                    <w:pStyle w:val="4"/>
                    <w:tabs>
                      <w:tab w:val="left" w:pos="1277"/>
                    </w:tabs>
                    <w:spacing w:line="240" w:lineRule="auto"/>
                    <w:jc w:val="center"/>
                    <w:rPr>
                      <w:rFonts w:hint="default"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-68</w:t>
                  </w:r>
                </w:p>
              </w:tc>
              <w:tc>
                <w:tcPr>
                  <w:tcW w:w="567" w:type="dxa"/>
                  <w:vAlign w:val="center"/>
                </w:tcPr>
                <w:p>
                  <w:pPr>
                    <w:pStyle w:val="4"/>
                    <w:tabs>
                      <w:tab w:val="left" w:pos="1277"/>
                    </w:tabs>
                    <w:spacing w:line="240" w:lineRule="auto"/>
                    <w:jc w:val="center"/>
                    <w:rPr>
                      <w:rFonts w:hint="default"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-41</w:t>
                  </w:r>
                </w:p>
              </w:tc>
              <w:tc>
                <w:tcPr>
                  <w:tcW w:w="733" w:type="dxa"/>
                  <w:vAlign w:val="center"/>
                </w:tcPr>
                <w:p>
                  <w:pPr>
                    <w:pStyle w:val="4"/>
                    <w:tabs>
                      <w:tab w:val="left" w:pos="1277"/>
                    </w:tabs>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-0.25</w:t>
                  </w:r>
                </w:p>
              </w:tc>
              <w:tc>
                <w:tcPr>
                  <w:tcW w:w="945" w:type="dxa"/>
                  <w:vAlign w:val="center"/>
                </w:tcPr>
                <w:p>
                  <w:pPr>
                    <w:pStyle w:val="4"/>
                    <w:tabs>
                      <w:tab w:val="left" w:pos="1277"/>
                    </w:tabs>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40</w:t>
                  </w:r>
                </w:p>
              </w:tc>
              <w:tc>
                <w:tcPr>
                  <w:tcW w:w="780" w:type="dxa"/>
                  <w:vAlign w:val="center"/>
                </w:tcPr>
                <w:p>
                  <w:pPr>
                    <w:pStyle w:val="4"/>
                    <w:tabs>
                      <w:tab w:val="left" w:pos="1277"/>
                    </w:tabs>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西南</w:t>
                  </w:r>
                </w:p>
              </w:tc>
              <w:tc>
                <w:tcPr>
                  <w:tcW w:w="1410" w:type="dxa"/>
                  <w:vMerge w:val="restart"/>
                  <w:vAlign w:val="center"/>
                </w:tcPr>
                <w:p>
                  <w:pPr>
                    <w:pStyle w:val="4"/>
                    <w:tabs>
                      <w:tab w:val="left" w:pos="1277"/>
                    </w:tabs>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2类声功能区</w:t>
                  </w:r>
                </w:p>
              </w:tc>
              <w:tc>
                <w:tcPr>
                  <w:tcW w:w="1699" w:type="dxa"/>
                  <w:vAlign w:val="center"/>
                </w:tcPr>
                <w:p>
                  <w:pPr>
                    <w:pStyle w:val="4"/>
                    <w:tabs>
                      <w:tab w:val="left" w:pos="1277"/>
                    </w:tabs>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砖混结构，共1栋，2F，</w:t>
                  </w:r>
                  <w:r>
                    <w:rPr>
                      <w:rFonts w:hint="default" w:ascii="Times New Roman" w:hAnsi="Times New Roman" w:eastAsia="宋体" w:cs="Times New Roman"/>
                      <w:b w:val="0"/>
                      <w:bCs/>
                      <w:color w:val="auto"/>
                      <w:sz w:val="21"/>
                      <w:szCs w:val="21"/>
                      <w:highlight w:val="none"/>
                      <w:lang w:val="en-US" w:eastAsia="zh-CN"/>
                    </w:rPr>
                    <w:t>约</w:t>
                  </w:r>
                  <w:r>
                    <w:rPr>
                      <w:rFonts w:hint="eastAsia" w:eastAsia="宋体" w:cs="Times New Roman"/>
                      <w:b w:val="0"/>
                      <w:bCs/>
                      <w:color w:val="auto"/>
                      <w:sz w:val="21"/>
                      <w:szCs w:val="21"/>
                      <w:highlight w:val="none"/>
                      <w:lang w:val="en-US" w:eastAsia="zh-CN"/>
                    </w:rPr>
                    <w:t>3人，朝向东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0" w:type="dxa"/>
                  <w:vAlign w:val="center"/>
                </w:tcPr>
                <w:p>
                  <w:pPr>
                    <w:pStyle w:val="4"/>
                    <w:tabs>
                      <w:tab w:val="left" w:pos="1277"/>
                    </w:tabs>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2</w:t>
                  </w:r>
                </w:p>
              </w:tc>
              <w:tc>
                <w:tcPr>
                  <w:tcW w:w="860" w:type="dxa"/>
                  <w:vAlign w:val="center"/>
                </w:tcPr>
                <w:p>
                  <w:pPr>
                    <w:pStyle w:val="4"/>
                    <w:tabs>
                      <w:tab w:val="left" w:pos="1277"/>
                    </w:tabs>
                    <w:spacing w:line="240" w:lineRule="auto"/>
                    <w:jc w:val="center"/>
                    <w:rPr>
                      <w:rFonts w:hint="default" w:ascii="Times New Roman" w:hAnsi="Times New Roman" w:eastAsia="宋体" w:cs="Times New Roman"/>
                      <w:b w:val="0"/>
                      <w:bCs/>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3</w:t>
                  </w:r>
                  <w:r>
                    <w:rPr>
                      <w:rFonts w:hint="eastAsia" w:eastAsia="宋体" w:cs="Times New Roman"/>
                      <w:bCs w:val="0"/>
                      <w:color w:val="auto"/>
                      <w:sz w:val="21"/>
                      <w:szCs w:val="21"/>
                      <w:highlight w:val="none"/>
                      <w:lang w:val="en-US" w:eastAsia="zh-CN"/>
                    </w:rPr>
                    <w:t>#居民点</w:t>
                  </w:r>
                </w:p>
              </w:tc>
              <w:tc>
                <w:tcPr>
                  <w:tcW w:w="600" w:type="dxa"/>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-74</w:t>
                  </w:r>
                </w:p>
              </w:tc>
              <w:tc>
                <w:tcPr>
                  <w:tcW w:w="567" w:type="dxa"/>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kern w:val="0"/>
                      <w:sz w:val="21"/>
                      <w:szCs w:val="21"/>
                      <w:highlight w:val="none"/>
                      <w:lang w:val="en-US" w:eastAsia="zh-CN" w:bidi="ar-SA"/>
                    </w:rPr>
                    <w:t>59</w:t>
                  </w:r>
                </w:p>
              </w:tc>
              <w:tc>
                <w:tcPr>
                  <w:tcW w:w="733" w:type="dxa"/>
                  <w:vAlign w:val="center"/>
                </w:tcPr>
                <w:p>
                  <w:pPr>
                    <w:pStyle w:val="4"/>
                    <w:tabs>
                      <w:tab w:val="left" w:pos="1277"/>
                    </w:tabs>
                    <w:spacing w:line="240" w:lineRule="auto"/>
                    <w:jc w:val="center"/>
                    <w:rPr>
                      <w:rFonts w:hint="default" w:ascii="Times New Roman" w:hAnsi="Times New Roman" w:eastAsia="宋体" w:cs="Times New Roman"/>
                      <w:b w:val="0"/>
                      <w:bCs/>
                      <w:color w:val="auto"/>
                      <w:kern w:val="0"/>
                      <w:sz w:val="21"/>
                      <w:szCs w:val="21"/>
                      <w:highlight w:val="none"/>
                      <w:lang w:val="en-US" w:eastAsia="zh-CN" w:bidi="ar-SA"/>
                    </w:rPr>
                  </w:pPr>
                  <w:r>
                    <w:rPr>
                      <w:rFonts w:hint="eastAsia" w:eastAsia="宋体" w:cs="Times New Roman"/>
                      <w:b w:val="0"/>
                      <w:bCs/>
                      <w:color w:val="auto"/>
                      <w:sz w:val="21"/>
                      <w:szCs w:val="21"/>
                      <w:highlight w:val="none"/>
                      <w:lang w:val="en-US" w:eastAsia="zh-CN"/>
                    </w:rPr>
                    <w:t>0.75</w:t>
                  </w:r>
                </w:p>
              </w:tc>
              <w:tc>
                <w:tcPr>
                  <w:tcW w:w="945" w:type="dxa"/>
                  <w:vAlign w:val="center"/>
                </w:tcPr>
                <w:p>
                  <w:pPr>
                    <w:pStyle w:val="4"/>
                    <w:tabs>
                      <w:tab w:val="left" w:pos="1277"/>
                    </w:tabs>
                    <w:spacing w:line="240" w:lineRule="auto"/>
                    <w:jc w:val="center"/>
                    <w:rPr>
                      <w:rFonts w:hint="default" w:ascii="Times New Roman" w:hAnsi="Times New Roman" w:eastAsia="宋体" w:cs="Times New Roman"/>
                      <w:b w:val="0"/>
                      <w:bCs/>
                      <w:color w:val="auto"/>
                      <w:kern w:val="0"/>
                      <w:sz w:val="21"/>
                      <w:szCs w:val="21"/>
                      <w:highlight w:val="none"/>
                      <w:lang w:val="en-US" w:eastAsia="zh-CN" w:bidi="ar-SA"/>
                    </w:rPr>
                  </w:pPr>
                  <w:r>
                    <w:rPr>
                      <w:rFonts w:hint="eastAsia" w:eastAsia="宋体" w:cs="Times New Roman"/>
                      <w:b w:val="0"/>
                      <w:bCs/>
                      <w:color w:val="auto"/>
                      <w:sz w:val="21"/>
                      <w:szCs w:val="21"/>
                      <w:highlight w:val="none"/>
                      <w:lang w:val="en-US" w:eastAsia="zh-CN"/>
                    </w:rPr>
                    <w:t>36</w:t>
                  </w:r>
                </w:p>
              </w:tc>
              <w:tc>
                <w:tcPr>
                  <w:tcW w:w="780" w:type="dxa"/>
                  <w:vAlign w:val="center"/>
                </w:tcPr>
                <w:p>
                  <w:pPr>
                    <w:pStyle w:val="4"/>
                    <w:tabs>
                      <w:tab w:val="left" w:pos="1277"/>
                    </w:tabs>
                    <w:spacing w:line="240" w:lineRule="auto"/>
                    <w:jc w:val="center"/>
                    <w:rPr>
                      <w:rFonts w:hint="default" w:ascii="Times New Roman" w:hAnsi="Times New Roman" w:eastAsia="宋体" w:cs="Times New Roman"/>
                      <w:b w:val="0"/>
                      <w:bCs/>
                      <w:color w:val="auto"/>
                      <w:kern w:val="0"/>
                      <w:sz w:val="21"/>
                      <w:szCs w:val="21"/>
                      <w:highlight w:val="none"/>
                      <w:lang w:val="en-US" w:eastAsia="zh-CN" w:bidi="ar-SA"/>
                    </w:rPr>
                  </w:pPr>
                  <w:r>
                    <w:rPr>
                      <w:rFonts w:hint="eastAsia" w:eastAsia="宋体" w:cs="Times New Roman"/>
                      <w:b w:val="0"/>
                      <w:bCs/>
                      <w:color w:val="auto"/>
                      <w:sz w:val="21"/>
                      <w:szCs w:val="21"/>
                      <w:highlight w:val="none"/>
                      <w:lang w:val="en-US" w:eastAsia="zh-CN"/>
                    </w:rPr>
                    <w:t>西北</w:t>
                  </w:r>
                </w:p>
              </w:tc>
              <w:tc>
                <w:tcPr>
                  <w:tcW w:w="1410" w:type="dxa"/>
                  <w:vMerge w:val="continue"/>
                  <w:vAlign w:val="center"/>
                </w:tcPr>
                <w:p>
                  <w:pPr>
                    <w:pStyle w:val="4"/>
                    <w:tabs>
                      <w:tab w:val="left" w:pos="1277"/>
                    </w:tabs>
                    <w:spacing w:line="240" w:lineRule="auto"/>
                    <w:jc w:val="center"/>
                    <w:rPr>
                      <w:rFonts w:hint="default" w:ascii="Times New Roman" w:hAnsi="Times New Roman" w:eastAsia="宋体" w:cs="Times New Roman"/>
                      <w:b w:val="0"/>
                      <w:bCs/>
                      <w:color w:val="auto"/>
                      <w:kern w:val="0"/>
                      <w:sz w:val="21"/>
                      <w:szCs w:val="21"/>
                      <w:highlight w:val="none"/>
                      <w:lang w:val="en-US" w:eastAsia="zh-CN" w:bidi="ar-SA"/>
                    </w:rPr>
                  </w:pPr>
                </w:p>
              </w:tc>
              <w:tc>
                <w:tcPr>
                  <w:tcW w:w="1699" w:type="dxa"/>
                  <w:vAlign w:val="center"/>
                </w:tcPr>
                <w:p>
                  <w:pPr>
                    <w:pStyle w:val="4"/>
                    <w:tabs>
                      <w:tab w:val="left" w:pos="1277"/>
                    </w:tabs>
                    <w:spacing w:line="240" w:lineRule="auto"/>
                    <w:jc w:val="center"/>
                    <w:rPr>
                      <w:rFonts w:hint="eastAsia" w:ascii="Times New Roman" w:hAnsi="Times New Roman" w:eastAsia="宋体" w:cs="Times New Roman"/>
                      <w:b w:val="0"/>
                      <w:bCs/>
                      <w:color w:val="auto"/>
                      <w:kern w:val="0"/>
                      <w:sz w:val="21"/>
                      <w:szCs w:val="21"/>
                      <w:highlight w:val="none"/>
                      <w:lang w:val="en-US" w:eastAsia="zh-CN" w:bidi="ar-SA"/>
                    </w:rPr>
                  </w:pPr>
                  <w:r>
                    <w:rPr>
                      <w:rFonts w:hint="eastAsia" w:eastAsia="宋体" w:cs="Times New Roman"/>
                      <w:b w:val="0"/>
                      <w:bCs/>
                      <w:color w:val="auto"/>
                      <w:sz w:val="21"/>
                      <w:szCs w:val="21"/>
                      <w:highlight w:val="none"/>
                      <w:lang w:val="en-US" w:eastAsia="zh-CN"/>
                    </w:rPr>
                    <w:t>砖混结构，共1栋，3F，</w:t>
                  </w:r>
                  <w:r>
                    <w:rPr>
                      <w:rFonts w:hint="default" w:ascii="Times New Roman" w:hAnsi="Times New Roman" w:eastAsia="宋体" w:cs="Times New Roman"/>
                      <w:b w:val="0"/>
                      <w:bCs/>
                      <w:color w:val="auto"/>
                      <w:sz w:val="21"/>
                      <w:szCs w:val="21"/>
                      <w:highlight w:val="none"/>
                      <w:lang w:val="en-US" w:eastAsia="zh-CN"/>
                    </w:rPr>
                    <w:t>约</w:t>
                  </w:r>
                  <w:r>
                    <w:rPr>
                      <w:rFonts w:hint="eastAsia" w:eastAsia="宋体" w:cs="Times New Roman"/>
                      <w:b w:val="0"/>
                      <w:bCs/>
                      <w:color w:val="auto"/>
                      <w:sz w:val="21"/>
                      <w:szCs w:val="21"/>
                      <w:highlight w:val="none"/>
                      <w:lang w:val="en-US" w:eastAsia="zh-CN"/>
                    </w:rPr>
                    <w:t>3人，朝向东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0" w:type="dxa"/>
                  <w:vAlign w:val="center"/>
                </w:tcPr>
                <w:p>
                  <w:pPr>
                    <w:pStyle w:val="4"/>
                    <w:tabs>
                      <w:tab w:val="left" w:pos="1277"/>
                    </w:tabs>
                    <w:spacing w:line="240" w:lineRule="auto"/>
                    <w:jc w:val="center"/>
                    <w:rPr>
                      <w:rFonts w:hint="default"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3</w:t>
                  </w:r>
                </w:p>
              </w:tc>
              <w:tc>
                <w:tcPr>
                  <w:tcW w:w="860" w:type="dxa"/>
                  <w:vAlign w:val="center"/>
                </w:tcPr>
                <w:p>
                  <w:pPr>
                    <w:pStyle w:val="4"/>
                    <w:tabs>
                      <w:tab w:val="left" w:pos="1277"/>
                    </w:tabs>
                    <w:spacing w:line="240" w:lineRule="auto"/>
                    <w:jc w:val="center"/>
                    <w:rPr>
                      <w:rFonts w:hint="eastAsia" w:ascii="Times New Roman" w:hAnsi="Times New Roman" w:eastAsia="宋体" w:cs="Times New Roman"/>
                      <w:b w:val="0"/>
                      <w:bCs/>
                      <w:color w:val="auto"/>
                      <w:kern w:val="0"/>
                      <w:sz w:val="21"/>
                      <w:szCs w:val="21"/>
                      <w:highlight w:val="none"/>
                      <w:lang w:val="en-US" w:eastAsia="zh-CN" w:bidi="ar-SA"/>
                    </w:rPr>
                  </w:pPr>
                  <w:r>
                    <w:rPr>
                      <w:rFonts w:hint="eastAsia" w:eastAsia="宋体" w:cs="Times New Roman"/>
                      <w:b w:val="0"/>
                      <w:bCs/>
                      <w:color w:val="auto"/>
                      <w:sz w:val="21"/>
                      <w:szCs w:val="21"/>
                      <w:highlight w:val="none"/>
                      <w:lang w:val="en-US" w:eastAsia="zh-CN"/>
                    </w:rPr>
                    <w:t>2#居民点</w:t>
                  </w:r>
                </w:p>
              </w:tc>
              <w:tc>
                <w:tcPr>
                  <w:tcW w:w="600" w:type="dxa"/>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10</w:t>
                  </w:r>
                </w:p>
              </w:tc>
              <w:tc>
                <w:tcPr>
                  <w:tcW w:w="567" w:type="dxa"/>
                  <w:vAlign w:val="center"/>
                </w:tcPr>
                <w:p>
                  <w:pPr>
                    <w:pStyle w:val="4"/>
                    <w:tabs>
                      <w:tab w:val="left" w:pos="1277"/>
                    </w:tabs>
                    <w:spacing w:line="240" w:lineRule="auto"/>
                    <w:jc w:val="center"/>
                    <w:rPr>
                      <w:rFonts w:hint="eastAsia" w:ascii="Times New Roman" w:hAnsi="Times New Roman" w:eastAsia="宋体" w:cs="Times New Roman"/>
                      <w:bCs w:val="0"/>
                      <w:color w:val="auto"/>
                      <w:kern w:val="0"/>
                      <w:sz w:val="21"/>
                      <w:szCs w:val="21"/>
                      <w:highlight w:val="none"/>
                      <w:lang w:val="en-US" w:eastAsia="zh-CN" w:bidi="ar-SA"/>
                    </w:rPr>
                  </w:pPr>
                  <w:r>
                    <w:rPr>
                      <w:rFonts w:hint="eastAsia" w:eastAsia="宋体" w:cs="Times New Roman"/>
                      <w:bCs w:val="0"/>
                      <w:color w:val="auto"/>
                      <w:sz w:val="21"/>
                      <w:szCs w:val="21"/>
                      <w:highlight w:val="none"/>
                      <w:lang w:val="en-US" w:eastAsia="zh-CN"/>
                    </w:rPr>
                    <w:t>92</w:t>
                  </w:r>
                </w:p>
              </w:tc>
              <w:tc>
                <w:tcPr>
                  <w:tcW w:w="733" w:type="dxa"/>
                  <w:vAlign w:val="center"/>
                </w:tcPr>
                <w:p>
                  <w:pPr>
                    <w:pStyle w:val="4"/>
                    <w:tabs>
                      <w:tab w:val="left" w:pos="1277"/>
                    </w:tabs>
                    <w:spacing w:line="240" w:lineRule="auto"/>
                    <w:jc w:val="center"/>
                    <w:rPr>
                      <w:rFonts w:hint="default" w:ascii="Times New Roman" w:hAnsi="Times New Roman" w:eastAsia="宋体" w:cs="Times New Roman"/>
                      <w:b w:val="0"/>
                      <w:bCs/>
                      <w:color w:val="auto"/>
                      <w:kern w:val="0"/>
                      <w:sz w:val="21"/>
                      <w:szCs w:val="21"/>
                      <w:highlight w:val="none"/>
                      <w:lang w:val="en-US" w:eastAsia="zh-CN" w:bidi="ar-SA"/>
                    </w:rPr>
                  </w:pPr>
                  <w:r>
                    <w:rPr>
                      <w:rFonts w:hint="eastAsia" w:eastAsia="宋体" w:cs="Times New Roman"/>
                      <w:b w:val="0"/>
                      <w:bCs/>
                      <w:color w:val="auto"/>
                      <w:sz w:val="21"/>
                      <w:szCs w:val="21"/>
                      <w:highlight w:val="none"/>
                      <w:lang w:val="en-US" w:eastAsia="zh-CN"/>
                    </w:rPr>
                    <w:t>-0.25</w:t>
                  </w:r>
                </w:p>
              </w:tc>
              <w:tc>
                <w:tcPr>
                  <w:tcW w:w="945" w:type="dxa"/>
                  <w:vAlign w:val="center"/>
                </w:tcPr>
                <w:p>
                  <w:pPr>
                    <w:pStyle w:val="4"/>
                    <w:tabs>
                      <w:tab w:val="left" w:pos="1277"/>
                    </w:tabs>
                    <w:spacing w:line="240" w:lineRule="auto"/>
                    <w:jc w:val="center"/>
                    <w:rPr>
                      <w:rFonts w:hint="default" w:ascii="Times New Roman" w:hAnsi="Times New Roman" w:eastAsia="宋体" w:cs="Times New Roman"/>
                      <w:b w:val="0"/>
                      <w:bCs/>
                      <w:color w:val="auto"/>
                      <w:kern w:val="0"/>
                      <w:sz w:val="21"/>
                      <w:szCs w:val="21"/>
                      <w:highlight w:val="none"/>
                      <w:lang w:val="en-US" w:eastAsia="zh-CN" w:bidi="ar-SA"/>
                    </w:rPr>
                  </w:pPr>
                  <w:r>
                    <w:rPr>
                      <w:rFonts w:hint="eastAsia" w:eastAsia="宋体" w:cs="Times New Roman"/>
                      <w:b w:val="0"/>
                      <w:bCs/>
                      <w:color w:val="auto"/>
                      <w:sz w:val="21"/>
                      <w:szCs w:val="21"/>
                      <w:highlight w:val="none"/>
                      <w:lang w:val="en-US" w:eastAsia="zh-CN"/>
                    </w:rPr>
                    <w:t>29</w:t>
                  </w:r>
                </w:p>
              </w:tc>
              <w:tc>
                <w:tcPr>
                  <w:tcW w:w="780" w:type="dxa"/>
                  <w:vAlign w:val="center"/>
                </w:tcPr>
                <w:p>
                  <w:pPr>
                    <w:pStyle w:val="4"/>
                    <w:tabs>
                      <w:tab w:val="left" w:pos="1277"/>
                    </w:tabs>
                    <w:spacing w:line="240" w:lineRule="auto"/>
                    <w:jc w:val="center"/>
                    <w:rPr>
                      <w:rFonts w:hint="default" w:ascii="Times New Roman" w:hAnsi="Times New Roman" w:eastAsia="宋体" w:cs="Times New Roman"/>
                      <w:b w:val="0"/>
                      <w:bCs/>
                      <w:color w:val="auto"/>
                      <w:kern w:val="0"/>
                      <w:sz w:val="21"/>
                      <w:szCs w:val="21"/>
                      <w:highlight w:val="none"/>
                      <w:lang w:val="en-US" w:eastAsia="zh-CN" w:bidi="ar-SA"/>
                    </w:rPr>
                  </w:pPr>
                  <w:r>
                    <w:rPr>
                      <w:rFonts w:hint="eastAsia" w:eastAsia="宋体" w:cs="Times New Roman"/>
                      <w:b w:val="0"/>
                      <w:bCs/>
                      <w:color w:val="auto"/>
                      <w:sz w:val="21"/>
                      <w:szCs w:val="21"/>
                      <w:highlight w:val="none"/>
                      <w:lang w:val="en-US" w:eastAsia="zh-CN"/>
                    </w:rPr>
                    <w:t>北</w:t>
                  </w:r>
                </w:p>
              </w:tc>
              <w:tc>
                <w:tcPr>
                  <w:tcW w:w="1410" w:type="dxa"/>
                  <w:vAlign w:val="center"/>
                </w:tcPr>
                <w:p>
                  <w:pPr>
                    <w:pStyle w:val="4"/>
                    <w:tabs>
                      <w:tab w:val="left" w:pos="1277"/>
                    </w:tabs>
                    <w:spacing w:line="240" w:lineRule="auto"/>
                    <w:jc w:val="center"/>
                    <w:rPr>
                      <w:rFonts w:hint="default" w:ascii="Times New Roman" w:hAnsi="Times New Roman" w:eastAsia="宋体" w:cs="Times New Roman"/>
                      <w:b w:val="0"/>
                      <w:bCs/>
                      <w:color w:val="auto"/>
                      <w:kern w:val="0"/>
                      <w:sz w:val="21"/>
                      <w:szCs w:val="21"/>
                      <w:highlight w:val="none"/>
                      <w:lang w:val="en-US" w:eastAsia="zh-CN" w:bidi="ar-SA"/>
                    </w:rPr>
                  </w:pPr>
                  <w:r>
                    <w:rPr>
                      <w:rFonts w:hint="eastAsia" w:eastAsia="宋体" w:cs="Times New Roman"/>
                      <w:b w:val="0"/>
                      <w:bCs/>
                      <w:color w:val="auto"/>
                      <w:sz w:val="21"/>
                      <w:szCs w:val="21"/>
                      <w:highlight w:val="none"/>
                      <w:lang w:val="en-US" w:eastAsia="zh-CN"/>
                    </w:rPr>
                    <w:t>4a</w:t>
                  </w:r>
                  <w:r>
                    <w:rPr>
                      <w:rFonts w:hint="default" w:ascii="Times New Roman" w:hAnsi="Times New Roman" w:eastAsia="宋体" w:cs="Times New Roman"/>
                      <w:b w:val="0"/>
                      <w:bCs/>
                      <w:color w:val="auto"/>
                      <w:sz w:val="21"/>
                      <w:szCs w:val="21"/>
                      <w:highlight w:val="none"/>
                      <w:lang w:val="en-US" w:eastAsia="zh-CN"/>
                    </w:rPr>
                    <w:t>类声功能区</w:t>
                  </w:r>
                </w:p>
              </w:tc>
              <w:tc>
                <w:tcPr>
                  <w:tcW w:w="1699" w:type="dxa"/>
                  <w:vAlign w:val="center"/>
                </w:tcPr>
                <w:p>
                  <w:pPr>
                    <w:pStyle w:val="4"/>
                    <w:tabs>
                      <w:tab w:val="left" w:pos="1277"/>
                    </w:tabs>
                    <w:spacing w:line="240" w:lineRule="auto"/>
                    <w:jc w:val="center"/>
                    <w:rPr>
                      <w:rFonts w:hint="default" w:ascii="Times New Roman" w:hAnsi="Times New Roman" w:eastAsia="宋体" w:cs="Times New Roman"/>
                      <w:b w:val="0"/>
                      <w:bCs/>
                      <w:color w:val="auto"/>
                      <w:kern w:val="0"/>
                      <w:sz w:val="21"/>
                      <w:szCs w:val="21"/>
                      <w:highlight w:val="none"/>
                      <w:lang w:val="en-US" w:eastAsia="zh-CN" w:bidi="ar-SA"/>
                    </w:rPr>
                  </w:pPr>
                  <w:r>
                    <w:rPr>
                      <w:rFonts w:hint="eastAsia" w:eastAsia="宋体" w:cs="Times New Roman"/>
                      <w:b w:val="0"/>
                      <w:bCs/>
                      <w:color w:val="auto"/>
                      <w:sz w:val="21"/>
                      <w:szCs w:val="21"/>
                      <w:highlight w:val="none"/>
                      <w:lang w:val="en-US" w:eastAsia="zh-CN"/>
                    </w:rPr>
                    <w:t>砖混结构，共3栋，每栋2F，</w:t>
                  </w:r>
                  <w:r>
                    <w:rPr>
                      <w:rFonts w:hint="default" w:ascii="Times New Roman" w:hAnsi="Times New Roman" w:eastAsia="宋体" w:cs="Times New Roman"/>
                      <w:b w:val="0"/>
                      <w:bCs/>
                      <w:color w:val="auto"/>
                      <w:sz w:val="21"/>
                      <w:szCs w:val="21"/>
                      <w:highlight w:val="none"/>
                      <w:lang w:val="en-US" w:eastAsia="zh-CN"/>
                    </w:rPr>
                    <w:t>约</w:t>
                  </w:r>
                  <w:r>
                    <w:rPr>
                      <w:rFonts w:hint="eastAsia" w:eastAsia="宋体" w:cs="Times New Roman"/>
                      <w:b w:val="0"/>
                      <w:bCs/>
                      <w:color w:val="auto"/>
                      <w:sz w:val="21"/>
                      <w:szCs w:val="21"/>
                      <w:highlight w:val="none"/>
                      <w:lang w:val="en-US" w:eastAsia="zh-CN"/>
                    </w:rPr>
                    <w:t>9人，朝向南</w:t>
                  </w:r>
                </w:p>
              </w:tc>
            </w:tr>
          </w:tbl>
          <w:p>
            <w:pPr>
              <w:spacing w:line="240" w:lineRule="auto"/>
              <w:rPr>
                <w:rFonts w:hint="eastAsia" w:eastAsia="宋体"/>
                <w:color w:val="auto"/>
                <w:kern w:val="0"/>
                <w:sz w:val="21"/>
                <w:szCs w:val="21"/>
                <w:highlight w:val="none"/>
                <w:lang w:val="en-US" w:eastAsia="zh-CN"/>
              </w:rPr>
            </w:pPr>
            <w:r>
              <w:rPr>
                <w:rFonts w:hint="eastAsia"/>
                <w:b/>
                <w:bCs/>
                <w:color w:val="auto"/>
                <w:kern w:val="0"/>
                <w:sz w:val="21"/>
                <w:szCs w:val="21"/>
                <w:highlight w:val="none"/>
                <w:lang w:val="en-US" w:eastAsia="zh-CN"/>
              </w:rPr>
              <w:t>注：项目以厂界中心点为坐标原点（0</w:t>
            </w:r>
            <w:r>
              <w:rPr>
                <w:rFonts w:ascii="Arial" w:hAnsi="Arial" w:eastAsia="宋体" w:cs="Arial"/>
                <w:b/>
                <w:bCs/>
                <w:i w:val="0"/>
                <w:iCs w:val="0"/>
                <w:caps w:val="0"/>
                <w:color w:val="auto"/>
                <w:spacing w:val="0"/>
                <w:sz w:val="21"/>
                <w:szCs w:val="21"/>
                <w:shd w:val="clear" w:fill="FFFFFF"/>
              </w:rPr>
              <w:t>,</w:t>
            </w:r>
            <w:r>
              <w:rPr>
                <w:rFonts w:hint="eastAsia"/>
                <w:b/>
                <w:bCs/>
                <w:color w:val="auto"/>
                <w:kern w:val="0"/>
                <w:sz w:val="21"/>
                <w:szCs w:val="21"/>
                <w:highlight w:val="none"/>
                <w:lang w:val="en-US" w:eastAsia="zh-CN"/>
              </w:rPr>
              <w:t>0</w:t>
            </w:r>
            <w:r>
              <w:rPr>
                <w:rFonts w:ascii="Arial" w:hAnsi="Arial" w:eastAsia="宋体" w:cs="Arial"/>
                <w:b/>
                <w:bCs/>
                <w:i w:val="0"/>
                <w:iCs w:val="0"/>
                <w:caps w:val="0"/>
                <w:color w:val="auto"/>
                <w:spacing w:val="0"/>
                <w:sz w:val="21"/>
                <w:szCs w:val="21"/>
                <w:shd w:val="clear" w:fill="FFFFFF"/>
              </w:rPr>
              <w:t>,</w:t>
            </w:r>
            <w:r>
              <w:rPr>
                <w:rFonts w:hint="eastAsia" w:ascii="Arial" w:hAnsi="Arial" w:eastAsia="宋体" w:cs="Arial"/>
                <w:b/>
                <w:bCs/>
                <w:i w:val="0"/>
                <w:iCs w:val="0"/>
                <w:caps w:val="0"/>
                <w:color w:val="auto"/>
                <w:spacing w:val="0"/>
                <w:sz w:val="21"/>
                <w:szCs w:val="21"/>
                <w:shd w:val="clear" w:fill="FFFFFF"/>
                <w:lang w:val="en-US" w:eastAsia="zh-CN"/>
              </w:rPr>
              <w:t>0</w:t>
            </w:r>
            <w:r>
              <w:rPr>
                <w:rFonts w:hint="eastAsia"/>
                <w:b/>
                <w:bCs/>
                <w:color w:val="auto"/>
                <w:kern w:val="0"/>
                <w:sz w:val="21"/>
                <w:szCs w:val="21"/>
                <w:highlight w:val="none"/>
                <w:lang w:val="en-US" w:eastAsia="zh-CN"/>
              </w:rPr>
              <w:t>）。</w:t>
            </w:r>
          </w:p>
          <w:p>
            <w:pPr>
              <w:spacing w:line="360" w:lineRule="auto"/>
              <w:ind w:firstLine="480" w:firstLineChars="200"/>
              <w:rPr>
                <w:rFonts w:hint="default" w:eastAsia="宋体"/>
                <w:color w:val="auto"/>
                <w:kern w:val="0"/>
                <w:sz w:val="24"/>
                <w:highlight w:val="none"/>
                <w:lang w:val="en-US" w:eastAsia="zh-CN"/>
              </w:rPr>
            </w:pPr>
            <w:r>
              <w:rPr>
                <w:rFonts w:hint="eastAsia" w:eastAsia="宋体"/>
                <w:color w:val="auto"/>
                <w:kern w:val="0"/>
                <w:sz w:val="24"/>
                <w:highlight w:val="none"/>
                <w:lang w:val="en-US" w:eastAsia="zh-CN"/>
              </w:rPr>
              <w:t>③地下水环境保护目标</w:t>
            </w:r>
          </w:p>
          <w:p>
            <w:pPr>
              <w:spacing w:line="360" w:lineRule="auto"/>
              <w:ind w:firstLine="480" w:firstLineChars="200"/>
              <w:rPr>
                <w:rFonts w:hint="default" w:eastAsia="宋体"/>
                <w:color w:val="auto"/>
                <w:kern w:val="0"/>
                <w:sz w:val="24"/>
                <w:highlight w:val="none"/>
                <w:lang w:val="en-US" w:eastAsia="zh-CN"/>
              </w:rPr>
            </w:pPr>
            <w:r>
              <w:rPr>
                <w:rFonts w:hint="eastAsia" w:eastAsia="宋体"/>
                <w:color w:val="auto"/>
                <w:kern w:val="0"/>
                <w:sz w:val="24"/>
                <w:highlight w:val="none"/>
                <w:lang w:val="en-US" w:eastAsia="zh-CN"/>
              </w:rPr>
              <w:t>项目周边500m范围内，无地下水集中式饮用水源、热水、矿泉水、温泉等特殊地下水资源。</w:t>
            </w:r>
          </w:p>
          <w:p>
            <w:pPr>
              <w:spacing w:line="360" w:lineRule="auto"/>
              <w:ind w:firstLine="480" w:firstLineChars="200"/>
              <w:rPr>
                <w:rFonts w:hint="default" w:eastAsia="宋体"/>
                <w:color w:val="auto"/>
                <w:kern w:val="0"/>
                <w:sz w:val="24"/>
                <w:highlight w:val="none"/>
                <w:lang w:val="en-US" w:eastAsia="zh-CN"/>
              </w:rPr>
            </w:pPr>
            <w:r>
              <w:rPr>
                <w:rFonts w:hint="eastAsia" w:eastAsia="宋体"/>
                <w:color w:val="auto"/>
                <w:kern w:val="0"/>
                <w:sz w:val="24"/>
                <w:highlight w:val="none"/>
                <w:lang w:val="en-US" w:eastAsia="zh-CN"/>
              </w:rPr>
              <w:t>④生态环境保护目标</w:t>
            </w:r>
          </w:p>
          <w:p>
            <w:pPr>
              <w:spacing w:line="360" w:lineRule="auto"/>
              <w:ind w:firstLine="480" w:firstLineChars="200"/>
              <w:rPr>
                <w:rFonts w:hint="default"/>
                <w:color w:val="auto"/>
                <w:lang w:val="en-US" w:eastAsia="zh-CN"/>
              </w:rPr>
            </w:pPr>
            <w:r>
              <w:rPr>
                <w:rFonts w:hint="eastAsia" w:ascii="Times New Roman" w:hAnsi="Times New Roman" w:eastAsia="宋体" w:cs="Times New Roman"/>
                <w:color w:val="auto"/>
                <w:kern w:val="0"/>
                <w:sz w:val="24"/>
                <w:lang w:val="en-US" w:eastAsia="zh-CN"/>
              </w:rPr>
              <w:t>本项目位于</w:t>
            </w:r>
            <w:r>
              <w:rPr>
                <w:rFonts w:hint="eastAsia"/>
                <w:color w:val="auto"/>
                <w:sz w:val="24"/>
                <w:highlight w:val="none"/>
              </w:rPr>
              <w:t>重庆市</w:t>
            </w:r>
            <w:r>
              <w:rPr>
                <w:rFonts w:hint="eastAsia"/>
                <w:color w:val="auto"/>
                <w:sz w:val="24"/>
                <w:highlight w:val="none"/>
                <w:lang w:val="en-US" w:eastAsia="zh-CN"/>
              </w:rPr>
              <w:t>铜梁</w:t>
            </w:r>
            <w:r>
              <w:rPr>
                <w:rFonts w:hint="eastAsia"/>
                <w:color w:val="auto"/>
                <w:sz w:val="24"/>
                <w:highlight w:val="none"/>
              </w:rPr>
              <w:t>区</w:t>
            </w:r>
            <w:r>
              <w:rPr>
                <w:rFonts w:hint="eastAsia"/>
                <w:color w:val="auto"/>
                <w:sz w:val="24"/>
                <w:highlight w:val="none"/>
                <w:lang w:val="en-US" w:eastAsia="zh-CN"/>
              </w:rPr>
              <w:t>侣俸镇工业园区创业路2号</w:t>
            </w:r>
            <w:r>
              <w:rPr>
                <w:rFonts w:hint="eastAsia" w:ascii="Times New Roman" w:hAnsi="Times New Roman" w:eastAsia="宋体" w:cs="Times New Roman"/>
                <w:color w:val="auto"/>
                <w:kern w:val="0"/>
                <w:sz w:val="24"/>
                <w:lang w:val="en-US" w:eastAsia="zh-CN"/>
              </w:rPr>
              <w:t>，项目所在地为工业用地，用地范围内无生态环境保护目标。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污染物排放控制标准</w:t>
            </w:r>
          </w:p>
        </w:tc>
        <w:tc>
          <w:tcPr>
            <w:tcW w:w="8190" w:type="dxa"/>
            <w:noWrap w:val="0"/>
            <w:vAlign w:val="top"/>
          </w:tcPr>
          <w:p>
            <w:pPr>
              <w:spacing w:line="360" w:lineRule="auto"/>
              <w:ind w:firstLine="480" w:firstLineChars="200"/>
              <w:rPr>
                <w:rFonts w:hint="default" w:eastAsia="宋体"/>
                <w:color w:val="auto"/>
                <w:kern w:val="0"/>
                <w:sz w:val="24"/>
                <w:highlight w:val="none"/>
                <w:lang w:val="en-US" w:eastAsia="zh-CN"/>
              </w:rPr>
            </w:pPr>
            <w:r>
              <w:rPr>
                <w:rFonts w:hint="eastAsia" w:eastAsia="宋体"/>
                <w:color w:val="auto"/>
                <w:kern w:val="0"/>
                <w:sz w:val="24"/>
                <w:highlight w:val="none"/>
                <w:lang w:val="en-US" w:eastAsia="zh-CN"/>
              </w:rPr>
              <w:t>1、废气</w:t>
            </w:r>
          </w:p>
          <w:p>
            <w:pPr>
              <w:spacing w:line="360" w:lineRule="auto"/>
              <w:ind w:firstLine="480" w:firstLineChars="200"/>
              <w:rPr>
                <w:rFonts w:hint="default" w:eastAsia="宋体"/>
                <w:color w:val="auto"/>
                <w:kern w:val="0"/>
                <w:sz w:val="24"/>
                <w:highlight w:val="none"/>
                <w:lang w:val="en-US" w:eastAsia="zh-CN"/>
              </w:rPr>
            </w:pPr>
            <w:r>
              <w:rPr>
                <w:rFonts w:hint="eastAsia" w:eastAsia="宋体"/>
                <w:color w:val="auto"/>
                <w:kern w:val="0"/>
                <w:sz w:val="24"/>
                <w:highlight w:val="none"/>
                <w:lang w:val="en-US" w:eastAsia="zh-CN"/>
              </w:rPr>
              <w:t>项目位于</w:t>
            </w:r>
            <w:r>
              <w:rPr>
                <w:rFonts w:hint="eastAsia"/>
                <w:color w:val="auto"/>
                <w:sz w:val="24"/>
                <w:highlight w:val="none"/>
              </w:rPr>
              <w:t>重庆市</w:t>
            </w:r>
            <w:r>
              <w:rPr>
                <w:rFonts w:hint="eastAsia"/>
                <w:color w:val="auto"/>
                <w:sz w:val="24"/>
                <w:highlight w:val="none"/>
                <w:lang w:val="en-US" w:eastAsia="zh-CN"/>
              </w:rPr>
              <w:t>铜梁</w:t>
            </w:r>
            <w:r>
              <w:rPr>
                <w:rFonts w:hint="eastAsia"/>
                <w:color w:val="auto"/>
                <w:sz w:val="24"/>
                <w:highlight w:val="none"/>
              </w:rPr>
              <w:t>区</w:t>
            </w:r>
            <w:r>
              <w:rPr>
                <w:rFonts w:hint="eastAsia"/>
                <w:color w:val="auto"/>
                <w:sz w:val="24"/>
                <w:highlight w:val="none"/>
                <w:lang w:val="en-US" w:eastAsia="zh-CN"/>
              </w:rPr>
              <w:t>侣俸镇工业园区创业路2号，根据工程分析，项目运营期大气污染物主要为挤塑废气及吸塑废气。大气污染物排放执行标准及排放限值，详见下表。</w:t>
            </w:r>
          </w:p>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表3-</w:t>
            </w:r>
            <w:r>
              <w:rPr>
                <w:rFonts w:hint="eastAsia" w:cs="Times New Roman"/>
                <w:color w:val="auto"/>
                <w:sz w:val="24"/>
                <w:szCs w:val="24"/>
                <w:highlight w:val="none"/>
                <w:lang w:val="en-US" w:eastAsia="zh-CN"/>
              </w:rPr>
              <w:t>7</w:t>
            </w:r>
            <w:r>
              <w:rPr>
                <w:rFonts w:hint="eastAsia" w:ascii="Times New Roman" w:hAnsi="Times New Roman" w:eastAsia="宋体" w:cs="Times New Roman"/>
                <w:color w:val="auto"/>
                <w:sz w:val="24"/>
                <w:szCs w:val="24"/>
                <w:highlight w:val="none"/>
                <w:lang w:val="en-US" w:eastAsia="zh-CN"/>
              </w:rPr>
              <w:t xml:space="preserve"> </w:t>
            </w:r>
            <w:r>
              <w:rPr>
                <w:rFonts w:hint="eastAsia" w:ascii="Times New Roman" w:hAnsi="Times New Roman" w:cs="Times New Roman"/>
                <w:color w:val="auto"/>
                <w:sz w:val="24"/>
                <w:szCs w:val="24"/>
                <w:highlight w:val="none"/>
                <w:lang w:val="en-US" w:eastAsia="zh-CN"/>
              </w:rPr>
              <w:t>大气污染物排放标准及其限值一览表</w:t>
            </w:r>
          </w:p>
          <w:tbl>
            <w:tblPr>
              <w:tblStyle w:val="1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909"/>
              <w:gridCol w:w="1873"/>
              <w:gridCol w:w="1110"/>
              <w:gridCol w:w="650"/>
              <w:gridCol w:w="734"/>
              <w:gridCol w:w="995"/>
              <w:gridCol w:w="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6" w:type="pct"/>
                  <w:vMerge w:val="restart"/>
                  <w:noWrap w:val="0"/>
                  <w:vAlign w:val="center"/>
                </w:tcPr>
                <w:p>
                  <w:pPr>
                    <w:spacing w:line="240" w:lineRule="auto"/>
                    <w:jc w:val="center"/>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污染源</w:t>
                  </w:r>
                </w:p>
              </w:tc>
              <w:tc>
                <w:tcPr>
                  <w:tcW w:w="571" w:type="pct"/>
                  <w:vMerge w:val="restart"/>
                  <w:noWrap w:val="0"/>
                  <w:vAlign w:val="center"/>
                </w:tcPr>
                <w:p>
                  <w:pPr>
                    <w:spacing w:line="240" w:lineRule="auto"/>
                    <w:jc w:val="center"/>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污染物</w:t>
                  </w:r>
                </w:p>
              </w:tc>
              <w:tc>
                <w:tcPr>
                  <w:tcW w:w="1176" w:type="pct"/>
                  <w:vMerge w:val="restart"/>
                  <w:noWrap w:val="0"/>
                  <w:vAlign w:val="center"/>
                </w:tcPr>
                <w:p>
                  <w:pPr>
                    <w:spacing w:line="240" w:lineRule="auto"/>
                    <w:jc w:val="center"/>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执行标准</w:t>
                  </w:r>
                </w:p>
              </w:tc>
              <w:tc>
                <w:tcPr>
                  <w:tcW w:w="697" w:type="pct"/>
                  <w:vMerge w:val="restart"/>
                  <w:noWrap w:val="0"/>
                  <w:vAlign w:val="center"/>
                </w:tcPr>
                <w:p>
                  <w:pPr>
                    <w:spacing w:line="240" w:lineRule="auto"/>
                    <w:jc w:val="center"/>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最高允许排放浓度mg/m</w:t>
                  </w:r>
                  <w:r>
                    <w:rPr>
                      <w:rFonts w:hint="eastAsia"/>
                      <w:color w:val="auto"/>
                      <w:sz w:val="21"/>
                      <w:szCs w:val="21"/>
                      <w:highlight w:val="none"/>
                      <w:vertAlign w:val="superscript"/>
                      <w:lang w:val="en-US" w:eastAsia="zh-CN"/>
                    </w:rPr>
                    <w:t>3</w:t>
                  </w:r>
                </w:p>
              </w:tc>
              <w:tc>
                <w:tcPr>
                  <w:tcW w:w="869" w:type="pct"/>
                  <w:gridSpan w:val="2"/>
                  <w:noWrap w:val="0"/>
                  <w:vAlign w:val="center"/>
                </w:tcPr>
                <w:p>
                  <w:pPr>
                    <w:spacing w:line="240" w:lineRule="auto"/>
                    <w:jc w:val="center"/>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最高允许排放速率</w:t>
                  </w:r>
                </w:p>
              </w:tc>
              <w:tc>
                <w:tcPr>
                  <w:tcW w:w="939" w:type="pct"/>
                  <w:gridSpan w:val="2"/>
                  <w:noWrap w:val="0"/>
                  <w:vAlign w:val="center"/>
                </w:tcPr>
                <w:p>
                  <w:pPr>
                    <w:spacing w:line="240" w:lineRule="auto"/>
                    <w:jc w:val="center"/>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无组织排放监控点浓度限值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6" w:type="pct"/>
                  <w:vMerge w:val="continue"/>
                  <w:noWrap w:val="0"/>
                  <w:vAlign w:val="center"/>
                </w:tcPr>
                <w:p>
                  <w:pPr>
                    <w:spacing w:line="240" w:lineRule="auto"/>
                    <w:jc w:val="center"/>
                    <w:rPr>
                      <w:rFonts w:hint="eastAsia" w:eastAsia="宋体"/>
                      <w:color w:val="auto"/>
                      <w:sz w:val="21"/>
                      <w:szCs w:val="21"/>
                      <w:highlight w:val="none"/>
                      <w:vertAlign w:val="baseline"/>
                      <w:lang w:val="en-US" w:eastAsia="zh-CN"/>
                    </w:rPr>
                  </w:pPr>
                </w:p>
              </w:tc>
              <w:tc>
                <w:tcPr>
                  <w:tcW w:w="571" w:type="pct"/>
                  <w:vMerge w:val="continue"/>
                  <w:noWrap w:val="0"/>
                  <w:vAlign w:val="center"/>
                </w:tcPr>
                <w:p>
                  <w:pPr>
                    <w:spacing w:line="240" w:lineRule="auto"/>
                    <w:jc w:val="center"/>
                    <w:rPr>
                      <w:rFonts w:hint="eastAsia" w:eastAsia="宋体"/>
                      <w:color w:val="auto"/>
                      <w:sz w:val="21"/>
                      <w:szCs w:val="21"/>
                      <w:highlight w:val="none"/>
                      <w:vertAlign w:val="baseline"/>
                      <w:lang w:val="en-US" w:eastAsia="zh-CN"/>
                    </w:rPr>
                  </w:pPr>
                </w:p>
              </w:tc>
              <w:tc>
                <w:tcPr>
                  <w:tcW w:w="1176" w:type="pct"/>
                  <w:vMerge w:val="continue"/>
                  <w:noWrap w:val="0"/>
                  <w:vAlign w:val="center"/>
                </w:tcPr>
                <w:p>
                  <w:pPr>
                    <w:spacing w:line="240" w:lineRule="auto"/>
                    <w:jc w:val="center"/>
                    <w:rPr>
                      <w:color w:val="auto"/>
                      <w:sz w:val="21"/>
                      <w:szCs w:val="21"/>
                      <w:highlight w:val="none"/>
                      <w:vertAlign w:val="baseline"/>
                    </w:rPr>
                  </w:pPr>
                </w:p>
              </w:tc>
              <w:tc>
                <w:tcPr>
                  <w:tcW w:w="697" w:type="pct"/>
                  <w:vMerge w:val="continue"/>
                  <w:noWrap w:val="0"/>
                  <w:vAlign w:val="center"/>
                </w:tcPr>
                <w:p>
                  <w:pPr>
                    <w:spacing w:line="240" w:lineRule="auto"/>
                    <w:jc w:val="center"/>
                    <w:rPr>
                      <w:color w:val="auto"/>
                      <w:sz w:val="21"/>
                      <w:szCs w:val="21"/>
                      <w:highlight w:val="none"/>
                      <w:vertAlign w:val="baseline"/>
                    </w:rPr>
                  </w:pPr>
                </w:p>
              </w:tc>
              <w:tc>
                <w:tcPr>
                  <w:tcW w:w="408" w:type="pct"/>
                  <w:noWrap w:val="0"/>
                  <w:vAlign w:val="center"/>
                </w:tcPr>
                <w:p>
                  <w:pPr>
                    <w:spacing w:line="240" w:lineRule="auto"/>
                    <w:jc w:val="center"/>
                    <w:rPr>
                      <w:rFonts w:hint="eastAsia"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排气筒</w:t>
                  </w:r>
                </w:p>
              </w:tc>
              <w:tc>
                <w:tcPr>
                  <w:tcW w:w="461" w:type="pct"/>
                  <w:noWrap w:val="0"/>
                  <w:vAlign w:val="center"/>
                </w:tcPr>
                <w:p>
                  <w:pPr>
                    <w:spacing w:line="240" w:lineRule="auto"/>
                    <w:jc w:val="center"/>
                    <w:rPr>
                      <w:rFonts w:hint="eastAsia"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速率kg/h</w:t>
                  </w:r>
                </w:p>
              </w:tc>
              <w:tc>
                <w:tcPr>
                  <w:tcW w:w="939" w:type="pct"/>
                  <w:gridSpan w:val="2"/>
                  <w:noWrap w:val="0"/>
                  <w:vAlign w:val="center"/>
                </w:tcPr>
                <w:p>
                  <w:pPr>
                    <w:spacing w:line="240" w:lineRule="auto"/>
                    <w:jc w:val="center"/>
                    <w:rPr>
                      <w:rFonts w:hint="default" w:eastAsia="宋体"/>
                      <w:color w:val="auto"/>
                      <w:sz w:val="21"/>
                      <w:szCs w:val="21"/>
                      <w:highlight w:val="none"/>
                      <w:vertAlign w:val="superscript"/>
                      <w:lang w:val="en-US" w:eastAsia="zh-CN"/>
                    </w:rPr>
                  </w:pPr>
                  <w:r>
                    <w:rPr>
                      <w:rFonts w:hint="eastAsia"/>
                      <w:color w:val="auto"/>
                      <w:sz w:val="21"/>
                      <w:szCs w:val="21"/>
                      <w:highlight w:val="none"/>
                      <w:vertAlign w:val="baseline"/>
                      <w:lang w:val="en-US" w:eastAsia="zh-CN"/>
                    </w:rPr>
                    <w:t>浓度mg/m</w:t>
                  </w:r>
                  <w:r>
                    <w:rPr>
                      <w:rFonts w:hint="eastAsia"/>
                      <w:color w:val="auto"/>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6" w:type="pct"/>
                  <w:vMerge w:val="restart"/>
                  <w:noWrap w:val="0"/>
                  <w:vAlign w:val="center"/>
                </w:tcPr>
                <w:p>
                  <w:pPr>
                    <w:spacing w:line="240" w:lineRule="auto"/>
                    <w:jc w:val="center"/>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DA001（挤塑废气及吸塑废气）</w:t>
                  </w:r>
                </w:p>
              </w:tc>
              <w:tc>
                <w:tcPr>
                  <w:tcW w:w="57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颗粒物</w:t>
                  </w:r>
                </w:p>
              </w:tc>
              <w:tc>
                <w:tcPr>
                  <w:tcW w:w="1176" w:type="pct"/>
                  <w:vMerge w:val="restart"/>
                  <w:noWrap w:val="0"/>
                  <w:vAlign w:val="center"/>
                </w:tcPr>
                <w:p>
                  <w:pPr>
                    <w:spacing w:line="240" w:lineRule="auto"/>
                    <w:jc w:val="center"/>
                    <w:rPr>
                      <w:rFonts w:hint="eastAsia" w:eastAsia="宋体"/>
                      <w:color w:val="auto"/>
                      <w:sz w:val="21"/>
                      <w:szCs w:val="21"/>
                      <w:highlight w:val="none"/>
                      <w:vertAlign w:val="baseline"/>
                      <w:lang w:val="en-US" w:eastAsia="zh-CN"/>
                    </w:rPr>
                  </w:pPr>
                  <w:r>
                    <w:rPr>
                      <w:rFonts w:hint="eastAsia" w:cs="Times New Roman"/>
                      <w:color w:val="auto"/>
                      <w:kern w:val="2"/>
                      <w:sz w:val="21"/>
                      <w:szCs w:val="21"/>
                      <w:highlight w:val="none"/>
                      <w:vertAlign w:val="baseline"/>
                      <w:lang w:val="en-US" w:eastAsia="zh-CN"/>
                    </w:rPr>
                    <w:t>《合成树脂工业污染物排放标准》（GB31572-2015）中特别排放限值</w:t>
                  </w:r>
                </w:p>
              </w:tc>
              <w:tc>
                <w:tcPr>
                  <w:tcW w:w="697" w:type="pct"/>
                  <w:noWrap w:val="0"/>
                  <w:vAlign w:val="center"/>
                </w:tcPr>
                <w:p>
                  <w:pPr>
                    <w:spacing w:line="240" w:lineRule="auto"/>
                    <w:jc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20</w:t>
                  </w:r>
                </w:p>
              </w:tc>
              <w:tc>
                <w:tcPr>
                  <w:tcW w:w="408" w:type="pct"/>
                  <w:vMerge w:val="restart"/>
                  <w:noWrap w:val="0"/>
                  <w:vAlign w:val="center"/>
                </w:tcPr>
                <w:p>
                  <w:pPr>
                    <w:spacing w:line="240" w:lineRule="auto"/>
                    <w:jc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15m</w:t>
                  </w:r>
                </w:p>
              </w:tc>
              <w:tc>
                <w:tcPr>
                  <w:tcW w:w="461" w:type="pct"/>
                  <w:noWrap w:val="0"/>
                  <w:vAlign w:val="center"/>
                </w:tcPr>
                <w:p>
                  <w:pPr>
                    <w:spacing w:line="240" w:lineRule="auto"/>
                    <w:jc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w:t>
                  </w:r>
                </w:p>
              </w:tc>
              <w:tc>
                <w:tcPr>
                  <w:tcW w:w="625" w:type="pct"/>
                  <w:vMerge w:val="restart"/>
                  <w:noWrap w:val="0"/>
                  <w:vAlign w:val="center"/>
                </w:tcPr>
                <w:p>
                  <w:pPr>
                    <w:spacing w:line="240" w:lineRule="auto"/>
                    <w:jc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厂界</w:t>
                  </w:r>
                </w:p>
              </w:tc>
              <w:tc>
                <w:tcPr>
                  <w:tcW w:w="314" w:type="pct"/>
                  <w:noWrap w:val="0"/>
                  <w:vAlign w:val="center"/>
                </w:tcPr>
                <w:p>
                  <w:pPr>
                    <w:spacing w:line="240" w:lineRule="auto"/>
                    <w:jc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6" w:type="pct"/>
                  <w:vMerge w:val="continue"/>
                  <w:noWrap w:val="0"/>
                  <w:vAlign w:val="center"/>
                </w:tcPr>
                <w:p>
                  <w:pPr>
                    <w:spacing w:line="240" w:lineRule="auto"/>
                    <w:jc w:val="center"/>
                    <w:rPr>
                      <w:rFonts w:hint="eastAsia"/>
                      <w:color w:val="auto"/>
                      <w:sz w:val="21"/>
                      <w:szCs w:val="21"/>
                      <w:highlight w:val="none"/>
                      <w:vertAlign w:val="baseline"/>
                      <w:lang w:val="en-US" w:eastAsia="zh-CN"/>
                    </w:rPr>
                  </w:pPr>
                </w:p>
              </w:tc>
              <w:tc>
                <w:tcPr>
                  <w:tcW w:w="57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非甲烷总烃</w:t>
                  </w:r>
                </w:p>
              </w:tc>
              <w:tc>
                <w:tcPr>
                  <w:tcW w:w="1176" w:type="pct"/>
                  <w:vMerge w:val="continue"/>
                  <w:noWrap w:val="0"/>
                  <w:vAlign w:val="center"/>
                </w:tcPr>
                <w:p>
                  <w:pPr>
                    <w:spacing w:line="240" w:lineRule="auto"/>
                    <w:jc w:val="center"/>
                    <w:rPr>
                      <w:rFonts w:hint="eastAsia"/>
                      <w:color w:val="auto"/>
                      <w:sz w:val="21"/>
                      <w:szCs w:val="21"/>
                      <w:highlight w:val="none"/>
                      <w:vertAlign w:val="baseline"/>
                      <w:lang w:val="en-US" w:eastAsia="zh-CN"/>
                    </w:rPr>
                  </w:pPr>
                </w:p>
              </w:tc>
              <w:tc>
                <w:tcPr>
                  <w:tcW w:w="697" w:type="pct"/>
                  <w:noWrap w:val="0"/>
                  <w:vAlign w:val="center"/>
                </w:tcPr>
                <w:p>
                  <w:pPr>
                    <w:spacing w:line="240" w:lineRule="auto"/>
                    <w:jc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60</w:t>
                  </w:r>
                </w:p>
              </w:tc>
              <w:tc>
                <w:tcPr>
                  <w:tcW w:w="408" w:type="pct"/>
                  <w:vMerge w:val="continue"/>
                  <w:noWrap w:val="0"/>
                  <w:vAlign w:val="center"/>
                </w:tcPr>
                <w:p>
                  <w:pPr>
                    <w:spacing w:line="240" w:lineRule="auto"/>
                    <w:jc w:val="center"/>
                    <w:rPr>
                      <w:rFonts w:hint="eastAsia"/>
                      <w:color w:val="auto"/>
                      <w:sz w:val="21"/>
                      <w:szCs w:val="21"/>
                      <w:highlight w:val="none"/>
                      <w:vertAlign w:val="baseline"/>
                      <w:lang w:val="en-US" w:eastAsia="zh-CN"/>
                    </w:rPr>
                  </w:pPr>
                </w:p>
              </w:tc>
              <w:tc>
                <w:tcPr>
                  <w:tcW w:w="461" w:type="pct"/>
                  <w:noWrap w:val="0"/>
                  <w:vAlign w:val="center"/>
                </w:tcPr>
                <w:p>
                  <w:pPr>
                    <w:spacing w:line="240" w:lineRule="auto"/>
                    <w:jc w:val="center"/>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w:t>
                  </w:r>
                </w:p>
              </w:tc>
              <w:tc>
                <w:tcPr>
                  <w:tcW w:w="625" w:type="pct"/>
                  <w:vMerge w:val="continue"/>
                  <w:noWrap w:val="0"/>
                  <w:vAlign w:val="center"/>
                </w:tcPr>
                <w:p>
                  <w:pPr>
                    <w:spacing w:line="240" w:lineRule="auto"/>
                    <w:jc w:val="center"/>
                    <w:rPr>
                      <w:rFonts w:hint="eastAsia"/>
                      <w:color w:val="auto"/>
                      <w:sz w:val="21"/>
                      <w:szCs w:val="21"/>
                      <w:highlight w:val="none"/>
                      <w:vertAlign w:val="baseline"/>
                      <w:lang w:val="en-US" w:eastAsia="zh-CN"/>
                    </w:rPr>
                  </w:pPr>
                </w:p>
              </w:tc>
              <w:tc>
                <w:tcPr>
                  <w:tcW w:w="314" w:type="pct"/>
                  <w:noWrap w:val="0"/>
                  <w:vAlign w:val="center"/>
                </w:tcPr>
                <w:p>
                  <w:pPr>
                    <w:spacing w:line="240" w:lineRule="auto"/>
                    <w:jc w:val="center"/>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8"/>
                  <w:noWrap w:val="0"/>
                  <w:vAlign w:val="center"/>
                </w:tcPr>
                <w:p>
                  <w:pPr>
                    <w:spacing w:line="240" w:lineRule="auto"/>
                    <w:jc w:val="center"/>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（塑料打包盒、塑料杯）单位产品非甲烷总烃排放量：0.3kg/t-产品</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cs="Times New Roman"/>
                <w:color w:val="auto"/>
                <w:sz w:val="24"/>
                <w:lang w:val="en-US" w:eastAsia="zh-CN"/>
              </w:rPr>
              <w:t>厂区内非甲烷总烃</w:t>
            </w:r>
            <w:r>
              <w:rPr>
                <w:rFonts w:hint="default" w:ascii="Times New Roman" w:hAnsi="Times New Roman" w:cs="Times New Roman"/>
                <w:color w:val="auto"/>
                <w:sz w:val="24"/>
              </w:rPr>
              <w:t>无组织排放</w:t>
            </w:r>
            <w:r>
              <w:rPr>
                <w:rFonts w:hint="default" w:ascii="Times New Roman" w:hAnsi="Times New Roman" w:cs="Times New Roman"/>
                <w:color w:val="auto"/>
                <w:sz w:val="24"/>
                <w:lang w:val="en-US" w:eastAsia="zh-CN"/>
              </w:rPr>
              <w:t>执行</w:t>
            </w:r>
            <w:r>
              <w:rPr>
                <w:rFonts w:hint="default" w:ascii="Times New Roman" w:hAnsi="Times New Roman" w:cs="Times New Roman"/>
                <w:color w:val="auto"/>
                <w:sz w:val="24"/>
              </w:rPr>
              <w:t>《挥发性有机物无组织排放控制标准》（GB37</w:t>
            </w:r>
            <w:r>
              <w:rPr>
                <w:rFonts w:hint="default" w:ascii="Times New Roman" w:hAnsi="Times New Roman" w:cs="Times New Roman"/>
                <w:color w:val="auto"/>
                <w:sz w:val="24"/>
                <w:highlight w:val="none"/>
              </w:rPr>
              <w:t>822-2019）</w:t>
            </w:r>
            <w:r>
              <w:rPr>
                <w:rFonts w:hint="eastAsia" w:cs="Times New Roman"/>
                <w:color w:val="auto"/>
                <w:sz w:val="24"/>
                <w:highlight w:val="none"/>
                <w:lang w:eastAsia="zh-CN"/>
              </w:rPr>
              <w:t>中特别排放限值</w:t>
            </w:r>
            <w:r>
              <w:rPr>
                <w:rFonts w:hint="default" w:ascii="Times New Roman" w:hAnsi="Times New Roman" w:cs="Times New Roman"/>
                <w:color w:val="auto"/>
                <w:sz w:val="24"/>
                <w:highlight w:val="none"/>
              </w:rPr>
              <w:t>。</w:t>
            </w:r>
          </w:p>
          <w:p>
            <w:pPr>
              <w:keepNext/>
              <w:overflowPunct w:val="0"/>
              <w:spacing w:line="460" w:lineRule="exact"/>
              <w:jc w:val="center"/>
              <w:rPr>
                <w:rFonts w:hint="default" w:ascii="Times New Roman" w:hAnsi="Times New Roman" w:cs="Times New Roman"/>
                <w:b/>
                <w:color w:val="auto"/>
                <w:sz w:val="24"/>
                <w:lang w:val="en-US" w:eastAsia="zh-CN"/>
              </w:rPr>
            </w:pPr>
            <w:r>
              <w:rPr>
                <w:rFonts w:hint="default" w:ascii="Times New Roman" w:hAnsi="Times New Roman" w:cs="Times New Roman"/>
                <w:b w:val="0"/>
                <w:bCs/>
                <w:color w:val="auto"/>
                <w:sz w:val="24"/>
                <w:lang w:val="en-US" w:eastAsia="zh-CN"/>
              </w:rPr>
              <w:t>表3-</w:t>
            </w:r>
            <w:r>
              <w:rPr>
                <w:rFonts w:hint="eastAsia" w:cs="Times New Roman"/>
                <w:b w:val="0"/>
                <w:bCs/>
                <w:color w:val="auto"/>
                <w:sz w:val="24"/>
                <w:lang w:val="en-US" w:eastAsia="zh-CN"/>
              </w:rPr>
              <w:t>8</w:t>
            </w:r>
            <w:r>
              <w:rPr>
                <w:rFonts w:hint="default" w:ascii="Times New Roman" w:hAnsi="Times New Roman" w:cs="Times New Roman"/>
                <w:b w:val="0"/>
                <w:bCs/>
                <w:color w:val="auto"/>
                <w:sz w:val="24"/>
                <w:lang w:val="en-US" w:eastAsia="zh-CN"/>
              </w:rPr>
              <w:t>《挥发性有机物无组织排放控制标准》（GB37822-2019）单位：mg/m</w:t>
            </w:r>
            <w:r>
              <w:rPr>
                <w:rFonts w:hint="default" w:ascii="Times New Roman" w:hAnsi="Times New Roman" w:cs="Times New Roman"/>
                <w:b w:val="0"/>
                <w:bCs/>
                <w:color w:val="auto"/>
                <w:sz w:val="24"/>
                <w:vertAlign w:val="superscript"/>
                <w:lang w:val="en-US" w:eastAsia="zh-CN"/>
              </w:rPr>
              <w:t>3</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1571"/>
              <w:gridCol w:w="2825"/>
              <w:gridCol w:w="2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315" w:type="dxa"/>
                  <w:noWrap w:val="0"/>
                  <w:vAlign w:val="center"/>
                </w:tcPr>
                <w:p>
                  <w:pPr>
                    <w:topLinePunct/>
                    <w:adjustRightInd w:val="0"/>
                    <w:snapToGrid w:val="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项目</w:t>
                  </w:r>
                </w:p>
              </w:tc>
              <w:tc>
                <w:tcPr>
                  <w:tcW w:w="1571" w:type="dxa"/>
                  <w:noWrap w:val="0"/>
                  <w:vAlign w:val="center"/>
                </w:tcPr>
                <w:p>
                  <w:pPr>
                    <w:topLinePunct/>
                    <w:adjustRightInd w:val="0"/>
                    <w:snapToGrid w:val="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排放限值</w:t>
                  </w:r>
                </w:p>
              </w:tc>
              <w:tc>
                <w:tcPr>
                  <w:tcW w:w="2825" w:type="dxa"/>
                  <w:noWrap w:val="0"/>
                  <w:vAlign w:val="center"/>
                </w:tcPr>
                <w:p>
                  <w:pPr>
                    <w:topLinePunct/>
                    <w:adjustRightInd w:val="0"/>
                    <w:snapToGrid w:val="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限值含义</w:t>
                  </w:r>
                </w:p>
              </w:tc>
              <w:tc>
                <w:tcPr>
                  <w:tcW w:w="2246" w:type="dxa"/>
                  <w:noWrap w:val="0"/>
                  <w:vAlign w:val="center"/>
                </w:tcPr>
                <w:p>
                  <w:pPr>
                    <w:topLinePunct/>
                    <w:adjustRightInd w:val="0"/>
                    <w:snapToGrid w:val="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5" w:type="dxa"/>
                  <w:vMerge w:val="restart"/>
                  <w:noWrap w:val="0"/>
                  <w:vAlign w:val="center"/>
                </w:tcPr>
                <w:p>
                  <w:pPr>
                    <w:topLinePunct/>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NMHC</w:t>
                  </w:r>
                </w:p>
              </w:tc>
              <w:tc>
                <w:tcPr>
                  <w:tcW w:w="1571" w:type="dxa"/>
                  <w:noWrap w:val="0"/>
                  <w:vAlign w:val="center"/>
                </w:tcPr>
                <w:p>
                  <w:pPr>
                    <w:topLinePunct/>
                    <w:adjustRightInd w:val="0"/>
                    <w:snapToGrid w:val="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6</w:t>
                  </w:r>
                </w:p>
              </w:tc>
              <w:tc>
                <w:tcPr>
                  <w:tcW w:w="2825" w:type="dxa"/>
                  <w:noWrap w:val="0"/>
                  <w:vAlign w:val="center"/>
                </w:tcPr>
                <w:p>
                  <w:pPr>
                    <w:topLinePunct/>
                    <w:adjustRightInd w:val="0"/>
                    <w:snapToGrid w:val="0"/>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监控点处1h平均浓度值</w:t>
                  </w:r>
                </w:p>
              </w:tc>
              <w:tc>
                <w:tcPr>
                  <w:tcW w:w="2246" w:type="dxa"/>
                  <w:vMerge w:val="restart"/>
                  <w:noWrap w:val="0"/>
                  <w:vAlign w:val="center"/>
                </w:tcPr>
                <w:p>
                  <w:pPr>
                    <w:topLinePunct/>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厂房内设置监控点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5" w:type="dxa"/>
                  <w:vMerge w:val="continue"/>
                  <w:noWrap w:val="0"/>
                  <w:vAlign w:val="center"/>
                </w:tcPr>
                <w:p>
                  <w:pPr>
                    <w:topLinePunct/>
                    <w:adjustRightInd w:val="0"/>
                    <w:snapToGrid w:val="0"/>
                    <w:jc w:val="center"/>
                    <w:rPr>
                      <w:rFonts w:hint="default" w:ascii="Times New Roman" w:hAnsi="Times New Roman" w:cs="Times New Roman"/>
                      <w:b/>
                      <w:bCs/>
                      <w:color w:val="auto"/>
                      <w:kern w:val="0"/>
                      <w:sz w:val="21"/>
                      <w:szCs w:val="21"/>
                    </w:rPr>
                  </w:pPr>
                </w:p>
              </w:tc>
              <w:tc>
                <w:tcPr>
                  <w:tcW w:w="1571" w:type="dxa"/>
                  <w:noWrap w:val="0"/>
                  <w:vAlign w:val="center"/>
                </w:tcPr>
                <w:p>
                  <w:pPr>
                    <w:topLinePunct/>
                    <w:adjustRightInd w:val="0"/>
                    <w:snapToGrid w:val="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20</w:t>
                  </w:r>
                </w:p>
              </w:tc>
              <w:tc>
                <w:tcPr>
                  <w:tcW w:w="2825" w:type="dxa"/>
                  <w:noWrap w:val="0"/>
                  <w:vAlign w:val="center"/>
                </w:tcPr>
                <w:p>
                  <w:pPr>
                    <w:topLinePunct/>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监测点处任意一次浓度值</w:t>
                  </w:r>
                </w:p>
              </w:tc>
              <w:tc>
                <w:tcPr>
                  <w:tcW w:w="2246" w:type="dxa"/>
                  <w:vMerge w:val="continue"/>
                  <w:noWrap w:val="0"/>
                  <w:vAlign w:val="top"/>
                </w:tcPr>
                <w:p>
                  <w:pPr>
                    <w:topLinePunct/>
                    <w:adjustRightInd w:val="0"/>
                    <w:snapToGrid w:val="0"/>
                    <w:jc w:val="center"/>
                    <w:rPr>
                      <w:rFonts w:hint="default" w:ascii="Times New Roman" w:hAnsi="Times New Roman" w:cs="Times New Roman"/>
                      <w:b/>
                      <w:bCs/>
                      <w:color w:val="auto"/>
                      <w:kern w:val="0"/>
                      <w:sz w:val="21"/>
                      <w:szCs w:val="21"/>
                    </w:rPr>
                  </w:pP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2、废</w:t>
            </w:r>
            <w:r>
              <w:rPr>
                <w:rFonts w:hint="eastAsia" w:cs="Times New Roman"/>
                <w:color w:val="auto"/>
                <w:kern w:val="0"/>
                <w:sz w:val="24"/>
                <w:lang w:val="en-US" w:eastAsia="zh-CN"/>
              </w:rPr>
              <w:t>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项目运营期外排废水主要为空压机含油废水</w:t>
            </w:r>
            <w:r>
              <w:rPr>
                <w:rFonts w:hint="eastAsia" w:cs="Times New Roman"/>
                <w:color w:val="auto"/>
                <w:kern w:val="0"/>
                <w:sz w:val="24"/>
                <w:lang w:val="en-US" w:eastAsia="zh-CN"/>
              </w:rPr>
              <w:t>、地面清洁废水</w:t>
            </w:r>
            <w:r>
              <w:rPr>
                <w:rFonts w:hint="eastAsia" w:ascii="Times New Roman" w:hAnsi="Times New Roman" w:eastAsia="宋体" w:cs="Times New Roman"/>
                <w:color w:val="auto"/>
                <w:kern w:val="0"/>
                <w:sz w:val="24"/>
                <w:lang w:val="en-US" w:eastAsia="zh-CN"/>
              </w:rPr>
              <w:t>及生活污水。</w:t>
            </w:r>
            <w:r>
              <w:rPr>
                <w:rFonts w:hint="eastAsia" w:cs="Times New Roman"/>
                <w:color w:val="auto"/>
                <w:kern w:val="0"/>
                <w:sz w:val="24"/>
                <w:highlight w:val="none"/>
                <w:lang w:val="en-US" w:eastAsia="zh-CN"/>
              </w:rPr>
              <w:t>空压机含油废水及地面清洁废水经油水分离器处理后与生活污水一并进入厂区自建</w:t>
            </w:r>
            <w:r>
              <w:rPr>
                <w:rFonts w:hint="eastAsia"/>
                <w:color w:val="auto"/>
                <w:kern w:val="0"/>
                <w:sz w:val="24"/>
                <w:szCs w:val="24"/>
                <w:highlight w:val="none"/>
                <w:lang w:val="en-US" w:eastAsia="zh-CN" w:bidi="ar"/>
              </w:rPr>
              <w:t>生化池处理达</w:t>
            </w:r>
            <w:r>
              <w:rPr>
                <w:rFonts w:hint="eastAsia" w:ascii="Times New Roman" w:hAnsi="Times New Roman" w:eastAsia="宋体" w:cs="Times New Roman"/>
                <w:color w:val="auto"/>
                <w:sz w:val="24"/>
                <w:szCs w:val="24"/>
                <w:highlight w:val="none"/>
                <w:lang w:val="en-US" w:eastAsia="zh-CN"/>
              </w:rPr>
              <w:t>《污水综合排放标准》（GB8978-1996）三级标准</w:t>
            </w:r>
            <w:r>
              <w:rPr>
                <w:rFonts w:hint="eastAsia"/>
                <w:color w:val="auto"/>
                <w:kern w:val="0"/>
                <w:sz w:val="24"/>
                <w:szCs w:val="24"/>
                <w:highlight w:val="none"/>
                <w:lang w:val="en-US" w:eastAsia="zh-CN" w:bidi="ar"/>
              </w:rPr>
              <w:t>后排入铜梁侣俸污水处理厂深度处理达</w:t>
            </w:r>
            <w:r>
              <w:rPr>
                <w:rFonts w:hint="eastAsia" w:ascii="Times New Roman" w:hAnsi="Times New Roman" w:eastAsia="宋体" w:cs="Times New Roman"/>
                <w:color w:val="auto"/>
                <w:sz w:val="24"/>
                <w:szCs w:val="24"/>
                <w:highlight w:val="none"/>
                <w:lang w:val="en-US" w:eastAsia="zh-CN"/>
              </w:rPr>
              <w:t>《城镇污水处理厂污染物排放标准》（GB18918-2002）一级</w:t>
            </w:r>
            <w:r>
              <w:rPr>
                <w:rFonts w:hint="eastAsia" w:cs="Times New Roman"/>
                <w:color w:val="auto"/>
                <w:sz w:val="24"/>
                <w:szCs w:val="24"/>
                <w:highlight w:val="none"/>
                <w:lang w:val="en-US" w:eastAsia="zh-CN"/>
              </w:rPr>
              <w:t>B</w:t>
            </w:r>
            <w:r>
              <w:rPr>
                <w:rFonts w:hint="eastAsia" w:ascii="Times New Roman" w:hAnsi="Times New Roman" w:eastAsia="宋体" w:cs="Times New Roman"/>
                <w:color w:val="auto"/>
                <w:sz w:val="24"/>
                <w:szCs w:val="24"/>
                <w:highlight w:val="none"/>
                <w:lang w:val="en-US" w:eastAsia="zh-CN"/>
              </w:rPr>
              <w:t>标</w:t>
            </w:r>
            <w:r>
              <w:rPr>
                <w:rFonts w:hint="eastAsia"/>
                <w:color w:val="auto"/>
                <w:kern w:val="0"/>
                <w:sz w:val="24"/>
                <w:szCs w:val="24"/>
                <w:highlight w:val="none"/>
                <w:lang w:val="en-US" w:eastAsia="zh-CN" w:bidi="ar"/>
              </w:rPr>
              <w:t>后排入侣俸河。</w:t>
            </w:r>
            <w:r>
              <w:rPr>
                <w:rFonts w:hint="eastAsia" w:ascii="Times New Roman" w:hAnsi="Times New Roman" w:eastAsia="宋体" w:cs="Times New Roman"/>
                <w:color w:val="auto"/>
                <w:kern w:val="0"/>
                <w:sz w:val="24"/>
                <w:highlight w:val="none"/>
                <w:lang w:val="en-US" w:eastAsia="zh-CN"/>
              </w:rPr>
              <w:t>其标准限值详见下表。</w:t>
            </w:r>
          </w:p>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表3-</w:t>
            </w:r>
            <w:r>
              <w:rPr>
                <w:rFonts w:hint="eastAsia"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《污水综合排放标准》  单位：mg/L</w:t>
            </w:r>
          </w:p>
          <w:tbl>
            <w:tblPr>
              <w:tblStyle w:val="1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82"/>
              <w:gridCol w:w="1052"/>
              <w:gridCol w:w="1091"/>
              <w:gridCol w:w="1130"/>
              <w:gridCol w:w="1013"/>
              <w:gridCol w:w="1111"/>
              <w:gridCol w:w="117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1382" w:type="dxa"/>
                  <w:tcBorders>
                    <w:top w:val="single" w:color="auto" w:sz="6" w:space="0"/>
                    <w:left w:val="single" w:color="auto" w:sz="6" w:space="0"/>
                    <w:bottom w:val="single" w:color="auto" w:sz="6" w:space="0"/>
                    <w:right w:val="single" w:color="auto" w:sz="6" w:space="0"/>
                  </w:tcBorders>
                  <w:noWrap w:val="0"/>
                  <w:vAlign w:val="center"/>
                </w:tcPr>
                <w:p>
                  <w:pPr>
                    <w:pStyle w:val="25"/>
                    <w:spacing w:line="240" w:lineRule="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污染物</w:t>
                  </w:r>
                </w:p>
              </w:tc>
              <w:tc>
                <w:tcPr>
                  <w:tcW w:w="1052" w:type="dxa"/>
                  <w:tcBorders>
                    <w:top w:val="single" w:color="auto" w:sz="6" w:space="0"/>
                    <w:left w:val="nil"/>
                    <w:bottom w:val="single" w:color="auto" w:sz="6" w:space="0"/>
                    <w:right w:val="single" w:color="auto" w:sz="6" w:space="0"/>
                  </w:tcBorders>
                  <w:noWrap w:val="0"/>
                  <w:vAlign w:val="center"/>
                </w:tcPr>
                <w:p>
                  <w:pPr>
                    <w:pStyle w:val="25"/>
                    <w:spacing w:line="240" w:lineRule="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pH</w:t>
                  </w:r>
                </w:p>
              </w:tc>
              <w:tc>
                <w:tcPr>
                  <w:tcW w:w="1091" w:type="dxa"/>
                  <w:tcBorders>
                    <w:top w:val="single" w:color="auto" w:sz="6" w:space="0"/>
                    <w:left w:val="nil"/>
                    <w:bottom w:val="single" w:color="auto" w:sz="6" w:space="0"/>
                    <w:right w:val="single" w:color="auto" w:sz="6" w:space="0"/>
                  </w:tcBorders>
                  <w:noWrap w:val="0"/>
                  <w:vAlign w:val="center"/>
                </w:tcPr>
                <w:p>
                  <w:pPr>
                    <w:pStyle w:val="25"/>
                    <w:spacing w:line="240" w:lineRule="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COD</w:t>
                  </w:r>
                </w:p>
              </w:tc>
              <w:tc>
                <w:tcPr>
                  <w:tcW w:w="1130" w:type="dxa"/>
                  <w:tcBorders>
                    <w:top w:val="single" w:color="auto" w:sz="6" w:space="0"/>
                    <w:left w:val="nil"/>
                    <w:bottom w:val="single" w:color="auto" w:sz="6" w:space="0"/>
                    <w:right w:val="single" w:color="auto" w:sz="6" w:space="0"/>
                  </w:tcBorders>
                  <w:noWrap w:val="0"/>
                  <w:vAlign w:val="center"/>
                </w:tcPr>
                <w:p>
                  <w:pPr>
                    <w:pStyle w:val="25"/>
                    <w:spacing w:line="240" w:lineRule="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BOD</w:t>
                  </w:r>
                  <w:r>
                    <w:rPr>
                      <w:rFonts w:hint="default" w:ascii="Times New Roman" w:hAnsi="Times New Roman" w:cs="Times New Roman"/>
                      <w:b w:val="0"/>
                      <w:bCs/>
                      <w:color w:val="auto"/>
                      <w:sz w:val="21"/>
                      <w:szCs w:val="21"/>
                      <w:vertAlign w:val="subscript"/>
                    </w:rPr>
                    <w:t>5</w:t>
                  </w:r>
                </w:p>
              </w:tc>
              <w:tc>
                <w:tcPr>
                  <w:tcW w:w="1013" w:type="dxa"/>
                  <w:tcBorders>
                    <w:top w:val="single" w:color="auto" w:sz="6" w:space="0"/>
                    <w:left w:val="nil"/>
                    <w:bottom w:val="single" w:color="auto" w:sz="6" w:space="0"/>
                    <w:right w:val="single" w:color="auto" w:sz="6" w:space="0"/>
                  </w:tcBorders>
                  <w:noWrap w:val="0"/>
                  <w:vAlign w:val="center"/>
                </w:tcPr>
                <w:p>
                  <w:pPr>
                    <w:pStyle w:val="25"/>
                    <w:spacing w:line="240" w:lineRule="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SS</w:t>
                  </w:r>
                </w:p>
              </w:tc>
              <w:tc>
                <w:tcPr>
                  <w:tcW w:w="1111" w:type="dxa"/>
                  <w:tcBorders>
                    <w:top w:val="single" w:color="auto" w:sz="6" w:space="0"/>
                    <w:left w:val="nil"/>
                    <w:bottom w:val="single" w:color="auto" w:sz="6" w:space="0"/>
                    <w:right w:val="single" w:color="auto" w:sz="6" w:space="0"/>
                  </w:tcBorders>
                  <w:noWrap w:val="0"/>
                  <w:vAlign w:val="center"/>
                </w:tcPr>
                <w:p>
                  <w:pPr>
                    <w:pStyle w:val="25"/>
                    <w:spacing w:line="240" w:lineRule="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NH</w:t>
                  </w:r>
                  <w:r>
                    <w:rPr>
                      <w:rFonts w:hint="default" w:ascii="Times New Roman" w:hAnsi="Times New Roman" w:cs="Times New Roman"/>
                      <w:b w:val="0"/>
                      <w:bCs/>
                      <w:color w:val="auto"/>
                      <w:sz w:val="21"/>
                      <w:szCs w:val="21"/>
                      <w:vertAlign w:val="subscript"/>
                    </w:rPr>
                    <w:t>3</w:t>
                  </w:r>
                  <w:r>
                    <w:rPr>
                      <w:rFonts w:hint="default" w:ascii="Times New Roman" w:hAnsi="Times New Roman" w:cs="Times New Roman"/>
                      <w:b w:val="0"/>
                      <w:bCs/>
                      <w:color w:val="auto"/>
                      <w:sz w:val="21"/>
                      <w:szCs w:val="21"/>
                    </w:rPr>
                    <w:t>-N</w:t>
                  </w:r>
                </w:p>
              </w:tc>
              <w:tc>
                <w:tcPr>
                  <w:tcW w:w="1173" w:type="dxa"/>
                  <w:tcBorders>
                    <w:top w:val="single" w:color="auto" w:sz="6" w:space="0"/>
                    <w:left w:val="nil"/>
                    <w:bottom w:val="single" w:color="auto" w:sz="6" w:space="0"/>
                    <w:right w:val="single" w:color="auto" w:sz="6" w:space="0"/>
                  </w:tcBorders>
                  <w:noWrap w:val="0"/>
                  <w:vAlign w:val="center"/>
                </w:tcPr>
                <w:p>
                  <w:pPr>
                    <w:pStyle w:val="25"/>
                    <w:spacing w:line="240" w:lineRule="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石油类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1382" w:type="dxa"/>
                  <w:tcBorders>
                    <w:top w:val="single" w:color="auto" w:sz="6" w:space="0"/>
                    <w:left w:val="single" w:color="auto" w:sz="6" w:space="0"/>
                    <w:bottom w:val="single" w:color="auto" w:sz="6" w:space="0"/>
                    <w:right w:val="single" w:color="auto" w:sz="6" w:space="0"/>
                  </w:tcBorders>
                  <w:noWrap w:val="0"/>
                  <w:vAlign w:val="center"/>
                </w:tcPr>
                <w:p>
                  <w:pPr>
                    <w:pStyle w:val="25"/>
                    <w:spacing w:line="240" w:lineRule="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三级标准</w:t>
                  </w:r>
                </w:p>
              </w:tc>
              <w:tc>
                <w:tcPr>
                  <w:tcW w:w="1052" w:type="dxa"/>
                  <w:tcBorders>
                    <w:top w:val="single" w:color="auto" w:sz="6" w:space="0"/>
                    <w:left w:val="nil"/>
                    <w:bottom w:val="single" w:color="auto" w:sz="6" w:space="0"/>
                    <w:right w:val="single" w:color="auto" w:sz="6" w:space="0"/>
                  </w:tcBorders>
                  <w:noWrap w:val="0"/>
                  <w:vAlign w:val="center"/>
                </w:tcPr>
                <w:p>
                  <w:pPr>
                    <w:pStyle w:val="25"/>
                    <w:spacing w:line="240" w:lineRule="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6～9</w:t>
                  </w:r>
                </w:p>
              </w:tc>
              <w:tc>
                <w:tcPr>
                  <w:tcW w:w="1091" w:type="dxa"/>
                  <w:tcBorders>
                    <w:top w:val="single" w:color="auto" w:sz="6" w:space="0"/>
                    <w:left w:val="nil"/>
                    <w:bottom w:val="single" w:color="auto" w:sz="6" w:space="0"/>
                    <w:right w:val="single" w:color="auto" w:sz="6" w:space="0"/>
                  </w:tcBorders>
                  <w:noWrap w:val="0"/>
                  <w:vAlign w:val="center"/>
                </w:tcPr>
                <w:p>
                  <w:pPr>
                    <w:pStyle w:val="25"/>
                    <w:spacing w:line="240" w:lineRule="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500</w:t>
                  </w:r>
                </w:p>
              </w:tc>
              <w:tc>
                <w:tcPr>
                  <w:tcW w:w="1130" w:type="dxa"/>
                  <w:tcBorders>
                    <w:top w:val="single" w:color="auto" w:sz="6" w:space="0"/>
                    <w:left w:val="nil"/>
                    <w:bottom w:val="single" w:color="auto" w:sz="6" w:space="0"/>
                    <w:right w:val="single" w:color="auto" w:sz="6" w:space="0"/>
                  </w:tcBorders>
                  <w:noWrap w:val="0"/>
                  <w:vAlign w:val="center"/>
                </w:tcPr>
                <w:p>
                  <w:pPr>
                    <w:pStyle w:val="25"/>
                    <w:spacing w:line="240" w:lineRule="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300</w:t>
                  </w:r>
                </w:p>
              </w:tc>
              <w:tc>
                <w:tcPr>
                  <w:tcW w:w="1013" w:type="dxa"/>
                  <w:tcBorders>
                    <w:top w:val="single" w:color="auto" w:sz="6" w:space="0"/>
                    <w:left w:val="nil"/>
                    <w:bottom w:val="single" w:color="auto" w:sz="6" w:space="0"/>
                    <w:right w:val="single" w:color="auto" w:sz="6" w:space="0"/>
                  </w:tcBorders>
                  <w:noWrap w:val="0"/>
                  <w:vAlign w:val="center"/>
                </w:tcPr>
                <w:p>
                  <w:pPr>
                    <w:pStyle w:val="25"/>
                    <w:spacing w:line="240" w:lineRule="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400</w:t>
                  </w:r>
                </w:p>
              </w:tc>
              <w:tc>
                <w:tcPr>
                  <w:tcW w:w="1111" w:type="dxa"/>
                  <w:tcBorders>
                    <w:top w:val="single" w:color="auto" w:sz="6" w:space="0"/>
                    <w:left w:val="nil"/>
                    <w:bottom w:val="single" w:color="auto" w:sz="6" w:space="0"/>
                    <w:right w:val="single" w:color="auto" w:sz="6" w:space="0"/>
                  </w:tcBorders>
                  <w:noWrap w:val="0"/>
                  <w:vAlign w:val="center"/>
                </w:tcPr>
                <w:p>
                  <w:pPr>
                    <w:pStyle w:val="25"/>
                    <w:spacing w:line="240" w:lineRule="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45</w:t>
                  </w:r>
                </w:p>
              </w:tc>
              <w:tc>
                <w:tcPr>
                  <w:tcW w:w="1173" w:type="dxa"/>
                  <w:tcBorders>
                    <w:top w:val="single" w:color="auto" w:sz="6" w:space="0"/>
                    <w:left w:val="nil"/>
                    <w:bottom w:val="single" w:color="auto" w:sz="6" w:space="0"/>
                    <w:right w:val="single" w:color="auto" w:sz="6" w:space="0"/>
                  </w:tcBorders>
                  <w:noWrap w:val="0"/>
                  <w:vAlign w:val="center"/>
                </w:tcPr>
                <w:p>
                  <w:pPr>
                    <w:pStyle w:val="25"/>
                    <w:spacing w:line="240" w:lineRule="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20</w:t>
                  </w:r>
                </w:p>
              </w:tc>
            </w:tr>
          </w:tbl>
          <w:p>
            <w:pPr>
              <w:rPr>
                <w:rFonts w:hint="default" w:ascii="Times New Roman" w:hAnsi="Times New Roman" w:cs="Times New Roman"/>
                <w:color w:val="auto"/>
                <w:szCs w:val="21"/>
              </w:rPr>
            </w:pPr>
            <w:r>
              <w:rPr>
                <w:rFonts w:hint="default" w:ascii="Times New Roman" w:hAnsi="Times New Roman" w:cs="Times New Roman"/>
                <w:b/>
                <w:bCs/>
                <w:color w:val="auto"/>
              </w:rPr>
              <w:t>注：NH</w:t>
            </w:r>
            <w:r>
              <w:rPr>
                <w:rFonts w:hint="default" w:ascii="Times New Roman" w:hAnsi="Times New Roman" w:cs="Times New Roman"/>
                <w:b/>
                <w:bCs/>
                <w:color w:val="auto"/>
                <w:vertAlign w:val="subscript"/>
              </w:rPr>
              <w:t>3</w:t>
            </w:r>
            <w:r>
              <w:rPr>
                <w:rFonts w:hint="default" w:ascii="Times New Roman" w:hAnsi="Times New Roman" w:cs="Times New Roman"/>
                <w:b/>
                <w:bCs/>
                <w:color w:val="auto"/>
              </w:rPr>
              <w:t>-N参照执行《污水排入城镇下水道水质标准》(GB/T31962-2015)。</w:t>
            </w:r>
          </w:p>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表3-</w:t>
            </w:r>
            <w:r>
              <w:rPr>
                <w:rFonts w:hint="eastAsia" w:cs="Times New Roman"/>
                <w:color w:val="auto"/>
                <w:sz w:val="24"/>
                <w:szCs w:val="24"/>
                <w:highlight w:val="none"/>
                <w:lang w:val="en-US" w:eastAsia="zh-CN"/>
              </w:rPr>
              <w:t xml:space="preserve">10 </w:t>
            </w:r>
            <w:r>
              <w:rPr>
                <w:rFonts w:hint="default" w:ascii="Times New Roman" w:hAnsi="Times New Roman" w:eastAsia="宋体" w:cs="Times New Roman"/>
                <w:color w:val="auto"/>
                <w:sz w:val="24"/>
                <w:szCs w:val="24"/>
                <w:highlight w:val="none"/>
                <w:lang w:val="en-US" w:eastAsia="zh-CN"/>
              </w:rPr>
              <w:t>《城镇污水处理厂污染物排放标准》  单位：mg/L</w:t>
            </w:r>
          </w:p>
          <w:tbl>
            <w:tblPr>
              <w:tblStyle w:val="1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89"/>
              <w:gridCol w:w="1065"/>
              <w:gridCol w:w="1091"/>
              <w:gridCol w:w="1130"/>
              <w:gridCol w:w="993"/>
              <w:gridCol w:w="1150"/>
              <w:gridCol w:w="113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1389" w:type="dxa"/>
                  <w:tcBorders>
                    <w:top w:val="single" w:color="auto" w:sz="6" w:space="0"/>
                    <w:left w:val="single" w:color="auto" w:sz="6" w:space="0"/>
                    <w:bottom w:val="single" w:color="auto" w:sz="6" w:space="0"/>
                    <w:right w:val="single" w:color="auto" w:sz="6" w:space="0"/>
                  </w:tcBorders>
                  <w:noWrap w:val="0"/>
                  <w:vAlign w:val="center"/>
                </w:tcPr>
                <w:p>
                  <w:pPr>
                    <w:pStyle w:val="25"/>
                    <w:rPr>
                      <w:rFonts w:hint="default" w:ascii="Times New Roman" w:hAnsi="Times New Roman" w:cs="Times New Roman"/>
                      <w:b w:val="0"/>
                      <w:bCs/>
                      <w:color w:val="auto"/>
                      <w:szCs w:val="21"/>
                    </w:rPr>
                  </w:pPr>
                  <w:r>
                    <w:rPr>
                      <w:rFonts w:hint="default" w:ascii="Times New Roman" w:hAnsi="Times New Roman" w:cs="Times New Roman"/>
                      <w:b w:val="0"/>
                      <w:bCs/>
                      <w:color w:val="auto"/>
                    </w:rPr>
                    <w:t>污染物</w:t>
                  </w:r>
                </w:p>
              </w:tc>
              <w:tc>
                <w:tcPr>
                  <w:tcW w:w="1065" w:type="dxa"/>
                  <w:tcBorders>
                    <w:top w:val="single" w:color="auto" w:sz="6" w:space="0"/>
                    <w:left w:val="nil"/>
                    <w:bottom w:val="single" w:color="auto" w:sz="6" w:space="0"/>
                    <w:right w:val="single" w:color="auto" w:sz="6" w:space="0"/>
                  </w:tcBorders>
                  <w:noWrap w:val="0"/>
                  <w:vAlign w:val="center"/>
                </w:tcPr>
                <w:p>
                  <w:pPr>
                    <w:pStyle w:val="25"/>
                    <w:rPr>
                      <w:rFonts w:hint="default" w:ascii="Times New Roman" w:hAnsi="Times New Roman" w:cs="Times New Roman"/>
                      <w:b w:val="0"/>
                      <w:bCs/>
                      <w:color w:val="auto"/>
                    </w:rPr>
                  </w:pPr>
                  <w:r>
                    <w:rPr>
                      <w:rFonts w:hint="default" w:ascii="Times New Roman" w:hAnsi="Times New Roman" w:cs="Times New Roman"/>
                      <w:b w:val="0"/>
                      <w:bCs/>
                      <w:color w:val="auto"/>
                    </w:rPr>
                    <w:t>pH</w:t>
                  </w:r>
                </w:p>
              </w:tc>
              <w:tc>
                <w:tcPr>
                  <w:tcW w:w="1091" w:type="dxa"/>
                  <w:tcBorders>
                    <w:top w:val="single" w:color="auto" w:sz="6" w:space="0"/>
                    <w:left w:val="nil"/>
                    <w:bottom w:val="single" w:color="auto" w:sz="6" w:space="0"/>
                    <w:right w:val="single" w:color="auto" w:sz="6" w:space="0"/>
                  </w:tcBorders>
                  <w:noWrap w:val="0"/>
                  <w:vAlign w:val="center"/>
                </w:tcPr>
                <w:p>
                  <w:pPr>
                    <w:pStyle w:val="25"/>
                    <w:rPr>
                      <w:rFonts w:hint="default" w:ascii="Times New Roman" w:hAnsi="Times New Roman" w:cs="Times New Roman"/>
                      <w:b w:val="0"/>
                      <w:bCs/>
                      <w:color w:val="auto"/>
                    </w:rPr>
                  </w:pPr>
                  <w:r>
                    <w:rPr>
                      <w:rFonts w:hint="default" w:ascii="Times New Roman" w:hAnsi="Times New Roman" w:cs="Times New Roman"/>
                      <w:b w:val="0"/>
                      <w:bCs/>
                      <w:color w:val="auto"/>
                    </w:rPr>
                    <w:t>COD</w:t>
                  </w:r>
                </w:p>
              </w:tc>
              <w:tc>
                <w:tcPr>
                  <w:tcW w:w="1130" w:type="dxa"/>
                  <w:tcBorders>
                    <w:top w:val="single" w:color="auto" w:sz="6" w:space="0"/>
                    <w:left w:val="nil"/>
                    <w:bottom w:val="single" w:color="auto" w:sz="6" w:space="0"/>
                    <w:right w:val="single" w:color="auto" w:sz="6" w:space="0"/>
                  </w:tcBorders>
                  <w:noWrap w:val="0"/>
                  <w:vAlign w:val="center"/>
                </w:tcPr>
                <w:p>
                  <w:pPr>
                    <w:pStyle w:val="25"/>
                    <w:rPr>
                      <w:rFonts w:hint="default" w:ascii="Times New Roman" w:hAnsi="Times New Roman" w:cs="Times New Roman"/>
                      <w:b w:val="0"/>
                      <w:bCs/>
                      <w:color w:val="auto"/>
                    </w:rPr>
                  </w:pPr>
                  <w:r>
                    <w:rPr>
                      <w:rFonts w:hint="default" w:ascii="Times New Roman" w:hAnsi="Times New Roman" w:cs="Times New Roman"/>
                      <w:b w:val="0"/>
                      <w:bCs/>
                      <w:color w:val="auto"/>
                    </w:rPr>
                    <w:t>BOD</w:t>
                  </w:r>
                  <w:r>
                    <w:rPr>
                      <w:rFonts w:hint="default" w:ascii="Times New Roman" w:hAnsi="Times New Roman" w:cs="Times New Roman"/>
                      <w:b w:val="0"/>
                      <w:bCs/>
                      <w:color w:val="auto"/>
                      <w:vertAlign w:val="subscript"/>
                    </w:rPr>
                    <w:t>5</w:t>
                  </w:r>
                </w:p>
              </w:tc>
              <w:tc>
                <w:tcPr>
                  <w:tcW w:w="993" w:type="dxa"/>
                  <w:tcBorders>
                    <w:top w:val="single" w:color="auto" w:sz="6" w:space="0"/>
                    <w:left w:val="nil"/>
                    <w:bottom w:val="single" w:color="auto" w:sz="6" w:space="0"/>
                    <w:right w:val="single" w:color="auto" w:sz="6" w:space="0"/>
                  </w:tcBorders>
                  <w:noWrap w:val="0"/>
                  <w:vAlign w:val="center"/>
                </w:tcPr>
                <w:p>
                  <w:pPr>
                    <w:pStyle w:val="25"/>
                    <w:rPr>
                      <w:rFonts w:hint="default" w:ascii="Times New Roman" w:hAnsi="Times New Roman" w:cs="Times New Roman"/>
                      <w:b w:val="0"/>
                      <w:bCs/>
                      <w:color w:val="auto"/>
                    </w:rPr>
                  </w:pPr>
                  <w:r>
                    <w:rPr>
                      <w:rFonts w:hint="default" w:ascii="Times New Roman" w:hAnsi="Times New Roman" w:cs="Times New Roman"/>
                      <w:b w:val="0"/>
                      <w:bCs/>
                      <w:color w:val="auto"/>
                    </w:rPr>
                    <w:t>SS</w:t>
                  </w:r>
                </w:p>
              </w:tc>
              <w:tc>
                <w:tcPr>
                  <w:tcW w:w="1150" w:type="dxa"/>
                  <w:tcBorders>
                    <w:top w:val="single" w:color="auto" w:sz="6" w:space="0"/>
                    <w:left w:val="nil"/>
                    <w:bottom w:val="single" w:color="auto" w:sz="6" w:space="0"/>
                    <w:right w:val="single" w:color="auto" w:sz="6" w:space="0"/>
                  </w:tcBorders>
                  <w:noWrap w:val="0"/>
                  <w:vAlign w:val="center"/>
                </w:tcPr>
                <w:p>
                  <w:pPr>
                    <w:pStyle w:val="25"/>
                    <w:rPr>
                      <w:rFonts w:hint="default" w:ascii="Times New Roman" w:hAnsi="Times New Roman" w:cs="Times New Roman"/>
                      <w:b w:val="0"/>
                      <w:bCs/>
                      <w:color w:val="auto"/>
                    </w:rPr>
                  </w:pPr>
                  <w:r>
                    <w:rPr>
                      <w:rFonts w:hint="default" w:ascii="Times New Roman" w:hAnsi="Times New Roman" w:cs="Times New Roman"/>
                      <w:b w:val="0"/>
                      <w:bCs/>
                      <w:color w:val="auto"/>
                    </w:rPr>
                    <w:t>NH</w:t>
                  </w:r>
                  <w:r>
                    <w:rPr>
                      <w:rFonts w:hint="default" w:ascii="Times New Roman" w:hAnsi="Times New Roman" w:cs="Times New Roman"/>
                      <w:b w:val="0"/>
                      <w:bCs/>
                      <w:color w:val="auto"/>
                      <w:vertAlign w:val="subscript"/>
                    </w:rPr>
                    <w:t>3</w:t>
                  </w:r>
                  <w:r>
                    <w:rPr>
                      <w:rFonts w:hint="default" w:ascii="Times New Roman" w:hAnsi="Times New Roman" w:cs="Times New Roman"/>
                      <w:b w:val="0"/>
                      <w:bCs/>
                      <w:color w:val="auto"/>
                    </w:rPr>
                    <w:t>-N</w:t>
                  </w:r>
                </w:p>
              </w:tc>
              <w:tc>
                <w:tcPr>
                  <w:tcW w:w="1134" w:type="dxa"/>
                  <w:tcBorders>
                    <w:top w:val="single" w:color="auto" w:sz="6" w:space="0"/>
                    <w:left w:val="nil"/>
                    <w:bottom w:val="single" w:color="auto" w:sz="6" w:space="0"/>
                    <w:right w:val="single" w:color="auto" w:sz="6" w:space="0"/>
                  </w:tcBorders>
                  <w:noWrap w:val="0"/>
                  <w:vAlign w:val="center"/>
                </w:tcPr>
                <w:p>
                  <w:pPr>
                    <w:pStyle w:val="25"/>
                    <w:rPr>
                      <w:rFonts w:hint="default" w:ascii="Times New Roman" w:hAnsi="Times New Roman" w:cs="Times New Roman"/>
                      <w:b w:val="0"/>
                      <w:bCs/>
                      <w:color w:val="auto"/>
                    </w:rPr>
                  </w:pPr>
                  <w:r>
                    <w:rPr>
                      <w:rFonts w:hint="default" w:ascii="Times New Roman" w:hAnsi="Times New Roman" w:cs="Times New Roman"/>
                      <w:b w:val="0"/>
                      <w:bCs/>
                      <w:color w:val="auto"/>
                    </w:rPr>
                    <w:t>石油类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1389" w:type="dxa"/>
                  <w:tcBorders>
                    <w:top w:val="single" w:color="auto" w:sz="6" w:space="0"/>
                    <w:left w:val="single" w:color="auto" w:sz="6" w:space="0"/>
                    <w:bottom w:val="single" w:color="auto" w:sz="6" w:space="0"/>
                    <w:right w:val="single" w:color="auto" w:sz="6" w:space="0"/>
                  </w:tcBorders>
                  <w:noWrap w:val="0"/>
                  <w:vAlign w:val="center"/>
                </w:tcPr>
                <w:p>
                  <w:pPr>
                    <w:pStyle w:val="25"/>
                    <w:rPr>
                      <w:rFonts w:hint="default" w:ascii="Times New Roman" w:hAnsi="Times New Roman" w:cs="Times New Roman"/>
                      <w:b w:val="0"/>
                      <w:bCs/>
                      <w:color w:val="auto"/>
                    </w:rPr>
                  </w:pPr>
                  <w:r>
                    <w:rPr>
                      <w:rFonts w:hint="default" w:ascii="Times New Roman" w:hAnsi="Times New Roman" w:cs="Times New Roman"/>
                      <w:b w:val="0"/>
                      <w:bCs/>
                      <w:color w:val="auto"/>
                    </w:rPr>
                    <w:t>一级</w:t>
                  </w:r>
                  <w:r>
                    <w:rPr>
                      <w:rFonts w:hint="eastAsia" w:cs="Times New Roman"/>
                      <w:b w:val="0"/>
                      <w:bCs/>
                      <w:color w:val="auto"/>
                      <w:lang w:val="en-US" w:eastAsia="zh-CN"/>
                    </w:rPr>
                    <w:t>B</w:t>
                  </w:r>
                  <w:r>
                    <w:rPr>
                      <w:rFonts w:hint="default" w:ascii="Times New Roman" w:hAnsi="Times New Roman" w:cs="Times New Roman"/>
                      <w:b w:val="0"/>
                      <w:bCs/>
                      <w:color w:val="auto"/>
                    </w:rPr>
                    <w:t>标准</w:t>
                  </w:r>
                </w:p>
              </w:tc>
              <w:tc>
                <w:tcPr>
                  <w:tcW w:w="1065" w:type="dxa"/>
                  <w:tcBorders>
                    <w:top w:val="single" w:color="auto" w:sz="6" w:space="0"/>
                    <w:left w:val="nil"/>
                    <w:bottom w:val="single" w:color="auto" w:sz="6" w:space="0"/>
                    <w:right w:val="single" w:color="auto" w:sz="6" w:space="0"/>
                  </w:tcBorders>
                  <w:noWrap w:val="0"/>
                  <w:vAlign w:val="center"/>
                </w:tcPr>
                <w:p>
                  <w:pPr>
                    <w:pStyle w:val="25"/>
                    <w:rPr>
                      <w:rFonts w:hint="default" w:ascii="Times New Roman" w:hAnsi="Times New Roman" w:cs="Times New Roman"/>
                      <w:b w:val="0"/>
                      <w:bCs/>
                      <w:color w:val="auto"/>
                    </w:rPr>
                  </w:pPr>
                  <w:r>
                    <w:rPr>
                      <w:rFonts w:hint="default" w:ascii="Times New Roman" w:hAnsi="Times New Roman" w:cs="Times New Roman"/>
                      <w:b w:val="0"/>
                      <w:bCs/>
                      <w:color w:val="auto"/>
                    </w:rPr>
                    <w:t>6～9</w:t>
                  </w:r>
                </w:p>
              </w:tc>
              <w:tc>
                <w:tcPr>
                  <w:tcW w:w="1091" w:type="dxa"/>
                  <w:tcBorders>
                    <w:top w:val="single" w:color="auto" w:sz="6" w:space="0"/>
                    <w:left w:val="nil"/>
                    <w:bottom w:val="single" w:color="auto" w:sz="6" w:space="0"/>
                    <w:right w:val="single" w:color="auto" w:sz="6" w:space="0"/>
                  </w:tcBorders>
                  <w:noWrap w:val="0"/>
                  <w:vAlign w:val="center"/>
                </w:tcPr>
                <w:p>
                  <w:pPr>
                    <w:pStyle w:val="25"/>
                    <w:rPr>
                      <w:rFonts w:hint="default" w:ascii="Times New Roman" w:hAnsi="Times New Roman" w:eastAsia="宋体" w:cs="Times New Roman"/>
                      <w:b w:val="0"/>
                      <w:bCs/>
                      <w:color w:val="auto"/>
                      <w:lang w:val="en-US" w:eastAsia="zh-CN"/>
                    </w:rPr>
                  </w:pPr>
                  <w:r>
                    <w:rPr>
                      <w:rFonts w:hint="eastAsia" w:cs="Times New Roman"/>
                      <w:b w:val="0"/>
                      <w:bCs/>
                      <w:color w:val="auto"/>
                      <w:lang w:val="en-US" w:eastAsia="zh-CN"/>
                    </w:rPr>
                    <w:t>60</w:t>
                  </w:r>
                </w:p>
              </w:tc>
              <w:tc>
                <w:tcPr>
                  <w:tcW w:w="1130" w:type="dxa"/>
                  <w:tcBorders>
                    <w:top w:val="single" w:color="auto" w:sz="6" w:space="0"/>
                    <w:left w:val="nil"/>
                    <w:bottom w:val="single" w:color="auto" w:sz="6" w:space="0"/>
                    <w:right w:val="single" w:color="auto" w:sz="6" w:space="0"/>
                  </w:tcBorders>
                  <w:noWrap w:val="0"/>
                  <w:vAlign w:val="center"/>
                </w:tcPr>
                <w:p>
                  <w:pPr>
                    <w:pStyle w:val="25"/>
                    <w:rPr>
                      <w:rFonts w:hint="default" w:ascii="Times New Roman" w:hAnsi="Times New Roman" w:eastAsia="宋体" w:cs="Times New Roman"/>
                      <w:b w:val="0"/>
                      <w:bCs/>
                      <w:color w:val="auto"/>
                      <w:lang w:val="en-US" w:eastAsia="zh-CN"/>
                    </w:rPr>
                  </w:pPr>
                  <w:r>
                    <w:rPr>
                      <w:rFonts w:hint="eastAsia" w:cs="Times New Roman"/>
                      <w:b w:val="0"/>
                      <w:bCs/>
                      <w:color w:val="auto"/>
                      <w:lang w:val="en-US" w:eastAsia="zh-CN"/>
                    </w:rPr>
                    <w:t>20</w:t>
                  </w:r>
                </w:p>
              </w:tc>
              <w:tc>
                <w:tcPr>
                  <w:tcW w:w="993" w:type="dxa"/>
                  <w:tcBorders>
                    <w:top w:val="single" w:color="auto" w:sz="6" w:space="0"/>
                    <w:left w:val="nil"/>
                    <w:bottom w:val="single" w:color="auto" w:sz="6" w:space="0"/>
                    <w:right w:val="single" w:color="auto" w:sz="6" w:space="0"/>
                  </w:tcBorders>
                  <w:noWrap w:val="0"/>
                  <w:vAlign w:val="center"/>
                </w:tcPr>
                <w:p>
                  <w:pPr>
                    <w:pStyle w:val="25"/>
                    <w:rPr>
                      <w:rFonts w:hint="default" w:ascii="Times New Roman" w:hAnsi="Times New Roman" w:eastAsia="宋体" w:cs="Times New Roman"/>
                      <w:b w:val="0"/>
                      <w:bCs/>
                      <w:color w:val="auto"/>
                      <w:lang w:val="en-US" w:eastAsia="zh-CN"/>
                    </w:rPr>
                  </w:pPr>
                  <w:r>
                    <w:rPr>
                      <w:rFonts w:hint="eastAsia" w:cs="Times New Roman"/>
                      <w:b w:val="0"/>
                      <w:bCs/>
                      <w:color w:val="auto"/>
                      <w:lang w:val="en-US" w:eastAsia="zh-CN"/>
                    </w:rPr>
                    <w:t>20</w:t>
                  </w:r>
                </w:p>
              </w:tc>
              <w:tc>
                <w:tcPr>
                  <w:tcW w:w="1150" w:type="dxa"/>
                  <w:tcBorders>
                    <w:top w:val="single" w:color="auto" w:sz="6" w:space="0"/>
                    <w:left w:val="nil"/>
                    <w:bottom w:val="single" w:color="auto" w:sz="6" w:space="0"/>
                    <w:right w:val="single" w:color="auto" w:sz="6" w:space="0"/>
                  </w:tcBorders>
                  <w:noWrap w:val="0"/>
                  <w:vAlign w:val="center"/>
                </w:tcPr>
                <w:p>
                  <w:pPr>
                    <w:pStyle w:val="25"/>
                    <w:rPr>
                      <w:rFonts w:hint="eastAsia" w:ascii="Times New Roman" w:hAnsi="Times New Roman" w:eastAsia="宋体" w:cs="Times New Roman"/>
                      <w:b w:val="0"/>
                      <w:bCs/>
                      <w:color w:val="auto"/>
                      <w:lang w:eastAsia="zh-CN"/>
                    </w:rPr>
                  </w:pPr>
                  <w:r>
                    <w:rPr>
                      <w:rFonts w:hint="eastAsia" w:cs="Times New Roman"/>
                      <w:b w:val="0"/>
                      <w:bCs/>
                      <w:color w:val="auto"/>
                      <w:lang w:val="en-US" w:eastAsia="zh-CN"/>
                    </w:rPr>
                    <w:t>8</w:t>
                  </w:r>
                </w:p>
              </w:tc>
              <w:tc>
                <w:tcPr>
                  <w:tcW w:w="1134" w:type="dxa"/>
                  <w:tcBorders>
                    <w:top w:val="single" w:color="auto" w:sz="6" w:space="0"/>
                    <w:left w:val="nil"/>
                    <w:bottom w:val="single" w:color="auto" w:sz="6" w:space="0"/>
                    <w:right w:val="single" w:color="auto" w:sz="6" w:space="0"/>
                  </w:tcBorders>
                  <w:noWrap w:val="0"/>
                  <w:vAlign w:val="center"/>
                </w:tcPr>
                <w:p>
                  <w:pPr>
                    <w:pStyle w:val="25"/>
                    <w:rPr>
                      <w:rFonts w:hint="eastAsia" w:ascii="Times New Roman" w:hAnsi="Times New Roman" w:eastAsia="宋体" w:cs="Times New Roman"/>
                      <w:b w:val="0"/>
                      <w:bCs/>
                      <w:color w:val="auto"/>
                      <w:lang w:eastAsia="zh-CN"/>
                    </w:rPr>
                  </w:pPr>
                  <w:r>
                    <w:rPr>
                      <w:rFonts w:hint="eastAsia" w:cs="Times New Roman"/>
                      <w:b w:val="0"/>
                      <w:bCs/>
                      <w:color w:val="auto"/>
                      <w:lang w:val="en-US" w:eastAsia="zh-CN"/>
                    </w:rPr>
                    <w:t>3</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3</w:t>
            </w:r>
            <w:r>
              <w:rPr>
                <w:rFonts w:hint="eastAsia" w:ascii="Times New Roman" w:hAnsi="Times New Roman" w:eastAsia="宋体" w:cs="Times New Roman"/>
                <w:color w:val="auto"/>
                <w:kern w:val="0"/>
                <w:sz w:val="24"/>
                <w:lang w:val="en-US" w:eastAsia="zh-CN"/>
              </w:rPr>
              <w:t>、</w:t>
            </w:r>
            <w:r>
              <w:rPr>
                <w:rFonts w:hint="default" w:ascii="Times New Roman" w:hAnsi="Times New Roman" w:eastAsia="宋体" w:cs="Times New Roman"/>
                <w:color w:val="auto"/>
                <w:kern w:val="0"/>
                <w:sz w:val="24"/>
                <w:lang w:val="en-US" w:eastAsia="zh-CN"/>
              </w:rPr>
              <w:t>噪声</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施工期噪声执行《建筑施工场界环境噪声排放标准》（GB12523-2011）； 本项目位于</w:t>
            </w:r>
            <w:r>
              <w:rPr>
                <w:rFonts w:hint="eastAsia" w:cs="Times New Roman"/>
                <w:color w:val="auto"/>
                <w:kern w:val="0"/>
                <w:sz w:val="24"/>
                <w:lang w:val="en-US" w:eastAsia="zh-CN"/>
              </w:rPr>
              <w:t>工业聚集区</w:t>
            </w:r>
            <w:r>
              <w:rPr>
                <w:rFonts w:hint="default" w:ascii="Times New Roman" w:hAnsi="Times New Roman" w:eastAsia="宋体" w:cs="Times New Roman"/>
                <w:color w:val="auto"/>
                <w:kern w:val="0"/>
                <w:sz w:val="24"/>
                <w:lang w:val="en-US" w:eastAsia="zh-CN"/>
              </w:rPr>
              <w:t>，</w:t>
            </w:r>
            <w:r>
              <w:rPr>
                <w:rFonts w:hint="eastAsia" w:cs="Times New Roman"/>
                <w:color w:val="auto"/>
                <w:kern w:val="0"/>
                <w:sz w:val="24"/>
                <w:lang w:val="en-US" w:eastAsia="zh-CN"/>
              </w:rPr>
              <w:t>北厂界执行</w:t>
            </w:r>
            <w:r>
              <w:rPr>
                <w:rFonts w:hint="default" w:ascii="Times New Roman" w:hAnsi="Times New Roman" w:eastAsia="宋体" w:cs="Times New Roman"/>
                <w:color w:val="auto"/>
                <w:kern w:val="0"/>
                <w:sz w:val="24"/>
                <w:lang w:val="en-US" w:eastAsia="zh-CN"/>
              </w:rPr>
              <w:t>《工业企业厂界环境噪声排放标准》（GB12348-2008）中</w:t>
            </w:r>
            <w:r>
              <w:rPr>
                <w:rFonts w:hint="eastAsia" w:cs="Times New Roman"/>
                <w:color w:val="auto"/>
                <w:kern w:val="0"/>
                <w:sz w:val="24"/>
                <w:lang w:val="en-US" w:eastAsia="zh-CN"/>
              </w:rPr>
              <w:t>4</w:t>
            </w:r>
            <w:r>
              <w:rPr>
                <w:rFonts w:hint="default" w:ascii="Times New Roman" w:hAnsi="Times New Roman" w:eastAsia="宋体" w:cs="Times New Roman"/>
                <w:color w:val="auto"/>
                <w:kern w:val="0"/>
                <w:sz w:val="24"/>
                <w:lang w:val="en-US" w:eastAsia="zh-CN"/>
              </w:rPr>
              <w:t>类标准</w:t>
            </w:r>
            <w:r>
              <w:rPr>
                <w:rFonts w:hint="eastAsia" w:eastAsia="宋体" w:cs="Times New Roman"/>
                <w:color w:val="auto"/>
                <w:kern w:val="0"/>
                <w:sz w:val="24"/>
                <w:lang w:val="en-US" w:eastAsia="zh-CN"/>
              </w:rPr>
              <w:t>，</w:t>
            </w:r>
            <w:r>
              <w:rPr>
                <w:rFonts w:hint="eastAsia" w:cs="Times New Roman"/>
                <w:color w:val="auto"/>
                <w:kern w:val="0"/>
                <w:sz w:val="24"/>
                <w:lang w:val="en-US" w:eastAsia="zh-CN"/>
              </w:rPr>
              <w:t>东、西、南厂界执行</w:t>
            </w:r>
            <w:r>
              <w:rPr>
                <w:rFonts w:hint="default" w:ascii="Times New Roman" w:hAnsi="Times New Roman" w:eastAsia="宋体" w:cs="Times New Roman"/>
                <w:color w:val="auto"/>
                <w:kern w:val="0"/>
                <w:sz w:val="24"/>
                <w:lang w:val="en-US" w:eastAsia="zh-CN"/>
              </w:rPr>
              <w:t>《工业企业厂界环境噪声排放标准》（GB12348-2008）中</w:t>
            </w:r>
            <w:r>
              <w:rPr>
                <w:rFonts w:hint="eastAsia" w:eastAsia="宋体" w:cs="Times New Roman"/>
                <w:color w:val="auto"/>
                <w:kern w:val="0"/>
                <w:sz w:val="24"/>
                <w:lang w:val="en-US" w:eastAsia="zh-CN"/>
              </w:rPr>
              <w:t>3</w:t>
            </w:r>
            <w:r>
              <w:rPr>
                <w:rFonts w:hint="default" w:ascii="Times New Roman" w:hAnsi="Times New Roman" w:eastAsia="宋体" w:cs="Times New Roman"/>
                <w:color w:val="auto"/>
                <w:kern w:val="0"/>
                <w:sz w:val="24"/>
                <w:lang w:val="en-US" w:eastAsia="zh-CN"/>
              </w:rPr>
              <w:t>类标准</w:t>
            </w:r>
            <w:r>
              <w:rPr>
                <w:rFonts w:hint="eastAsia" w:eastAsia="宋体" w:cs="Times New Roman"/>
                <w:color w:val="auto"/>
                <w:kern w:val="0"/>
                <w:sz w:val="24"/>
                <w:lang w:val="en-US" w:eastAsia="zh-CN"/>
              </w:rPr>
              <w:t>。</w:t>
            </w:r>
            <w:r>
              <w:rPr>
                <w:rFonts w:hint="default" w:ascii="Times New Roman" w:hAnsi="Times New Roman" w:eastAsia="宋体" w:cs="Times New Roman"/>
                <w:color w:val="auto"/>
                <w:kern w:val="0"/>
                <w:sz w:val="24"/>
                <w:lang w:val="en-US" w:eastAsia="zh-CN"/>
              </w:rPr>
              <w:t>标准值详见</w:t>
            </w:r>
            <w:r>
              <w:rPr>
                <w:rFonts w:hint="eastAsia" w:ascii="Times New Roman" w:hAnsi="Times New Roman" w:eastAsia="宋体" w:cs="Times New Roman"/>
                <w:color w:val="auto"/>
                <w:kern w:val="0"/>
                <w:sz w:val="24"/>
                <w:lang w:val="en-US" w:eastAsia="zh-CN"/>
              </w:rPr>
              <w:t>下</w:t>
            </w:r>
            <w:r>
              <w:rPr>
                <w:rFonts w:hint="default" w:ascii="Times New Roman" w:hAnsi="Times New Roman" w:eastAsia="宋体" w:cs="Times New Roman"/>
                <w:color w:val="auto"/>
                <w:kern w:val="0"/>
                <w:sz w:val="24"/>
                <w:lang w:val="en-US" w:eastAsia="zh-CN"/>
              </w:rPr>
              <w:t>表。</w:t>
            </w:r>
          </w:p>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表3</w:t>
            </w:r>
            <w:r>
              <w:rPr>
                <w:rFonts w:hint="eastAsia"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lang w:val="en-US" w:eastAsia="zh-CN"/>
              </w:rPr>
              <w:t>《建筑施工场界环境噪声排放标准》单位：dB（A）</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2"/>
              <w:gridCol w:w="3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292" w:type="dxa"/>
                  <w:tcBorders>
                    <w:top w:val="single" w:color="auto" w:sz="4" w:space="0"/>
                    <w:left w:val="single" w:color="auto" w:sz="4" w:space="0"/>
                    <w:bottom w:val="single" w:color="auto" w:sz="4" w:space="0"/>
                    <w:right w:val="single" w:color="auto" w:sz="4" w:space="0"/>
                  </w:tcBorders>
                  <w:noWrap w:val="0"/>
                  <w:vAlign w:val="center"/>
                </w:tcPr>
                <w:p>
                  <w:pPr>
                    <w:pStyle w:val="25"/>
                    <w:rPr>
                      <w:rFonts w:hint="default" w:ascii="Times New Roman" w:hAnsi="Times New Roman" w:eastAsia="宋体" w:cs="Times New Roman"/>
                      <w:b w:val="0"/>
                      <w:bCs/>
                      <w:color w:val="auto"/>
                      <w:lang w:val="en-US" w:eastAsia="zh-CN"/>
                    </w:rPr>
                  </w:pPr>
                  <w:r>
                    <w:rPr>
                      <w:rFonts w:hint="default" w:ascii="Times New Roman" w:hAnsi="Times New Roman" w:eastAsia="宋体" w:cs="Times New Roman"/>
                      <w:b w:val="0"/>
                      <w:bCs/>
                      <w:color w:val="auto"/>
                      <w:lang w:val="en-US" w:eastAsia="zh-CN"/>
                    </w:rPr>
                    <w:t>昼间</w:t>
                  </w:r>
                </w:p>
              </w:tc>
              <w:tc>
                <w:tcPr>
                  <w:tcW w:w="3627" w:type="dxa"/>
                  <w:tcBorders>
                    <w:top w:val="single" w:color="auto" w:sz="4" w:space="0"/>
                    <w:left w:val="single" w:color="auto" w:sz="4" w:space="0"/>
                    <w:bottom w:val="single" w:color="auto" w:sz="4" w:space="0"/>
                    <w:right w:val="single" w:color="auto" w:sz="4" w:space="0"/>
                  </w:tcBorders>
                  <w:noWrap w:val="0"/>
                  <w:vAlign w:val="center"/>
                </w:tcPr>
                <w:p>
                  <w:pPr>
                    <w:pStyle w:val="25"/>
                    <w:rPr>
                      <w:rFonts w:hint="default" w:ascii="Times New Roman" w:hAnsi="Times New Roman" w:eastAsia="宋体" w:cs="Times New Roman"/>
                      <w:b w:val="0"/>
                      <w:bCs/>
                      <w:color w:val="auto"/>
                      <w:lang w:val="en-US" w:eastAsia="zh-CN"/>
                    </w:rPr>
                  </w:pPr>
                  <w:r>
                    <w:rPr>
                      <w:rFonts w:hint="default" w:ascii="Times New Roman" w:hAnsi="Times New Roman" w:eastAsia="宋体" w:cs="Times New Roman"/>
                      <w:b w:val="0"/>
                      <w:bCs/>
                      <w:color w:val="auto"/>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292" w:type="dxa"/>
                  <w:tcBorders>
                    <w:top w:val="single" w:color="auto" w:sz="4" w:space="0"/>
                    <w:left w:val="single" w:color="auto" w:sz="4" w:space="0"/>
                    <w:bottom w:val="single" w:color="auto" w:sz="4" w:space="0"/>
                    <w:right w:val="single" w:color="auto" w:sz="4" w:space="0"/>
                  </w:tcBorders>
                  <w:noWrap w:val="0"/>
                  <w:vAlign w:val="center"/>
                </w:tcPr>
                <w:p>
                  <w:pPr>
                    <w:pStyle w:val="25"/>
                    <w:rPr>
                      <w:rFonts w:hint="default" w:ascii="Times New Roman" w:hAnsi="Times New Roman" w:eastAsia="宋体" w:cs="Times New Roman"/>
                      <w:b w:val="0"/>
                      <w:bCs/>
                      <w:color w:val="auto"/>
                      <w:kern w:val="2"/>
                      <w:sz w:val="21"/>
                      <w:szCs w:val="20"/>
                      <w:lang w:val="en-US" w:eastAsia="zh-CN" w:bidi="ar-SA"/>
                    </w:rPr>
                  </w:pPr>
                  <w:r>
                    <w:rPr>
                      <w:rFonts w:hint="default" w:ascii="Times New Roman" w:hAnsi="Times New Roman" w:eastAsia="宋体" w:cs="Times New Roman"/>
                      <w:b w:val="0"/>
                      <w:bCs/>
                      <w:color w:val="auto"/>
                      <w:lang w:val="en-US" w:eastAsia="zh-CN"/>
                    </w:rPr>
                    <w:t>70</w:t>
                  </w:r>
                </w:p>
              </w:tc>
              <w:tc>
                <w:tcPr>
                  <w:tcW w:w="3627" w:type="dxa"/>
                  <w:tcBorders>
                    <w:top w:val="single" w:color="auto" w:sz="4" w:space="0"/>
                    <w:left w:val="single" w:color="auto" w:sz="4" w:space="0"/>
                    <w:bottom w:val="single" w:color="auto" w:sz="4" w:space="0"/>
                    <w:right w:val="single" w:color="auto" w:sz="4" w:space="0"/>
                  </w:tcBorders>
                  <w:noWrap w:val="0"/>
                  <w:vAlign w:val="center"/>
                </w:tcPr>
                <w:p>
                  <w:pPr>
                    <w:pStyle w:val="25"/>
                    <w:rPr>
                      <w:rFonts w:hint="default" w:ascii="Times New Roman" w:hAnsi="Times New Roman" w:eastAsia="宋体" w:cs="Times New Roman"/>
                      <w:b w:val="0"/>
                      <w:bCs/>
                      <w:color w:val="auto"/>
                      <w:kern w:val="2"/>
                      <w:sz w:val="21"/>
                      <w:szCs w:val="20"/>
                      <w:lang w:val="en-US" w:eastAsia="zh-CN" w:bidi="ar-SA"/>
                    </w:rPr>
                  </w:pPr>
                  <w:r>
                    <w:rPr>
                      <w:rFonts w:hint="default" w:ascii="Times New Roman" w:hAnsi="Times New Roman" w:eastAsia="宋体" w:cs="Times New Roman"/>
                      <w:b w:val="0"/>
                      <w:bCs/>
                      <w:color w:val="auto"/>
                      <w:lang w:val="en-US" w:eastAsia="zh-CN"/>
                    </w:rPr>
                    <w:t>55</w:t>
                  </w:r>
                </w:p>
              </w:tc>
            </w:tr>
          </w:tbl>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表3-</w:t>
            </w:r>
            <w:r>
              <w:rPr>
                <w:rFonts w:hint="eastAsia" w:cs="Times New Roman"/>
                <w:color w:val="auto"/>
                <w:sz w:val="24"/>
                <w:szCs w:val="24"/>
                <w:highlight w:val="none"/>
                <w:lang w:val="en-US" w:eastAsia="zh-CN"/>
              </w:rPr>
              <w:t xml:space="preserve">12  </w:t>
            </w:r>
            <w:r>
              <w:rPr>
                <w:rFonts w:hint="default" w:ascii="Times New Roman" w:hAnsi="Times New Roman" w:eastAsia="宋体" w:cs="Times New Roman"/>
                <w:color w:val="auto"/>
                <w:sz w:val="24"/>
                <w:szCs w:val="24"/>
                <w:highlight w:val="none"/>
                <w:lang w:val="en-US" w:eastAsia="zh-CN"/>
              </w:rPr>
              <w:t>《工业企业厂界环境噪声排放标准》单位：dB（A）</w:t>
            </w:r>
          </w:p>
          <w:tbl>
            <w:tblPr>
              <w:tblStyle w:val="16"/>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8"/>
              <w:gridCol w:w="2658"/>
              <w:gridCol w:w="2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8" w:type="dxa"/>
                  <w:vAlign w:val="center"/>
                </w:tcPr>
                <w:p>
                  <w:pPr>
                    <w:pStyle w:val="25"/>
                    <w:jc w:val="center"/>
                    <w:rPr>
                      <w:rFonts w:hint="default" w:ascii="Times New Roman" w:hAnsi="Times New Roman" w:eastAsia="宋体" w:cs="Times New Roman"/>
                      <w:b w:val="0"/>
                      <w:bCs/>
                      <w:color w:val="auto"/>
                      <w:lang w:val="en-US" w:eastAsia="zh-CN"/>
                    </w:rPr>
                  </w:pPr>
                  <w:r>
                    <w:rPr>
                      <w:rFonts w:hint="eastAsia" w:ascii="Times New Roman" w:hAnsi="Times New Roman" w:eastAsia="宋体" w:cs="Times New Roman"/>
                      <w:b w:val="0"/>
                      <w:bCs/>
                      <w:color w:val="auto"/>
                      <w:lang w:val="en-US" w:eastAsia="zh-CN"/>
                    </w:rPr>
                    <w:t>声环境功能区类别</w:t>
                  </w:r>
                </w:p>
              </w:tc>
              <w:tc>
                <w:tcPr>
                  <w:tcW w:w="2658" w:type="dxa"/>
                  <w:vAlign w:val="center"/>
                </w:tcPr>
                <w:p>
                  <w:pPr>
                    <w:pStyle w:val="25"/>
                    <w:jc w:val="center"/>
                    <w:rPr>
                      <w:rFonts w:hint="default" w:ascii="Times New Roman" w:hAnsi="Times New Roman" w:eastAsia="宋体" w:cs="Times New Roman"/>
                      <w:b w:val="0"/>
                      <w:bCs/>
                      <w:color w:val="auto"/>
                      <w:lang w:val="en-US" w:eastAsia="zh-CN"/>
                    </w:rPr>
                  </w:pPr>
                  <w:r>
                    <w:rPr>
                      <w:rFonts w:hint="eastAsia" w:ascii="Times New Roman" w:hAnsi="Times New Roman" w:eastAsia="宋体" w:cs="Times New Roman"/>
                      <w:b w:val="0"/>
                      <w:bCs/>
                      <w:color w:val="auto"/>
                      <w:lang w:val="en-US" w:eastAsia="zh-CN"/>
                    </w:rPr>
                    <w:t>昼间</w:t>
                  </w:r>
                </w:p>
              </w:tc>
              <w:tc>
                <w:tcPr>
                  <w:tcW w:w="2658" w:type="dxa"/>
                  <w:vAlign w:val="center"/>
                </w:tcPr>
                <w:p>
                  <w:pPr>
                    <w:pStyle w:val="25"/>
                    <w:jc w:val="center"/>
                    <w:rPr>
                      <w:rFonts w:hint="default" w:ascii="Times New Roman" w:hAnsi="Times New Roman" w:eastAsia="宋体" w:cs="Times New Roman"/>
                      <w:b w:val="0"/>
                      <w:bCs/>
                      <w:color w:val="auto"/>
                      <w:lang w:val="en-US" w:eastAsia="zh-CN"/>
                    </w:rPr>
                  </w:pPr>
                  <w:r>
                    <w:rPr>
                      <w:rFonts w:hint="eastAsia" w:ascii="Times New Roman" w:hAnsi="Times New Roman" w:eastAsia="宋体" w:cs="Times New Roman"/>
                      <w:b w:val="0"/>
                      <w:bCs/>
                      <w:color w:val="auto"/>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8" w:type="dxa"/>
                  <w:vAlign w:val="center"/>
                </w:tcPr>
                <w:p>
                  <w:pPr>
                    <w:pStyle w:val="25"/>
                    <w:jc w:val="center"/>
                    <w:rPr>
                      <w:rFonts w:hint="eastAsia" w:ascii="Times New Roman" w:hAnsi="Times New Roman" w:eastAsia="宋体" w:cs="Times New Roman"/>
                      <w:b w:val="0"/>
                      <w:bCs/>
                      <w:color w:val="auto"/>
                      <w:kern w:val="2"/>
                      <w:sz w:val="21"/>
                      <w:szCs w:val="20"/>
                      <w:lang w:val="en-US" w:eastAsia="zh-CN" w:bidi="ar-SA"/>
                    </w:rPr>
                  </w:pPr>
                  <w:r>
                    <w:rPr>
                      <w:rFonts w:hint="eastAsia" w:ascii="Times New Roman" w:hAnsi="Times New Roman" w:eastAsia="宋体" w:cs="Times New Roman"/>
                      <w:b w:val="0"/>
                      <w:bCs/>
                      <w:color w:val="auto"/>
                      <w:lang w:val="en-US" w:eastAsia="zh-CN"/>
                    </w:rPr>
                    <w:t>3类标准</w:t>
                  </w:r>
                </w:p>
              </w:tc>
              <w:tc>
                <w:tcPr>
                  <w:tcW w:w="2658" w:type="dxa"/>
                  <w:vAlign w:val="center"/>
                </w:tcPr>
                <w:p>
                  <w:pPr>
                    <w:pStyle w:val="25"/>
                    <w:jc w:val="center"/>
                    <w:rPr>
                      <w:rFonts w:hint="eastAsia" w:ascii="Times New Roman" w:hAnsi="Times New Roman" w:eastAsia="宋体" w:cs="Times New Roman"/>
                      <w:b w:val="0"/>
                      <w:bCs/>
                      <w:color w:val="auto"/>
                      <w:kern w:val="2"/>
                      <w:sz w:val="21"/>
                      <w:szCs w:val="20"/>
                      <w:lang w:val="en-US" w:eastAsia="zh-CN" w:bidi="ar-SA"/>
                    </w:rPr>
                  </w:pPr>
                  <w:r>
                    <w:rPr>
                      <w:rFonts w:hint="eastAsia" w:ascii="Times New Roman" w:hAnsi="Times New Roman" w:eastAsia="宋体" w:cs="Times New Roman"/>
                      <w:b w:val="0"/>
                      <w:bCs/>
                      <w:color w:val="auto"/>
                      <w:lang w:val="en-US" w:eastAsia="zh-CN"/>
                    </w:rPr>
                    <w:t>65</w:t>
                  </w:r>
                </w:p>
              </w:tc>
              <w:tc>
                <w:tcPr>
                  <w:tcW w:w="2658" w:type="dxa"/>
                  <w:vAlign w:val="center"/>
                </w:tcPr>
                <w:p>
                  <w:pPr>
                    <w:pStyle w:val="25"/>
                    <w:jc w:val="center"/>
                    <w:rPr>
                      <w:rFonts w:hint="eastAsia" w:ascii="Times New Roman" w:hAnsi="Times New Roman" w:eastAsia="宋体" w:cs="Times New Roman"/>
                      <w:b w:val="0"/>
                      <w:bCs/>
                      <w:color w:val="auto"/>
                      <w:kern w:val="2"/>
                      <w:sz w:val="21"/>
                      <w:szCs w:val="20"/>
                      <w:lang w:val="en-US" w:eastAsia="zh-CN" w:bidi="ar-SA"/>
                    </w:rPr>
                  </w:pPr>
                  <w:r>
                    <w:rPr>
                      <w:rFonts w:hint="eastAsia" w:ascii="Times New Roman" w:hAnsi="Times New Roman" w:eastAsia="宋体" w:cs="Times New Roman"/>
                      <w:b w:val="0"/>
                      <w:bCs/>
                      <w:color w:val="auto"/>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8" w:type="dxa"/>
                  <w:vAlign w:val="center"/>
                </w:tcPr>
                <w:p>
                  <w:pPr>
                    <w:pStyle w:val="25"/>
                    <w:jc w:val="center"/>
                    <w:rPr>
                      <w:rFonts w:hint="default" w:ascii="Times New Roman" w:hAnsi="Times New Roman" w:eastAsia="宋体" w:cs="Times New Roman"/>
                      <w:b w:val="0"/>
                      <w:bCs/>
                      <w:color w:val="auto"/>
                      <w:lang w:val="en-US" w:eastAsia="zh-CN"/>
                    </w:rPr>
                  </w:pPr>
                  <w:r>
                    <w:rPr>
                      <w:rFonts w:hint="eastAsia" w:cs="Times New Roman"/>
                      <w:b w:val="0"/>
                      <w:bCs/>
                      <w:color w:val="auto"/>
                      <w:lang w:val="en-US" w:eastAsia="zh-CN"/>
                    </w:rPr>
                    <w:t>4</w:t>
                  </w:r>
                  <w:r>
                    <w:rPr>
                      <w:rFonts w:hint="eastAsia" w:ascii="Times New Roman" w:hAnsi="Times New Roman" w:eastAsia="宋体" w:cs="Times New Roman"/>
                      <w:b w:val="0"/>
                      <w:bCs/>
                      <w:color w:val="auto"/>
                      <w:lang w:val="en-US" w:eastAsia="zh-CN"/>
                    </w:rPr>
                    <w:t>类标准</w:t>
                  </w:r>
                </w:p>
              </w:tc>
              <w:tc>
                <w:tcPr>
                  <w:tcW w:w="2658" w:type="dxa"/>
                  <w:vAlign w:val="center"/>
                </w:tcPr>
                <w:p>
                  <w:pPr>
                    <w:pStyle w:val="25"/>
                    <w:jc w:val="center"/>
                    <w:rPr>
                      <w:rFonts w:hint="default" w:ascii="Times New Roman" w:hAnsi="Times New Roman" w:eastAsia="宋体" w:cs="Times New Roman"/>
                      <w:b w:val="0"/>
                      <w:bCs/>
                      <w:color w:val="auto"/>
                      <w:lang w:val="en-US" w:eastAsia="zh-CN"/>
                    </w:rPr>
                  </w:pPr>
                  <w:r>
                    <w:rPr>
                      <w:rFonts w:hint="eastAsia" w:cs="Times New Roman"/>
                      <w:b w:val="0"/>
                      <w:bCs/>
                      <w:color w:val="auto"/>
                      <w:lang w:val="en-US" w:eastAsia="zh-CN"/>
                    </w:rPr>
                    <w:t>70</w:t>
                  </w:r>
                </w:p>
              </w:tc>
              <w:tc>
                <w:tcPr>
                  <w:tcW w:w="2658" w:type="dxa"/>
                  <w:vAlign w:val="center"/>
                </w:tcPr>
                <w:p>
                  <w:pPr>
                    <w:pStyle w:val="25"/>
                    <w:jc w:val="center"/>
                    <w:rPr>
                      <w:rFonts w:hint="default" w:ascii="Times New Roman" w:hAnsi="Times New Roman" w:eastAsia="宋体" w:cs="Times New Roman"/>
                      <w:b w:val="0"/>
                      <w:bCs/>
                      <w:color w:val="auto"/>
                      <w:lang w:val="en-US" w:eastAsia="zh-CN"/>
                    </w:rPr>
                  </w:pPr>
                  <w:r>
                    <w:rPr>
                      <w:rFonts w:hint="eastAsia" w:cs="Times New Roman"/>
                      <w:b w:val="0"/>
                      <w:bCs/>
                      <w:color w:val="auto"/>
                      <w:lang w:val="en-US" w:eastAsia="zh-CN"/>
                    </w:rPr>
                    <w:t>55</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4</w:t>
            </w:r>
            <w:r>
              <w:rPr>
                <w:rFonts w:hint="eastAsia" w:ascii="Times New Roman" w:hAnsi="Times New Roman" w:eastAsia="宋体" w:cs="Times New Roman"/>
                <w:color w:val="auto"/>
                <w:kern w:val="0"/>
                <w:sz w:val="24"/>
                <w:lang w:val="en-US" w:eastAsia="zh-CN"/>
              </w:rPr>
              <w:t>、</w:t>
            </w:r>
            <w:r>
              <w:rPr>
                <w:rFonts w:hint="default" w:ascii="Times New Roman" w:hAnsi="Times New Roman" w:eastAsia="宋体" w:cs="Times New Roman"/>
                <w:color w:val="auto"/>
                <w:kern w:val="0"/>
                <w:sz w:val="24"/>
                <w:lang w:val="en-US" w:eastAsia="zh-CN"/>
              </w:rPr>
              <w:t>固废</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lang w:val="en-US" w:eastAsia="zh-CN"/>
              </w:rPr>
            </w:pPr>
            <w:bookmarkStart w:id="1" w:name="OLE_LINK17"/>
            <w:bookmarkStart w:id="2" w:name="OLE_LINK16"/>
            <w:r>
              <w:rPr>
                <w:rFonts w:hint="eastAsia" w:ascii="Times New Roman" w:hAnsi="Times New Roman" w:eastAsia="宋体" w:cs="Times New Roman"/>
                <w:color w:val="auto"/>
                <w:kern w:val="0"/>
                <w:sz w:val="24"/>
                <w:lang w:val="en-US" w:eastAsia="zh-CN"/>
              </w:rPr>
              <w:t>一般工业固体废弃物参照执行《一般工业固体废物贮存和填埋污染控制标准》（GB18599-2020）“采用库房、包装工具（罐、桶、包装袋等）贮存一般工业固体废物过程的污染控制，不适用本标准，其贮存过程应满足相应防渗漏、防雨淋、防扬尘等环境保护要求相关要求执行。”</w:t>
            </w:r>
          </w:p>
          <w:p>
            <w:pPr>
              <w:spacing w:line="360" w:lineRule="auto"/>
              <w:ind w:firstLine="480" w:firstLineChars="200"/>
              <w:rPr>
                <w:rFonts w:hint="default"/>
                <w:color w:val="auto"/>
                <w:lang w:val="en-US" w:eastAsia="zh-CN"/>
              </w:rPr>
            </w:pPr>
            <w:r>
              <w:rPr>
                <w:rFonts w:hint="eastAsia" w:ascii="Times New Roman" w:hAnsi="Times New Roman" w:eastAsia="宋体" w:cs="Times New Roman"/>
                <w:color w:val="auto"/>
                <w:kern w:val="0"/>
                <w:sz w:val="24"/>
                <w:lang w:val="en-US" w:eastAsia="zh-CN"/>
              </w:rPr>
              <w:t>危险废物</w:t>
            </w:r>
            <w:r>
              <w:rPr>
                <w:rFonts w:hint="default" w:ascii="Times New Roman" w:hAnsi="Times New Roman" w:eastAsia="宋体" w:cs="Times New Roman"/>
                <w:color w:val="auto"/>
                <w:kern w:val="0"/>
                <w:sz w:val="24"/>
                <w:lang w:val="en-US" w:eastAsia="zh-CN"/>
              </w:rPr>
              <w:t>执行《危险废物贮存污染控制标准》（GB 18597-2023）中相关要求，危险废物转移执行《危险废物转移联单管理办法》中相关要求。</w:t>
            </w:r>
            <w:bookmarkEnd w:id="1"/>
            <w:bookmarkEnd w:id="2"/>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0"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总量控制标准</w:t>
            </w:r>
          </w:p>
        </w:tc>
        <w:tc>
          <w:tcPr>
            <w:tcW w:w="8190" w:type="dxa"/>
            <w:noWrap w:val="0"/>
            <w:vAlign w:val="top"/>
          </w:tcPr>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实施污染物排放总量控制是污染控制管理的重要举措，污染物排放应在确保满足达到排放的前提下，排放总量还需满足区域的污染物排放总量控制目标。项目总量控制污染物排放见下表。</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i w:val="0"/>
                <w:iCs w:val="0"/>
                <w:color w:val="auto"/>
                <w:kern w:val="2"/>
                <w:sz w:val="24"/>
                <w:szCs w:val="24"/>
                <w:highlight w:val="none"/>
                <w:lang w:val="en-US" w:eastAsia="zh-CN"/>
              </w:rPr>
              <w:t>表3</w:t>
            </w:r>
            <w:r>
              <w:rPr>
                <w:rFonts w:hint="eastAsia" w:ascii="Times New Roman" w:hAnsi="Times New Roman" w:cs="Times New Roman"/>
                <w:i w:val="0"/>
                <w:iCs w:val="0"/>
                <w:color w:val="auto"/>
                <w:kern w:val="2"/>
                <w:sz w:val="24"/>
                <w:szCs w:val="24"/>
                <w:highlight w:val="none"/>
                <w:lang w:val="en-US" w:eastAsia="zh-CN"/>
              </w:rPr>
              <w:t>-1</w:t>
            </w:r>
            <w:r>
              <w:rPr>
                <w:rFonts w:hint="eastAsia" w:cs="Times New Roman"/>
                <w:i w:val="0"/>
                <w:iCs w:val="0"/>
                <w:color w:val="auto"/>
                <w:kern w:val="2"/>
                <w:sz w:val="24"/>
                <w:szCs w:val="24"/>
                <w:highlight w:val="none"/>
                <w:lang w:val="en-US" w:eastAsia="zh-CN"/>
              </w:rPr>
              <w:t>3</w:t>
            </w:r>
            <w:r>
              <w:rPr>
                <w:rFonts w:hint="eastAsia" w:ascii="Times New Roman" w:hAnsi="Times New Roman" w:eastAsia="宋体" w:cs="Times New Roman"/>
                <w:i w:val="0"/>
                <w:iCs w:val="0"/>
                <w:color w:val="auto"/>
                <w:kern w:val="2"/>
                <w:sz w:val="24"/>
                <w:szCs w:val="24"/>
                <w:highlight w:val="none"/>
                <w:lang w:val="en-US" w:eastAsia="zh-CN"/>
              </w:rPr>
              <w:t xml:space="preserve"> 总量控制污染物排放表</w:t>
            </w:r>
          </w:p>
          <w:tbl>
            <w:tblPr>
              <w:tblStyle w:val="15"/>
              <w:tblW w:w="49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367"/>
              <w:gridCol w:w="3021"/>
              <w:gridCol w:w="1195"/>
              <w:gridCol w:w="1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484" w:type="pct"/>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类别</w:t>
                  </w:r>
                </w:p>
              </w:tc>
              <w:tc>
                <w:tcPr>
                  <w:tcW w:w="872" w:type="pct"/>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污染因子</w:t>
                  </w:r>
                </w:p>
              </w:tc>
              <w:tc>
                <w:tcPr>
                  <w:tcW w:w="2689" w:type="pct"/>
                  <w:gridSpan w:val="2"/>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排放量t/a</w:t>
                  </w:r>
                </w:p>
              </w:tc>
              <w:tc>
                <w:tcPr>
                  <w:tcW w:w="953" w:type="pct"/>
                  <w:tcBorders>
                    <w:top w:val="single" w:color="auto" w:sz="4" w:space="0"/>
                    <w:left w:val="single" w:color="auto" w:sz="4" w:space="0"/>
                    <w:bottom w:val="single" w:color="auto" w:sz="4" w:space="0"/>
                    <w:right w:val="single" w:color="auto" w:sz="4" w:space="0"/>
                  </w:tcBorders>
                  <w:noWrap w:val="0"/>
                  <w:vAlign w:val="center"/>
                </w:tcPr>
                <w:p>
                  <w:pPr>
                    <w:pStyle w:val="2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84" w:type="pct"/>
                  <w:vMerge w:val="restart"/>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废气</w:t>
                  </w:r>
                </w:p>
              </w:tc>
              <w:tc>
                <w:tcPr>
                  <w:tcW w:w="8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非甲烷总烃</w:t>
                  </w:r>
                </w:p>
              </w:tc>
              <w:tc>
                <w:tcPr>
                  <w:tcW w:w="1927" w:type="pct"/>
                  <w:vMerge w:val="restart"/>
                  <w:tcBorders>
                    <w:left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olor w:val="auto"/>
                      <w:sz w:val="21"/>
                      <w:szCs w:val="21"/>
                      <w:highlight w:val="none"/>
                      <w:vertAlign w:val="baseline"/>
                      <w:lang w:val="en-US" w:eastAsia="zh-CN"/>
                    </w:rPr>
                    <w:t>DA001（挤塑废气及吸塑废气）</w:t>
                  </w:r>
                </w:p>
              </w:tc>
              <w:tc>
                <w:tcPr>
                  <w:tcW w:w="7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0.04</w:t>
                  </w:r>
                </w:p>
              </w:tc>
              <w:tc>
                <w:tcPr>
                  <w:tcW w:w="953" w:type="pct"/>
                  <w:vMerge w:val="restart"/>
                  <w:tcBorders>
                    <w:left w:val="single" w:color="auto" w:sz="4" w:space="0"/>
                    <w:right w:val="single" w:color="auto" w:sz="4" w:space="0"/>
                  </w:tcBorders>
                  <w:noWrap w:val="0"/>
                  <w:vAlign w:val="center"/>
                </w:tcPr>
                <w:p>
                  <w:pPr>
                    <w:pStyle w:val="2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大气环境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84" w:type="pct"/>
                  <w:vMerge w:val="continue"/>
                  <w:tcBorders>
                    <w:left w:val="single" w:color="auto" w:sz="4" w:space="0"/>
                    <w:right w:val="single" w:color="auto" w:sz="4" w:space="0"/>
                  </w:tcBorders>
                  <w:noWrap w:val="0"/>
                  <w:vAlign w:val="center"/>
                </w:tcPr>
                <w:p>
                  <w:pPr>
                    <w:pStyle w:val="2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color w:val="auto"/>
                      <w:sz w:val="21"/>
                      <w:szCs w:val="21"/>
                      <w:highlight w:val="none"/>
                    </w:rPr>
                  </w:pPr>
                </w:p>
              </w:tc>
              <w:tc>
                <w:tcPr>
                  <w:tcW w:w="8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颗粒物</w:t>
                  </w:r>
                </w:p>
              </w:tc>
              <w:tc>
                <w:tcPr>
                  <w:tcW w:w="1927" w:type="pct"/>
                  <w:vMerge w:val="continue"/>
                  <w:tcBorders>
                    <w:left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bidi="ar-SA"/>
                    </w:rPr>
                  </w:pPr>
                </w:p>
              </w:tc>
              <w:tc>
                <w:tcPr>
                  <w:tcW w:w="7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w:t>
                  </w:r>
                </w:p>
              </w:tc>
              <w:tc>
                <w:tcPr>
                  <w:tcW w:w="953" w:type="pct"/>
                  <w:vMerge w:val="continue"/>
                  <w:tcBorders>
                    <w:left w:val="single" w:color="auto" w:sz="4" w:space="0"/>
                    <w:right w:val="single" w:color="auto" w:sz="4" w:space="0"/>
                  </w:tcBorders>
                  <w:noWrap w:val="0"/>
                  <w:vAlign w:val="center"/>
                </w:tcPr>
                <w:p>
                  <w:pPr>
                    <w:pStyle w:val="2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84" w:type="pct"/>
                  <w:vMerge w:val="restart"/>
                  <w:tcBorders>
                    <w:left w:val="single" w:color="auto" w:sz="4" w:space="0"/>
                    <w:right w:val="single" w:color="auto" w:sz="4" w:space="0"/>
                  </w:tcBorders>
                  <w:noWrap w:val="0"/>
                  <w:vAlign w:val="center"/>
                </w:tcPr>
                <w:p>
                  <w:pPr>
                    <w:pStyle w:val="2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废水</w:t>
                  </w:r>
                </w:p>
              </w:tc>
              <w:tc>
                <w:tcPr>
                  <w:tcW w:w="872"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rPr>
                    <w:t>pH</w:t>
                  </w:r>
                </w:p>
              </w:tc>
              <w:tc>
                <w:tcPr>
                  <w:tcW w:w="1927" w:type="pct"/>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允许排入环境的量</w:t>
                  </w:r>
                </w:p>
              </w:tc>
              <w:tc>
                <w:tcPr>
                  <w:tcW w:w="762"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w:t>
                  </w:r>
                </w:p>
              </w:tc>
              <w:tc>
                <w:tcPr>
                  <w:tcW w:w="953" w:type="pct"/>
                  <w:vMerge w:val="restart"/>
                  <w:tcBorders>
                    <w:left w:val="single" w:color="auto" w:sz="4" w:space="0"/>
                    <w:right w:val="single" w:color="auto" w:sz="4" w:space="0"/>
                  </w:tcBorders>
                  <w:noWrap w:val="0"/>
                  <w:vAlign w:val="center"/>
                </w:tcPr>
                <w:p>
                  <w:pPr>
                    <w:pStyle w:val="2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侣俸河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84" w:type="pct"/>
                  <w:vMerge w:val="continue"/>
                  <w:tcBorders>
                    <w:left w:val="single" w:color="auto" w:sz="4" w:space="0"/>
                    <w:right w:val="single" w:color="auto" w:sz="4" w:space="0"/>
                  </w:tcBorders>
                  <w:noWrap w:val="0"/>
                  <w:vAlign w:val="center"/>
                </w:tcPr>
                <w:p>
                  <w:pPr>
                    <w:pStyle w:val="2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color w:val="auto"/>
                      <w:sz w:val="21"/>
                      <w:szCs w:val="21"/>
                      <w:highlight w:val="none"/>
                    </w:rPr>
                  </w:pPr>
                </w:p>
              </w:tc>
              <w:tc>
                <w:tcPr>
                  <w:tcW w:w="872"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rPr>
                    <w:t>COD</w:t>
                  </w:r>
                </w:p>
              </w:tc>
              <w:tc>
                <w:tcPr>
                  <w:tcW w:w="1927" w:type="pct"/>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允许排入环境的量</w:t>
                  </w:r>
                </w:p>
              </w:tc>
              <w:tc>
                <w:tcPr>
                  <w:tcW w:w="762"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rPr>
                    <w:t>0.097</w:t>
                  </w:r>
                </w:p>
              </w:tc>
              <w:tc>
                <w:tcPr>
                  <w:tcW w:w="953" w:type="pct"/>
                  <w:vMerge w:val="continue"/>
                  <w:tcBorders>
                    <w:left w:val="single" w:color="auto" w:sz="4" w:space="0"/>
                    <w:right w:val="single" w:color="auto" w:sz="4" w:space="0"/>
                  </w:tcBorders>
                  <w:noWrap w:val="0"/>
                  <w:vAlign w:val="center"/>
                </w:tcPr>
                <w:p>
                  <w:pPr>
                    <w:pStyle w:val="2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84" w:type="pct"/>
                  <w:vMerge w:val="continue"/>
                  <w:tcBorders>
                    <w:left w:val="single" w:color="auto" w:sz="4" w:space="0"/>
                    <w:right w:val="single" w:color="auto" w:sz="4" w:space="0"/>
                  </w:tcBorders>
                  <w:noWrap w:val="0"/>
                  <w:vAlign w:val="center"/>
                </w:tcPr>
                <w:p>
                  <w:pPr>
                    <w:pStyle w:val="2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color w:val="auto"/>
                      <w:sz w:val="21"/>
                      <w:szCs w:val="21"/>
                      <w:highlight w:val="none"/>
                    </w:rPr>
                  </w:pPr>
                </w:p>
              </w:tc>
              <w:tc>
                <w:tcPr>
                  <w:tcW w:w="872"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subscript"/>
                      <w:lang w:val="en-US" w:eastAsia="zh-CN" w:bidi="ar-SA"/>
                    </w:rPr>
                  </w:pPr>
                  <w:r>
                    <w:rPr>
                      <w:rFonts w:hint="eastAsia" w:ascii="Times New Roman" w:hAnsi="Times New Roman" w:cs="Times New Roman"/>
                      <w:color w:val="auto"/>
                      <w:kern w:val="0"/>
                      <w:sz w:val="21"/>
                      <w:szCs w:val="21"/>
                      <w:highlight w:val="none"/>
                      <w:vertAlign w:val="baseline"/>
                      <w:lang w:val="en-US" w:eastAsia="zh-CN"/>
                    </w:rPr>
                    <w:t>BOD</w:t>
                  </w:r>
                  <w:r>
                    <w:rPr>
                      <w:rFonts w:hint="eastAsia" w:ascii="Times New Roman" w:hAnsi="Times New Roman" w:cs="Times New Roman"/>
                      <w:color w:val="auto"/>
                      <w:kern w:val="0"/>
                      <w:sz w:val="21"/>
                      <w:szCs w:val="21"/>
                      <w:highlight w:val="none"/>
                      <w:vertAlign w:val="subscript"/>
                      <w:lang w:val="en-US" w:eastAsia="zh-CN"/>
                    </w:rPr>
                    <w:t>5</w:t>
                  </w:r>
                </w:p>
              </w:tc>
              <w:tc>
                <w:tcPr>
                  <w:tcW w:w="1927" w:type="pct"/>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允许排入环境的量</w:t>
                  </w:r>
                </w:p>
              </w:tc>
              <w:tc>
                <w:tcPr>
                  <w:tcW w:w="762"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rPr>
                    <w:t>0.019</w:t>
                  </w:r>
                </w:p>
              </w:tc>
              <w:tc>
                <w:tcPr>
                  <w:tcW w:w="953" w:type="pct"/>
                  <w:vMerge w:val="continue"/>
                  <w:tcBorders>
                    <w:left w:val="single" w:color="auto" w:sz="4" w:space="0"/>
                    <w:right w:val="single" w:color="auto" w:sz="4" w:space="0"/>
                  </w:tcBorders>
                  <w:noWrap w:val="0"/>
                  <w:vAlign w:val="center"/>
                </w:tcPr>
                <w:p>
                  <w:pPr>
                    <w:pStyle w:val="2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84" w:type="pct"/>
                  <w:vMerge w:val="continue"/>
                  <w:tcBorders>
                    <w:left w:val="single" w:color="auto" w:sz="4" w:space="0"/>
                    <w:right w:val="single" w:color="auto" w:sz="4" w:space="0"/>
                  </w:tcBorders>
                  <w:noWrap w:val="0"/>
                  <w:vAlign w:val="center"/>
                </w:tcPr>
                <w:p>
                  <w:pPr>
                    <w:pStyle w:val="2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color w:val="auto"/>
                      <w:sz w:val="21"/>
                      <w:szCs w:val="21"/>
                      <w:highlight w:val="none"/>
                    </w:rPr>
                  </w:pPr>
                </w:p>
              </w:tc>
              <w:tc>
                <w:tcPr>
                  <w:tcW w:w="872"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rPr>
                    <w:t>SS</w:t>
                  </w:r>
                </w:p>
              </w:tc>
              <w:tc>
                <w:tcPr>
                  <w:tcW w:w="1927" w:type="pct"/>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允许排入环境的量</w:t>
                  </w:r>
                </w:p>
              </w:tc>
              <w:tc>
                <w:tcPr>
                  <w:tcW w:w="762"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rPr>
                    <w:t>0.019</w:t>
                  </w:r>
                </w:p>
              </w:tc>
              <w:tc>
                <w:tcPr>
                  <w:tcW w:w="953" w:type="pct"/>
                  <w:vMerge w:val="continue"/>
                  <w:tcBorders>
                    <w:left w:val="single" w:color="auto" w:sz="4" w:space="0"/>
                    <w:right w:val="single" w:color="auto" w:sz="4" w:space="0"/>
                  </w:tcBorders>
                  <w:noWrap w:val="0"/>
                  <w:vAlign w:val="center"/>
                </w:tcPr>
                <w:p>
                  <w:pPr>
                    <w:pStyle w:val="2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84" w:type="pct"/>
                  <w:vMerge w:val="continue"/>
                  <w:tcBorders>
                    <w:left w:val="single" w:color="auto" w:sz="4" w:space="0"/>
                    <w:right w:val="single" w:color="auto" w:sz="4" w:space="0"/>
                  </w:tcBorders>
                  <w:noWrap w:val="0"/>
                  <w:vAlign w:val="center"/>
                </w:tcPr>
                <w:p>
                  <w:pPr>
                    <w:pStyle w:val="2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color w:val="auto"/>
                      <w:sz w:val="21"/>
                      <w:szCs w:val="21"/>
                      <w:highlight w:val="none"/>
                    </w:rPr>
                  </w:pPr>
                </w:p>
              </w:tc>
              <w:tc>
                <w:tcPr>
                  <w:tcW w:w="872"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rPr>
                    <w:t>氨氮</w:t>
                  </w:r>
                </w:p>
              </w:tc>
              <w:tc>
                <w:tcPr>
                  <w:tcW w:w="1927" w:type="pct"/>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允许排入环境的量</w:t>
                  </w:r>
                </w:p>
              </w:tc>
              <w:tc>
                <w:tcPr>
                  <w:tcW w:w="762"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rPr>
                    <w:t>0.010</w:t>
                  </w:r>
                </w:p>
              </w:tc>
              <w:tc>
                <w:tcPr>
                  <w:tcW w:w="953" w:type="pct"/>
                  <w:vMerge w:val="continue"/>
                  <w:tcBorders>
                    <w:left w:val="single" w:color="auto" w:sz="4" w:space="0"/>
                    <w:right w:val="single" w:color="auto" w:sz="4" w:space="0"/>
                  </w:tcBorders>
                  <w:noWrap w:val="0"/>
                  <w:vAlign w:val="center"/>
                </w:tcPr>
                <w:p>
                  <w:pPr>
                    <w:pStyle w:val="2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84" w:type="pct"/>
                  <w:vMerge w:val="continue"/>
                  <w:tcBorders>
                    <w:left w:val="single" w:color="auto" w:sz="4" w:space="0"/>
                    <w:right w:val="single" w:color="auto" w:sz="4" w:space="0"/>
                  </w:tcBorders>
                  <w:noWrap w:val="0"/>
                  <w:vAlign w:val="center"/>
                </w:tcPr>
                <w:p>
                  <w:pPr>
                    <w:pStyle w:val="2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color w:val="auto"/>
                      <w:sz w:val="21"/>
                      <w:szCs w:val="21"/>
                      <w:highlight w:val="none"/>
                    </w:rPr>
                  </w:pPr>
                </w:p>
              </w:tc>
              <w:tc>
                <w:tcPr>
                  <w:tcW w:w="872"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rPr>
                    <w:t>石油类</w:t>
                  </w:r>
                </w:p>
              </w:tc>
              <w:tc>
                <w:tcPr>
                  <w:tcW w:w="1927" w:type="pct"/>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允许排入环境的量</w:t>
                  </w:r>
                </w:p>
              </w:tc>
              <w:tc>
                <w:tcPr>
                  <w:tcW w:w="762"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0.002</w:t>
                  </w:r>
                </w:p>
              </w:tc>
              <w:tc>
                <w:tcPr>
                  <w:tcW w:w="953" w:type="pct"/>
                  <w:vMerge w:val="continue"/>
                  <w:tcBorders>
                    <w:left w:val="single" w:color="auto" w:sz="4" w:space="0"/>
                    <w:right w:val="single" w:color="auto" w:sz="4" w:space="0"/>
                  </w:tcBorders>
                  <w:noWrap w:val="0"/>
                  <w:vAlign w:val="center"/>
                </w:tcPr>
                <w:p>
                  <w:pPr>
                    <w:pStyle w:val="2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r>
          </w:tbl>
          <w:p>
            <w:pPr>
              <w:spacing w:line="360" w:lineRule="auto"/>
              <w:ind w:firstLine="480" w:firstLineChars="200"/>
              <w:rPr>
                <w:rFonts w:hint="eastAsia" w:eastAsia="宋体"/>
                <w:color w:val="auto"/>
                <w:kern w:val="0"/>
                <w:sz w:val="24"/>
                <w:highlight w:val="none"/>
                <w:lang w:val="en-US" w:eastAsia="zh-CN"/>
              </w:rPr>
            </w:pPr>
          </w:p>
          <w:p>
            <w:pPr>
              <w:spacing w:line="360" w:lineRule="auto"/>
              <w:ind w:firstLine="480" w:firstLineChars="200"/>
              <w:rPr>
                <w:rFonts w:hint="eastAsia" w:eastAsia="宋体"/>
                <w:color w:val="auto"/>
                <w:kern w:val="0"/>
                <w:sz w:val="24"/>
                <w:highlight w:val="none"/>
                <w:lang w:val="en-US" w:eastAsia="zh-CN"/>
              </w:rPr>
            </w:pPr>
          </w:p>
          <w:p>
            <w:pPr>
              <w:spacing w:line="360" w:lineRule="auto"/>
              <w:ind w:firstLine="480" w:firstLineChars="200"/>
              <w:rPr>
                <w:rFonts w:hint="eastAsia" w:eastAsia="宋体"/>
                <w:color w:val="auto"/>
                <w:kern w:val="0"/>
                <w:sz w:val="24"/>
                <w:highlight w:val="none"/>
                <w:lang w:val="en-US" w:eastAsia="zh-CN"/>
              </w:rPr>
            </w:pPr>
          </w:p>
          <w:p>
            <w:pPr>
              <w:spacing w:line="360" w:lineRule="auto"/>
              <w:ind w:firstLine="480" w:firstLineChars="200"/>
              <w:rPr>
                <w:rFonts w:hint="eastAsia" w:eastAsia="宋体"/>
                <w:color w:val="auto"/>
                <w:kern w:val="0"/>
                <w:sz w:val="24"/>
                <w:highlight w:val="none"/>
                <w:lang w:val="en-US" w:eastAsia="zh-CN"/>
              </w:rPr>
            </w:pPr>
          </w:p>
          <w:p>
            <w:pPr>
              <w:spacing w:line="360" w:lineRule="auto"/>
              <w:ind w:firstLine="480" w:firstLineChars="200"/>
              <w:rPr>
                <w:rFonts w:hint="eastAsia" w:eastAsia="宋体"/>
                <w:color w:val="auto"/>
                <w:kern w:val="0"/>
                <w:sz w:val="24"/>
                <w:highlight w:val="none"/>
                <w:lang w:val="en-US" w:eastAsia="zh-CN"/>
              </w:rPr>
            </w:pPr>
          </w:p>
          <w:p>
            <w:pPr>
              <w:spacing w:line="360" w:lineRule="auto"/>
              <w:ind w:firstLine="480" w:firstLineChars="200"/>
              <w:rPr>
                <w:rFonts w:hint="eastAsia" w:eastAsia="宋体"/>
                <w:color w:val="auto"/>
                <w:kern w:val="0"/>
                <w:sz w:val="24"/>
                <w:highlight w:val="none"/>
                <w:lang w:val="en-US" w:eastAsia="zh-CN"/>
              </w:rPr>
            </w:pPr>
          </w:p>
          <w:p>
            <w:pPr>
              <w:spacing w:line="360" w:lineRule="auto"/>
              <w:ind w:firstLine="480" w:firstLineChars="200"/>
              <w:rPr>
                <w:rFonts w:hint="eastAsia" w:eastAsia="宋体"/>
                <w:color w:val="auto"/>
                <w:kern w:val="0"/>
                <w:sz w:val="24"/>
                <w:highlight w:val="none"/>
                <w:lang w:val="en-US" w:eastAsia="zh-CN"/>
              </w:rPr>
            </w:pPr>
          </w:p>
          <w:p>
            <w:pPr>
              <w:spacing w:line="360" w:lineRule="auto"/>
              <w:ind w:firstLine="480" w:firstLineChars="200"/>
              <w:rPr>
                <w:rFonts w:hint="eastAsia" w:eastAsia="宋体"/>
                <w:color w:val="auto"/>
                <w:kern w:val="0"/>
                <w:sz w:val="24"/>
                <w:highlight w:val="none"/>
                <w:lang w:val="en-US" w:eastAsia="zh-CN"/>
              </w:rPr>
            </w:pPr>
          </w:p>
          <w:p>
            <w:pPr>
              <w:spacing w:line="360" w:lineRule="auto"/>
              <w:ind w:firstLine="480" w:firstLineChars="200"/>
              <w:rPr>
                <w:rFonts w:hint="eastAsia" w:eastAsia="宋体"/>
                <w:color w:val="auto"/>
                <w:kern w:val="0"/>
                <w:sz w:val="24"/>
                <w:highlight w:val="none"/>
                <w:lang w:val="en-US" w:eastAsia="zh-CN"/>
              </w:rPr>
            </w:pPr>
          </w:p>
          <w:p>
            <w:pPr>
              <w:spacing w:line="360" w:lineRule="auto"/>
              <w:ind w:firstLine="480" w:firstLineChars="200"/>
              <w:rPr>
                <w:rFonts w:hint="eastAsia" w:eastAsia="宋体"/>
                <w:color w:val="auto"/>
                <w:kern w:val="0"/>
                <w:sz w:val="24"/>
                <w:highlight w:val="none"/>
                <w:lang w:val="en-US" w:eastAsia="zh-CN"/>
              </w:rPr>
            </w:pPr>
          </w:p>
          <w:p>
            <w:pPr>
              <w:spacing w:line="360" w:lineRule="auto"/>
              <w:ind w:firstLine="480" w:firstLineChars="200"/>
              <w:rPr>
                <w:rFonts w:hint="eastAsia" w:eastAsia="宋体"/>
                <w:color w:val="auto"/>
                <w:kern w:val="0"/>
                <w:sz w:val="24"/>
                <w:highlight w:val="none"/>
                <w:lang w:val="en-US" w:eastAsia="zh-CN"/>
              </w:rPr>
            </w:pPr>
          </w:p>
          <w:p>
            <w:pPr>
              <w:spacing w:line="360" w:lineRule="auto"/>
              <w:ind w:firstLine="480" w:firstLineChars="200"/>
              <w:rPr>
                <w:rFonts w:hint="eastAsia" w:eastAsia="宋体"/>
                <w:color w:val="auto"/>
                <w:kern w:val="0"/>
                <w:sz w:val="24"/>
                <w:highlight w:val="none"/>
                <w:lang w:val="en-US" w:eastAsia="zh-CN"/>
              </w:rPr>
            </w:pPr>
          </w:p>
          <w:p>
            <w:pPr>
              <w:spacing w:line="360" w:lineRule="auto"/>
              <w:ind w:firstLine="480" w:firstLineChars="200"/>
              <w:rPr>
                <w:rFonts w:hint="eastAsia" w:eastAsia="宋体"/>
                <w:color w:val="auto"/>
                <w:kern w:val="0"/>
                <w:sz w:val="24"/>
                <w:highlight w:val="none"/>
                <w:lang w:val="en-US" w:eastAsia="zh-CN"/>
              </w:rPr>
            </w:pPr>
          </w:p>
          <w:p>
            <w:pPr>
              <w:spacing w:line="360" w:lineRule="auto"/>
              <w:ind w:firstLine="480" w:firstLineChars="200"/>
              <w:rPr>
                <w:rFonts w:hint="eastAsia" w:eastAsia="宋体"/>
                <w:color w:val="auto"/>
                <w:kern w:val="0"/>
                <w:sz w:val="24"/>
                <w:highlight w:val="none"/>
                <w:lang w:val="en-US" w:eastAsia="zh-CN"/>
              </w:rPr>
            </w:pPr>
          </w:p>
          <w:p>
            <w:pPr>
              <w:spacing w:line="360" w:lineRule="auto"/>
              <w:ind w:firstLine="480" w:firstLineChars="200"/>
              <w:rPr>
                <w:rFonts w:hint="default" w:eastAsia="宋体"/>
                <w:color w:val="auto"/>
                <w:kern w:val="0"/>
                <w:sz w:val="24"/>
                <w:highlight w:val="none"/>
                <w:lang w:val="en-US" w:eastAsia="zh-CN"/>
              </w:rPr>
            </w:pPr>
            <w:r>
              <w:rPr>
                <w:rFonts w:hint="eastAsia" w:eastAsia="宋体"/>
                <w:color w:val="auto"/>
                <w:kern w:val="0"/>
                <w:sz w:val="24"/>
                <w:highlight w:val="none"/>
                <w:lang w:val="en-US" w:eastAsia="zh-CN"/>
              </w:rPr>
              <w:t>.</w:t>
            </w:r>
          </w:p>
        </w:tc>
      </w:tr>
    </w:tbl>
    <w:p>
      <w:pPr>
        <w:pStyle w:val="2"/>
        <w:rPr>
          <w:color w:val="auto"/>
        </w:rPr>
        <w:sectPr>
          <w:pgSz w:w="11906" w:h="16838"/>
          <w:pgMar w:top="1440" w:right="1800" w:bottom="1440" w:left="1800" w:header="851" w:footer="992" w:gutter="0"/>
          <w:pgNumType w:fmt="decimal"/>
          <w:cols w:space="425" w:num="1"/>
          <w:docGrid w:type="lines" w:linePitch="312" w:charSpace="0"/>
        </w:sectPr>
      </w:pPr>
    </w:p>
    <w:p>
      <w:pPr>
        <w:pStyle w:val="13"/>
        <w:ind w:firstLine="600" w:firstLineChars="200"/>
        <w:jc w:val="center"/>
        <w:outlineLvl w:val="0"/>
        <w:rPr>
          <w:rFonts w:ascii="黑体" w:hAnsi="黑体" w:eastAsia="黑体"/>
          <w:snapToGrid w:val="0"/>
          <w:color w:val="auto"/>
          <w:sz w:val="30"/>
          <w:szCs w:val="30"/>
          <w:highlight w:val="none"/>
        </w:rPr>
      </w:pPr>
      <w:r>
        <w:rPr>
          <w:rStyle w:val="19"/>
          <w:rFonts w:hint="eastAsia"/>
          <w:color w:val="auto"/>
          <w:highlight w:val="none"/>
        </w:rPr>
        <w:t>四、主要环境影响和保护措施</w:t>
      </w:r>
    </w:p>
    <w:tbl>
      <w:tblPr>
        <w:tblStyle w:val="15"/>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9"/>
        <w:gridCol w:w="85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449" w:type="dxa"/>
            <w:noWrap w:val="0"/>
            <w:tcMar>
              <w:left w:w="28" w:type="dxa"/>
              <w:right w:w="28" w:type="dxa"/>
            </w:tcMar>
            <w:vAlign w:val="center"/>
          </w:tcPr>
          <w:p>
            <w:pPr>
              <w:pStyle w:val="13"/>
              <w:adjustRightInd w:val="0"/>
              <w:snapToGrid w:val="0"/>
              <w:spacing w:before="0" w:beforeAutospacing="0" w:after="0" w:afterAutospacing="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施工</w:t>
            </w:r>
          </w:p>
          <w:p>
            <w:pPr>
              <w:pStyle w:val="13"/>
              <w:adjustRightInd w:val="0"/>
              <w:snapToGrid w:val="0"/>
              <w:spacing w:before="0" w:beforeAutospacing="0" w:after="0" w:afterAutospacing="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期环</w:t>
            </w:r>
          </w:p>
          <w:p>
            <w:pPr>
              <w:pStyle w:val="13"/>
              <w:adjustRightInd w:val="0"/>
              <w:snapToGrid w:val="0"/>
              <w:spacing w:before="0" w:beforeAutospacing="0" w:after="0" w:afterAutospacing="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境保</w:t>
            </w:r>
          </w:p>
          <w:p>
            <w:pPr>
              <w:pStyle w:val="13"/>
              <w:adjustRightInd w:val="0"/>
              <w:snapToGrid w:val="0"/>
              <w:spacing w:before="0" w:beforeAutospacing="0" w:after="0" w:afterAutospacing="0"/>
              <w:jc w:val="center"/>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护措</w:t>
            </w:r>
          </w:p>
          <w:p>
            <w:pPr>
              <w:pStyle w:val="13"/>
              <w:adjustRightInd w:val="0"/>
              <w:snapToGrid w:val="0"/>
              <w:spacing w:before="0" w:beforeAutospacing="0" w:after="0" w:afterAutospacing="0"/>
              <w:jc w:val="center"/>
              <w:rPr>
                <w:rFonts w:hint="eastAsia" w:cs="宋体"/>
                <w:bCs/>
                <w:color w:val="auto"/>
                <w:kern w:val="2"/>
                <w:sz w:val="21"/>
                <w:szCs w:val="21"/>
                <w:highlight w:val="none"/>
              </w:rPr>
            </w:pPr>
            <w:r>
              <w:rPr>
                <w:rFonts w:hint="eastAsia" w:ascii="宋体" w:hAnsi="宋体" w:eastAsia="宋体" w:cs="宋体"/>
                <w:bCs/>
                <w:color w:val="auto"/>
                <w:kern w:val="2"/>
                <w:sz w:val="21"/>
                <w:szCs w:val="21"/>
                <w:highlight w:val="none"/>
              </w:rPr>
              <w:t>施</w:t>
            </w:r>
          </w:p>
        </w:tc>
        <w:tc>
          <w:tcPr>
            <w:tcW w:w="8532" w:type="dxa"/>
            <w:noWrap w:val="0"/>
            <w:vAlign w:val="top"/>
          </w:tcPr>
          <w:p>
            <w:pPr>
              <w:spacing w:line="360" w:lineRule="auto"/>
              <w:ind w:firstLine="480" w:firstLineChars="20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1、施工期大气环境防治措施</w:t>
            </w:r>
          </w:p>
          <w:p>
            <w:pPr>
              <w:spacing w:line="360" w:lineRule="auto"/>
              <w:ind w:firstLine="480" w:firstLineChars="20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本项目施工期仅为设备安装和调试，不涉及土建工程，粉尘产生量较小，通过通风换气后对周边环境影响较小。</w:t>
            </w:r>
          </w:p>
          <w:p>
            <w:pPr>
              <w:spacing w:line="360" w:lineRule="auto"/>
              <w:ind w:firstLine="480" w:firstLineChars="20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2、施工期水环境防治措施</w:t>
            </w:r>
          </w:p>
          <w:p>
            <w:pPr>
              <w:spacing w:line="360" w:lineRule="auto"/>
              <w:ind w:firstLine="480" w:firstLineChars="20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生活污水依托</w:t>
            </w:r>
            <w:r>
              <w:rPr>
                <w:rFonts w:hint="eastAsia" w:cs="Times New Roman"/>
                <w:color w:val="auto"/>
                <w:kern w:val="0"/>
                <w:sz w:val="24"/>
                <w:lang w:val="en-US" w:eastAsia="zh-CN"/>
              </w:rPr>
              <w:t>周边居民</w:t>
            </w:r>
            <w:r>
              <w:rPr>
                <w:rFonts w:hint="eastAsia" w:ascii="Times New Roman" w:hAnsi="Times New Roman" w:eastAsia="宋体" w:cs="Times New Roman"/>
                <w:color w:val="auto"/>
                <w:kern w:val="0"/>
                <w:sz w:val="24"/>
                <w:lang w:val="en-US" w:eastAsia="zh-CN"/>
              </w:rPr>
              <w:t>已建生化池处理达《污水综合排放标准》(GB8978-1996)三级标准后排入市政污水管网，排入</w:t>
            </w:r>
            <w:r>
              <w:rPr>
                <w:rFonts w:hint="eastAsia" w:cs="Times New Roman"/>
                <w:color w:val="auto"/>
                <w:kern w:val="0"/>
                <w:sz w:val="24"/>
                <w:lang w:val="en-US" w:eastAsia="zh-CN"/>
              </w:rPr>
              <w:t>铜梁侣俸</w:t>
            </w:r>
            <w:r>
              <w:rPr>
                <w:rFonts w:hint="eastAsia" w:ascii="Times New Roman" w:hAnsi="Times New Roman" w:eastAsia="宋体" w:cs="Times New Roman"/>
                <w:color w:val="auto"/>
                <w:kern w:val="0"/>
                <w:sz w:val="24"/>
                <w:lang w:val="en-US" w:eastAsia="zh-CN"/>
              </w:rPr>
              <w:t>污水处理厂处理达</w:t>
            </w:r>
            <w:r>
              <w:rPr>
                <w:rFonts w:hint="eastAsia"/>
                <w:color w:val="auto"/>
                <w:kern w:val="0"/>
                <w:sz w:val="24"/>
                <w:szCs w:val="24"/>
                <w:highlight w:val="none"/>
                <w:lang w:val="en-US" w:eastAsia="zh-CN" w:bidi="ar"/>
              </w:rPr>
              <w:t>深度处理达</w:t>
            </w:r>
            <w:r>
              <w:rPr>
                <w:rFonts w:hint="eastAsia" w:ascii="Times New Roman" w:hAnsi="Times New Roman" w:eastAsia="宋体" w:cs="Times New Roman"/>
                <w:color w:val="auto"/>
                <w:sz w:val="24"/>
                <w:szCs w:val="24"/>
                <w:highlight w:val="none"/>
                <w:lang w:val="en-US" w:eastAsia="zh-CN"/>
              </w:rPr>
              <w:t>《城镇污水处理厂污染物排放标准》（GB18918-2002）一级</w:t>
            </w:r>
            <w:r>
              <w:rPr>
                <w:rFonts w:hint="eastAsia" w:cs="Times New Roman"/>
                <w:color w:val="auto"/>
                <w:sz w:val="24"/>
                <w:szCs w:val="24"/>
                <w:highlight w:val="none"/>
                <w:lang w:val="en-US" w:eastAsia="zh-CN"/>
              </w:rPr>
              <w:t>B</w:t>
            </w:r>
            <w:r>
              <w:rPr>
                <w:rFonts w:hint="eastAsia" w:ascii="Times New Roman" w:hAnsi="Times New Roman" w:eastAsia="宋体" w:cs="Times New Roman"/>
                <w:color w:val="auto"/>
                <w:sz w:val="24"/>
                <w:szCs w:val="24"/>
                <w:highlight w:val="none"/>
                <w:lang w:val="en-US" w:eastAsia="zh-CN"/>
              </w:rPr>
              <w:t>标</w:t>
            </w:r>
            <w:r>
              <w:rPr>
                <w:rFonts w:hint="eastAsia"/>
                <w:color w:val="auto"/>
                <w:kern w:val="0"/>
                <w:sz w:val="24"/>
                <w:szCs w:val="24"/>
                <w:highlight w:val="none"/>
                <w:lang w:val="en-US" w:eastAsia="zh-CN" w:bidi="ar"/>
              </w:rPr>
              <w:t>后排入侣俸河</w:t>
            </w:r>
            <w:r>
              <w:rPr>
                <w:rFonts w:hint="eastAsia" w:ascii="Times New Roman" w:hAnsi="Times New Roman" w:eastAsia="宋体" w:cs="Times New Roman"/>
                <w:color w:val="auto"/>
                <w:kern w:val="0"/>
                <w:sz w:val="24"/>
                <w:lang w:val="en-US" w:eastAsia="zh-CN"/>
              </w:rPr>
              <w:t>。</w:t>
            </w:r>
          </w:p>
          <w:p>
            <w:pPr>
              <w:spacing w:line="360" w:lineRule="auto"/>
              <w:ind w:firstLine="480" w:firstLineChars="20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3、施工期噪声防治措施</w:t>
            </w:r>
          </w:p>
          <w:p>
            <w:pPr>
              <w:spacing w:line="360" w:lineRule="auto"/>
              <w:ind w:firstLine="480" w:firstLineChars="20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①优选低噪声机械设备，同时在施工过程中施工单位应设专人对设备进行定期保养和维护，并负责对现场工作人员进行培训，严格按操作规范使用各类机械。</w:t>
            </w:r>
          </w:p>
          <w:p>
            <w:pPr>
              <w:spacing w:line="360" w:lineRule="auto"/>
              <w:ind w:firstLine="480" w:firstLineChars="20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②合理安排作业时间：施工方应合理安排施工时间，高强度噪声作业尽量安排在白天进行，避免中午（12：00时～14：00时）施工，禁止夜间（22：00时～次日 6：00时）高声源施工噪声扰民。</w:t>
            </w:r>
          </w:p>
          <w:p>
            <w:pPr>
              <w:spacing w:line="360" w:lineRule="auto"/>
              <w:ind w:firstLine="480" w:firstLineChars="20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③材料装卸采用人工传递，严禁抛掷或汽车一次性下料。</w:t>
            </w:r>
          </w:p>
          <w:p>
            <w:pPr>
              <w:spacing w:line="360" w:lineRule="auto"/>
              <w:ind w:firstLine="480" w:firstLineChars="20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④加强车辆管理，控制车辆噪声，昼间进行材料、弃渣等运输，并避开休息时段，运输车辆进入现场应减速，并减少鸣笛，减轻交通噪声对周边环境的影响。</w:t>
            </w:r>
          </w:p>
          <w:p>
            <w:pPr>
              <w:spacing w:line="360" w:lineRule="auto"/>
              <w:ind w:firstLine="480" w:firstLineChars="20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⑤提倡文明施工，对人为活动噪声应有管理制度，特别是要杜绝人为敲打、叫嚷、野蛮装卸噪声等现象，增强全体施工人员防噪声扰民的自觉意识，尽量减少人为大声喧哗，最大限度地减少噪声扰民。</w:t>
            </w:r>
          </w:p>
          <w:p>
            <w:pPr>
              <w:spacing w:line="360" w:lineRule="auto"/>
              <w:ind w:firstLine="480" w:firstLineChars="20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采取上述措施后，加之经墙体阻隔，可有效防止发生噪声扰民现象出现。施工期噪声对周围企业将造成一定的影响，但是施工噪声影响是暂时的，设施期应做到合理安排施工时间、精心布局和文明施工，严格按照《建筑施工场界环境噪声排放标准》(GBl2523-2011)进行控制，施工噪声将随着施工期的结束而消失，在采取上述噪声防治措施后，项目施工噪声对评价范围内声环境影响将降到最低。</w:t>
            </w:r>
          </w:p>
          <w:p>
            <w:pPr>
              <w:spacing w:line="360" w:lineRule="auto"/>
              <w:ind w:firstLine="480" w:firstLineChars="20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4、施工期固体废物防治措施</w:t>
            </w:r>
          </w:p>
          <w:p>
            <w:pPr>
              <w:spacing w:line="360" w:lineRule="auto"/>
              <w:ind w:firstLine="480" w:firstLineChars="200"/>
              <w:rPr>
                <w:rFonts w:hint="default"/>
                <w:color w:val="auto"/>
                <w:sz w:val="24"/>
                <w:highlight w:val="none"/>
                <w:lang w:val="en-US"/>
              </w:rPr>
            </w:pPr>
            <w:r>
              <w:rPr>
                <w:rFonts w:hint="eastAsia" w:ascii="Times New Roman" w:hAnsi="Times New Roman" w:eastAsia="宋体" w:cs="Times New Roman"/>
                <w:color w:val="auto"/>
                <w:kern w:val="0"/>
                <w:sz w:val="24"/>
                <w:lang w:val="en-US" w:eastAsia="zh-CN"/>
              </w:rPr>
              <w:t>本项目施工期产生的固体废弃物为废包装材料和工人生活垃圾，施工过程中产生的废包材量较小，外售废品回收站处置；施工人员及管理人员约6人，产生的生活垃圾由环卫部门统一进行处理，对周围环境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449" w:type="dxa"/>
            <w:noWrap w:val="0"/>
            <w:tcMar>
              <w:left w:w="28" w:type="dxa"/>
              <w:right w:w="28" w:type="dxa"/>
            </w:tcMar>
            <w:vAlign w:val="center"/>
          </w:tcPr>
          <w:p>
            <w:pPr>
              <w:pStyle w:val="13"/>
              <w:adjustRightInd w:val="0"/>
              <w:snapToGrid w:val="0"/>
              <w:spacing w:before="0" w:beforeAutospacing="0" w:after="0" w:afterAutospacing="0"/>
              <w:jc w:val="center"/>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运营期环境影响和保护措施</w:t>
            </w:r>
          </w:p>
        </w:tc>
        <w:tc>
          <w:tcPr>
            <w:tcW w:w="8532" w:type="dxa"/>
            <w:noWrap w:val="0"/>
            <w:vAlign w:val="top"/>
          </w:tcPr>
          <w:p>
            <w:pPr>
              <w:spacing w:line="360" w:lineRule="auto"/>
              <w:ind w:firstLine="480" w:firstLineChars="200"/>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1、运营期大气环境影响和保护措施</w:t>
            </w:r>
          </w:p>
          <w:p>
            <w:pPr>
              <w:spacing w:line="360" w:lineRule="auto"/>
              <w:ind w:firstLine="480" w:firstLineChars="20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（1）污染工序及源强分析</w:t>
            </w:r>
          </w:p>
          <w:p>
            <w:pPr>
              <w:spacing w:line="360" w:lineRule="auto"/>
              <w:ind w:firstLine="480" w:firstLineChars="200"/>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项目生产过程中产生的大气污染物主要为熔融挤塑过程产生的挤塑废气及吸塑废气。</w:t>
            </w:r>
          </w:p>
          <w:p>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①挤塑废气</w:t>
            </w:r>
          </w:p>
          <w:p>
            <w:pPr>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项目塑料颗粒在挤塑时会产生少量有机废气。经查阅资料，</w:t>
            </w:r>
            <w:r>
              <w:rPr>
                <w:rFonts w:hint="eastAsia" w:ascii="Times New Roman" w:hAnsi="Times New Roman" w:eastAsia="宋体" w:cs="Times New Roman"/>
                <w:color w:val="auto"/>
                <w:sz w:val="24"/>
                <w:highlight w:val="none"/>
                <w:shd w:val="clear" w:color="auto" w:fill="auto"/>
                <w:lang w:val="en-US" w:eastAsia="zh-CN"/>
              </w:rPr>
              <w:t>PP</w:t>
            </w:r>
            <w:r>
              <w:rPr>
                <w:rFonts w:hint="default" w:ascii="Times New Roman" w:hAnsi="Times New Roman" w:eastAsia="宋体" w:cs="Times New Roman"/>
                <w:color w:val="auto"/>
                <w:sz w:val="24"/>
                <w:highlight w:val="none"/>
                <w:shd w:val="clear" w:color="auto" w:fill="auto"/>
              </w:rPr>
              <w:t>的分解温度在350℃左右。</w:t>
            </w:r>
            <w:r>
              <w:rPr>
                <w:rFonts w:hint="eastAsia" w:ascii="Times New Roman" w:hAnsi="Times New Roman" w:eastAsia="宋体" w:cs="Times New Roman"/>
                <w:color w:val="auto"/>
                <w:kern w:val="0"/>
                <w:sz w:val="24"/>
                <w:highlight w:val="none"/>
                <w:lang w:val="en-US" w:eastAsia="zh-CN"/>
              </w:rPr>
              <w:t>项目熔融加热时，温度控制在240</w:t>
            </w:r>
            <w:r>
              <w:rPr>
                <w:rFonts w:hint="default" w:ascii="Times New Roman" w:hAnsi="Times New Roman"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以下，低于</w:t>
            </w:r>
            <w:r>
              <w:rPr>
                <w:rFonts w:hint="eastAsia" w:cs="Times New Roman"/>
                <w:color w:val="auto"/>
                <w:kern w:val="0"/>
                <w:sz w:val="24"/>
                <w:highlight w:val="none"/>
                <w:lang w:val="en-US" w:eastAsia="zh-CN"/>
              </w:rPr>
              <w:t>PP</w:t>
            </w:r>
            <w:r>
              <w:rPr>
                <w:rFonts w:hint="eastAsia" w:ascii="Times New Roman" w:hAnsi="Times New Roman" w:eastAsia="宋体" w:cs="Times New Roman"/>
                <w:color w:val="auto"/>
                <w:kern w:val="0"/>
                <w:sz w:val="24"/>
                <w:highlight w:val="none"/>
                <w:lang w:val="en-US" w:eastAsia="zh-CN"/>
              </w:rPr>
              <w:t>塑料颗粒的分解温度，不会导致塑料颗粒的分解，一般情况下不会产生塑料颗粒焦炭链焦化气体。但在加热、挤压作用下，原材料内分子键在剪切挤压下会发生断裂，产生游离单体，形成有机废气（以非甲烷总烃计）。</w:t>
            </w:r>
          </w:p>
          <w:p>
            <w:pPr>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同时注塑过程因局部受热不均、单体分布不均等原因，会产生少量气溶胶（表征为颗粒物）产生。气溶胶（表征为颗粒物）仅在</w:t>
            </w:r>
            <w:r>
              <w:rPr>
                <w:rFonts w:hint="eastAsia" w:ascii="Times New Roman" w:hAnsi="Times New Roman" w:eastAsia="宋体" w:cs="Times New Roman"/>
                <w:color w:val="auto"/>
                <w:kern w:val="0"/>
                <w:sz w:val="24"/>
                <w:highlight w:val="none"/>
                <w:lang w:val="en-US" w:eastAsia="zh-CN"/>
              </w:rPr>
              <w:t>片材机及打杯机内部</w:t>
            </w:r>
            <w:r>
              <w:rPr>
                <w:rFonts w:hint="default" w:ascii="Times New Roman" w:hAnsi="Times New Roman" w:eastAsia="宋体" w:cs="Times New Roman"/>
                <w:color w:val="auto"/>
                <w:kern w:val="0"/>
                <w:sz w:val="24"/>
                <w:highlight w:val="none"/>
                <w:lang w:val="en-US" w:eastAsia="zh-CN"/>
              </w:rPr>
              <w:t>局部受热不均情况下产生，根据《合成树脂行业废气的环境影响评价方法分析》([3]王海玥，李厦</w:t>
            </w: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合成树脂行业废气的环境影响评价方法分析[J].环境</w:t>
            </w:r>
            <w:r>
              <w:rPr>
                <w:rFonts w:hint="eastAsia" w:ascii="Times New Roman" w:hAnsi="Times New Roman" w:eastAsia="宋体" w:cs="Times New Roman"/>
                <w:color w:val="auto"/>
                <w:kern w:val="0"/>
                <w:sz w:val="24"/>
                <w:highlight w:val="none"/>
                <w:lang w:val="en-US" w:eastAsia="zh-CN"/>
              </w:rPr>
              <w:t>与发</w:t>
            </w:r>
            <w:r>
              <w:rPr>
                <w:rFonts w:hint="default" w:ascii="Times New Roman" w:hAnsi="Times New Roman" w:eastAsia="宋体" w:cs="Times New Roman"/>
                <w:color w:val="auto"/>
                <w:kern w:val="0"/>
                <w:sz w:val="24"/>
                <w:highlight w:val="none"/>
                <w:lang w:val="en-US" w:eastAsia="zh-CN"/>
              </w:rPr>
              <w:t>展</w:t>
            </w: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2020,32(12):14-15.)，合成树脂行业颗粒物主要源于破碎、过筛等工艺，本次评价不针对</w:t>
            </w:r>
            <w:r>
              <w:rPr>
                <w:rFonts w:hint="eastAsia" w:ascii="Times New Roman" w:hAnsi="Times New Roman" w:eastAsia="宋体" w:cs="Times New Roman"/>
                <w:color w:val="auto"/>
                <w:kern w:val="0"/>
                <w:sz w:val="24"/>
                <w:highlight w:val="none"/>
                <w:lang w:val="en-US" w:eastAsia="zh-CN"/>
              </w:rPr>
              <w:t>挤塑</w:t>
            </w:r>
            <w:r>
              <w:rPr>
                <w:rFonts w:hint="default" w:ascii="Times New Roman" w:hAnsi="Times New Roman" w:eastAsia="宋体" w:cs="Times New Roman"/>
                <w:color w:val="auto"/>
                <w:kern w:val="0"/>
                <w:sz w:val="24"/>
                <w:highlight w:val="none"/>
                <w:lang w:val="en-US" w:eastAsia="zh-CN"/>
              </w:rPr>
              <w:t>过程中产生的气溶胶（表征为颗粒物）做定量计算，仅提出相应管理要求及达标排放要求：运营期设备定期保养，操作过程若发现局部过热情况立即停止生产进行设备检修。颗粒物达《合成树脂工业污染物排放标准》（GB31572-2015）排放限值要求。</w:t>
            </w:r>
          </w:p>
          <w:p>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本次评价</w:t>
            </w:r>
            <w:r>
              <w:rPr>
                <w:rFonts w:hint="eastAsia" w:ascii="Times New Roman" w:hAnsi="Times New Roman" w:eastAsia="宋体" w:cs="Times New Roman"/>
                <w:color w:val="auto"/>
                <w:kern w:val="0"/>
                <w:sz w:val="24"/>
                <w:highlight w:val="none"/>
                <w:lang w:val="en-US" w:eastAsia="zh-CN"/>
              </w:rPr>
              <w:t>参考</w:t>
            </w:r>
            <w:r>
              <w:rPr>
                <w:rFonts w:hint="default" w:ascii="Times New Roman" w:hAnsi="Times New Roman" w:eastAsia="宋体" w:cs="Times New Roman"/>
                <w:color w:val="auto"/>
                <w:kern w:val="0"/>
                <w:sz w:val="24"/>
                <w:highlight w:val="none"/>
                <w:lang w:val="en-US" w:eastAsia="zh-CN"/>
              </w:rPr>
              <w:t>《第二次全国污染源普查工业污染源产排污系数手册》</w:t>
            </w:r>
            <w:r>
              <w:rPr>
                <w:rFonts w:hint="eastAsia" w:ascii="Times New Roman" w:hAnsi="Times New Roman" w:eastAsia="宋体" w:cs="Times New Roman"/>
                <w:color w:val="auto"/>
                <w:kern w:val="0"/>
                <w:sz w:val="24"/>
                <w:highlight w:val="none"/>
                <w:lang w:val="en-US" w:eastAsia="zh-CN"/>
              </w:rPr>
              <w:t>292</w:t>
            </w:r>
            <w:r>
              <w:rPr>
                <w:rFonts w:hint="eastAsia" w:cs="Times New Roman"/>
                <w:color w:val="auto"/>
                <w:kern w:val="0"/>
                <w:sz w:val="24"/>
                <w:highlight w:val="none"/>
                <w:lang w:val="en-US" w:eastAsia="zh-CN"/>
              </w:rPr>
              <w:t>6</w:t>
            </w:r>
            <w:r>
              <w:rPr>
                <w:rFonts w:hint="eastAsia" w:ascii="Times New Roman" w:hAnsi="Times New Roman" w:eastAsia="宋体" w:cs="Times New Roman"/>
                <w:color w:val="auto"/>
                <w:kern w:val="0"/>
                <w:sz w:val="24"/>
                <w:highlight w:val="none"/>
                <w:lang w:val="en-US" w:eastAsia="zh-CN"/>
              </w:rPr>
              <w:t xml:space="preserve"> 塑料</w:t>
            </w:r>
            <w:r>
              <w:rPr>
                <w:rFonts w:hint="eastAsia" w:cs="Times New Roman"/>
                <w:color w:val="auto"/>
                <w:kern w:val="0"/>
                <w:sz w:val="24"/>
                <w:highlight w:val="none"/>
                <w:lang w:val="en-US" w:eastAsia="zh-CN"/>
              </w:rPr>
              <w:t>包装箱及容器制造行业系数表</w:t>
            </w:r>
            <w:r>
              <w:rPr>
                <w:rFonts w:hint="default" w:ascii="Times New Roman" w:hAnsi="Times New Roman"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塑料</w:t>
            </w:r>
            <w:r>
              <w:rPr>
                <w:rFonts w:hint="eastAsia" w:cs="Times New Roman"/>
                <w:color w:val="auto"/>
                <w:kern w:val="0"/>
                <w:sz w:val="24"/>
                <w:highlight w:val="none"/>
                <w:lang w:val="en-US" w:eastAsia="zh-CN"/>
              </w:rPr>
              <w:t>包装箱及容器</w:t>
            </w:r>
            <w:r>
              <w:rPr>
                <w:rFonts w:hint="default" w:ascii="Times New Roman" w:hAnsi="Times New Roman" w:eastAsia="宋体" w:cs="Times New Roman"/>
                <w:color w:val="auto"/>
                <w:kern w:val="0"/>
                <w:sz w:val="24"/>
                <w:highlight w:val="none"/>
                <w:lang w:val="en-US" w:eastAsia="zh-CN"/>
              </w:rPr>
              <w:t>：配料-混合-挤出</w:t>
            </w: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注</w:t>
            </w:r>
            <w:r>
              <w:rPr>
                <w:rFonts w:hint="eastAsia" w:cs="Times New Roman"/>
                <w:color w:val="auto"/>
                <w:kern w:val="0"/>
                <w:sz w:val="24"/>
                <w:highlight w:val="none"/>
                <w:lang w:val="en-US" w:eastAsia="zh-CN"/>
              </w:rPr>
              <w:t>（吹）</w:t>
            </w:r>
            <w:r>
              <w:rPr>
                <w:rFonts w:hint="default" w:ascii="Times New Roman" w:hAnsi="Times New Roman" w:eastAsia="宋体" w:cs="Times New Roman"/>
                <w:color w:val="auto"/>
                <w:kern w:val="0"/>
                <w:sz w:val="24"/>
                <w:highlight w:val="none"/>
                <w:lang w:val="en-US" w:eastAsia="zh-CN"/>
              </w:rPr>
              <w:t>塑工序</w:t>
            </w: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产污系数为2.7kg/t</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产品进行核算。</w:t>
            </w:r>
            <w:r>
              <w:rPr>
                <w:rFonts w:hint="eastAsia" w:ascii="Times New Roman" w:hAnsi="Times New Roman" w:eastAsia="宋体" w:cs="Times New Roman"/>
                <w:color w:val="auto"/>
                <w:kern w:val="0"/>
                <w:sz w:val="24"/>
                <w:highlight w:val="none"/>
                <w:lang w:val="en-US" w:eastAsia="zh-CN"/>
              </w:rPr>
              <w:t>根据建设单位提供产品参数，</w:t>
            </w:r>
            <w:r>
              <w:rPr>
                <w:rFonts w:hint="default" w:ascii="Times New Roman" w:hAnsi="Times New Roman" w:eastAsia="宋体" w:cs="Times New Roman"/>
                <w:color w:val="auto"/>
                <w:kern w:val="0"/>
                <w:sz w:val="24"/>
                <w:highlight w:val="none"/>
                <w:lang w:val="en-US" w:eastAsia="zh-CN"/>
              </w:rPr>
              <w:t>项目年产</w:t>
            </w:r>
            <w:r>
              <w:rPr>
                <w:rFonts w:hint="eastAsia" w:cs="Times New Roman"/>
                <w:color w:val="auto"/>
                <w:kern w:val="0"/>
                <w:sz w:val="24"/>
                <w:highlight w:val="none"/>
                <w:lang w:val="en-US" w:eastAsia="zh-CN"/>
              </w:rPr>
              <w:t>塑料打包盒及塑料杯约138t，</w:t>
            </w:r>
            <w:r>
              <w:rPr>
                <w:rFonts w:hint="default" w:ascii="Times New Roman" w:hAnsi="Times New Roman" w:eastAsia="宋体" w:cs="Times New Roman"/>
                <w:color w:val="auto"/>
                <w:kern w:val="0"/>
                <w:sz w:val="24"/>
                <w:highlight w:val="none"/>
                <w:lang w:val="en-US" w:eastAsia="zh-CN"/>
              </w:rPr>
              <w:t>则非甲烷总烃产生量</w:t>
            </w:r>
            <w:r>
              <w:rPr>
                <w:rFonts w:hint="eastAsia" w:ascii="Times New Roman" w:hAnsi="Times New Roman" w:eastAsia="宋体" w:cs="Times New Roman"/>
                <w:color w:val="auto"/>
                <w:kern w:val="0"/>
                <w:sz w:val="24"/>
                <w:highlight w:val="none"/>
                <w:lang w:val="en-US" w:eastAsia="zh-CN"/>
              </w:rPr>
              <w:t>约</w:t>
            </w:r>
            <w:r>
              <w:rPr>
                <w:rFonts w:hint="default" w:ascii="Times New Roman" w:hAnsi="Times New Roman" w:eastAsia="宋体" w:cs="Times New Roman"/>
                <w:color w:val="auto"/>
                <w:kern w:val="0"/>
                <w:sz w:val="24"/>
                <w:highlight w:val="none"/>
                <w:lang w:val="en-US" w:eastAsia="zh-CN"/>
              </w:rPr>
              <w:t>为</w:t>
            </w:r>
            <w:r>
              <w:rPr>
                <w:rFonts w:hint="eastAsia" w:ascii="Times New Roman" w:hAnsi="Times New Roman" w:eastAsia="宋体" w:cs="Times New Roman"/>
                <w:color w:val="auto"/>
                <w:kern w:val="0"/>
                <w:sz w:val="24"/>
                <w:highlight w:val="none"/>
                <w:lang w:val="en-US" w:eastAsia="zh-CN"/>
              </w:rPr>
              <w:t>0.373</w:t>
            </w:r>
            <w:r>
              <w:rPr>
                <w:rFonts w:hint="default" w:ascii="Times New Roman" w:hAnsi="Times New Roman" w:eastAsia="宋体" w:cs="Times New Roman"/>
                <w:color w:val="auto"/>
                <w:kern w:val="0"/>
                <w:sz w:val="24"/>
                <w:highlight w:val="none"/>
                <w:lang w:val="en-US" w:eastAsia="zh-CN"/>
              </w:rPr>
              <w:t>t/a</w:t>
            </w:r>
            <w:r>
              <w:rPr>
                <w:rFonts w:hint="eastAsia" w:ascii="Times New Roman" w:hAnsi="Times New Roman" w:eastAsia="宋体" w:cs="Times New Roman"/>
                <w:color w:val="auto"/>
                <w:kern w:val="0"/>
                <w:sz w:val="24"/>
                <w:highlight w:val="none"/>
                <w:lang w:val="en-US" w:eastAsia="zh-CN"/>
              </w:rPr>
              <w:t>。根据建设单位提供资料，熔融挤塑工序年工作时间约</w:t>
            </w:r>
            <w:r>
              <w:rPr>
                <w:rFonts w:hint="eastAsia" w:cs="Times New Roman"/>
                <w:color w:val="auto"/>
                <w:kern w:val="0"/>
                <w:sz w:val="24"/>
                <w:highlight w:val="none"/>
                <w:lang w:val="en-US" w:eastAsia="zh-CN"/>
              </w:rPr>
              <w:t>2080</w:t>
            </w:r>
            <w:r>
              <w:rPr>
                <w:rFonts w:hint="eastAsia" w:ascii="Times New Roman" w:hAnsi="Times New Roman" w:eastAsia="宋体" w:cs="Times New Roman"/>
                <w:color w:val="auto"/>
                <w:kern w:val="0"/>
                <w:sz w:val="24"/>
                <w:highlight w:val="none"/>
                <w:lang w:val="en-US" w:eastAsia="zh-CN"/>
              </w:rPr>
              <w:t>h。</w:t>
            </w:r>
            <w:r>
              <w:rPr>
                <w:rFonts w:hint="eastAsia" w:cs="Times New Roman"/>
                <w:color w:val="auto"/>
                <w:kern w:val="0"/>
                <w:sz w:val="24"/>
                <w:highlight w:val="none"/>
                <w:lang w:val="en-US" w:eastAsia="zh-CN"/>
              </w:rPr>
              <w:t>项目共设置2台片材机，设备同时运行情况下，设备小时最大产能为84kg/h，则挤塑废气最大产生速率为0.227kg/h。</w:t>
            </w:r>
          </w:p>
          <w:p>
            <w:pPr>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项目在</w:t>
            </w:r>
            <w:r>
              <w:rPr>
                <w:rFonts w:hint="eastAsia" w:cs="Times New Roman"/>
                <w:color w:val="auto"/>
                <w:kern w:val="0"/>
                <w:sz w:val="24"/>
                <w:highlight w:val="none"/>
                <w:lang w:val="en-US" w:eastAsia="zh-CN"/>
              </w:rPr>
              <w:t>片材机</w:t>
            </w:r>
            <w:r>
              <w:rPr>
                <w:rFonts w:hint="eastAsia" w:ascii="Times New Roman" w:hAnsi="Times New Roman" w:eastAsia="宋体" w:cs="Times New Roman"/>
                <w:color w:val="auto"/>
                <w:kern w:val="0"/>
                <w:sz w:val="24"/>
                <w:highlight w:val="none"/>
                <w:lang w:val="en-US" w:eastAsia="zh-CN"/>
              </w:rPr>
              <w:t>上方</w:t>
            </w:r>
            <w:r>
              <w:rPr>
                <w:rFonts w:hint="default" w:ascii="Times New Roman" w:hAnsi="Times New Roman" w:eastAsia="宋体" w:cs="Times New Roman"/>
                <w:color w:val="auto"/>
                <w:kern w:val="0"/>
                <w:sz w:val="24"/>
                <w:highlight w:val="none"/>
                <w:lang w:val="en-US" w:eastAsia="zh-CN"/>
              </w:rPr>
              <w:t>设置集气</w:t>
            </w:r>
            <w:r>
              <w:rPr>
                <w:rFonts w:hint="eastAsia" w:ascii="Times New Roman" w:hAnsi="Times New Roman" w:eastAsia="宋体" w:cs="Times New Roman"/>
                <w:color w:val="auto"/>
                <w:kern w:val="0"/>
                <w:sz w:val="24"/>
                <w:highlight w:val="none"/>
                <w:lang w:val="en-US" w:eastAsia="zh-CN"/>
              </w:rPr>
              <w:t>罩</w:t>
            </w:r>
            <w:r>
              <w:rPr>
                <w:rFonts w:hint="default" w:ascii="Times New Roman" w:hAnsi="Times New Roman" w:eastAsia="宋体" w:cs="Times New Roman"/>
                <w:color w:val="auto"/>
                <w:kern w:val="0"/>
                <w:sz w:val="24"/>
                <w:highlight w:val="none"/>
                <w:lang w:val="en-US" w:eastAsia="zh-CN"/>
              </w:rPr>
              <w:t>对有机废气进行收集，收集后的有机废气</w:t>
            </w:r>
            <w:r>
              <w:rPr>
                <w:rFonts w:hint="eastAsia" w:ascii="Times New Roman" w:hAnsi="Times New Roman" w:eastAsia="宋体" w:cs="Times New Roman"/>
                <w:color w:val="auto"/>
                <w:kern w:val="0"/>
                <w:sz w:val="24"/>
                <w:highlight w:val="none"/>
                <w:lang w:val="en-US" w:eastAsia="zh-CN"/>
              </w:rPr>
              <w:t>与吸塑废气共用</w:t>
            </w:r>
            <w:r>
              <w:rPr>
                <w:rFonts w:hint="eastAsia" w:cs="Times New Roman"/>
                <w:color w:val="auto"/>
                <w:kern w:val="0"/>
                <w:sz w:val="24"/>
                <w:highlight w:val="none"/>
                <w:lang w:val="en-US" w:eastAsia="zh-CN"/>
              </w:rPr>
              <w:t>一套</w:t>
            </w:r>
            <w:r>
              <w:rPr>
                <w:rFonts w:hint="eastAsia" w:ascii="Times New Roman" w:hAnsi="Times New Roman" w:eastAsia="宋体" w:cs="Times New Roman"/>
                <w:color w:val="auto"/>
                <w:kern w:val="0"/>
                <w:sz w:val="24"/>
                <w:highlight w:val="none"/>
                <w:lang w:val="en-US" w:eastAsia="zh-CN"/>
              </w:rPr>
              <w:t>“过滤棉+UV</w:t>
            </w:r>
            <w:r>
              <w:rPr>
                <w:rFonts w:hint="eastAsia" w:cs="Times New Roman"/>
                <w:color w:val="auto"/>
                <w:kern w:val="0"/>
                <w:sz w:val="24"/>
                <w:highlight w:val="none"/>
                <w:lang w:val="en-US" w:eastAsia="zh-CN"/>
              </w:rPr>
              <w:t>光解</w:t>
            </w:r>
            <w:r>
              <w:rPr>
                <w:rFonts w:hint="eastAsia" w:ascii="Times New Roman" w:hAnsi="Times New Roman" w:eastAsia="宋体" w:cs="Times New Roman"/>
                <w:color w:val="auto"/>
                <w:kern w:val="0"/>
                <w:sz w:val="24"/>
                <w:highlight w:val="none"/>
                <w:lang w:val="en-US" w:eastAsia="zh-CN"/>
              </w:rPr>
              <w:t>+两级活性炭吸附”</w:t>
            </w:r>
            <w:r>
              <w:rPr>
                <w:rFonts w:hint="default" w:ascii="Times New Roman" w:hAnsi="Times New Roman" w:eastAsia="宋体" w:cs="Times New Roman"/>
                <w:color w:val="auto"/>
                <w:kern w:val="0"/>
                <w:sz w:val="24"/>
                <w:highlight w:val="none"/>
                <w:lang w:val="en-US" w:eastAsia="zh-CN"/>
              </w:rPr>
              <w:t>装置处理后</w:t>
            </w:r>
            <w:r>
              <w:rPr>
                <w:rFonts w:hint="eastAsia" w:ascii="Times New Roman" w:hAnsi="Times New Roman" w:eastAsia="宋体" w:cs="Times New Roman"/>
                <w:color w:val="auto"/>
                <w:kern w:val="0"/>
                <w:sz w:val="24"/>
                <w:highlight w:val="none"/>
                <w:lang w:val="en-US" w:eastAsia="zh-CN"/>
              </w:rPr>
              <w:t>通过15m高排气筒</w:t>
            </w:r>
            <w:r>
              <w:rPr>
                <w:rFonts w:hint="default" w:ascii="Times New Roman" w:hAnsi="Times New Roman" w:eastAsia="宋体" w:cs="Times New Roman"/>
                <w:color w:val="auto"/>
                <w:kern w:val="0"/>
                <w:sz w:val="24"/>
                <w:highlight w:val="none"/>
                <w:lang w:val="en-US" w:eastAsia="zh-CN"/>
              </w:rPr>
              <w:t>排放</w:t>
            </w:r>
            <w:r>
              <w:rPr>
                <w:rFonts w:hint="eastAsia" w:ascii="Times New Roman" w:hAnsi="Times New Roman" w:eastAsia="宋体" w:cs="Times New Roman"/>
                <w:color w:val="auto"/>
                <w:kern w:val="0"/>
                <w:sz w:val="24"/>
                <w:highlight w:val="none"/>
                <w:lang w:val="en-US" w:eastAsia="zh-CN"/>
              </w:rPr>
              <w:t>。收集效率以70%计，有机废气（非甲烷总烃）合计</w:t>
            </w:r>
            <w:r>
              <w:rPr>
                <w:rFonts w:hint="default" w:ascii="Times New Roman" w:hAnsi="Times New Roman" w:eastAsia="宋体" w:cs="Times New Roman"/>
                <w:color w:val="auto"/>
                <w:kern w:val="0"/>
                <w:sz w:val="24"/>
                <w:highlight w:val="none"/>
                <w:lang w:val="en-US" w:eastAsia="zh-CN"/>
              </w:rPr>
              <w:t>处理效率以</w:t>
            </w:r>
            <w:r>
              <w:rPr>
                <w:rFonts w:hint="eastAsia" w:cs="Times New Roman"/>
                <w:color w:val="auto"/>
                <w:kern w:val="0"/>
                <w:sz w:val="24"/>
                <w:highlight w:val="none"/>
                <w:lang w:val="en-US" w:eastAsia="zh-CN"/>
              </w:rPr>
              <w:t>91</w:t>
            </w:r>
            <w:r>
              <w:rPr>
                <w:rFonts w:hint="default" w:ascii="Times New Roman" w:hAnsi="Times New Roman" w:eastAsia="宋体" w:cs="Times New Roman"/>
                <w:color w:val="auto"/>
                <w:kern w:val="0"/>
                <w:sz w:val="24"/>
                <w:highlight w:val="none"/>
                <w:lang w:val="en-US" w:eastAsia="zh-CN"/>
              </w:rPr>
              <w:t>%计</w:t>
            </w:r>
            <w:r>
              <w:rPr>
                <w:rFonts w:hint="eastAsia" w:cs="Times New Roman"/>
                <w:color w:val="auto"/>
                <w:kern w:val="0"/>
                <w:sz w:val="24"/>
                <w:highlight w:val="none"/>
                <w:lang w:val="en-US" w:eastAsia="zh-CN"/>
              </w:rPr>
              <w:t>（其中UV光解处理效率约30%，第一级活性炭处理效率约60%，第二级活性炭处理效率约68%，有机废气合计处理效率约91%）</w:t>
            </w:r>
            <w:r>
              <w:rPr>
                <w:rFonts w:hint="eastAsia" w:ascii="Times New Roman" w:hAnsi="Times New Roman" w:eastAsia="宋体" w:cs="Times New Roman"/>
                <w:color w:val="auto"/>
                <w:kern w:val="0"/>
                <w:sz w:val="24"/>
                <w:highlight w:val="none"/>
                <w:lang w:val="en-US" w:eastAsia="zh-CN"/>
              </w:rPr>
              <w:t>。</w:t>
            </w:r>
          </w:p>
          <w:p>
            <w:pPr>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项目在</w:t>
            </w:r>
            <w:r>
              <w:rPr>
                <w:rFonts w:hint="eastAsia" w:cs="Times New Roman"/>
                <w:color w:val="auto"/>
                <w:kern w:val="0"/>
                <w:sz w:val="24"/>
                <w:highlight w:val="none"/>
                <w:lang w:val="en-US" w:eastAsia="zh-CN"/>
              </w:rPr>
              <w:t>片材机</w:t>
            </w:r>
            <w:r>
              <w:rPr>
                <w:rFonts w:hint="eastAsia" w:ascii="Times New Roman" w:hAnsi="Times New Roman" w:eastAsia="宋体" w:cs="Times New Roman"/>
                <w:color w:val="auto"/>
                <w:kern w:val="0"/>
                <w:sz w:val="24"/>
                <w:highlight w:val="none"/>
                <w:lang w:val="en-US" w:eastAsia="zh-CN"/>
              </w:rPr>
              <w:t>上方设置顶吸式集气罩对废气进行收集，根据简明通风设计手册，上吸式集气罩抽风量计算公式如下：</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color w:val="auto"/>
                <w:sz w:val="24"/>
                <w:szCs w:val="24"/>
                <w:highlight w:val="none"/>
                <w:lang w:val="en-US" w:eastAsia="zh-CN"/>
              </w:rPr>
            </w:pPr>
            <w:r>
              <w:rPr>
                <w:rFonts w:hint="eastAsia"/>
                <w:color w:val="auto"/>
                <w:sz w:val="24"/>
                <w:szCs w:val="24"/>
                <w:highlight w:val="none"/>
                <w:lang w:val="en-US" w:eastAsia="zh-CN"/>
              </w:rPr>
              <w:t>Q=K*P*h*V0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式中：Q——集气罩风量，m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V0——吸气口的平均风速，取0.3m/s；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K——安全系数，取1.4；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P——罩口周长；</w:t>
            </w:r>
          </w:p>
          <w:p>
            <w:pPr>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color w:val="auto"/>
                <w:sz w:val="24"/>
                <w:szCs w:val="24"/>
                <w:highlight w:val="none"/>
                <w:lang w:val="en-US" w:eastAsia="zh-CN"/>
              </w:rPr>
              <w:t>h——污染源离罩口的距离，0.2m。</w:t>
            </w:r>
          </w:p>
          <w:p>
            <w:pPr>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项目共计设置2台片材机，</w:t>
            </w:r>
            <w:r>
              <w:rPr>
                <w:rFonts w:hint="eastAsia" w:ascii="Times New Roman" w:hAnsi="Times New Roman" w:eastAsia="宋体" w:cs="Times New Roman"/>
                <w:color w:val="auto"/>
                <w:kern w:val="0"/>
                <w:sz w:val="24"/>
                <w:highlight w:val="none"/>
                <w:lang w:val="en-US" w:eastAsia="zh-CN"/>
              </w:rPr>
              <w:t>集气罩总周长约为</w:t>
            </w:r>
            <w:r>
              <w:rPr>
                <w:rFonts w:hint="eastAsia" w:cs="Times New Roman"/>
                <w:color w:val="auto"/>
                <w:kern w:val="0"/>
                <w:sz w:val="24"/>
                <w:highlight w:val="none"/>
                <w:lang w:val="en-US" w:eastAsia="zh-CN"/>
              </w:rPr>
              <w:t>6</w:t>
            </w:r>
            <w:r>
              <w:rPr>
                <w:rFonts w:hint="eastAsia" w:ascii="Times New Roman" w:hAnsi="Times New Roman" w:eastAsia="宋体" w:cs="Times New Roman"/>
                <w:color w:val="auto"/>
                <w:kern w:val="0"/>
                <w:sz w:val="24"/>
                <w:highlight w:val="none"/>
                <w:lang w:val="en-US" w:eastAsia="zh-CN"/>
              </w:rPr>
              <w:t>m。经计算，集气罩总风量约为</w:t>
            </w:r>
            <w:r>
              <w:rPr>
                <w:rFonts w:hint="eastAsia" w:cs="Times New Roman"/>
                <w:color w:val="auto"/>
                <w:kern w:val="0"/>
                <w:sz w:val="24"/>
                <w:highlight w:val="none"/>
                <w:lang w:val="en-US" w:eastAsia="zh-CN"/>
              </w:rPr>
              <w:t>1814</w:t>
            </w:r>
            <w:r>
              <w:rPr>
                <w:rFonts w:hint="eastAsia" w:ascii="Times New Roman" w:hAnsi="Times New Roman" w:eastAsia="宋体" w:cs="Times New Roman"/>
                <w:color w:val="auto"/>
                <w:kern w:val="0"/>
                <w:sz w:val="24"/>
                <w:highlight w:val="none"/>
                <w:lang w:val="en-US" w:eastAsia="zh-CN"/>
              </w:rPr>
              <w:t>m</w:t>
            </w:r>
            <w:r>
              <w:rPr>
                <w:rFonts w:hint="eastAsia" w:ascii="Times New Roman" w:hAnsi="Times New Roman" w:eastAsia="宋体" w:cs="Times New Roman"/>
                <w:color w:val="auto"/>
                <w:kern w:val="0"/>
                <w:sz w:val="24"/>
                <w:highlight w:val="none"/>
                <w:vertAlign w:val="superscript"/>
                <w:lang w:val="en-US" w:eastAsia="zh-CN"/>
              </w:rPr>
              <w:t>3</w:t>
            </w:r>
            <w:r>
              <w:rPr>
                <w:rFonts w:hint="eastAsia" w:ascii="Times New Roman" w:hAnsi="Times New Roman" w:eastAsia="宋体" w:cs="Times New Roman"/>
                <w:color w:val="auto"/>
                <w:kern w:val="0"/>
                <w:sz w:val="24"/>
                <w:highlight w:val="none"/>
                <w:lang w:val="en-US" w:eastAsia="zh-CN"/>
              </w:rPr>
              <w:t>/h，收集过程风损以20%计，则挤塑废气风量以</w:t>
            </w:r>
            <w:r>
              <w:rPr>
                <w:rFonts w:hint="eastAsia" w:cs="Times New Roman"/>
                <w:color w:val="auto"/>
                <w:kern w:val="0"/>
                <w:sz w:val="24"/>
                <w:highlight w:val="none"/>
                <w:lang w:val="en-US" w:eastAsia="zh-CN"/>
              </w:rPr>
              <w:t>2200</w:t>
            </w:r>
            <w:r>
              <w:rPr>
                <w:rFonts w:hint="eastAsia" w:ascii="Times New Roman" w:hAnsi="Times New Roman" w:eastAsia="宋体" w:cs="Times New Roman"/>
                <w:color w:val="auto"/>
                <w:kern w:val="0"/>
                <w:sz w:val="24"/>
                <w:highlight w:val="none"/>
                <w:lang w:val="en-US" w:eastAsia="zh-CN"/>
              </w:rPr>
              <w:t>m</w:t>
            </w:r>
            <w:r>
              <w:rPr>
                <w:rFonts w:hint="eastAsia" w:ascii="Times New Roman" w:hAnsi="Times New Roman" w:eastAsia="宋体" w:cs="Times New Roman"/>
                <w:color w:val="auto"/>
                <w:kern w:val="0"/>
                <w:sz w:val="24"/>
                <w:highlight w:val="none"/>
                <w:vertAlign w:val="superscript"/>
                <w:lang w:val="en-US" w:eastAsia="zh-CN"/>
              </w:rPr>
              <w:t>3</w:t>
            </w:r>
            <w:r>
              <w:rPr>
                <w:rFonts w:hint="eastAsia" w:ascii="Times New Roman" w:hAnsi="Times New Roman" w:eastAsia="宋体" w:cs="Times New Roman"/>
                <w:color w:val="auto"/>
                <w:kern w:val="0"/>
                <w:sz w:val="24"/>
                <w:highlight w:val="none"/>
                <w:lang w:val="en-US" w:eastAsia="zh-CN"/>
              </w:rPr>
              <w:t>/h</w:t>
            </w:r>
            <w:r>
              <w:rPr>
                <w:rFonts w:hint="eastAsia" w:cs="Times New Roman"/>
                <w:color w:val="auto"/>
                <w:kern w:val="0"/>
                <w:sz w:val="24"/>
                <w:highlight w:val="none"/>
                <w:lang w:val="en-US" w:eastAsia="zh-CN"/>
              </w:rPr>
              <w:t>考虑</w:t>
            </w:r>
            <w:r>
              <w:rPr>
                <w:rFonts w:hint="eastAsia" w:ascii="Times New Roman" w:hAnsi="Times New Roman" w:eastAsia="宋体" w:cs="Times New Roman"/>
                <w:color w:val="auto"/>
                <w:kern w:val="0"/>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②吸塑废气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塑料打包盒及塑料杯</w:t>
            </w:r>
            <w:r>
              <w:rPr>
                <w:rFonts w:hint="default" w:ascii="Times New Roman" w:hAnsi="Times New Roman" w:eastAsia="宋体" w:cs="Times New Roman"/>
                <w:color w:val="auto"/>
                <w:sz w:val="24"/>
                <w:szCs w:val="24"/>
                <w:highlight w:val="none"/>
                <w:lang w:val="en-US" w:eastAsia="zh-CN"/>
              </w:rPr>
              <w:t>制作过程中，</w:t>
            </w:r>
            <w:r>
              <w:rPr>
                <w:rFonts w:hint="eastAsia" w:ascii="Times New Roman" w:hAnsi="Times New Roman" w:eastAsia="宋体" w:cs="Times New Roman"/>
                <w:color w:val="auto"/>
                <w:sz w:val="24"/>
                <w:szCs w:val="24"/>
                <w:highlight w:val="none"/>
                <w:lang w:val="en-US" w:eastAsia="zh-CN"/>
              </w:rPr>
              <w:t>由熔融挤塑工序处生产出的PP片材需进行</w:t>
            </w:r>
            <w:r>
              <w:rPr>
                <w:rFonts w:hint="default" w:ascii="Times New Roman" w:hAnsi="Times New Roman" w:eastAsia="宋体" w:cs="Times New Roman"/>
                <w:color w:val="auto"/>
                <w:sz w:val="24"/>
                <w:szCs w:val="24"/>
                <w:highlight w:val="none"/>
                <w:lang w:val="en-US" w:eastAsia="zh-CN"/>
              </w:rPr>
              <w:t>加热软化，加热</w:t>
            </w:r>
            <w:r>
              <w:rPr>
                <w:rFonts w:hint="eastAsia" w:ascii="Times New Roman" w:hAnsi="Times New Roman" w:eastAsia="宋体" w:cs="Times New Roman"/>
                <w:color w:val="auto"/>
                <w:sz w:val="24"/>
                <w:szCs w:val="24"/>
                <w:highlight w:val="none"/>
                <w:lang w:val="en-US" w:eastAsia="zh-CN"/>
              </w:rPr>
              <w:t>温度约130</w:t>
            </w:r>
            <w:r>
              <w:rPr>
                <w:rFonts w:hint="default" w:ascii="Times New Roman" w:hAnsi="Times New Roman" w:eastAsia="宋体" w:cs="Times New Roman"/>
                <w:color w:val="auto"/>
                <w:sz w:val="24"/>
                <w:szCs w:val="24"/>
                <w:highlight w:val="none"/>
                <w:lang w:val="en-US" w:eastAsia="zh-CN"/>
              </w:rPr>
              <w:t>℃左右，</w:t>
            </w:r>
            <w:r>
              <w:rPr>
                <w:rFonts w:hint="eastAsia" w:ascii="Times New Roman" w:hAnsi="Times New Roman" w:eastAsia="宋体" w:cs="Times New Roman"/>
                <w:color w:val="auto"/>
                <w:sz w:val="24"/>
                <w:szCs w:val="24"/>
                <w:highlight w:val="none"/>
                <w:lang w:val="en-US" w:eastAsia="zh-CN"/>
              </w:rPr>
              <w:t>PP片材</w:t>
            </w:r>
            <w:r>
              <w:rPr>
                <w:rFonts w:hint="default" w:ascii="Times New Roman" w:hAnsi="Times New Roman" w:eastAsia="宋体" w:cs="Times New Roman"/>
                <w:color w:val="auto"/>
                <w:sz w:val="24"/>
                <w:szCs w:val="24"/>
                <w:highlight w:val="none"/>
                <w:lang w:val="en-US" w:eastAsia="zh-CN"/>
              </w:rPr>
              <w:t>不会发生裂解等化学反应，但会有极少量有机废气散发</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废气特征因子主要为非甲烷总烃。根据《</w:t>
            </w:r>
            <w:r>
              <w:rPr>
                <w:rFonts w:hint="eastAsia"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lang w:val="en-US" w:eastAsia="zh-CN"/>
              </w:rPr>
              <w:t>》中</w:t>
            </w:r>
            <w:r>
              <w:rPr>
                <w:rFonts w:hint="eastAsia" w:ascii="Times New Roman" w:hAnsi="Times New Roman" w:eastAsia="宋体" w:cs="Times New Roman"/>
                <w:color w:val="auto"/>
                <w:sz w:val="24"/>
                <w:szCs w:val="24"/>
                <w:highlight w:val="none"/>
                <w:lang w:val="en-US" w:eastAsia="zh-CN"/>
              </w:rPr>
              <w:t>“塑料</w:t>
            </w:r>
            <w:r>
              <w:rPr>
                <w:rFonts w:hint="eastAsia" w:cs="Times New Roman"/>
                <w:color w:val="auto"/>
                <w:sz w:val="24"/>
                <w:szCs w:val="24"/>
                <w:highlight w:val="none"/>
                <w:lang w:val="en-US" w:eastAsia="zh-CN"/>
              </w:rPr>
              <w:t>包装箱及容器</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“吸塑-裁切”工艺过程</w:t>
            </w:r>
            <w:r>
              <w:rPr>
                <w:rFonts w:hint="eastAsia" w:ascii="Times New Roman" w:hAnsi="Times New Roman" w:eastAsia="宋体" w:cs="Times New Roman"/>
                <w:color w:val="auto"/>
                <w:sz w:val="24"/>
                <w:szCs w:val="24"/>
                <w:highlight w:val="none"/>
                <w:lang w:val="en-US" w:eastAsia="zh-CN"/>
              </w:rPr>
              <w:t>产污系数</w:t>
            </w:r>
            <w:r>
              <w:rPr>
                <w:rFonts w:hint="default" w:ascii="Times New Roman" w:hAnsi="Times New Roman" w:eastAsia="宋体" w:cs="Times New Roman"/>
                <w:color w:val="auto"/>
                <w:sz w:val="24"/>
                <w:szCs w:val="24"/>
                <w:highlight w:val="none"/>
                <w:lang w:val="en-US" w:eastAsia="zh-CN"/>
              </w:rPr>
              <w:t>，有机废气（</w:t>
            </w:r>
            <w:r>
              <w:rPr>
                <w:rFonts w:hint="eastAsia" w:ascii="Times New Roman" w:hAnsi="Times New Roman" w:eastAsia="宋体" w:cs="Times New Roman"/>
                <w:color w:val="auto"/>
                <w:sz w:val="24"/>
                <w:szCs w:val="24"/>
                <w:highlight w:val="none"/>
                <w:lang w:val="en-US" w:eastAsia="zh-CN"/>
              </w:rPr>
              <w:t>以</w:t>
            </w:r>
            <w:r>
              <w:rPr>
                <w:rFonts w:hint="default" w:ascii="Times New Roman" w:hAnsi="Times New Roman" w:eastAsia="宋体" w:cs="Times New Roman"/>
                <w:color w:val="auto"/>
                <w:sz w:val="24"/>
                <w:szCs w:val="24"/>
                <w:highlight w:val="none"/>
                <w:lang w:val="en-US" w:eastAsia="zh-CN"/>
              </w:rPr>
              <w:t>非甲烷总烃</w:t>
            </w:r>
            <w:r>
              <w:rPr>
                <w:rFonts w:hint="eastAsia" w:ascii="Times New Roman" w:hAnsi="Times New Roman" w:eastAsia="宋体" w:cs="Times New Roman"/>
                <w:color w:val="auto"/>
                <w:sz w:val="24"/>
                <w:szCs w:val="24"/>
                <w:highlight w:val="none"/>
                <w:lang w:val="en-US" w:eastAsia="zh-CN"/>
              </w:rPr>
              <w:t>计</w:t>
            </w:r>
            <w:r>
              <w:rPr>
                <w:rFonts w:hint="default" w:ascii="Times New Roman" w:hAnsi="Times New Roman" w:eastAsia="宋体" w:cs="Times New Roman"/>
                <w:color w:val="auto"/>
                <w:sz w:val="24"/>
                <w:szCs w:val="24"/>
                <w:highlight w:val="none"/>
                <w:lang w:val="en-US" w:eastAsia="zh-CN"/>
              </w:rPr>
              <w:t>）产污系数为</w:t>
            </w:r>
            <w:r>
              <w:rPr>
                <w:rFonts w:hint="eastAsia" w:ascii="Times New Roman" w:hAnsi="Times New Roman" w:eastAsia="宋体" w:cs="Times New Roman"/>
                <w:color w:val="auto"/>
                <w:sz w:val="24"/>
                <w:szCs w:val="24"/>
                <w:highlight w:val="none"/>
                <w:lang w:val="en-US" w:eastAsia="zh-CN"/>
              </w:rPr>
              <w:t>1.9</w:t>
            </w:r>
            <w:r>
              <w:rPr>
                <w:rFonts w:hint="default" w:ascii="Times New Roman" w:hAnsi="Times New Roman" w:eastAsia="宋体" w:cs="Times New Roman"/>
                <w:color w:val="auto"/>
                <w:sz w:val="24"/>
                <w:szCs w:val="24"/>
                <w:highlight w:val="none"/>
                <w:lang w:val="en-US" w:eastAsia="zh-CN"/>
              </w:rPr>
              <w:t>kg/t</w:t>
            </w:r>
            <w:r>
              <w:rPr>
                <w:rFonts w:hint="eastAsia" w:ascii="Times New Roman" w:hAnsi="Times New Roman" w:eastAsia="宋体" w:cs="Times New Roman"/>
                <w:color w:val="auto"/>
                <w:sz w:val="24"/>
                <w:szCs w:val="24"/>
                <w:highlight w:val="none"/>
                <w:lang w:val="en-US" w:eastAsia="zh-CN"/>
              </w:rPr>
              <w:t>·产品，则项目吸塑过程产生的非甲烷总烃约0.262t/a。</w:t>
            </w:r>
            <w:r>
              <w:rPr>
                <w:rFonts w:hint="eastAsia" w:ascii="Times New Roman" w:hAnsi="Times New Roman" w:eastAsia="宋体" w:cs="Times New Roman"/>
                <w:color w:val="auto"/>
                <w:kern w:val="0"/>
                <w:sz w:val="24"/>
                <w:highlight w:val="none"/>
                <w:lang w:val="en-US" w:eastAsia="zh-CN"/>
              </w:rPr>
              <w:t>根据建设单位提供资料，工序年工作时间约</w:t>
            </w:r>
            <w:r>
              <w:rPr>
                <w:rFonts w:hint="eastAsia" w:cs="Times New Roman"/>
                <w:color w:val="auto"/>
                <w:kern w:val="0"/>
                <w:sz w:val="24"/>
                <w:highlight w:val="none"/>
                <w:lang w:val="en-US" w:eastAsia="zh-CN"/>
              </w:rPr>
              <w:t>2080</w:t>
            </w:r>
            <w:r>
              <w:rPr>
                <w:rFonts w:hint="eastAsia" w:ascii="Times New Roman" w:hAnsi="Times New Roman" w:eastAsia="宋体" w:cs="Times New Roman"/>
                <w:color w:val="auto"/>
                <w:kern w:val="0"/>
                <w:sz w:val="24"/>
                <w:highlight w:val="none"/>
                <w:lang w:val="en-US" w:eastAsia="zh-CN"/>
              </w:rPr>
              <w:t>h。</w:t>
            </w:r>
            <w:r>
              <w:rPr>
                <w:rFonts w:hint="eastAsia" w:cs="Times New Roman"/>
                <w:color w:val="auto"/>
                <w:kern w:val="0"/>
                <w:sz w:val="24"/>
                <w:highlight w:val="none"/>
                <w:lang w:val="en-US" w:eastAsia="zh-CN"/>
              </w:rPr>
              <w:t>项目共设置4台打杯机、2台多功能成型机，3台吸塑机，设备同时运行情况下，小时最大产能为82.8kg/h，则吸塑废气最大产生速率为0.157kg/h。</w:t>
            </w:r>
          </w:p>
          <w:p>
            <w:pPr>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项目在</w:t>
            </w:r>
            <w:r>
              <w:rPr>
                <w:rFonts w:hint="eastAsia" w:cs="Times New Roman"/>
                <w:color w:val="auto"/>
                <w:kern w:val="0"/>
                <w:sz w:val="24"/>
                <w:highlight w:val="none"/>
                <w:lang w:val="en-US" w:eastAsia="zh-CN"/>
              </w:rPr>
              <w:t>打杯机、多功能成型机、吸塑机</w:t>
            </w:r>
            <w:r>
              <w:rPr>
                <w:rFonts w:hint="eastAsia" w:ascii="Times New Roman" w:hAnsi="Times New Roman" w:eastAsia="宋体" w:cs="Times New Roman"/>
                <w:color w:val="auto"/>
                <w:kern w:val="0"/>
                <w:sz w:val="24"/>
                <w:highlight w:val="none"/>
                <w:lang w:val="en-US" w:eastAsia="zh-CN"/>
              </w:rPr>
              <w:t>上方</w:t>
            </w:r>
            <w:r>
              <w:rPr>
                <w:rFonts w:hint="default" w:ascii="Times New Roman" w:hAnsi="Times New Roman" w:eastAsia="宋体" w:cs="Times New Roman"/>
                <w:color w:val="auto"/>
                <w:kern w:val="0"/>
                <w:sz w:val="24"/>
                <w:highlight w:val="none"/>
                <w:lang w:val="en-US" w:eastAsia="zh-CN"/>
              </w:rPr>
              <w:t>设置集气</w:t>
            </w:r>
            <w:r>
              <w:rPr>
                <w:rFonts w:hint="eastAsia" w:ascii="Times New Roman" w:hAnsi="Times New Roman" w:eastAsia="宋体" w:cs="Times New Roman"/>
                <w:color w:val="auto"/>
                <w:kern w:val="0"/>
                <w:sz w:val="24"/>
                <w:highlight w:val="none"/>
                <w:lang w:val="en-US" w:eastAsia="zh-CN"/>
              </w:rPr>
              <w:t>罩</w:t>
            </w:r>
            <w:r>
              <w:rPr>
                <w:rFonts w:hint="default" w:ascii="Times New Roman" w:hAnsi="Times New Roman" w:eastAsia="宋体" w:cs="Times New Roman"/>
                <w:color w:val="auto"/>
                <w:kern w:val="0"/>
                <w:sz w:val="24"/>
                <w:highlight w:val="none"/>
                <w:lang w:val="en-US" w:eastAsia="zh-CN"/>
              </w:rPr>
              <w:t>对有机废气进行收集，收集后的有机废气</w:t>
            </w:r>
            <w:r>
              <w:rPr>
                <w:rFonts w:hint="eastAsia" w:ascii="Times New Roman" w:hAnsi="Times New Roman" w:eastAsia="宋体" w:cs="Times New Roman"/>
                <w:color w:val="auto"/>
                <w:kern w:val="0"/>
                <w:sz w:val="24"/>
                <w:highlight w:val="none"/>
                <w:lang w:val="en-US" w:eastAsia="zh-CN"/>
              </w:rPr>
              <w:t>与挤塑废气共用</w:t>
            </w:r>
            <w:r>
              <w:rPr>
                <w:rFonts w:hint="eastAsia" w:cs="Times New Roman"/>
                <w:color w:val="auto"/>
                <w:kern w:val="0"/>
                <w:sz w:val="24"/>
                <w:highlight w:val="none"/>
                <w:lang w:val="en-US" w:eastAsia="zh-CN"/>
              </w:rPr>
              <w:t>一套</w:t>
            </w:r>
            <w:r>
              <w:rPr>
                <w:rFonts w:hint="eastAsia" w:ascii="Times New Roman" w:hAnsi="Times New Roman" w:eastAsia="宋体" w:cs="Times New Roman"/>
                <w:color w:val="auto"/>
                <w:kern w:val="0"/>
                <w:sz w:val="24"/>
                <w:highlight w:val="none"/>
                <w:lang w:val="en-US" w:eastAsia="zh-CN"/>
              </w:rPr>
              <w:t>“过滤棉+UV</w:t>
            </w:r>
            <w:r>
              <w:rPr>
                <w:rFonts w:hint="eastAsia" w:cs="Times New Roman"/>
                <w:color w:val="auto"/>
                <w:kern w:val="0"/>
                <w:sz w:val="24"/>
                <w:highlight w:val="none"/>
                <w:lang w:val="en-US" w:eastAsia="zh-CN"/>
              </w:rPr>
              <w:t>光解</w:t>
            </w:r>
            <w:r>
              <w:rPr>
                <w:rFonts w:hint="eastAsia" w:ascii="Times New Roman" w:hAnsi="Times New Roman" w:eastAsia="宋体" w:cs="Times New Roman"/>
                <w:color w:val="auto"/>
                <w:kern w:val="0"/>
                <w:sz w:val="24"/>
                <w:highlight w:val="none"/>
                <w:lang w:val="en-US" w:eastAsia="zh-CN"/>
              </w:rPr>
              <w:t>+两级活性炭吸附”</w:t>
            </w:r>
            <w:r>
              <w:rPr>
                <w:rFonts w:hint="default" w:ascii="Times New Roman" w:hAnsi="Times New Roman" w:eastAsia="宋体" w:cs="Times New Roman"/>
                <w:color w:val="auto"/>
                <w:kern w:val="0"/>
                <w:sz w:val="24"/>
                <w:highlight w:val="none"/>
                <w:lang w:val="en-US" w:eastAsia="zh-CN"/>
              </w:rPr>
              <w:t>装置处理后</w:t>
            </w:r>
            <w:r>
              <w:rPr>
                <w:rFonts w:hint="eastAsia" w:ascii="Times New Roman" w:hAnsi="Times New Roman" w:eastAsia="宋体" w:cs="Times New Roman"/>
                <w:color w:val="auto"/>
                <w:kern w:val="0"/>
                <w:sz w:val="24"/>
                <w:highlight w:val="none"/>
                <w:lang w:val="en-US" w:eastAsia="zh-CN"/>
              </w:rPr>
              <w:t>通过15m高排气筒</w:t>
            </w:r>
            <w:r>
              <w:rPr>
                <w:rFonts w:hint="default" w:ascii="Times New Roman" w:hAnsi="Times New Roman" w:eastAsia="宋体" w:cs="Times New Roman"/>
                <w:color w:val="auto"/>
                <w:kern w:val="0"/>
                <w:sz w:val="24"/>
                <w:highlight w:val="none"/>
                <w:lang w:val="en-US" w:eastAsia="zh-CN"/>
              </w:rPr>
              <w:t>排放</w:t>
            </w:r>
            <w:r>
              <w:rPr>
                <w:rFonts w:hint="eastAsia" w:ascii="Times New Roman" w:hAnsi="Times New Roman" w:eastAsia="宋体" w:cs="Times New Roman"/>
                <w:color w:val="auto"/>
                <w:kern w:val="0"/>
                <w:sz w:val="24"/>
                <w:highlight w:val="none"/>
                <w:lang w:val="en-US" w:eastAsia="zh-CN"/>
              </w:rPr>
              <w:t>。收集效率以70%计，有机废气（非甲烷总烃）合计</w:t>
            </w:r>
            <w:r>
              <w:rPr>
                <w:rFonts w:hint="default" w:ascii="Times New Roman" w:hAnsi="Times New Roman" w:eastAsia="宋体" w:cs="Times New Roman"/>
                <w:color w:val="auto"/>
                <w:kern w:val="0"/>
                <w:sz w:val="24"/>
                <w:highlight w:val="none"/>
                <w:lang w:val="en-US" w:eastAsia="zh-CN"/>
              </w:rPr>
              <w:t>处理效率以</w:t>
            </w:r>
            <w:r>
              <w:rPr>
                <w:rFonts w:hint="eastAsia" w:cs="Times New Roman"/>
                <w:color w:val="auto"/>
                <w:kern w:val="0"/>
                <w:sz w:val="24"/>
                <w:highlight w:val="none"/>
                <w:lang w:val="en-US" w:eastAsia="zh-CN"/>
              </w:rPr>
              <w:t>91</w:t>
            </w:r>
            <w:r>
              <w:rPr>
                <w:rFonts w:hint="default" w:ascii="Times New Roman" w:hAnsi="Times New Roman" w:eastAsia="宋体" w:cs="Times New Roman"/>
                <w:color w:val="auto"/>
                <w:kern w:val="0"/>
                <w:sz w:val="24"/>
                <w:highlight w:val="none"/>
                <w:lang w:val="en-US" w:eastAsia="zh-CN"/>
              </w:rPr>
              <w:t>%计</w:t>
            </w:r>
            <w:r>
              <w:rPr>
                <w:rFonts w:hint="eastAsia" w:cs="Times New Roman"/>
                <w:color w:val="auto"/>
                <w:kern w:val="0"/>
                <w:sz w:val="24"/>
                <w:highlight w:val="none"/>
                <w:lang w:val="en-US" w:eastAsia="zh-CN"/>
              </w:rPr>
              <w:t>（其中UV光解处理效率约30%，第一级活性炭处理效率约60%，第二级活性炭处理效率约68%，有机废气合计处理效率约91%）</w:t>
            </w:r>
            <w:r>
              <w:rPr>
                <w:rFonts w:hint="eastAsia" w:ascii="Times New Roman" w:hAnsi="Times New Roman" w:eastAsia="宋体" w:cs="Times New Roman"/>
                <w:color w:val="auto"/>
                <w:kern w:val="0"/>
                <w:sz w:val="24"/>
                <w:highlight w:val="none"/>
                <w:lang w:val="en-US" w:eastAsia="zh-CN"/>
              </w:rPr>
              <w:t>。</w:t>
            </w:r>
          </w:p>
          <w:p>
            <w:pPr>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项目</w:t>
            </w:r>
            <w:r>
              <w:rPr>
                <w:rFonts w:hint="eastAsia" w:cs="Times New Roman"/>
                <w:color w:val="auto"/>
                <w:kern w:val="0"/>
                <w:sz w:val="24"/>
                <w:highlight w:val="none"/>
                <w:lang w:val="en-US" w:eastAsia="zh-CN"/>
              </w:rPr>
              <w:t>打杯机、多功能成型机、吸塑机</w:t>
            </w:r>
            <w:r>
              <w:rPr>
                <w:rFonts w:hint="eastAsia" w:ascii="Times New Roman" w:hAnsi="Times New Roman" w:eastAsia="宋体" w:cs="Times New Roman"/>
                <w:color w:val="auto"/>
                <w:kern w:val="0"/>
                <w:sz w:val="24"/>
                <w:highlight w:val="none"/>
                <w:lang w:val="en-US" w:eastAsia="zh-CN"/>
              </w:rPr>
              <w:t>上方设置顶吸式集气罩对废气进行收集，根据简明通风设计手册，上吸式集气罩抽风量计算公式如下：</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color w:val="auto"/>
                <w:sz w:val="24"/>
                <w:szCs w:val="24"/>
                <w:highlight w:val="none"/>
                <w:lang w:val="en-US" w:eastAsia="zh-CN"/>
              </w:rPr>
            </w:pPr>
            <w:r>
              <w:rPr>
                <w:rFonts w:hint="eastAsia"/>
                <w:color w:val="auto"/>
                <w:sz w:val="24"/>
                <w:szCs w:val="24"/>
                <w:highlight w:val="none"/>
                <w:lang w:val="en-US" w:eastAsia="zh-CN"/>
              </w:rPr>
              <w:t>Q=K*P*h*V0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式中：Q——集气罩风量，m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V0——吸气口的平均风速，取0.3m/s；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K——安全系数，取1.4；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P——罩口周长；</w:t>
            </w:r>
          </w:p>
          <w:p>
            <w:pPr>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color w:val="auto"/>
                <w:sz w:val="24"/>
                <w:szCs w:val="24"/>
                <w:highlight w:val="none"/>
                <w:lang w:val="en-US" w:eastAsia="zh-CN"/>
              </w:rPr>
              <w:t>h——污染源离罩口的距离，0.2m。</w:t>
            </w:r>
          </w:p>
          <w:p>
            <w:pPr>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项目共计设置4台打杯机、2台多功能成型机，3台吸塑机，</w:t>
            </w:r>
            <w:r>
              <w:rPr>
                <w:rFonts w:hint="eastAsia" w:ascii="Times New Roman" w:hAnsi="Times New Roman" w:eastAsia="宋体" w:cs="Times New Roman"/>
                <w:color w:val="auto"/>
                <w:kern w:val="0"/>
                <w:sz w:val="24"/>
                <w:highlight w:val="none"/>
                <w:lang w:val="en-US" w:eastAsia="zh-CN"/>
              </w:rPr>
              <w:t>由于设备型号不同，出料口大小不同，但经过测量和计算，出料口集气罩最小周长为</w:t>
            </w:r>
            <w:r>
              <w:rPr>
                <w:rFonts w:hint="eastAsia" w:cs="Times New Roman"/>
                <w:color w:val="auto"/>
                <w:kern w:val="0"/>
                <w:sz w:val="24"/>
                <w:highlight w:val="none"/>
                <w:lang w:val="en-US" w:eastAsia="zh-CN"/>
              </w:rPr>
              <w:t>2</w:t>
            </w:r>
            <w:r>
              <w:rPr>
                <w:rFonts w:hint="eastAsia" w:ascii="Times New Roman" w:hAnsi="Times New Roman" w:eastAsia="宋体" w:cs="Times New Roman"/>
                <w:color w:val="auto"/>
                <w:kern w:val="0"/>
                <w:sz w:val="24"/>
                <w:highlight w:val="none"/>
                <w:lang w:val="en-US" w:eastAsia="zh-CN"/>
              </w:rPr>
              <w:t>m，最大周长为</w:t>
            </w:r>
            <w:r>
              <w:rPr>
                <w:rFonts w:hint="eastAsia" w:cs="Times New Roman"/>
                <w:color w:val="auto"/>
                <w:kern w:val="0"/>
                <w:sz w:val="24"/>
                <w:highlight w:val="none"/>
                <w:lang w:val="en-US" w:eastAsia="zh-CN"/>
              </w:rPr>
              <w:t>4</w:t>
            </w:r>
            <w:r>
              <w:rPr>
                <w:rFonts w:hint="eastAsia" w:ascii="Times New Roman" w:hAnsi="Times New Roman" w:eastAsia="宋体" w:cs="Times New Roman"/>
                <w:color w:val="auto"/>
                <w:kern w:val="0"/>
                <w:sz w:val="24"/>
                <w:highlight w:val="none"/>
                <w:lang w:val="en-US" w:eastAsia="zh-CN"/>
              </w:rPr>
              <w:t>m，集气罩总周长约为</w:t>
            </w:r>
            <w:r>
              <w:rPr>
                <w:rFonts w:hint="eastAsia" w:cs="Times New Roman"/>
                <w:color w:val="auto"/>
                <w:kern w:val="0"/>
                <w:sz w:val="24"/>
                <w:highlight w:val="none"/>
                <w:lang w:val="en-US" w:eastAsia="zh-CN"/>
              </w:rPr>
              <w:t>24</w:t>
            </w:r>
            <w:r>
              <w:rPr>
                <w:rFonts w:hint="eastAsia" w:ascii="Times New Roman" w:hAnsi="Times New Roman" w:eastAsia="宋体" w:cs="Times New Roman"/>
                <w:color w:val="auto"/>
                <w:kern w:val="0"/>
                <w:sz w:val="24"/>
                <w:highlight w:val="none"/>
                <w:lang w:val="en-US" w:eastAsia="zh-CN"/>
              </w:rPr>
              <w:t>m。经计算，集气罩总风量约为</w:t>
            </w:r>
            <w:r>
              <w:rPr>
                <w:rFonts w:hint="eastAsia" w:cs="Times New Roman"/>
                <w:color w:val="auto"/>
                <w:kern w:val="0"/>
                <w:sz w:val="24"/>
                <w:highlight w:val="none"/>
                <w:lang w:val="en-US" w:eastAsia="zh-CN"/>
              </w:rPr>
              <w:t>7258</w:t>
            </w:r>
            <w:r>
              <w:rPr>
                <w:rFonts w:hint="eastAsia" w:ascii="Times New Roman" w:hAnsi="Times New Roman" w:eastAsia="宋体" w:cs="Times New Roman"/>
                <w:color w:val="auto"/>
                <w:kern w:val="0"/>
                <w:sz w:val="24"/>
                <w:highlight w:val="none"/>
                <w:lang w:val="en-US" w:eastAsia="zh-CN"/>
              </w:rPr>
              <w:t>m</w:t>
            </w:r>
            <w:r>
              <w:rPr>
                <w:rFonts w:hint="eastAsia" w:ascii="Times New Roman" w:hAnsi="Times New Roman" w:eastAsia="宋体" w:cs="Times New Roman"/>
                <w:color w:val="auto"/>
                <w:kern w:val="0"/>
                <w:sz w:val="24"/>
                <w:highlight w:val="none"/>
                <w:vertAlign w:val="superscript"/>
                <w:lang w:val="en-US" w:eastAsia="zh-CN"/>
              </w:rPr>
              <w:t>3</w:t>
            </w:r>
            <w:r>
              <w:rPr>
                <w:rFonts w:hint="eastAsia" w:ascii="Times New Roman" w:hAnsi="Times New Roman" w:eastAsia="宋体" w:cs="Times New Roman"/>
                <w:color w:val="auto"/>
                <w:kern w:val="0"/>
                <w:sz w:val="24"/>
                <w:highlight w:val="none"/>
                <w:lang w:val="en-US" w:eastAsia="zh-CN"/>
              </w:rPr>
              <w:t>/h，收集过程风损以20%计，则吸塑废气风量以</w:t>
            </w:r>
            <w:r>
              <w:rPr>
                <w:rFonts w:hint="eastAsia" w:cs="Times New Roman"/>
                <w:color w:val="auto"/>
                <w:kern w:val="0"/>
                <w:sz w:val="24"/>
                <w:highlight w:val="none"/>
                <w:lang w:val="en-US" w:eastAsia="zh-CN"/>
              </w:rPr>
              <w:t>8700</w:t>
            </w:r>
            <w:r>
              <w:rPr>
                <w:rFonts w:hint="eastAsia" w:ascii="Times New Roman" w:hAnsi="Times New Roman" w:eastAsia="宋体" w:cs="Times New Roman"/>
                <w:color w:val="auto"/>
                <w:kern w:val="0"/>
                <w:sz w:val="24"/>
                <w:highlight w:val="none"/>
                <w:lang w:val="en-US" w:eastAsia="zh-CN"/>
              </w:rPr>
              <w:t>m</w:t>
            </w:r>
            <w:r>
              <w:rPr>
                <w:rFonts w:hint="eastAsia" w:ascii="Times New Roman" w:hAnsi="Times New Roman" w:eastAsia="宋体" w:cs="Times New Roman"/>
                <w:color w:val="auto"/>
                <w:kern w:val="0"/>
                <w:sz w:val="24"/>
                <w:highlight w:val="none"/>
                <w:vertAlign w:val="superscript"/>
                <w:lang w:val="en-US" w:eastAsia="zh-CN"/>
              </w:rPr>
              <w:t>3</w:t>
            </w:r>
            <w:r>
              <w:rPr>
                <w:rFonts w:hint="eastAsia" w:ascii="Times New Roman" w:hAnsi="Times New Roman" w:eastAsia="宋体" w:cs="Times New Roman"/>
                <w:color w:val="auto"/>
                <w:kern w:val="0"/>
                <w:sz w:val="24"/>
                <w:highlight w:val="none"/>
                <w:lang w:val="en-US" w:eastAsia="zh-CN"/>
              </w:rPr>
              <w:t>/h</w:t>
            </w:r>
            <w:r>
              <w:rPr>
                <w:rFonts w:hint="eastAsia" w:cs="Times New Roman"/>
                <w:color w:val="auto"/>
                <w:kern w:val="0"/>
                <w:sz w:val="24"/>
                <w:highlight w:val="none"/>
                <w:lang w:val="en-US" w:eastAsia="zh-CN"/>
              </w:rPr>
              <w:t>考虑</w:t>
            </w:r>
            <w:r>
              <w:rPr>
                <w:rFonts w:hint="eastAsia" w:ascii="Times New Roman" w:hAnsi="Times New Roman" w:eastAsia="宋体" w:cs="Times New Roman"/>
                <w:color w:val="auto"/>
                <w:kern w:val="0"/>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项目运营期挤塑废气及吸塑废气产、排情况，详见下表。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表4-1 挤塑废气及吸塑废气产、排情况一览表</w:t>
            </w:r>
          </w:p>
          <w:tbl>
            <w:tblPr>
              <w:tblStyle w:val="16"/>
              <w:tblW w:w="83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1205"/>
              <w:gridCol w:w="783"/>
              <w:gridCol w:w="745"/>
              <w:gridCol w:w="750"/>
              <w:gridCol w:w="1478"/>
              <w:gridCol w:w="825"/>
              <w:gridCol w:w="708"/>
              <w:gridCol w:w="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restart"/>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污染源</w:t>
                  </w:r>
                </w:p>
              </w:tc>
              <w:tc>
                <w:tcPr>
                  <w:tcW w:w="1205" w:type="dxa"/>
                  <w:vMerge w:val="restart"/>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污染物</w:t>
                  </w:r>
                </w:p>
              </w:tc>
              <w:tc>
                <w:tcPr>
                  <w:tcW w:w="2278" w:type="dxa"/>
                  <w:gridSpan w:val="3"/>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产生情况</w:t>
                  </w:r>
                </w:p>
              </w:tc>
              <w:tc>
                <w:tcPr>
                  <w:tcW w:w="1478" w:type="dxa"/>
                  <w:vMerge w:val="restart"/>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治理措施</w:t>
                  </w:r>
                </w:p>
              </w:tc>
              <w:tc>
                <w:tcPr>
                  <w:tcW w:w="2268" w:type="dxa"/>
                  <w:gridSpan w:val="3"/>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jc w:val="center"/>
                    <w:rPr>
                      <w:rFonts w:hint="eastAsia" w:ascii="Times New Roman" w:hAnsi="Times New Roman" w:eastAsia="宋体" w:cs="Times New Roman"/>
                      <w:bCs/>
                      <w:color w:val="auto"/>
                      <w:sz w:val="21"/>
                      <w:szCs w:val="21"/>
                      <w:highlight w:val="none"/>
                      <w:lang w:val="en-US" w:eastAsia="zh-CN"/>
                    </w:rPr>
                  </w:pPr>
                </w:p>
              </w:tc>
              <w:tc>
                <w:tcPr>
                  <w:tcW w:w="1205" w:type="dxa"/>
                  <w:vMerge w:val="continue"/>
                  <w:vAlign w:val="center"/>
                </w:tcPr>
                <w:p>
                  <w:pPr>
                    <w:jc w:val="center"/>
                    <w:rPr>
                      <w:rFonts w:hint="eastAsia" w:ascii="Times New Roman" w:hAnsi="Times New Roman" w:eastAsia="宋体" w:cs="Times New Roman"/>
                      <w:bCs/>
                      <w:color w:val="auto"/>
                      <w:sz w:val="21"/>
                      <w:szCs w:val="21"/>
                      <w:highlight w:val="none"/>
                      <w:lang w:val="en-US" w:eastAsia="zh-CN"/>
                    </w:rPr>
                  </w:pPr>
                </w:p>
              </w:tc>
              <w:tc>
                <w:tcPr>
                  <w:tcW w:w="78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vertAlign w:val="superscript"/>
                      <w:lang w:val="en-US" w:eastAsia="zh-CN" w:bidi="ar-SA"/>
                    </w:rPr>
                  </w:pPr>
                  <w:r>
                    <w:rPr>
                      <w:rFonts w:hint="eastAsia" w:ascii="Times New Roman" w:hAnsi="Times New Roman" w:eastAsia="宋体" w:cs="Times New Roman"/>
                      <w:color w:val="auto"/>
                      <w:sz w:val="21"/>
                      <w:szCs w:val="21"/>
                      <w:highlight w:val="none"/>
                      <w:vertAlign w:val="baseline"/>
                      <w:lang w:val="en-US" w:eastAsia="zh-CN"/>
                    </w:rPr>
                    <w:t>mg/m</w:t>
                  </w:r>
                  <w:r>
                    <w:rPr>
                      <w:rFonts w:hint="eastAsia" w:ascii="Times New Roman" w:hAnsi="Times New Roman" w:eastAsia="宋体" w:cs="Times New Roman"/>
                      <w:color w:val="auto"/>
                      <w:sz w:val="21"/>
                      <w:szCs w:val="21"/>
                      <w:highlight w:val="none"/>
                      <w:vertAlign w:val="superscript"/>
                      <w:lang w:val="en-US" w:eastAsia="zh-CN"/>
                    </w:rPr>
                    <w:t>3</w:t>
                  </w:r>
                </w:p>
              </w:tc>
              <w:tc>
                <w:tcPr>
                  <w:tcW w:w="74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kg/h</w:t>
                  </w:r>
                </w:p>
              </w:tc>
              <w:tc>
                <w:tcPr>
                  <w:tcW w:w="75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t/a</w:t>
                  </w:r>
                </w:p>
              </w:tc>
              <w:tc>
                <w:tcPr>
                  <w:tcW w:w="1478" w:type="dxa"/>
                  <w:vMerge w:val="continue"/>
                  <w:vAlign w:val="center"/>
                </w:tcPr>
                <w:p>
                  <w:pPr>
                    <w:jc w:val="center"/>
                    <w:rPr>
                      <w:rFonts w:hint="eastAsia" w:ascii="Times New Roman" w:hAnsi="Times New Roman" w:eastAsia="宋体" w:cs="Times New Roman"/>
                      <w:bCs/>
                      <w:color w:val="auto"/>
                      <w:sz w:val="21"/>
                      <w:szCs w:val="21"/>
                      <w:highlight w:val="none"/>
                      <w:lang w:val="en-US" w:eastAsia="zh-CN"/>
                    </w:rPr>
                  </w:pPr>
                </w:p>
              </w:tc>
              <w:tc>
                <w:tcPr>
                  <w:tcW w:w="82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vertAlign w:val="superscript"/>
                      <w:lang w:val="en-US" w:eastAsia="zh-CN" w:bidi="ar-SA"/>
                    </w:rPr>
                  </w:pPr>
                  <w:r>
                    <w:rPr>
                      <w:rFonts w:hint="eastAsia" w:ascii="Times New Roman" w:hAnsi="Times New Roman" w:eastAsia="宋体" w:cs="Times New Roman"/>
                      <w:color w:val="auto"/>
                      <w:sz w:val="21"/>
                      <w:szCs w:val="21"/>
                      <w:highlight w:val="none"/>
                      <w:vertAlign w:val="baseline"/>
                      <w:lang w:val="en-US" w:eastAsia="zh-CN"/>
                    </w:rPr>
                    <w:t>mg/m</w:t>
                  </w:r>
                  <w:r>
                    <w:rPr>
                      <w:rFonts w:hint="eastAsia" w:ascii="Times New Roman" w:hAnsi="Times New Roman" w:eastAsia="宋体" w:cs="Times New Roman"/>
                      <w:color w:val="auto"/>
                      <w:sz w:val="21"/>
                      <w:szCs w:val="21"/>
                      <w:highlight w:val="none"/>
                      <w:vertAlign w:val="superscript"/>
                      <w:lang w:val="en-US" w:eastAsia="zh-CN"/>
                    </w:rPr>
                    <w:t>3</w:t>
                  </w:r>
                </w:p>
              </w:tc>
              <w:tc>
                <w:tcPr>
                  <w:tcW w:w="708"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kg/h</w:t>
                  </w:r>
                </w:p>
              </w:tc>
              <w:tc>
                <w:tcPr>
                  <w:tcW w:w="73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trPr>
              <w:tc>
                <w:tcPr>
                  <w:tcW w:w="1087" w:type="dxa"/>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挤塑</w:t>
                  </w:r>
                  <w:r>
                    <w:rPr>
                      <w:rFonts w:hint="eastAsia"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废气</w:t>
                  </w:r>
                </w:p>
              </w:tc>
              <w:tc>
                <w:tcPr>
                  <w:tcW w:w="1205" w:type="dxa"/>
                  <w:vAlign w:val="center"/>
                </w:tcPr>
                <w:p>
                  <w:pPr>
                    <w:jc w:val="center"/>
                    <w:rPr>
                      <w:rFonts w:hint="eastAsia" w:ascii="Times New Roman" w:hAnsi="Times New Roman" w:eastAsia="宋体" w:cs="Times New Roman"/>
                      <w:bCs/>
                      <w:color w:val="auto"/>
                      <w:sz w:val="21"/>
                      <w:szCs w:val="21"/>
                      <w:highlight w:val="none"/>
                      <w:lang w:val="en-US" w:eastAsia="zh-CN"/>
                    </w:rPr>
                  </w:pPr>
                  <w:r>
                    <w:rPr>
                      <w:rFonts w:hint="eastAsia" w:eastAsia="宋体" w:cs="Times New Roman"/>
                      <w:color w:val="auto"/>
                      <w:sz w:val="21"/>
                      <w:szCs w:val="21"/>
                      <w:highlight w:val="none"/>
                      <w:lang w:val="en-US" w:eastAsia="zh-CN"/>
                    </w:rPr>
                    <w:t>非甲烷总烃</w:t>
                  </w:r>
                </w:p>
              </w:tc>
              <w:tc>
                <w:tcPr>
                  <w:tcW w:w="78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22.6</w:t>
                  </w:r>
                </w:p>
              </w:tc>
              <w:tc>
                <w:tcPr>
                  <w:tcW w:w="74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0.269</w:t>
                  </w:r>
                </w:p>
              </w:tc>
              <w:tc>
                <w:tcPr>
                  <w:tcW w:w="75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0.444</w:t>
                  </w:r>
                </w:p>
              </w:tc>
              <w:tc>
                <w:tcPr>
                  <w:tcW w:w="1478" w:type="dxa"/>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集气罩+过滤棉+uv光解+两级活性炭</w:t>
                  </w:r>
                </w:p>
              </w:tc>
              <w:tc>
                <w:tcPr>
                  <w:tcW w:w="82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2.02</w:t>
                  </w:r>
                </w:p>
              </w:tc>
              <w:tc>
                <w:tcPr>
                  <w:tcW w:w="708"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0.024</w:t>
                  </w:r>
                </w:p>
              </w:tc>
              <w:tc>
                <w:tcPr>
                  <w:tcW w:w="73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0.04</w:t>
                  </w:r>
                  <w:r>
                    <w:rPr>
                      <w:rFonts w:hint="eastAsia" w:cs="Times New Roman"/>
                      <w:color w:val="auto"/>
                      <w:sz w:val="21"/>
                      <w:szCs w:val="21"/>
                      <w:highlight w:val="none"/>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1087" w:type="dxa"/>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无组织</w:t>
                  </w:r>
                </w:p>
              </w:tc>
              <w:tc>
                <w:tcPr>
                  <w:tcW w:w="1205" w:type="dxa"/>
                  <w:vAlign w:val="center"/>
                </w:tcPr>
                <w:p>
                  <w:pPr>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非甲烷总烃</w:t>
                  </w:r>
                </w:p>
              </w:tc>
              <w:tc>
                <w:tcPr>
                  <w:tcW w:w="783" w:type="dxa"/>
                  <w:vAlign w:val="center"/>
                </w:tcPr>
                <w:p>
                  <w:pPr>
                    <w:spacing w:line="240" w:lineRule="auto"/>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w:t>
                  </w:r>
                </w:p>
              </w:tc>
              <w:tc>
                <w:tcPr>
                  <w:tcW w:w="745" w:type="dxa"/>
                  <w:vAlign w:val="center"/>
                </w:tcPr>
                <w:p>
                  <w:pPr>
                    <w:spacing w:line="240" w:lineRule="auto"/>
                    <w:jc w:val="center"/>
                    <w:rPr>
                      <w:rFonts w:hint="eastAsia"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w:t>
                  </w:r>
                </w:p>
              </w:tc>
              <w:tc>
                <w:tcPr>
                  <w:tcW w:w="750" w:type="dxa"/>
                  <w:vAlign w:val="center"/>
                </w:tcPr>
                <w:p>
                  <w:pPr>
                    <w:spacing w:line="240" w:lineRule="auto"/>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0.191</w:t>
                  </w:r>
                </w:p>
              </w:tc>
              <w:tc>
                <w:tcPr>
                  <w:tcW w:w="1478" w:type="dxa"/>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加强通风</w:t>
                  </w:r>
                </w:p>
              </w:tc>
              <w:tc>
                <w:tcPr>
                  <w:tcW w:w="825" w:type="dxa"/>
                  <w:vAlign w:val="center"/>
                </w:tcPr>
                <w:p>
                  <w:pPr>
                    <w:spacing w:line="240" w:lineRule="auto"/>
                    <w:jc w:val="center"/>
                    <w:rPr>
                      <w:rFonts w:hint="eastAsia"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w:t>
                  </w:r>
                </w:p>
              </w:tc>
              <w:tc>
                <w:tcPr>
                  <w:tcW w:w="708" w:type="dxa"/>
                  <w:vAlign w:val="center"/>
                </w:tcPr>
                <w:p>
                  <w:pPr>
                    <w:spacing w:line="240" w:lineRule="auto"/>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w:t>
                  </w:r>
                </w:p>
              </w:tc>
              <w:tc>
                <w:tcPr>
                  <w:tcW w:w="735" w:type="dxa"/>
                  <w:vAlign w:val="center"/>
                </w:tcPr>
                <w:p>
                  <w:pPr>
                    <w:spacing w:line="240" w:lineRule="auto"/>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0.191</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根据建设单位提供资料，项目</w:t>
            </w:r>
            <w:r>
              <w:rPr>
                <w:rFonts w:hint="eastAsia" w:cs="Times New Roman"/>
                <w:color w:val="auto"/>
                <w:kern w:val="0"/>
                <w:sz w:val="24"/>
                <w:highlight w:val="none"/>
                <w:lang w:val="en-US" w:eastAsia="zh-CN"/>
              </w:rPr>
              <w:t>塑料打包盒及塑料杯年产量138t，项目有机废气非</w:t>
            </w:r>
            <w:r>
              <w:rPr>
                <w:rFonts w:hint="eastAsia" w:cs="Times New Roman"/>
                <w:color w:val="auto"/>
                <w:kern w:val="0"/>
                <w:sz w:val="24"/>
                <w:szCs w:val="24"/>
                <w:highlight w:val="none"/>
                <w:lang w:val="en-US" w:eastAsia="zh-CN"/>
              </w:rPr>
              <w:t>甲烷总烃年排放量为0.04t，则项目单位产品非甲烷总烃排放量为0.29kg，满足</w:t>
            </w:r>
            <w:r>
              <w:rPr>
                <w:rFonts w:hint="eastAsia" w:cs="Times New Roman"/>
                <w:color w:val="auto"/>
                <w:kern w:val="2"/>
                <w:sz w:val="24"/>
                <w:szCs w:val="24"/>
                <w:highlight w:val="none"/>
                <w:vertAlign w:val="baseline"/>
                <w:lang w:val="en-US" w:eastAsia="zh-CN"/>
              </w:rPr>
              <w:t>《合成树脂工业污染物排放标准》（GB31572-2015）中单位产品非甲烷总烃排放量特别排放限值要求。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（2）废气治理设施可行性分析</w:t>
            </w:r>
          </w:p>
          <w:p>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本项目运营期产生的挤塑废气及吸塑废气经各自集气罩收集后共用一套“过滤棉+uv光解+两级活性炭吸附”装置处理达标后通过15m高排气筒排放。</w:t>
            </w:r>
          </w:p>
          <w:p>
            <w:pPr>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过滤棉：挤塑过程因局部受热不均、单体分布不均等原因，会产生少量气溶胶（表征为颗粒物）产生，为提高后续设施处理有机废气效率，避免气溶胶（表征为颗粒物）引起的堵塞废气治理设施的现象，采用过滤棉进行预处理。</w:t>
            </w:r>
          </w:p>
          <w:p>
            <w:pPr>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UV光解技术原理降解有机废气原理：297纳米的紫外光照射在吸附有TiO2半导体催化剂的物体表面，产生光生电子与光生空穴，与有机废气作用，达到去除有机废气污染物的目的。该技术的关键是具有足够能量的紫外光、吸附有半导体催化剂的催化板。</w:t>
            </w:r>
          </w:p>
          <w:p>
            <w:pPr>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活性炭吸附原理：由于VOCs活性炭表面存在着未平衡和未饱和的分子引力和化学键力，因此当活性炭表面与气体接触时，就能吸引气体分子，使其浓聚并保持在活性炭表面，此现象称为吸附。利用活性炭表面的吸附能力，使废气与活性炭接触，废气中的污染物被吸附在活性炭表面，使其与气体混合物分离，达到净化目的。</w:t>
            </w:r>
          </w:p>
          <w:p>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根据活性炭低温吸附，高温脱附的性质，项目采用活性炭进行吸附还应满足废气处理低温状态，通过对以往验收过的同类型注塑项目进行实地测量，得到注塑废气到达集气罩后的温度处于20~40℃之间，满足活性炭吸附的低温条件。项目有机废气排放量小、浓度低、组分单一，不会造成活性炭空隙经常堵塞而影响去除效率。</w:t>
            </w:r>
            <w:r>
              <w:rPr>
                <w:rFonts w:hint="eastAsia" w:ascii="Times New Roman" w:hAnsi="Times New Roman" w:eastAsia="宋体" w:cs="Times New Roman"/>
                <w:color w:val="auto"/>
                <w:kern w:val="0"/>
                <w:sz w:val="24"/>
                <w:highlight w:val="none"/>
                <w:lang w:val="en-US" w:eastAsia="zh-CN"/>
              </w:rPr>
              <w:t>另</w:t>
            </w:r>
            <w:r>
              <w:rPr>
                <w:rFonts w:hint="default" w:ascii="Times New Roman" w:hAnsi="Times New Roman" w:eastAsia="宋体" w:cs="Times New Roman"/>
                <w:color w:val="auto"/>
                <w:kern w:val="0"/>
                <w:sz w:val="24"/>
                <w:highlight w:val="none"/>
                <w:lang w:val="en-US" w:eastAsia="zh-CN"/>
              </w:rPr>
              <w:t>活性炭材料应满足填充量与每小时处理废气量体积之比不小于1:5000，每1万Nm</w:t>
            </w:r>
            <w:r>
              <w:rPr>
                <w:rFonts w:hint="default" w:ascii="Times New Roman" w:hAnsi="Times New Roman" w:eastAsia="宋体" w:cs="Times New Roman"/>
                <w:color w:val="auto"/>
                <w:kern w:val="0"/>
                <w:sz w:val="24"/>
                <w:highlight w:val="none"/>
                <w:vertAlign w:val="superscript"/>
                <w:lang w:val="en-US" w:eastAsia="zh-CN"/>
              </w:rPr>
              <w:t>3</w:t>
            </w:r>
            <w:r>
              <w:rPr>
                <w:rFonts w:hint="default" w:ascii="Times New Roman" w:hAnsi="Times New Roman" w:eastAsia="宋体" w:cs="Times New Roman"/>
                <w:color w:val="auto"/>
                <w:kern w:val="0"/>
                <w:sz w:val="24"/>
                <w:highlight w:val="none"/>
                <w:lang w:val="en-US" w:eastAsia="zh-CN"/>
              </w:rPr>
              <w:t>/h 废气处理蜂窝活性炭吸附截面积不小于2.3 m</w:t>
            </w:r>
            <w:r>
              <w:rPr>
                <w:rFonts w:hint="default" w:ascii="Times New Roman" w:hAnsi="Times New Roman" w:eastAsia="宋体" w:cs="Times New Roman"/>
                <w:color w:val="auto"/>
                <w:kern w:val="0"/>
                <w:sz w:val="24"/>
                <w:highlight w:val="none"/>
                <w:vertAlign w:val="superscript"/>
                <w:lang w:val="en-US" w:eastAsia="zh-CN"/>
              </w:rPr>
              <w:t>2</w:t>
            </w:r>
            <w:r>
              <w:rPr>
                <w:rFonts w:hint="default" w:ascii="Times New Roman" w:hAnsi="Times New Roman"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根据《2020年挥发性有机物治理攻坚方案》要求，采用活性炭吸附技术的，需采用“碘值不低于800毫克/克的活性炭”且足量添加、及时更换；做好更换时间及使用量的记录工作。</w:t>
            </w:r>
            <w:r>
              <w:rPr>
                <w:rFonts w:hint="default" w:ascii="Times New Roman" w:hAnsi="Times New Roman" w:eastAsia="宋体" w:cs="Times New Roman"/>
                <w:color w:val="auto"/>
                <w:kern w:val="0"/>
                <w:sz w:val="24"/>
                <w:highlight w:val="none"/>
                <w:lang w:val="en-US" w:eastAsia="zh-CN"/>
              </w:rPr>
              <w:t>活性炭应装填齐整，避免气流短路，活性炭装置在满足填料要求下，企业通过加大活性炭更换频率，2个月更换一次，来提高活性炭的吸附效率。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0"/>
                <w:sz w:val="24"/>
                <w:highlight w:val="none"/>
                <w:lang w:val="en-US" w:eastAsia="zh-CN"/>
              </w:rPr>
              <w:t>挤塑废气及吸塑废气</w:t>
            </w:r>
            <w:r>
              <w:rPr>
                <w:rFonts w:hint="eastAsia" w:eastAsia="宋体" w:cs="Times New Roman"/>
                <w:color w:val="auto"/>
                <w:kern w:val="0"/>
                <w:sz w:val="24"/>
                <w:highlight w:val="none"/>
                <w:lang w:val="en-US" w:eastAsia="zh-CN"/>
              </w:rPr>
              <w:t>经各自集气罩收集后共用一套</w:t>
            </w:r>
            <w:r>
              <w:rPr>
                <w:rFonts w:hint="eastAsia" w:ascii="Times New Roman" w:hAnsi="Times New Roman" w:eastAsia="宋体" w:cs="Times New Roman"/>
                <w:color w:val="auto"/>
                <w:kern w:val="0"/>
                <w:sz w:val="24"/>
                <w:highlight w:val="none"/>
                <w:lang w:val="en-US" w:eastAsia="zh-CN"/>
              </w:rPr>
              <w:t>“过滤棉+UV</w:t>
            </w:r>
            <w:r>
              <w:rPr>
                <w:rFonts w:hint="eastAsia" w:cs="Times New Roman"/>
                <w:color w:val="auto"/>
                <w:kern w:val="0"/>
                <w:sz w:val="24"/>
                <w:highlight w:val="none"/>
                <w:lang w:val="en-US" w:eastAsia="zh-CN"/>
              </w:rPr>
              <w:t>光解</w:t>
            </w:r>
            <w:r>
              <w:rPr>
                <w:rFonts w:hint="eastAsia" w:ascii="Times New Roman" w:hAnsi="Times New Roman" w:eastAsia="宋体" w:cs="Times New Roman"/>
                <w:color w:val="auto"/>
                <w:kern w:val="0"/>
                <w:sz w:val="24"/>
                <w:highlight w:val="none"/>
                <w:lang w:val="en-US" w:eastAsia="zh-CN"/>
              </w:rPr>
              <w:t>+两级活性炭吸附”装置属于《排污许可证申请与核发技术规范橡胶和塑料制品工业》（HJ1122—2020）中附录A.2废气污染防治推荐可行技术。</w:t>
            </w:r>
          </w:p>
          <w:p>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（3）排放口基本情况</w:t>
            </w:r>
          </w:p>
          <w:p>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项目废气排放口基本情况，详见下表。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表4-</w:t>
            </w:r>
            <w:r>
              <w:rPr>
                <w:rFonts w:hint="eastAsia" w:cs="Times New Roman"/>
                <w:color w:val="auto"/>
                <w:kern w:val="0"/>
                <w:sz w:val="24"/>
                <w:highlight w:val="none"/>
                <w:lang w:val="en-US" w:eastAsia="zh-CN"/>
              </w:rPr>
              <w:t>2</w:t>
            </w:r>
            <w:r>
              <w:rPr>
                <w:rFonts w:hint="eastAsia" w:ascii="Times New Roman" w:hAnsi="Times New Roman" w:eastAsia="宋体" w:cs="Times New Roman"/>
                <w:color w:val="auto"/>
                <w:kern w:val="0"/>
                <w:sz w:val="24"/>
                <w:highlight w:val="none"/>
                <w:lang w:val="en-US" w:eastAsia="zh-CN"/>
              </w:rPr>
              <w:t xml:space="preserve">  废气有组织排放基本情况一览表</w:t>
            </w:r>
          </w:p>
          <w:tbl>
            <w:tblPr>
              <w:tblStyle w:val="16"/>
              <w:tblW w:w="83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100"/>
              <w:gridCol w:w="847"/>
              <w:gridCol w:w="932"/>
              <w:gridCol w:w="932"/>
              <w:gridCol w:w="932"/>
              <w:gridCol w:w="932"/>
              <w:gridCol w:w="932"/>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849" w:type="dxa"/>
                  <w:vMerge w:val="restart"/>
                  <w:noWrap w:val="0"/>
                  <w:vAlign w:val="center"/>
                </w:tcPr>
                <w:p>
                  <w:pPr>
                    <w:pStyle w:val="20"/>
                    <w:widowControl/>
                    <w:spacing w:beforeLines="0" w:afterLines="0" w:line="240" w:lineRule="auto"/>
                    <w:rPr>
                      <w:rFonts w:hint="eastAsia" w:ascii="Times New Roman"/>
                      <w:color w:val="auto"/>
                      <w:szCs w:val="21"/>
                      <w:highlight w:val="none"/>
                      <w:lang w:val="en-US" w:eastAsia="zh-CN"/>
                    </w:rPr>
                  </w:pPr>
                  <w:r>
                    <w:rPr>
                      <w:rFonts w:hint="eastAsia" w:ascii="Times New Roman"/>
                      <w:color w:val="auto"/>
                      <w:szCs w:val="21"/>
                      <w:highlight w:val="none"/>
                      <w:lang w:val="en-US" w:eastAsia="zh-CN"/>
                    </w:rPr>
                    <w:t>排放口</w:t>
                  </w:r>
                </w:p>
                <w:p>
                  <w:pPr>
                    <w:pStyle w:val="20"/>
                    <w:widowControl/>
                    <w:spacing w:beforeLines="0" w:afterLines="0" w:line="240" w:lineRule="auto"/>
                    <w:rPr>
                      <w:rFonts w:hint="eastAsia" w:ascii="Times New Roman"/>
                      <w:color w:val="auto"/>
                      <w:kern w:val="0"/>
                      <w:sz w:val="21"/>
                      <w:szCs w:val="21"/>
                      <w:highlight w:val="none"/>
                      <w:lang w:val="en-US" w:eastAsia="zh-CN" w:bidi="ar-SA"/>
                    </w:rPr>
                  </w:pPr>
                  <w:r>
                    <w:rPr>
                      <w:rFonts w:ascii="Times New Roman"/>
                      <w:color w:val="auto"/>
                      <w:szCs w:val="21"/>
                      <w:highlight w:val="none"/>
                      <w:lang w:val="en-US" w:eastAsia="zh-CN"/>
                    </w:rPr>
                    <w:t>编号</w:t>
                  </w:r>
                </w:p>
              </w:tc>
              <w:tc>
                <w:tcPr>
                  <w:tcW w:w="1100" w:type="dxa"/>
                  <w:vMerge w:val="restart"/>
                  <w:noWrap w:val="0"/>
                  <w:vAlign w:val="center"/>
                </w:tcPr>
                <w:p>
                  <w:pPr>
                    <w:pStyle w:val="20"/>
                    <w:widowControl/>
                    <w:spacing w:beforeLines="0" w:afterLines="0" w:line="240" w:lineRule="auto"/>
                    <w:rPr>
                      <w:rFonts w:hint="eastAsia" w:ascii="Times New Roman"/>
                      <w:color w:val="auto"/>
                      <w:szCs w:val="21"/>
                      <w:highlight w:val="none"/>
                      <w:lang w:val="en-US" w:eastAsia="zh-CN"/>
                    </w:rPr>
                  </w:pPr>
                  <w:r>
                    <w:rPr>
                      <w:rFonts w:hint="eastAsia" w:ascii="Times New Roman"/>
                      <w:color w:val="auto"/>
                      <w:szCs w:val="21"/>
                      <w:highlight w:val="none"/>
                      <w:lang w:val="en-US" w:eastAsia="zh-CN"/>
                    </w:rPr>
                    <w:t>排放口</w:t>
                  </w:r>
                </w:p>
                <w:p>
                  <w:pPr>
                    <w:pStyle w:val="20"/>
                    <w:widowControl/>
                    <w:spacing w:beforeLines="0" w:afterLines="0" w:line="240" w:lineRule="auto"/>
                    <w:rPr>
                      <w:rFonts w:hint="eastAsia" w:ascii="Times New Roman"/>
                      <w:color w:val="auto"/>
                      <w:kern w:val="0"/>
                      <w:sz w:val="21"/>
                      <w:szCs w:val="21"/>
                      <w:highlight w:val="none"/>
                      <w:lang w:val="en-US" w:eastAsia="zh-CN" w:bidi="ar-SA"/>
                    </w:rPr>
                  </w:pPr>
                  <w:r>
                    <w:rPr>
                      <w:rFonts w:ascii="Times New Roman"/>
                      <w:color w:val="auto"/>
                      <w:szCs w:val="21"/>
                      <w:highlight w:val="none"/>
                      <w:lang w:val="en-US" w:eastAsia="zh-CN"/>
                    </w:rPr>
                    <w:t>名称</w:t>
                  </w:r>
                </w:p>
              </w:tc>
              <w:tc>
                <w:tcPr>
                  <w:tcW w:w="847" w:type="dxa"/>
                  <w:vMerge w:val="restart"/>
                  <w:noWrap w:val="0"/>
                  <w:vAlign w:val="center"/>
                </w:tcPr>
                <w:p>
                  <w:pPr>
                    <w:pStyle w:val="20"/>
                    <w:widowControl/>
                    <w:spacing w:beforeLines="0" w:afterLines="0" w:line="240" w:lineRule="auto"/>
                    <w:rPr>
                      <w:rFonts w:hint="eastAsia" w:ascii="Times New Roman"/>
                      <w:color w:val="auto"/>
                      <w:kern w:val="0"/>
                      <w:sz w:val="21"/>
                      <w:szCs w:val="21"/>
                      <w:highlight w:val="none"/>
                      <w:lang w:val="en-US" w:eastAsia="zh-CN" w:bidi="ar-SA"/>
                    </w:rPr>
                  </w:pPr>
                  <w:r>
                    <w:rPr>
                      <w:rFonts w:hint="eastAsia" w:ascii="Times New Roman"/>
                      <w:color w:val="auto"/>
                      <w:szCs w:val="21"/>
                      <w:highlight w:val="none"/>
                      <w:lang w:val="en-US" w:eastAsia="zh-CN"/>
                    </w:rPr>
                    <w:t>排放口</w:t>
                  </w:r>
                  <w:r>
                    <w:rPr>
                      <w:rFonts w:ascii="Times New Roman"/>
                      <w:color w:val="auto"/>
                      <w:szCs w:val="21"/>
                      <w:highlight w:val="none"/>
                      <w:lang w:val="en-US" w:eastAsia="zh-CN"/>
                    </w:rPr>
                    <w:t>类型</w:t>
                  </w:r>
                </w:p>
              </w:tc>
              <w:tc>
                <w:tcPr>
                  <w:tcW w:w="1864" w:type="dxa"/>
                  <w:gridSpan w:val="2"/>
                  <w:noWrap w:val="0"/>
                  <w:vAlign w:val="center"/>
                </w:tcPr>
                <w:p>
                  <w:pPr>
                    <w:pStyle w:val="20"/>
                    <w:widowControl/>
                    <w:spacing w:beforeLines="0" w:afterLines="0" w:line="240" w:lineRule="auto"/>
                    <w:rPr>
                      <w:rFonts w:hint="eastAsia" w:ascii="Times New Roman"/>
                      <w:color w:val="auto"/>
                      <w:kern w:val="0"/>
                      <w:sz w:val="21"/>
                      <w:szCs w:val="21"/>
                      <w:highlight w:val="none"/>
                      <w:lang w:val="en-US" w:eastAsia="zh-CN" w:bidi="ar-SA"/>
                    </w:rPr>
                  </w:pPr>
                  <w:r>
                    <w:rPr>
                      <w:rFonts w:hint="eastAsia" w:ascii="Times New Roman"/>
                      <w:color w:val="auto"/>
                      <w:szCs w:val="21"/>
                      <w:highlight w:val="none"/>
                      <w:lang w:val="en-US" w:eastAsia="zh-CN"/>
                    </w:rPr>
                    <w:t>排放口</w:t>
                  </w:r>
                  <w:r>
                    <w:rPr>
                      <w:rFonts w:ascii="Times New Roman"/>
                      <w:color w:val="auto"/>
                      <w:szCs w:val="21"/>
                      <w:highlight w:val="none"/>
                      <w:lang w:val="en-US" w:eastAsia="zh-CN"/>
                    </w:rPr>
                    <w:t>地理坐标</w:t>
                  </w:r>
                </w:p>
              </w:tc>
              <w:tc>
                <w:tcPr>
                  <w:tcW w:w="932" w:type="dxa"/>
                  <w:vMerge w:val="restart"/>
                  <w:noWrap w:val="0"/>
                  <w:vAlign w:val="center"/>
                </w:tcPr>
                <w:p>
                  <w:pPr>
                    <w:pStyle w:val="20"/>
                    <w:widowControl/>
                    <w:spacing w:beforeLines="0" w:afterLines="0" w:line="240" w:lineRule="auto"/>
                    <w:rPr>
                      <w:rFonts w:hint="eastAsia" w:ascii="Times New Roman"/>
                      <w:color w:val="auto"/>
                      <w:kern w:val="0"/>
                      <w:sz w:val="21"/>
                      <w:szCs w:val="21"/>
                      <w:highlight w:val="none"/>
                      <w:lang w:val="en-US" w:eastAsia="zh-CN" w:bidi="ar-SA"/>
                    </w:rPr>
                  </w:pPr>
                  <w:r>
                    <w:rPr>
                      <w:rFonts w:ascii="Times New Roman"/>
                      <w:color w:val="auto"/>
                      <w:szCs w:val="21"/>
                      <w:highlight w:val="none"/>
                      <w:lang w:val="en-US" w:eastAsia="zh-CN"/>
                    </w:rPr>
                    <w:t>高度（m）</w:t>
                  </w:r>
                </w:p>
              </w:tc>
              <w:tc>
                <w:tcPr>
                  <w:tcW w:w="932" w:type="dxa"/>
                  <w:vMerge w:val="restart"/>
                  <w:noWrap w:val="0"/>
                  <w:vAlign w:val="center"/>
                </w:tcPr>
                <w:p>
                  <w:pPr>
                    <w:pStyle w:val="20"/>
                    <w:widowControl/>
                    <w:spacing w:beforeLines="0" w:afterLines="0" w:line="240" w:lineRule="auto"/>
                    <w:rPr>
                      <w:rFonts w:ascii="Times New Roman"/>
                      <w:color w:val="auto"/>
                      <w:szCs w:val="21"/>
                      <w:highlight w:val="none"/>
                      <w:lang w:val="en-US" w:eastAsia="zh-CN"/>
                    </w:rPr>
                  </w:pPr>
                  <w:r>
                    <w:rPr>
                      <w:rFonts w:ascii="Times New Roman"/>
                      <w:color w:val="auto"/>
                      <w:szCs w:val="21"/>
                      <w:highlight w:val="none"/>
                      <w:lang w:val="en-US" w:eastAsia="zh-CN"/>
                    </w:rPr>
                    <w:t>内径</w:t>
                  </w:r>
                </w:p>
                <w:p>
                  <w:pPr>
                    <w:pStyle w:val="20"/>
                    <w:widowControl/>
                    <w:spacing w:beforeLines="0" w:afterLines="0" w:line="240" w:lineRule="auto"/>
                    <w:rPr>
                      <w:rFonts w:hint="eastAsia" w:ascii="Times New Roman"/>
                      <w:color w:val="auto"/>
                      <w:kern w:val="0"/>
                      <w:sz w:val="21"/>
                      <w:szCs w:val="21"/>
                      <w:highlight w:val="none"/>
                      <w:lang w:val="en-US" w:eastAsia="zh-CN" w:bidi="ar-SA"/>
                    </w:rPr>
                  </w:pPr>
                  <w:r>
                    <w:rPr>
                      <w:rFonts w:ascii="Times New Roman"/>
                      <w:color w:val="auto"/>
                      <w:szCs w:val="21"/>
                      <w:highlight w:val="none"/>
                      <w:lang w:val="en-US" w:eastAsia="zh-CN"/>
                    </w:rPr>
                    <w:t>（m）</w:t>
                  </w:r>
                </w:p>
              </w:tc>
              <w:tc>
                <w:tcPr>
                  <w:tcW w:w="932" w:type="dxa"/>
                  <w:vMerge w:val="restart"/>
                  <w:noWrap w:val="0"/>
                  <w:vAlign w:val="center"/>
                </w:tcPr>
                <w:p>
                  <w:pPr>
                    <w:pStyle w:val="20"/>
                    <w:widowControl/>
                    <w:spacing w:beforeLines="0" w:afterLines="0" w:line="240" w:lineRule="auto"/>
                    <w:rPr>
                      <w:rFonts w:ascii="Times New Roman"/>
                      <w:color w:val="auto"/>
                      <w:szCs w:val="21"/>
                      <w:highlight w:val="none"/>
                      <w:lang w:val="en-US" w:eastAsia="zh-CN"/>
                    </w:rPr>
                  </w:pPr>
                  <w:r>
                    <w:rPr>
                      <w:rFonts w:ascii="Times New Roman"/>
                      <w:color w:val="auto"/>
                      <w:szCs w:val="21"/>
                      <w:highlight w:val="none"/>
                      <w:lang w:val="en-US" w:eastAsia="zh-CN"/>
                    </w:rPr>
                    <w:t>风速</w:t>
                  </w:r>
                </w:p>
                <w:p>
                  <w:pPr>
                    <w:pStyle w:val="20"/>
                    <w:widowControl/>
                    <w:spacing w:beforeLines="0" w:afterLines="0" w:line="240" w:lineRule="auto"/>
                    <w:rPr>
                      <w:rFonts w:hint="eastAsia" w:ascii="Times New Roman"/>
                      <w:color w:val="auto"/>
                      <w:kern w:val="0"/>
                      <w:sz w:val="21"/>
                      <w:szCs w:val="21"/>
                      <w:highlight w:val="none"/>
                      <w:lang w:val="en-US" w:eastAsia="zh-CN" w:bidi="ar-SA"/>
                    </w:rPr>
                  </w:pPr>
                  <w:r>
                    <w:rPr>
                      <w:rFonts w:ascii="Times New Roman"/>
                      <w:color w:val="auto"/>
                      <w:szCs w:val="21"/>
                      <w:highlight w:val="none"/>
                      <w:lang w:val="en-US" w:eastAsia="zh-CN"/>
                    </w:rPr>
                    <w:t>（m/s）</w:t>
                  </w:r>
                </w:p>
              </w:tc>
              <w:tc>
                <w:tcPr>
                  <w:tcW w:w="933" w:type="dxa"/>
                  <w:vMerge w:val="restart"/>
                  <w:noWrap w:val="0"/>
                  <w:vAlign w:val="center"/>
                </w:tcPr>
                <w:p>
                  <w:pPr>
                    <w:pStyle w:val="20"/>
                    <w:widowControl/>
                    <w:spacing w:beforeLines="0" w:afterLines="0" w:line="240" w:lineRule="auto"/>
                    <w:rPr>
                      <w:rFonts w:ascii="Times New Roman"/>
                      <w:color w:val="auto"/>
                      <w:szCs w:val="21"/>
                      <w:highlight w:val="none"/>
                      <w:lang w:val="en-US" w:eastAsia="zh-CN"/>
                    </w:rPr>
                  </w:pPr>
                  <w:r>
                    <w:rPr>
                      <w:rFonts w:ascii="Times New Roman"/>
                      <w:color w:val="auto"/>
                      <w:szCs w:val="21"/>
                      <w:highlight w:val="none"/>
                      <w:lang w:val="en-US" w:eastAsia="zh-CN"/>
                    </w:rPr>
                    <w:t>温度</w:t>
                  </w:r>
                </w:p>
                <w:p>
                  <w:pPr>
                    <w:pStyle w:val="20"/>
                    <w:widowControl/>
                    <w:spacing w:beforeLines="0" w:afterLines="0" w:line="240" w:lineRule="auto"/>
                    <w:rPr>
                      <w:rFonts w:hint="eastAsia" w:ascii="Times New Roman"/>
                      <w:color w:val="auto"/>
                      <w:kern w:val="0"/>
                      <w:sz w:val="21"/>
                      <w:szCs w:val="21"/>
                      <w:highlight w:val="none"/>
                      <w:lang w:val="en-US" w:eastAsia="zh-CN" w:bidi="ar-SA"/>
                    </w:rPr>
                  </w:pPr>
                  <w:r>
                    <w:rPr>
                      <w:rFonts w:ascii="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auto"/>
                      <w:sz w:val="21"/>
                      <w:szCs w:val="21"/>
                      <w:highlight w:val="none"/>
                      <w:vertAlign w:val="baseline"/>
                    </w:rPr>
                  </w:pPr>
                </w:p>
              </w:tc>
              <w:tc>
                <w:tcPr>
                  <w:tcW w:w="110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auto"/>
                      <w:sz w:val="21"/>
                      <w:szCs w:val="21"/>
                      <w:highlight w:val="none"/>
                      <w:vertAlign w:val="baseline"/>
                    </w:rPr>
                  </w:pPr>
                </w:p>
              </w:tc>
              <w:tc>
                <w:tcPr>
                  <w:tcW w:w="847"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auto"/>
                      <w:sz w:val="21"/>
                      <w:szCs w:val="21"/>
                      <w:highlight w:val="none"/>
                      <w:vertAlign w:val="baseline"/>
                    </w:rPr>
                  </w:pPr>
                </w:p>
              </w:tc>
              <w:tc>
                <w:tcPr>
                  <w:tcW w:w="93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经度</w:t>
                  </w:r>
                </w:p>
              </w:tc>
              <w:tc>
                <w:tcPr>
                  <w:tcW w:w="93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维度</w:t>
                  </w:r>
                </w:p>
              </w:tc>
              <w:tc>
                <w:tcPr>
                  <w:tcW w:w="932"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auto"/>
                      <w:sz w:val="21"/>
                      <w:szCs w:val="21"/>
                      <w:highlight w:val="none"/>
                      <w:vertAlign w:val="baseline"/>
                    </w:rPr>
                  </w:pPr>
                </w:p>
              </w:tc>
              <w:tc>
                <w:tcPr>
                  <w:tcW w:w="932"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auto"/>
                      <w:sz w:val="21"/>
                      <w:szCs w:val="21"/>
                      <w:highlight w:val="none"/>
                      <w:vertAlign w:val="baseline"/>
                    </w:rPr>
                  </w:pPr>
                </w:p>
              </w:tc>
              <w:tc>
                <w:tcPr>
                  <w:tcW w:w="932"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auto"/>
                      <w:sz w:val="21"/>
                      <w:szCs w:val="21"/>
                      <w:highlight w:val="none"/>
                      <w:vertAlign w:val="baseline"/>
                    </w:rPr>
                  </w:pPr>
                </w:p>
              </w:tc>
              <w:tc>
                <w:tcPr>
                  <w:tcW w:w="933"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DA001</w:t>
                  </w:r>
                </w:p>
              </w:tc>
              <w:tc>
                <w:tcPr>
                  <w:tcW w:w="110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挤塑废气及吸塑废气排气筒</w:t>
                  </w:r>
                </w:p>
              </w:tc>
              <w:tc>
                <w:tcPr>
                  <w:tcW w:w="84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一般排放口</w:t>
                  </w:r>
                </w:p>
              </w:tc>
              <w:tc>
                <w:tcPr>
                  <w:tcW w:w="93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105.98240376</w:t>
                  </w:r>
                </w:p>
              </w:tc>
              <w:tc>
                <w:tcPr>
                  <w:tcW w:w="93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color w:val="auto"/>
                      <w:sz w:val="21"/>
                      <w:szCs w:val="21"/>
                      <w:highlight w:val="none"/>
                      <w:vertAlign w:val="baseline"/>
                      <w:lang w:val="en-US" w:eastAsia="zh-CN"/>
                    </w:rPr>
                  </w:pPr>
                  <w:r>
                    <w:rPr>
                      <w:rFonts w:hint="eastAsia" w:eastAsia="宋体"/>
                      <w:color w:val="auto"/>
                      <w:sz w:val="21"/>
                      <w:szCs w:val="21"/>
                      <w:highlight w:val="none"/>
                      <w:vertAlign w:val="baseline"/>
                      <w:lang w:val="en-US" w:eastAsia="zh-CN"/>
                    </w:rPr>
                    <w:t>29.85460639</w:t>
                  </w:r>
                </w:p>
              </w:tc>
              <w:tc>
                <w:tcPr>
                  <w:tcW w:w="93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15</w:t>
                  </w:r>
                </w:p>
              </w:tc>
              <w:tc>
                <w:tcPr>
                  <w:tcW w:w="93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0.55</w:t>
                  </w:r>
                </w:p>
              </w:tc>
              <w:tc>
                <w:tcPr>
                  <w:tcW w:w="93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14</w:t>
                  </w:r>
                </w:p>
              </w:tc>
              <w:tc>
                <w:tcPr>
                  <w:tcW w:w="933"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25</w:t>
                  </w:r>
                </w:p>
              </w:tc>
            </w:tr>
          </w:tbl>
          <w:p>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（4）大气污染物排放核算</w:t>
            </w:r>
          </w:p>
          <w:p>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项目大气污染物排放量核算表，详见下表。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表4-</w:t>
            </w:r>
            <w:r>
              <w:rPr>
                <w:rFonts w:hint="eastAsia" w:cs="Times New Roman"/>
                <w:color w:val="auto"/>
                <w:kern w:val="0"/>
                <w:sz w:val="24"/>
                <w:highlight w:val="none"/>
                <w:lang w:val="en-US" w:eastAsia="zh-CN"/>
              </w:rPr>
              <w:t>3</w:t>
            </w:r>
            <w:r>
              <w:rPr>
                <w:rFonts w:hint="eastAsia" w:ascii="Times New Roman" w:hAnsi="Times New Roman" w:eastAsia="宋体" w:cs="Times New Roman"/>
                <w:color w:val="auto"/>
                <w:kern w:val="0"/>
                <w:sz w:val="24"/>
                <w:highlight w:val="none"/>
                <w:lang w:val="en-US" w:eastAsia="zh-CN"/>
              </w:rPr>
              <w:t xml:space="preserve"> 大气污染物有组织排放核算表</w:t>
            </w:r>
          </w:p>
          <w:tbl>
            <w:tblPr>
              <w:tblStyle w:val="16"/>
              <w:tblW w:w="83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298"/>
              <w:gridCol w:w="1271"/>
              <w:gridCol w:w="1893"/>
              <w:gridCol w:w="1677"/>
              <w:gridCol w:w="1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63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序号</w:t>
                  </w:r>
                </w:p>
              </w:tc>
              <w:tc>
                <w:tcPr>
                  <w:tcW w:w="1298"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排放口编号</w:t>
                  </w:r>
                </w:p>
              </w:tc>
              <w:tc>
                <w:tcPr>
                  <w:tcW w:w="127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污染物</w:t>
                  </w:r>
                </w:p>
              </w:tc>
              <w:tc>
                <w:tcPr>
                  <w:tcW w:w="1893"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核算年排放量t/a</w:t>
                  </w:r>
                </w:p>
              </w:tc>
              <w:tc>
                <w:tcPr>
                  <w:tcW w:w="1677" w:type="dxa"/>
                  <w:noWrap w:val="0"/>
                  <w:vAlign w:val="center"/>
                </w:tcPr>
                <w:p>
                  <w:pPr>
                    <w:pStyle w:val="21"/>
                    <w:snapToGrid w:val="0"/>
                    <w:jc w:val="center"/>
                    <w:rPr>
                      <w:rFonts w:hint="eastAsia" w:ascii="Times New Roman" w:hAnsi="Calibri" w:eastAsia="宋体" w:cs="Times New Roman"/>
                      <w:bCs/>
                      <w:color w:val="auto"/>
                      <w:kern w:val="2"/>
                      <w:sz w:val="21"/>
                      <w:szCs w:val="21"/>
                      <w:highlight w:val="none"/>
                      <w:lang w:val="en-US" w:eastAsia="zh-CN" w:bidi="ar-SA"/>
                    </w:rPr>
                  </w:pPr>
                  <w:r>
                    <w:rPr>
                      <w:rFonts w:ascii="Times New Roman" w:eastAsia="宋体" w:cs="Times New Roman"/>
                      <w:bCs/>
                      <w:color w:val="auto"/>
                      <w:kern w:val="2"/>
                      <w:sz w:val="21"/>
                      <w:szCs w:val="21"/>
                      <w:highlight w:val="none"/>
                    </w:rPr>
                    <w:t>核算排放速率kg/h</w:t>
                  </w:r>
                </w:p>
              </w:tc>
              <w:tc>
                <w:tcPr>
                  <w:tcW w:w="1543" w:type="dxa"/>
                  <w:noWrap w:val="0"/>
                  <w:vAlign w:val="center"/>
                </w:tcPr>
                <w:p>
                  <w:pPr>
                    <w:pStyle w:val="21"/>
                    <w:snapToGrid w:val="0"/>
                    <w:jc w:val="center"/>
                    <w:rPr>
                      <w:rFonts w:hint="eastAsia" w:ascii="Times New Roman" w:hAnsi="Calibri" w:eastAsia="宋体" w:cs="Times New Roman"/>
                      <w:bCs/>
                      <w:color w:val="auto"/>
                      <w:kern w:val="2"/>
                      <w:sz w:val="21"/>
                      <w:szCs w:val="21"/>
                      <w:highlight w:val="none"/>
                      <w:lang w:val="en-US" w:eastAsia="zh-CN" w:bidi="ar-SA"/>
                    </w:rPr>
                  </w:pPr>
                  <w:r>
                    <w:rPr>
                      <w:rFonts w:ascii="Times New Roman" w:eastAsia="宋体" w:cs="Times New Roman"/>
                      <w:bCs/>
                      <w:color w:val="auto"/>
                      <w:kern w:val="2"/>
                      <w:sz w:val="21"/>
                      <w:szCs w:val="21"/>
                      <w:highlight w:val="none"/>
                    </w:rPr>
                    <w:t>核算排放浓度mg/m</w:t>
                  </w:r>
                  <w:r>
                    <w:rPr>
                      <w:rFonts w:ascii="Times New Roman" w:eastAsia="宋体" w:cs="Times New Roman"/>
                      <w:bCs/>
                      <w:color w:val="auto"/>
                      <w:kern w:val="2"/>
                      <w:sz w:val="21"/>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w:t>
                  </w:r>
                </w:p>
              </w:tc>
              <w:tc>
                <w:tcPr>
                  <w:tcW w:w="1298"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DA00</w:t>
                  </w:r>
                  <w:r>
                    <w:rPr>
                      <w:rFonts w:hint="eastAsia" w:cs="Times New Roman"/>
                      <w:color w:val="auto"/>
                      <w:sz w:val="21"/>
                      <w:szCs w:val="21"/>
                      <w:highlight w:val="none"/>
                      <w:vertAlign w:val="baseline"/>
                      <w:lang w:val="en-US" w:eastAsia="zh-CN"/>
                    </w:rPr>
                    <w:t>1</w:t>
                  </w:r>
                </w:p>
              </w:tc>
              <w:tc>
                <w:tcPr>
                  <w:tcW w:w="127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非甲烷总烃</w:t>
                  </w:r>
                </w:p>
              </w:tc>
              <w:tc>
                <w:tcPr>
                  <w:tcW w:w="1893"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0.04</w:t>
                  </w:r>
                </w:p>
              </w:tc>
              <w:tc>
                <w:tcPr>
                  <w:tcW w:w="1677" w:type="dxa"/>
                  <w:noWrap w:val="0"/>
                  <w:vAlign w:val="center"/>
                </w:tcPr>
                <w:p>
                  <w:pPr>
                    <w:snapToGrid w:val="0"/>
                    <w:jc w:val="center"/>
                    <w:rPr>
                      <w:rFonts w:hint="default" w:ascii="Times New Roman" w:eastAsia="宋体" w:cs="Times New Roman"/>
                      <w:bCs/>
                      <w:color w:val="auto"/>
                      <w:kern w:val="2"/>
                      <w:sz w:val="21"/>
                      <w:szCs w:val="21"/>
                      <w:highlight w:val="none"/>
                      <w:lang w:val="en-US" w:eastAsia="zh-CN"/>
                    </w:rPr>
                  </w:pPr>
                  <w:r>
                    <w:rPr>
                      <w:rFonts w:hint="eastAsia" w:ascii="Times New Roman" w:eastAsia="宋体" w:cs="Times New Roman"/>
                      <w:bCs/>
                      <w:color w:val="auto"/>
                      <w:kern w:val="2"/>
                      <w:sz w:val="21"/>
                      <w:szCs w:val="21"/>
                      <w:highlight w:val="none"/>
                      <w:lang w:val="en-US" w:eastAsia="zh-CN"/>
                    </w:rPr>
                    <w:t>0.0</w:t>
                  </w:r>
                  <w:r>
                    <w:rPr>
                      <w:rFonts w:hint="eastAsia" w:cs="Times New Roman"/>
                      <w:bCs/>
                      <w:color w:val="auto"/>
                      <w:kern w:val="2"/>
                      <w:sz w:val="21"/>
                      <w:szCs w:val="21"/>
                      <w:highlight w:val="none"/>
                      <w:lang w:val="en-US" w:eastAsia="zh-CN"/>
                    </w:rPr>
                    <w:t>24</w:t>
                  </w:r>
                </w:p>
              </w:tc>
              <w:tc>
                <w:tcPr>
                  <w:tcW w:w="1543" w:type="dxa"/>
                  <w:noWrap w:val="0"/>
                  <w:vAlign w:val="center"/>
                </w:tcPr>
                <w:p>
                  <w:pPr>
                    <w:snapToGrid w:val="0"/>
                    <w:jc w:val="center"/>
                    <w:rPr>
                      <w:rFonts w:hint="default" w:asci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2</w:t>
                  </w:r>
                </w:p>
              </w:tc>
              <w:tc>
                <w:tcPr>
                  <w:tcW w:w="1298"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27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颗粒物</w:t>
                  </w:r>
                </w:p>
              </w:tc>
              <w:tc>
                <w:tcPr>
                  <w:tcW w:w="1893"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c>
                <w:tcPr>
                  <w:tcW w:w="1677" w:type="dxa"/>
                  <w:noWrap w:val="0"/>
                  <w:vAlign w:val="center"/>
                </w:tcPr>
                <w:p>
                  <w:pPr>
                    <w:snapToGrid w:val="0"/>
                    <w:jc w:val="center"/>
                    <w:rPr>
                      <w:rFonts w:hint="eastAsia" w:ascii="Times New Roman" w:eastAsia="宋体" w:cs="Times New Roman"/>
                      <w:bCs/>
                      <w:color w:val="auto"/>
                      <w:kern w:val="2"/>
                      <w:sz w:val="21"/>
                      <w:szCs w:val="21"/>
                      <w:highlight w:val="none"/>
                      <w:lang w:val="en-US" w:eastAsia="zh-CN"/>
                    </w:rPr>
                  </w:pPr>
                  <w:r>
                    <w:rPr>
                      <w:rFonts w:hint="eastAsia" w:ascii="Times New Roman" w:eastAsia="宋体" w:cs="Times New Roman"/>
                      <w:bCs/>
                      <w:color w:val="auto"/>
                      <w:kern w:val="2"/>
                      <w:sz w:val="21"/>
                      <w:szCs w:val="21"/>
                      <w:highlight w:val="none"/>
                      <w:lang w:val="en-US" w:eastAsia="zh-CN"/>
                    </w:rPr>
                    <w:t>/</w:t>
                  </w:r>
                </w:p>
              </w:tc>
              <w:tc>
                <w:tcPr>
                  <w:tcW w:w="1543" w:type="dxa"/>
                  <w:noWrap w:val="0"/>
                  <w:vAlign w:val="center"/>
                </w:tcPr>
                <w:p>
                  <w:pPr>
                    <w:snapToGrid w:val="0"/>
                    <w:jc w:val="center"/>
                    <w:rPr>
                      <w:rFonts w:hint="eastAsia" w:ascii="Times New Roman" w:eastAsia="宋体" w:cs="Times New Roman"/>
                      <w:bCs/>
                      <w:color w:val="auto"/>
                      <w:kern w:val="2"/>
                      <w:sz w:val="21"/>
                      <w:szCs w:val="21"/>
                      <w:highlight w:val="none"/>
                      <w:lang w:val="en-US" w:eastAsia="zh-CN"/>
                    </w:rPr>
                  </w:pPr>
                  <w:r>
                    <w:rPr>
                      <w:rFonts w:hint="eastAsia" w:ascii="Times New Roman" w:eastAsia="宋体" w:cs="Times New Roman"/>
                      <w:bCs/>
                      <w:color w:val="auto"/>
                      <w:kern w:val="2"/>
                      <w:sz w:val="21"/>
                      <w:szCs w:val="21"/>
                      <w:highlight w:val="none"/>
                      <w:lang w:val="en-US"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表4-</w:t>
            </w:r>
            <w:r>
              <w:rPr>
                <w:rFonts w:hint="eastAsia" w:cs="Times New Roman"/>
                <w:color w:val="auto"/>
                <w:kern w:val="0"/>
                <w:sz w:val="24"/>
                <w:highlight w:val="none"/>
                <w:lang w:val="en-US" w:eastAsia="zh-CN"/>
              </w:rPr>
              <w:t xml:space="preserve">4 </w:t>
            </w:r>
            <w:r>
              <w:rPr>
                <w:rFonts w:hint="eastAsia" w:ascii="Times New Roman" w:hAnsi="Times New Roman" w:eastAsia="宋体" w:cs="Times New Roman"/>
                <w:color w:val="auto"/>
                <w:kern w:val="0"/>
                <w:sz w:val="24"/>
                <w:highlight w:val="none"/>
                <w:lang w:val="en-US" w:eastAsia="zh-CN"/>
              </w:rPr>
              <w:t>大气污染物无组织排放量核算表</w:t>
            </w:r>
          </w:p>
          <w:tbl>
            <w:tblPr>
              <w:tblStyle w:val="15"/>
              <w:tblW w:w="83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6"/>
              <w:gridCol w:w="649"/>
              <w:gridCol w:w="637"/>
              <w:gridCol w:w="1499"/>
              <w:gridCol w:w="894"/>
              <w:gridCol w:w="2022"/>
              <w:gridCol w:w="1248"/>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36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eastAsia" w:ascii="Times New Roman" w:hAnsi="Times New Roman" w:eastAsia="宋体" w:cs="Times New Roman"/>
                      <w:color w:val="auto"/>
                      <w:kern w:val="2"/>
                      <w:sz w:val="21"/>
                      <w:highlight w:val="none"/>
                      <w:vertAlign w:val="baseline"/>
                      <w:lang w:val="en-US" w:eastAsia="zh-CN"/>
                    </w:rPr>
                  </w:pPr>
                  <w:r>
                    <w:rPr>
                      <w:rFonts w:hint="eastAsia" w:ascii="Times New Roman" w:hAnsi="Times New Roman" w:eastAsia="宋体" w:cs="Times New Roman"/>
                      <w:color w:val="auto"/>
                      <w:kern w:val="2"/>
                      <w:sz w:val="21"/>
                      <w:highlight w:val="none"/>
                      <w:vertAlign w:val="baseline"/>
                      <w:lang w:val="en-US" w:eastAsia="zh-CN"/>
                    </w:rPr>
                    <w:t>序号</w:t>
                  </w:r>
                </w:p>
              </w:tc>
              <w:tc>
                <w:tcPr>
                  <w:tcW w:w="649"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eastAsia" w:ascii="Times New Roman" w:hAnsi="Times New Roman" w:eastAsia="宋体" w:cs="Times New Roman"/>
                      <w:color w:val="auto"/>
                      <w:kern w:val="2"/>
                      <w:sz w:val="21"/>
                      <w:highlight w:val="none"/>
                      <w:vertAlign w:val="baseline"/>
                      <w:lang w:val="en-US" w:eastAsia="zh-CN"/>
                    </w:rPr>
                  </w:pPr>
                  <w:r>
                    <w:rPr>
                      <w:rFonts w:hint="eastAsia" w:ascii="Times New Roman" w:hAnsi="Times New Roman" w:eastAsia="宋体" w:cs="Times New Roman"/>
                      <w:color w:val="auto"/>
                      <w:kern w:val="2"/>
                      <w:sz w:val="21"/>
                      <w:highlight w:val="none"/>
                      <w:vertAlign w:val="baseline"/>
                      <w:lang w:val="en-US" w:eastAsia="zh-CN"/>
                    </w:rPr>
                    <w:t>排放口编号</w:t>
                  </w:r>
                </w:p>
              </w:tc>
              <w:tc>
                <w:tcPr>
                  <w:tcW w:w="63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eastAsia" w:ascii="Times New Roman" w:hAnsi="Times New Roman" w:eastAsia="宋体" w:cs="Times New Roman"/>
                      <w:color w:val="auto"/>
                      <w:kern w:val="2"/>
                      <w:sz w:val="21"/>
                      <w:highlight w:val="none"/>
                      <w:vertAlign w:val="baseline"/>
                      <w:lang w:val="en-US" w:eastAsia="zh-CN"/>
                    </w:rPr>
                  </w:pPr>
                  <w:r>
                    <w:rPr>
                      <w:rFonts w:hint="eastAsia" w:ascii="Times New Roman" w:hAnsi="Times New Roman" w:eastAsia="宋体" w:cs="Times New Roman"/>
                      <w:color w:val="auto"/>
                      <w:kern w:val="2"/>
                      <w:sz w:val="21"/>
                      <w:highlight w:val="none"/>
                      <w:vertAlign w:val="baseline"/>
                      <w:lang w:val="en-US" w:eastAsia="zh-CN"/>
                    </w:rPr>
                    <w:t>产污环节</w:t>
                  </w:r>
                </w:p>
              </w:tc>
              <w:tc>
                <w:tcPr>
                  <w:tcW w:w="1499"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eastAsia" w:ascii="Times New Roman" w:hAnsi="Times New Roman" w:eastAsia="宋体" w:cs="Times New Roman"/>
                      <w:color w:val="auto"/>
                      <w:kern w:val="2"/>
                      <w:sz w:val="21"/>
                      <w:highlight w:val="none"/>
                      <w:vertAlign w:val="baseline"/>
                      <w:lang w:val="en-US" w:eastAsia="zh-CN"/>
                    </w:rPr>
                  </w:pPr>
                  <w:r>
                    <w:rPr>
                      <w:rFonts w:hint="eastAsia" w:ascii="Times New Roman" w:hAnsi="Times New Roman" w:eastAsia="宋体" w:cs="Times New Roman"/>
                      <w:color w:val="auto"/>
                      <w:kern w:val="2"/>
                      <w:sz w:val="21"/>
                      <w:highlight w:val="none"/>
                      <w:vertAlign w:val="baseline"/>
                      <w:lang w:val="en-US" w:eastAsia="zh-CN"/>
                    </w:rPr>
                    <w:t>污染物</w:t>
                  </w:r>
                </w:p>
              </w:tc>
              <w:tc>
                <w:tcPr>
                  <w:tcW w:w="89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eastAsia" w:ascii="Times New Roman" w:hAnsi="Times New Roman" w:eastAsia="宋体" w:cs="Times New Roman"/>
                      <w:color w:val="auto"/>
                      <w:kern w:val="2"/>
                      <w:sz w:val="21"/>
                      <w:highlight w:val="none"/>
                      <w:vertAlign w:val="baseline"/>
                      <w:lang w:val="en-US" w:eastAsia="zh-CN"/>
                    </w:rPr>
                  </w:pPr>
                  <w:r>
                    <w:rPr>
                      <w:rFonts w:hint="eastAsia" w:ascii="Times New Roman" w:hAnsi="Times New Roman" w:eastAsia="宋体" w:cs="Times New Roman"/>
                      <w:color w:val="auto"/>
                      <w:kern w:val="2"/>
                      <w:sz w:val="21"/>
                      <w:highlight w:val="none"/>
                      <w:vertAlign w:val="baseline"/>
                      <w:lang w:val="en-US" w:eastAsia="zh-CN"/>
                    </w:rPr>
                    <w:t>主要防治措施</w:t>
                  </w:r>
                </w:p>
              </w:tc>
              <w:tc>
                <w:tcPr>
                  <w:tcW w:w="327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eastAsia" w:ascii="Times New Roman" w:hAnsi="Times New Roman" w:eastAsia="宋体" w:cs="Times New Roman"/>
                      <w:color w:val="auto"/>
                      <w:kern w:val="2"/>
                      <w:sz w:val="21"/>
                      <w:highlight w:val="none"/>
                      <w:vertAlign w:val="baseline"/>
                      <w:lang w:val="en-US" w:eastAsia="zh-CN"/>
                    </w:rPr>
                  </w:pPr>
                  <w:r>
                    <w:rPr>
                      <w:rFonts w:hint="eastAsia" w:ascii="Times New Roman" w:hAnsi="Times New Roman" w:eastAsia="宋体" w:cs="Times New Roman"/>
                      <w:color w:val="auto"/>
                      <w:kern w:val="2"/>
                      <w:sz w:val="21"/>
                      <w:highlight w:val="none"/>
                      <w:vertAlign w:val="baseline"/>
                      <w:lang w:val="en-US" w:eastAsia="zh-CN"/>
                    </w:rPr>
                    <w:t>国家或地方污染物排放标准</w:t>
                  </w:r>
                </w:p>
              </w:tc>
              <w:tc>
                <w:tcPr>
                  <w:tcW w:w="1063"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eastAsia" w:ascii="Times New Roman" w:hAnsi="Times New Roman" w:eastAsia="宋体" w:cs="Times New Roman"/>
                      <w:color w:val="auto"/>
                      <w:kern w:val="2"/>
                      <w:sz w:val="21"/>
                      <w:highlight w:val="none"/>
                      <w:vertAlign w:val="baseline"/>
                      <w:lang w:val="en-US" w:eastAsia="zh-CN"/>
                    </w:rPr>
                  </w:pPr>
                  <w:r>
                    <w:rPr>
                      <w:rFonts w:hint="eastAsia" w:ascii="Times New Roman" w:hAnsi="Times New Roman" w:eastAsia="宋体" w:cs="Times New Roman"/>
                      <w:color w:val="auto"/>
                      <w:kern w:val="2"/>
                      <w:sz w:val="21"/>
                      <w:highlight w:val="none"/>
                      <w:vertAlign w:val="baseline"/>
                      <w:lang w:val="en-US" w:eastAsia="zh-CN"/>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36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eastAsia" w:ascii="Times New Roman" w:hAnsi="Times New Roman" w:eastAsia="宋体" w:cs="Times New Roman"/>
                      <w:color w:val="auto"/>
                      <w:kern w:val="2"/>
                      <w:sz w:val="21"/>
                      <w:highlight w:val="none"/>
                      <w:vertAlign w:val="baseline"/>
                      <w:lang w:val="en-US" w:eastAsia="zh-CN"/>
                    </w:rPr>
                  </w:pPr>
                </w:p>
              </w:tc>
              <w:tc>
                <w:tcPr>
                  <w:tcW w:w="64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eastAsia" w:ascii="Times New Roman" w:hAnsi="Times New Roman" w:eastAsia="宋体" w:cs="Times New Roman"/>
                      <w:color w:val="auto"/>
                      <w:kern w:val="2"/>
                      <w:sz w:val="21"/>
                      <w:highlight w:val="none"/>
                      <w:vertAlign w:val="baseline"/>
                      <w:lang w:val="en-US" w:eastAsia="zh-CN"/>
                    </w:rPr>
                  </w:pPr>
                </w:p>
              </w:tc>
              <w:tc>
                <w:tcPr>
                  <w:tcW w:w="63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eastAsia" w:ascii="Times New Roman" w:hAnsi="Times New Roman" w:eastAsia="宋体" w:cs="Times New Roman"/>
                      <w:color w:val="auto"/>
                      <w:kern w:val="2"/>
                      <w:sz w:val="21"/>
                      <w:highlight w:val="none"/>
                      <w:vertAlign w:val="baseline"/>
                      <w:lang w:val="en-US" w:eastAsia="zh-CN"/>
                    </w:rPr>
                  </w:pPr>
                </w:p>
              </w:tc>
              <w:tc>
                <w:tcPr>
                  <w:tcW w:w="149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eastAsia" w:ascii="Times New Roman" w:hAnsi="Times New Roman" w:eastAsia="宋体" w:cs="Times New Roman"/>
                      <w:color w:val="auto"/>
                      <w:kern w:val="2"/>
                      <w:sz w:val="21"/>
                      <w:highlight w:val="none"/>
                      <w:vertAlign w:val="baseline"/>
                      <w:lang w:val="en-US" w:eastAsia="zh-CN"/>
                    </w:rPr>
                  </w:pPr>
                </w:p>
              </w:tc>
              <w:tc>
                <w:tcPr>
                  <w:tcW w:w="89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eastAsia" w:ascii="Times New Roman" w:hAnsi="Times New Roman" w:eastAsia="宋体" w:cs="Times New Roman"/>
                      <w:color w:val="auto"/>
                      <w:kern w:val="2"/>
                      <w:sz w:val="21"/>
                      <w:highlight w:val="none"/>
                      <w:vertAlign w:val="baseline"/>
                      <w:lang w:val="en-US" w:eastAsia="zh-CN"/>
                    </w:rPr>
                  </w:pPr>
                </w:p>
              </w:tc>
              <w:tc>
                <w:tcPr>
                  <w:tcW w:w="2022" w:type="dxa"/>
                  <w:noWrap w:val="0"/>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eastAsia" w:ascii="Times New Roman" w:hAnsi="Times New Roman" w:eastAsia="宋体" w:cs="Times New Roman"/>
                      <w:color w:val="auto"/>
                      <w:kern w:val="2"/>
                      <w:sz w:val="21"/>
                      <w:highlight w:val="none"/>
                      <w:vertAlign w:val="baseline"/>
                      <w:lang w:val="en-US" w:eastAsia="zh-CN"/>
                    </w:rPr>
                  </w:pPr>
                  <w:r>
                    <w:rPr>
                      <w:rFonts w:hint="eastAsia" w:ascii="Times New Roman" w:hAnsi="Times New Roman" w:eastAsia="宋体" w:cs="Times New Roman"/>
                      <w:color w:val="auto"/>
                      <w:kern w:val="2"/>
                      <w:sz w:val="21"/>
                      <w:highlight w:val="none"/>
                      <w:vertAlign w:val="baseline"/>
                      <w:lang w:val="en-US" w:eastAsia="zh-CN"/>
                    </w:rPr>
                    <w:t>标准名称</w:t>
                  </w:r>
                </w:p>
              </w:tc>
              <w:tc>
                <w:tcPr>
                  <w:tcW w:w="1248" w:type="dxa"/>
                  <w:noWrap w:val="0"/>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eastAsia" w:ascii="Times New Roman" w:hAnsi="Times New Roman" w:eastAsia="宋体" w:cs="Times New Roman"/>
                      <w:color w:val="auto"/>
                      <w:kern w:val="2"/>
                      <w:sz w:val="21"/>
                      <w:highlight w:val="none"/>
                      <w:vertAlign w:val="baseline"/>
                      <w:lang w:val="en-US" w:eastAsia="zh-CN"/>
                    </w:rPr>
                  </w:pPr>
                  <w:r>
                    <w:rPr>
                      <w:rFonts w:hint="eastAsia" w:ascii="Times New Roman" w:hAnsi="Times New Roman" w:eastAsia="宋体" w:cs="Times New Roman"/>
                      <w:color w:val="auto"/>
                      <w:kern w:val="2"/>
                      <w:sz w:val="21"/>
                      <w:highlight w:val="none"/>
                      <w:vertAlign w:val="baseline"/>
                      <w:lang w:val="en-US" w:eastAsia="zh-CN"/>
                    </w:rPr>
                    <w:t>浓度限值（mg/m</w:t>
                  </w:r>
                  <w:r>
                    <w:rPr>
                      <w:rFonts w:hint="eastAsia" w:ascii="Times New Roman" w:hAnsi="Times New Roman" w:eastAsia="宋体" w:cs="Times New Roman"/>
                      <w:color w:val="auto"/>
                      <w:kern w:val="2"/>
                      <w:sz w:val="21"/>
                      <w:highlight w:val="none"/>
                      <w:vertAlign w:val="superscript"/>
                      <w:lang w:val="en-US" w:eastAsia="zh-CN"/>
                    </w:rPr>
                    <w:t>3</w:t>
                  </w:r>
                  <w:r>
                    <w:rPr>
                      <w:rFonts w:hint="eastAsia" w:ascii="Times New Roman" w:hAnsi="Times New Roman" w:eastAsia="宋体" w:cs="Times New Roman"/>
                      <w:color w:val="auto"/>
                      <w:kern w:val="2"/>
                      <w:sz w:val="21"/>
                      <w:highlight w:val="none"/>
                      <w:vertAlign w:val="baseline"/>
                      <w:lang w:val="en-US" w:eastAsia="zh-CN"/>
                    </w:rPr>
                    <w:t>）</w:t>
                  </w:r>
                </w:p>
              </w:tc>
              <w:tc>
                <w:tcPr>
                  <w:tcW w:w="1063"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eastAsia" w:ascii="Times New Roman" w:hAnsi="Times New Roman" w:eastAsia="宋体" w:cs="Times New Roman"/>
                      <w:color w:val="auto"/>
                      <w:kern w:val="2"/>
                      <w:sz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6" w:type="dxa"/>
                  <w:noWrap w:val="0"/>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eastAsia" w:ascii="Times New Roman" w:hAnsi="Times New Roman" w:eastAsia="宋体" w:cs="Times New Roman"/>
                      <w:color w:val="auto"/>
                      <w:kern w:val="2"/>
                      <w:sz w:val="21"/>
                      <w:szCs w:val="20"/>
                      <w:highlight w:val="none"/>
                      <w:vertAlign w:val="baseline"/>
                      <w:lang w:val="en-US" w:eastAsia="zh-CN" w:bidi="ar-SA"/>
                    </w:rPr>
                  </w:pPr>
                  <w:r>
                    <w:rPr>
                      <w:rFonts w:hint="eastAsia" w:ascii="Times New Roman" w:hAnsi="Times New Roman" w:eastAsia="宋体" w:cs="Times New Roman"/>
                      <w:color w:val="auto"/>
                      <w:kern w:val="2"/>
                      <w:sz w:val="21"/>
                      <w:highlight w:val="none"/>
                      <w:vertAlign w:val="baseline"/>
                      <w:lang w:val="en-US" w:eastAsia="zh-CN"/>
                    </w:rPr>
                    <w:t>1</w:t>
                  </w:r>
                </w:p>
              </w:tc>
              <w:tc>
                <w:tcPr>
                  <w:tcW w:w="649"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default" w:ascii="Times New Roman" w:hAnsi="Times New Roman" w:eastAsia="宋体" w:cs="Times New Roman"/>
                      <w:color w:val="auto"/>
                      <w:kern w:val="2"/>
                      <w:sz w:val="21"/>
                      <w:highlight w:val="none"/>
                      <w:vertAlign w:val="baseline"/>
                      <w:lang w:val="en-US" w:eastAsia="zh-CN"/>
                    </w:rPr>
                  </w:pPr>
                  <w:r>
                    <w:rPr>
                      <w:rFonts w:hint="eastAsia" w:eastAsia="宋体" w:cs="Times New Roman"/>
                      <w:color w:val="auto"/>
                      <w:kern w:val="2"/>
                      <w:sz w:val="21"/>
                      <w:highlight w:val="none"/>
                      <w:vertAlign w:val="baseline"/>
                      <w:lang w:val="en-US" w:eastAsia="zh-CN"/>
                    </w:rPr>
                    <w:t>厂界</w:t>
                  </w:r>
                </w:p>
              </w:tc>
              <w:tc>
                <w:tcPr>
                  <w:tcW w:w="63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default" w:ascii="Times New Roman" w:hAnsi="Times New Roman" w:eastAsia="宋体" w:cs="Times New Roman"/>
                      <w:color w:val="auto"/>
                      <w:kern w:val="2"/>
                      <w:sz w:val="21"/>
                      <w:highlight w:val="none"/>
                      <w:vertAlign w:val="baseline"/>
                      <w:lang w:val="en-US" w:eastAsia="zh-CN"/>
                    </w:rPr>
                  </w:pPr>
                  <w:r>
                    <w:rPr>
                      <w:rFonts w:hint="eastAsia" w:eastAsia="宋体" w:cs="Times New Roman"/>
                      <w:color w:val="auto"/>
                      <w:kern w:val="2"/>
                      <w:sz w:val="21"/>
                      <w:highlight w:val="none"/>
                      <w:vertAlign w:val="baseline"/>
                      <w:lang w:val="en-US" w:eastAsia="zh-CN"/>
                    </w:rPr>
                    <w:t>车间</w:t>
                  </w:r>
                </w:p>
              </w:tc>
              <w:tc>
                <w:tcPr>
                  <w:tcW w:w="1499" w:type="dxa"/>
                  <w:noWrap w:val="0"/>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default" w:ascii="Times New Roman" w:hAnsi="Times New Roman" w:eastAsia="宋体" w:cs="Times New Roman"/>
                      <w:color w:val="auto"/>
                      <w:kern w:val="2"/>
                      <w:sz w:val="21"/>
                      <w:highlight w:val="none"/>
                      <w:vertAlign w:val="baseline"/>
                      <w:lang w:val="en-US" w:eastAsia="zh-CN"/>
                    </w:rPr>
                  </w:pPr>
                  <w:r>
                    <w:rPr>
                      <w:rFonts w:hint="eastAsia" w:eastAsia="宋体" w:cs="Times New Roman"/>
                      <w:color w:val="auto"/>
                      <w:kern w:val="2"/>
                      <w:sz w:val="21"/>
                      <w:highlight w:val="none"/>
                      <w:vertAlign w:val="baseline"/>
                      <w:lang w:val="en-US" w:eastAsia="zh-CN"/>
                    </w:rPr>
                    <w:t>非甲烷总烃</w:t>
                  </w:r>
                </w:p>
              </w:tc>
              <w:tc>
                <w:tcPr>
                  <w:tcW w:w="89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default" w:ascii="Times New Roman" w:hAnsi="Times New Roman" w:eastAsia="宋体" w:cs="Times New Roman"/>
                      <w:color w:val="auto"/>
                      <w:kern w:val="2"/>
                      <w:sz w:val="21"/>
                      <w:highlight w:val="none"/>
                      <w:vertAlign w:val="baseline"/>
                      <w:lang w:val="en-US" w:eastAsia="zh-CN"/>
                    </w:rPr>
                  </w:pPr>
                  <w:r>
                    <w:rPr>
                      <w:rFonts w:hint="eastAsia" w:eastAsia="宋体" w:cs="Times New Roman"/>
                      <w:color w:val="auto"/>
                      <w:kern w:val="2"/>
                      <w:sz w:val="21"/>
                      <w:highlight w:val="none"/>
                      <w:vertAlign w:val="baseline"/>
                      <w:lang w:val="en-US" w:eastAsia="zh-CN"/>
                    </w:rPr>
                    <w:t>加强车间通风</w:t>
                  </w:r>
                </w:p>
              </w:tc>
              <w:tc>
                <w:tcPr>
                  <w:tcW w:w="202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eastAsia" w:eastAsia="宋体" w:cs="Times New Roman"/>
                      <w:color w:val="auto"/>
                      <w:kern w:val="2"/>
                      <w:sz w:val="21"/>
                      <w:szCs w:val="21"/>
                      <w:highlight w:val="none"/>
                      <w:vertAlign w:val="baseline"/>
                      <w:lang w:val="en-US" w:eastAsia="zh-CN"/>
                    </w:rPr>
                  </w:pPr>
                  <w:r>
                    <w:rPr>
                      <w:rFonts w:hint="eastAsia" w:cs="Times New Roman"/>
                      <w:color w:val="auto"/>
                      <w:kern w:val="2"/>
                      <w:sz w:val="21"/>
                      <w:szCs w:val="21"/>
                      <w:highlight w:val="none"/>
                      <w:vertAlign w:val="baseline"/>
                      <w:lang w:val="en-US" w:eastAsia="zh-CN"/>
                    </w:rPr>
                    <w:t>《合成树脂工业污染物排放标准》（GB31572-2015）</w:t>
                  </w:r>
                </w:p>
              </w:tc>
              <w:tc>
                <w:tcPr>
                  <w:tcW w:w="1248" w:type="dxa"/>
                  <w:noWrap w:val="0"/>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default" w:ascii="Times New Roman" w:hAnsi="Times New Roman" w:eastAsia="宋体" w:cs="Times New Roman"/>
                      <w:color w:val="auto"/>
                      <w:kern w:val="2"/>
                      <w:sz w:val="21"/>
                      <w:highlight w:val="none"/>
                      <w:vertAlign w:val="baseline"/>
                      <w:lang w:val="en-US" w:eastAsia="zh-CN"/>
                    </w:rPr>
                  </w:pPr>
                  <w:r>
                    <w:rPr>
                      <w:rFonts w:hint="eastAsia" w:cs="Times New Roman"/>
                      <w:color w:val="auto"/>
                      <w:kern w:val="2"/>
                      <w:sz w:val="21"/>
                      <w:highlight w:val="none"/>
                      <w:vertAlign w:val="baseline"/>
                      <w:lang w:val="en-US" w:eastAsia="zh-CN"/>
                    </w:rPr>
                    <w:t>4.0</w:t>
                  </w:r>
                </w:p>
              </w:tc>
              <w:tc>
                <w:tcPr>
                  <w:tcW w:w="1063" w:type="dxa"/>
                  <w:noWrap w:val="0"/>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default" w:ascii="Times New Roman" w:hAnsi="Times New Roman" w:eastAsia="宋体" w:cs="Times New Roman"/>
                      <w:color w:val="auto"/>
                      <w:kern w:val="2"/>
                      <w:sz w:val="21"/>
                      <w:highlight w:val="none"/>
                      <w:vertAlign w:val="baseline"/>
                      <w:lang w:val="en-US" w:eastAsia="zh-CN"/>
                    </w:rPr>
                  </w:pPr>
                  <w:r>
                    <w:rPr>
                      <w:rFonts w:hint="eastAsia" w:cs="Times New Roman"/>
                      <w:color w:val="auto"/>
                      <w:kern w:val="2"/>
                      <w:sz w:val="21"/>
                      <w:highlight w:val="none"/>
                      <w:vertAlign w:val="baseline"/>
                      <w:lang w:val="en-US" w:eastAsia="zh-CN"/>
                    </w:rPr>
                    <w:t>0.191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6" w:type="dxa"/>
                  <w:noWrap w:val="0"/>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default" w:ascii="Times New Roman" w:hAnsi="Times New Roman" w:eastAsia="宋体" w:cs="Times New Roman"/>
                      <w:color w:val="auto"/>
                      <w:kern w:val="2"/>
                      <w:sz w:val="21"/>
                      <w:szCs w:val="20"/>
                      <w:highlight w:val="none"/>
                      <w:vertAlign w:val="baseline"/>
                      <w:lang w:val="en-US" w:eastAsia="zh-CN" w:bidi="ar-SA"/>
                    </w:rPr>
                  </w:pPr>
                  <w:r>
                    <w:rPr>
                      <w:rFonts w:hint="eastAsia" w:ascii="Times New Roman" w:hAnsi="Times New Roman" w:eastAsia="宋体" w:cs="Times New Roman"/>
                      <w:color w:val="auto"/>
                      <w:kern w:val="2"/>
                      <w:sz w:val="21"/>
                      <w:highlight w:val="none"/>
                      <w:vertAlign w:val="baseline"/>
                      <w:lang w:val="en-US" w:eastAsia="zh-CN"/>
                    </w:rPr>
                    <w:t>2</w:t>
                  </w:r>
                </w:p>
              </w:tc>
              <w:tc>
                <w:tcPr>
                  <w:tcW w:w="649"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default" w:ascii="Times New Roman" w:hAnsi="Times New Roman" w:eastAsia="宋体" w:cs="Times New Roman"/>
                      <w:color w:val="auto"/>
                      <w:kern w:val="2"/>
                      <w:sz w:val="21"/>
                      <w:highlight w:val="none"/>
                      <w:vertAlign w:val="baseline"/>
                      <w:lang w:val="en-US" w:eastAsia="zh-CN"/>
                    </w:rPr>
                  </w:pPr>
                </w:p>
              </w:tc>
              <w:tc>
                <w:tcPr>
                  <w:tcW w:w="63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default" w:ascii="Times New Roman" w:hAnsi="Times New Roman" w:eastAsia="宋体" w:cs="Times New Roman"/>
                      <w:color w:val="auto"/>
                      <w:kern w:val="2"/>
                      <w:sz w:val="21"/>
                      <w:highlight w:val="none"/>
                      <w:vertAlign w:val="baseline"/>
                      <w:lang w:val="en-US" w:eastAsia="zh-CN"/>
                    </w:rPr>
                  </w:pPr>
                </w:p>
              </w:tc>
              <w:tc>
                <w:tcPr>
                  <w:tcW w:w="1499" w:type="dxa"/>
                  <w:noWrap w:val="0"/>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default" w:ascii="Times New Roman" w:hAnsi="Times New Roman" w:eastAsia="宋体" w:cs="Times New Roman"/>
                      <w:color w:val="auto"/>
                      <w:kern w:val="2"/>
                      <w:sz w:val="21"/>
                      <w:highlight w:val="none"/>
                      <w:vertAlign w:val="baseline"/>
                      <w:lang w:val="en-US" w:eastAsia="zh-CN"/>
                    </w:rPr>
                  </w:pPr>
                  <w:r>
                    <w:rPr>
                      <w:rFonts w:hint="eastAsia" w:eastAsia="宋体" w:cs="Times New Roman"/>
                      <w:color w:val="auto"/>
                      <w:kern w:val="2"/>
                      <w:sz w:val="21"/>
                      <w:highlight w:val="none"/>
                      <w:vertAlign w:val="baseline"/>
                      <w:lang w:val="en-US" w:eastAsia="zh-CN"/>
                    </w:rPr>
                    <w:t>颗粒物</w:t>
                  </w:r>
                </w:p>
              </w:tc>
              <w:tc>
                <w:tcPr>
                  <w:tcW w:w="89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default" w:ascii="Times New Roman" w:hAnsi="Times New Roman" w:eastAsia="宋体" w:cs="Times New Roman"/>
                      <w:color w:val="auto"/>
                      <w:kern w:val="2"/>
                      <w:sz w:val="21"/>
                      <w:highlight w:val="none"/>
                      <w:vertAlign w:val="baseline"/>
                      <w:lang w:val="en-US" w:eastAsia="zh-CN"/>
                    </w:rPr>
                  </w:pPr>
                </w:p>
              </w:tc>
              <w:tc>
                <w:tcPr>
                  <w:tcW w:w="202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default" w:eastAsia="宋体" w:cs="Times New Roman"/>
                      <w:color w:val="auto"/>
                      <w:kern w:val="2"/>
                      <w:sz w:val="21"/>
                      <w:highlight w:val="none"/>
                      <w:vertAlign w:val="baseline"/>
                      <w:lang w:val="en-US" w:eastAsia="zh-CN"/>
                    </w:rPr>
                  </w:pPr>
                </w:p>
              </w:tc>
              <w:tc>
                <w:tcPr>
                  <w:tcW w:w="1248" w:type="dxa"/>
                  <w:noWrap w:val="0"/>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default" w:ascii="Times New Roman" w:hAnsi="Times New Roman" w:eastAsia="宋体" w:cs="Times New Roman"/>
                      <w:color w:val="auto"/>
                      <w:kern w:val="2"/>
                      <w:sz w:val="21"/>
                      <w:highlight w:val="none"/>
                      <w:vertAlign w:val="baseline"/>
                      <w:lang w:val="en-US" w:eastAsia="zh-CN"/>
                    </w:rPr>
                  </w:pPr>
                  <w:r>
                    <w:rPr>
                      <w:rFonts w:hint="eastAsia" w:cs="Times New Roman"/>
                      <w:color w:val="auto"/>
                      <w:kern w:val="2"/>
                      <w:sz w:val="21"/>
                      <w:highlight w:val="none"/>
                      <w:vertAlign w:val="baseline"/>
                      <w:lang w:val="en-US" w:eastAsia="zh-CN"/>
                    </w:rPr>
                    <w:t>1.0</w:t>
                  </w:r>
                </w:p>
              </w:tc>
              <w:tc>
                <w:tcPr>
                  <w:tcW w:w="1063" w:type="dxa"/>
                  <w:noWrap w:val="0"/>
                  <w:vAlign w:val="center"/>
                </w:tcPr>
                <w:p>
                  <w:pPr>
                    <w:pStyle w:val="2"/>
                    <w:keepNext w:val="0"/>
                    <w:keepLines w:val="0"/>
                    <w:pageBreakBefore w:val="0"/>
                    <w:widowControl w:val="0"/>
                    <w:kinsoku/>
                    <w:wordWrap/>
                    <w:overflowPunct/>
                    <w:topLinePunct w:val="0"/>
                    <w:autoSpaceDE/>
                    <w:autoSpaceDN/>
                    <w:bidi w:val="0"/>
                    <w:adjustRightInd/>
                    <w:snapToGrid/>
                    <w:spacing w:before="0" w:after="0" w:line="240" w:lineRule="auto"/>
                    <w:ind w:right="0" w:rightChars="0" w:firstLine="0" w:firstLineChars="0"/>
                    <w:jc w:val="center"/>
                    <w:textAlignment w:val="auto"/>
                    <w:rPr>
                      <w:rFonts w:hint="default" w:ascii="Times New Roman" w:hAnsi="Times New Roman" w:eastAsia="宋体" w:cs="Times New Roman"/>
                      <w:color w:val="auto"/>
                      <w:kern w:val="2"/>
                      <w:sz w:val="21"/>
                      <w:highlight w:val="none"/>
                      <w:vertAlign w:val="baseline"/>
                      <w:lang w:val="en-US" w:eastAsia="zh-CN"/>
                    </w:rPr>
                  </w:pPr>
                  <w:r>
                    <w:rPr>
                      <w:rFonts w:hint="eastAsia" w:eastAsia="宋体" w:cs="Times New Roman"/>
                      <w:color w:val="auto"/>
                      <w:kern w:val="2"/>
                      <w:sz w:val="21"/>
                      <w:highlight w:val="none"/>
                      <w:vertAlign w:val="baseline"/>
                      <w:lang w:val="en-US" w:eastAsia="zh-CN"/>
                    </w:rPr>
                    <w:t>/</w:t>
                  </w:r>
                </w:p>
              </w:tc>
            </w:tr>
          </w:tbl>
          <w:p>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（5）监测计划</w:t>
            </w:r>
          </w:p>
          <w:p>
            <w:pPr>
              <w:spacing w:line="360" w:lineRule="auto"/>
              <w:ind w:firstLine="480" w:firstLineChars="200"/>
              <w:rPr>
                <w:rFonts w:hint="eastAsia" w:ascii="Times New Roman" w:hAnsi="Times New Roman" w:eastAsia="宋体" w:cs="Times New Roman"/>
                <w:color w:val="auto"/>
                <w:kern w:val="0"/>
                <w:sz w:val="24"/>
                <w:highlight w:val="none"/>
                <w:lang w:val="zh-CN" w:eastAsia="zh-CN"/>
              </w:rPr>
            </w:pPr>
            <w:r>
              <w:rPr>
                <w:rFonts w:hint="eastAsia" w:ascii="Times New Roman" w:hAnsi="Times New Roman" w:eastAsia="宋体" w:cs="Times New Roman"/>
                <w:color w:val="auto"/>
                <w:kern w:val="0"/>
                <w:sz w:val="24"/>
                <w:highlight w:val="none"/>
                <w:lang w:val="zh-CN" w:eastAsia="zh-CN"/>
              </w:rPr>
              <w:t>按照相关法律法规和技术规范，建设单位应组织开展环境监测活动。监测重点是对新建项目投产后的污染源进行监测，建设单位可委托具有资质的检（监）测机构开展监测。</w:t>
            </w:r>
          </w:p>
          <w:p>
            <w:pPr>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根据《排污许可证申请与核发技术规范 总则》（HJ942—2018）</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排污许可证申请与核发技术规范 橡胶和塑料制品工业</w:t>
            </w:r>
            <w:r>
              <w:rPr>
                <w:rFonts w:hint="eastAsia" w:cs="Times New Roman"/>
                <w:color w:val="auto"/>
                <w:kern w:val="0"/>
                <w:sz w:val="24"/>
                <w:highlight w:val="none"/>
                <w:lang w:val="en-US" w:eastAsia="zh-CN"/>
              </w:rPr>
              <w:t>》（HJ1122-2020）及《排污单位自行监测技术指南 橡胶和塑料制品》（HJ1207-2021）</w:t>
            </w:r>
            <w:r>
              <w:rPr>
                <w:rFonts w:hint="eastAsia" w:ascii="Times New Roman" w:hAnsi="Times New Roman" w:eastAsia="宋体" w:cs="Times New Roman"/>
                <w:color w:val="auto"/>
                <w:kern w:val="0"/>
                <w:sz w:val="24"/>
                <w:highlight w:val="none"/>
                <w:lang w:val="en-US" w:eastAsia="zh-CN"/>
              </w:rPr>
              <w:t>相关要求，</w:t>
            </w:r>
            <w:r>
              <w:rPr>
                <w:rFonts w:hint="eastAsia" w:ascii="Times New Roman" w:hAnsi="Times New Roman" w:eastAsia="宋体" w:cs="Times New Roman"/>
                <w:color w:val="auto"/>
                <w:kern w:val="0"/>
                <w:sz w:val="24"/>
                <w:highlight w:val="none"/>
                <w:lang w:val="zh-CN" w:eastAsia="zh-CN"/>
              </w:rPr>
              <w:t>项目营运期</w:t>
            </w:r>
            <w:r>
              <w:rPr>
                <w:rFonts w:hint="eastAsia" w:ascii="Times New Roman" w:hAnsi="Times New Roman" w:eastAsia="宋体" w:cs="Times New Roman"/>
                <w:color w:val="auto"/>
                <w:kern w:val="0"/>
                <w:sz w:val="24"/>
                <w:highlight w:val="none"/>
                <w:lang w:val="en-US" w:eastAsia="zh-CN"/>
              </w:rPr>
              <w:t>废气</w:t>
            </w:r>
            <w:r>
              <w:rPr>
                <w:rFonts w:hint="eastAsia" w:ascii="Times New Roman" w:hAnsi="Times New Roman" w:eastAsia="宋体" w:cs="Times New Roman"/>
                <w:color w:val="auto"/>
                <w:kern w:val="0"/>
                <w:sz w:val="24"/>
                <w:highlight w:val="none"/>
                <w:lang w:val="zh-CN" w:eastAsia="zh-CN"/>
              </w:rPr>
              <w:t>监测计划</w:t>
            </w:r>
            <w:r>
              <w:rPr>
                <w:rFonts w:hint="eastAsia" w:ascii="Times New Roman" w:hAnsi="Times New Roman" w:eastAsia="宋体" w:cs="Times New Roman"/>
                <w:color w:val="auto"/>
                <w:kern w:val="0"/>
                <w:sz w:val="24"/>
                <w:highlight w:val="none"/>
                <w:lang w:val="en-US" w:eastAsia="zh-CN"/>
              </w:rPr>
              <w:t>详见下表。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表4-</w:t>
            </w:r>
            <w:r>
              <w:rPr>
                <w:rFonts w:hint="eastAsia" w:cs="Times New Roman"/>
                <w:color w:val="auto"/>
                <w:kern w:val="0"/>
                <w:sz w:val="24"/>
                <w:highlight w:val="none"/>
                <w:lang w:val="en-US" w:eastAsia="zh-CN"/>
              </w:rPr>
              <w:t>5</w:t>
            </w:r>
            <w:r>
              <w:rPr>
                <w:rFonts w:hint="eastAsia" w:ascii="Times New Roman" w:hAnsi="Times New Roman" w:eastAsia="宋体" w:cs="Times New Roman"/>
                <w:color w:val="auto"/>
                <w:kern w:val="0"/>
                <w:sz w:val="24"/>
                <w:highlight w:val="none"/>
                <w:lang w:val="en-US" w:eastAsia="zh-CN"/>
              </w:rPr>
              <w:t xml:space="preserve">  运营期环境监测计划</w:t>
            </w:r>
          </w:p>
          <w:tbl>
            <w:tblPr>
              <w:tblStyle w:val="15"/>
              <w:tblW w:w="8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
            <w:tblGrid>
              <w:gridCol w:w="1278"/>
              <w:gridCol w:w="2265"/>
              <w:gridCol w:w="2597"/>
              <w:gridCol w:w="2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 w:hRule="atLeast"/>
                <w:jc w:val="center"/>
              </w:trPr>
              <w:tc>
                <w:tcPr>
                  <w:tcW w:w="1278" w:type="dxa"/>
                  <w:noWrap w:val="0"/>
                  <w:vAlign w:val="center"/>
                </w:tcPr>
                <w:p>
                  <w:pPr>
                    <w:tabs>
                      <w:tab w:val="left" w:pos="3435"/>
                    </w:tabs>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类别</w:t>
                  </w:r>
                </w:p>
              </w:tc>
              <w:tc>
                <w:tcPr>
                  <w:tcW w:w="2265" w:type="dxa"/>
                  <w:noWrap w:val="0"/>
                  <w:vAlign w:val="center"/>
                </w:tcPr>
                <w:p>
                  <w:pPr>
                    <w:tabs>
                      <w:tab w:val="left" w:pos="3435"/>
                    </w:tabs>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监测位置</w:t>
                  </w:r>
                </w:p>
              </w:tc>
              <w:tc>
                <w:tcPr>
                  <w:tcW w:w="2597" w:type="dxa"/>
                  <w:noWrap w:val="0"/>
                  <w:vAlign w:val="center"/>
                </w:tcPr>
                <w:p>
                  <w:pPr>
                    <w:tabs>
                      <w:tab w:val="left" w:pos="3435"/>
                    </w:tabs>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监测项目</w:t>
                  </w:r>
                </w:p>
              </w:tc>
              <w:tc>
                <w:tcPr>
                  <w:tcW w:w="2138" w:type="dxa"/>
                  <w:noWrap w:val="0"/>
                  <w:vAlign w:val="center"/>
                </w:tcPr>
                <w:p>
                  <w:pPr>
                    <w:tabs>
                      <w:tab w:val="left" w:pos="3435"/>
                    </w:tabs>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 w:hRule="atLeast"/>
                <w:jc w:val="center"/>
              </w:trPr>
              <w:tc>
                <w:tcPr>
                  <w:tcW w:w="1278" w:type="dxa"/>
                  <w:noWrap w:val="0"/>
                  <w:vAlign w:val="center"/>
                </w:tcPr>
                <w:p>
                  <w:pPr>
                    <w:tabs>
                      <w:tab w:val="left" w:pos="3435"/>
                    </w:tabs>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有组织排放</w:t>
                  </w:r>
                </w:p>
              </w:tc>
              <w:tc>
                <w:tcPr>
                  <w:tcW w:w="2265" w:type="dxa"/>
                  <w:noWrap w:val="0"/>
                  <w:vAlign w:val="center"/>
                </w:tcPr>
                <w:p>
                  <w:pPr>
                    <w:tabs>
                      <w:tab w:val="left" w:pos="3435"/>
                    </w:tabs>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DA001排气筒进、出口</w:t>
                  </w:r>
                </w:p>
              </w:tc>
              <w:tc>
                <w:tcPr>
                  <w:tcW w:w="2597" w:type="dxa"/>
                  <w:noWrap w:val="0"/>
                  <w:vAlign w:val="center"/>
                </w:tcPr>
                <w:p>
                  <w:pPr>
                    <w:tabs>
                      <w:tab w:val="left" w:pos="3435"/>
                    </w:tabs>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非甲烷总烃、颗粒物</w:t>
                  </w:r>
                </w:p>
              </w:tc>
              <w:tc>
                <w:tcPr>
                  <w:tcW w:w="2138" w:type="dxa"/>
                  <w:vMerge w:val="restart"/>
                  <w:noWrap w:val="0"/>
                  <w:vAlign w:val="center"/>
                </w:tcPr>
                <w:p>
                  <w:pPr>
                    <w:tabs>
                      <w:tab w:val="left" w:pos="3435"/>
                    </w:tabs>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竣工验收1次，运营期</w:t>
                  </w:r>
                  <w:r>
                    <w:rPr>
                      <w:rFonts w:hint="eastAsia" w:cs="Times New Roman"/>
                      <w:color w:val="auto"/>
                      <w:szCs w:val="21"/>
                      <w:highlight w:val="none"/>
                      <w:lang w:val="en-US" w:eastAsia="zh-CN"/>
                    </w:rPr>
                    <w:t>每半</w:t>
                  </w:r>
                  <w:r>
                    <w:rPr>
                      <w:rFonts w:hint="eastAsia" w:ascii="Times New Roman" w:hAnsi="Times New Roman" w:eastAsia="宋体" w:cs="Times New Roman"/>
                      <w:color w:val="auto"/>
                      <w:szCs w:val="21"/>
                      <w:highlight w:val="none"/>
                      <w:lang w:val="en-US" w:eastAsia="zh-CN"/>
                    </w:rPr>
                    <w:t>年1次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 w:hRule="atLeast"/>
                <w:jc w:val="center"/>
              </w:trPr>
              <w:tc>
                <w:tcPr>
                  <w:tcW w:w="1278" w:type="dxa"/>
                  <w:noWrap w:val="0"/>
                  <w:vAlign w:val="center"/>
                </w:tcPr>
                <w:p>
                  <w:pPr>
                    <w:tabs>
                      <w:tab w:val="left" w:pos="3435"/>
                    </w:tabs>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无组织排放</w:t>
                  </w:r>
                </w:p>
              </w:tc>
              <w:tc>
                <w:tcPr>
                  <w:tcW w:w="2265" w:type="dxa"/>
                  <w:noWrap w:val="0"/>
                  <w:vAlign w:val="center"/>
                </w:tcPr>
                <w:p>
                  <w:pPr>
                    <w:tabs>
                      <w:tab w:val="left" w:pos="3435"/>
                    </w:tabs>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w:t>
                  </w:r>
                </w:p>
              </w:tc>
              <w:tc>
                <w:tcPr>
                  <w:tcW w:w="2597" w:type="dxa"/>
                  <w:noWrap w:val="0"/>
                  <w:vAlign w:val="center"/>
                </w:tcPr>
                <w:p>
                  <w:pPr>
                    <w:tabs>
                      <w:tab w:val="left" w:pos="3435"/>
                    </w:tabs>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颗粒物</w:t>
                  </w:r>
                  <w:r>
                    <w:rPr>
                      <w:rFonts w:hint="eastAsia" w:ascii="Times New Roman" w:hAnsi="Times New Roman"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非甲烷总烃</w:t>
                  </w:r>
                </w:p>
              </w:tc>
              <w:tc>
                <w:tcPr>
                  <w:tcW w:w="2138" w:type="dxa"/>
                  <w:vMerge w:val="continue"/>
                  <w:noWrap w:val="0"/>
                  <w:vAlign w:val="center"/>
                </w:tcPr>
                <w:p>
                  <w:pPr>
                    <w:tabs>
                      <w:tab w:val="left" w:pos="3435"/>
                    </w:tabs>
                    <w:jc w:val="center"/>
                    <w:rPr>
                      <w:rFonts w:hint="eastAsia" w:ascii="Times New Roman" w:hAnsi="Times New Roman" w:eastAsia="宋体" w:cs="Times New Roman"/>
                      <w:color w:val="auto"/>
                      <w:szCs w:val="21"/>
                      <w:highlight w:val="none"/>
                      <w:lang w:val="en-US" w:eastAsia="zh-CN"/>
                    </w:rPr>
                  </w:pPr>
                </w:p>
              </w:tc>
            </w:tr>
          </w:tbl>
          <w:p>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2、运营期地表水环境影响和保护措施</w:t>
            </w:r>
          </w:p>
          <w:p>
            <w:pPr>
              <w:spacing w:line="360" w:lineRule="auto"/>
              <w:ind w:firstLine="480" w:firstLineChars="200"/>
              <w:rPr>
                <w:rFonts w:hint="default" w:cs="Times New Roman"/>
                <w:color w:val="auto"/>
                <w:kern w:val="0"/>
                <w:sz w:val="24"/>
                <w:highlight w:val="none"/>
                <w:lang w:val="en-US" w:eastAsia="zh-CN"/>
              </w:rPr>
            </w:pPr>
            <w:r>
              <w:rPr>
                <w:rFonts w:hint="eastAsia" w:cs="Times New Roman"/>
                <w:color w:val="auto"/>
                <w:kern w:val="0"/>
                <w:sz w:val="24"/>
                <w:highlight w:val="none"/>
                <w:lang w:val="en-US" w:eastAsia="zh-CN"/>
              </w:rPr>
              <w:t>（1）废水源强及产、排污核算</w:t>
            </w:r>
          </w:p>
          <w:p>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项目运营期内，外排废水主要为空压机含油废水、地面清洁废水及</w:t>
            </w:r>
            <w:r>
              <w:rPr>
                <w:rFonts w:hint="eastAsia" w:ascii="Times New Roman" w:hAnsi="Times New Roman" w:eastAsia="宋体" w:cs="Times New Roman"/>
                <w:color w:val="auto"/>
                <w:sz w:val="24"/>
                <w:szCs w:val="24"/>
                <w:highlight w:val="none"/>
                <w:lang w:val="en-US" w:eastAsia="zh-CN"/>
              </w:rPr>
              <w:t>生活污水</w:t>
            </w:r>
            <w:r>
              <w:rPr>
                <w:rFonts w:hint="eastAsia" w:cs="Times New Roman"/>
                <w:color w:val="auto"/>
                <w:kern w:val="0"/>
                <w:sz w:val="24"/>
                <w:highlight w:val="none"/>
                <w:lang w:val="en-US" w:eastAsia="zh-CN"/>
              </w:rPr>
              <w:t>。</w:t>
            </w:r>
            <w:r>
              <w:rPr>
                <w:rFonts w:hint="eastAsia" w:cs="Times New Roman"/>
                <w:color w:val="auto"/>
                <w:kern w:val="0"/>
                <w:sz w:val="24"/>
                <w:szCs w:val="24"/>
                <w:highlight w:val="none"/>
                <w:lang w:val="en-US" w:eastAsia="zh-CN"/>
              </w:rPr>
              <w:t>空压机含油废水及地面清洁废水经油水分离器</w:t>
            </w:r>
            <w:r>
              <w:rPr>
                <w:rFonts w:hint="eastAsia" w:cs="Times New Roman"/>
                <w:color w:val="auto"/>
                <w:kern w:val="0"/>
                <w:sz w:val="24"/>
                <w:highlight w:val="none"/>
                <w:lang w:val="en-US" w:eastAsia="zh-CN"/>
              </w:rPr>
              <w:t>（处理规模2m</w:t>
            </w:r>
            <w:r>
              <w:rPr>
                <w:rFonts w:hint="eastAsia" w:cs="Times New Roman"/>
                <w:color w:val="auto"/>
                <w:kern w:val="0"/>
                <w:sz w:val="24"/>
                <w:highlight w:val="none"/>
                <w:vertAlign w:val="superscript"/>
                <w:lang w:val="en-US" w:eastAsia="zh-CN"/>
              </w:rPr>
              <w:t>3</w:t>
            </w:r>
            <w:r>
              <w:rPr>
                <w:rFonts w:hint="eastAsia" w:cs="Times New Roman"/>
                <w:color w:val="auto"/>
                <w:kern w:val="0"/>
                <w:sz w:val="24"/>
                <w:highlight w:val="none"/>
                <w:lang w:val="en-US" w:eastAsia="zh-CN"/>
              </w:rPr>
              <w:t>/d）</w:t>
            </w:r>
            <w:r>
              <w:rPr>
                <w:rFonts w:hint="eastAsia" w:cs="Times New Roman"/>
                <w:color w:val="auto"/>
                <w:kern w:val="0"/>
                <w:sz w:val="24"/>
                <w:szCs w:val="24"/>
                <w:highlight w:val="none"/>
                <w:lang w:val="en-US" w:eastAsia="zh-CN"/>
              </w:rPr>
              <w:t>处理后与生活污水</w:t>
            </w:r>
            <w:r>
              <w:rPr>
                <w:rFonts w:hint="eastAsia"/>
                <w:color w:val="auto"/>
                <w:kern w:val="0"/>
                <w:sz w:val="24"/>
                <w:szCs w:val="24"/>
                <w:highlight w:val="none"/>
                <w:lang w:val="en-US" w:eastAsia="zh-CN" w:bidi="ar"/>
              </w:rPr>
              <w:t>一并进入厂区自建生化池</w:t>
            </w:r>
            <w:r>
              <w:rPr>
                <w:rFonts w:hint="eastAsia" w:cs="Times New Roman"/>
                <w:color w:val="auto"/>
                <w:kern w:val="0"/>
                <w:sz w:val="24"/>
                <w:highlight w:val="none"/>
                <w:lang w:val="en-US" w:eastAsia="zh-CN"/>
              </w:rPr>
              <w:t>（处理规模6m</w:t>
            </w:r>
            <w:r>
              <w:rPr>
                <w:rFonts w:hint="eastAsia" w:cs="Times New Roman"/>
                <w:color w:val="auto"/>
                <w:kern w:val="0"/>
                <w:sz w:val="24"/>
                <w:highlight w:val="none"/>
                <w:vertAlign w:val="superscript"/>
                <w:lang w:val="en-US" w:eastAsia="zh-CN"/>
              </w:rPr>
              <w:t>3</w:t>
            </w:r>
            <w:r>
              <w:rPr>
                <w:rFonts w:hint="eastAsia" w:cs="Times New Roman"/>
                <w:color w:val="auto"/>
                <w:kern w:val="0"/>
                <w:sz w:val="24"/>
                <w:highlight w:val="none"/>
                <w:lang w:val="en-US" w:eastAsia="zh-CN"/>
              </w:rPr>
              <w:t>/d）处理达标后排放。</w:t>
            </w:r>
          </w:p>
          <w:p>
            <w:pPr>
              <w:spacing w:line="360" w:lineRule="auto"/>
              <w:ind w:firstLine="480" w:firstLineChars="200"/>
              <w:rPr>
                <w:rFonts w:hint="default" w:ascii="Times New Roman" w:hAnsi="Times New Roman" w:cs="Times New Roman"/>
                <w:color w:val="auto"/>
                <w:kern w:val="0"/>
                <w:sz w:val="24"/>
                <w:highlight w:val="none"/>
                <w:lang w:val="en-US" w:eastAsia="zh-CN"/>
              </w:rPr>
            </w:pPr>
            <w:r>
              <w:rPr>
                <w:rFonts w:hint="eastAsia" w:cs="Times New Roman"/>
                <w:color w:val="auto"/>
                <w:kern w:val="0"/>
                <w:sz w:val="24"/>
                <w:highlight w:val="none"/>
                <w:lang w:val="en-US" w:eastAsia="zh-CN"/>
              </w:rPr>
              <w:t>根据前文表2-2分析可知，</w:t>
            </w:r>
            <w:r>
              <w:rPr>
                <w:rFonts w:hint="eastAsia" w:ascii="Times New Roman" w:hAnsi="Times New Roman" w:cs="Times New Roman"/>
                <w:color w:val="auto"/>
                <w:kern w:val="0"/>
                <w:sz w:val="24"/>
                <w:highlight w:val="none"/>
                <w:lang w:val="en-US" w:eastAsia="zh-CN"/>
              </w:rPr>
              <w:t>项目运营期</w:t>
            </w:r>
            <w:r>
              <w:rPr>
                <w:rFonts w:hint="eastAsia" w:cs="Times New Roman"/>
                <w:color w:val="auto"/>
                <w:kern w:val="0"/>
                <w:sz w:val="24"/>
                <w:highlight w:val="none"/>
                <w:lang w:val="en-US" w:eastAsia="zh-CN"/>
              </w:rPr>
              <w:t>空压机含油废水及</w:t>
            </w:r>
            <w:r>
              <w:rPr>
                <w:rFonts w:hint="eastAsia" w:ascii="Times New Roman" w:hAnsi="Times New Roman" w:eastAsia="宋体" w:cs="Times New Roman"/>
                <w:color w:val="auto"/>
                <w:sz w:val="24"/>
                <w:szCs w:val="24"/>
                <w:highlight w:val="none"/>
                <w:lang w:val="en-US" w:eastAsia="zh-CN"/>
              </w:rPr>
              <w:t>生活污水</w:t>
            </w:r>
            <w:r>
              <w:rPr>
                <w:rFonts w:hint="eastAsia" w:ascii="Times New Roman" w:hAnsi="Times New Roman" w:cs="Times New Roman"/>
                <w:color w:val="auto"/>
                <w:kern w:val="0"/>
                <w:sz w:val="24"/>
                <w:highlight w:val="none"/>
                <w:lang w:val="en-US" w:eastAsia="zh-CN"/>
              </w:rPr>
              <w:t>产、排情况，详见下表。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表4-6 废水污染物产、排情况一览表</w:t>
            </w:r>
          </w:p>
          <w:tbl>
            <w:tblPr>
              <w:tblStyle w:val="16"/>
              <w:tblW w:w="83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7"/>
              <w:gridCol w:w="1095"/>
              <w:gridCol w:w="840"/>
              <w:gridCol w:w="840"/>
              <w:gridCol w:w="825"/>
              <w:gridCol w:w="840"/>
              <w:gridCol w:w="870"/>
              <w:gridCol w:w="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2177" w:type="dxa"/>
                  <w:vMerge w:val="restart"/>
                  <w:vAlign w:val="center"/>
                </w:tcPr>
                <w:p>
                  <w:pPr>
                    <w:spacing w:line="240" w:lineRule="auto"/>
                    <w:jc w:val="center"/>
                    <w:rPr>
                      <w:rFonts w:hint="default" w:ascii="Times New Roman" w:hAnsi="Times New Roman" w:cs="Times New Roman"/>
                      <w:color w:val="auto"/>
                      <w:kern w:val="0"/>
                      <w:sz w:val="21"/>
                      <w:szCs w:val="21"/>
                      <w:highlight w:val="none"/>
                      <w:vertAlign w:val="baseline"/>
                      <w:lang w:val="en-US" w:eastAsia="zh-CN"/>
                    </w:rPr>
                  </w:pPr>
                  <w:r>
                    <w:rPr>
                      <w:rFonts w:hint="eastAsia" w:ascii="Times New Roman" w:hAnsi="Times New Roman" w:cs="Times New Roman"/>
                      <w:color w:val="auto"/>
                      <w:kern w:val="0"/>
                      <w:sz w:val="21"/>
                      <w:szCs w:val="21"/>
                      <w:highlight w:val="none"/>
                      <w:vertAlign w:val="baseline"/>
                      <w:lang w:val="en-US" w:eastAsia="zh-CN"/>
                    </w:rPr>
                    <w:t>废水类型</w:t>
                  </w:r>
                </w:p>
              </w:tc>
              <w:tc>
                <w:tcPr>
                  <w:tcW w:w="1095" w:type="dxa"/>
                  <w:vMerge w:val="restart"/>
                  <w:vAlign w:val="center"/>
                </w:tcPr>
                <w:p>
                  <w:pPr>
                    <w:spacing w:line="240" w:lineRule="auto"/>
                    <w:jc w:val="center"/>
                    <w:rPr>
                      <w:rFonts w:hint="default" w:ascii="Times New Roman" w:hAnsi="Times New Roman" w:cs="Times New Roman"/>
                      <w:color w:val="auto"/>
                      <w:kern w:val="0"/>
                      <w:sz w:val="21"/>
                      <w:szCs w:val="21"/>
                      <w:highlight w:val="none"/>
                      <w:vertAlign w:val="baseline"/>
                      <w:lang w:val="en-US" w:eastAsia="zh-CN"/>
                    </w:rPr>
                  </w:pPr>
                  <w:r>
                    <w:rPr>
                      <w:rFonts w:hint="eastAsia" w:ascii="Times New Roman" w:hAnsi="Times New Roman" w:cs="Times New Roman"/>
                      <w:color w:val="auto"/>
                      <w:kern w:val="0"/>
                      <w:sz w:val="21"/>
                      <w:szCs w:val="21"/>
                      <w:highlight w:val="none"/>
                      <w:vertAlign w:val="baseline"/>
                      <w:lang w:val="en-US" w:eastAsia="zh-CN"/>
                    </w:rPr>
                    <w:t>污染物</w:t>
                  </w:r>
                </w:p>
              </w:tc>
              <w:tc>
                <w:tcPr>
                  <w:tcW w:w="1680" w:type="dxa"/>
                  <w:gridSpan w:val="2"/>
                  <w:vAlign w:val="center"/>
                </w:tcPr>
                <w:p>
                  <w:pPr>
                    <w:spacing w:line="240" w:lineRule="auto"/>
                    <w:jc w:val="center"/>
                    <w:rPr>
                      <w:rFonts w:hint="default" w:ascii="Times New Roman" w:hAnsi="Times New Roman" w:cs="Times New Roman"/>
                      <w:color w:val="auto"/>
                      <w:kern w:val="0"/>
                      <w:sz w:val="21"/>
                      <w:szCs w:val="21"/>
                      <w:highlight w:val="none"/>
                      <w:vertAlign w:val="baseline"/>
                      <w:lang w:val="en-US" w:eastAsia="zh-CN"/>
                    </w:rPr>
                  </w:pPr>
                  <w:r>
                    <w:rPr>
                      <w:rFonts w:hint="eastAsia" w:ascii="Times New Roman" w:hAnsi="Times New Roman" w:cs="Times New Roman"/>
                      <w:color w:val="auto"/>
                      <w:kern w:val="0"/>
                      <w:sz w:val="21"/>
                      <w:szCs w:val="21"/>
                      <w:highlight w:val="none"/>
                      <w:vertAlign w:val="baseline"/>
                      <w:lang w:val="en-US" w:eastAsia="zh-CN"/>
                    </w:rPr>
                    <w:t>产生情况</w:t>
                  </w:r>
                </w:p>
              </w:tc>
              <w:tc>
                <w:tcPr>
                  <w:tcW w:w="1665" w:type="dxa"/>
                  <w:gridSpan w:val="2"/>
                  <w:vAlign w:val="center"/>
                </w:tcPr>
                <w:p>
                  <w:pPr>
                    <w:spacing w:line="240" w:lineRule="auto"/>
                    <w:jc w:val="center"/>
                    <w:rPr>
                      <w:rFonts w:hint="default" w:ascii="Times New Roman" w:hAnsi="Times New Roman" w:cs="Times New Roman"/>
                      <w:color w:val="auto"/>
                      <w:kern w:val="0"/>
                      <w:sz w:val="21"/>
                      <w:szCs w:val="21"/>
                      <w:highlight w:val="none"/>
                      <w:vertAlign w:val="baseline"/>
                      <w:lang w:val="en-US" w:eastAsia="zh-CN"/>
                    </w:rPr>
                  </w:pPr>
                  <w:r>
                    <w:rPr>
                      <w:rFonts w:hint="eastAsia" w:ascii="Times New Roman" w:hAnsi="Times New Roman" w:cs="Times New Roman"/>
                      <w:color w:val="auto"/>
                      <w:kern w:val="0"/>
                      <w:sz w:val="21"/>
                      <w:szCs w:val="21"/>
                      <w:highlight w:val="none"/>
                      <w:vertAlign w:val="baseline"/>
                      <w:lang w:val="en-US" w:eastAsia="zh-CN"/>
                    </w:rPr>
                    <w:t>排入管网</w:t>
                  </w:r>
                </w:p>
              </w:tc>
              <w:tc>
                <w:tcPr>
                  <w:tcW w:w="1699" w:type="dxa"/>
                  <w:gridSpan w:val="2"/>
                  <w:vAlign w:val="center"/>
                </w:tcPr>
                <w:p>
                  <w:pPr>
                    <w:spacing w:line="240" w:lineRule="auto"/>
                    <w:jc w:val="center"/>
                    <w:rPr>
                      <w:rFonts w:hint="eastAsia" w:ascii="Times New Roman" w:hAnsi="Times New Roman" w:cs="Times New Roman"/>
                      <w:color w:val="auto"/>
                      <w:kern w:val="0"/>
                      <w:sz w:val="21"/>
                      <w:szCs w:val="21"/>
                      <w:highlight w:val="none"/>
                      <w:vertAlign w:val="baseline"/>
                      <w:lang w:val="en-US" w:eastAsia="zh-CN"/>
                    </w:rPr>
                  </w:pPr>
                  <w:r>
                    <w:rPr>
                      <w:rFonts w:hint="eastAsia" w:ascii="Times New Roman" w:hAnsi="Times New Roman" w:cs="Times New Roman"/>
                      <w:color w:val="auto"/>
                      <w:kern w:val="0"/>
                      <w:sz w:val="21"/>
                      <w:szCs w:val="21"/>
                      <w:highlight w:val="none"/>
                      <w:vertAlign w:val="baseline"/>
                      <w:lang w:val="en-US" w:eastAsia="zh-CN"/>
                    </w:rPr>
                    <w:t>排入环境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7" w:type="dxa"/>
                  <w:vMerge w:val="continue"/>
                  <w:vAlign w:val="center"/>
                </w:tcPr>
                <w:p>
                  <w:pPr>
                    <w:spacing w:line="240" w:lineRule="auto"/>
                    <w:jc w:val="center"/>
                    <w:rPr>
                      <w:rFonts w:hint="eastAsia" w:ascii="Times New Roman" w:hAnsi="Times New Roman" w:cs="Times New Roman"/>
                      <w:color w:val="auto"/>
                      <w:kern w:val="0"/>
                      <w:sz w:val="21"/>
                      <w:szCs w:val="21"/>
                      <w:highlight w:val="none"/>
                      <w:vertAlign w:val="baseline"/>
                      <w:lang w:val="en-US" w:eastAsia="zh-CN"/>
                    </w:rPr>
                  </w:pPr>
                </w:p>
              </w:tc>
              <w:tc>
                <w:tcPr>
                  <w:tcW w:w="1095" w:type="dxa"/>
                  <w:vMerge w:val="continue"/>
                  <w:vAlign w:val="center"/>
                </w:tcPr>
                <w:p>
                  <w:pPr>
                    <w:spacing w:line="240" w:lineRule="auto"/>
                    <w:jc w:val="center"/>
                    <w:rPr>
                      <w:rFonts w:hint="eastAsia" w:ascii="Times New Roman" w:hAnsi="Times New Roman" w:cs="Times New Roman"/>
                      <w:color w:val="auto"/>
                      <w:kern w:val="0"/>
                      <w:sz w:val="21"/>
                      <w:szCs w:val="21"/>
                      <w:highlight w:val="none"/>
                      <w:vertAlign w:val="baseline"/>
                      <w:lang w:val="en-US" w:eastAsia="zh-CN"/>
                    </w:rPr>
                  </w:pPr>
                </w:p>
              </w:tc>
              <w:tc>
                <w:tcPr>
                  <w:tcW w:w="840" w:type="dxa"/>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mg/L</w:t>
                  </w:r>
                </w:p>
              </w:tc>
              <w:tc>
                <w:tcPr>
                  <w:tcW w:w="840" w:type="dxa"/>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t/a</w:t>
                  </w:r>
                </w:p>
              </w:tc>
              <w:tc>
                <w:tcPr>
                  <w:tcW w:w="825" w:type="dxa"/>
                  <w:vAlign w:val="center"/>
                </w:tcPr>
                <w:p>
                  <w:pPr>
                    <w:spacing w:line="240" w:lineRule="auto"/>
                    <w:jc w:val="center"/>
                    <w:rPr>
                      <w:rFonts w:hint="eastAsia" w:ascii="Times New Roman" w:hAnsi="Times New Roman"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mg/L</w:t>
                  </w:r>
                </w:p>
              </w:tc>
              <w:tc>
                <w:tcPr>
                  <w:tcW w:w="840" w:type="dxa"/>
                  <w:vAlign w:val="center"/>
                </w:tcPr>
                <w:p>
                  <w:pPr>
                    <w:spacing w:line="240" w:lineRule="auto"/>
                    <w:jc w:val="center"/>
                    <w:rPr>
                      <w:rFonts w:hint="eastAsia" w:ascii="Times New Roman" w:hAnsi="Times New Roman"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t/a</w:t>
                  </w:r>
                </w:p>
              </w:tc>
              <w:tc>
                <w:tcPr>
                  <w:tcW w:w="870" w:type="dxa"/>
                  <w:vAlign w:val="center"/>
                </w:tcPr>
                <w:p>
                  <w:pPr>
                    <w:spacing w:line="240" w:lineRule="auto"/>
                    <w:jc w:val="center"/>
                    <w:rPr>
                      <w:rFonts w:hint="eastAsia" w:ascii="Times New Roman" w:hAnsi="Times New Roman"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mg/L</w:t>
                  </w:r>
                </w:p>
              </w:tc>
              <w:tc>
                <w:tcPr>
                  <w:tcW w:w="829" w:type="dxa"/>
                  <w:vAlign w:val="center"/>
                </w:tcPr>
                <w:p>
                  <w:pPr>
                    <w:spacing w:line="240" w:lineRule="auto"/>
                    <w:jc w:val="center"/>
                    <w:rPr>
                      <w:rFonts w:hint="eastAsia" w:ascii="Times New Roman" w:hAnsi="Times New Roman"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7" w:type="dxa"/>
                  <w:vMerge w:val="restart"/>
                  <w:vAlign w:val="center"/>
                </w:tcPr>
                <w:p>
                  <w:pPr>
                    <w:spacing w:line="240" w:lineRule="auto"/>
                    <w:jc w:val="center"/>
                    <w:rPr>
                      <w:rFonts w:hint="default" w:ascii="Times New Roman" w:hAnsi="Times New Roman"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空压机含油废水、地面清洁废水、生活污水561.66</w:t>
                  </w:r>
                  <w:r>
                    <w:rPr>
                      <w:rFonts w:hint="eastAsia" w:ascii="Times New Roman" w:hAnsi="Times New Roman" w:cs="Times New Roman"/>
                      <w:color w:val="auto"/>
                      <w:kern w:val="0"/>
                      <w:sz w:val="21"/>
                      <w:szCs w:val="21"/>
                      <w:highlight w:val="none"/>
                      <w:vertAlign w:val="baseline"/>
                      <w:lang w:val="en-US" w:eastAsia="zh-CN"/>
                    </w:rPr>
                    <w:t>m</w:t>
                  </w:r>
                  <w:r>
                    <w:rPr>
                      <w:rFonts w:hint="eastAsia" w:ascii="Times New Roman" w:hAnsi="Times New Roman" w:cs="Times New Roman"/>
                      <w:color w:val="auto"/>
                      <w:kern w:val="0"/>
                      <w:sz w:val="21"/>
                      <w:szCs w:val="21"/>
                      <w:highlight w:val="none"/>
                      <w:vertAlign w:val="superscript"/>
                      <w:lang w:val="en-US" w:eastAsia="zh-CN"/>
                    </w:rPr>
                    <w:t>3</w:t>
                  </w:r>
                  <w:r>
                    <w:rPr>
                      <w:rFonts w:hint="eastAsia" w:ascii="Times New Roman" w:hAnsi="Times New Roman" w:cs="Times New Roman"/>
                      <w:color w:val="auto"/>
                      <w:kern w:val="0"/>
                      <w:sz w:val="21"/>
                      <w:szCs w:val="21"/>
                      <w:highlight w:val="none"/>
                      <w:vertAlign w:val="baseline"/>
                      <w:lang w:val="en-US" w:eastAsia="zh-CN"/>
                    </w:rPr>
                    <w:t>/a</w:t>
                  </w:r>
                </w:p>
              </w:tc>
              <w:tc>
                <w:tcPr>
                  <w:tcW w:w="1095" w:type="dxa"/>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pH</w:t>
                  </w:r>
                </w:p>
              </w:tc>
              <w:tc>
                <w:tcPr>
                  <w:tcW w:w="840" w:type="dxa"/>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rPr>
                    <w:t>6~9</w:t>
                  </w:r>
                </w:p>
              </w:tc>
              <w:tc>
                <w:tcPr>
                  <w:tcW w:w="840" w:type="dxa"/>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825" w:type="dxa"/>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rPr>
                    <w:t>6~9</w:t>
                  </w:r>
                </w:p>
              </w:tc>
              <w:tc>
                <w:tcPr>
                  <w:tcW w:w="840" w:type="dxa"/>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870" w:type="dxa"/>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rPr>
                    <w:t>6~9</w:t>
                  </w:r>
                </w:p>
              </w:tc>
              <w:tc>
                <w:tcPr>
                  <w:tcW w:w="829" w:type="dxa"/>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2177" w:type="dxa"/>
                  <w:vMerge w:val="continue"/>
                  <w:vAlign w:val="center"/>
                </w:tcPr>
                <w:p>
                  <w:pPr>
                    <w:spacing w:line="240" w:lineRule="auto"/>
                    <w:jc w:val="center"/>
                    <w:rPr>
                      <w:rFonts w:hint="default" w:ascii="Times New Roman" w:hAnsi="Times New Roman" w:cs="Times New Roman"/>
                      <w:color w:val="auto"/>
                      <w:kern w:val="0"/>
                      <w:sz w:val="21"/>
                      <w:szCs w:val="21"/>
                      <w:highlight w:val="none"/>
                      <w:vertAlign w:val="baseline"/>
                      <w:lang w:val="en-US" w:eastAsia="zh-CN"/>
                    </w:rPr>
                  </w:pPr>
                </w:p>
              </w:tc>
              <w:tc>
                <w:tcPr>
                  <w:tcW w:w="1095" w:type="dxa"/>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rPr>
                    <w:t>COD</w:t>
                  </w:r>
                </w:p>
              </w:tc>
              <w:tc>
                <w:tcPr>
                  <w:tcW w:w="840" w:type="dxa"/>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450</w:t>
                  </w:r>
                </w:p>
              </w:tc>
              <w:tc>
                <w:tcPr>
                  <w:tcW w:w="840" w:type="dxa"/>
                  <w:vAlign w:val="top"/>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0.253</w:t>
                  </w:r>
                </w:p>
              </w:tc>
              <w:tc>
                <w:tcPr>
                  <w:tcW w:w="825" w:type="dxa"/>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400</w:t>
                  </w:r>
                </w:p>
              </w:tc>
              <w:tc>
                <w:tcPr>
                  <w:tcW w:w="840" w:type="dxa"/>
                  <w:vAlign w:val="top"/>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0.225</w:t>
                  </w:r>
                </w:p>
              </w:tc>
              <w:tc>
                <w:tcPr>
                  <w:tcW w:w="870" w:type="dxa"/>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60</w:t>
                  </w:r>
                </w:p>
              </w:tc>
              <w:tc>
                <w:tcPr>
                  <w:tcW w:w="829" w:type="dxa"/>
                  <w:vAlign w:val="top"/>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177" w:type="dxa"/>
                  <w:vMerge w:val="continue"/>
                  <w:vAlign w:val="center"/>
                </w:tcPr>
                <w:p>
                  <w:pPr>
                    <w:spacing w:line="240" w:lineRule="auto"/>
                    <w:jc w:val="center"/>
                    <w:rPr>
                      <w:rFonts w:hint="eastAsia" w:ascii="Times New Roman" w:hAnsi="Times New Roman" w:cs="Times New Roman"/>
                      <w:color w:val="auto"/>
                      <w:kern w:val="0"/>
                      <w:sz w:val="21"/>
                      <w:szCs w:val="21"/>
                      <w:highlight w:val="none"/>
                      <w:vertAlign w:val="baseline"/>
                      <w:lang w:val="en-US" w:eastAsia="zh-CN"/>
                    </w:rPr>
                  </w:pPr>
                </w:p>
              </w:tc>
              <w:tc>
                <w:tcPr>
                  <w:tcW w:w="1095" w:type="dxa"/>
                  <w:vAlign w:val="center"/>
                </w:tcPr>
                <w:p>
                  <w:pPr>
                    <w:spacing w:line="240" w:lineRule="auto"/>
                    <w:jc w:val="center"/>
                    <w:rPr>
                      <w:rFonts w:hint="eastAsia" w:ascii="Times New Roman" w:hAnsi="Times New Roman" w:eastAsia="宋体" w:cs="Times New Roman"/>
                      <w:color w:val="auto"/>
                      <w:kern w:val="0"/>
                      <w:sz w:val="21"/>
                      <w:szCs w:val="21"/>
                      <w:highlight w:val="none"/>
                      <w:vertAlign w:val="subscript"/>
                      <w:lang w:val="en-US" w:eastAsia="zh-CN" w:bidi="ar-SA"/>
                    </w:rPr>
                  </w:pPr>
                  <w:r>
                    <w:rPr>
                      <w:rFonts w:hint="eastAsia" w:ascii="Times New Roman" w:hAnsi="Times New Roman" w:cs="Times New Roman"/>
                      <w:color w:val="auto"/>
                      <w:kern w:val="0"/>
                      <w:sz w:val="21"/>
                      <w:szCs w:val="21"/>
                      <w:highlight w:val="none"/>
                      <w:vertAlign w:val="baseline"/>
                      <w:lang w:val="en-US" w:eastAsia="zh-CN"/>
                    </w:rPr>
                    <w:t>BOD</w:t>
                  </w:r>
                  <w:r>
                    <w:rPr>
                      <w:rFonts w:hint="eastAsia" w:ascii="Times New Roman" w:hAnsi="Times New Roman" w:cs="Times New Roman"/>
                      <w:color w:val="auto"/>
                      <w:kern w:val="0"/>
                      <w:sz w:val="21"/>
                      <w:szCs w:val="21"/>
                      <w:highlight w:val="none"/>
                      <w:vertAlign w:val="subscript"/>
                      <w:lang w:val="en-US" w:eastAsia="zh-CN"/>
                    </w:rPr>
                    <w:t>5</w:t>
                  </w:r>
                </w:p>
              </w:tc>
              <w:tc>
                <w:tcPr>
                  <w:tcW w:w="840" w:type="dxa"/>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400</w:t>
                  </w:r>
                </w:p>
              </w:tc>
              <w:tc>
                <w:tcPr>
                  <w:tcW w:w="840" w:type="dxa"/>
                  <w:vAlign w:val="top"/>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0.225</w:t>
                  </w:r>
                </w:p>
              </w:tc>
              <w:tc>
                <w:tcPr>
                  <w:tcW w:w="825" w:type="dxa"/>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350</w:t>
                  </w:r>
                </w:p>
              </w:tc>
              <w:tc>
                <w:tcPr>
                  <w:tcW w:w="840" w:type="dxa"/>
                  <w:vAlign w:val="top"/>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0.197</w:t>
                  </w:r>
                </w:p>
              </w:tc>
              <w:tc>
                <w:tcPr>
                  <w:tcW w:w="870" w:type="dxa"/>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20</w:t>
                  </w:r>
                </w:p>
              </w:tc>
              <w:tc>
                <w:tcPr>
                  <w:tcW w:w="829" w:type="dxa"/>
                  <w:vAlign w:val="top"/>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7" w:type="dxa"/>
                  <w:vMerge w:val="continue"/>
                  <w:vAlign w:val="center"/>
                </w:tcPr>
                <w:p>
                  <w:pPr>
                    <w:spacing w:line="240" w:lineRule="auto"/>
                    <w:jc w:val="center"/>
                    <w:rPr>
                      <w:rFonts w:hint="eastAsia" w:ascii="Times New Roman" w:hAnsi="Times New Roman" w:cs="Times New Roman"/>
                      <w:color w:val="auto"/>
                      <w:kern w:val="0"/>
                      <w:sz w:val="21"/>
                      <w:szCs w:val="21"/>
                      <w:highlight w:val="none"/>
                      <w:vertAlign w:val="baseline"/>
                      <w:lang w:val="en-US" w:eastAsia="zh-CN"/>
                    </w:rPr>
                  </w:pPr>
                </w:p>
              </w:tc>
              <w:tc>
                <w:tcPr>
                  <w:tcW w:w="1095" w:type="dxa"/>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rPr>
                    <w:t>SS</w:t>
                  </w:r>
                </w:p>
              </w:tc>
              <w:tc>
                <w:tcPr>
                  <w:tcW w:w="840" w:type="dxa"/>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400</w:t>
                  </w:r>
                </w:p>
              </w:tc>
              <w:tc>
                <w:tcPr>
                  <w:tcW w:w="840" w:type="dxa"/>
                  <w:vAlign w:val="top"/>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0.225</w:t>
                  </w:r>
                </w:p>
              </w:tc>
              <w:tc>
                <w:tcPr>
                  <w:tcW w:w="825" w:type="dxa"/>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350</w:t>
                  </w:r>
                </w:p>
              </w:tc>
              <w:tc>
                <w:tcPr>
                  <w:tcW w:w="840" w:type="dxa"/>
                  <w:vAlign w:val="top"/>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0.197</w:t>
                  </w:r>
                </w:p>
              </w:tc>
              <w:tc>
                <w:tcPr>
                  <w:tcW w:w="870" w:type="dxa"/>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20</w:t>
                  </w:r>
                </w:p>
              </w:tc>
              <w:tc>
                <w:tcPr>
                  <w:tcW w:w="829" w:type="dxa"/>
                  <w:vAlign w:val="top"/>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7" w:type="dxa"/>
                  <w:vMerge w:val="continue"/>
                  <w:vAlign w:val="center"/>
                </w:tcPr>
                <w:p>
                  <w:pPr>
                    <w:spacing w:line="240" w:lineRule="auto"/>
                    <w:jc w:val="center"/>
                    <w:rPr>
                      <w:rFonts w:hint="eastAsia" w:ascii="Times New Roman" w:hAnsi="Times New Roman" w:cs="Times New Roman"/>
                      <w:color w:val="auto"/>
                      <w:kern w:val="0"/>
                      <w:sz w:val="21"/>
                      <w:szCs w:val="21"/>
                      <w:highlight w:val="none"/>
                      <w:vertAlign w:val="baseline"/>
                      <w:lang w:val="en-US" w:eastAsia="zh-CN"/>
                    </w:rPr>
                  </w:pPr>
                </w:p>
              </w:tc>
              <w:tc>
                <w:tcPr>
                  <w:tcW w:w="1095" w:type="dxa"/>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rPr>
                    <w:t>氨氮</w:t>
                  </w:r>
                </w:p>
              </w:tc>
              <w:tc>
                <w:tcPr>
                  <w:tcW w:w="840" w:type="dxa"/>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45</w:t>
                  </w:r>
                </w:p>
              </w:tc>
              <w:tc>
                <w:tcPr>
                  <w:tcW w:w="840" w:type="dxa"/>
                  <w:vAlign w:val="top"/>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0.025</w:t>
                  </w:r>
                </w:p>
              </w:tc>
              <w:tc>
                <w:tcPr>
                  <w:tcW w:w="825" w:type="dxa"/>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30</w:t>
                  </w:r>
                </w:p>
              </w:tc>
              <w:tc>
                <w:tcPr>
                  <w:tcW w:w="840" w:type="dxa"/>
                  <w:vAlign w:val="top"/>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0.017</w:t>
                  </w:r>
                </w:p>
              </w:tc>
              <w:tc>
                <w:tcPr>
                  <w:tcW w:w="870" w:type="dxa"/>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8</w:t>
                  </w:r>
                </w:p>
              </w:tc>
              <w:tc>
                <w:tcPr>
                  <w:tcW w:w="829" w:type="dxa"/>
                  <w:vAlign w:val="top"/>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7" w:type="dxa"/>
                  <w:vMerge w:val="continue"/>
                  <w:vAlign w:val="center"/>
                </w:tcPr>
                <w:p>
                  <w:pPr>
                    <w:spacing w:line="240" w:lineRule="auto"/>
                    <w:jc w:val="center"/>
                    <w:rPr>
                      <w:rFonts w:hint="eastAsia" w:ascii="Times New Roman" w:hAnsi="Times New Roman" w:cs="Times New Roman"/>
                      <w:color w:val="auto"/>
                      <w:kern w:val="0"/>
                      <w:sz w:val="21"/>
                      <w:szCs w:val="21"/>
                      <w:highlight w:val="none"/>
                      <w:vertAlign w:val="baseline"/>
                      <w:lang w:val="en-US" w:eastAsia="zh-CN"/>
                    </w:rPr>
                  </w:pPr>
                </w:p>
              </w:tc>
              <w:tc>
                <w:tcPr>
                  <w:tcW w:w="1095" w:type="dxa"/>
                  <w:vAlign w:val="center"/>
                </w:tcPr>
                <w:p>
                  <w:pPr>
                    <w:spacing w:line="240" w:lineRule="auto"/>
                    <w:jc w:val="center"/>
                    <w:rPr>
                      <w:rFonts w:hint="default" w:ascii="Times New Roman" w:hAnsi="Times New Roman"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石油类</w:t>
                  </w:r>
                </w:p>
              </w:tc>
              <w:tc>
                <w:tcPr>
                  <w:tcW w:w="840" w:type="dxa"/>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13</w:t>
                  </w:r>
                </w:p>
              </w:tc>
              <w:tc>
                <w:tcPr>
                  <w:tcW w:w="840" w:type="dxa"/>
                  <w:vAlign w:val="top"/>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0.007</w:t>
                  </w:r>
                </w:p>
              </w:tc>
              <w:tc>
                <w:tcPr>
                  <w:tcW w:w="825" w:type="dxa"/>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8</w:t>
                  </w:r>
                </w:p>
              </w:tc>
              <w:tc>
                <w:tcPr>
                  <w:tcW w:w="840" w:type="dxa"/>
                  <w:vAlign w:val="top"/>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0.004</w:t>
                  </w:r>
                </w:p>
              </w:tc>
              <w:tc>
                <w:tcPr>
                  <w:tcW w:w="870" w:type="dxa"/>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3</w:t>
                  </w:r>
                </w:p>
              </w:tc>
              <w:tc>
                <w:tcPr>
                  <w:tcW w:w="829" w:type="dxa"/>
                  <w:vAlign w:val="top"/>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0.002</w:t>
                  </w:r>
                </w:p>
              </w:tc>
            </w:tr>
          </w:tbl>
          <w:p>
            <w:pPr>
              <w:spacing w:line="360" w:lineRule="auto"/>
              <w:ind w:firstLine="480" w:firstLineChars="200"/>
              <w:rPr>
                <w:rFonts w:hint="default" w:ascii="Times New Roman" w:hAnsi="Times New Roman"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（2）废水处理措施分析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项目采用雨污分流制，雨水排入</w:t>
            </w:r>
            <w:r>
              <w:rPr>
                <w:rFonts w:hint="eastAsia" w:cs="Times New Roman"/>
                <w:color w:val="auto"/>
                <w:kern w:val="0"/>
                <w:sz w:val="24"/>
                <w:highlight w:val="none"/>
                <w:lang w:val="en-US" w:eastAsia="zh-CN"/>
              </w:rPr>
              <w:t>市政</w:t>
            </w:r>
            <w:r>
              <w:rPr>
                <w:rFonts w:hint="eastAsia" w:ascii="Times New Roman" w:hAnsi="Times New Roman" w:cs="Times New Roman"/>
                <w:color w:val="auto"/>
                <w:kern w:val="0"/>
                <w:sz w:val="24"/>
                <w:highlight w:val="none"/>
                <w:lang w:val="en-US" w:eastAsia="zh-CN"/>
              </w:rPr>
              <w:t>雨水管网。</w:t>
            </w:r>
            <w:r>
              <w:rPr>
                <w:rFonts w:hint="eastAsia" w:cs="Times New Roman"/>
                <w:color w:val="auto"/>
                <w:kern w:val="0"/>
                <w:sz w:val="24"/>
                <w:szCs w:val="24"/>
                <w:highlight w:val="none"/>
                <w:lang w:val="en-US" w:eastAsia="zh-CN"/>
              </w:rPr>
              <w:t>空压机含油废水及地面清洁废水经油水分离器处理后与生活污水</w:t>
            </w:r>
            <w:r>
              <w:rPr>
                <w:rFonts w:hint="eastAsia"/>
                <w:color w:val="auto"/>
                <w:kern w:val="0"/>
                <w:sz w:val="24"/>
                <w:szCs w:val="24"/>
                <w:highlight w:val="none"/>
                <w:lang w:val="en-US" w:eastAsia="zh-CN" w:bidi="ar"/>
              </w:rPr>
              <w:t>一并进入厂区自建生化池（处理规模6</w:t>
            </w:r>
            <w:r>
              <w:rPr>
                <w:rFonts w:hint="eastAsia" w:ascii="Times New Roman" w:hAnsi="Times New Roman" w:cs="Times New Roman"/>
                <w:color w:val="auto"/>
                <w:sz w:val="24"/>
                <w:szCs w:val="24"/>
                <w:highlight w:val="none"/>
                <w:lang w:val="en-US" w:eastAsia="zh-CN"/>
              </w:rPr>
              <w:t>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/d</w:t>
            </w:r>
            <w:r>
              <w:rPr>
                <w:rFonts w:hint="eastAsia"/>
                <w:color w:val="auto"/>
                <w:kern w:val="0"/>
                <w:sz w:val="24"/>
                <w:szCs w:val="24"/>
                <w:highlight w:val="none"/>
                <w:lang w:val="en-US" w:eastAsia="zh-CN" w:bidi="ar"/>
              </w:rPr>
              <w:t>）处理达</w:t>
            </w:r>
            <w:r>
              <w:rPr>
                <w:rFonts w:hint="eastAsia" w:ascii="Times New Roman" w:hAnsi="Times New Roman" w:eastAsia="宋体" w:cs="Times New Roman"/>
                <w:color w:val="auto"/>
                <w:sz w:val="24"/>
                <w:szCs w:val="24"/>
                <w:highlight w:val="none"/>
                <w:lang w:val="en-US" w:eastAsia="zh-CN"/>
              </w:rPr>
              <w:t>《污水综合排放标准》（GB8978-1996）三级标准</w:t>
            </w:r>
            <w:r>
              <w:rPr>
                <w:rFonts w:hint="eastAsia"/>
                <w:color w:val="auto"/>
                <w:kern w:val="0"/>
                <w:sz w:val="24"/>
                <w:szCs w:val="24"/>
                <w:highlight w:val="none"/>
                <w:lang w:val="en-US" w:eastAsia="zh-CN" w:bidi="ar"/>
              </w:rPr>
              <w:t>后排入铜梁侣俸污水处理厂深度处理达</w:t>
            </w:r>
            <w:r>
              <w:rPr>
                <w:rFonts w:hint="eastAsia" w:ascii="Times New Roman" w:hAnsi="Times New Roman" w:eastAsia="宋体" w:cs="Times New Roman"/>
                <w:color w:val="auto"/>
                <w:sz w:val="24"/>
                <w:szCs w:val="24"/>
                <w:highlight w:val="none"/>
                <w:lang w:val="en-US" w:eastAsia="zh-CN"/>
              </w:rPr>
              <w:t>《城镇污水处理厂污染物排放标准》（GB18918-2002）一级</w:t>
            </w:r>
            <w:r>
              <w:rPr>
                <w:rFonts w:hint="eastAsia" w:cs="Times New Roman"/>
                <w:color w:val="auto"/>
                <w:sz w:val="24"/>
                <w:szCs w:val="24"/>
                <w:highlight w:val="none"/>
                <w:lang w:val="en-US" w:eastAsia="zh-CN"/>
              </w:rPr>
              <w:t>B</w:t>
            </w:r>
            <w:r>
              <w:rPr>
                <w:rFonts w:hint="eastAsia" w:ascii="Times New Roman" w:hAnsi="Times New Roman" w:eastAsia="宋体" w:cs="Times New Roman"/>
                <w:color w:val="auto"/>
                <w:sz w:val="24"/>
                <w:szCs w:val="24"/>
                <w:highlight w:val="none"/>
                <w:lang w:val="en-US" w:eastAsia="zh-CN"/>
              </w:rPr>
              <w:t>标</w:t>
            </w:r>
            <w:r>
              <w:rPr>
                <w:rFonts w:hint="eastAsia"/>
                <w:color w:val="auto"/>
                <w:kern w:val="0"/>
                <w:sz w:val="24"/>
                <w:szCs w:val="24"/>
                <w:highlight w:val="none"/>
                <w:lang w:val="en-US" w:eastAsia="zh-CN" w:bidi="ar"/>
              </w:rPr>
              <w:t>后排入侣俸河。</w:t>
            </w:r>
          </w:p>
          <w:p>
            <w:pPr>
              <w:spacing w:line="360" w:lineRule="auto"/>
              <w:ind w:firstLine="482" w:firstLineChars="200"/>
              <w:rPr>
                <w:rFonts w:hint="eastAsia" w:ascii="Times New Roman" w:hAnsi="Times New Roman" w:eastAsia="宋体" w:cs="Times New Roman"/>
                <w:b w:val="0"/>
                <w:bCs w:val="0"/>
                <w:color w:val="auto"/>
                <w:kern w:val="0"/>
                <w:sz w:val="24"/>
                <w:lang w:val="en-US" w:eastAsia="zh-CN"/>
              </w:rPr>
            </w:pPr>
            <w:r>
              <w:rPr>
                <w:rFonts w:hint="eastAsia" w:cs="Times New Roman"/>
                <w:b/>
                <w:bCs/>
                <w:color w:val="auto"/>
                <w:kern w:val="0"/>
                <w:sz w:val="24"/>
                <w:lang w:val="en-US" w:eastAsia="zh-CN"/>
              </w:rPr>
              <w:t>铜梁侣俸</w:t>
            </w:r>
            <w:r>
              <w:rPr>
                <w:rFonts w:hint="eastAsia" w:ascii="Times New Roman" w:hAnsi="Times New Roman" w:eastAsia="宋体" w:cs="Times New Roman"/>
                <w:b/>
                <w:bCs/>
                <w:color w:val="auto"/>
                <w:kern w:val="0"/>
                <w:sz w:val="24"/>
                <w:lang w:val="en-US" w:eastAsia="zh-CN"/>
              </w:rPr>
              <w:t>污水处理厂依托可行性分析</w:t>
            </w:r>
            <w:r>
              <w:rPr>
                <w:rFonts w:hint="eastAsia" w:ascii="Times New Roman" w:hAnsi="Times New Roman" w:eastAsia="宋体" w:cs="Times New Roman"/>
                <w:b w:val="0"/>
                <w:bCs w:val="0"/>
                <w:color w:val="auto"/>
                <w:kern w:val="0"/>
                <w:sz w:val="24"/>
                <w:lang w:val="en-US" w:eastAsia="zh-CN"/>
              </w:rPr>
              <w:t>：</w:t>
            </w:r>
            <w:r>
              <w:rPr>
                <w:rFonts w:hint="eastAsia" w:cs="Times New Roman"/>
                <w:b w:val="0"/>
                <w:bCs w:val="0"/>
                <w:color w:val="auto"/>
                <w:kern w:val="0"/>
                <w:sz w:val="24"/>
                <w:lang w:val="en-US" w:eastAsia="zh-CN"/>
              </w:rPr>
              <w:t>项目位于</w:t>
            </w:r>
            <w:r>
              <w:rPr>
                <w:rFonts w:hint="eastAsia"/>
                <w:color w:val="auto"/>
                <w:sz w:val="24"/>
                <w:highlight w:val="none"/>
              </w:rPr>
              <w:t>重庆市</w:t>
            </w:r>
            <w:r>
              <w:rPr>
                <w:rFonts w:hint="eastAsia"/>
                <w:color w:val="auto"/>
                <w:sz w:val="24"/>
                <w:highlight w:val="none"/>
                <w:lang w:val="en-US" w:eastAsia="zh-CN"/>
              </w:rPr>
              <w:t>铜梁</w:t>
            </w:r>
            <w:r>
              <w:rPr>
                <w:rFonts w:hint="eastAsia"/>
                <w:color w:val="auto"/>
                <w:sz w:val="24"/>
                <w:highlight w:val="none"/>
              </w:rPr>
              <w:t>区</w:t>
            </w:r>
            <w:r>
              <w:rPr>
                <w:rFonts w:hint="eastAsia"/>
                <w:color w:val="auto"/>
                <w:sz w:val="24"/>
                <w:highlight w:val="none"/>
                <w:lang w:val="en-US" w:eastAsia="zh-CN"/>
              </w:rPr>
              <w:t>侣俸镇工业园区创业路2号，位于</w:t>
            </w:r>
            <w:r>
              <w:rPr>
                <w:rFonts w:hint="eastAsia" w:cs="Times New Roman"/>
                <w:b w:val="0"/>
                <w:bCs w:val="0"/>
                <w:color w:val="auto"/>
                <w:kern w:val="0"/>
                <w:sz w:val="24"/>
                <w:lang w:val="en-US" w:eastAsia="zh-CN"/>
              </w:rPr>
              <w:t>铜梁侣俸</w:t>
            </w:r>
            <w:r>
              <w:rPr>
                <w:rFonts w:hint="eastAsia" w:ascii="Times New Roman" w:hAnsi="Times New Roman" w:eastAsia="宋体" w:cs="Times New Roman"/>
                <w:b w:val="0"/>
                <w:bCs w:val="0"/>
                <w:color w:val="auto"/>
                <w:kern w:val="0"/>
                <w:sz w:val="24"/>
                <w:lang w:val="en-US" w:eastAsia="zh-CN"/>
              </w:rPr>
              <w:t>污水处理厂污水收集范围内，且该范围内废水收集管网已完善。经调查，铜梁侣俸污水处理厂已经建成投入运行，其设计处理能力为1500m</w:t>
            </w:r>
            <w:r>
              <w:rPr>
                <w:rFonts w:hint="eastAsia" w:ascii="Times New Roman" w:hAnsi="Times New Roman" w:eastAsia="宋体" w:cs="Times New Roman"/>
                <w:b w:val="0"/>
                <w:bCs w:val="0"/>
                <w:color w:val="auto"/>
                <w:kern w:val="0"/>
                <w:sz w:val="24"/>
                <w:vertAlign w:val="superscript"/>
                <w:lang w:val="en-US" w:eastAsia="zh-CN"/>
              </w:rPr>
              <w:t>3</w:t>
            </w:r>
            <w:r>
              <w:rPr>
                <w:rFonts w:hint="eastAsia" w:ascii="Times New Roman" w:hAnsi="Times New Roman" w:eastAsia="宋体" w:cs="Times New Roman"/>
                <w:b w:val="0"/>
                <w:bCs w:val="0"/>
                <w:color w:val="auto"/>
                <w:kern w:val="0"/>
                <w:sz w:val="24"/>
                <w:lang w:val="en-US" w:eastAsia="zh-CN"/>
              </w:rPr>
              <w:t>/d，处理工艺为“水质调节→厌氧池→缺氧池→好氧池→二沉池→消毒→计量排放”，出水水质执行《城镇污水处理厂污染物排放标准》（GB 18918-2002）一级B标</w:t>
            </w:r>
            <w:r>
              <w:rPr>
                <w:rFonts w:hint="eastAsia" w:cs="Times New Roman"/>
                <w:b w:val="0"/>
                <w:bCs w:val="0"/>
                <w:color w:val="auto"/>
                <w:kern w:val="0"/>
                <w:sz w:val="24"/>
                <w:lang w:val="en-US" w:eastAsia="zh-CN"/>
              </w:rPr>
              <w:t>，目前铜梁侣俸污水处理厂废水收集量约800m</w:t>
            </w:r>
            <w:r>
              <w:rPr>
                <w:rFonts w:hint="eastAsia" w:cs="Times New Roman"/>
                <w:b w:val="0"/>
                <w:bCs w:val="0"/>
                <w:color w:val="auto"/>
                <w:kern w:val="0"/>
                <w:sz w:val="24"/>
                <w:vertAlign w:val="superscript"/>
                <w:lang w:val="en-US" w:eastAsia="zh-CN"/>
              </w:rPr>
              <w:t>3</w:t>
            </w:r>
            <w:r>
              <w:rPr>
                <w:rFonts w:hint="eastAsia" w:cs="Times New Roman"/>
                <w:b w:val="0"/>
                <w:bCs w:val="0"/>
                <w:color w:val="auto"/>
                <w:kern w:val="0"/>
                <w:sz w:val="24"/>
                <w:lang w:val="en-US" w:eastAsia="zh-CN"/>
              </w:rPr>
              <w:t>/d，且运营状态良好，出水水质能稳定达标</w:t>
            </w:r>
            <w:r>
              <w:rPr>
                <w:rFonts w:hint="eastAsia" w:ascii="Times New Roman" w:hAnsi="Times New Roman" w:eastAsia="宋体" w:cs="Times New Roman"/>
                <w:b w:val="0"/>
                <w:bCs w:val="0"/>
                <w:color w:val="auto"/>
                <w:kern w:val="0"/>
                <w:sz w:val="24"/>
                <w:lang w:val="en-US" w:eastAsia="zh-CN"/>
              </w:rPr>
              <w:t>。</w:t>
            </w:r>
          </w:p>
          <w:p>
            <w:pPr>
              <w:spacing w:line="360" w:lineRule="auto"/>
              <w:ind w:firstLine="480" w:firstLineChars="200"/>
              <w:rPr>
                <w:rFonts w:hint="eastAsia" w:ascii="Times New Roman" w:hAnsi="Times New Roman" w:eastAsia="宋体" w:cs="Times New Roman"/>
                <w:b w:val="0"/>
                <w:bCs w:val="0"/>
                <w:color w:val="auto"/>
                <w:kern w:val="0"/>
                <w:sz w:val="24"/>
                <w:szCs w:val="24"/>
                <w:lang w:val="en-US" w:eastAsia="zh-CN"/>
              </w:rPr>
            </w:pPr>
            <w:r>
              <w:rPr>
                <w:rFonts w:hint="eastAsia" w:cs="Times New Roman"/>
                <w:b w:val="0"/>
                <w:bCs w:val="0"/>
                <w:color w:val="auto"/>
                <w:kern w:val="0"/>
                <w:sz w:val="24"/>
                <w:lang w:val="en-US" w:eastAsia="zh-CN"/>
              </w:rPr>
              <w:t>项目</w:t>
            </w:r>
            <w:r>
              <w:rPr>
                <w:rFonts w:hint="eastAsia" w:cs="Times New Roman"/>
                <w:b w:val="0"/>
                <w:bCs w:val="0"/>
                <w:color w:val="auto"/>
                <w:kern w:val="0"/>
                <w:sz w:val="24"/>
                <w:szCs w:val="24"/>
                <w:lang w:val="en-US" w:eastAsia="zh-CN"/>
              </w:rPr>
              <w:t>建成投产后，产生的废水经自建生化池（处理规模6m</w:t>
            </w:r>
            <w:r>
              <w:rPr>
                <w:rFonts w:hint="eastAsia" w:cs="Times New Roman"/>
                <w:b w:val="0"/>
                <w:bCs w:val="0"/>
                <w:color w:val="auto"/>
                <w:kern w:val="0"/>
                <w:sz w:val="24"/>
                <w:szCs w:val="24"/>
                <w:vertAlign w:val="superscript"/>
                <w:lang w:val="en-US" w:eastAsia="zh-CN"/>
              </w:rPr>
              <w:t>3</w:t>
            </w:r>
            <w:r>
              <w:rPr>
                <w:rFonts w:hint="eastAsia" w:cs="Times New Roman"/>
                <w:b w:val="0"/>
                <w:bCs w:val="0"/>
                <w:color w:val="auto"/>
                <w:kern w:val="0"/>
                <w:sz w:val="24"/>
                <w:szCs w:val="24"/>
                <w:lang w:val="en-US" w:eastAsia="zh-CN"/>
              </w:rPr>
              <w:t>/d）处理达</w:t>
            </w:r>
            <w:r>
              <w:rPr>
                <w:rFonts w:hint="eastAsia" w:ascii="Times New Roman" w:hAnsi="Times New Roman" w:eastAsia="宋体" w:cs="Times New Roman"/>
                <w:b w:val="0"/>
                <w:bCs w:val="0"/>
                <w:color w:val="auto"/>
                <w:kern w:val="0"/>
                <w:sz w:val="24"/>
                <w:szCs w:val="24"/>
                <w:lang w:val="en-US" w:eastAsia="zh-CN"/>
              </w:rPr>
              <w:t>《污水综合排放标准》(GB8978-1996)三级标准后排入铜梁侣俸污水处理厂，项目处理后的废水满足污水处理厂的进水水质要求。因此，项目废水进入铜梁侣俸污水处理厂是可行的。</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表4-</w:t>
            </w:r>
            <w:r>
              <w:rPr>
                <w:rFonts w:hint="eastAsia" w:cs="Times New Roman"/>
                <w:color w:val="auto"/>
                <w:kern w:val="0"/>
                <w:sz w:val="24"/>
                <w:highlight w:val="none"/>
                <w:lang w:val="en-US" w:eastAsia="zh-CN"/>
              </w:rPr>
              <w:t>7</w:t>
            </w:r>
            <w:r>
              <w:rPr>
                <w:rFonts w:hint="eastAsia" w:eastAsia="宋体" w:cs="Times New Roman"/>
                <w:color w:val="auto"/>
                <w:kern w:val="0"/>
                <w:sz w:val="24"/>
                <w:highlight w:val="none"/>
                <w:lang w:val="en-US" w:eastAsia="zh-CN"/>
              </w:rPr>
              <w:t xml:space="preserve"> </w:t>
            </w:r>
            <w:r>
              <w:rPr>
                <w:rFonts w:hint="eastAsia" w:ascii="Times New Roman" w:hAnsi="Times New Roman" w:eastAsia="宋体" w:cs="Times New Roman"/>
                <w:color w:val="auto"/>
                <w:kern w:val="0"/>
                <w:sz w:val="24"/>
                <w:highlight w:val="none"/>
                <w:lang w:val="en-US" w:eastAsia="zh-CN"/>
              </w:rPr>
              <w:t>项目废水类型、污染物及污染治理设施表</w:t>
            </w:r>
          </w:p>
          <w:tbl>
            <w:tblPr>
              <w:tblStyle w:val="15"/>
              <w:tblW w:w="8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
              <w:gridCol w:w="441"/>
              <w:gridCol w:w="1058"/>
              <w:gridCol w:w="706"/>
              <w:gridCol w:w="899"/>
              <w:gridCol w:w="723"/>
              <w:gridCol w:w="746"/>
              <w:gridCol w:w="715"/>
              <w:gridCol w:w="444"/>
              <w:gridCol w:w="723"/>
              <w:gridCol w:w="1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17"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color w:val="auto"/>
                      <w:szCs w:val="21"/>
                      <w:highlight w:val="none"/>
                    </w:rPr>
                  </w:pPr>
                  <w:r>
                    <w:rPr>
                      <w:color w:val="auto"/>
                      <w:szCs w:val="21"/>
                      <w:highlight w:val="none"/>
                    </w:rPr>
                    <w:t>序号</w:t>
                  </w:r>
                </w:p>
              </w:tc>
              <w:tc>
                <w:tcPr>
                  <w:tcW w:w="441"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color w:val="auto"/>
                      <w:szCs w:val="21"/>
                      <w:highlight w:val="none"/>
                    </w:rPr>
                  </w:pPr>
                  <w:r>
                    <w:rPr>
                      <w:color w:val="auto"/>
                      <w:szCs w:val="21"/>
                      <w:highlight w:val="none"/>
                    </w:rPr>
                    <w:t>废水类别</w:t>
                  </w:r>
                </w:p>
              </w:tc>
              <w:tc>
                <w:tcPr>
                  <w:tcW w:w="1058"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color w:val="auto"/>
                      <w:szCs w:val="21"/>
                      <w:highlight w:val="none"/>
                    </w:rPr>
                  </w:pPr>
                  <w:r>
                    <w:rPr>
                      <w:color w:val="auto"/>
                      <w:szCs w:val="21"/>
                      <w:highlight w:val="none"/>
                    </w:rPr>
                    <w:t>污染物种类</w:t>
                  </w:r>
                </w:p>
              </w:tc>
              <w:tc>
                <w:tcPr>
                  <w:tcW w:w="706"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color w:val="auto"/>
                      <w:szCs w:val="21"/>
                      <w:highlight w:val="none"/>
                    </w:rPr>
                  </w:pPr>
                  <w:r>
                    <w:rPr>
                      <w:color w:val="auto"/>
                      <w:szCs w:val="21"/>
                      <w:highlight w:val="none"/>
                    </w:rPr>
                    <w:t>排放去向</w:t>
                  </w:r>
                </w:p>
              </w:tc>
              <w:tc>
                <w:tcPr>
                  <w:tcW w:w="899"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color w:val="auto"/>
                      <w:szCs w:val="21"/>
                      <w:highlight w:val="none"/>
                    </w:rPr>
                  </w:pPr>
                  <w:r>
                    <w:rPr>
                      <w:color w:val="auto"/>
                      <w:szCs w:val="21"/>
                      <w:highlight w:val="none"/>
                    </w:rPr>
                    <w:t>排放规律</w:t>
                  </w:r>
                </w:p>
              </w:tc>
              <w:tc>
                <w:tcPr>
                  <w:tcW w:w="2184" w:type="dxa"/>
                  <w:gridSpan w:val="3"/>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color w:val="auto"/>
                      <w:szCs w:val="21"/>
                      <w:highlight w:val="none"/>
                    </w:rPr>
                  </w:pPr>
                  <w:r>
                    <w:rPr>
                      <w:color w:val="auto"/>
                      <w:szCs w:val="21"/>
                      <w:highlight w:val="none"/>
                    </w:rPr>
                    <w:t>污染治理设施</w:t>
                  </w:r>
                </w:p>
              </w:tc>
              <w:tc>
                <w:tcPr>
                  <w:tcW w:w="444"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color w:val="auto"/>
                      <w:szCs w:val="21"/>
                      <w:highlight w:val="none"/>
                    </w:rPr>
                  </w:pPr>
                  <w:r>
                    <w:rPr>
                      <w:color w:val="auto"/>
                      <w:szCs w:val="21"/>
                      <w:highlight w:val="none"/>
                    </w:rPr>
                    <w:t>排放口编号</w:t>
                  </w:r>
                </w:p>
              </w:tc>
              <w:tc>
                <w:tcPr>
                  <w:tcW w:w="723"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color w:val="auto"/>
                      <w:szCs w:val="21"/>
                      <w:highlight w:val="none"/>
                    </w:rPr>
                  </w:pPr>
                  <w:r>
                    <w:rPr>
                      <w:color w:val="auto"/>
                      <w:szCs w:val="21"/>
                      <w:highlight w:val="none"/>
                    </w:rPr>
                    <w:t>排放口设置是否符合要求</w:t>
                  </w:r>
                </w:p>
              </w:tc>
              <w:tc>
                <w:tcPr>
                  <w:tcW w:w="1583"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color w:val="auto"/>
                      <w:szCs w:val="21"/>
                      <w:highlight w:val="none"/>
                    </w:rPr>
                  </w:pPr>
                  <w:r>
                    <w:rPr>
                      <w:color w:val="auto"/>
                      <w:szCs w:val="21"/>
                      <w:highlight w:val="none"/>
                    </w:rPr>
                    <w:t>排放口</w:t>
                  </w:r>
                </w:p>
                <w:p>
                  <w:pPr>
                    <w:adjustRightInd w:val="0"/>
                    <w:snapToGrid w:val="0"/>
                    <w:jc w:val="center"/>
                    <w:rPr>
                      <w:color w:val="auto"/>
                      <w:szCs w:val="21"/>
                      <w:highlight w:val="none"/>
                    </w:rPr>
                  </w:pPr>
                  <w:r>
                    <w:rPr>
                      <w:color w:val="auto"/>
                      <w:szCs w:val="21"/>
                      <w:highlight w:val="none"/>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trPr>
              <w:tc>
                <w:tcPr>
                  <w:tcW w:w="317"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color w:val="auto"/>
                      <w:szCs w:val="21"/>
                      <w:highlight w:val="none"/>
                    </w:rPr>
                  </w:pPr>
                </w:p>
              </w:tc>
              <w:tc>
                <w:tcPr>
                  <w:tcW w:w="441"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color w:val="auto"/>
                      <w:szCs w:val="21"/>
                      <w:highlight w:val="none"/>
                    </w:rPr>
                  </w:pPr>
                </w:p>
              </w:tc>
              <w:tc>
                <w:tcPr>
                  <w:tcW w:w="1058"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color w:val="auto"/>
                      <w:szCs w:val="21"/>
                      <w:highlight w:val="none"/>
                    </w:rPr>
                  </w:pPr>
                </w:p>
              </w:tc>
              <w:tc>
                <w:tcPr>
                  <w:tcW w:w="706"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color w:val="auto"/>
                      <w:szCs w:val="21"/>
                      <w:highlight w:val="none"/>
                    </w:rPr>
                  </w:pPr>
                </w:p>
              </w:tc>
              <w:tc>
                <w:tcPr>
                  <w:tcW w:w="899"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color w:val="auto"/>
                      <w:szCs w:val="21"/>
                      <w:highlight w:val="none"/>
                    </w:rPr>
                  </w:pPr>
                </w:p>
              </w:tc>
              <w:tc>
                <w:tcPr>
                  <w:tcW w:w="7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color w:val="auto"/>
                      <w:szCs w:val="21"/>
                      <w:highlight w:val="none"/>
                    </w:rPr>
                  </w:pPr>
                  <w:r>
                    <w:rPr>
                      <w:color w:val="auto"/>
                      <w:szCs w:val="21"/>
                      <w:highlight w:val="none"/>
                    </w:rPr>
                    <w:t>污染治理设施编号</w:t>
                  </w:r>
                </w:p>
              </w:tc>
              <w:tc>
                <w:tcPr>
                  <w:tcW w:w="74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color w:val="auto"/>
                      <w:szCs w:val="21"/>
                      <w:highlight w:val="none"/>
                    </w:rPr>
                  </w:pPr>
                  <w:r>
                    <w:rPr>
                      <w:color w:val="auto"/>
                      <w:szCs w:val="21"/>
                      <w:highlight w:val="none"/>
                    </w:rPr>
                    <w:t>污染治理设施名称</w:t>
                  </w:r>
                </w:p>
              </w:tc>
              <w:tc>
                <w:tcPr>
                  <w:tcW w:w="71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color w:val="auto"/>
                      <w:szCs w:val="21"/>
                      <w:highlight w:val="none"/>
                    </w:rPr>
                  </w:pPr>
                  <w:r>
                    <w:rPr>
                      <w:color w:val="auto"/>
                      <w:szCs w:val="21"/>
                      <w:highlight w:val="none"/>
                    </w:rPr>
                    <w:t>污染治理设施工艺</w:t>
                  </w:r>
                </w:p>
              </w:tc>
              <w:tc>
                <w:tcPr>
                  <w:tcW w:w="444"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color w:val="auto"/>
                      <w:szCs w:val="21"/>
                      <w:highlight w:val="none"/>
                    </w:rPr>
                  </w:pPr>
                </w:p>
              </w:tc>
              <w:tc>
                <w:tcPr>
                  <w:tcW w:w="723"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color w:val="auto"/>
                      <w:szCs w:val="21"/>
                      <w:highlight w:val="none"/>
                    </w:rPr>
                  </w:pPr>
                </w:p>
              </w:tc>
              <w:tc>
                <w:tcPr>
                  <w:tcW w:w="1583"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1" w:hRule="atLeast"/>
              </w:trPr>
              <w:tc>
                <w:tcPr>
                  <w:tcW w:w="31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color w:val="auto"/>
                      <w:szCs w:val="21"/>
                      <w:highlight w:val="none"/>
                    </w:rPr>
                  </w:pPr>
                  <w:r>
                    <w:rPr>
                      <w:color w:val="auto"/>
                      <w:szCs w:val="21"/>
                      <w:highlight w:val="none"/>
                    </w:rPr>
                    <w:t>1</w:t>
                  </w:r>
                </w:p>
              </w:tc>
              <w:tc>
                <w:tcPr>
                  <w:tcW w:w="44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综合废水</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pH、</w:t>
                  </w:r>
                  <w:r>
                    <w:rPr>
                      <w:color w:val="auto"/>
                      <w:szCs w:val="21"/>
                      <w:highlight w:val="none"/>
                    </w:rPr>
                    <w:t>COD</w:t>
                  </w:r>
                  <w:r>
                    <w:rPr>
                      <w:rFonts w:hint="eastAsia"/>
                      <w:color w:val="auto"/>
                      <w:szCs w:val="21"/>
                      <w:highlight w:val="none"/>
                    </w:rPr>
                    <w:t>、</w:t>
                  </w:r>
                  <w:r>
                    <w:rPr>
                      <w:color w:val="auto"/>
                      <w:szCs w:val="21"/>
                      <w:highlight w:val="none"/>
                    </w:rPr>
                    <w:t>BOD</w:t>
                  </w:r>
                  <w:r>
                    <w:rPr>
                      <w:color w:val="auto"/>
                      <w:szCs w:val="21"/>
                      <w:highlight w:val="none"/>
                      <w:vertAlign w:val="subscript"/>
                    </w:rPr>
                    <w:t>5</w:t>
                  </w:r>
                  <w:r>
                    <w:rPr>
                      <w:rFonts w:hint="eastAsia"/>
                      <w:color w:val="auto"/>
                      <w:szCs w:val="21"/>
                      <w:highlight w:val="none"/>
                      <w:vertAlign w:val="subscript"/>
                    </w:rPr>
                    <w:t>、</w:t>
                  </w:r>
                  <w:r>
                    <w:rPr>
                      <w:color w:val="auto"/>
                      <w:szCs w:val="21"/>
                      <w:highlight w:val="none"/>
                    </w:rPr>
                    <w:t>SS、氨氮</w:t>
                  </w:r>
                  <w:r>
                    <w:rPr>
                      <w:rFonts w:hint="eastAsia"/>
                      <w:color w:val="auto"/>
                      <w:szCs w:val="21"/>
                      <w:highlight w:val="none"/>
                      <w:lang w:eastAsia="zh-CN"/>
                    </w:rPr>
                    <w:t>、</w:t>
                  </w:r>
                  <w:r>
                    <w:rPr>
                      <w:rFonts w:hint="eastAsia"/>
                      <w:color w:val="auto"/>
                      <w:szCs w:val="21"/>
                      <w:highlight w:val="none"/>
                      <w:lang w:val="en-US" w:eastAsia="zh-CN"/>
                    </w:rPr>
                    <w:t>石油类</w:t>
                  </w:r>
                </w:p>
              </w:tc>
              <w:tc>
                <w:tcPr>
                  <w:tcW w:w="70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color w:val="auto"/>
                      <w:szCs w:val="21"/>
                      <w:highlight w:val="none"/>
                    </w:rPr>
                  </w:pPr>
                  <w:r>
                    <w:rPr>
                      <w:rFonts w:hint="eastAsia"/>
                      <w:color w:val="auto"/>
                      <w:szCs w:val="21"/>
                      <w:highlight w:val="none"/>
                      <w:lang w:val="en-US" w:eastAsia="zh-CN"/>
                    </w:rPr>
                    <w:t>铜梁侣俸</w:t>
                  </w:r>
                  <w:r>
                    <w:rPr>
                      <w:rFonts w:hint="eastAsia" w:eastAsia="宋体"/>
                      <w:color w:val="auto"/>
                      <w:szCs w:val="21"/>
                      <w:highlight w:val="none"/>
                      <w:lang w:val="en-US" w:eastAsia="zh-CN"/>
                    </w:rPr>
                    <w:t>污水处理厂</w:t>
                  </w:r>
                </w:p>
              </w:tc>
              <w:tc>
                <w:tcPr>
                  <w:tcW w:w="89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eastAsia="宋体"/>
                      <w:color w:val="auto"/>
                      <w:szCs w:val="21"/>
                      <w:highlight w:val="none"/>
                    </w:rPr>
                  </w:pPr>
                  <w:r>
                    <w:rPr>
                      <w:rFonts w:eastAsia="宋体"/>
                      <w:color w:val="auto"/>
                      <w:szCs w:val="21"/>
                      <w:highlight w:val="none"/>
                    </w:rPr>
                    <w:t>间断排放，排放期间流量不稳定</w:t>
                  </w:r>
                </w:p>
              </w:tc>
              <w:tc>
                <w:tcPr>
                  <w:tcW w:w="7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color w:val="auto"/>
                      <w:szCs w:val="21"/>
                      <w:highlight w:val="none"/>
                    </w:rPr>
                  </w:pPr>
                  <w:r>
                    <w:rPr>
                      <w:color w:val="auto"/>
                      <w:szCs w:val="21"/>
                      <w:highlight w:val="none"/>
                    </w:rPr>
                    <w:t>TW</w:t>
                  </w:r>
                </w:p>
                <w:p>
                  <w:pPr>
                    <w:adjustRightInd w:val="0"/>
                    <w:snapToGrid w:val="0"/>
                    <w:jc w:val="center"/>
                    <w:rPr>
                      <w:color w:val="auto"/>
                      <w:szCs w:val="21"/>
                      <w:highlight w:val="none"/>
                    </w:rPr>
                  </w:pPr>
                  <w:r>
                    <w:rPr>
                      <w:color w:val="auto"/>
                      <w:szCs w:val="21"/>
                      <w:highlight w:val="none"/>
                    </w:rPr>
                    <w:t>01</w:t>
                  </w:r>
                </w:p>
              </w:tc>
              <w:tc>
                <w:tcPr>
                  <w:tcW w:w="746" w:type="dxa"/>
                  <w:tcBorders>
                    <w:top w:val="single" w:color="auto" w:sz="4" w:space="0"/>
                    <w:left w:val="single" w:color="auto" w:sz="4" w:space="0"/>
                    <w:bottom w:val="single" w:color="auto" w:sz="4" w:space="0"/>
                    <w:right w:val="single" w:color="auto" w:sz="4" w:space="0"/>
                  </w:tcBorders>
                  <w:noWrap w:val="0"/>
                  <w:vAlign w:val="center"/>
                </w:tcPr>
                <w:p>
                  <w:pPr>
                    <w:widowControl/>
                    <w:jc w:val="left"/>
                    <w:rPr>
                      <w:color w:val="auto"/>
                      <w:szCs w:val="21"/>
                      <w:highlight w:val="none"/>
                    </w:rPr>
                  </w:pPr>
                  <w:r>
                    <w:rPr>
                      <w:rFonts w:hint="eastAsia" w:ascii="宋体" w:hAnsi="宋体" w:cs="宋体"/>
                      <w:color w:val="auto"/>
                      <w:kern w:val="0"/>
                      <w:sz w:val="20"/>
                      <w:szCs w:val="20"/>
                      <w:highlight w:val="none"/>
                      <w:lang w:val="en-US" w:eastAsia="zh-CN" w:bidi="ar"/>
                    </w:rPr>
                    <w:t>油水分离器+</w:t>
                  </w:r>
                  <w:r>
                    <w:rPr>
                      <w:rFonts w:hint="eastAsia" w:ascii="宋体" w:hAnsi="宋体" w:cs="宋体"/>
                      <w:color w:val="auto"/>
                      <w:kern w:val="0"/>
                      <w:sz w:val="20"/>
                      <w:szCs w:val="20"/>
                      <w:highlight w:val="none"/>
                      <w:lang w:bidi="ar"/>
                    </w:rPr>
                    <w:t>生化池</w:t>
                  </w:r>
                </w:p>
              </w:tc>
              <w:tc>
                <w:tcPr>
                  <w:tcW w:w="715"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default"/>
                      <w:color w:val="auto"/>
                      <w:szCs w:val="21"/>
                      <w:highlight w:val="none"/>
                      <w:lang w:val="en-US"/>
                    </w:rPr>
                  </w:pPr>
                  <w:r>
                    <w:rPr>
                      <w:rFonts w:hint="eastAsia" w:cs="Times New Roman"/>
                      <w:b w:val="0"/>
                      <w:bCs w:val="0"/>
                      <w:color w:val="auto"/>
                      <w:sz w:val="21"/>
                      <w:szCs w:val="21"/>
                      <w:highlight w:val="none"/>
                      <w:lang w:val="en-US" w:eastAsia="zh-CN"/>
                    </w:rPr>
                    <w:t>隔油+</w:t>
                  </w:r>
                  <w:r>
                    <w:rPr>
                      <w:rFonts w:hint="eastAsia" w:eastAsia="宋体" w:cs="Times New Roman"/>
                      <w:b w:val="0"/>
                      <w:bCs w:val="0"/>
                      <w:color w:val="auto"/>
                      <w:sz w:val="21"/>
                      <w:szCs w:val="21"/>
                      <w:highlight w:val="none"/>
                      <w:lang w:val="en-US" w:eastAsia="zh-CN"/>
                    </w:rPr>
                    <w:t>生化</w:t>
                  </w:r>
                </w:p>
              </w:tc>
              <w:tc>
                <w:tcPr>
                  <w:tcW w:w="44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color w:val="auto"/>
                      <w:szCs w:val="21"/>
                      <w:highlight w:val="none"/>
                    </w:rPr>
                  </w:pPr>
                  <w:r>
                    <w:rPr>
                      <w:color w:val="auto"/>
                      <w:szCs w:val="21"/>
                      <w:highlight w:val="none"/>
                    </w:rPr>
                    <w:t>DW</w:t>
                  </w:r>
                </w:p>
                <w:p>
                  <w:pPr>
                    <w:adjustRightInd w:val="0"/>
                    <w:snapToGrid w:val="0"/>
                    <w:jc w:val="center"/>
                    <w:rPr>
                      <w:color w:val="auto"/>
                      <w:szCs w:val="21"/>
                      <w:highlight w:val="none"/>
                    </w:rPr>
                  </w:pPr>
                  <w:r>
                    <w:rPr>
                      <w:color w:val="auto"/>
                      <w:szCs w:val="21"/>
                      <w:highlight w:val="none"/>
                    </w:rPr>
                    <w:t>001</w:t>
                  </w:r>
                </w:p>
              </w:tc>
              <w:tc>
                <w:tcPr>
                  <w:tcW w:w="7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color w:val="auto"/>
                      <w:szCs w:val="21"/>
                      <w:highlight w:val="none"/>
                    </w:rPr>
                  </w:pPr>
                  <w:r>
                    <w:rPr>
                      <w:rFonts w:hint="eastAsia"/>
                      <w:color w:val="auto"/>
                      <w:szCs w:val="21"/>
                      <w:highlight w:val="none"/>
                      <w:lang w:eastAsia="zh-CN"/>
                    </w:rPr>
                    <w:t>☑</w:t>
                  </w:r>
                  <w:r>
                    <w:rPr>
                      <w:color w:val="auto"/>
                      <w:szCs w:val="21"/>
                      <w:highlight w:val="none"/>
                    </w:rPr>
                    <w:t>是</w:t>
                  </w:r>
                </w:p>
                <w:p>
                  <w:pPr>
                    <w:adjustRightInd w:val="0"/>
                    <w:snapToGrid w:val="0"/>
                    <w:jc w:val="center"/>
                    <w:rPr>
                      <w:color w:val="auto"/>
                      <w:szCs w:val="21"/>
                      <w:highlight w:val="none"/>
                    </w:rPr>
                  </w:pPr>
                  <w:r>
                    <w:rPr>
                      <w:rFonts w:hint="eastAsia"/>
                      <w:color w:val="auto"/>
                      <w:szCs w:val="21"/>
                      <w:highlight w:val="none"/>
                      <w:lang w:eastAsia="zh-CN"/>
                    </w:rPr>
                    <w:t>□</w:t>
                  </w:r>
                  <w:r>
                    <w:rPr>
                      <w:color w:val="auto"/>
                      <w:szCs w:val="21"/>
                      <w:highlight w:val="none"/>
                    </w:rPr>
                    <w:t>否</w:t>
                  </w:r>
                </w:p>
              </w:tc>
              <w:tc>
                <w:tcPr>
                  <w:tcW w:w="158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color w:val="auto"/>
                      <w:szCs w:val="21"/>
                      <w:highlight w:val="none"/>
                    </w:rPr>
                  </w:pPr>
                  <w:r>
                    <w:rPr>
                      <w:rFonts w:hint="eastAsia"/>
                      <w:color w:val="auto"/>
                      <w:szCs w:val="21"/>
                      <w:highlight w:val="none"/>
                      <w:lang w:eastAsia="zh-CN"/>
                    </w:rPr>
                    <w:t>☑</w:t>
                  </w:r>
                  <w:r>
                    <w:rPr>
                      <w:color w:val="auto"/>
                      <w:szCs w:val="21"/>
                      <w:highlight w:val="none"/>
                    </w:rPr>
                    <w:t>企业总排</w:t>
                  </w:r>
                </w:p>
                <w:p>
                  <w:pPr>
                    <w:adjustRightInd w:val="0"/>
                    <w:snapToGrid w:val="0"/>
                    <w:jc w:val="center"/>
                    <w:rPr>
                      <w:color w:val="auto"/>
                      <w:szCs w:val="21"/>
                      <w:highlight w:val="none"/>
                    </w:rPr>
                  </w:pPr>
                  <w:r>
                    <w:rPr>
                      <w:rFonts w:hint="eastAsia"/>
                      <w:color w:val="auto"/>
                      <w:szCs w:val="21"/>
                      <w:highlight w:val="none"/>
                      <w:lang w:eastAsia="zh-CN"/>
                    </w:rPr>
                    <w:t>□</w:t>
                  </w:r>
                  <w:r>
                    <w:rPr>
                      <w:color w:val="auto"/>
                      <w:szCs w:val="21"/>
                      <w:highlight w:val="none"/>
                    </w:rPr>
                    <w:t>雨水排放</w:t>
                  </w:r>
                </w:p>
                <w:p>
                  <w:pPr>
                    <w:adjustRightInd w:val="0"/>
                    <w:snapToGrid w:val="0"/>
                    <w:jc w:val="center"/>
                    <w:rPr>
                      <w:color w:val="auto"/>
                      <w:szCs w:val="21"/>
                      <w:highlight w:val="none"/>
                    </w:rPr>
                  </w:pPr>
                  <w:r>
                    <w:rPr>
                      <w:rFonts w:hint="eastAsia"/>
                      <w:color w:val="auto"/>
                      <w:szCs w:val="21"/>
                      <w:highlight w:val="none"/>
                      <w:lang w:eastAsia="zh-CN"/>
                    </w:rPr>
                    <w:t>□</w:t>
                  </w:r>
                  <w:r>
                    <w:rPr>
                      <w:color w:val="auto"/>
                      <w:szCs w:val="21"/>
                      <w:highlight w:val="none"/>
                    </w:rPr>
                    <w:t>清净下水</w:t>
                  </w:r>
                  <w:r>
                    <w:rPr>
                      <w:rFonts w:hint="eastAsia"/>
                      <w:color w:val="auto"/>
                      <w:szCs w:val="21"/>
                      <w:highlight w:val="none"/>
                    </w:rPr>
                    <w:t>排</w:t>
                  </w:r>
                  <w:r>
                    <w:rPr>
                      <w:color w:val="auto"/>
                      <w:szCs w:val="21"/>
                      <w:highlight w:val="none"/>
                    </w:rPr>
                    <w:t>放</w:t>
                  </w:r>
                </w:p>
                <w:p>
                  <w:pPr>
                    <w:adjustRightInd w:val="0"/>
                    <w:snapToGrid w:val="0"/>
                    <w:jc w:val="center"/>
                    <w:rPr>
                      <w:color w:val="auto"/>
                      <w:szCs w:val="21"/>
                      <w:highlight w:val="none"/>
                    </w:rPr>
                  </w:pPr>
                  <w:r>
                    <w:rPr>
                      <w:rFonts w:hint="eastAsia"/>
                      <w:color w:val="auto"/>
                      <w:szCs w:val="21"/>
                      <w:highlight w:val="none"/>
                      <w:lang w:eastAsia="zh-CN"/>
                    </w:rPr>
                    <w:t>□</w:t>
                  </w:r>
                  <w:r>
                    <w:rPr>
                      <w:color w:val="auto"/>
                      <w:szCs w:val="21"/>
                      <w:highlight w:val="none"/>
                    </w:rPr>
                    <w:t>温排水排放</w:t>
                  </w:r>
                </w:p>
                <w:p>
                  <w:pPr>
                    <w:adjustRightInd w:val="0"/>
                    <w:snapToGrid w:val="0"/>
                    <w:jc w:val="center"/>
                    <w:rPr>
                      <w:color w:val="auto"/>
                      <w:szCs w:val="21"/>
                      <w:highlight w:val="none"/>
                    </w:rPr>
                  </w:pPr>
                  <w:r>
                    <w:rPr>
                      <w:rFonts w:hint="eastAsia"/>
                      <w:color w:val="auto"/>
                      <w:szCs w:val="21"/>
                      <w:highlight w:val="none"/>
                      <w:lang w:eastAsia="zh-CN"/>
                    </w:rPr>
                    <w:t>□</w:t>
                  </w:r>
                  <w:r>
                    <w:rPr>
                      <w:color w:val="auto"/>
                      <w:szCs w:val="21"/>
                      <w:highlight w:val="none"/>
                    </w:rPr>
                    <w:t>车间或车间处理设施排放口</w:t>
                  </w:r>
                </w:p>
              </w:tc>
            </w:tr>
          </w:tbl>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表4-</w:t>
            </w:r>
            <w:r>
              <w:rPr>
                <w:rFonts w:hint="eastAsia" w:cs="Times New Roman"/>
                <w:color w:val="auto"/>
                <w:kern w:val="0"/>
                <w:sz w:val="24"/>
                <w:highlight w:val="none"/>
                <w:lang w:val="en-US" w:eastAsia="zh-CN"/>
              </w:rPr>
              <w:t xml:space="preserve">8 </w:t>
            </w:r>
            <w:r>
              <w:rPr>
                <w:rFonts w:hint="eastAsia" w:ascii="Times New Roman" w:hAnsi="Times New Roman" w:eastAsia="宋体" w:cs="Times New Roman"/>
                <w:color w:val="auto"/>
                <w:kern w:val="0"/>
                <w:sz w:val="24"/>
                <w:highlight w:val="none"/>
                <w:lang w:val="en-US" w:eastAsia="zh-CN"/>
              </w:rPr>
              <w:t xml:space="preserve"> 废水间接排放口基本情况表</w:t>
            </w:r>
          </w:p>
          <w:tbl>
            <w:tblPr>
              <w:tblStyle w:val="15"/>
              <w:tblW w:w="83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0"/>
              <w:gridCol w:w="935"/>
              <w:gridCol w:w="882"/>
              <w:gridCol w:w="722"/>
              <w:gridCol w:w="691"/>
              <w:gridCol w:w="1080"/>
              <w:gridCol w:w="690"/>
              <w:gridCol w:w="1350"/>
              <w:gridCol w:w="1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370" w:type="dxa"/>
                  <w:vMerge w:val="restart"/>
                  <w:noWrap w:val="0"/>
                  <w:vAlign w:val="center"/>
                </w:tcPr>
                <w:p>
                  <w:pPr>
                    <w:widowControl/>
                    <w:jc w:val="center"/>
                    <w:rPr>
                      <w:color w:val="auto"/>
                      <w:kern w:val="0"/>
                      <w:szCs w:val="21"/>
                      <w:highlight w:val="none"/>
                    </w:rPr>
                  </w:pPr>
                  <w:r>
                    <w:rPr>
                      <w:color w:val="auto"/>
                      <w:kern w:val="0"/>
                      <w:szCs w:val="21"/>
                      <w:highlight w:val="none"/>
                    </w:rPr>
                    <w:t>序号</w:t>
                  </w:r>
                </w:p>
              </w:tc>
              <w:tc>
                <w:tcPr>
                  <w:tcW w:w="1817" w:type="dxa"/>
                  <w:gridSpan w:val="2"/>
                  <w:noWrap w:val="0"/>
                  <w:vAlign w:val="center"/>
                </w:tcPr>
                <w:p>
                  <w:pPr>
                    <w:widowControl/>
                    <w:jc w:val="center"/>
                    <w:rPr>
                      <w:color w:val="auto"/>
                      <w:kern w:val="0"/>
                      <w:szCs w:val="21"/>
                      <w:highlight w:val="none"/>
                    </w:rPr>
                  </w:pPr>
                  <w:r>
                    <w:rPr>
                      <w:color w:val="auto"/>
                      <w:kern w:val="0"/>
                      <w:szCs w:val="21"/>
                      <w:highlight w:val="none"/>
                    </w:rPr>
                    <w:t>排放口地理坐标</w:t>
                  </w:r>
                </w:p>
              </w:tc>
              <w:tc>
                <w:tcPr>
                  <w:tcW w:w="722" w:type="dxa"/>
                  <w:vMerge w:val="restart"/>
                  <w:noWrap w:val="0"/>
                  <w:vAlign w:val="center"/>
                </w:tcPr>
                <w:p>
                  <w:pPr>
                    <w:widowControl/>
                    <w:jc w:val="center"/>
                    <w:rPr>
                      <w:color w:val="auto"/>
                      <w:kern w:val="0"/>
                      <w:szCs w:val="21"/>
                      <w:highlight w:val="none"/>
                    </w:rPr>
                  </w:pPr>
                  <w:r>
                    <w:rPr>
                      <w:color w:val="auto"/>
                      <w:kern w:val="0"/>
                      <w:szCs w:val="21"/>
                      <w:highlight w:val="none"/>
                    </w:rPr>
                    <w:t>废水</w:t>
                  </w:r>
                  <w:r>
                    <w:rPr>
                      <w:rFonts w:hint="eastAsia"/>
                      <w:color w:val="auto"/>
                      <w:kern w:val="0"/>
                      <w:szCs w:val="21"/>
                      <w:highlight w:val="none"/>
                    </w:rPr>
                    <w:t>排放量</w:t>
                  </w:r>
                  <w:r>
                    <w:rPr>
                      <w:color w:val="auto"/>
                      <w:kern w:val="0"/>
                      <w:szCs w:val="21"/>
                      <w:highlight w:val="none"/>
                    </w:rPr>
                    <w:t>/万t/a</w:t>
                  </w:r>
                </w:p>
              </w:tc>
              <w:tc>
                <w:tcPr>
                  <w:tcW w:w="691" w:type="dxa"/>
                  <w:vMerge w:val="restart"/>
                  <w:noWrap w:val="0"/>
                  <w:vAlign w:val="center"/>
                </w:tcPr>
                <w:p>
                  <w:pPr>
                    <w:widowControl/>
                    <w:jc w:val="center"/>
                    <w:rPr>
                      <w:color w:val="auto"/>
                      <w:kern w:val="0"/>
                      <w:szCs w:val="21"/>
                      <w:highlight w:val="none"/>
                    </w:rPr>
                  </w:pPr>
                  <w:r>
                    <w:rPr>
                      <w:color w:val="auto"/>
                      <w:kern w:val="0"/>
                      <w:szCs w:val="21"/>
                      <w:highlight w:val="none"/>
                    </w:rPr>
                    <w:t>排放去向</w:t>
                  </w:r>
                </w:p>
              </w:tc>
              <w:tc>
                <w:tcPr>
                  <w:tcW w:w="1080" w:type="dxa"/>
                  <w:vMerge w:val="restart"/>
                  <w:noWrap w:val="0"/>
                  <w:vAlign w:val="center"/>
                </w:tcPr>
                <w:p>
                  <w:pPr>
                    <w:widowControl/>
                    <w:jc w:val="center"/>
                    <w:rPr>
                      <w:color w:val="auto"/>
                      <w:kern w:val="0"/>
                      <w:szCs w:val="21"/>
                      <w:highlight w:val="none"/>
                    </w:rPr>
                  </w:pPr>
                  <w:r>
                    <w:rPr>
                      <w:color w:val="auto"/>
                      <w:kern w:val="0"/>
                      <w:szCs w:val="21"/>
                      <w:highlight w:val="none"/>
                    </w:rPr>
                    <w:t>排放</w:t>
                  </w:r>
                </w:p>
                <w:p>
                  <w:pPr>
                    <w:widowControl/>
                    <w:jc w:val="center"/>
                    <w:rPr>
                      <w:color w:val="auto"/>
                      <w:kern w:val="0"/>
                      <w:szCs w:val="21"/>
                      <w:highlight w:val="none"/>
                    </w:rPr>
                  </w:pPr>
                  <w:r>
                    <w:rPr>
                      <w:color w:val="auto"/>
                      <w:kern w:val="0"/>
                      <w:szCs w:val="21"/>
                      <w:highlight w:val="none"/>
                    </w:rPr>
                    <w:t>规律</w:t>
                  </w:r>
                </w:p>
              </w:tc>
              <w:tc>
                <w:tcPr>
                  <w:tcW w:w="3697" w:type="dxa"/>
                  <w:gridSpan w:val="3"/>
                  <w:noWrap w:val="0"/>
                  <w:vAlign w:val="center"/>
                </w:tcPr>
                <w:p>
                  <w:pPr>
                    <w:widowControl/>
                    <w:jc w:val="center"/>
                    <w:rPr>
                      <w:color w:val="auto"/>
                      <w:kern w:val="0"/>
                      <w:szCs w:val="21"/>
                      <w:highlight w:val="none"/>
                    </w:rPr>
                  </w:pPr>
                  <w:r>
                    <w:rPr>
                      <w:color w:val="auto"/>
                      <w:kern w:val="0"/>
                      <w:szCs w:val="21"/>
                      <w:highlight w:val="none"/>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370" w:type="dxa"/>
                  <w:vMerge w:val="continue"/>
                  <w:noWrap w:val="0"/>
                  <w:vAlign w:val="center"/>
                </w:tcPr>
                <w:p>
                  <w:pPr>
                    <w:widowControl/>
                    <w:jc w:val="center"/>
                    <w:rPr>
                      <w:color w:val="auto"/>
                      <w:kern w:val="0"/>
                      <w:szCs w:val="21"/>
                      <w:highlight w:val="none"/>
                    </w:rPr>
                  </w:pPr>
                </w:p>
              </w:tc>
              <w:tc>
                <w:tcPr>
                  <w:tcW w:w="935" w:type="dxa"/>
                  <w:noWrap w:val="0"/>
                  <w:vAlign w:val="center"/>
                </w:tcPr>
                <w:p>
                  <w:pPr>
                    <w:widowControl/>
                    <w:jc w:val="center"/>
                    <w:rPr>
                      <w:color w:val="auto"/>
                      <w:kern w:val="0"/>
                      <w:szCs w:val="21"/>
                      <w:highlight w:val="none"/>
                    </w:rPr>
                  </w:pPr>
                  <w:r>
                    <w:rPr>
                      <w:color w:val="auto"/>
                      <w:kern w:val="0"/>
                      <w:szCs w:val="21"/>
                      <w:highlight w:val="none"/>
                    </w:rPr>
                    <w:t>经度</w:t>
                  </w:r>
                </w:p>
              </w:tc>
              <w:tc>
                <w:tcPr>
                  <w:tcW w:w="882" w:type="dxa"/>
                  <w:noWrap w:val="0"/>
                  <w:vAlign w:val="center"/>
                </w:tcPr>
                <w:p>
                  <w:pPr>
                    <w:widowControl/>
                    <w:jc w:val="center"/>
                    <w:rPr>
                      <w:color w:val="auto"/>
                      <w:kern w:val="0"/>
                      <w:szCs w:val="21"/>
                      <w:highlight w:val="none"/>
                    </w:rPr>
                  </w:pPr>
                  <w:r>
                    <w:rPr>
                      <w:color w:val="auto"/>
                      <w:kern w:val="0"/>
                      <w:szCs w:val="21"/>
                      <w:highlight w:val="none"/>
                    </w:rPr>
                    <w:t>纬度</w:t>
                  </w:r>
                </w:p>
              </w:tc>
              <w:tc>
                <w:tcPr>
                  <w:tcW w:w="722" w:type="dxa"/>
                  <w:vMerge w:val="continue"/>
                  <w:noWrap w:val="0"/>
                  <w:vAlign w:val="center"/>
                </w:tcPr>
                <w:p>
                  <w:pPr>
                    <w:widowControl/>
                    <w:jc w:val="center"/>
                    <w:rPr>
                      <w:color w:val="auto"/>
                      <w:kern w:val="0"/>
                      <w:szCs w:val="21"/>
                      <w:highlight w:val="none"/>
                    </w:rPr>
                  </w:pPr>
                </w:p>
              </w:tc>
              <w:tc>
                <w:tcPr>
                  <w:tcW w:w="691" w:type="dxa"/>
                  <w:vMerge w:val="continue"/>
                  <w:noWrap w:val="0"/>
                  <w:vAlign w:val="center"/>
                </w:tcPr>
                <w:p>
                  <w:pPr>
                    <w:widowControl/>
                    <w:jc w:val="center"/>
                    <w:rPr>
                      <w:color w:val="auto"/>
                      <w:kern w:val="0"/>
                      <w:szCs w:val="21"/>
                      <w:highlight w:val="none"/>
                    </w:rPr>
                  </w:pPr>
                </w:p>
              </w:tc>
              <w:tc>
                <w:tcPr>
                  <w:tcW w:w="1080" w:type="dxa"/>
                  <w:vMerge w:val="continue"/>
                  <w:noWrap w:val="0"/>
                  <w:vAlign w:val="center"/>
                </w:tcPr>
                <w:p>
                  <w:pPr>
                    <w:widowControl/>
                    <w:jc w:val="center"/>
                    <w:rPr>
                      <w:color w:val="auto"/>
                      <w:kern w:val="0"/>
                      <w:szCs w:val="21"/>
                      <w:highlight w:val="none"/>
                    </w:rPr>
                  </w:pPr>
                </w:p>
              </w:tc>
              <w:tc>
                <w:tcPr>
                  <w:tcW w:w="690" w:type="dxa"/>
                  <w:noWrap w:val="0"/>
                  <w:vAlign w:val="center"/>
                </w:tcPr>
                <w:p>
                  <w:pPr>
                    <w:widowControl/>
                    <w:jc w:val="center"/>
                    <w:rPr>
                      <w:color w:val="auto"/>
                      <w:kern w:val="0"/>
                      <w:szCs w:val="21"/>
                      <w:highlight w:val="none"/>
                    </w:rPr>
                  </w:pPr>
                  <w:r>
                    <w:rPr>
                      <w:color w:val="auto"/>
                      <w:kern w:val="0"/>
                      <w:szCs w:val="21"/>
                      <w:highlight w:val="none"/>
                    </w:rPr>
                    <w:t>名称</w:t>
                  </w:r>
                </w:p>
              </w:tc>
              <w:tc>
                <w:tcPr>
                  <w:tcW w:w="1350" w:type="dxa"/>
                  <w:noWrap w:val="0"/>
                  <w:vAlign w:val="center"/>
                </w:tcPr>
                <w:p>
                  <w:pPr>
                    <w:widowControl/>
                    <w:jc w:val="center"/>
                    <w:rPr>
                      <w:color w:val="auto"/>
                      <w:kern w:val="0"/>
                      <w:szCs w:val="21"/>
                      <w:highlight w:val="none"/>
                    </w:rPr>
                  </w:pPr>
                  <w:r>
                    <w:rPr>
                      <w:color w:val="auto"/>
                      <w:kern w:val="0"/>
                      <w:szCs w:val="21"/>
                      <w:highlight w:val="none"/>
                    </w:rPr>
                    <w:t>污染物</w:t>
                  </w:r>
                </w:p>
                <w:p>
                  <w:pPr>
                    <w:widowControl/>
                    <w:jc w:val="center"/>
                    <w:rPr>
                      <w:color w:val="auto"/>
                      <w:kern w:val="0"/>
                      <w:szCs w:val="21"/>
                      <w:highlight w:val="none"/>
                    </w:rPr>
                  </w:pPr>
                  <w:r>
                    <w:rPr>
                      <w:color w:val="auto"/>
                      <w:kern w:val="0"/>
                      <w:szCs w:val="21"/>
                      <w:highlight w:val="none"/>
                    </w:rPr>
                    <w:t>种类</w:t>
                  </w:r>
                </w:p>
              </w:tc>
              <w:tc>
                <w:tcPr>
                  <w:tcW w:w="1657" w:type="dxa"/>
                  <w:noWrap w:val="0"/>
                  <w:vAlign w:val="center"/>
                </w:tcPr>
                <w:p>
                  <w:pPr>
                    <w:widowControl/>
                    <w:jc w:val="center"/>
                    <w:rPr>
                      <w:color w:val="auto"/>
                      <w:kern w:val="0"/>
                      <w:szCs w:val="21"/>
                      <w:highlight w:val="none"/>
                    </w:rPr>
                  </w:pPr>
                  <w:r>
                    <w:rPr>
                      <w:color w:val="auto"/>
                      <w:kern w:val="0"/>
                      <w:szCs w:val="21"/>
                      <w:highlight w:val="none"/>
                    </w:rPr>
                    <w:t>国家或地方污染物排放标准浓度限值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trPr>
              <w:tc>
                <w:tcPr>
                  <w:tcW w:w="370" w:type="dxa"/>
                  <w:noWrap w:val="0"/>
                  <w:vAlign w:val="center"/>
                </w:tcPr>
                <w:p>
                  <w:pPr>
                    <w:widowControl/>
                    <w:jc w:val="center"/>
                    <w:rPr>
                      <w:color w:val="auto"/>
                      <w:kern w:val="0"/>
                      <w:szCs w:val="21"/>
                      <w:highlight w:val="none"/>
                    </w:rPr>
                  </w:pPr>
                  <w:r>
                    <w:rPr>
                      <w:color w:val="auto"/>
                      <w:kern w:val="0"/>
                      <w:szCs w:val="21"/>
                      <w:highlight w:val="none"/>
                    </w:rPr>
                    <w:t>1</w:t>
                  </w:r>
                </w:p>
              </w:tc>
              <w:tc>
                <w:tcPr>
                  <w:tcW w:w="935" w:type="dxa"/>
                  <w:noWrap w:val="0"/>
                  <w:vAlign w:val="center"/>
                </w:tcPr>
                <w:p>
                  <w:pPr>
                    <w:widowControl/>
                    <w:jc w:val="left"/>
                    <w:rPr>
                      <w:rFonts w:hint="default" w:eastAsia="宋体"/>
                      <w:color w:val="auto"/>
                      <w:kern w:val="0"/>
                      <w:szCs w:val="21"/>
                      <w:highlight w:val="none"/>
                      <w:lang w:val="en-US" w:eastAsia="zh-CN"/>
                    </w:rPr>
                  </w:pPr>
                  <w:r>
                    <w:rPr>
                      <w:rFonts w:hint="eastAsia" w:eastAsia="宋体"/>
                      <w:color w:val="auto"/>
                      <w:kern w:val="0"/>
                      <w:szCs w:val="21"/>
                      <w:highlight w:val="none"/>
                      <w:lang w:val="en-US" w:eastAsia="zh-CN"/>
                    </w:rPr>
                    <w:t>105.98210871</w:t>
                  </w:r>
                </w:p>
              </w:tc>
              <w:tc>
                <w:tcPr>
                  <w:tcW w:w="882" w:type="dxa"/>
                  <w:noWrap w:val="0"/>
                  <w:vAlign w:val="center"/>
                </w:tcPr>
                <w:p>
                  <w:pPr>
                    <w:widowControl/>
                    <w:jc w:val="left"/>
                    <w:rPr>
                      <w:rFonts w:hint="default" w:eastAsia="宋体"/>
                      <w:color w:val="auto"/>
                      <w:kern w:val="0"/>
                      <w:szCs w:val="21"/>
                      <w:highlight w:val="none"/>
                      <w:lang w:val="en-US" w:eastAsia="zh-CN"/>
                    </w:rPr>
                  </w:pPr>
                  <w:r>
                    <w:rPr>
                      <w:rFonts w:hint="eastAsia" w:eastAsia="宋体"/>
                      <w:color w:val="auto"/>
                      <w:kern w:val="0"/>
                      <w:szCs w:val="21"/>
                      <w:highlight w:val="none"/>
                      <w:lang w:val="en-US" w:eastAsia="zh-CN"/>
                    </w:rPr>
                    <w:t>29.85525548</w:t>
                  </w:r>
                </w:p>
              </w:tc>
              <w:tc>
                <w:tcPr>
                  <w:tcW w:w="722" w:type="dxa"/>
                  <w:noWrap w:val="0"/>
                  <w:vAlign w:val="center"/>
                </w:tcPr>
                <w:p>
                  <w:pPr>
                    <w:widowControl/>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0.056166</w:t>
                  </w:r>
                </w:p>
              </w:tc>
              <w:tc>
                <w:tcPr>
                  <w:tcW w:w="691" w:type="dxa"/>
                  <w:noWrap w:val="0"/>
                  <w:vAlign w:val="center"/>
                </w:tcPr>
                <w:p>
                  <w:pPr>
                    <w:widowControl/>
                    <w:jc w:val="center"/>
                    <w:rPr>
                      <w:color w:val="auto"/>
                      <w:kern w:val="0"/>
                      <w:szCs w:val="21"/>
                      <w:highlight w:val="none"/>
                    </w:rPr>
                  </w:pPr>
                  <w:r>
                    <w:rPr>
                      <w:rFonts w:hint="eastAsia"/>
                      <w:color w:val="auto"/>
                      <w:szCs w:val="21"/>
                      <w:highlight w:val="none"/>
                      <w:lang w:val="en-US" w:eastAsia="zh-CN"/>
                    </w:rPr>
                    <w:t>铜梁侣俸</w:t>
                  </w:r>
                  <w:r>
                    <w:rPr>
                      <w:rFonts w:hint="eastAsia" w:eastAsia="宋体"/>
                      <w:color w:val="auto"/>
                      <w:szCs w:val="21"/>
                      <w:highlight w:val="none"/>
                      <w:lang w:val="en-US" w:eastAsia="zh-CN"/>
                    </w:rPr>
                    <w:t>污水处理厂</w:t>
                  </w:r>
                </w:p>
              </w:tc>
              <w:tc>
                <w:tcPr>
                  <w:tcW w:w="1080" w:type="dxa"/>
                  <w:noWrap w:val="0"/>
                  <w:vAlign w:val="center"/>
                </w:tcPr>
                <w:p>
                  <w:pPr>
                    <w:widowControl/>
                    <w:jc w:val="center"/>
                    <w:rPr>
                      <w:color w:val="auto"/>
                      <w:kern w:val="0"/>
                      <w:szCs w:val="21"/>
                      <w:highlight w:val="none"/>
                    </w:rPr>
                  </w:pPr>
                  <w:r>
                    <w:rPr>
                      <w:color w:val="auto"/>
                      <w:szCs w:val="21"/>
                      <w:highlight w:val="none"/>
                    </w:rPr>
                    <w:t>间断排放，排放期间流量不稳定</w:t>
                  </w:r>
                </w:p>
              </w:tc>
              <w:tc>
                <w:tcPr>
                  <w:tcW w:w="690" w:type="dxa"/>
                  <w:noWrap w:val="0"/>
                  <w:vAlign w:val="center"/>
                </w:tcPr>
                <w:p>
                  <w:pPr>
                    <w:widowControl/>
                    <w:jc w:val="left"/>
                    <w:rPr>
                      <w:color w:val="auto"/>
                      <w:kern w:val="0"/>
                      <w:szCs w:val="21"/>
                      <w:highlight w:val="none"/>
                    </w:rPr>
                  </w:pPr>
                  <w:r>
                    <w:rPr>
                      <w:rFonts w:hint="eastAsia"/>
                      <w:color w:val="auto"/>
                      <w:szCs w:val="21"/>
                      <w:highlight w:val="none"/>
                      <w:lang w:val="en-US" w:eastAsia="zh-CN"/>
                    </w:rPr>
                    <w:t>铜梁侣俸</w:t>
                  </w:r>
                  <w:r>
                    <w:rPr>
                      <w:rFonts w:hint="eastAsia" w:eastAsia="宋体"/>
                      <w:color w:val="auto"/>
                      <w:szCs w:val="21"/>
                      <w:highlight w:val="none"/>
                      <w:lang w:val="en-US" w:eastAsia="zh-CN"/>
                    </w:rPr>
                    <w:t>污水处理厂</w:t>
                  </w:r>
                </w:p>
              </w:tc>
              <w:tc>
                <w:tcPr>
                  <w:tcW w:w="1350" w:type="dxa"/>
                  <w:noWrap w:val="0"/>
                  <w:vAlign w:val="center"/>
                </w:tcPr>
                <w:p>
                  <w:pPr>
                    <w:widowControl/>
                    <w:jc w:val="center"/>
                    <w:rPr>
                      <w:rFonts w:hint="default" w:eastAsia="宋体"/>
                      <w:color w:val="auto"/>
                      <w:kern w:val="0"/>
                      <w:szCs w:val="21"/>
                      <w:highlight w:val="none"/>
                      <w:lang w:val="en-US" w:eastAsia="zh-CN"/>
                    </w:rPr>
                  </w:pPr>
                  <w:r>
                    <w:rPr>
                      <w:rFonts w:hint="eastAsia"/>
                      <w:color w:val="auto"/>
                      <w:szCs w:val="21"/>
                      <w:highlight w:val="none"/>
                      <w:lang w:val="en-US" w:eastAsia="zh-CN"/>
                    </w:rPr>
                    <w:t>pH、</w:t>
                  </w:r>
                  <w:r>
                    <w:rPr>
                      <w:color w:val="auto"/>
                      <w:szCs w:val="21"/>
                      <w:highlight w:val="none"/>
                    </w:rPr>
                    <w:t>COD</w:t>
                  </w:r>
                  <w:r>
                    <w:rPr>
                      <w:rFonts w:hint="eastAsia"/>
                      <w:color w:val="auto"/>
                      <w:szCs w:val="21"/>
                      <w:highlight w:val="none"/>
                    </w:rPr>
                    <w:t>、</w:t>
                  </w:r>
                  <w:r>
                    <w:rPr>
                      <w:color w:val="auto"/>
                      <w:szCs w:val="21"/>
                      <w:highlight w:val="none"/>
                    </w:rPr>
                    <w:t>BOD</w:t>
                  </w:r>
                  <w:r>
                    <w:rPr>
                      <w:color w:val="auto"/>
                      <w:szCs w:val="21"/>
                      <w:highlight w:val="none"/>
                      <w:vertAlign w:val="subscript"/>
                    </w:rPr>
                    <w:t>5</w:t>
                  </w:r>
                  <w:r>
                    <w:rPr>
                      <w:rFonts w:hint="eastAsia"/>
                      <w:color w:val="auto"/>
                      <w:szCs w:val="21"/>
                      <w:highlight w:val="none"/>
                      <w:vertAlign w:val="subscript"/>
                    </w:rPr>
                    <w:t>、</w:t>
                  </w:r>
                  <w:r>
                    <w:rPr>
                      <w:color w:val="auto"/>
                      <w:szCs w:val="21"/>
                      <w:highlight w:val="none"/>
                    </w:rPr>
                    <w:t>SS、氨氮</w:t>
                  </w:r>
                  <w:r>
                    <w:rPr>
                      <w:rFonts w:hint="eastAsia"/>
                      <w:color w:val="auto"/>
                      <w:szCs w:val="21"/>
                      <w:highlight w:val="none"/>
                      <w:lang w:eastAsia="zh-CN"/>
                    </w:rPr>
                    <w:t>、</w:t>
                  </w:r>
                  <w:r>
                    <w:rPr>
                      <w:rFonts w:hint="eastAsia"/>
                      <w:color w:val="auto"/>
                      <w:szCs w:val="21"/>
                      <w:highlight w:val="none"/>
                      <w:lang w:val="en-US" w:eastAsia="zh-CN"/>
                    </w:rPr>
                    <w:t>氨氮</w:t>
                  </w:r>
                </w:p>
              </w:tc>
              <w:tc>
                <w:tcPr>
                  <w:tcW w:w="1657" w:type="dxa"/>
                  <w:noWrap w:val="0"/>
                  <w:vAlign w:val="center"/>
                </w:tcPr>
                <w:p>
                  <w:pPr>
                    <w:widowControl/>
                    <w:spacing w:line="240" w:lineRule="auto"/>
                    <w:jc w:val="center"/>
                    <w:rPr>
                      <w:rFonts w:hint="eastAsia" w:eastAsia="Calibri"/>
                      <w:color w:val="auto"/>
                      <w:kern w:val="0"/>
                      <w:szCs w:val="21"/>
                      <w:highlight w:val="none"/>
                    </w:rPr>
                  </w:pPr>
                  <w:r>
                    <w:rPr>
                      <w:rFonts w:hint="eastAsia" w:ascii="Times New Roman"/>
                      <w:color w:val="auto"/>
                      <w:highlight w:val="none"/>
                      <w:lang w:val="en-GB" w:eastAsia="zh-CN"/>
                    </w:rPr>
                    <w:t>《城镇污水处理厂污染物排放标准》(GB18918-2002)一级</w:t>
                  </w:r>
                  <w:r>
                    <w:rPr>
                      <w:rFonts w:hint="eastAsia" w:ascii="Times New Roman"/>
                      <w:color w:val="auto"/>
                      <w:highlight w:val="none"/>
                      <w:lang w:val="en-US" w:eastAsia="zh-CN"/>
                    </w:rPr>
                    <w:t>B</w:t>
                  </w:r>
                  <w:r>
                    <w:rPr>
                      <w:rFonts w:hint="eastAsia" w:ascii="Times New Roman"/>
                      <w:color w:val="auto"/>
                      <w:highlight w:val="none"/>
                      <w:lang w:val="en-GB" w:eastAsia="zh-CN"/>
                    </w:rPr>
                    <w:t>标</w:t>
                  </w:r>
                </w:p>
              </w:tc>
            </w:tr>
          </w:tbl>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表4-</w:t>
            </w:r>
            <w:r>
              <w:rPr>
                <w:rFonts w:hint="eastAsia" w:cs="Times New Roman"/>
                <w:color w:val="auto"/>
                <w:kern w:val="0"/>
                <w:sz w:val="24"/>
                <w:highlight w:val="none"/>
                <w:lang w:val="en-US" w:eastAsia="zh-CN"/>
              </w:rPr>
              <w:t>9</w:t>
            </w:r>
            <w:r>
              <w:rPr>
                <w:rFonts w:hint="eastAsia" w:ascii="Times New Roman" w:hAnsi="Times New Roman" w:eastAsia="宋体" w:cs="Times New Roman"/>
                <w:color w:val="auto"/>
                <w:kern w:val="0"/>
                <w:sz w:val="24"/>
                <w:highlight w:val="none"/>
                <w:lang w:val="en-US" w:eastAsia="zh-CN"/>
              </w:rPr>
              <w:t xml:space="preserve"> 废水污染物排放执行标准表</w:t>
            </w:r>
          </w:p>
          <w:tbl>
            <w:tblPr>
              <w:tblStyle w:val="15"/>
              <w:tblW w:w="83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0"/>
              <w:gridCol w:w="1057"/>
              <w:gridCol w:w="1769"/>
              <w:gridCol w:w="3816"/>
              <w:gridCol w:w="11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jc w:val="center"/>
              </w:trPr>
              <w:tc>
                <w:tcPr>
                  <w:tcW w:w="540"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b/>
                      <w:bCs/>
                      <w:color w:val="auto"/>
                      <w:szCs w:val="21"/>
                      <w:highlight w:val="none"/>
                    </w:rPr>
                  </w:pPr>
                  <w:r>
                    <w:rPr>
                      <w:b/>
                      <w:bCs/>
                      <w:color w:val="auto"/>
                      <w:szCs w:val="21"/>
                      <w:highlight w:val="none"/>
                    </w:rPr>
                    <w:t>序号</w:t>
                  </w:r>
                </w:p>
              </w:tc>
              <w:tc>
                <w:tcPr>
                  <w:tcW w:w="1057"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b/>
                      <w:bCs/>
                      <w:color w:val="auto"/>
                      <w:szCs w:val="21"/>
                      <w:highlight w:val="none"/>
                    </w:rPr>
                  </w:pPr>
                  <w:r>
                    <w:rPr>
                      <w:b/>
                      <w:bCs/>
                      <w:color w:val="auto"/>
                      <w:szCs w:val="21"/>
                      <w:highlight w:val="none"/>
                    </w:rPr>
                    <w:t>排放口</w:t>
                  </w:r>
                </w:p>
                <w:p>
                  <w:pPr>
                    <w:adjustRightInd w:val="0"/>
                    <w:snapToGrid w:val="0"/>
                    <w:jc w:val="center"/>
                    <w:rPr>
                      <w:b/>
                      <w:bCs/>
                      <w:color w:val="auto"/>
                      <w:szCs w:val="21"/>
                      <w:highlight w:val="none"/>
                    </w:rPr>
                  </w:pPr>
                  <w:r>
                    <w:rPr>
                      <w:b/>
                      <w:bCs/>
                      <w:color w:val="auto"/>
                      <w:szCs w:val="21"/>
                      <w:highlight w:val="none"/>
                    </w:rPr>
                    <w:t>编号</w:t>
                  </w:r>
                </w:p>
              </w:tc>
              <w:tc>
                <w:tcPr>
                  <w:tcW w:w="1769"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b/>
                      <w:bCs/>
                      <w:color w:val="auto"/>
                      <w:szCs w:val="21"/>
                      <w:highlight w:val="none"/>
                    </w:rPr>
                  </w:pPr>
                  <w:r>
                    <w:rPr>
                      <w:b/>
                      <w:bCs/>
                      <w:color w:val="auto"/>
                      <w:szCs w:val="21"/>
                      <w:highlight w:val="none"/>
                    </w:rPr>
                    <w:t>污染物种类</w:t>
                  </w:r>
                </w:p>
              </w:tc>
              <w:tc>
                <w:tcPr>
                  <w:tcW w:w="4992"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b/>
                      <w:bCs/>
                      <w:color w:val="auto"/>
                      <w:szCs w:val="21"/>
                      <w:highlight w:val="none"/>
                    </w:rPr>
                  </w:pPr>
                  <w:r>
                    <w:rPr>
                      <w:b/>
                      <w:bCs/>
                      <w:color w:val="auto"/>
                      <w:szCs w:val="21"/>
                      <w:highlight w:val="none"/>
                    </w:rPr>
                    <w:t>排放标准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jc w:val="center"/>
              </w:trPr>
              <w:tc>
                <w:tcPr>
                  <w:tcW w:w="540"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b/>
                      <w:bCs/>
                      <w:color w:val="auto"/>
                      <w:szCs w:val="21"/>
                      <w:highlight w:val="none"/>
                    </w:rPr>
                  </w:pPr>
                </w:p>
              </w:tc>
              <w:tc>
                <w:tcPr>
                  <w:tcW w:w="1057"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b/>
                      <w:bCs/>
                      <w:color w:val="auto"/>
                      <w:szCs w:val="21"/>
                      <w:highlight w:val="none"/>
                    </w:rPr>
                  </w:pPr>
                </w:p>
              </w:tc>
              <w:tc>
                <w:tcPr>
                  <w:tcW w:w="1769"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b/>
                      <w:bCs/>
                      <w:color w:val="auto"/>
                      <w:szCs w:val="21"/>
                      <w:highlight w:val="none"/>
                    </w:rPr>
                  </w:pPr>
                </w:p>
              </w:tc>
              <w:tc>
                <w:tcPr>
                  <w:tcW w:w="381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b/>
                      <w:bCs/>
                      <w:color w:val="auto"/>
                      <w:szCs w:val="21"/>
                      <w:highlight w:val="none"/>
                    </w:rPr>
                  </w:pPr>
                  <w:r>
                    <w:rPr>
                      <w:b/>
                      <w:bCs/>
                      <w:color w:val="auto"/>
                      <w:szCs w:val="21"/>
                      <w:highlight w:val="none"/>
                    </w:rPr>
                    <w:t>名称</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b/>
                      <w:bCs/>
                      <w:color w:val="auto"/>
                      <w:szCs w:val="21"/>
                      <w:highlight w:val="none"/>
                    </w:rPr>
                  </w:pPr>
                  <w:r>
                    <w:rPr>
                      <w:b/>
                      <w:bCs/>
                      <w:color w:val="auto"/>
                      <w:szCs w:val="21"/>
                      <w:highlight w:val="none"/>
                    </w:rPr>
                    <w:t>浓度限值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5" w:hRule="atLeast"/>
                <w:jc w:val="center"/>
              </w:trPr>
              <w:tc>
                <w:tcPr>
                  <w:tcW w:w="540" w:type="dxa"/>
                  <w:vMerge w:val="restart"/>
                  <w:tcBorders>
                    <w:top w:val="single" w:color="auto" w:sz="4" w:space="0"/>
                    <w:left w:val="single" w:color="auto" w:sz="4" w:space="0"/>
                    <w:right w:val="single" w:color="auto" w:sz="4" w:space="0"/>
                  </w:tcBorders>
                  <w:noWrap w:val="0"/>
                  <w:vAlign w:val="center"/>
                </w:tcPr>
                <w:p>
                  <w:pPr>
                    <w:adjustRightInd w:val="0"/>
                    <w:snapToGrid w:val="0"/>
                    <w:jc w:val="center"/>
                    <w:rPr>
                      <w:color w:val="auto"/>
                      <w:szCs w:val="21"/>
                      <w:highlight w:val="none"/>
                    </w:rPr>
                  </w:pPr>
                  <w:r>
                    <w:rPr>
                      <w:color w:val="auto"/>
                      <w:szCs w:val="21"/>
                      <w:highlight w:val="none"/>
                    </w:rPr>
                    <w:t>1</w:t>
                  </w:r>
                </w:p>
              </w:tc>
              <w:tc>
                <w:tcPr>
                  <w:tcW w:w="1057" w:type="dxa"/>
                  <w:vMerge w:val="restart"/>
                  <w:tcBorders>
                    <w:top w:val="single" w:color="auto" w:sz="4" w:space="0"/>
                    <w:left w:val="single" w:color="auto" w:sz="4" w:space="0"/>
                    <w:right w:val="single" w:color="auto" w:sz="4" w:space="0"/>
                  </w:tcBorders>
                  <w:noWrap w:val="0"/>
                  <w:vAlign w:val="center"/>
                </w:tcPr>
                <w:p>
                  <w:pPr>
                    <w:adjustRightInd w:val="0"/>
                    <w:snapToGrid w:val="0"/>
                    <w:jc w:val="center"/>
                    <w:rPr>
                      <w:color w:val="auto"/>
                      <w:szCs w:val="21"/>
                      <w:highlight w:val="none"/>
                    </w:rPr>
                  </w:pPr>
                  <w:r>
                    <w:rPr>
                      <w:rFonts w:hint="eastAsia"/>
                      <w:color w:val="auto"/>
                      <w:szCs w:val="21"/>
                      <w:highlight w:val="none"/>
                    </w:rPr>
                    <w:t>DW001</w:t>
                  </w:r>
                </w:p>
              </w:tc>
              <w:tc>
                <w:tcPr>
                  <w:tcW w:w="1769"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rPr>
                    <w:t>pH</w:t>
                  </w:r>
                </w:p>
              </w:tc>
              <w:tc>
                <w:tcPr>
                  <w:tcW w:w="3816" w:type="dxa"/>
                  <w:vMerge w:val="restart"/>
                  <w:tcBorders>
                    <w:top w:val="single" w:color="auto" w:sz="4" w:space="0"/>
                    <w:left w:val="single" w:color="auto" w:sz="4" w:space="0"/>
                    <w:right w:val="single" w:color="auto" w:sz="4" w:space="0"/>
                  </w:tcBorders>
                  <w:noWrap w:val="0"/>
                  <w:vAlign w:val="center"/>
                </w:tcPr>
                <w:p>
                  <w:pPr>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GB" w:eastAsia="zh-CN"/>
                    </w:rPr>
                    <w:t>《城镇污水处理厂污染物排放标准》(GB18918-2002)一级</w:t>
                  </w:r>
                  <w:r>
                    <w:rPr>
                      <w:rFonts w:hint="eastAsia" w:ascii="Times New Roman" w:hAnsi="Times New Roman" w:cs="Times New Roman"/>
                      <w:color w:val="auto"/>
                      <w:szCs w:val="21"/>
                      <w:highlight w:val="none"/>
                      <w:lang w:val="en-US" w:eastAsia="zh-CN"/>
                    </w:rPr>
                    <w:t>B</w:t>
                  </w:r>
                  <w:r>
                    <w:rPr>
                      <w:rFonts w:hint="eastAsia" w:ascii="Times New Roman" w:hAnsi="Times New Roman" w:eastAsia="宋体" w:cs="Times New Roman"/>
                      <w:color w:val="auto"/>
                      <w:szCs w:val="21"/>
                      <w:highlight w:val="none"/>
                      <w:lang w:val="en-GB" w:eastAsia="zh-CN"/>
                    </w:rPr>
                    <w:t>标</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rPr>
                    <w:t>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5" w:hRule="atLeast"/>
                <w:jc w:val="center"/>
              </w:trPr>
              <w:tc>
                <w:tcPr>
                  <w:tcW w:w="540" w:type="dxa"/>
                  <w:vMerge w:val="continue"/>
                  <w:tcBorders>
                    <w:left w:val="single" w:color="auto" w:sz="4" w:space="0"/>
                    <w:right w:val="single" w:color="auto" w:sz="4" w:space="0"/>
                  </w:tcBorders>
                  <w:noWrap w:val="0"/>
                  <w:vAlign w:val="center"/>
                </w:tcPr>
                <w:p>
                  <w:pPr>
                    <w:adjustRightInd w:val="0"/>
                    <w:snapToGrid w:val="0"/>
                    <w:jc w:val="center"/>
                    <w:rPr>
                      <w:color w:val="auto"/>
                      <w:szCs w:val="21"/>
                      <w:highlight w:val="none"/>
                    </w:rPr>
                  </w:pPr>
                </w:p>
              </w:tc>
              <w:tc>
                <w:tcPr>
                  <w:tcW w:w="1057" w:type="dxa"/>
                  <w:vMerge w:val="continue"/>
                  <w:tcBorders>
                    <w:left w:val="single" w:color="auto" w:sz="4" w:space="0"/>
                    <w:right w:val="single" w:color="auto" w:sz="4" w:space="0"/>
                  </w:tcBorders>
                  <w:noWrap w:val="0"/>
                  <w:vAlign w:val="center"/>
                </w:tcPr>
                <w:p>
                  <w:pPr>
                    <w:adjustRightInd w:val="0"/>
                    <w:snapToGrid w:val="0"/>
                    <w:jc w:val="center"/>
                    <w:rPr>
                      <w:color w:val="auto"/>
                      <w:szCs w:val="21"/>
                      <w:highlight w:val="none"/>
                    </w:rPr>
                  </w:pPr>
                </w:p>
              </w:tc>
              <w:tc>
                <w:tcPr>
                  <w:tcW w:w="1769"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rPr>
                    <w:t>COD</w:t>
                  </w:r>
                </w:p>
              </w:tc>
              <w:tc>
                <w:tcPr>
                  <w:tcW w:w="3816" w:type="dxa"/>
                  <w:vMerge w:val="continue"/>
                  <w:tcBorders>
                    <w:left w:val="single" w:color="auto" w:sz="4" w:space="0"/>
                    <w:right w:val="single" w:color="auto" w:sz="4" w:space="0"/>
                  </w:tcBorders>
                  <w:noWrap w:val="0"/>
                  <w:vAlign w:val="center"/>
                </w:tcPr>
                <w:p>
                  <w:pPr>
                    <w:adjustRightInd w:val="0"/>
                    <w:snapToGrid w:val="0"/>
                    <w:jc w:val="center"/>
                    <w:rPr>
                      <w:color w:val="auto"/>
                      <w:szCs w:val="21"/>
                      <w:highlight w:val="none"/>
                    </w:rPr>
                  </w:pPr>
                </w:p>
              </w:tc>
              <w:tc>
                <w:tcPr>
                  <w:tcW w:w="1176" w:type="dxa"/>
                  <w:tcBorders>
                    <w:top w:val="single" w:color="auto" w:sz="4" w:space="0"/>
                    <w:left w:val="single" w:color="auto" w:sz="4" w:space="0"/>
                    <w:bottom w:val="single" w:color="auto" w:sz="4" w:space="0"/>
                    <w:right w:val="single" w:color="auto" w:sz="4" w:space="0"/>
                  </w:tcBorders>
                  <w:noWrap w:val="0"/>
                  <w:vAlign w:val="top"/>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rPr>
                    <w:t>0.034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5" w:hRule="atLeast"/>
                <w:jc w:val="center"/>
              </w:trPr>
              <w:tc>
                <w:tcPr>
                  <w:tcW w:w="540" w:type="dxa"/>
                  <w:vMerge w:val="continue"/>
                  <w:tcBorders>
                    <w:left w:val="single" w:color="auto" w:sz="4" w:space="0"/>
                    <w:right w:val="single" w:color="auto" w:sz="4" w:space="0"/>
                  </w:tcBorders>
                  <w:noWrap w:val="0"/>
                  <w:vAlign w:val="center"/>
                </w:tcPr>
                <w:p>
                  <w:pPr>
                    <w:adjustRightInd w:val="0"/>
                    <w:snapToGrid w:val="0"/>
                    <w:jc w:val="center"/>
                    <w:rPr>
                      <w:color w:val="auto"/>
                      <w:szCs w:val="21"/>
                      <w:highlight w:val="none"/>
                    </w:rPr>
                  </w:pPr>
                </w:p>
              </w:tc>
              <w:tc>
                <w:tcPr>
                  <w:tcW w:w="1057" w:type="dxa"/>
                  <w:vMerge w:val="continue"/>
                  <w:tcBorders>
                    <w:left w:val="single" w:color="auto" w:sz="4" w:space="0"/>
                    <w:right w:val="single" w:color="auto" w:sz="4" w:space="0"/>
                  </w:tcBorders>
                  <w:noWrap w:val="0"/>
                  <w:vAlign w:val="center"/>
                </w:tcPr>
                <w:p>
                  <w:pPr>
                    <w:adjustRightInd w:val="0"/>
                    <w:snapToGrid w:val="0"/>
                    <w:jc w:val="center"/>
                    <w:rPr>
                      <w:color w:val="auto"/>
                      <w:szCs w:val="21"/>
                      <w:highlight w:val="none"/>
                    </w:rPr>
                  </w:pPr>
                </w:p>
              </w:tc>
              <w:tc>
                <w:tcPr>
                  <w:tcW w:w="1769"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subscript"/>
                      <w:lang w:val="en-US" w:eastAsia="zh-CN" w:bidi="ar-SA"/>
                    </w:rPr>
                  </w:pPr>
                  <w:r>
                    <w:rPr>
                      <w:rFonts w:hint="eastAsia" w:ascii="Times New Roman" w:hAnsi="Times New Roman" w:cs="Times New Roman"/>
                      <w:color w:val="auto"/>
                      <w:kern w:val="0"/>
                      <w:sz w:val="21"/>
                      <w:szCs w:val="21"/>
                      <w:highlight w:val="none"/>
                      <w:vertAlign w:val="baseline"/>
                      <w:lang w:val="en-US" w:eastAsia="zh-CN"/>
                    </w:rPr>
                    <w:t>BOD</w:t>
                  </w:r>
                  <w:r>
                    <w:rPr>
                      <w:rFonts w:hint="eastAsia" w:ascii="Times New Roman" w:hAnsi="Times New Roman" w:cs="Times New Roman"/>
                      <w:color w:val="auto"/>
                      <w:kern w:val="0"/>
                      <w:sz w:val="21"/>
                      <w:szCs w:val="21"/>
                      <w:highlight w:val="none"/>
                      <w:vertAlign w:val="subscript"/>
                      <w:lang w:val="en-US" w:eastAsia="zh-CN"/>
                    </w:rPr>
                    <w:t>5</w:t>
                  </w:r>
                </w:p>
              </w:tc>
              <w:tc>
                <w:tcPr>
                  <w:tcW w:w="3816" w:type="dxa"/>
                  <w:vMerge w:val="continue"/>
                  <w:tcBorders>
                    <w:left w:val="single" w:color="auto" w:sz="4" w:space="0"/>
                    <w:right w:val="single" w:color="auto" w:sz="4" w:space="0"/>
                  </w:tcBorders>
                  <w:noWrap w:val="0"/>
                  <w:vAlign w:val="center"/>
                </w:tcPr>
                <w:p>
                  <w:pPr>
                    <w:adjustRightInd w:val="0"/>
                    <w:snapToGrid w:val="0"/>
                    <w:jc w:val="center"/>
                    <w:rPr>
                      <w:color w:val="auto"/>
                      <w:szCs w:val="21"/>
                      <w:highlight w:val="none"/>
                    </w:rPr>
                  </w:pPr>
                </w:p>
              </w:tc>
              <w:tc>
                <w:tcPr>
                  <w:tcW w:w="1176" w:type="dxa"/>
                  <w:tcBorders>
                    <w:top w:val="single" w:color="auto" w:sz="4" w:space="0"/>
                    <w:left w:val="single" w:color="auto" w:sz="4" w:space="0"/>
                    <w:bottom w:val="single" w:color="auto" w:sz="4" w:space="0"/>
                    <w:right w:val="single" w:color="auto" w:sz="4" w:space="0"/>
                  </w:tcBorders>
                  <w:noWrap w:val="0"/>
                  <w:vAlign w:val="top"/>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rPr>
                    <w:t>0.011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5" w:hRule="atLeast"/>
                <w:jc w:val="center"/>
              </w:trPr>
              <w:tc>
                <w:tcPr>
                  <w:tcW w:w="540" w:type="dxa"/>
                  <w:vMerge w:val="continue"/>
                  <w:tcBorders>
                    <w:left w:val="single" w:color="auto" w:sz="4" w:space="0"/>
                    <w:right w:val="single" w:color="auto" w:sz="4" w:space="0"/>
                  </w:tcBorders>
                  <w:noWrap w:val="0"/>
                  <w:vAlign w:val="center"/>
                </w:tcPr>
                <w:p>
                  <w:pPr>
                    <w:adjustRightInd w:val="0"/>
                    <w:snapToGrid w:val="0"/>
                    <w:jc w:val="center"/>
                    <w:rPr>
                      <w:color w:val="auto"/>
                      <w:szCs w:val="21"/>
                      <w:highlight w:val="none"/>
                    </w:rPr>
                  </w:pPr>
                </w:p>
              </w:tc>
              <w:tc>
                <w:tcPr>
                  <w:tcW w:w="1057" w:type="dxa"/>
                  <w:vMerge w:val="continue"/>
                  <w:tcBorders>
                    <w:left w:val="single" w:color="auto" w:sz="4" w:space="0"/>
                    <w:right w:val="single" w:color="auto" w:sz="4" w:space="0"/>
                  </w:tcBorders>
                  <w:noWrap w:val="0"/>
                  <w:vAlign w:val="center"/>
                </w:tcPr>
                <w:p>
                  <w:pPr>
                    <w:adjustRightInd w:val="0"/>
                    <w:snapToGrid w:val="0"/>
                    <w:jc w:val="center"/>
                    <w:rPr>
                      <w:color w:val="auto"/>
                      <w:szCs w:val="21"/>
                      <w:highlight w:val="none"/>
                    </w:rPr>
                  </w:pPr>
                </w:p>
              </w:tc>
              <w:tc>
                <w:tcPr>
                  <w:tcW w:w="1769"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rPr>
                    <w:t>SS</w:t>
                  </w:r>
                </w:p>
              </w:tc>
              <w:tc>
                <w:tcPr>
                  <w:tcW w:w="3816" w:type="dxa"/>
                  <w:vMerge w:val="continue"/>
                  <w:tcBorders>
                    <w:left w:val="single" w:color="auto" w:sz="4" w:space="0"/>
                    <w:right w:val="single" w:color="auto" w:sz="4" w:space="0"/>
                  </w:tcBorders>
                  <w:noWrap w:val="0"/>
                  <w:vAlign w:val="center"/>
                </w:tcPr>
                <w:p>
                  <w:pPr>
                    <w:adjustRightInd w:val="0"/>
                    <w:snapToGrid w:val="0"/>
                    <w:jc w:val="center"/>
                    <w:rPr>
                      <w:color w:val="auto"/>
                      <w:szCs w:val="21"/>
                      <w:highlight w:val="none"/>
                    </w:rPr>
                  </w:pPr>
                </w:p>
              </w:tc>
              <w:tc>
                <w:tcPr>
                  <w:tcW w:w="1176" w:type="dxa"/>
                  <w:tcBorders>
                    <w:top w:val="single" w:color="auto" w:sz="4" w:space="0"/>
                    <w:left w:val="single" w:color="auto" w:sz="4" w:space="0"/>
                    <w:bottom w:val="single" w:color="auto" w:sz="4" w:space="0"/>
                    <w:right w:val="single" w:color="auto" w:sz="4" w:space="0"/>
                  </w:tcBorders>
                  <w:noWrap w:val="0"/>
                  <w:vAlign w:val="top"/>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rPr>
                    <w:t>0.011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jc w:val="center"/>
              </w:trPr>
              <w:tc>
                <w:tcPr>
                  <w:tcW w:w="540" w:type="dxa"/>
                  <w:vMerge w:val="continue"/>
                  <w:tcBorders>
                    <w:left w:val="single" w:color="auto" w:sz="4" w:space="0"/>
                    <w:right w:val="single" w:color="auto" w:sz="4" w:space="0"/>
                  </w:tcBorders>
                  <w:noWrap w:val="0"/>
                  <w:vAlign w:val="center"/>
                </w:tcPr>
                <w:p>
                  <w:pPr>
                    <w:adjustRightInd w:val="0"/>
                    <w:snapToGrid w:val="0"/>
                    <w:jc w:val="center"/>
                    <w:rPr>
                      <w:color w:val="auto"/>
                      <w:szCs w:val="21"/>
                      <w:highlight w:val="none"/>
                    </w:rPr>
                  </w:pPr>
                </w:p>
              </w:tc>
              <w:tc>
                <w:tcPr>
                  <w:tcW w:w="1057" w:type="dxa"/>
                  <w:vMerge w:val="continue"/>
                  <w:tcBorders>
                    <w:left w:val="single" w:color="auto" w:sz="4" w:space="0"/>
                    <w:right w:val="single" w:color="auto" w:sz="4" w:space="0"/>
                  </w:tcBorders>
                  <w:noWrap w:val="0"/>
                  <w:vAlign w:val="center"/>
                </w:tcPr>
                <w:p>
                  <w:pPr>
                    <w:adjustRightInd w:val="0"/>
                    <w:snapToGrid w:val="0"/>
                    <w:jc w:val="center"/>
                    <w:rPr>
                      <w:color w:val="auto"/>
                      <w:szCs w:val="21"/>
                      <w:highlight w:val="none"/>
                    </w:rPr>
                  </w:pPr>
                </w:p>
              </w:tc>
              <w:tc>
                <w:tcPr>
                  <w:tcW w:w="1769"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rPr>
                    <w:t>氨氮</w:t>
                  </w:r>
                </w:p>
              </w:tc>
              <w:tc>
                <w:tcPr>
                  <w:tcW w:w="3816" w:type="dxa"/>
                  <w:vMerge w:val="continue"/>
                  <w:tcBorders>
                    <w:left w:val="single" w:color="auto" w:sz="4" w:space="0"/>
                    <w:right w:val="single" w:color="auto" w:sz="4" w:space="0"/>
                  </w:tcBorders>
                  <w:noWrap w:val="0"/>
                  <w:vAlign w:val="center"/>
                </w:tcPr>
                <w:p>
                  <w:pPr>
                    <w:adjustRightInd w:val="0"/>
                    <w:snapToGrid w:val="0"/>
                    <w:jc w:val="center"/>
                    <w:rPr>
                      <w:color w:val="auto"/>
                      <w:szCs w:val="21"/>
                      <w:highlight w:val="none"/>
                    </w:rPr>
                  </w:pPr>
                </w:p>
              </w:tc>
              <w:tc>
                <w:tcPr>
                  <w:tcW w:w="1176" w:type="dxa"/>
                  <w:tcBorders>
                    <w:top w:val="single" w:color="auto" w:sz="4" w:space="0"/>
                    <w:left w:val="single" w:color="auto" w:sz="4" w:space="0"/>
                    <w:bottom w:val="single" w:color="auto" w:sz="4" w:space="0"/>
                    <w:right w:val="single" w:color="auto" w:sz="4" w:space="0"/>
                  </w:tcBorders>
                  <w:noWrap w:val="0"/>
                  <w:vAlign w:val="top"/>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rPr>
                    <w:t>0.004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jc w:val="center"/>
              </w:trPr>
              <w:tc>
                <w:tcPr>
                  <w:tcW w:w="540" w:type="dxa"/>
                  <w:vMerge w:val="continue"/>
                  <w:tcBorders>
                    <w:left w:val="single" w:color="auto" w:sz="4" w:space="0"/>
                    <w:right w:val="single" w:color="auto" w:sz="4" w:space="0"/>
                  </w:tcBorders>
                  <w:noWrap w:val="0"/>
                  <w:vAlign w:val="center"/>
                </w:tcPr>
                <w:p>
                  <w:pPr>
                    <w:adjustRightInd w:val="0"/>
                    <w:snapToGrid w:val="0"/>
                    <w:jc w:val="center"/>
                    <w:rPr>
                      <w:color w:val="auto"/>
                      <w:szCs w:val="21"/>
                      <w:highlight w:val="none"/>
                    </w:rPr>
                  </w:pPr>
                </w:p>
              </w:tc>
              <w:tc>
                <w:tcPr>
                  <w:tcW w:w="1057" w:type="dxa"/>
                  <w:vMerge w:val="continue"/>
                  <w:tcBorders>
                    <w:left w:val="single" w:color="auto" w:sz="4" w:space="0"/>
                    <w:right w:val="single" w:color="auto" w:sz="4" w:space="0"/>
                  </w:tcBorders>
                  <w:noWrap w:val="0"/>
                  <w:vAlign w:val="center"/>
                </w:tcPr>
                <w:p>
                  <w:pPr>
                    <w:adjustRightInd w:val="0"/>
                    <w:snapToGrid w:val="0"/>
                    <w:jc w:val="center"/>
                    <w:rPr>
                      <w:color w:val="auto"/>
                      <w:szCs w:val="21"/>
                      <w:highlight w:val="none"/>
                    </w:rPr>
                  </w:pPr>
                </w:p>
              </w:tc>
              <w:tc>
                <w:tcPr>
                  <w:tcW w:w="1769"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石油类</w:t>
                  </w:r>
                </w:p>
              </w:tc>
              <w:tc>
                <w:tcPr>
                  <w:tcW w:w="3816" w:type="dxa"/>
                  <w:vMerge w:val="continue"/>
                  <w:tcBorders>
                    <w:left w:val="single" w:color="auto" w:sz="4" w:space="0"/>
                    <w:right w:val="single" w:color="auto" w:sz="4" w:space="0"/>
                  </w:tcBorders>
                  <w:noWrap w:val="0"/>
                  <w:vAlign w:val="center"/>
                </w:tcPr>
                <w:p>
                  <w:pPr>
                    <w:adjustRightInd w:val="0"/>
                    <w:snapToGrid w:val="0"/>
                    <w:jc w:val="center"/>
                    <w:rPr>
                      <w:color w:val="auto"/>
                      <w:szCs w:val="21"/>
                      <w:highlight w:val="none"/>
                    </w:rPr>
                  </w:pPr>
                </w:p>
              </w:tc>
              <w:tc>
                <w:tcPr>
                  <w:tcW w:w="1176" w:type="dxa"/>
                  <w:tcBorders>
                    <w:top w:val="single" w:color="auto" w:sz="4" w:space="0"/>
                    <w:left w:val="single" w:color="auto" w:sz="4" w:space="0"/>
                    <w:bottom w:val="single" w:color="auto" w:sz="4" w:space="0"/>
                    <w:right w:val="single" w:color="auto" w:sz="4" w:space="0"/>
                  </w:tcBorders>
                  <w:noWrap w:val="0"/>
                  <w:vAlign w:val="top"/>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rPr>
                    <w:t>0.002</w:t>
                  </w:r>
                </w:p>
              </w:tc>
            </w:tr>
          </w:tbl>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表4-</w:t>
            </w:r>
            <w:r>
              <w:rPr>
                <w:rFonts w:hint="eastAsia" w:cs="Times New Roman"/>
                <w:color w:val="auto"/>
                <w:kern w:val="0"/>
                <w:sz w:val="24"/>
                <w:highlight w:val="none"/>
                <w:lang w:val="en-US" w:eastAsia="zh-CN"/>
              </w:rPr>
              <w:t xml:space="preserve">10 </w:t>
            </w:r>
            <w:r>
              <w:rPr>
                <w:rFonts w:hint="eastAsia" w:ascii="Times New Roman" w:hAnsi="Times New Roman" w:eastAsia="宋体" w:cs="Times New Roman"/>
                <w:color w:val="auto"/>
                <w:kern w:val="0"/>
                <w:sz w:val="24"/>
                <w:highlight w:val="none"/>
                <w:lang w:val="en-US" w:eastAsia="zh-CN"/>
              </w:rPr>
              <w:t xml:space="preserve"> 废水污染物排放信息表</w:t>
            </w:r>
          </w:p>
          <w:tbl>
            <w:tblPr>
              <w:tblStyle w:val="15"/>
              <w:tblW w:w="82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8"/>
              <w:gridCol w:w="1121"/>
              <w:gridCol w:w="1220"/>
              <w:gridCol w:w="1865"/>
              <w:gridCol w:w="1706"/>
              <w:gridCol w:w="17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jc w:val="center"/>
              </w:trPr>
              <w:tc>
                <w:tcPr>
                  <w:tcW w:w="58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b/>
                      <w:bCs/>
                      <w:color w:val="auto"/>
                      <w:szCs w:val="21"/>
                      <w:highlight w:val="none"/>
                    </w:rPr>
                  </w:pPr>
                  <w:r>
                    <w:rPr>
                      <w:b/>
                      <w:bCs/>
                      <w:color w:val="auto"/>
                      <w:szCs w:val="21"/>
                      <w:highlight w:val="none"/>
                    </w:rPr>
                    <w:t>序号</w:t>
                  </w:r>
                </w:p>
              </w:tc>
              <w:tc>
                <w:tcPr>
                  <w:tcW w:w="112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b/>
                      <w:bCs/>
                      <w:color w:val="auto"/>
                      <w:szCs w:val="21"/>
                      <w:highlight w:val="none"/>
                    </w:rPr>
                  </w:pPr>
                  <w:r>
                    <w:rPr>
                      <w:b/>
                      <w:bCs/>
                      <w:color w:val="auto"/>
                      <w:szCs w:val="21"/>
                      <w:highlight w:val="none"/>
                    </w:rPr>
                    <w:t>排放口</w:t>
                  </w:r>
                </w:p>
                <w:p>
                  <w:pPr>
                    <w:adjustRightInd w:val="0"/>
                    <w:snapToGrid w:val="0"/>
                    <w:jc w:val="center"/>
                    <w:rPr>
                      <w:b/>
                      <w:bCs/>
                      <w:color w:val="auto"/>
                      <w:szCs w:val="21"/>
                      <w:highlight w:val="none"/>
                    </w:rPr>
                  </w:pPr>
                  <w:r>
                    <w:rPr>
                      <w:b/>
                      <w:bCs/>
                      <w:color w:val="auto"/>
                      <w:szCs w:val="21"/>
                      <w:highlight w:val="none"/>
                    </w:rPr>
                    <w:t>编号</w:t>
                  </w:r>
                </w:p>
              </w:tc>
              <w:tc>
                <w:tcPr>
                  <w:tcW w:w="122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b/>
                      <w:bCs/>
                      <w:color w:val="auto"/>
                      <w:szCs w:val="21"/>
                      <w:highlight w:val="none"/>
                    </w:rPr>
                  </w:pPr>
                  <w:r>
                    <w:rPr>
                      <w:b/>
                      <w:bCs/>
                      <w:color w:val="auto"/>
                      <w:szCs w:val="21"/>
                      <w:highlight w:val="none"/>
                    </w:rPr>
                    <w:t>污染物</w:t>
                  </w:r>
                </w:p>
                <w:p>
                  <w:pPr>
                    <w:adjustRightInd w:val="0"/>
                    <w:snapToGrid w:val="0"/>
                    <w:jc w:val="center"/>
                    <w:rPr>
                      <w:b/>
                      <w:bCs/>
                      <w:color w:val="auto"/>
                      <w:szCs w:val="21"/>
                      <w:highlight w:val="none"/>
                    </w:rPr>
                  </w:pPr>
                  <w:r>
                    <w:rPr>
                      <w:b/>
                      <w:bCs/>
                      <w:color w:val="auto"/>
                      <w:szCs w:val="21"/>
                      <w:highlight w:val="none"/>
                    </w:rPr>
                    <w:t>种类</w:t>
                  </w:r>
                </w:p>
              </w:tc>
              <w:tc>
                <w:tcPr>
                  <w:tcW w:w="186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b/>
                      <w:bCs/>
                      <w:color w:val="auto"/>
                      <w:szCs w:val="21"/>
                      <w:highlight w:val="none"/>
                    </w:rPr>
                  </w:pPr>
                  <w:r>
                    <w:rPr>
                      <w:b/>
                      <w:bCs/>
                      <w:color w:val="auto"/>
                      <w:szCs w:val="21"/>
                      <w:highlight w:val="none"/>
                    </w:rPr>
                    <w:t>排放浓度（mg/L）</w:t>
                  </w:r>
                </w:p>
              </w:tc>
              <w:tc>
                <w:tcPr>
                  <w:tcW w:w="170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b/>
                      <w:bCs/>
                      <w:color w:val="auto"/>
                      <w:szCs w:val="21"/>
                      <w:highlight w:val="none"/>
                    </w:rPr>
                  </w:pPr>
                  <w:r>
                    <w:rPr>
                      <w:b/>
                      <w:bCs/>
                      <w:color w:val="auto"/>
                      <w:szCs w:val="21"/>
                      <w:highlight w:val="none"/>
                    </w:rPr>
                    <w:t>日排放量（kg/d）</w:t>
                  </w:r>
                </w:p>
              </w:tc>
              <w:tc>
                <w:tcPr>
                  <w:tcW w:w="173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b/>
                      <w:bCs/>
                      <w:color w:val="auto"/>
                      <w:szCs w:val="21"/>
                      <w:highlight w:val="none"/>
                    </w:rPr>
                  </w:pPr>
                  <w:r>
                    <w:rPr>
                      <w:b/>
                      <w:bCs/>
                      <w:color w:val="auto"/>
                      <w:szCs w:val="21"/>
                      <w:highlight w:val="none"/>
                    </w:rPr>
                    <w:t>年排放量（t/a）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588" w:type="dxa"/>
                  <w:vMerge w:val="restart"/>
                  <w:tcBorders>
                    <w:top w:val="single" w:color="auto" w:sz="4" w:space="0"/>
                    <w:left w:val="single" w:color="auto" w:sz="4" w:space="0"/>
                    <w:right w:val="single" w:color="auto" w:sz="4" w:space="0"/>
                  </w:tcBorders>
                  <w:noWrap w:val="0"/>
                  <w:vAlign w:val="center"/>
                </w:tcPr>
                <w:p>
                  <w:pPr>
                    <w:adjustRightInd w:val="0"/>
                    <w:snapToGrid w:val="0"/>
                    <w:jc w:val="center"/>
                    <w:rPr>
                      <w:color w:val="auto"/>
                      <w:szCs w:val="21"/>
                      <w:highlight w:val="none"/>
                    </w:rPr>
                  </w:pPr>
                  <w:r>
                    <w:rPr>
                      <w:color w:val="auto"/>
                      <w:szCs w:val="21"/>
                      <w:highlight w:val="none"/>
                    </w:rPr>
                    <w:t>1</w:t>
                  </w:r>
                </w:p>
              </w:tc>
              <w:tc>
                <w:tcPr>
                  <w:tcW w:w="1121" w:type="dxa"/>
                  <w:vMerge w:val="restart"/>
                  <w:tcBorders>
                    <w:top w:val="single" w:color="auto" w:sz="4" w:space="0"/>
                    <w:left w:val="single" w:color="auto" w:sz="4" w:space="0"/>
                    <w:right w:val="single" w:color="auto" w:sz="4" w:space="0"/>
                  </w:tcBorders>
                  <w:noWrap w:val="0"/>
                  <w:vAlign w:val="center"/>
                </w:tcPr>
                <w:p>
                  <w:pPr>
                    <w:adjustRightInd w:val="0"/>
                    <w:snapToGrid w:val="0"/>
                    <w:jc w:val="center"/>
                    <w:rPr>
                      <w:color w:val="auto"/>
                      <w:szCs w:val="21"/>
                      <w:highlight w:val="none"/>
                    </w:rPr>
                  </w:pPr>
                  <w:r>
                    <w:rPr>
                      <w:rFonts w:hint="eastAsia"/>
                      <w:color w:val="auto"/>
                      <w:szCs w:val="21"/>
                      <w:highlight w:val="none"/>
                    </w:rPr>
                    <w:t>DW001</w:t>
                  </w:r>
                </w:p>
              </w:tc>
              <w:tc>
                <w:tcPr>
                  <w:tcW w:w="122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pH</w:t>
                  </w:r>
                </w:p>
              </w:tc>
              <w:tc>
                <w:tcPr>
                  <w:tcW w:w="186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rPr>
                    <w:t>6~9</w:t>
                  </w:r>
                </w:p>
              </w:tc>
              <w:tc>
                <w:tcPr>
                  <w:tcW w:w="170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color w:val="auto"/>
                      <w:szCs w:val="21"/>
                      <w:highlight w:val="none"/>
                      <w:lang w:val="en-US" w:eastAsia="zh-CN"/>
                    </w:rPr>
                  </w:pPr>
                  <w:r>
                    <w:rPr>
                      <w:rFonts w:hint="eastAsia"/>
                      <w:color w:val="auto"/>
                      <w:szCs w:val="21"/>
                      <w:highlight w:val="none"/>
                      <w:lang w:val="en-US" w:eastAsia="zh-CN"/>
                    </w:rPr>
                    <w:t>/</w:t>
                  </w:r>
                </w:p>
              </w:tc>
              <w:tc>
                <w:tcPr>
                  <w:tcW w:w="1738"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588" w:type="dxa"/>
                  <w:vMerge w:val="continue"/>
                  <w:tcBorders>
                    <w:left w:val="single" w:color="auto" w:sz="4" w:space="0"/>
                    <w:right w:val="single" w:color="auto" w:sz="4" w:space="0"/>
                  </w:tcBorders>
                  <w:noWrap w:val="0"/>
                  <w:vAlign w:val="center"/>
                </w:tcPr>
                <w:p>
                  <w:pPr>
                    <w:adjustRightInd w:val="0"/>
                    <w:snapToGrid w:val="0"/>
                    <w:jc w:val="center"/>
                    <w:rPr>
                      <w:color w:val="auto"/>
                      <w:szCs w:val="21"/>
                      <w:highlight w:val="none"/>
                    </w:rPr>
                  </w:pPr>
                </w:p>
              </w:tc>
              <w:tc>
                <w:tcPr>
                  <w:tcW w:w="1121" w:type="dxa"/>
                  <w:vMerge w:val="continue"/>
                  <w:tcBorders>
                    <w:left w:val="single" w:color="auto" w:sz="4" w:space="0"/>
                    <w:right w:val="single" w:color="auto" w:sz="4" w:space="0"/>
                  </w:tcBorders>
                  <w:noWrap w:val="0"/>
                  <w:vAlign w:val="center"/>
                </w:tcPr>
                <w:p>
                  <w:pPr>
                    <w:adjustRightInd w:val="0"/>
                    <w:snapToGrid w:val="0"/>
                    <w:jc w:val="center"/>
                    <w:rPr>
                      <w:color w:val="auto"/>
                      <w:szCs w:val="21"/>
                      <w:highlight w:val="none"/>
                    </w:rPr>
                  </w:pPr>
                </w:p>
              </w:tc>
              <w:tc>
                <w:tcPr>
                  <w:tcW w:w="122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rPr>
                    <w:t>COD</w:t>
                  </w:r>
                </w:p>
              </w:tc>
              <w:tc>
                <w:tcPr>
                  <w:tcW w:w="186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bidi="ar-SA"/>
                    </w:rPr>
                    <w:t>60</w:t>
                  </w:r>
                </w:p>
              </w:tc>
              <w:tc>
                <w:tcPr>
                  <w:tcW w:w="170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1738" w:type="dxa"/>
                  <w:tcBorders>
                    <w:top w:val="single" w:color="auto" w:sz="4" w:space="0"/>
                    <w:left w:val="single" w:color="auto" w:sz="4" w:space="0"/>
                    <w:bottom w:val="single" w:color="auto" w:sz="4" w:space="0"/>
                    <w:right w:val="single" w:color="auto" w:sz="4" w:space="0"/>
                  </w:tcBorders>
                  <w:noWrap w:val="0"/>
                  <w:vAlign w:val="top"/>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rPr>
                    <w:t>0.034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588" w:type="dxa"/>
                  <w:vMerge w:val="continue"/>
                  <w:tcBorders>
                    <w:left w:val="single" w:color="auto" w:sz="4" w:space="0"/>
                    <w:right w:val="single" w:color="auto" w:sz="4" w:space="0"/>
                  </w:tcBorders>
                  <w:noWrap w:val="0"/>
                  <w:vAlign w:val="center"/>
                </w:tcPr>
                <w:p>
                  <w:pPr>
                    <w:adjustRightInd w:val="0"/>
                    <w:snapToGrid w:val="0"/>
                    <w:jc w:val="center"/>
                    <w:rPr>
                      <w:color w:val="auto"/>
                      <w:szCs w:val="21"/>
                      <w:highlight w:val="none"/>
                    </w:rPr>
                  </w:pPr>
                </w:p>
              </w:tc>
              <w:tc>
                <w:tcPr>
                  <w:tcW w:w="1121" w:type="dxa"/>
                  <w:vMerge w:val="continue"/>
                  <w:tcBorders>
                    <w:left w:val="single" w:color="auto" w:sz="4" w:space="0"/>
                    <w:right w:val="single" w:color="auto" w:sz="4" w:space="0"/>
                  </w:tcBorders>
                  <w:noWrap w:val="0"/>
                  <w:vAlign w:val="center"/>
                </w:tcPr>
                <w:p>
                  <w:pPr>
                    <w:adjustRightInd w:val="0"/>
                    <w:snapToGrid w:val="0"/>
                    <w:jc w:val="center"/>
                    <w:rPr>
                      <w:color w:val="auto"/>
                      <w:szCs w:val="21"/>
                      <w:highlight w:val="none"/>
                    </w:rPr>
                  </w:pPr>
                </w:p>
              </w:tc>
              <w:tc>
                <w:tcPr>
                  <w:tcW w:w="122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subscript"/>
                      <w:lang w:val="en-US" w:eastAsia="zh-CN" w:bidi="ar-SA"/>
                    </w:rPr>
                  </w:pPr>
                  <w:r>
                    <w:rPr>
                      <w:rFonts w:hint="eastAsia" w:ascii="Times New Roman" w:hAnsi="Times New Roman" w:cs="Times New Roman"/>
                      <w:color w:val="auto"/>
                      <w:kern w:val="0"/>
                      <w:sz w:val="21"/>
                      <w:szCs w:val="21"/>
                      <w:highlight w:val="none"/>
                      <w:vertAlign w:val="baseline"/>
                      <w:lang w:val="en-US" w:eastAsia="zh-CN"/>
                    </w:rPr>
                    <w:t>BOD</w:t>
                  </w:r>
                  <w:r>
                    <w:rPr>
                      <w:rFonts w:hint="eastAsia" w:ascii="Times New Roman" w:hAnsi="Times New Roman" w:cs="Times New Roman"/>
                      <w:color w:val="auto"/>
                      <w:kern w:val="0"/>
                      <w:sz w:val="21"/>
                      <w:szCs w:val="21"/>
                      <w:highlight w:val="none"/>
                      <w:vertAlign w:val="subscript"/>
                      <w:lang w:val="en-US" w:eastAsia="zh-CN"/>
                    </w:rPr>
                    <w:t>5</w:t>
                  </w:r>
                </w:p>
              </w:tc>
              <w:tc>
                <w:tcPr>
                  <w:tcW w:w="186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bidi="ar-SA"/>
                    </w:rPr>
                    <w:t>20</w:t>
                  </w:r>
                </w:p>
              </w:tc>
              <w:tc>
                <w:tcPr>
                  <w:tcW w:w="170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1738" w:type="dxa"/>
                  <w:tcBorders>
                    <w:top w:val="single" w:color="auto" w:sz="4" w:space="0"/>
                    <w:left w:val="single" w:color="auto" w:sz="4" w:space="0"/>
                    <w:bottom w:val="single" w:color="auto" w:sz="4" w:space="0"/>
                    <w:right w:val="single" w:color="auto" w:sz="4" w:space="0"/>
                  </w:tcBorders>
                  <w:noWrap w:val="0"/>
                  <w:vAlign w:val="top"/>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rPr>
                    <w:t>0.011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588" w:type="dxa"/>
                  <w:vMerge w:val="continue"/>
                  <w:tcBorders>
                    <w:left w:val="single" w:color="auto" w:sz="4" w:space="0"/>
                    <w:right w:val="single" w:color="auto" w:sz="4" w:space="0"/>
                  </w:tcBorders>
                  <w:noWrap w:val="0"/>
                  <w:vAlign w:val="center"/>
                </w:tcPr>
                <w:p>
                  <w:pPr>
                    <w:adjustRightInd w:val="0"/>
                    <w:snapToGrid w:val="0"/>
                    <w:jc w:val="center"/>
                    <w:rPr>
                      <w:color w:val="auto"/>
                      <w:szCs w:val="21"/>
                      <w:highlight w:val="none"/>
                    </w:rPr>
                  </w:pPr>
                </w:p>
              </w:tc>
              <w:tc>
                <w:tcPr>
                  <w:tcW w:w="1121" w:type="dxa"/>
                  <w:vMerge w:val="continue"/>
                  <w:tcBorders>
                    <w:left w:val="single" w:color="auto" w:sz="4" w:space="0"/>
                    <w:right w:val="single" w:color="auto" w:sz="4" w:space="0"/>
                  </w:tcBorders>
                  <w:noWrap w:val="0"/>
                  <w:vAlign w:val="center"/>
                </w:tcPr>
                <w:p>
                  <w:pPr>
                    <w:adjustRightInd w:val="0"/>
                    <w:snapToGrid w:val="0"/>
                    <w:jc w:val="center"/>
                    <w:rPr>
                      <w:color w:val="auto"/>
                      <w:szCs w:val="21"/>
                      <w:highlight w:val="none"/>
                    </w:rPr>
                  </w:pPr>
                </w:p>
              </w:tc>
              <w:tc>
                <w:tcPr>
                  <w:tcW w:w="122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rPr>
                    <w:t>SS</w:t>
                  </w:r>
                </w:p>
              </w:tc>
              <w:tc>
                <w:tcPr>
                  <w:tcW w:w="186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bidi="ar-SA"/>
                    </w:rPr>
                    <w:t>20</w:t>
                  </w:r>
                </w:p>
              </w:tc>
              <w:tc>
                <w:tcPr>
                  <w:tcW w:w="170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1738" w:type="dxa"/>
                  <w:tcBorders>
                    <w:top w:val="single" w:color="auto" w:sz="4" w:space="0"/>
                    <w:left w:val="single" w:color="auto" w:sz="4" w:space="0"/>
                    <w:bottom w:val="single" w:color="auto" w:sz="4" w:space="0"/>
                    <w:right w:val="single" w:color="auto" w:sz="4" w:space="0"/>
                  </w:tcBorders>
                  <w:noWrap w:val="0"/>
                  <w:vAlign w:val="top"/>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rPr>
                    <w:t>0.011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588" w:type="dxa"/>
                  <w:vMerge w:val="continue"/>
                  <w:tcBorders>
                    <w:left w:val="single" w:color="auto" w:sz="4" w:space="0"/>
                    <w:right w:val="single" w:color="auto" w:sz="4" w:space="0"/>
                  </w:tcBorders>
                  <w:noWrap w:val="0"/>
                  <w:vAlign w:val="center"/>
                </w:tcPr>
                <w:p>
                  <w:pPr>
                    <w:adjustRightInd w:val="0"/>
                    <w:snapToGrid w:val="0"/>
                    <w:jc w:val="center"/>
                    <w:rPr>
                      <w:color w:val="auto"/>
                      <w:szCs w:val="21"/>
                      <w:highlight w:val="none"/>
                    </w:rPr>
                  </w:pPr>
                </w:p>
              </w:tc>
              <w:tc>
                <w:tcPr>
                  <w:tcW w:w="1121" w:type="dxa"/>
                  <w:vMerge w:val="continue"/>
                  <w:tcBorders>
                    <w:left w:val="single" w:color="auto" w:sz="4" w:space="0"/>
                    <w:right w:val="single" w:color="auto" w:sz="4" w:space="0"/>
                  </w:tcBorders>
                  <w:noWrap w:val="0"/>
                  <w:vAlign w:val="center"/>
                </w:tcPr>
                <w:p>
                  <w:pPr>
                    <w:adjustRightInd w:val="0"/>
                    <w:snapToGrid w:val="0"/>
                    <w:jc w:val="center"/>
                    <w:rPr>
                      <w:color w:val="auto"/>
                      <w:szCs w:val="21"/>
                      <w:highlight w:val="none"/>
                    </w:rPr>
                  </w:pPr>
                </w:p>
              </w:tc>
              <w:tc>
                <w:tcPr>
                  <w:tcW w:w="122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rPr>
                    <w:t>氨氮</w:t>
                  </w:r>
                </w:p>
              </w:tc>
              <w:tc>
                <w:tcPr>
                  <w:tcW w:w="186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bidi="ar-SA"/>
                    </w:rPr>
                    <w:t>8</w:t>
                  </w:r>
                </w:p>
              </w:tc>
              <w:tc>
                <w:tcPr>
                  <w:tcW w:w="170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1738" w:type="dxa"/>
                  <w:tcBorders>
                    <w:top w:val="single" w:color="auto" w:sz="4" w:space="0"/>
                    <w:left w:val="single" w:color="auto" w:sz="4" w:space="0"/>
                    <w:bottom w:val="single" w:color="auto" w:sz="4" w:space="0"/>
                    <w:right w:val="single" w:color="auto" w:sz="4" w:space="0"/>
                  </w:tcBorders>
                  <w:noWrap w:val="0"/>
                  <w:vAlign w:val="top"/>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rPr>
                    <w:t>0.004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588" w:type="dxa"/>
                  <w:vMerge w:val="continue"/>
                  <w:tcBorders>
                    <w:left w:val="single" w:color="auto" w:sz="4" w:space="0"/>
                    <w:right w:val="single" w:color="auto" w:sz="4" w:space="0"/>
                  </w:tcBorders>
                  <w:noWrap w:val="0"/>
                  <w:vAlign w:val="center"/>
                </w:tcPr>
                <w:p>
                  <w:pPr>
                    <w:adjustRightInd w:val="0"/>
                    <w:snapToGrid w:val="0"/>
                    <w:jc w:val="center"/>
                    <w:rPr>
                      <w:color w:val="auto"/>
                      <w:szCs w:val="21"/>
                      <w:highlight w:val="none"/>
                    </w:rPr>
                  </w:pPr>
                </w:p>
              </w:tc>
              <w:tc>
                <w:tcPr>
                  <w:tcW w:w="1121" w:type="dxa"/>
                  <w:vMerge w:val="continue"/>
                  <w:tcBorders>
                    <w:left w:val="single" w:color="auto" w:sz="4" w:space="0"/>
                    <w:right w:val="single" w:color="auto" w:sz="4" w:space="0"/>
                  </w:tcBorders>
                  <w:noWrap w:val="0"/>
                  <w:vAlign w:val="center"/>
                </w:tcPr>
                <w:p>
                  <w:pPr>
                    <w:adjustRightInd w:val="0"/>
                    <w:snapToGrid w:val="0"/>
                    <w:jc w:val="center"/>
                    <w:rPr>
                      <w:color w:val="auto"/>
                      <w:szCs w:val="21"/>
                      <w:highlight w:val="none"/>
                    </w:rPr>
                  </w:pPr>
                </w:p>
              </w:tc>
              <w:tc>
                <w:tcPr>
                  <w:tcW w:w="1220"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石油类</w:t>
                  </w:r>
                </w:p>
              </w:tc>
              <w:tc>
                <w:tcPr>
                  <w:tcW w:w="186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3</w:t>
                  </w:r>
                </w:p>
              </w:tc>
              <w:tc>
                <w:tcPr>
                  <w:tcW w:w="1706"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color w:val="auto"/>
                      <w:szCs w:val="21"/>
                      <w:highlight w:val="none"/>
                      <w:lang w:val="en-US" w:eastAsia="zh-CN"/>
                    </w:rPr>
                  </w:pPr>
                  <w:r>
                    <w:rPr>
                      <w:rFonts w:hint="eastAsia"/>
                      <w:color w:val="auto"/>
                      <w:szCs w:val="21"/>
                      <w:highlight w:val="none"/>
                      <w:lang w:val="en-US" w:eastAsia="zh-CN"/>
                    </w:rPr>
                    <w:t>/</w:t>
                  </w:r>
                </w:p>
              </w:tc>
              <w:tc>
                <w:tcPr>
                  <w:tcW w:w="1738" w:type="dxa"/>
                  <w:tcBorders>
                    <w:top w:val="single" w:color="auto" w:sz="4" w:space="0"/>
                    <w:left w:val="single" w:color="auto" w:sz="4" w:space="0"/>
                    <w:bottom w:val="single" w:color="auto" w:sz="4" w:space="0"/>
                    <w:right w:val="single" w:color="auto" w:sz="4" w:space="0"/>
                  </w:tcBorders>
                  <w:noWrap w:val="0"/>
                  <w:vAlign w:val="top"/>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rPr>
                    <w:t>0.002</w:t>
                  </w:r>
                </w:p>
              </w:tc>
            </w:tr>
          </w:tbl>
          <w:p>
            <w:pPr>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zh-CN" w:eastAsia="zh-CN"/>
              </w:rPr>
              <w:t>（</w:t>
            </w:r>
            <w:r>
              <w:rPr>
                <w:rFonts w:hint="eastAsia" w:ascii="Times New Roman" w:hAnsi="Times New Roman" w:eastAsia="宋体" w:cs="Times New Roman"/>
                <w:color w:val="auto"/>
                <w:kern w:val="0"/>
                <w:sz w:val="24"/>
                <w:highlight w:val="none"/>
                <w:lang w:val="en-US" w:eastAsia="zh-CN"/>
              </w:rPr>
              <w:t>3</w:t>
            </w:r>
            <w:r>
              <w:rPr>
                <w:rFonts w:hint="eastAsia" w:ascii="Times New Roman" w:hAnsi="Times New Roman" w:eastAsia="宋体" w:cs="Times New Roman"/>
                <w:color w:val="auto"/>
                <w:kern w:val="0"/>
                <w:sz w:val="24"/>
                <w:highlight w:val="none"/>
                <w:lang w:val="zh-CN" w:eastAsia="zh-CN"/>
              </w:rPr>
              <w:t>）</w:t>
            </w:r>
            <w:r>
              <w:rPr>
                <w:rFonts w:hint="eastAsia" w:ascii="Times New Roman" w:hAnsi="Times New Roman" w:eastAsia="宋体" w:cs="Times New Roman"/>
                <w:color w:val="auto"/>
                <w:kern w:val="0"/>
                <w:sz w:val="24"/>
                <w:highlight w:val="none"/>
                <w:lang w:val="en-US" w:eastAsia="zh-CN"/>
              </w:rPr>
              <w:t>监测计划</w:t>
            </w:r>
          </w:p>
          <w:p>
            <w:pPr>
              <w:spacing w:line="360" w:lineRule="auto"/>
              <w:ind w:firstLine="480" w:firstLineChars="200"/>
              <w:rPr>
                <w:rFonts w:hint="eastAsia" w:ascii="Times New Roman" w:hAnsi="Times New Roman" w:eastAsia="宋体" w:cs="Times New Roman"/>
                <w:color w:val="auto"/>
                <w:kern w:val="0"/>
                <w:sz w:val="24"/>
                <w:highlight w:val="none"/>
                <w:lang w:val="zh-CN" w:eastAsia="zh-CN"/>
              </w:rPr>
            </w:pPr>
            <w:r>
              <w:rPr>
                <w:rFonts w:hint="eastAsia" w:ascii="Times New Roman" w:hAnsi="Times New Roman" w:eastAsia="宋体" w:cs="Times New Roman"/>
                <w:color w:val="auto"/>
                <w:kern w:val="0"/>
                <w:sz w:val="24"/>
                <w:highlight w:val="none"/>
                <w:lang w:val="zh-CN" w:eastAsia="zh-CN"/>
              </w:rPr>
              <w:t>按照相关法律法规和技术规范，建设单位应组织开展环境监测活动。监测重点是对新建项目投产后的污染源进行监测，建设单位可委托具有资质的检（监）测机构开展监测。</w:t>
            </w:r>
          </w:p>
          <w:p>
            <w:pPr>
              <w:spacing w:line="360" w:lineRule="auto"/>
              <w:ind w:firstLine="480" w:firstLineChars="200"/>
              <w:rPr>
                <w:color w:val="auto"/>
                <w:sz w:val="24"/>
                <w:highlight w:val="none"/>
              </w:rPr>
            </w:pPr>
            <w:r>
              <w:rPr>
                <w:color w:val="auto"/>
                <w:kern w:val="0"/>
                <w:sz w:val="24"/>
                <w:highlight w:val="none"/>
                <w:lang w:bidi="ar"/>
              </w:rPr>
              <w:t>根据《排污许可证申请与核发技术规范 总则》（HJ942—2018）</w:t>
            </w:r>
            <w:r>
              <w:rPr>
                <w:rFonts w:hint="eastAsia"/>
                <w:color w:val="auto"/>
                <w:kern w:val="0"/>
                <w:sz w:val="24"/>
                <w:highlight w:val="none"/>
                <w:lang w:val="en-US" w:eastAsia="zh-CN" w:bidi="ar"/>
              </w:rPr>
              <w:t>、</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排污许可证申请与核发技术规范 橡胶和塑料制品工业</w:t>
            </w:r>
            <w:r>
              <w:rPr>
                <w:rFonts w:hint="eastAsia" w:cs="Times New Roman"/>
                <w:color w:val="auto"/>
                <w:kern w:val="0"/>
                <w:sz w:val="24"/>
                <w:highlight w:val="none"/>
                <w:lang w:val="en-US" w:eastAsia="zh-CN"/>
              </w:rPr>
              <w:t>》（HJ1122-2020）及《排污单位自行监测技术指南 橡胶和塑料制品》（HJ1207-2021）</w:t>
            </w:r>
            <w:r>
              <w:rPr>
                <w:color w:val="auto"/>
                <w:kern w:val="0"/>
                <w:sz w:val="24"/>
                <w:highlight w:val="none"/>
                <w:lang w:bidi="ar"/>
              </w:rPr>
              <w:t>相关要求，</w:t>
            </w:r>
            <w:r>
              <w:rPr>
                <w:color w:val="auto"/>
                <w:sz w:val="24"/>
                <w:highlight w:val="none"/>
                <w:lang w:val="zh-CN"/>
              </w:rPr>
              <w:t>项目营运</w:t>
            </w:r>
            <w:r>
              <w:rPr>
                <w:rFonts w:hint="eastAsia"/>
                <w:color w:val="auto"/>
                <w:sz w:val="24"/>
                <w:highlight w:val="none"/>
              </w:rPr>
              <w:t>期废水</w:t>
            </w:r>
            <w:r>
              <w:rPr>
                <w:color w:val="auto"/>
                <w:sz w:val="24"/>
                <w:highlight w:val="none"/>
                <w:lang w:val="zh-CN"/>
              </w:rPr>
              <w:t>监测计划如表</w:t>
            </w:r>
            <w:r>
              <w:rPr>
                <w:color w:val="auto"/>
                <w:sz w:val="24"/>
                <w:highlight w:val="none"/>
              </w:rPr>
              <w:t>4-</w:t>
            </w:r>
            <w:r>
              <w:rPr>
                <w:rFonts w:hint="eastAsia"/>
                <w:color w:val="auto"/>
                <w:sz w:val="24"/>
                <w:highlight w:val="none"/>
                <w:lang w:val="en-US" w:eastAsia="zh-CN"/>
              </w:rPr>
              <w:t>11</w:t>
            </w:r>
            <w:r>
              <w:rPr>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表4-</w:t>
            </w:r>
            <w:r>
              <w:rPr>
                <w:rFonts w:hint="eastAsia" w:cs="Times New Roman"/>
                <w:color w:val="auto"/>
                <w:kern w:val="0"/>
                <w:sz w:val="24"/>
                <w:highlight w:val="none"/>
                <w:lang w:val="en-US" w:eastAsia="zh-CN"/>
              </w:rPr>
              <w:t>11</w:t>
            </w:r>
            <w:r>
              <w:rPr>
                <w:rFonts w:hint="eastAsia" w:ascii="Times New Roman" w:hAnsi="Times New Roman" w:eastAsia="宋体" w:cs="Times New Roman"/>
                <w:color w:val="auto"/>
                <w:kern w:val="0"/>
                <w:sz w:val="24"/>
                <w:highlight w:val="none"/>
                <w:lang w:val="en-US" w:eastAsia="zh-CN"/>
              </w:rPr>
              <w:t xml:space="preserve">  运营期环境监测计划</w:t>
            </w:r>
          </w:p>
          <w:tbl>
            <w:tblPr>
              <w:tblStyle w:val="15"/>
              <w:tblW w:w="8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
            <w:tblGrid>
              <w:gridCol w:w="693"/>
              <w:gridCol w:w="1568"/>
              <w:gridCol w:w="2609"/>
              <w:gridCol w:w="3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290" w:hRule="atLeast"/>
                <w:jc w:val="center"/>
              </w:trPr>
              <w:tc>
                <w:tcPr>
                  <w:tcW w:w="693" w:type="dxa"/>
                  <w:noWrap w:val="0"/>
                  <w:vAlign w:val="center"/>
                </w:tcPr>
                <w:p>
                  <w:pPr>
                    <w:pStyle w:val="22"/>
                    <w:spacing w:line="240" w:lineRule="auto"/>
                    <w:rPr>
                      <w:b/>
                      <w:bCs/>
                      <w:color w:val="auto"/>
                      <w:sz w:val="21"/>
                      <w:szCs w:val="21"/>
                      <w:highlight w:val="none"/>
                    </w:rPr>
                  </w:pPr>
                  <w:r>
                    <w:rPr>
                      <w:b/>
                      <w:bCs/>
                      <w:color w:val="auto"/>
                      <w:sz w:val="21"/>
                      <w:szCs w:val="21"/>
                      <w:highlight w:val="none"/>
                    </w:rPr>
                    <w:t>类别</w:t>
                  </w:r>
                </w:p>
              </w:tc>
              <w:tc>
                <w:tcPr>
                  <w:tcW w:w="1568" w:type="dxa"/>
                  <w:noWrap w:val="0"/>
                  <w:vAlign w:val="center"/>
                </w:tcPr>
                <w:p>
                  <w:pPr>
                    <w:pStyle w:val="22"/>
                    <w:spacing w:line="240" w:lineRule="auto"/>
                    <w:rPr>
                      <w:b/>
                      <w:bCs/>
                      <w:color w:val="auto"/>
                      <w:sz w:val="21"/>
                      <w:szCs w:val="21"/>
                      <w:highlight w:val="none"/>
                    </w:rPr>
                  </w:pPr>
                  <w:r>
                    <w:rPr>
                      <w:b/>
                      <w:bCs/>
                      <w:color w:val="auto"/>
                      <w:sz w:val="21"/>
                      <w:szCs w:val="21"/>
                      <w:highlight w:val="none"/>
                    </w:rPr>
                    <w:t>监测位置</w:t>
                  </w:r>
                </w:p>
              </w:tc>
              <w:tc>
                <w:tcPr>
                  <w:tcW w:w="2609" w:type="dxa"/>
                  <w:noWrap w:val="0"/>
                  <w:vAlign w:val="center"/>
                </w:tcPr>
                <w:p>
                  <w:pPr>
                    <w:pStyle w:val="22"/>
                    <w:spacing w:line="240" w:lineRule="auto"/>
                    <w:rPr>
                      <w:b/>
                      <w:bCs/>
                      <w:color w:val="auto"/>
                      <w:sz w:val="21"/>
                      <w:szCs w:val="21"/>
                      <w:highlight w:val="none"/>
                    </w:rPr>
                  </w:pPr>
                  <w:r>
                    <w:rPr>
                      <w:b/>
                      <w:bCs/>
                      <w:color w:val="auto"/>
                      <w:sz w:val="21"/>
                      <w:szCs w:val="21"/>
                      <w:highlight w:val="none"/>
                    </w:rPr>
                    <w:t>监测项目</w:t>
                  </w:r>
                </w:p>
              </w:tc>
              <w:tc>
                <w:tcPr>
                  <w:tcW w:w="3488" w:type="dxa"/>
                  <w:noWrap w:val="0"/>
                  <w:vAlign w:val="center"/>
                </w:tcPr>
                <w:p>
                  <w:pPr>
                    <w:pStyle w:val="22"/>
                    <w:spacing w:line="240" w:lineRule="auto"/>
                    <w:rPr>
                      <w:b/>
                      <w:bCs/>
                      <w:color w:val="auto"/>
                      <w:sz w:val="21"/>
                      <w:szCs w:val="21"/>
                      <w:highlight w:val="none"/>
                    </w:rPr>
                  </w:pPr>
                  <w:r>
                    <w:rPr>
                      <w:b/>
                      <w:bCs/>
                      <w:color w:val="auto"/>
                      <w:sz w:val="21"/>
                      <w:szCs w:val="21"/>
                      <w:highlight w:val="none"/>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 w:hRule="atLeast"/>
                <w:jc w:val="center"/>
              </w:trPr>
              <w:tc>
                <w:tcPr>
                  <w:tcW w:w="693" w:type="dxa"/>
                  <w:noWrap w:val="0"/>
                  <w:vAlign w:val="center"/>
                </w:tcPr>
                <w:p>
                  <w:pPr>
                    <w:pStyle w:val="22"/>
                    <w:spacing w:line="240" w:lineRule="auto"/>
                    <w:rPr>
                      <w:color w:val="auto"/>
                      <w:sz w:val="21"/>
                      <w:szCs w:val="21"/>
                      <w:highlight w:val="none"/>
                    </w:rPr>
                  </w:pPr>
                  <w:r>
                    <w:rPr>
                      <w:color w:val="auto"/>
                      <w:sz w:val="21"/>
                      <w:szCs w:val="21"/>
                      <w:highlight w:val="none"/>
                    </w:rPr>
                    <w:t>废水</w:t>
                  </w:r>
                </w:p>
              </w:tc>
              <w:tc>
                <w:tcPr>
                  <w:tcW w:w="1568" w:type="dxa"/>
                  <w:noWrap w:val="0"/>
                  <w:vAlign w:val="center"/>
                </w:tcPr>
                <w:p>
                  <w:pPr>
                    <w:pStyle w:val="22"/>
                    <w:spacing w:line="240" w:lineRule="auto"/>
                    <w:rPr>
                      <w:color w:val="auto"/>
                      <w:sz w:val="21"/>
                      <w:szCs w:val="21"/>
                      <w:highlight w:val="none"/>
                    </w:rPr>
                  </w:pPr>
                  <w:r>
                    <w:rPr>
                      <w:color w:val="auto"/>
                      <w:sz w:val="21"/>
                      <w:szCs w:val="21"/>
                      <w:highlight w:val="none"/>
                    </w:rPr>
                    <w:t>生化池出口</w:t>
                  </w:r>
                </w:p>
              </w:tc>
              <w:tc>
                <w:tcPr>
                  <w:tcW w:w="2609" w:type="dxa"/>
                  <w:noWrap w:val="0"/>
                  <w:vAlign w:val="center"/>
                </w:tcPr>
                <w:p>
                  <w:pPr>
                    <w:pStyle w:val="22"/>
                    <w:spacing w:line="240" w:lineRule="auto"/>
                    <w:rPr>
                      <w:rFonts w:hint="default" w:eastAsia="宋体"/>
                      <w:bCs/>
                      <w:color w:val="auto"/>
                      <w:sz w:val="21"/>
                      <w:szCs w:val="21"/>
                      <w:highlight w:val="none"/>
                      <w:lang w:val="en-US" w:eastAsia="zh-CN"/>
                    </w:rPr>
                  </w:pPr>
                  <w:r>
                    <w:rPr>
                      <w:rFonts w:hint="eastAsia"/>
                      <w:color w:val="auto"/>
                      <w:szCs w:val="21"/>
                      <w:highlight w:val="none"/>
                      <w:lang w:val="en-US" w:eastAsia="zh-CN"/>
                    </w:rPr>
                    <w:t>pH、</w:t>
                  </w:r>
                  <w:r>
                    <w:rPr>
                      <w:color w:val="auto"/>
                      <w:szCs w:val="21"/>
                      <w:highlight w:val="none"/>
                    </w:rPr>
                    <w:t>COD</w:t>
                  </w:r>
                  <w:r>
                    <w:rPr>
                      <w:rFonts w:hint="eastAsia"/>
                      <w:color w:val="auto"/>
                      <w:szCs w:val="21"/>
                      <w:highlight w:val="none"/>
                    </w:rPr>
                    <w:t>、</w:t>
                  </w:r>
                  <w:r>
                    <w:rPr>
                      <w:color w:val="auto"/>
                      <w:szCs w:val="21"/>
                      <w:highlight w:val="none"/>
                    </w:rPr>
                    <w:t>BOD</w:t>
                  </w:r>
                  <w:r>
                    <w:rPr>
                      <w:color w:val="auto"/>
                      <w:szCs w:val="21"/>
                      <w:highlight w:val="none"/>
                      <w:vertAlign w:val="subscript"/>
                    </w:rPr>
                    <w:t>5</w:t>
                  </w:r>
                  <w:r>
                    <w:rPr>
                      <w:rFonts w:hint="eastAsia"/>
                      <w:color w:val="auto"/>
                      <w:szCs w:val="21"/>
                      <w:highlight w:val="none"/>
                      <w:vertAlign w:val="subscript"/>
                    </w:rPr>
                    <w:t>、</w:t>
                  </w:r>
                  <w:r>
                    <w:rPr>
                      <w:color w:val="auto"/>
                      <w:szCs w:val="21"/>
                      <w:highlight w:val="none"/>
                    </w:rPr>
                    <w:t>SS、氨氮</w:t>
                  </w:r>
                  <w:r>
                    <w:rPr>
                      <w:rFonts w:hint="eastAsia"/>
                      <w:color w:val="auto"/>
                      <w:szCs w:val="21"/>
                      <w:highlight w:val="none"/>
                      <w:lang w:eastAsia="zh-CN"/>
                    </w:rPr>
                    <w:t>、</w:t>
                  </w:r>
                  <w:r>
                    <w:rPr>
                      <w:rFonts w:hint="eastAsia"/>
                      <w:color w:val="auto"/>
                      <w:szCs w:val="21"/>
                      <w:highlight w:val="none"/>
                      <w:lang w:val="en-US" w:eastAsia="zh-CN"/>
                    </w:rPr>
                    <w:t>石油类</w:t>
                  </w:r>
                </w:p>
              </w:tc>
              <w:tc>
                <w:tcPr>
                  <w:tcW w:w="3488" w:type="dxa"/>
                  <w:noWrap w:val="0"/>
                  <w:vAlign w:val="center"/>
                </w:tcPr>
                <w:p>
                  <w:pPr>
                    <w:widowControl/>
                    <w:jc w:val="center"/>
                    <w:rPr>
                      <w:color w:val="auto"/>
                      <w:szCs w:val="21"/>
                      <w:highlight w:val="none"/>
                    </w:rPr>
                  </w:pPr>
                  <w:r>
                    <w:rPr>
                      <w:color w:val="auto"/>
                      <w:kern w:val="0"/>
                      <w:szCs w:val="21"/>
                      <w:highlight w:val="none"/>
                      <w:lang w:bidi="ar"/>
                    </w:rPr>
                    <w:t>竣工验收1次，</w:t>
                  </w:r>
                  <w:r>
                    <w:rPr>
                      <w:rFonts w:hint="eastAsia"/>
                      <w:color w:val="auto"/>
                      <w:kern w:val="0"/>
                      <w:szCs w:val="21"/>
                      <w:highlight w:val="none"/>
                      <w:lang w:val="en-US" w:eastAsia="zh-CN" w:bidi="ar"/>
                    </w:rPr>
                    <w:t>运营期每年监测一次</w:t>
                  </w:r>
                </w:p>
              </w:tc>
            </w:tr>
          </w:tbl>
          <w:p>
            <w:pPr>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eastAsia" w:ascii="Times New Roman" w:hAnsi="Times New Roman" w:eastAsia="宋体" w:cs="Times New Roman"/>
                <w:b w:val="0"/>
                <w:bCs w:val="0"/>
                <w:color w:val="auto"/>
                <w:kern w:val="0"/>
                <w:sz w:val="24"/>
                <w:highlight w:val="none"/>
                <w:lang w:val="en-US" w:eastAsia="zh-CN"/>
              </w:rPr>
              <w:t>3、运营期声环境影响分析及防治措施</w:t>
            </w:r>
          </w:p>
          <w:p>
            <w:pPr>
              <w:spacing w:line="360" w:lineRule="auto"/>
              <w:ind w:firstLine="480" w:firstLineChars="200"/>
              <w:rPr>
                <w:rFonts w:hint="eastAsia" w:ascii="Times New Roman" w:hAnsi="Times New Roman" w:eastAsia="宋体" w:cs="Times New Roman"/>
                <w:b w:val="0"/>
                <w:bCs w:val="0"/>
                <w:color w:val="auto"/>
                <w:kern w:val="0"/>
                <w:sz w:val="24"/>
                <w:highlight w:val="none"/>
                <w:lang w:val="en-US" w:eastAsia="zh-CN"/>
              </w:rPr>
            </w:pPr>
            <w:r>
              <w:rPr>
                <w:rFonts w:hint="eastAsia" w:ascii="Times New Roman" w:hAnsi="Times New Roman" w:eastAsia="宋体" w:cs="Times New Roman"/>
                <w:b w:val="0"/>
                <w:bCs w:val="0"/>
                <w:color w:val="auto"/>
                <w:kern w:val="0"/>
                <w:sz w:val="24"/>
                <w:highlight w:val="none"/>
                <w:lang w:val="en-US" w:eastAsia="zh-CN"/>
              </w:rPr>
              <w:t>项目运营期噪声主要来源于</w:t>
            </w:r>
            <w:r>
              <w:rPr>
                <w:rFonts w:hint="eastAsia" w:ascii="Times New Roman" w:hAnsi="Times New Roman" w:eastAsia="宋体" w:cs="Times New Roman"/>
                <w:b w:val="0"/>
                <w:bCs w:val="0"/>
                <w:color w:val="auto"/>
                <w:kern w:val="0"/>
                <w:sz w:val="24"/>
                <w:highlight w:val="none"/>
                <w:lang w:val="zh-CN" w:eastAsia="zh-CN"/>
              </w:rPr>
              <w:t>生产车间内的机械设备</w:t>
            </w:r>
            <w:r>
              <w:rPr>
                <w:rFonts w:hint="eastAsia" w:ascii="Times New Roman" w:hAnsi="Times New Roman" w:eastAsia="宋体" w:cs="Times New Roman"/>
                <w:b w:val="0"/>
                <w:bCs w:val="0"/>
                <w:color w:val="auto"/>
                <w:kern w:val="0"/>
                <w:sz w:val="24"/>
                <w:highlight w:val="none"/>
                <w:lang w:val="en-US" w:eastAsia="zh-CN"/>
              </w:rPr>
              <w:t>运行过程产生的噪声，本项目噪声源强调查清单详见下表。</w:t>
            </w:r>
          </w:p>
          <w:p>
            <w:pPr>
              <w:spacing w:line="360" w:lineRule="auto"/>
              <w:ind w:firstLine="480" w:firstLineChars="200"/>
              <w:rPr>
                <w:rFonts w:hint="eastAsia" w:ascii="Times New Roman" w:hAnsi="Times New Roman" w:eastAsia="宋体" w:cs="Times New Roman"/>
                <w:b w:val="0"/>
                <w:bCs w:val="0"/>
                <w:color w:val="auto"/>
                <w:kern w:val="0"/>
                <w:sz w:val="24"/>
                <w:highlight w:val="none"/>
                <w:lang w:val="en-US" w:eastAsia="zh-CN"/>
              </w:rPr>
            </w:pPr>
          </w:p>
          <w:p>
            <w:pPr>
              <w:spacing w:line="360" w:lineRule="auto"/>
              <w:ind w:firstLine="480" w:firstLineChars="200"/>
              <w:rPr>
                <w:rFonts w:hint="eastAsia" w:ascii="Times New Roman" w:hAnsi="Times New Roman" w:eastAsia="宋体" w:cs="Times New Roman"/>
                <w:b w:val="0"/>
                <w:bCs w:val="0"/>
                <w:color w:val="auto"/>
                <w:kern w:val="0"/>
                <w:sz w:val="24"/>
                <w:highlight w:val="none"/>
                <w:lang w:val="en-US" w:eastAsia="zh-CN"/>
              </w:rPr>
            </w:pPr>
          </w:p>
          <w:p>
            <w:pPr>
              <w:spacing w:line="360" w:lineRule="auto"/>
              <w:ind w:firstLine="480" w:firstLineChars="200"/>
              <w:rPr>
                <w:rFonts w:hint="eastAsia" w:ascii="Times New Roman" w:hAnsi="Times New Roman" w:eastAsia="宋体" w:cs="Times New Roman"/>
                <w:b w:val="0"/>
                <w:bCs w:val="0"/>
                <w:color w:val="auto"/>
                <w:kern w:val="0"/>
                <w:sz w:val="24"/>
                <w:highlight w:val="none"/>
                <w:lang w:val="en-US" w:eastAsia="zh-CN"/>
              </w:rPr>
            </w:pPr>
          </w:p>
          <w:p>
            <w:pPr>
              <w:spacing w:line="360" w:lineRule="auto"/>
              <w:ind w:firstLine="480" w:firstLineChars="200"/>
              <w:rPr>
                <w:rFonts w:hint="eastAsia" w:ascii="Times New Roman" w:hAnsi="Times New Roman" w:eastAsia="宋体" w:cs="Times New Roman"/>
                <w:b w:val="0"/>
                <w:bCs w:val="0"/>
                <w:color w:val="auto"/>
                <w:kern w:val="0"/>
                <w:sz w:val="24"/>
                <w:highlight w:val="none"/>
                <w:lang w:val="en-US" w:eastAsia="zh-CN"/>
              </w:rPr>
            </w:pPr>
          </w:p>
          <w:p>
            <w:pPr>
              <w:spacing w:line="360" w:lineRule="auto"/>
              <w:ind w:firstLine="480" w:firstLineChars="200"/>
              <w:rPr>
                <w:rFonts w:hint="eastAsia" w:ascii="Times New Roman" w:hAnsi="Times New Roman" w:eastAsia="宋体" w:cs="Times New Roman"/>
                <w:b w:val="0"/>
                <w:bCs w:val="0"/>
                <w:color w:val="auto"/>
                <w:kern w:val="0"/>
                <w:sz w:val="24"/>
                <w:highlight w:val="none"/>
                <w:lang w:val="en-US" w:eastAsia="zh-CN"/>
              </w:rPr>
            </w:pPr>
          </w:p>
          <w:p>
            <w:pPr>
              <w:spacing w:line="360" w:lineRule="auto"/>
              <w:ind w:firstLine="480" w:firstLineChars="200"/>
              <w:rPr>
                <w:rFonts w:hint="eastAsia" w:ascii="Times New Roman" w:hAnsi="Times New Roman" w:eastAsia="宋体" w:cs="Times New Roman"/>
                <w:b w:val="0"/>
                <w:bCs w:val="0"/>
                <w:color w:val="auto"/>
                <w:kern w:val="0"/>
                <w:sz w:val="24"/>
                <w:highlight w:val="none"/>
                <w:lang w:val="en-US" w:eastAsia="zh-CN"/>
              </w:rPr>
            </w:pPr>
          </w:p>
          <w:p>
            <w:pPr>
              <w:spacing w:line="360" w:lineRule="auto"/>
              <w:ind w:firstLine="480" w:firstLineChars="200"/>
              <w:rPr>
                <w:rFonts w:hint="eastAsia" w:ascii="Times New Roman" w:hAnsi="Times New Roman" w:eastAsia="宋体" w:cs="Times New Roman"/>
                <w:b w:val="0"/>
                <w:bCs w:val="0"/>
                <w:color w:val="auto"/>
                <w:kern w:val="0"/>
                <w:sz w:val="24"/>
                <w:highlight w:val="none"/>
                <w:lang w:val="en-US" w:eastAsia="zh-CN"/>
              </w:rPr>
            </w:pPr>
          </w:p>
          <w:p>
            <w:pPr>
              <w:spacing w:line="360" w:lineRule="auto"/>
              <w:ind w:firstLine="480" w:firstLineChars="200"/>
              <w:rPr>
                <w:rFonts w:hint="eastAsia" w:ascii="Times New Roman" w:hAnsi="Times New Roman" w:eastAsia="宋体" w:cs="Times New Roman"/>
                <w:b w:val="0"/>
                <w:bCs w:val="0"/>
                <w:color w:val="auto"/>
                <w:kern w:val="0"/>
                <w:sz w:val="24"/>
                <w:highlight w:val="none"/>
                <w:lang w:val="en-US" w:eastAsia="zh-CN"/>
              </w:rPr>
            </w:pPr>
          </w:p>
          <w:p>
            <w:pPr>
              <w:spacing w:line="360" w:lineRule="auto"/>
              <w:ind w:firstLine="480" w:firstLineChars="200"/>
              <w:rPr>
                <w:rFonts w:hint="eastAsia" w:ascii="Times New Roman" w:hAnsi="Times New Roman" w:eastAsia="宋体" w:cs="Times New Roman"/>
                <w:b w:val="0"/>
                <w:bCs w:val="0"/>
                <w:color w:val="auto"/>
                <w:kern w:val="0"/>
                <w:sz w:val="24"/>
                <w:highlight w:val="none"/>
                <w:lang w:val="en-US" w:eastAsia="zh-CN"/>
              </w:rPr>
            </w:pPr>
          </w:p>
          <w:p>
            <w:pPr>
              <w:spacing w:line="360" w:lineRule="auto"/>
              <w:ind w:firstLine="480" w:firstLineChars="200"/>
              <w:rPr>
                <w:rFonts w:hint="eastAsia" w:ascii="Times New Roman" w:hAnsi="Times New Roman" w:eastAsia="宋体" w:cs="Times New Roman"/>
                <w:b w:val="0"/>
                <w:bCs w:val="0"/>
                <w:color w:val="auto"/>
                <w:kern w:val="0"/>
                <w:sz w:val="24"/>
                <w:highlight w:val="none"/>
                <w:lang w:val="en-US" w:eastAsia="zh-CN"/>
              </w:rPr>
            </w:pPr>
          </w:p>
          <w:p>
            <w:pPr>
              <w:spacing w:line="360" w:lineRule="auto"/>
              <w:ind w:firstLine="480" w:firstLineChars="200"/>
              <w:rPr>
                <w:rFonts w:hint="eastAsia" w:ascii="Times New Roman" w:hAnsi="Times New Roman" w:eastAsia="宋体" w:cs="Times New Roman"/>
                <w:b w:val="0"/>
                <w:bCs w:val="0"/>
                <w:color w:val="auto"/>
                <w:kern w:val="0"/>
                <w:sz w:val="24"/>
                <w:highlight w:val="none"/>
                <w:lang w:val="en-US" w:eastAsia="zh-CN"/>
              </w:rPr>
            </w:pPr>
          </w:p>
          <w:p>
            <w:pPr>
              <w:spacing w:line="360" w:lineRule="auto"/>
              <w:ind w:firstLine="480" w:firstLineChars="200"/>
              <w:rPr>
                <w:rFonts w:hint="eastAsia" w:ascii="Times New Roman" w:hAnsi="Times New Roman" w:eastAsia="宋体" w:cs="Times New Roman"/>
                <w:b w:val="0"/>
                <w:bCs w:val="0"/>
                <w:color w:val="auto"/>
                <w:kern w:val="0"/>
                <w:sz w:val="24"/>
                <w:highlight w:val="none"/>
                <w:lang w:val="en-US" w:eastAsia="zh-CN"/>
              </w:rPr>
            </w:pPr>
          </w:p>
          <w:p>
            <w:pPr>
              <w:spacing w:line="360" w:lineRule="auto"/>
              <w:ind w:firstLine="480" w:firstLineChars="200"/>
              <w:rPr>
                <w:rFonts w:hint="eastAsia" w:ascii="Times New Roman" w:hAnsi="Times New Roman" w:eastAsia="宋体" w:cs="Times New Roman"/>
                <w:b w:val="0"/>
                <w:bCs w:val="0"/>
                <w:color w:val="auto"/>
                <w:kern w:val="0"/>
                <w:sz w:val="24"/>
                <w:highlight w:val="none"/>
                <w:lang w:val="en-US" w:eastAsia="zh-CN"/>
              </w:rPr>
            </w:pPr>
          </w:p>
          <w:p>
            <w:pPr>
              <w:spacing w:line="360" w:lineRule="auto"/>
              <w:ind w:firstLine="480" w:firstLineChars="200"/>
              <w:rPr>
                <w:rFonts w:hint="eastAsia" w:ascii="Times New Roman" w:hAnsi="Times New Roman" w:eastAsia="宋体" w:cs="Times New Roman"/>
                <w:b w:val="0"/>
                <w:bCs w:val="0"/>
                <w:color w:val="auto"/>
                <w:kern w:val="0"/>
                <w:sz w:val="24"/>
                <w:highlight w:val="none"/>
                <w:lang w:val="en-US" w:eastAsia="zh-CN"/>
              </w:rPr>
            </w:pPr>
          </w:p>
          <w:p>
            <w:pPr>
              <w:spacing w:line="360" w:lineRule="auto"/>
              <w:ind w:firstLine="480" w:firstLineChars="200"/>
              <w:rPr>
                <w:rFonts w:hint="eastAsia" w:ascii="Times New Roman" w:hAnsi="Times New Roman" w:eastAsia="宋体" w:cs="Times New Roman"/>
                <w:b w:val="0"/>
                <w:bCs w:val="0"/>
                <w:color w:val="auto"/>
                <w:kern w:val="0"/>
                <w:sz w:val="24"/>
                <w:highlight w:val="none"/>
                <w:lang w:val="en-US" w:eastAsia="zh-CN"/>
              </w:rPr>
            </w:pPr>
          </w:p>
          <w:p>
            <w:pPr>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rPr>
            </w:pPr>
          </w:p>
        </w:tc>
      </w:tr>
    </w:tbl>
    <w:p>
      <w:pPr>
        <w:pStyle w:val="2"/>
        <w:rPr>
          <w:color w:val="auto"/>
        </w:rPr>
        <w:sectPr>
          <w:pgSz w:w="11906" w:h="16838"/>
          <w:pgMar w:top="1440" w:right="1800" w:bottom="1440" w:left="1800" w:header="851" w:footer="992" w:gutter="0"/>
          <w:pgNumType w:fmt="decimal"/>
          <w:cols w:space="425" w:num="1"/>
          <w:docGrid w:type="lines" w:linePitch="312" w:charSpace="0"/>
        </w:sect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9" w:hRule="atLeast"/>
        </w:trPr>
        <w:tc>
          <w:tcPr>
            <w:tcW w:w="14174" w:type="dxa"/>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表4-</w:t>
            </w:r>
            <w:r>
              <w:rPr>
                <w:rFonts w:hint="eastAsia" w:cs="Times New Roman"/>
                <w:color w:val="auto"/>
                <w:kern w:val="0"/>
                <w:sz w:val="24"/>
                <w:highlight w:val="none"/>
                <w:lang w:val="en-US" w:eastAsia="zh-CN"/>
              </w:rPr>
              <w:t>12</w:t>
            </w:r>
            <w:r>
              <w:rPr>
                <w:rFonts w:hint="eastAsia" w:ascii="Times New Roman" w:hAnsi="Times New Roman" w:eastAsia="宋体" w:cs="Times New Roman"/>
                <w:color w:val="auto"/>
                <w:kern w:val="0"/>
                <w:sz w:val="24"/>
                <w:highlight w:val="none"/>
                <w:lang w:val="en-US" w:eastAsia="zh-CN"/>
              </w:rPr>
              <w:t xml:space="preserve"> 噪声源强调查清单</w:t>
            </w:r>
            <w:r>
              <w:rPr>
                <w:rFonts w:hint="eastAsia" w:cs="Times New Roman"/>
                <w:color w:val="auto"/>
                <w:kern w:val="0"/>
                <w:sz w:val="24"/>
                <w:highlight w:val="none"/>
                <w:lang w:val="en-US" w:eastAsia="zh-CN"/>
              </w:rPr>
              <w:t>（室内）</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
              <w:gridCol w:w="929"/>
              <w:gridCol w:w="929"/>
              <w:gridCol w:w="1187"/>
              <w:gridCol w:w="1070"/>
              <w:gridCol w:w="870"/>
              <w:gridCol w:w="945"/>
              <w:gridCol w:w="941"/>
              <w:gridCol w:w="927"/>
              <w:gridCol w:w="990"/>
              <w:gridCol w:w="981"/>
              <w:gridCol w:w="1287"/>
              <w:gridCol w:w="981"/>
              <w:gridCol w:w="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序号</w:t>
                  </w:r>
                </w:p>
              </w:tc>
              <w:tc>
                <w:tcPr>
                  <w:tcW w:w="929"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建筑物名称</w:t>
                  </w:r>
                </w:p>
              </w:tc>
              <w:tc>
                <w:tcPr>
                  <w:tcW w:w="929"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声源名称</w:t>
                  </w:r>
                </w:p>
              </w:tc>
              <w:tc>
                <w:tcPr>
                  <w:tcW w:w="1187"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型号</w:t>
                  </w:r>
                </w:p>
              </w:tc>
              <w:tc>
                <w:tcPr>
                  <w:tcW w:w="1070"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声压级/距声源距离（dB（A）/m）</w:t>
                  </w:r>
                </w:p>
              </w:tc>
              <w:tc>
                <w:tcPr>
                  <w:tcW w:w="870" w:type="dxa"/>
                  <w:vMerge w:val="restart"/>
                  <w:vAlign w:val="center"/>
                </w:tcPr>
                <w:p>
                  <w:pPr>
                    <w:pStyle w:val="22"/>
                    <w:spacing w:line="240" w:lineRule="auto"/>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声源控制措施</w:t>
                  </w:r>
                </w:p>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2813" w:type="dxa"/>
                  <w:gridSpan w:val="3"/>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空间相对位置/m</w:t>
                  </w:r>
                </w:p>
              </w:tc>
              <w:tc>
                <w:tcPr>
                  <w:tcW w:w="990"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距室内边界距离/m</w:t>
                  </w:r>
                </w:p>
              </w:tc>
              <w:tc>
                <w:tcPr>
                  <w:tcW w:w="981"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室内边界声级/dB（A）</w:t>
                  </w:r>
                </w:p>
              </w:tc>
              <w:tc>
                <w:tcPr>
                  <w:tcW w:w="1287"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运行时段</w:t>
                  </w:r>
                </w:p>
              </w:tc>
              <w:tc>
                <w:tcPr>
                  <w:tcW w:w="981"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建筑物插入损失/dB（A）</w:t>
                  </w:r>
                </w:p>
              </w:tc>
              <w:tc>
                <w:tcPr>
                  <w:tcW w:w="982" w:type="dxa"/>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18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X</w:t>
                  </w:r>
                </w:p>
              </w:tc>
              <w:tc>
                <w:tcPr>
                  <w:tcW w:w="941" w:type="dxa"/>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Y</w:t>
                  </w:r>
                </w:p>
              </w:tc>
              <w:tc>
                <w:tcPr>
                  <w:tcW w:w="927" w:type="dxa"/>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Z</w:t>
                  </w:r>
                </w:p>
              </w:tc>
              <w:tc>
                <w:tcPr>
                  <w:tcW w:w="99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81"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28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81"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82" w:type="dxa"/>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声压级/dB（A）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9"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929"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生产厂房</w:t>
                  </w:r>
                </w:p>
              </w:tc>
              <w:tc>
                <w:tcPr>
                  <w:tcW w:w="929"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片材机</w:t>
                  </w:r>
                </w:p>
              </w:tc>
              <w:tc>
                <w:tcPr>
                  <w:tcW w:w="1187"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85/1</w:t>
                  </w:r>
                </w:p>
              </w:tc>
              <w:tc>
                <w:tcPr>
                  <w:tcW w:w="870"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建筑隔声、基础减振</w:t>
                  </w:r>
                </w:p>
              </w:tc>
              <w:tc>
                <w:tcPr>
                  <w:tcW w:w="945" w:type="dxa"/>
                  <w:vMerge w:val="restart"/>
                  <w:vAlign w:val="center"/>
                </w:tcPr>
                <w:p>
                  <w:pPr>
                    <w:pStyle w:val="22"/>
                    <w:spacing w:line="240" w:lineRule="auto"/>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19.4</w:t>
                  </w:r>
                </w:p>
              </w:tc>
              <w:tc>
                <w:tcPr>
                  <w:tcW w:w="941" w:type="dxa"/>
                  <w:vMerge w:val="restart"/>
                  <w:vAlign w:val="center"/>
                </w:tcPr>
                <w:p>
                  <w:pPr>
                    <w:pStyle w:val="22"/>
                    <w:spacing w:line="240" w:lineRule="auto"/>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25.6</w:t>
                  </w:r>
                </w:p>
              </w:tc>
              <w:tc>
                <w:tcPr>
                  <w:tcW w:w="927" w:type="dxa"/>
                  <w:vMerge w:val="restart"/>
                  <w:vAlign w:val="center"/>
                </w:tcPr>
                <w:p>
                  <w:pPr>
                    <w:pStyle w:val="22"/>
                    <w:spacing w:line="240" w:lineRule="auto"/>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.2</w:t>
                  </w:r>
                </w:p>
              </w:tc>
              <w:tc>
                <w:tcPr>
                  <w:tcW w:w="990" w:type="dxa"/>
                  <w:vAlign w:val="center"/>
                </w:tcPr>
                <w:p>
                  <w:pPr>
                    <w:pStyle w:val="22"/>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lang w:val="en-US" w:eastAsia="zh-CN"/>
                    </w:rPr>
                    <w:t>（东）</w:t>
                  </w:r>
                </w:p>
              </w:tc>
              <w:tc>
                <w:tcPr>
                  <w:tcW w:w="981" w:type="dxa"/>
                  <w:vAlign w:val="center"/>
                </w:tcPr>
                <w:p>
                  <w:pPr>
                    <w:pStyle w:val="22"/>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57.4</w:t>
                  </w:r>
                </w:p>
              </w:tc>
              <w:tc>
                <w:tcPr>
                  <w:tcW w:w="1287" w:type="dxa"/>
                  <w:vMerge w:val="restart"/>
                  <w:vAlign w:val="center"/>
                </w:tcPr>
                <w:p>
                  <w:pPr>
                    <w:pStyle w:val="2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06:00~22:00</w:t>
                  </w:r>
                </w:p>
              </w:tc>
              <w:tc>
                <w:tcPr>
                  <w:tcW w:w="981" w:type="dxa"/>
                  <w:vMerge w:val="restart"/>
                  <w:vAlign w:val="center"/>
                </w:tcPr>
                <w:p>
                  <w:pPr>
                    <w:pStyle w:val="2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18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1"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dxa"/>
                  <w:vAlign w:val="center"/>
                </w:tcPr>
                <w:p>
                  <w:pPr>
                    <w:pStyle w:val="22"/>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106</w:t>
                  </w:r>
                  <w:r>
                    <w:rPr>
                      <w:rFonts w:hint="default" w:ascii="Times New Roman" w:hAnsi="Times New Roman" w:eastAsia="宋体" w:cs="Times New Roman"/>
                      <w:color w:val="auto"/>
                      <w:sz w:val="21"/>
                      <w:szCs w:val="21"/>
                      <w:highlight w:val="none"/>
                      <w:lang w:val="en-US" w:eastAsia="zh-CN"/>
                    </w:rPr>
                    <w:t>（南）</w:t>
                  </w:r>
                </w:p>
              </w:tc>
              <w:tc>
                <w:tcPr>
                  <w:tcW w:w="981" w:type="dxa"/>
                  <w:vAlign w:val="center"/>
                </w:tcPr>
                <w:p>
                  <w:pPr>
                    <w:pStyle w:val="22"/>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44.5</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18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1"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dxa"/>
                  <w:vAlign w:val="center"/>
                </w:tcPr>
                <w:p>
                  <w:pPr>
                    <w:pStyle w:val="22"/>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63</w:t>
                  </w:r>
                  <w:r>
                    <w:rPr>
                      <w:rFonts w:hint="default" w:ascii="Times New Roman" w:hAnsi="Times New Roman" w:eastAsia="宋体" w:cs="Times New Roman"/>
                      <w:color w:val="auto"/>
                      <w:sz w:val="21"/>
                      <w:szCs w:val="21"/>
                      <w:highlight w:val="none"/>
                      <w:lang w:val="en-US" w:eastAsia="zh-CN"/>
                    </w:rPr>
                    <w:t>（西）</w:t>
                  </w:r>
                </w:p>
              </w:tc>
              <w:tc>
                <w:tcPr>
                  <w:tcW w:w="981" w:type="dxa"/>
                  <w:vAlign w:val="center"/>
                </w:tcPr>
                <w:p>
                  <w:pPr>
                    <w:pStyle w:val="22"/>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49.0</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18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1"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dxa"/>
                  <w:vAlign w:val="center"/>
                </w:tcPr>
                <w:p>
                  <w:pPr>
                    <w:pStyle w:val="22"/>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49</w:t>
                  </w:r>
                  <w:r>
                    <w:rPr>
                      <w:rFonts w:hint="default" w:ascii="Times New Roman" w:hAnsi="Times New Roman" w:eastAsia="宋体" w:cs="Times New Roman"/>
                      <w:color w:val="auto"/>
                      <w:sz w:val="21"/>
                      <w:szCs w:val="21"/>
                      <w:highlight w:val="none"/>
                      <w:lang w:val="en-US" w:eastAsia="zh-CN"/>
                    </w:rPr>
                    <w:t>（北）</w:t>
                  </w:r>
                </w:p>
              </w:tc>
              <w:tc>
                <w:tcPr>
                  <w:tcW w:w="981" w:type="dxa"/>
                  <w:vAlign w:val="center"/>
                </w:tcPr>
                <w:p>
                  <w:pPr>
                    <w:pStyle w:val="22"/>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51.2</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片材机</w:t>
                  </w:r>
                </w:p>
              </w:tc>
              <w:tc>
                <w:tcPr>
                  <w:tcW w:w="1187"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85/1</w:t>
                  </w: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14.1</w:t>
                  </w:r>
                </w:p>
              </w:tc>
              <w:tc>
                <w:tcPr>
                  <w:tcW w:w="941"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26.0</w:t>
                  </w:r>
                </w:p>
              </w:tc>
              <w:tc>
                <w:tcPr>
                  <w:tcW w:w="927"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990" w:type="dxa"/>
                  <w:vAlign w:val="center"/>
                </w:tcPr>
                <w:p>
                  <w:pPr>
                    <w:pStyle w:val="22"/>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lang w:val="en-US" w:eastAsia="zh-CN"/>
                    </w:rPr>
                    <w:t>（东）</w:t>
                  </w:r>
                </w:p>
              </w:tc>
              <w:tc>
                <w:tcPr>
                  <w:tcW w:w="981" w:type="dxa"/>
                  <w:vAlign w:val="center"/>
                </w:tcPr>
                <w:p>
                  <w:pPr>
                    <w:pStyle w:val="22"/>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57.0</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restart"/>
                  <w:vAlign w:val="center"/>
                </w:tcPr>
                <w:p>
                  <w:pPr>
                    <w:pStyle w:val="2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18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1"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dxa"/>
                  <w:vAlign w:val="center"/>
                </w:tcPr>
                <w:p>
                  <w:pPr>
                    <w:pStyle w:val="22"/>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103</w:t>
                  </w:r>
                  <w:r>
                    <w:rPr>
                      <w:rFonts w:hint="default" w:ascii="Times New Roman" w:hAnsi="Times New Roman" w:eastAsia="宋体" w:cs="Times New Roman"/>
                      <w:color w:val="auto"/>
                      <w:sz w:val="21"/>
                      <w:szCs w:val="21"/>
                      <w:highlight w:val="none"/>
                      <w:lang w:val="en-US" w:eastAsia="zh-CN"/>
                    </w:rPr>
                    <w:t>（南）</w:t>
                  </w:r>
                </w:p>
              </w:tc>
              <w:tc>
                <w:tcPr>
                  <w:tcW w:w="981" w:type="dxa"/>
                  <w:vAlign w:val="center"/>
                </w:tcPr>
                <w:p>
                  <w:pPr>
                    <w:pStyle w:val="22"/>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44.7</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18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1"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dxa"/>
                  <w:vAlign w:val="center"/>
                </w:tcPr>
                <w:p>
                  <w:pPr>
                    <w:pStyle w:val="22"/>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63</w:t>
                  </w:r>
                  <w:r>
                    <w:rPr>
                      <w:rFonts w:hint="default" w:ascii="Times New Roman" w:hAnsi="Times New Roman" w:eastAsia="宋体" w:cs="Times New Roman"/>
                      <w:color w:val="auto"/>
                      <w:sz w:val="21"/>
                      <w:szCs w:val="21"/>
                      <w:highlight w:val="none"/>
                      <w:lang w:val="en-US" w:eastAsia="zh-CN"/>
                    </w:rPr>
                    <w:t>（西）</w:t>
                  </w:r>
                </w:p>
              </w:tc>
              <w:tc>
                <w:tcPr>
                  <w:tcW w:w="981" w:type="dxa"/>
                  <w:vAlign w:val="center"/>
                </w:tcPr>
                <w:p>
                  <w:pPr>
                    <w:pStyle w:val="22"/>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49.0</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18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1"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dxa"/>
                  <w:vAlign w:val="center"/>
                </w:tcPr>
                <w:p>
                  <w:pPr>
                    <w:pStyle w:val="22"/>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51</w:t>
                  </w:r>
                  <w:r>
                    <w:rPr>
                      <w:rFonts w:hint="default" w:ascii="Times New Roman" w:hAnsi="Times New Roman" w:eastAsia="宋体" w:cs="Times New Roman"/>
                      <w:color w:val="auto"/>
                      <w:sz w:val="21"/>
                      <w:szCs w:val="21"/>
                      <w:highlight w:val="none"/>
                      <w:lang w:val="en-US" w:eastAsia="zh-CN"/>
                    </w:rPr>
                    <w:t>（北）</w:t>
                  </w:r>
                </w:p>
              </w:tc>
              <w:tc>
                <w:tcPr>
                  <w:tcW w:w="981" w:type="dxa"/>
                  <w:vAlign w:val="center"/>
                </w:tcPr>
                <w:p>
                  <w:pPr>
                    <w:pStyle w:val="22"/>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50.8</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9"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打杯机</w:t>
                  </w:r>
                </w:p>
              </w:tc>
              <w:tc>
                <w:tcPr>
                  <w:tcW w:w="1187"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85/1</w:t>
                  </w: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23.7</w:t>
                  </w:r>
                </w:p>
              </w:tc>
              <w:tc>
                <w:tcPr>
                  <w:tcW w:w="941"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12.7</w:t>
                  </w:r>
                </w:p>
              </w:tc>
              <w:tc>
                <w:tcPr>
                  <w:tcW w:w="927"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.2</w:t>
                  </w:r>
                </w:p>
              </w:tc>
              <w:tc>
                <w:tcPr>
                  <w:tcW w:w="990" w:type="dxa"/>
                  <w:vAlign w:val="center"/>
                </w:tcPr>
                <w:p>
                  <w:pPr>
                    <w:pStyle w:val="22"/>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lang w:val="en-US" w:eastAsia="zh-CN"/>
                    </w:rPr>
                    <w:t>（东）</w:t>
                  </w:r>
                </w:p>
              </w:tc>
              <w:tc>
                <w:tcPr>
                  <w:tcW w:w="981" w:type="dxa"/>
                  <w:vAlign w:val="center"/>
                </w:tcPr>
                <w:p>
                  <w:pPr>
                    <w:pStyle w:val="22"/>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58.2</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restart"/>
                  <w:vAlign w:val="center"/>
                </w:tcPr>
                <w:p>
                  <w:pPr>
                    <w:pStyle w:val="2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18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1"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dxa"/>
                  <w:vAlign w:val="center"/>
                </w:tcPr>
                <w:p>
                  <w:pPr>
                    <w:pStyle w:val="22"/>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97</w:t>
                  </w:r>
                  <w:r>
                    <w:rPr>
                      <w:rFonts w:hint="default" w:ascii="Times New Roman" w:hAnsi="Times New Roman" w:eastAsia="宋体" w:cs="Times New Roman"/>
                      <w:color w:val="auto"/>
                      <w:sz w:val="21"/>
                      <w:szCs w:val="21"/>
                      <w:highlight w:val="none"/>
                      <w:lang w:val="en-US" w:eastAsia="zh-CN"/>
                    </w:rPr>
                    <w:t>（南）</w:t>
                  </w:r>
                </w:p>
              </w:tc>
              <w:tc>
                <w:tcPr>
                  <w:tcW w:w="981" w:type="dxa"/>
                  <w:vAlign w:val="center"/>
                </w:tcPr>
                <w:p>
                  <w:pPr>
                    <w:pStyle w:val="22"/>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45.3</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18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1"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dxa"/>
                  <w:vAlign w:val="center"/>
                </w:tcPr>
                <w:p>
                  <w:pPr>
                    <w:pStyle w:val="22"/>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66</w:t>
                  </w:r>
                  <w:r>
                    <w:rPr>
                      <w:rFonts w:hint="default" w:ascii="Times New Roman" w:hAnsi="Times New Roman" w:eastAsia="宋体" w:cs="Times New Roman"/>
                      <w:color w:val="auto"/>
                      <w:sz w:val="21"/>
                      <w:szCs w:val="21"/>
                      <w:highlight w:val="none"/>
                      <w:lang w:val="en-US" w:eastAsia="zh-CN"/>
                    </w:rPr>
                    <w:t>（西）</w:t>
                  </w:r>
                </w:p>
              </w:tc>
              <w:tc>
                <w:tcPr>
                  <w:tcW w:w="981" w:type="dxa"/>
                  <w:vAlign w:val="center"/>
                </w:tcPr>
                <w:p>
                  <w:pPr>
                    <w:pStyle w:val="22"/>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48.6</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18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1"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dxa"/>
                  <w:vAlign w:val="center"/>
                </w:tcPr>
                <w:p>
                  <w:pPr>
                    <w:pStyle w:val="22"/>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56</w:t>
                  </w:r>
                  <w:r>
                    <w:rPr>
                      <w:rFonts w:hint="default" w:ascii="Times New Roman" w:hAnsi="Times New Roman" w:eastAsia="宋体" w:cs="Times New Roman"/>
                      <w:color w:val="auto"/>
                      <w:sz w:val="21"/>
                      <w:szCs w:val="21"/>
                      <w:highlight w:val="none"/>
                      <w:lang w:val="en-US" w:eastAsia="zh-CN"/>
                    </w:rPr>
                    <w:t>（北）</w:t>
                  </w:r>
                </w:p>
              </w:tc>
              <w:tc>
                <w:tcPr>
                  <w:tcW w:w="981" w:type="dxa"/>
                  <w:vAlign w:val="center"/>
                </w:tcPr>
                <w:p>
                  <w:pPr>
                    <w:pStyle w:val="22"/>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50.0</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打杯机</w:t>
                  </w:r>
                </w:p>
              </w:tc>
              <w:tc>
                <w:tcPr>
                  <w:tcW w:w="1187"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85/1</w:t>
                  </w: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20.6</w:t>
                  </w:r>
                </w:p>
              </w:tc>
              <w:tc>
                <w:tcPr>
                  <w:tcW w:w="941"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12.9</w:t>
                  </w:r>
                </w:p>
              </w:tc>
              <w:tc>
                <w:tcPr>
                  <w:tcW w:w="927"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990" w:type="dxa"/>
                  <w:vAlign w:val="center"/>
                </w:tcPr>
                <w:p>
                  <w:pPr>
                    <w:pStyle w:val="22"/>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lang w:val="en-US" w:eastAsia="zh-CN"/>
                    </w:rPr>
                    <w:t>（东）</w:t>
                  </w:r>
                </w:p>
              </w:tc>
              <w:tc>
                <w:tcPr>
                  <w:tcW w:w="981" w:type="dxa"/>
                  <w:vAlign w:val="center"/>
                </w:tcPr>
                <w:p>
                  <w:pPr>
                    <w:pStyle w:val="22"/>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57.4</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restart"/>
                  <w:vAlign w:val="center"/>
                </w:tcPr>
                <w:p>
                  <w:pPr>
                    <w:pStyle w:val="2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18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1"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dxa"/>
                  <w:vAlign w:val="center"/>
                </w:tcPr>
                <w:p>
                  <w:pPr>
                    <w:pStyle w:val="22"/>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97</w:t>
                  </w:r>
                  <w:r>
                    <w:rPr>
                      <w:rFonts w:hint="default" w:ascii="Times New Roman" w:hAnsi="Times New Roman" w:eastAsia="宋体" w:cs="Times New Roman"/>
                      <w:color w:val="auto"/>
                      <w:sz w:val="21"/>
                      <w:szCs w:val="21"/>
                      <w:highlight w:val="none"/>
                      <w:lang w:val="en-US" w:eastAsia="zh-CN"/>
                    </w:rPr>
                    <w:t>（南）</w:t>
                  </w:r>
                </w:p>
              </w:tc>
              <w:tc>
                <w:tcPr>
                  <w:tcW w:w="981" w:type="dxa"/>
                  <w:vAlign w:val="center"/>
                </w:tcPr>
                <w:p>
                  <w:pPr>
                    <w:pStyle w:val="22"/>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45.3</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18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1"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dxa"/>
                  <w:vAlign w:val="center"/>
                </w:tcPr>
                <w:p>
                  <w:pPr>
                    <w:pStyle w:val="22"/>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64</w:t>
                  </w:r>
                  <w:r>
                    <w:rPr>
                      <w:rFonts w:hint="default" w:ascii="Times New Roman" w:hAnsi="Times New Roman" w:eastAsia="宋体" w:cs="Times New Roman"/>
                      <w:color w:val="auto"/>
                      <w:sz w:val="21"/>
                      <w:szCs w:val="21"/>
                      <w:highlight w:val="none"/>
                      <w:lang w:val="en-US" w:eastAsia="zh-CN"/>
                    </w:rPr>
                    <w:t>（西）</w:t>
                  </w:r>
                </w:p>
              </w:tc>
              <w:tc>
                <w:tcPr>
                  <w:tcW w:w="981" w:type="dxa"/>
                  <w:vAlign w:val="center"/>
                </w:tcPr>
                <w:p>
                  <w:pPr>
                    <w:pStyle w:val="22"/>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48.9</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18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1"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dxa"/>
                  <w:vAlign w:val="center"/>
                </w:tcPr>
                <w:p>
                  <w:pPr>
                    <w:pStyle w:val="22"/>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56</w:t>
                  </w:r>
                  <w:r>
                    <w:rPr>
                      <w:rFonts w:hint="default" w:ascii="Times New Roman" w:hAnsi="Times New Roman" w:eastAsia="宋体" w:cs="Times New Roman"/>
                      <w:color w:val="auto"/>
                      <w:sz w:val="21"/>
                      <w:szCs w:val="21"/>
                      <w:highlight w:val="none"/>
                      <w:lang w:val="en-US" w:eastAsia="zh-CN"/>
                    </w:rPr>
                    <w:t>（北）</w:t>
                  </w:r>
                </w:p>
              </w:tc>
              <w:tc>
                <w:tcPr>
                  <w:tcW w:w="981" w:type="dxa"/>
                  <w:vAlign w:val="center"/>
                </w:tcPr>
                <w:p>
                  <w:pPr>
                    <w:pStyle w:val="22"/>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50.0</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打杯机</w:t>
                  </w:r>
                </w:p>
              </w:tc>
              <w:tc>
                <w:tcPr>
                  <w:tcW w:w="1187"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85/1</w:t>
                  </w: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16.9</w:t>
                  </w:r>
                </w:p>
              </w:tc>
              <w:tc>
                <w:tcPr>
                  <w:tcW w:w="941"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13.0</w:t>
                  </w:r>
                </w:p>
              </w:tc>
              <w:tc>
                <w:tcPr>
                  <w:tcW w:w="927"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.2</w:t>
                  </w:r>
                </w:p>
              </w:tc>
              <w:tc>
                <w:tcPr>
                  <w:tcW w:w="990" w:type="dxa"/>
                  <w:vAlign w:val="center"/>
                </w:tcPr>
                <w:p>
                  <w:pPr>
                    <w:pStyle w:val="22"/>
                    <w:spacing w:line="240" w:lineRule="auto"/>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26</w:t>
                  </w:r>
                  <w:r>
                    <w:rPr>
                      <w:rFonts w:hint="default" w:ascii="Times New Roman" w:hAnsi="Times New Roman" w:eastAsia="宋体" w:cs="Times New Roman"/>
                      <w:color w:val="auto"/>
                      <w:sz w:val="21"/>
                      <w:szCs w:val="21"/>
                      <w:highlight w:val="none"/>
                      <w:lang w:val="en-US" w:eastAsia="zh-CN"/>
                    </w:rPr>
                    <w:t>（东）</w:t>
                  </w:r>
                </w:p>
              </w:tc>
              <w:tc>
                <w:tcPr>
                  <w:tcW w:w="981" w:type="dxa"/>
                  <w:vAlign w:val="center"/>
                </w:tcPr>
                <w:p>
                  <w:pPr>
                    <w:pStyle w:val="22"/>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56.7</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restart"/>
                  <w:vAlign w:val="center"/>
                </w:tcPr>
                <w:p>
                  <w:pPr>
                    <w:pStyle w:val="2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18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1"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dxa"/>
                  <w:vAlign w:val="center"/>
                </w:tcPr>
                <w:p>
                  <w:pPr>
                    <w:pStyle w:val="22"/>
                    <w:spacing w:line="240" w:lineRule="auto"/>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97</w:t>
                  </w:r>
                  <w:r>
                    <w:rPr>
                      <w:rFonts w:hint="default" w:ascii="Times New Roman" w:hAnsi="Times New Roman" w:eastAsia="宋体" w:cs="Times New Roman"/>
                      <w:color w:val="auto"/>
                      <w:sz w:val="21"/>
                      <w:szCs w:val="21"/>
                      <w:highlight w:val="none"/>
                      <w:lang w:val="en-US" w:eastAsia="zh-CN"/>
                    </w:rPr>
                    <w:t>（南）</w:t>
                  </w:r>
                </w:p>
              </w:tc>
              <w:tc>
                <w:tcPr>
                  <w:tcW w:w="981" w:type="dxa"/>
                  <w:vAlign w:val="center"/>
                </w:tcPr>
                <w:p>
                  <w:pPr>
                    <w:pStyle w:val="22"/>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45.3</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18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1"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dxa"/>
                  <w:vAlign w:val="center"/>
                </w:tcPr>
                <w:p>
                  <w:pPr>
                    <w:pStyle w:val="22"/>
                    <w:spacing w:line="240" w:lineRule="auto"/>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62</w:t>
                  </w:r>
                  <w:r>
                    <w:rPr>
                      <w:rFonts w:hint="default" w:ascii="Times New Roman" w:hAnsi="Times New Roman" w:eastAsia="宋体" w:cs="Times New Roman"/>
                      <w:color w:val="auto"/>
                      <w:sz w:val="21"/>
                      <w:szCs w:val="21"/>
                      <w:highlight w:val="none"/>
                      <w:lang w:val="en-US" w:eastAsia="zh-CN"/>
                    </w:rPr>
                    <w:t>（西）</w:t>
                  </w:r>
                </w:p>
              </w:tc>
              <w:tc>
                <w:tcPr>
                  <w:tcW w:w="981" w:type="dxa"/>
                  <w:vAlign w:val="center"/>
                </w:tcPr>
                <w:p>
                  <w:pPr>
                    <w:pStyle w:val="22"/>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49.2</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18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1"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dxa"/>
                  <w:vAlign w:val="center"/>
                </w:tcPr>
                <w:p>
                  <w:pPr>
                    <w:pStyle w:val="22"/>
                    <w:spacing w:line="240" w:lineRule="auto"/>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56</w:t>
                  </w:r>
                  <w:r>
                    <w:rPr>
                      <w:rFonts w:hint="default" w:ascii="Times New Roman" w:hAnsi="Times New Roman" w:eastAsia="宋体" w:cs="Times New Roman"/>
                      <w:color w:val="auto"/>
                      <w:sz w:val="21"/>
                      <w:szCs w:val="21"/>
                      <w:highlight w:val="none"/>
                      <w:lang w:val="en-US" w:eastAsia="zh-CN"/>
                    </w:rPr>
                    <w:t>（北）</w:t>
                  </w:r>
                </w:p>
              </w:tc>
              <w:tc>
                <w:tcPr>
                  <w:tcW w:w="981" w:type="dxa"/>
                  <w:vAlign w:val="center"/>
                </w:tcPr>
                <w:p>
                  <w:pPr>
                    <w:pStyle w:val="22"/>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50.0</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打杯机</w:t>
                  </w:r>
                </w:p>
              </w:tc>
              <w:tc>
                <w:tcPr>
                  <w:tcW w:w="1187"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85/1</w:t>
                  </w: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12.6</w:t>
                  </w:r>
                </w:p>
              </w:tc>
              <w:tc>
                <w:tcPr>
                  <w:tcW w:w="941"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12.8</w:t>
                  </w:r>
                </w:p>
              </w:tc>
              <w:tc>
                <w:tcPr>
                  <w:tcW w:w="927"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990" w:type="dxa"/>
                  <w:vAlign w:val="center"/>
                </w:tcPr>
                <w:p>
                  <w:pPr>
                    <w:pStyle w:val="22"/>
                    <w:spacing w:line="240" w:lineRule="auto"/>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28</w:t>
                  </w:r>
                  <w:r>
                    <w:rPr>
                      <w:rFonts w:hint="default" w:ascii="Times New Roman" w:hAnsi="Times New Roman" w:eastAsia="宋体" w:cs="Times New Roman"/>
                      <w:color w:val="auto"/>
                      <w:sz w:val="21"/>
                      <w:szCs w:val="21"/>
                      <w:highlight w:val="none"/>
                      <w:lang w:val="en-US" w:eastAsia="zh-CN"/>
                    </w:rPr>
                    <w:t>（东）</w:t>
                  </w:r>
                </w:p>
              </w:tc>
              <w:tc>
                <w:tcPr>
                  <w:tcW w:w="981" w:type="dxa"/>
                  <w:vAlign w:val="center"/>
                </w:tcPr>
                <w:p>
                  <w:pPr>
                    <w:pStyle w:val="22"/>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56.1</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restart"/>
                  <w:vAlign w:val="center"/>
                </w:tcPr>
                <w:p>
                  <w:pPr>
                    <w:pStyle w:val="2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18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1"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dxa"/>
                  <w:vAlign w:val="center"/>
                </w:tcPr>
                <w:p>
                  <w:pPr>
                    <w:pStyle w:val="22"/>
                    <w:spacing w:line="240" w:lineRule="auto"/>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97</w:t>
                  </w:r>
                  <w:r>
                    <w:rPr>
                      <w:rFonts w:hint="default" w:ascii="Times New Roman" w:hAnsi="Times New Roman" w:eastAsia="宋体" w:cs="Times New Roman"/>
                      <w:color w:val="auto"/>
                      <w:sz w:val="21"/>
                      <w:szCs w:val="21"/>
                      <w:highlight w:val="none"/>
                      <w:lang w:val="en-US" w:eastAsia="zh-CN"/>
                    </w:rPr>
                    <w:t>（南）</w:t>
                  </w:r>
                </w:p>
              </w:tc>
              <w:tc>
                <w:tcPr>
                  <w:tcW w:w="981" w:type="dxa"/>
                  <w:vAlign w:val="center"/>
                </w:tcPr>
                <w:p>
                  <w:pPr>
                    <w:pStyle w:val="22"/>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45.3</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18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1"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dxa"/>
                  <w:vAlign w:val="center"/>
                </w:tcPr>
                <w:p>
                  <w:pPr>
                    <w:pStyle w:val="22"/>
                    <w:spacing w:line="240" w:lineRule="auto"/>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60</w:t>
                  </w:r>
                  <w:r>
                    <w:rPr>
                      <w:rFonts w:hint="default" w:ascii="Times New Roman" w:hAnsi="Times New Roman" w:eastAsia="宋体" w:cs="Times New Roman"/>
                      <w:color w:val="auto"/>
                      <w:sz w:val="21"/>
                      <w:szCs w:val="21"/>
                      <w:highlight w:val="none"/>
                      <w:lang w:val="en-US" w:eastAsia="zh-CN"/>
                    </w:rPr>
                    <w:t>（西）</w:t>
                  </w:r>
                </w:p>
              </w:tc>
              <w:tc>
                <w:tcPr>
                  <w:tcW w:w="981" w:type="dxa"/>
                  <w:vAlign w:val="center"/>
                </w:tcPr>
                <w:p>
                  <w:pPr>
                    <w:pStyle w:val="22"/>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49.4</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18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1"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dxa"/>
                  <w:vAlign w:val="center"/>
                </w:tcPr>
                <w:p>
                  <w:pPr>
                    <w:pStyle w:val="22"/>
                    <w:spacing w:line="240" w:lineRule="auto"/>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56</w:t>
                  </w:r>
                  <w:r>
                    <w:rPr>
                      <w:rFonts w:hint="default" w:ascii="Times New Roman" w:hAnsi="Times New Roman" w:eastAsia="宋体" w:cs="Times New Roman"/>
                      <w:color w:val="auto"/>
                      <w:sz w:val="21"/>
                      <w:szCs w:val="21"/>
                      <w:highlight w:val="none"/>
                      <w:lang w:val="en-US" w:eastAsia="zh-CN"/>
                    </w:rPr>
                    <w:t>（北）</w:t>
                  </w:r>
                </w:p>
              </w:tc>
              <w:tc>
                <w:tcPr>
                  <w:tcW w:w="981" w:type="dxa"/>
                  <w:vAlign w:val="center"/>
                </w:tcPr>
                <w:p>
                  <w:pPr>
                    <w:pStyle w:val="22"/>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50.0</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多功能成型机</w:t>
                  </w:r>
                </w:p>
              </w:tc>
              <w:tc>
                <w:tcPr>
                  <w:tcW w:w="1187"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85/1</w:t>
                  </w: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24.0</w:t>
                  </w:r>
                </w:p>
              </w:tc>
              <w:tc>
                <w:tcPr>
                  <w:tcW w:w="941"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w:t>
                  </w:r>
                </w:p>
              </w:tc>
              <w:tc>
                <w:tcPr>
                  <w:tcW w:w="927"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.2</w:t>
                  </w:r>
                </w:p>
              </w:tc>
              <w:tc>
                <w:tcPr>
                  <w:tcW w:w="990" w:type="dxa"/>
                  <w:vAlign w:val="center"/>
                </w:tcPr>
                <w:p>
                  <w:pPr>
                    <w:pStyle w:val="22"/>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27</w:t>
                  </w:r>
                  <w:r>
                    <w:rPr>
                      <w:rFonts w:hint="default" w:ascii="Times New Roman" w:hAnsi="Times New Roman" w:eastAsia="宋体" w:cs="Times New Roman"/>
                      <w:color w:val="auto"/>
                      <w:sz w:val="21"/>
                      <w:szCs w:val="21"/>
                      <w:highlight w:val="none"/>
                      <w:lang w:val="en-US" w:eastAsia="zh-CN"/>
                    </w:rPr>
                    <w:t>（东）</w:t>
                  </w:r>
                </w:p>
              </w:tc>
              <w:tc>
                <w:tcPr>
                  <w:tcW w:w="981" w:type="dxa"/>
                  <w:vAlign w:val="center"/>
                </w:tcPr>
                <w:p>
                  <w:pPr>
                    <w:pStyle w:val="22"/>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56.4</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restart"/>
                  <w:vAlign w:val="center"/>
                </w:tcPr>
                <w:p>
                  <w:pPr>
                    <w:pStyle w:val="2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18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1"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dxa"/>
                  <w:vAlign w:val="center"/>
                </w:tcPr>
                <w:p>
                  <w:pPr>
                    <w:pStyle w:val="22"/>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79</w:t>
                  </w:r>
                  <w:r>
                    <w:rPr>
                      <w:rFonts w:hint="default" w:ascii="Times New Roman" w:hAnsi="Times New Roman" w:eastAsia="宋体" w:cs="Times New Roman"/>
                      <w:color w:val="auto"/>
                      <w:sz w:val="21"/>
                      <w:szCs w:val="21"/>
                      <w:highlight w:val="none"/>
                      <w:lang w:val="en-US" w:eastAsia="zh-CN"/>
                    </w:rPr>
                    <w:t>（南）</w:t>
                  </w:r>
                </w:p>
              </w:tc>
              <w:tc>
                <w:tcPr>
                  <w:tcW w:w="981" w:type="dxa"/>
                  <w:vAlign w:val="center"/>
                </w:tcPr>
                <w:p>
                  <w:pPr>
                    <w:pStyle w:val="22"/>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47.0</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18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1"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dxa"/>
                  <w:vAlign w:val="center"/>
                </w:tcPr>
                <w:p>
                  <w:pPr>
                    <w:pStyle w:val="22"/>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58</w:t>
                  </w:r>
                  <w:r>
                    <w:rPr>
                      <w:rFonts w:hint="default" w:ascii="Times New Roman" w:hAnsi="Times New Roman" w:eastAsia="宋体" w:cs="Times New Roman"/>
                      <w:color w:val="auto"/>
                      <w:sz w:val="21"/>
                      <w:szCs w:val="21"/>
                      <w:highlight w:val="none"/>
                      <w:lang w:val="en-US" w:eastAsia="zh-CN"/>
                    </w:rPr>
                    <w:t>（西）</w:t>
                  </w:r>
                </w:p>
              </w:tc>
              <w:tc>
                <w:tcPr>
                  <w:tcW w:w="981" w:type="dxa"/>
                  <w:vAlign w:val="center"/>
                </w:tcPr>
                <w:p>
                  <w:pPr>
                    <w:pStyle w:val="22"/>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49.7</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18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1"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dxa"/>
                  <w:vAlign w:val="center"/>
                </w:tcPr>
                <w:p>
                  <w:pPr>
                    <w:pStyle w:val="22"/>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63</w:t>
                  </w:r>
                  <w:r>
                    <w:rPr>
                      <w:rFonts w:hint="default" w:ascii="Times New Roman" w:hAnsi="Times New Roman" w:eastAsia="宋体" w:cs="Times New Roman"/>
                      <w:color w:val="auto"/>
                      <w:sz w:val="21"/>
                      <w:szCs w:val="21"/>
                      <w:highlight w:val="none"/>
                      <w:lang w:val="en-US" w:eastAsia="zh-CN"/>
                    </w:rPr>
                    <w:t>（北）</w:t>
                  </w:r>
                </w:p>
              </w:tc>
              <w:tc>
                <w:tcPr>
                  <w:tcW w:w="981" w:type="dxa"/>
                  <w:vAlign w:val="center"/>
                </w:tcPr>
                <w:p>
                  <w:pPr>
                    <w:pStyle w:val="22"/>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49.0</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多功能成型机</w:t>
                  </w:r>
                </w:p>
              </w:tc>
              <w:tc>
                <w:tcPr>
                  <w:tcW w:w="1187"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85/1</w:t>
                  </w: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16.6</w:t>
                  </w:r>
                </w:p>
              </w:tc>
              <w:tc>
                <w:tcPr>
                  <w:tcW w:w="941"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w:t>
                  </w:r>
                </w:p>
              </w:tc>
              <w:tc>
                <w:tcPr>
                  <w:tcW w:w="927" w:type="dxa"/>
                  <w:vMerge w:val="restart"/>
                  <w:vAlign w:val="center"/>
                </w:tcPr>
                <w:p>
                  <w:pPr>
                    <w:pStyle w:val="22"/>
                    <w:spacing w:line="240" w:lineRule="auto"/>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.2</w:t>
                  </w:r>
                </w:p>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dxa"/>
                  <w:vAlign w:val="center"/>
                </w:tcPr>
                <w:p>
                  <w:pPr>
                    <w:pStyle w:val="22"/>
                    <w:spacing w:line="240" w:lineRule="auto"/>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28</w:t>
                  </w:r>
                  <w:r>
                    <w:rPr>
                      <w:rFonts w:hint="default" w:ascii="Times New Roman" w:hAnsi="Times New Roman" w:eastAsia="宋体" w:cs="Times New Roman"/>
                      <w:color w:val="auto"/>
                      <w:sz w:val="21"/>
                      <w:szCs w:val="21"/>
                      <w:highlight w:val="none"/>
                      <w:lang w:val="en-US" w:eastAsia="zh-CN"/>
                    </w:rPr>
                    <w:t>（东）</w:t>
                  </w:r>
                </w:p>
              </w:tc>
              <w:tc>
                <w:tcPr>
                  <w:tcW w:w="981" w:type="dxa"/>
                  <w:vAlign w:val="center"/>
                </w:tcPr>
                <w:p>
                  <w:pPr>
                    <w:pStyle w:val="22"/>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56.1</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restart"/>
                  <w:vAlign w:val="center"/>
                </w:tcPr>
                <w:p>
                  <w:pPr>
                    <w:pStyle w:val="2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18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1"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dxa"/>
                  <w:vAlign w:val="center"/>
                </w:tcPr>
                <w:p>
                  <w:pPr>
                    <w:pStyle w:val="22"/>
                    <w:spacing w:line="240" w:lineRule="auto"/>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72</w:t>
                  </w:r>
                  <w:r>
                    <w:rPr>
                      <w:rFonts w:hint="default" w:ascii="Times New Roman" w:hAnsi="Times New Roman" w:eastAsia="宋体" w:cs="Times New Roman"/>
                      <w:color w:val="auto"/>
                      <w:sz w:val="21"/>
                      <w:szCs w:val="21"/>
                      <w:highlight w:val="none"/>
                      <w:lang w:val="en-US" w:eastAsia="zh-CN"/>
                    </w:rPr>
                    <w:t>（南）</w:t>
                  </w:r>
                </w:p>
              </w:tc>
              <w:tc>
                <w:tcPr>
                  <w:tcW w:w="981" w:type="dxa"/>
                  <w:vAlign w:val="center"/>
                </w:tcPr>
                <w:p>
                  <w:pPr>
                    <w:pStyle w:val="22"/>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47.9</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18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1"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dxa"/>
                  <w:vAlign w:val="center"/>
                </w:tcPr>
                <w:p>
                  <w:pPr>
                    <w:pStyle w:val="22"/>
                    <w:spacing w:line="240" w:lineRule="auto"/>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54</w:t>
                  </w:r>
                  <w:r>
                    <w:rPr>
                      <w:rFonts w:hint="default" w:ascii="Times New Roman" w:hAnsi="Times New Roman" w:eastAsia="宋体" w:cs="Times New Roman"/>
                      <w:color w:val="auto"/>
                      <w:sz w:val="21"/>
                      <w:szCs w:val="21"/>
                      <w:highlight w:val="none"/>
                      <w:lang w:val="en-US" w:eastAsia="zh-CN"/>
                    </w:rPr>
                    <w:t>（西）</w:t>
                  </w:r>
                </w:p>
              </w:tc>
              <w:tc>
                <w:tcPr>
                  <w:tcW w:w="981" w:type="dxa"/>
                  <w:vAlign w:val="center"/>
                </w:tcPr>
                <w:p>
                  <w:pPr>
                    <w:pStyle w:val="22"/>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50.4</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18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1"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dxa"/>
                  <w:vAlign w:val="center"/>
                </w:tcPr>
                <w:p>
                  <w:pPr>
                    <w:pStyle w:val="22"/>
                    <w:spacing w:line="240" w:lineRule="auto"/>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70</w:t>
                  </w:r>
                  <w:r>
                    <w:rPr>
                      <w:rFonts w:hint="default" w:ascii="Times New Roman" w:hAnsi="Times New Roman" w:eastAsia="宋体" w:cs="Times New Roman"/>
                      <w:color w:val="auto"/>
                      <w:sz w:val="21"/>
                      <w:szCs w:val="21"/>
                      <w:highlight w:val="none"/>
                      <w:lang w:val="en-US" w:eastAsia="zh-CN"/>
                    </w:rPr>
                    <w:t>（北）</w:t>
                  </w:r>
                </w:p>
              </w:tc>
              <w:tc>
                <w:tcPr>
                  <w:tcW w:w="981" w:type="dxa"/>
                  <w:vAlign w:val="center"/>
                </w:tcPr>
                <w:p>
                  <w:pPr>
                    <w:pStyle w:val="22"/>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48.1</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w:t>
                  </w: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吸塑机</w:t>
                  </w:r>
                </w:p>
              </w:tc>
              <w:tc>
                <w:tcPr>
                  <w:tcW w:w="1187"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85/1</w:t>
                  </w: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27.4</w:t>
                  </w:r>
                </w:p>
              </w:tc>
              <w:tc>
                <w:tcPr>
                  <w:tcW w:w="941"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-21.8</w:t>
                  </w:r>
                </w:p>
              </w:tc>
              <w:tc>
                <w:tcPr>
                  <w:tcW w:w="927" w:type="dxa"/>
                  <w:vMerge w:val="restart"/>
                  <w:vAlign w:val="center"/>
                </w:tcPr>
                <w:p>
                  <w:pPr>
                    <w:pStyle w:val="22"/>
                    <w:spacing w:line="240" w:lineRule="auto"/>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color w:val="auto"/>
                      <w:sz w:val="21"/>
                      <w:szCs w:val="21"/>
                      <w:highlight w:val="none"/>
                      <w:lang w:val="en-US" w:eastAsia="zh-CN"/>
                    </w:rPr>
                    <w:t>1.2</w:t>
                  </w:r>
                </w:p>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dxa"/>
                  <w:vAlign w:val="center"/>
                </w:tcPr>
                <w:p>
                  <w:pPr>
                    <w:pStyle w:val="22"/>
                    <w:spacing w:line="240" w:lineRule="auto"/>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lang w:val="en-US" w:eastAsia="zh-CN"/>
                    </w:rPr>
                    <w:t>（东）</w:t>
                  </w:r>
                </w:p>
              </w:tc>
              <w:tc>
                <w:tcPr>
                  <w:tcW w:w="981" w:type="dxa"/>
                  <w:vAlign w:val="center"/>
                </w:tcPr>
                <w:p>
                  <w:pPr>
                    <w:pStyle w:val="22"/>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57.0</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restart"/>
                  <w:vAlign w:val="center"/>
                </w:tcPr>
                <w:p>
                  <w:pPr>
                    <w:pStyle w:val="2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18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1"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dxa"/>
                  <w:vAlign w:val="center"/>
                </w:tcPr>
                <w:p>
                  <w:pPr>
                    <w:pStyle w:val="22"/>
                    <w:spacing w:line="240" w:lineRule="auto"/>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68</w:t>
                  </w:r>
                  <w:r>
                    <w:rPr>
                      <w:rFonts w:hint="default" w:ascii="Times New Roman" w:hAnsi="Times New Roman" w:eastAsia="宋体" w:cs="Times New Roman"/>
                      <w:color w:val="auto"/>
                      <w:sz w:val="21"/>
                      <w:szCs w:val="21"/>
                      <w:highlight w:val="none"/>
                      <w:lang w:val="en-US" w:eastAsia="zh-CN"/>
                    </w:rPr>
                    <w:t>（南）</w:t>
                  </w:r>
                </w:p>
              </w:tc>
              <w:tc>
                <w:tcPr>
                  <w:tcW w:w="981" w:type="dxa"/>
                  <w:vAlign w:val="center"/>
                </w:tcPr>
                <w:p>
                  <w:pPr>
                    <w:pStyle w:val="22"/>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48.3</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18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1"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dxa"/>
                  <w:vAlign w:val="center"/>
                </w:tcPr>
                <w:p>
                  <w:pPr>
                    <w:pStyle w:val="22"/>
                    <w:spacing w:line="240" w:lineRule="auto"/>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56</w:t>
                  </w:r>
                  <w:r>
                    <w:rPr>
                      <w:rFonts w:hint="default" w:ascii="Times New Roman" w:hAnsi="Times New Roman" w:eastAsia="宋体" w:cs="Times New Roman"/>
                      <w:color w:val="auto"/>
                      <w:sz w:val="21"/>
                      <w:szCs w:val="21"/>
                      <w:highlight w:val="none"/>
                      <w:lang w:val="en-US" w:eastAsia="zh-CN"/>
                    </w:rPr>
                    <w:t>（西）</w:t>
                  </w:r>
                </w:p>
              </w:tc>
              <w:tc>
                <w:tcPr>
                  <w:tcW w:w="981" w:type="dxa"/>
                  <w:vAlign w:val="center"/>
                </w:tcPr>
                <w:p>
                  <w:pPr>
                    <w:pStyle w:val="22"/>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50.0</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18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1"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dxa"/>
                  <w:vAlign w:val="center"/>
                </w:tcPr>
                <w:p>
                  <w:pPr>
                    <w:pStyle w:val="22"/>
                    <w:spacing w:line="240" w:lineRule="auto"/>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72</w:t>
                  </w:r>
                  <w:r>
                    <w:rPr>
                      <w:rFonts w:hint="default" w:ascii="Times New Roman" w:hAnsi="Times New Roman" w:eastAsia="宋体" w:cs="Times New Roman"/>
                      <w:color w:val="auto"/>
                      <w:sz w:val="21"/>
                      <w:szCs w:val="21"/>
                      <w:highlight w:val="none"/>
                      <w:lang w:val="en-US" w:eastAsia="zh-CN"/>
                    </w:rPr>
                    <w:t>（北）</w:t>
                  </w:r>
                </w:p>
              </w:tc>
              <w:tc>
                <w:tcPr>
                  <w:tcW w:w="981" w:type="dxa"/>
                  <w:vAlign w:val="center"/>
                </w:tcPr>
                <w:p>
                  <w:pPr>
                    <w:pStyle w:val="22"/>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47.9</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吸塑机</w:t>
                  </w:r>
                </w:p>
              </w:tc>
              <w:tc>
                <w:tcPr>
                  <w:tcW w:w="1187"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85/1</w:t>
                  </w: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20.7</w:t>
                  </w:r>
                </w:p>
              </w:tc>
              <w:tc>
                <w:tcPr>
                  <w:tcW w:w="941"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-21.8</w:t>
                  </w:r>
                </w:p>
              </w:tc>
              <w:tc>
                <w:tcPr>
                  <w:tcW w:w="927" w:type="dxa"/>
                  <w:vMerge w:val="restart"/>
                  <w:vAlign w:val="center"/>
                </w:tcPr>
                <w:p>
                  <w:pPr>
                    <w:pStyle w:val="22"/>
                    <w:spacing w:line="240" w:lineRule="auto"/>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.2</w:t>
                  </w:r>
                </w:p>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dxa"/>
                  <w:vAlign w:val="center"/>
                </w:tcPr>
                <w:p>
                  <w:pPr>
                    <w:pStyle w:val="22"/>
                    <w:spacing w:line="240" w:lineRule="auto"/>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lang w:val="en-US" w:eastAsia="zh-CN"/>
                    </w:rPr>
                    <w:t>（东）</w:t>
                  </w:r>
                </w:p>
              </w:tc>
              <w:tc>
                <w:tcPr>
                  <w:tcW w:w="981" w:type="dxa"/>
                  <w:vAlign w:val="center"/>
                </w:tcPr>
                <w:p>
                  <w:pPr>
                    <w:pStyle w:val="22"/>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57.8</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restart"/>
                  <w:vAlign w:val="center"/>
                </w:tcPr>
                <w:p>
                  <w:pPr>
                    <w:pStyle w:val="2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18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1"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dxa"/>
                  <w:vAlign w:val="center"/>
                </w:tcPr>
                <w:p>
                  <w:pPr>
                    <w:pStyle w:val="22"/>
                    <w:spacing w:line="240" w:lineRule="auto"/>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68</w:t>
                  </w:r>
                  <w:r>
                    <w:rPr>
                      <w:rFonts w:hint="default" w:ascii="Times New Roman" w:hAnsi="Times New Roman" w:eastAsia="宋体" w:cs="Times New Roman"/>
                      <w:color w:val="auto"/>
                      <w:sz w:val="21"/>
                      <w:szCs w:val="21"/>
                      <w:highlight w:val="none"/>
                      <w:lang w:val="en-US" w:eastAsia="zh-CN"/>
                    </w:rPr>
                    <w:t>（南）</w:t>
                  </w:r>
                </w:p>
              </w:tc>
              <w:tc>
                <w:tcPr>
                  <w:tcW w:w="981" w:type="dxa"/>
                  <w:vAlign w:val="center"/>
                </w:tcPr>
                <w:p>
                  <w:pPr>
                    <w:pStyle w:val="22"/>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48.3</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18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1"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dxa"/>
                  <w:vAlign w:val="center"/>
                </w:tcPr>
                <w:p>
                  <w:pPr>
                    <w:pStyle w:val="22"/>
                    <w:spacing w:line="240" w:lineRule="auto"/>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28</w:t>
                  </w:r>
                  <w:r>
                    <w:rPr>
                      <w:rFonts w:hint="default" w:ascii="Times New Roman" w:hAnsi="Times New Roman" w:eastAsia="宋体" w:cs="Times New Roman"/>
                      <w:color w:val="auto"/>
                      <w:sz w:val="21"/>
                      <w:szCs w:val="21"/>
                      <w:highlight w:val="none"/>
                      <w:lang w:val="en-US" w:eastAsia="zh-CN"/>
                    </w:rPr>
                    <w:t>（西）</w:t>
                  </w:r>
                </w:p>
              </w:tc>
              <w:tc>
                <w:tcPr>
                  <w:tcW w:w="981" w:type="dxa"/>
                  <w:vAlign w:val="center"/>
                </w:tcPr>
                <w:p>
                  <w:pPr>
                    <w:pStyle w:val="22"/>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56.1</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18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1"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dxa"/>
                  <w:vAlign w:val="center"/>
                </w:tcPr>
                <w:p>
                  <w:pPr>
                    <w:pStyle w:val="22"/>
                    <w:spacing w:line="240" w:lineRule="auto"/>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72</w:t>
                  </w:r>
                  <w:r>
                    <w:rPr>
                      <w:rFonts w:hint="default" w:ascii="Times New Roman" w:hAnsi="Times New Roman" w:eastAsia="宋体" w:cs="Times New Roman"/>
                      <w:color w:val="auto"/>
                      <w:sz w:val="21"/>
                      <w:szCs w:val="21"/>
                      <w:highlight w:val="none"/>
                      <w:lang w:val="en-US" w:eastAsia="zh-CN"/>
                    </w:rPr>
                    <w:t>（北）</w:t>
                  </w:r>
                </w:p>
              </w:tc>
              <w:tc>
                <w:tcPr>
                  <w:tcW w:w="981" w:type="dxa"/>
                  <w:vAlign w:val="center"/>
                </w:tcPr>
                <w:p>
                  <w:pPr>
                    <w:pStyle w:val="22"/>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47.9</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w:t>
                  </w: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吸塑机</w:t>
                  </w:r>
                </w:p>
              </w:tc>
              <w:tc>
                <w:tcPr>
                  <w:tcW w:w="1187"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85/1</w:t>
                  </w: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12.9</w:t>
                  </w:r>
                </w:p>
              </w:tc>
              <w:tc>
                <w:tcPr>
                  <w:tcW w:w="941"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-21.6</w:t>
                  </w:r>
                </w:p>
              </w:tc>
              <w:tc>
                <w:tcPr>
                  <w:tcW w:w="927"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990" w:type="dxa"/>
                  <w:vAlign w:val="center"/>
                </w:tcPr>
                <w:p>
                  <w:pPr>
                    <w:pStyle w:val="22"/>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21</w:t>
                  </w:r>
                  <w:r>
                    <w:rPr>
                      <w:rFonts w:hint="default" w:ascii="Times New Roman" w:hAnsi="Times New Roman" w:eastAsia="宋体" w:cs="Times New Roman"/>
                      <w:color w:val="auto"/>
                      <w:sz w:val="21"/>
                      <w:szCs w:val="21"/>
                      <w:highlight w:val="none"/>
                      <w:lang w:val="en-US" w:eastAsia="zh-CN"/>
                    </w:rPr>
                    <w:t>（东）</w:t>
                  </w:r>
                </w:p>
              </w:tc>
              <w:tc>
                <w:tcPr>
                  <w:tcW w:w="981" w:type="dxa"/>
                  <w:vAlign w:val="center"/>
                </w:tcPr>
                <w:p>
                  <w:pPr>
                    <w:pStyle w:val="22"/>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58.6</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restart"/>
                  <w:vAlign w:val="center"/>
                </w:tcPr>
                <w:p>
                  <w:pPr>
                    <w:pStyle w:val="2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18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1"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dxa"/>
                  <w:vAlign w:val="center"/>
                </w:tcPr>
                <w:p>
                  <w:pPr>
                    <w:pStyle w:val="22"/>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68</w:t>
                  </w:r>
                  <w:r>
                    <w:rPr>
                      <w:rFonts w:hint="default" w:ascii="Times New Roman" w:hAnsi="Times New Roman" w:eastAsia="宋体" w:cs="Times New Roman"/>
                      <w:color w:val="auto"/>
                      <w:sz w:val="21"/>
                      <w:szCs w:val="21"/>
                      <w:highlight w:val="none"/>
                      <w:lang w:val="en-US" w:eastAsia="zh-CN"/>
                    </w:rPr>
                    <w:t>（南）</w:t>
                  </w:r>
                </w:p>
              </w:tc>
              <w:tc>
                <w:tcPr>
                  <w:tcW w:w="981" w:type="dxa"/>
                  <w:vAlign w:val="center"/>
                </w:tcPr>
                <w:p>
                  <w:pPr>
                    <w:pStyle w:val="22"/>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48.3</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18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1"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dxa"/>
                  <w:vAlign w:val="center"/>
                </w:tcPr>
                <w:p>
                  <w:pPr>
                    <w:pStyle w:val="22"/>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60</w:t>
                  </w:r>
                  <w:r>
                    <w:rPr>
                      <w:rFonts w:hint="default" w:ascii="Times New Roman" w:hAnsi="Times New Roman" w:eastAsia="宋体" w:cs="Times New Roman"/>
                      <w:color w:val="auto"/>
                      <w:sz w:val="21"/>
                      <w:szCs w:val="21"/>
                      <w:highlight w:val="none"/>
                      <w:lang w:val="en-US" w:eastAsia="zh-CN"/>
                    </w:rPr>
                    <w:t>（西）</w:t>
                  </w:r>
                </w:p>
              </w:tc>
              <w:tc>
                <w:tcPr>
                  <w:tcW w:w="981" w:type="dxa"/>
                  <w:vAlign w:val="center"/>
                </w:tcPr>
                <w:p>
                  <w:pPr>
                    <w:pStyle w:val="22"/>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49.4</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18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1"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dxa"/>
                  <w:vAlign w:val="center"/>
                </w:tcPr>
                <w:p>
                  <w:pPr>
                    <w:pStyle w:val="22"/>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72</w:t>
                  </w:r>
                  <w:r>
                    <w:rPr>
                      <w:rFonts w:hint="default" w:ascii="Times New Roman" w:hAnsi="Times New Roman" w:eastAsia="宋体" w:cs="Times New Roman"/>
                      <w:color w:val="auto"/>
                      <w:sz w:val="21"/>
                      <w:szCs w:val="21"/>
                      <w:highlight w:val="none"/>
                      <w:lang w:val="en-US" w:eastAsia="zh-CN"/>
                    </w:rPr>
                    <w:t>（北）</w:t>
                  </w:r>
                </w:p>
              </w:tc>
              <w:tc>
                <w:tcPr>
                  <w:tcW w:w="981" w:type="dxa"/>
                  <w:vAlign w:val="center"/>
                </w:tcPr>
                <w:p>
                  <w:pPr>
                    <w:pStyle w:val="22"/>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47.9</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9"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929"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螺杆式空压机</w:t>
                  </w:r>
                </w:p>
              </w:tc>
              <w:tc>
                <w:tcPr>
                  <w:tcW w:w="1187"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85/1</w:t>
                  </w:r>
                </w:p>
              </w:tc>
              <w:tc>
                <w:tcPr>
                  <w:tcW w:w="870"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27.6</w:t>
                  </w:r>
                </w:p>
              </w:tc>
              <w:tc>
                <w:tcPr>
                  <w:tcW w:w="941"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9.5</w:t>
                  </w:r>
                </w:p>
              </w:tc>
              <w:tc>
                <w:tcPr>
                  <w:tcW w:w="927"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990" w:type="dxa"/>
                  <w:vAlign w:val="center"/>
                </w:tcPr>
                <w:p>
                  <w:pPr>
                    <w:pStyle w:val="22"/>
                    <w:spacing w:line="240" w:lineRule="auto"/>
                    <w:jc w:val="center"/>
                    <w:rPr>
                      <w:rFonts w:hint="eastAsia"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17</w:t>
                  </w:r>
                  <w:r>
                    <w:rPr>
                      <w:rFonts w:hint="default" w:ascii="Times New Roman" w:hAnsi="Times New Roman" w:eastAsia="宋体" w:cs="Times New Roman"/>
                      <w:color w:val="auto"/>
                      <w:sz w:val="21"/>
                      <w:szCs w:val="21"/>
                      <w:highlight w:val="none"/>
                      <w:lang w:val="en-US" w:eastAsia="zh-CN"/>
                    </w:rPr>
                    <w:t>（东）</w:t>
                  </w:r>
                </w:p>
              </w:tc>
              <w:tc>
                <w:tcPr>
                  <w:tcW w:w="981"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60.4</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restart"/>
                  <w:vAlign w:val="center"/>
                </w:tcPr>
                <w:p>
                  <w:pPr>
                    <w:pStyle w:val="2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18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1"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dxa"/>
                  <w:vAlign w:val="center"/>
                </w:tcPr>
                <w:p>
                  <w:pPr>
                    <w:pStyle w:val="22"/>
                    <w:spacing w:line="240" w:lineRule="auto"/>
                    <w:jc w:val="center"/>
                    <w:rPr>
                      <w:rFonts w:hint="eastAsia"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90</w:t>
                  </w:r>
                  <w:r>
                    <w:rPr>
                      <w:rFonts w:hint="default" w:ascii="Times New Roman" w:hAnsi="Times New Roman" w:eastAsia="宋体" w:cs="Times New Roman"/>
                      <w:color w:val="auto"/>
                      <w:sz w:val="21"/>
                      <w:szCs w:val="21"/>
                      <w:highlight w:val="none"/>
                      <w:lang w:val="en-US" w:eastAsia="zh-CN"/>
                    </w:rPr>
                    <w:t>（南）</w:t>
                  </w:r>
                </w:p>
              </w:tc>
              <w:tc>
                <w:tcPr>
                  <w:tcW w:w="981"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45.9</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18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1"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dxa"/>
                  <w:vAlign w:val="center"/>
                </w:tcPr>
                <w:p>
                  <w:pPr>
                    <w:pStyle w:val="22"/>
                    <w:spacing w:line="240" w:lineRule="auto"/>
                    <w:jc w:val="center"/>
                    <w:rPr>
                      <w:rFonts w:hint="eastAsia"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62</w:t>
                  </w:r>
                  <w:r>
                    <w:rPr>
                      <w:rFonts w:hint="default" w:ascii="Times New Roman" w:hAnsi="Times New Roman" w:eastAsia="宋体" w:cs="Times New Roman"/>
                      <w:color w:val="auto"/>
                      <w:sz w:val="21"/>
                      <w:szCs w:val="21"/>
                      <w:highlight w:val="none"/>
                      <w:lang w:val="en-US" w:eastAsia="zh-CN"/>
                    </w:rPr>
                    <w:t>（西）</w:t>
                  </w:r>
                </w:p>
              </w:tc>
              <w:tc>
                <w:tcPr>
                  <w:tcW w:w="981"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49.2</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18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1"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dxa"/>
                  <w:vAlign w:val="center"/>
                </w:tcPr>
                <w:p>
                  <w:pPr>
                    <w:pStyle w:val="22"/>
                    <w:spacing w:line="240" w:lineRule="auto"/>
                    <w:jc w:val="center"/>
                    <w:rPr>
                      <w:rFonts w:hint="eastAsia"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46</w:t>
                  </w:r>
                  <w:r>
                    <w:rPr>
                      <w:rFonts w:hint="default" w:ascii="Times New Roman" w:hAnsi="Times New Roman" w:eastAsia="宋体" w:cs="Times New Roman"/>
                      <w:color w:val="auto"/>
                      <w:sz w:val="21"/>
                      <w:szCs w:val="21"/>
                      <w:highlight w:val="none"/>
                      <w:lang w:val="en-US" w:eastAsia="zh-CN"/>
                    </w:rPr>
                    <w:t>（北）</w:t>
                  </w:r>
                </w:p>
              </w:tc>
              <w:tc>
                <w:tcPr>
                  <w:tcW w:w="981"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51.7</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w:t>
                  </w: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螺杆式空压机</w:t>
                  </w:r>
                </w:p>
              </w:tc>
              <w:tc>
                <w:tcPr>
                  <w:tcW w:w="1187"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85/1</w:t>
                  </w:r>
                </w:p>
              </w:tc>
              <w:tc>
                <w:tcPr>
                  <w:tcW w:w="870"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27.7</w:t>
                  </w:r>
                </w:p>
              </w:tc>
              <w:tc>
                <w:tcPr>
                  <w:tcW w:w="941"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5.8</w:t>
                  </w:r>
                </w:p>
              </w:tc>
              <w:tc>
                <w:tcPr>
                  <w:tcW w:w="927"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990" w:type="dxa"/>
                  <w:vAlign w:val="center"/>
                </w:tcPr>
                <w:p>
                  <w:pPr>
                    <w:pStyle w:val="22"/>
                    <w:spacing w:line="240" w:lineRule="auto"/>
                    <w:jc w:val="center"/>
                    <w:rPr>
                      <w:rFonts w:hint="eastAsia"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18</w:t>
                  </w:r>
                  <w:r>
                    <w:rPr>
                      <w:rFonts w:hint="default" w:ascii="Times New Roman" w:hAnsi="Times New Roman" w:eastAsia="宋体" w:cs="Times New Roman"/>
                      <w:color w:val="auto"/>
                      <w:sz w:val="21"/>
                      <w:szCs w:val="21"/>
                      <w:highlight w:val="none"/>
                      <w:lang w:val="en-US" w:eastAsia="zh-CN"/>
                    </w:rPr>
                    <w:t>（东）</w:t>
                  </w:r>
                </w:p>
              </w:tc>
              <w:tc>
                <w:tcPr>
                  <w:tcW w:w="981"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59.9</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restart"/>
                  <w:vAlign w:val="center"/>
                </w:tcPr>
                <w:p>
                  <w:pPr>
                    <w:pStyle w:val="2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18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1"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dxa"/>
                  <w:vAlign w:val="center"/>
                </w:tcPr>
                <w:p>
                  <w:pPr>
                    <w:pStyle w:val="22"/>
                    <w:spacing w:line="240" w:lineRule="auto"/>
                    <w:jc w:val="center"/>
                    <w:rPr>
                      <w:rFonts w:hint="eastAsia"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88</w:t>
                  </w:r>
                  <w:r>
                    <w:rPr>
                      <w:rFonts w:hint="default" w:ascii="Times New Roman" w:hAnsi="Times New Roman" w:eastAsia="宋体" w:cs="Times New Roman"/>
                      <w:color w:val="auto"/>
                      <w:sz w:val="21"/>
                      <w:szCs w:val="21"/>
                      <w:highlight w:val="none"/>
                      <w:lang w:val="en-US" w:eastAsia="zh-CN"/>
                    </w:rPr>
                    <w:t>（南）</w:t>
                  </w:r>
                </w:p>
              </w:tc>
              <w:tc>
                <w:tcPr>
                  <w:tcW w:w="981"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46.1</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18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1"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dxa"/>
                  <w:vAlign w:val="center"/>
                </w:tcPr>
                <w:p>
                  <w:pPr>
                    <w:pStyle w:val="22"/>
                    <w:spacing w:line="240" w:lineRule="auto"/>
                    <w:jc w:val="center"/>
                    <w:rPr>
                      <w:rFonts w:hint="eastAsia"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61</w:t>
                  </w:r>
                  <w:r>
                    <w:rPr>
                      <w:rFonts w:hint="default" w:ascii="Times New Roman" w:hAnsi="Times New Roman" w:eastAsia="宋体" w:cs="Times New Roman"/>
                      <w:color w:val="auto"/>
                      <w:sz w:val="21"/>
                      <w:szCs w:val="21"/>
                      <w:highlight w:val="none"/>
                      <w:lang w:val="en-US" w:eastAsia="zh-CN"/>
                    </w:rPr>
                    <w:t>（西）</w:t>
                  </w:r>
                </w:p>
              </w:tc>
              <w:tc>
                <w:tcPr>
                  <w:tcW w:w="981"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49.3</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9"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18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0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8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5"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41"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2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90" w:type="dxa"/>
                  <w:vAlign w:val="center"/>
                </w:tcPr>
                <w:p>
                  <w:pPr>
                    <w:pStyle w:val="22"/>
                    <w:spacing w:line="240" w:lineRule="auto"/>
                    <w:jc w:val="center"/>
                    <w:rPr>
                      <w:rFonts w:hint="eastAsia"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47</w:t>
                  </w:r>
                  <w:r>
                    <w:rPr>
                      <w:rFonts w:hint="default" w:ascii="Times New Roman" w:hAnsi="Times New Roman" w:eastAsia="宋体" w:cs="Times New Roman"/>
                      <w:color w:val="auto"/>
                      <w:sz w:val="21"/>
                      <w:szCs w:val="21"/>
                      <w:highlight w:val="none"/>
                      <w:lang w:val="en-US" w:eastAsia="zh-CN"/>
                    </w:rPr>
                    <w:t>（北）</w:t>
                  </w:r>
                </w:p>
              </w:tc>
              <w:tc>
                <w:tcPr>
                  <w:tcW w:w="981"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51.6</w:t>
                  </w:r>
                </w:p>
              </w:tc>
              <w:tc>
                <w:tcPr>
                  <w:tcW w:w="1287"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1" w:type="dxa"/>
                  <w:vMerge w:val="continue"/>
                  <w:vAlign w:val="center"/>
                </w:tcPr>
                <w:p>
                  <w:pPr>
                    <w:pStyle w:val="22"/>
                    <w:spacing w:line="240" w:lineRule="auto"/>
                    <w:jc w:val="center"/>
                    <w:rPr>
                      <w:rFonts w:hint="default" w:cs="Times New Roman"/>
                      <w:color w:val="auto"/>
                      <w:sz w:val="21"/>
                      <w:szCs w:val="21"/>
                      <w:highlight w:val="none"/>
                      <w:lang w:val="en-US" w:eastAsia="zh-CN"/>
                    </w:rPr>
                  </w:pPr>
                </w:p>
              </w:tc>
              <w:tc>
                <w:tcPr>
                  <w:tcW w:w="982" w:type="dxa"/>
                  <w:vAlign w:val="center"/>
                </w:tcPr>
                <w:p>
                  <w:pPr>
                    <w:pStyle w:val="22"/>
                    <w:spacing w:line="240" w:lineRule="auto"/>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31.6</w:t>
                  </w:r>
                </w:p>
              </w:tc>
            </w:tr>
          </w:tbl>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表4-</w:t>
            </w:r>
            <w:r>
              <w:rPr>
                <w:rFonts w:hint="eastAsia" w:cs="Times New Roman"/>
                <w:color w:val="auto"/>
                <w:kern w:val="0"/>
                <w:sz w:val="24"/>
                <w:highlight w:val="none"/>
                <w:lang w:val="en-US" w:eastAsia="zh-CN"/>
              </w:rPr>
              <w:t>13</w:t>
            </w:r>
            <w:r>
              <w:rPr>
                <w:rFonts w:hint="eastAsia" w:ascii="Times New Roman" w:hAnsi="Times New Roman" w:eastAsia="宋体" w:cs="Times New Roman"/>
                <w:color w:val="auto"/>
                <w:kern w:val="0"/>
                <w:sz w:val="24"/>
                <w:highlight w:val="none"/>
                <w:lang w:val="en-US" w:eastAsia="zh-CN"/>
              </w:rPr>
              <w:t xml:space="preserve"> 噪声源强调查清单</w:t>
            </w:r>
            <w:r>
              <w:rPr>
                <w:rFonts w:hint="eastAsia" w:cs="Times New Roman"/>
                <w:color w:val="auto"/>
                <w:kern w:val="0"/>
                <w:sz w:val="24"/>
                <w:highlight w:val="none"/>
                <w:lang w:val="en-US" w:eastAsia="zh-CN"/>
              </w:rPr>
              <w:t>（室外）</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1620"/>
              <w:gridCol w:w="1335"/>
              <w:gridCol w:w="915"/>
              <w:gridCol w:w="975"/>
              <w:gridCol w:w="990"/>
              <w:gridCol w:w="1970"/>
              <w:gridCol w:w="3868"/>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序号</w:t>
                  </w:r>
                </w:p>
              </w:tc>
              <w:tc>
                <w:tcPr>
                  <w:tcW w:w="1620"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声源名称</w:t>
                  </w:r>
                </w:p>
              </w:tc>
              <w:tc>
                <w:tcPr>
                  <w:tcW w:w="1335"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型号</w:t>
                  </w:r>
                </w:p>
              </w:tc>
              <w:tc>
                <w:tcPr>
                  <w:tcW w:w="2880" w:type="dxa"/>
                  <w:gridSpan w:val="3"/>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空间相对位置/m</w:t>
                  </w:r>
                </w:p>
              </w:tc>
              <w:tc>
                <w:tcPr>
                  <w:tcW w:w="1970"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声功率级/dB（A）</w:t>
                  </w:r>
                </w:p>
              </w:tc>
              <w:tc>
                <w:tcPr>
                  <w:tcW w:w="3868"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声源控制措施</w:t>
                  </w:r>
                </w:p>
              </w:tc>
              <w:tc>
                <w:tcPr>
                  <w:tcW w:w="1407"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62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335"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915" w:type="dxa"/>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X</w:t>
                  </w:r>
                </w:p>
              </w:tc>
              <w:tc>
                <w:tcPr>
                  <w:tcW w:w="975" w:type="dxa"/>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Y</w:t>
                  </w:r>
                </w:p>
              </w:tc>
              <w:tc>
                <w:tcPr>
                  <w:tcW w:w="990" w:type="dxa"/>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Z</w:t>
                  </w:r>
                </w:p>
              </w:tc>
              <w:tc>
                <w:tcPr>
                  <w:tcW w:w="1970"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3868"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c>
                <w:tcPr>
                  <w:tcW w:w="1407" w:type="dxa"/>
                  <w:vMerge w:val="continue"/>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620" w:type="dxa"/>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冷却水塔</w:t>
                  </w:r>
                </w:p>
              </w:tc>
              <w:tc>
                <w:tcPr>
                  <w:tcW w:w="1335" w:type="dxa"/>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915" w:type="dxa"/>
                  <w:vAlign w:val="center"/>
                </w:tcPr>
                <w:p>
                  <w:pPr>
                    <w:pStyle w:val="22"/>
                    <w:spacing w:line="240" w:lineRule="auto"/>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33.7</w:t>
                  </w:r>
                </w:p>
              </w:tc>
              <w:tc>
                <w:tcPr>
                  <w:tcW w:w="975" w:type="dxa"/>
                  <w:vAlign w:val="center"/>
                </w:tcPr>
                <w:p>
                  <w:pPr>
                    <w:pStyle w:val="22"/>
                    <w:spacing w:line="240" w:lineRule="auto"/>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3.1</w:t>
                  </w:r>
                </w:p>
              </w:tc>
              <w:tc>
                <w:tcPr>
                  <w:tcW w:w="990" w:type="dxa"/>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1970" w:type="dxa"/>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3868" w:type="dxa"/>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基础减震、选用低噪声设备、定期维护</w:t>
                  </w:r>
                </w:p>
              </w:tc>
              <w:tc>
                <w:tcPr>
                  <w:tcW w:w="1407" w:type="dxa"/>
                  <w:vMerge w:val="restart"/>
                  <w:vAlign w:val="center"/>
                </w:tcPr>
                <w:p>
                  <w:pPr>
                    <w:pStyle w:val="22"/>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06:00~22:00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vAlign w:val="center"/>
                </w:tcPr>
                <w:p>
                  <w:pPr>
                    <w:pStyle w:val="2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620" w:type="dxa"/>
                  <w:vAlign w:val="center"/>
                </w:tcPr>
                <w:p>
                  <w:pPr>
                    <w:pStyle w:val="2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风机</w:t>
                  </w:r>
                </w:p>
              </w:tc>
              <w:tc>
                <w:tcPr>
                  <w:tcW w:w="1335" w:type="dxa"/>
                  <w:vAlign w:val="center"/>
                </w:tcPr>
                <w:p>
                  <w:pPr>
                    <w:pStyle w:val="2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915" w:type="dxa"/>
                  <w:vAlign w:val="center"/>
                </w:tcPr>
                <w:p>
                  <w:pPr>
                    <w:pStyle w:val="22"/>
                    <w:spacing w:line="240" w:lineRule="auto"/>
                    <w:jc w:val="center"/>
                    <w:rPr>
                      <w:rFonts w:hint="default"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25.4</w:t>
                  </w:r>
                </w:p>
              </w:tc>
              <w:tc>
                <w:tcPr>
                  <w:tcW w:w="975" w:type="dxa"/>
                  <w:vAlign w:val="center"/>
                </w:tcPr>
                <w:p>
                  <w:pPr>
                    <w:pStyle w:val="22"/>
                    <w:spacing w:line="240" w:lineRule="auto"/>
                    <w:jc w:val="center"/>
                    <w:rPr>
                      <w:rFonts w:hint="default"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-6.5</w:t>
                  </w:r>
                </w:p>
              </w:tc>
              <w:tc>
                <w:tcPr>
                  <w:tcW w:w="990" w:type="dxa"/>
                  <w:vAlign w:val="center"/>
                </w:tcPr>
                <w:p>
                  <w:pPr>
                    <w:pStyle w:val="2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1970" w:type="dxa"/>
                  <w:vAlign w:val="center"/>
                </w:tcPr>
                <w:p>
                  <w:pPr>
                    <w:pStyle w:val="22"/>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3868" w:type="dxa"/>
                  <w:vAlign w:val="center"/>
                </w:tcPr>
                <w:p>
                  <w:pPr>
                    <w:pStyle w:val="22"/>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选用低噪声设备、定期维护</w:t>
                  </w:r>
                </w:p>
              </w:tc>
              <w:tc>
                <w:tcPr>
                  <w:tcW w:w="1407" w:type="dxa"/>
                  <w:vMerge w:val="continue"/>
                  <w:vAlign w:val="center"/>
                </w:tcPr>
                <w:p>
                  <w:pPr>
                    <w:pStyle w:val="22"/>
                    <w:spacing w:line="240" w:lineRule="auto"/>
                    <w:jc w:val="center"/>
                    <w:rPr>
                      <w:rFonts w:hint="eastAsia" w:cs="Times New Roman"/>
                      <w:color w:val="auto"/>
                      <w:sz w:val="21"/>
                      <w:szCs w:val="21"/>
                      <w:highlight w:val="none"/>
                      <w:lang w:val="en-US" w:eastAsia="zh-CN"/>
                    </w:rPr>
                  </w:pPr>
                </w:p>
              </w:tc>
            </w:tr>
          </w:tbl>
          <w:p>
            <w:pPr>
              <w:spacing w:line="360" w:lineRule="auto"/>
              <w:ind w:firstLine="420" w:firstLineChars="200"/>
              <w:rPr>
                <w:rFonts w:hint="eastAsia"/>
                <w:color w:val="auto"/>
                <w:vertAlign w:val="baseline"/>
                <w:lang w:val="en-US" w:eastAsia="zh-CN"/>
              </w:rPr>
            </w:pPr>
            <w:r>
              <w:rPr>
                <w:rFonts w:hint="eastAsia"/>
                <w:color w:val="auto"/>
                <w:vertAlign w:val="baseline"/>
                <w:lang w:val="en-US" w:eastAsia="zh-CN"/>
              </w:rPr>
              <w:t>.</w:t>
            </w:r>
          </w:p>
          <w:p>
            <w:pPr>
              <w:spacing w:line="360" w:lineRule="auto"/>
              <w:ind w:firstLine="420" w:firstLineChars="200"/>
              <w:rPr>
                <w:rFonts w:hint="eastAsia"/>
                <w:color w:val="auto"/>
                <w:vertAlign w:val="baseline"/>
                <w:lang w:val="en-US" w:eastAsia="zh-CN"/>
              </w:rPr>
            </w:pPr>
          </w:p>
          <w:p>
            <w:pPr>
              <w:spacing w:line="360" w:lineRule="auto"/>
              <w:ind w:firstLine="420" w:firstLineChars="200"/>
              <w:rPr>
                <w:rFonts w:hint="eastAsia"/>
                <w:color w:val="auto"/>
                <w:vertAlign w:val="baseline"/>
                <w:lang w:val="en-US" w:eastAsia="zh-CN"/>
              </w:rPr>
            </w:pPr>
          </w:p>
          <w:p>
            <w:pPr>
              <w:spacing w:line="360" w:lineRule="auto"/>
              <w:ind w:firstLine="420" w:firstLineChars="200"/>
              <w:rPr>
                <w:rFonts w:hint="eastAsia"/>
                <w:color w:val="auto"/>
                <w:vertAlign w:val="baseline"/>
                <w:lang w:val="en-US" w:eastAsia="zh-CN"/>
              </w:rPr>
            </w:pPr>
          </w:p>
          <w:p>
            <w:pPr>
              <w:spacing w:line="360" w:lineRule="auto"/>
              <w:ind w:firstLine="420" w:firstLineChars="200"/>
              <w:rPr>
                <w:rFonts w:hint="eastAsia"/>
                <w:color w:val="auto"/>
                <w:vertAlign w:val="baseline"/>
                <w:lang w:val="en-US" w:eastAsia="zh-CN"/>
              </w:rPr>
            </w:pPr>
          </w:p>
          <w:p>
            <w:pPr>
              <w:spacing w:line="360" w:lineRule="auto"/>
              <w:ind w:firstLine="420" w:firstLineChars="200"/>
              <w:rPr>
                <w:rFonts w:hint="eastAsia"/>
                <w:color w:val="auto"/>
                <w:vertAlign w:val="baseline"/>
                <w:lang w:val="en-US" w:eastAsia="zh-CN"/>
              </w:rPr>
            </w:pPr>
          </w:p>
          <w:p>
            <w:pPr>
              <w:spacing w:line="360" w:lineRule="auto"/>
              <w:ind w:firstLine="420" w:firstLineChars="200"/>
              <w:rPr>
                <w:rFonts w:hint="eastAsia"/>
                <w:color w:val="auto"/>
                <w:vertAlign w:val="baseline"/>
                <w:lang w:val="en-US" w:eastAsia="zh-CN"/>
              </w:rPr>
            </w:pPr>
          </w:p>
          <w:p>
            <w:pPr>
              <w:spacing w:line="360" w:lineRule="auto"/>
              <w:ind w:firstLine="420" w:firstLineChars="200"/>
              <w:rPr>
                <w:rFonts w:hint="eastAsia"/>
                <w:color w:val="auto"/>
                <w:vertAlign w:val="baseline"/>
                <w:lang w:val="en-US" w:eastAsia="zh-CN"/>
              </w:rPr>
            </w:pPr>
          </w:p>
          <w:p>
            <w:pPr>
              <w:spacing w:line="360" w:lineRule="auto"/>
              <w:ind w:firstLine="420" w:firstLineChars="200"/>
              <w:rPr>
                <w:rFonts w:hint="eastAsia"/>
                <w:color w:val="auto"/>
                <w:vertAlign w:val="baseline"/>
                <w:lang w:val="en-US" w:eastAsia="zh-CN"/>
              </w:rPr>
            </w:pPr>
          </w:p>
          <w:p>
            <w:pPr>
              <w:spacing w:line="360" w:lineRule="auto"/>
              <w:ind w:firstLine="420" w:firstLineChars="200"/>
              <w:rPr>
                <w:rFonts w:hint="eastAsia"/>
                <w:color w:val="auto"/>
                <w:vertAlign w:val="baseline"/>
                <w:lang w:val="en-US" w:eastAsia="zh-CN"/>
              </w:rPr>
            </w:pPr>
          </w:p>
          <w:p>
            <w:pPr>
              <w:spacing w:line="360" w:lineRule="auto"/>
              <w:ind w:firstLine="420" w:firstLineChars="200"/>
              <w:rPr>
                <w:rFonts w:hint="eastAsia"/>
                <w:color w:val="auto"/>
                <w:vertAlign w:val="baseline"/>
                <w:lang w:val="en-US" w:eastAsia="zh-CN"/>
              </w:rPr>
            </w:pPr>
          </w:p>
          <w:p>
            <w:pPr>
              <w:spacing w:line="360" w:lineRule="auto"/>
              <w:ind w:firstLine="420" w:firstLineChars="200"/>
              <w:rPr>
                <w:rFonts w:hint="eastAsia"/>
                <w:color w:val="auto"/>
                <w:vertAlign w:val="baseline"/>
                <w:lang w:val="en-US" w:eastAsia="zh-CN"/>
              </w:rPr>
            </w:pPr>
          </w:p>
          <w:p>
            <w:pPr>
              <w:spacing w:line="360" w:lineRule="auto"/>
              <w:ind w:firstLine="420" w:firstLineChars="200"/>
              <w:rPr>
                <w:rFonts w:hint="default"/>
                <w:color w:val="auto"/>
                <w:vertAlign w:val="baseline"/>
                <w:lang w:val="en-US" w:eastAsia="zh-CN"/>
              </w:rPr>
            </w:pPr>
          </w:p>
        </w:tc>
      </w:tr>
    </w:tbl>
    <w:p>
      <w:pPr>
        <w:rPr>
          <w:color w:val="auto"/>
        </w:rPr>
        <w:sectPr>
          <w:pgSz w:w="16838" w:h="11906" w:orient="landscape"/>
          <w:pgMar w:top="1800" w:right="1440" w:bottom="1800" w:left="1440" w:header="851" w:footer="992" w:gutter="0"/>
          <w:pgNumType w:fmt="decimal"/>
          <w:cols w:space="425" w:num="1"/>
          <w:docGrid w:type="lines" w:linePitch="312" w:charSpace="0"/>
        </w:sectPr>
      </w:pPr>
    </w:p>
    <w:tbl>
      <w:tblPr>
        <w:tblStyle w:val="15"/>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9"/>
        <w:gridCol w:w="85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9" w:type="dxa"/>
            <w:noWrap w:val="0"/>
            <w:tcMar>
              <w:left w:w="28" w:type="dxa"/>
              <w:right w:w="28" w:type="dxa"/>
            </w:tcMar>
            <w:vAlign w:val="center"/>
          </w:tcPr>
          <w:p>
            <w:pPr>
              <w:pStyle w:val="13"/>
              <w:adjustRightInd w:val="0"/>
              <w:snapToGrid w:val="0"/>
              <w:spacing w:before="0" w:beforeAutospacing="0" w:after="0" w:afterAutospacing="0"/>
              <w:jc w:val="center"/>
              <w:rPr>
                <w:rFonts w:hint="default" w:ascii="宋体" w:hAnsi="宋体" w:eastAsia="宋体" w:cs="宋体"/>
                <w:bCs/>
                <w:color w:val="auto"/>
                <w:kern w:val="2"/>
                <w:sz w:val="21"/>
                <w:szCs w:val="21"/>
                <w:highlight w:val="none"/>
                <w:lang w:val="en-US" w:eastAsia="zh-CN"/>
              </w:rPr>
            </w:pPr>
            <w:r>
              <w:rPr>
                <w:rFonts w:hint="eastAsia" w:cs="宋体"/>
                <w:bCs/>
                <w:color w:val="auto"/>
                <w:kern w:val="2"/>
                <w:sz w:val="21"/>
                <w:szCs w:val="21"/>
                <w:highlight w:val="none"/>
                <w:lang w:val="en-US" w:eastAsia="zh-CN"/>
              </w:rPr>
              <w:t>运营期大气环境影响和保护措施</w:t>
            </w:r>
          </w:p>
        </w:tc>
        <w:tc>
          <w:tcPr>
            <w:tcW w:w="8532" w:type="dxa"/>
            <w:noWrap w:val="0"/>
            <w:vAlign w:val="top"/>
          </w:tcPr>
          <w:p>
            <w:pPr>
              <w:spacing w:line="360" w:lineRule="auto"/>
              <w:ind w:firstLine="480" w:firstLineChars="200"/>
              <w:rPr>
                <w:rFonts w:hint="default" w:eastAsia="宋体"/>
                <w:color w:val="auto"/>
                <w:sz w:val="24"/>
                <w:highlight w:val="none"/>
                <w:lang w:val="en-US" w:eastAsia="zh-CN"/>
              </w:rPr>
            </w:pPr>
            <w:r>
              <w:rPr>
                <w:rFonts w:hint="eastAsia"/>
                <w:color w:val="auto"/>
                <w:sz w:val="24"/>
                <w:highlight w:val="none"/>
                <w:lang w:val="zh-CN"/>
              </w:rPr>
              <w:t>（</w:t>
            </w:r>
            <w:r>
              <w:rPr>
                <w:rFonts w:hint="eastAsia"/>
                <w:color w:val="auto"/>
                <w:sz w:val="24"/>
                <w:highlight w:val="none"/>
                <w:lang w:val="en-US" w:eastAsia="zh-CN"/>
              </w:rPr>
              <w:t>2</w:t>
            </w:r>
            <w:r>
              <w:rPr>
                <w:rFonts w:hint="eastAsia"/>
                <w:color w:val="auto"/>
                <w:sz w:val="24"/>
                <w:highlight w:val="none"/>
                <w:lang w:val="zh-CN"/>
              </w:rPr>
              <w:t>）</w:t>
            </w:r>
            <w:r>
              <w:rPr>
                <w:rFonts w:hint="eastAsia"/>
                <w:color w:val="auto"/>
                <w:sz w:val="24"/>
                <w:highlight w:val="none"/>
                <w:lang w:val="en-US" w:eastAsia="zh-CN"/>
              </w:rPr>
              <w:t>厂界及声环境保护目标达标情况</w:t>
            </w:r>
          </w:p>
          <w:p>
            <w:pPr>
              <w:spacing w:line="360" w:lineRule="auto"/>
              <w:ind w:firstLine="480" w:firstLineChars="200"/>
              <w:rPr>
                <w:rFonts w:hint="eastAsia" w:ascii="Times New Roman" w:hAnsi="Times New Roman" w:eastAsia="宋体" w:cs="Times New Roman"/>
                <w:color w:val="auto"/>
                <w:sz w:val="24"/>
                <w:highlight w:val="none"/>
                <w:lang w:val="zh-CN"/>
              </w:rPr>
            </w:pPr>
            <w:r>
              <w:rPr>
                <w:color w:val="auto"/>
                <w:sz w:val="24"/>
                <w:highlight w:val="none"/>
                <w:lang w:val="zh-CN"/>
              </w:rPr>
              <w:t>根据《环境影响评价技术导则</w:t>
            </w:r>
            <w:r>
              <w:rPr>
                <w:rFonts w:hint="eastAsia"/>
                <w:color w:val="auto"/>
                <w:sz w:val="24"/>
                <w:highlight w:val="none"/>
                <w:lang w:val="en-US" w:eastAsia="zh-CN"/>
              </w:rPr>
              <w:t xml:space="preserve"> </w:t>
            </w:r>
            <w:r>
              <w:rPr>
                <w:color w:val="auto"/>
                <w:sz w:val="24"/>
                <w:highlight w:val="none"/>
                <w:lang w:val="zh-CN"/>
              </w:rPr>
              <w:t>声环境》（HJ2.4－20</w:t>
            </w:r>
            <w:r>
              <w:rPr>
                <w:rFonts w:hint="eastAsia"/>
                <w:color w:val="auto"/>
                <w:sz w:val="24"/>
                <w:highlight w:val="none"/>
                <w:lang w:val="en-US" w:eastAsia="zh-CN"/>
              </w:rPr>
              <w:t>21</w:t>
            </w:r>
            <w:r>
              <w:rPr>
                <w:color w:val="auto"/>
                <w:sz w:val="24"/>
                <w:highlight w:val="none"/>
                <w:lang w:val="zh-CN"/>
              </w:rPr>
              <w:t>）</w:t>
            </w:r>
            <w:r>
              <w:rPr>
                <w:rFonts w:hint="eastAsia"/>
                <w:color w:val="auto"/>
                <w:sz w:val="24"/>
                <w:highlight w:val="none"/>
                <w:lang w:val="zh-CN"/>
              </w:rPr>
              <w:t>，</w:t>
            </w:r>
            <w:r>
              <w:rPr>
                <w:rFonts w:hint="eastAsia"/>
                <w:color w:val="auto"/>
                <w:sz w:val="24"/>
                <w:highlight w:val="none"/>
                <w:lang w:val="en-US" w:eastAsia="zh-CN"/>
              </w:rPr>
              <w:t>本项目选用附录B</w:t>
            </w:r>
            <w:r>
              <w:rPr>
                <w:color w:val="auto"/>
                <w:sz w:val="24"/>
                <w:highlight w:val="none"/>
                <w:lang w:val="zh-CN"/>
              </w:rPr>
              <w:t>推荐</w:t>
            </w:r>
            <w:r>
              <w:rPr>
                <w:rFonts w:hint="eastAsia"/>
                <w:color w:val="auto"/>
                <w:sz w:val="24"/>
                <w:highlight w:val="none"/>
                <w:lang w:val="en-US" w:eastAsia="zh-CN"/>
              </w:rPr>
              <w:t>B.1工业噪声预测计算模型对本项目噪声进行预测。</w:t>
            </w:r>
          </w:p>
          <w:p>
            <w:pPr>
              <w:spacing w:line="360" w:lineRule="auto"/>
              <w:ind w:firstLine="480" w:firstLineChars="200"/>
              <w:rPr>
                <w:rFonts w:hint="default"/>
                <w:color w:val="auto"/>
                <w:sz w:val="24"/>
                <w:highlight w:val="none"/>
                <w:lang w:val="en-US" w:eastAsia="zh-CN"/>
              </w:rPr>
            </w:pPr>
            <w:r>
              <w:rPr>
                <w:rFonts w:hint="eastAsia"/>
                <w:color w:val="auto"/>
                <w:sz w:val="24"/>
                <w:highlight w:val="none"/>
                <w:lang w:val="en-US" w:eastAsia="zh-CN"/>
              </w:rPr>
              <w:t>室内声源等效室外声源声功率级计算方法公式如下：</w:t>
            </w:r>
          </w:p>
          <w:p>
            <w:pPr>
              <w:spacing w:line="360" w:lineRule="auto"/>
              <w:ind w:firstLine="480" w:firstLineChars="200"/>
              <w:jc w:val="center"/>
              <w:rPr>
                <w:rFonts w:hint="default"/>
                <w:color w:val="auto"/>
                <w:sz w:val="24"/>
                <w:highlight w:val="none"/>
                <w:lang w:val="en-US" w:eastAsia="zh-CN"/>
              </w:rPr>
            </w:pPr>
            <w:r>
              <w:rPr>
                <w:rFonts w:hint="eastAsia"/>
                <w:color w:val="auto"/>
                <w:sz w:val="24"/>
                <w:highlight w:val="none"/>
                <w:lang w:val="en-US" w:eastAsia="zh-CN"/>
              </w:rPr>
              <w:t>L</w:t>
            </w:r>
            <w:r>
              <w:rPr>
                <w:rFonts w:hint="eastAsia"/>
                <w:color w:val="auto"/>
                <w:sz w:val="24"/>
                <w:highlight w:val="none"/>
                <w:vertAlign w:val="subscript"/>
                <w:lang w:val="en-US" w:eastAsia="zh-CN"/>
              </w:rPr>
              <w:t>P2</w:t>
            </w:r>
            <w:r>
              <w:rPr>
                <w:rFonts w:hint="eastAsia"/>
                <w:color w:val="auto"/>
                <w:sz w:val="24"/>
                <w:highlight w:val="none"/>
                <w:lang w:val="en-US" w:eastAsia="zh-CN"/>
              </w:rPr>
              <w:t>= L</w:t>
            </w:r>
            <w:r>
              <w:rPr>
                <w:rFonts w:hint="eastAsia"/>
                <w:color w:val="auto"/>
                <w:sz w:val="24"/>
                <w:highlight w:val="none"/>
                <w:vertAlign w:val="subscript"/>
                <w:lang w:val="en-US" w:eastAsia="zh-CN"/>
              </w:rPr>
              <w:t>P1</w:t>
            </w:r>
            <w:r>
              <w:rPr>
                <w:rFonts w:hint="eastAsia"/>
                <w:color w:val="auto"/>
                <w:sz w:val="24"/>
                <w:highlight w:val="none"/>
                <w:lang w:val="en-US" w:eastAsia="zh-CN"/>
              </w:rPr>
              <w:t>—（TL+6）</w:t>
            </w:r>
          </w:p>
          <w:p>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式中：</w:t>
            </w:r>
          </w:p>
          <w:p>
            <w:pPr>
              <w:spacing w:line="360" w:lineRule="auto"/>
              <w:ind w:firstLine="480" w:firstLineChars="200"/>
              <w:rPr>
                <w:rFonts w:hint="eastAsia"/>
                <w:color w:val="auto"/>
                <w:sz w:val="24"/>
                <w:highlight w:val="none"/>
                <w:lang w:val="zh-CN"/>
              </w:rPr>
            </w:pPr>
            <w:r>
              <w:rPr>
                <w:rFonts w:hint="default"/>
                <w:color w:val="auto"/>
                <w:sz w:val="24"/>
                <w:highlight w:val="none"/>
                <w:lang w:val="en-US" w:eastAsia="zh-CN"/>
              </w:rPr>
              <w:t>L</w:t>
            </w:r>
            <w:r>
              <w:rPr>
                <w:rFonts w:hint="default"/>
                <w:color w:val="auto"/>
                <w:sz w:val="24"/>
                <w:highlight w:val="none"/>
                <w:vertAlign w:val="subscript"/>
                <w:lang w:val="en-US" w:eastAsia="zh-CN"/>
              </w:rPr>
              <w:t>p1</w:t>
            </w:r>
            <w:r>
              <w:rPr>
                <w:rFonts w:hint="default"/>
                <w:color w:val="auto"/>
                <w:sz w:val="24"/>
                <w:highlight w:val="none"/>
                <w:lang w:val="en-US" w:eastAsia="zh-CN"/>
              </w:rPr>
              <w:t>——</w:t>
            </w:r>
            <w:r>
              <w:rPr>
                <w:rFonts w:hint="eastAsia"/>
                <w:color w:val="auto"/>
                <w:sz w:val="24"/>
                <w:highlight w:val="none"/>
                <w:lang w:val="en-US" w:eastAsia="zh-CN"/>
              </w:rPr>
              <w:t xml:space="preserve">靠近开口处（或窗户）室内某倍频带的声压级或 </w:t>
            </w:r>
            <w:r>
              <w:rPr>
                <w:rFonts w:hint="default"/>
                <w:color w:val="auto"/>
                <w:sz w:val="24"/>
                <w:highlight w:val="none"/>
                <w:lang w:val="en-US" w:eastAsia="zh-CN"/>
              </w:rPr>
              <w:t xml:space="preserve">A </w:t>
            </w:r>
            <w:r>
              <w:rPr>
                <w:rFonts w:hint="eastAsia"/>
                <w:color w:val="auto"/>
                <w:sz w:val="24"/>
                <w:highlight w:val="none"/>
                <w:lang w:val="en-US" w:eastAsia="zh-CN"/>
              </w:rPr>
              <w:t>声级，</w:t>
            </w:r>
            <w:r>
              <w:rPr>
                <w:rFonts w:hint="default"/>
                <w:color w:val="auto"/>
                <w:sz w:val="24"/>
                <w:highlight w:val="none"/>
                <w:lang w:val="en-US" w:eastAsia="zh-CN"/>
              </w:rPr>
              <w:t>dB</w:t>
            </w:r>
            <w:r>
              <w:rPr>
                <w:rFonts w:hint="eastAsia"/>
                <w:color w:val="auto"/>
                <w:sz w:val="24"/>
                <w:highlight w:val="none"/>
                <w:lang w:val="en-US" w:eastAsia="zh-CN"/>
              </w:rPr>
              <w:t xml:space="preserve">； </w:t>
            </w:r>
          </w:p>
          <w:p>
            <w:pPr>
              <w:spacing w:line="360" w:lineRule="auto"/>
              <w:ind w:firstLine="480" w:firstLineChars="200"/>
              <w:rPr>
                <w:rFonts w:hint="eastAsia"/>
                <w:color w:val="auto"/>
                <w:sz w:val="24"/>
                <w:highlight w:val="none"/>
                <w:lang w:val="zh-CN"/>
              </w:rPr>
            </w:pPr>
            <w:r>
              <w:rPr>
                <w:rFonts w:hint="default"/>
                <w:color w:val="auto"/>
                <w:sz w:val="24"/>
                <w:highlight w:val="none"/>
                <w:lang w:val="en-US" w:eastAsia="zh-CN"/>
              </w:rPr>
              <w:t>L</w:t>
            </w:r>
            <w:r>
              <w:rPr>
                <w:rFonts w:hint="default"/>
                <w:color w:val="auto"/>
                <w:sz w:val="24"/>
                <w:highlight w:val="none"/>
                <w:vertAlign w:val="subscript"/>
                <w:lang w:val="en-US" w:eastAsia="zh-CN"/>
              </w:rPr>
              <w:t>p2</w:t>
            </w:r>
            <w:r>
              <w:rPr>
                <w:rFonts w:hint="default"/>
                <w:color w:val="auto"/>
                <w:sz w:val="24"/>
                <w:highlight w:val="none"/>
                <w:lang w:val="en-US" w:eastAsia="zh-CN"/>
              </w:rPr>
              <w:t>——</w:t>
            </w:r>
            <w:r>
              <w:rPr>
                <w:rFonts w:hint="eastAsia"/>
                <w:color w:val="auto"/>
                <w:sz w:val="24"/>
                <w:highlight w:val="none"/>
                <w:lang w:val="en-US" w:eastAsia="zh-CN"/>
              </w:rPr>
              <w:t xml:space="preserve">靠近开口处（或窗户）室外某倍频带的声压级或 </w:t>
            </w:r>
            <w:r>
              <w:rPr>
                <w:rFonts w:hint="default"/>
                <w:color w:val="auto"/>
                <w:sz w:val="24"/>
                <w:highlight w:val="none"/>
                <w:lang w:val="en-US" w:eastAsia="zh-CN"/>
              </w:rPr>
              <w:t xml:space="preserve">A </w:t>
            </w:r>
            <w:r>
              <w:rPr>
                <w:rFonts w:hint="eastAsia"/>
                <w:color w:val="auto"/>
                <w:sz w:val="24"/>
                <w:highlight w:val="none"/>
                <w:lang w:val="en-US" w:eastAsia="zh-CN"/>
              </w:rPr>
              <w:t>声级，</w:t>
            </w:r>
            <w:r>
              <w:rPr>
                <w:rFonts w:hint="default"/>
                <w:color w:val="auto"/>
                <w:sz w:val="24"/>
                <w:highlight w:val="none"/>
                <w:lang w:val="en-US" w:eastAsia="zh-CN"/>
              </w:rPr>
              <w:t>dB</w:t>
            </w:r>
            <w:r>
              <w:rPr>
                <w:rFonts w:hint="eastAsia"/>
                <w:color w:val="auto"/>
                <w:sz w:val="24"/>
                <w:highlight w:val="none"/>
                <w:lang w:val="en-US" w:eastAsia="zh-CN"/>
              </w:rPr>
              <w:t xml:space="preserve">； </w:t>
            </w:r>
          </w:p>
          <w:p>
            <w:pPr>
              <w:spacing w:line="360" w:lineRule="auto"/>
              <w:ind w:firstLine="480" w:firstLineChars="200"/>
              <w:rPr>
                <w:rFonts w:hint="eastAsia"/>
                <w:i w:val="0"/>
                <w:iCs w:val="0"/>
                <w:color w:val="auto"/>
                <w:sz w:val="24"/>
                <w:highlight w:val="none"/>
                <w:lang w:val="en-US" w:eastAsia="zh-CN"/>
              </w:rPr>
            </w:pPr>
            <w:r>
              <w:rPr>
                <w:rFonts w:hint="eastAsia"/>
                <w:color w:val="auto"/>
                <w:sz w:val="24"/>
                <w:highlight w:val="none"/>
                <w:lang w:val="en-US" w:eastAsia="zh-CN"/>
              </w:rPr>
              <w:t>TL</w:t>
            </w:r>
            <w:r>
              <w:rPr>
                <w:rFonts w:hint="default"/>
                <w:color w:val="auto"/>
                <w:sz w:val="24"/>
                <w:highlight w:val="none"/>
                <w:lang w:val="en-US" w:eastAsia="zh-CN"/>
              </w:rPr>
              <w:t>——</w:t>
            </w:r>
            <w:r>
              <w:rPr>
                <w:rFonts w:hint="eastAsia"/>
                <w:color w:val="auto"/>
                <w:sz w:val="24"/>
                <w:highlight w:val="none"/>
                <w:lang w:val="en-US" w:eastAsia="zh-CN"/>
              </w:rPr>
              <w:t>隔墙（或窗户）</w:t>
            </w:r>
            <w:r>
              <w:rPr>
                <w:rFonts w:hint="eastAsia"/>
                <w:i w:val="0"/>
                <w:iCs w:val="0"/>
                <w:color w:val="auto"/>
                <w:sz w:val="24"/>
                <w:highlight w:val="none"/>
                <w:lang w:val="en-US" w:eastAsia="zh-CN"/>
              </w:rPr>
              <w:t>倍频带的隔声量，dB。</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i w:val="0"/>
                <w:iCs w:val="0"/>
                <w:color w:val="auto"/>
                <w:sz w:val="24"/>
                <w:highlight w:val="none"/>
                <w:lang w:val="zh-CN"/>
              </w:rPr>
            </w:pPr>
            <w:r>
              <w:rPr>
                <w:rFonts w:hint="eastAsia" w:ascii="Times New Roman" w:hAnsi="Times New Roman" w:eastAsia="宋体" w:cs="Times New Roman"/>
                <w:i w:val="0"/>
                <w:iCs w:val="0"/>
                <w:color w:val="auto"/>
                <w:sz w:val="24"/>
                <w:highlight w:val="none"/>
                <w:lang w:val="zh-CN"/>
              </w:rPr>
              <w:drawing>
                <wp:inline distT="0" distB="0" distL="114300" distR="114300">
                  <wp:extent cx="4979035" cy="1595755"/>
                  <wp:effectExtent l="0" t="0" r="12065" b="4445"/>
                  <wp:docPr id="8" name="图片 8" descr="4ea36d22f1577b311e324fd99aadd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ea36d22f1577b311e324fd99aadd04"/>
                          <pic:cNvPicPr>
                            <a:picLocks noChangeAspect="1"/>
                          </pic:cNvPicPr>
                        </pic:nvPicPr>
                        <pic:blipFill>
                          <a:blip r:embed="rId14"/>
                          <a:stretch>
                            <a:fillRect/>
                          </a:stretch>
                        </pic:blipFill>
                        <pic:spPr>
                          <a:xfrm>
                            <a:off x="0" y="0"/>
                            <a:ext cx="4979035" cy="1595755"/>
                          </a:xfrm>
                          <a:prstGeom prst="rect">
                            <a:avLst/>
                          </a:prstGeom>
                        </pic:spPr>
                      </pic:pic>
                    </a:graphicData>
                  </a:graphic>
                </wp:inline>
              </w:drawing>
            </w:r>
          </w:p>
          <w:p>
            <w:pPr>
              <w:spacing w:line="360" w:lineRule="auto"/>
              <w:ind w:firstLine="480" w:firstLineChars="200"/>
              <w:rPr>
                <w:rFonts w:hint="eastAsia" w:eastAsia="宋体"/>
                <w:color w:val="auto"/>
                <w:sz w:val="24"/>
                <w:highlight w:val="none"/>
                <w:lang w:val="en-US" w:eastAsia="zh-CN"/>
              </w:rPr>
            </w:pPr>
            <w:r>
              <w:rPr>
                <w:rFonts w:hint="eastAsia" w:eastAsia="宋体"/>
                <w:color w:val="auto"/>
                <w:sz w:val="24"/>
                <w:highlight w:val="none"/>
                <w:lang w:val="en-US" w:eastAsia="zh-CN"/>
              </w:rPr>
              <w:t>将室外声源的声压级和透过面积换算成等效的室外声源，计算出中心位置位于透声面积（S）处的等效声源的倍频带声功率级。</w:t>
            </w:r>
          </w:p>
          <w:p>
            <w:pPr>
              <w:spacing w:line="360" w:lineRule="auto"/>
              <w:ind w:firstLine="480" w:firstLineChars="200"/>
              <w:rPr>
                <w:rFonts w:hint="eastAsia" w:eastAsia="宋体"/>
                <w:color w:val="auto"/>
                <w:sz w:val="24"/>
                <w:highlight w:val="none"/>
                <w:lang w:val="en-US" w:eastAsia="zh-CN"/>
              </w:rPr>
            </w:pPr>
            <w:r>
              <w:rPr>
                <w:rFonts w:hint="eastAsia" w:eastAsia="宋体"/>
                <w:color w:val="auto"/>
                <w:sz w:val="24"/>
                <w:highlight w:val="none"/>
                <w:lang w:val="en-US" w:eastAsia="zh-CN"/>
              </w:rPr>
              <w:t>L</w:t>
            </w:r>
            <w:r>
              <w:rPr>
                <w:rFonts w:hint="eastAsia" w:eastAsia="宋体"/>
                <w:color w:val="auto"/>
                <w:sz w:val="24"/>
                <w:highlight w:val="none"/>
                <w:vertAlign w:val="subscript"/>
                <w:lang w:val="en-US" w:eastAsia="zh-CN"/>
              </w:rPr>
              <w:t>W</w:t>
            </w:r>
            <w:r>
              <w:rPr>
                <w:rFonts w:hint="eastAsia" w:eastAsia="宋体"/>
                <w:color w:val="auto"/>
                <w:sz w:val="24"/>
                <w:highlight w:val="none"/>
                <w:lang w:val="en-US" w:eastAsia="zh-CN"/>
              </w:rPr>
              <w:t>=L</w:t>
            </w:r>
            <w:r>
              <w:rPr>
                <w:rFonts w:hint="eastAsia" w:eastAsia="宋体"/>
                <w:color w:val="auto"/>
                <w:sz w:val="24"/>
                <w:highlight w:val="none"/>
                <w:vertAlign w:val="subscript"/>
                <w:lang w:val="en-US" w:eastAsia="zh-CN"/>
              </w:rPr>
              <w:t>P2</w:t>
            </w:r>
            <w:r>
              <w:rPr>
                <w:rFonts w:hint="eastAsia" w:eastAsia="宋体"/>
                <w:color w:val="auto"/>
                <w:sz w:val="24"/>
                <w:highlight w:val="none"/>
                <w:lang w:val="en-US" w:eastAsia="zh-CN"/>
              </w:rPr>
              <w:t>（T）+10lgS</w:t>
            </w:r>
          </w:p>
          <w:p>
            <w:pPr>
              <w:spacing w:line="360" w:lineRule="auto"/>
              <w:ind w:firstLine="480" w:firstLineChars="200"/>
              <w:rPr>
                <w:rFonts w:hint="eastAsia" w:eastAsia="宋体"/>
                <w:color w:val="auto"/>
                <w:sz w:val="24"/>
                <w:highlight w:val="none"/>
                <w:lang w:val="en-US" w:eastAsia="zh-CN"/>
              </w:rPr>
            </w:pPr>
            <w:r>
              <w:rPr>
                <w:rFonts w:hint="eastAsia" w:eastAsia="宋体"/>
                <w:color w:val="auto"/>
                <w:sz w:val="24"/>
                <w:highlight w:val="none"/>
                <w:lang w:val="en-US" w:eastAsia="zh-CN"/>
              </w:rPr>
              <w:t>L</w:t>
            </w:r>
            <w:r>
              <w:rPr>
                <w:rFonts w:hint="eastAsia" w:eastAsia="宋体"/>
                <w:color w:val="auto"/>
                <w:sz w:val="24"/>
                <w:highlight w:val="none"/>
                <w:vertAlign w:val="subscript"/>
                <w:lang w:val="en-US" w:eastAsia="zh-CN"/>
              </w:rPr>
              <w:t>W</w:t>
            </w:r>
            <w:r>
              <w:rPr>
                <w:rFonts w:hint="default"/>
                <w:color w:val="auto"/>
                <w:sz w:val="24"/>
                <w:highlight w:val="none"/>
                <w:lang w:val="en-US" w:eastAsia="zh-CN"/>
              </w:rPr>
              <w:t>——</w:t>
            </w:r>
            <w:r>
              <w:rPr>
                <w:rFonts w:hint="eastAsia" w:eastAsia="宋体"/>
                <w:color w:val="auto"/>
                <w:sz w:val="24"/>
                <w:highlight w:val="none"/>
                <w:lang w:val="en-US" w:eastAsia="zh-CN"/>
              </w:rPr>
              <w:t xml:space="preserve">中心位置位于透声面积（S）处的等效声源的倍频带声功率级，dB； </w:t>
            </w:r>
          </w:p>
          <w:p>
            <w:pPr>
              <w:spacing w:line="360" w:lineRule="auto"/>
              <w:ind w:firstLine="480" w:firstLineChars="200"/>
              <w:rPr>
                <w:rFonts w:hint="eastAsia" w:eastAsia="宋体"/>
                <w:color w:val="auto"/>
                <w:sz w:val="24"/>
                <w:highlight w:val="none"/>
                <w:lang w:val="en-US" w:eastAsia="zh-CN"/>
              </w:rPr>
            </w:pPr>
            <w:r>
              <w:rPr>
                <w:rFonts w:hint="eastAsia" w:eastAsia="宋体"/>
                <w:color w:val="auto"/>
                <w:sz w:val="24"/>
                <w:highlight w:val="none"/>
                <w:lang w:val="en-US" w:eastAsia="zh-CN"/>
              </w:rPr>
              <w:t>L</w:t>
            </w:r>
            <w:r>
              <w:rPr>
                <w:rFonts w:hint="eastAsia" w:eastAsia="宋体"/>
                <w:color w:val="auto"/>
                <w:sz w:val="24"/>
                <w:highlight w:val="none"/>
                <w:vertAlign w:val="subscript"/>
                <w:lang w:val="en-US" w:eastAsia="zh-CN"/>
              </w:rPr>
              <w:t>p2</w:t>
            </w:r>
            <w:r>
              <w:rPr>
                <w:rFonts w:hint="eastAsia" w:eastAsia="宋体"/>
                <w:color w:val="auto"/>
                <w:sz w:val="24"/>
                <w:highlight w:val="none"/>
                <w:lang w:val="en-US" w:eastAsia="zh-CN"/>
              </w:rPr>
              <w:t>（T）</w:t>
            </w:r>
            <w:r>
              <w:rPr>
                <w:rFonts w:hint="default"/>
                <w:color w:val="auto"/>
                <w:sz w:val="24"/>
                <w:highlight w:val="none"/>
                <w:lang w:val="en-US" w:eastAsia="zh-CN"/>
              </w:rPr>
              <w:t>——</w:t>
            </w:r>
            <w:r>
              <w:rPr>
                <w:rFonts w:hint="eastAsia" w:eastAsia="宋体"/>
                <w:color w:val="auto"/>
                <w:sz w:val="24"/>
                <w:highlight w:val="none"/>
                <w:lang w:val="en-US" w:eastAsia="zh-CN"/>
              </w:rPr>
              <w:t xml:space="preserve">靠近围护结构处室外声源的声压级，dB； </w:t>
            </w:r>
          </w:p>
          <w:p>
            <w:pPr>
              <w:spacing w:line="360" w:lineRule="auto"/>
              <w:ind w:firstLine="480" w:firstLineChars="200"/>
              <w:rPr>
                <w:rFonts w:hint="eastAsia" w:eastAsia="宋体"/>
                <w:color w:val="auto"/>
                <w:sz w:val="24"/>
                <w:highlight w:val="none"/>
                <w:lang w:val="en-US" w:eastAsia="zh-CN"/>
              </w:rPr>
            </w:pPr>
            <w:r>
              <w:rPr>
                <w:rFonts w:hint="eastAsia" w:eastAsia="宋体"/>
                <w:color w:val="auto"/>
                <w:sz w:val="24"/>
                <w:highlight w:val="none"/>
                <w:lang w:val="en-US" w:eastAsia="zh-CN"/>
              </w:rPr>
              <w:t>S</w:t>
            </w:r>
            <w:r>
              <w:rPr>
                <w:rFonts w:hint="default"/>
                <w:color w:val="auto"/>
                <w:sz w:val="24"/>
                <w:highlight w:val="none"/>
                <w:lang w:val="en-US" w:eastAsia="zh-CN"/>
              </w:rPr>
              <w:t>——</w:t>
            </w:r>
            <w:r>
              <w:rPr>
                <w:rFonts w:hint="eastAsia" w:eastAsia="宋体"/>
                <w:color w:val="auto"/>
                <w:sz w:val="24"/>
                <w:highlight w:val="none"/>
                <w:lang w:val="en-US" w:eastAsia="zh-CN"/>
              </w:rPr>
              <w:t>透声面积，m</w:t>
            </w:r>
            <w:r>
              <w:rPr>
                <w:rFonts w:hint="eastAsia" w:eastAsia="宋体"/>
                <w:color w:val="auto"/>
                <w:sz w:val="24"/>
                <w:highlight w:val="none"/>
                <w:vertAlign w:val="superscript"/>
                <w:lang w:val="en-US" w:eastAsia="zh-CN"/>
              </w:rPr>
              <w:t>2</w:t>
            </w:r>
            <w:r>
              <w:rPr>
                <w:rFonts w:hint="eastAsia" w:eastAsia="宋体"/>
                <w:color w:val="auto"/>
                <w:sz w:val="24"/>
                <w:highlight w:val="none"/>
                <w:lang w:val="en-US" w:eastAsia="zh-CN"/>
              </w:rPr>
              <w:t>。</w:t>
            </w:r>
          </w:p>
          <w:p>
            <w:pPr>
              <w:spacing w:line="360" w:lineRule="auto"/>
              <w:ind w:firstLine="480" w:firstLineChars="200"/>
              <w:rPr>
                <w:i w:val="0"/>
                <w:iCs w:val="0"/>
                <w:color w:val="auto"/>
                <w:sz w:val="24"/>
                <w:highlight w:val="none"/>
                <w:lang w:val="zh-CN"/>
              </w:rPr>
            </w:pPr>
            <w:r>
              <w:rPr>
                <w:rFonts w:hint="eastAsia"/>
                <w:i w:val="0"/>
                <w:iCs w:val="0"/>
                <w:color w:val="auto"/>
                <w:sz w:val="24"/>
                <w:highlight w:val="none"/>
                <w:lang w:val="en-US" w:eastAsia="zh-CN"/>
              </w:rPr>
              <w:t>预测点的预测等效声级（Leqg）：</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4"/>
                <w:highlight w:val="none"/>
                <w:lang w:val="zh-CN"/>
              </w:rPr>
            </w:pPr>
            <w:r>
              <w:rPr>
                <w:color w:val="auto"/>
                <w:sz w:val="24"/>
                <w:highlight w:val="none"/>
                <w:lang w:val="zh-CN"/>
              </w:rPr>
              <w:drawing>
                <wp:inline distT="0" distB="0" distL="114300" distR="114300">
                  <wp:extent cx="4977765" cy="636270"/>
                  <wp:effectExtent l="0" t="0" r="13335" b="11430"/>
                  <wp:docPr id="11" name="图片 11" descr="82c25f02a161d692f3ef6255f32dc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2c25f02a161d692f3ef6255f32dc8d"/>
                          <pic:cNvPicPr>
                            <a:picLocks noChangeAspect="1"/>
                          </pic:cNvPicPr>
                        </pic:nvPicPr>
                        <pic:blipFill>
                          <a:blip r:embed="rId15"/>
                          <a:stretch>
                            <a:fillRect/>
                          </a:stretch>
                        </pic:blipFill>
                        <pic:spPr>
                          <a:xfrm>
                            <a:off x="0" y="0"/>
                            <a:ext cx="4977765" cy="636270"/>
                          </a:xfrm>
                          <a:prstGeom prst="rect">
                            <a:avLst/>
                          </a:prstGeom>
                        </pic:spPr>
                      </pic:pic>
                    </a:graphicData>
                  </a:graphic>
                </wp:inline>
              </w:drawing>
            </w:r>
          </w:p>
          <w:p>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式中：</w:t>
            </w:r>
            <w:r>
              <w:rPr>
                <w:rFonts w:hint="default"/>
                <w:color w:val="auto"/>
                <w:sz w:val="24"/>
                <w:highlight w:val="none"/>
                <w:lang w:val="en-US" w:eastAsia="zh-CN"/>
              </w:rPr>
              <w:t>Leqg——</w:t>
            </w:r>
            <w:r>
              <w:rPr>
                <w:rFonts w:hint="eastAsia"/>
                <w:color w:val="auto"/>
                <w:sz w:val="24"/>
                <w:highlight w:val="none"/>
                <w:lang w:val="en-US" w:eastAsia="zh-CN"/>
              </w:rPr>
              <w:t>建设项目声源在预测点产生的噪声贡献值，</w:t>
            </w:r>
            <w:r>
              <w:rPr>
                <w:rFonts w:hint="default"/>
                <w:color w:val="auto"/>
                <w:sz w:val="24"/>
                <w:highlight w:val="none"/>
                <w:lang w:val="en-US" w:eastAsia="zh-CN"/>
              </w:rPr>
              <w:t>dB</w:t>
            </w:r>
            <w:r>
              <w:rPr>
                <w:rFonts w:hint="eastAsia"/>
                <w:color w:val="auto"/>
                <w:sz w:val="24"/>
                <w:highlight w:val="none"/>
                <w:lang w:val="en-US" w:eastAsia="zh-CN"/>
              </w:rPr>
              <w:t xml:space="preserve">； </w:t>
            </w:r>
          </w:p>
          <w:p>
            <w:pPr>
              <w:spacing w:line="360" w:lineRule="auto"/>
              <w:ind w:firstLine="480" w:firstLineChars="200"/>
              <w:rPr>
                <w:rFonts w:hint="eastAsia"/>
                <w:color w:val="auto"/>
                <w:sz w:val="24"/>
                <w:highlight w:val="none"/>
                <w:lang w:val="en-US" w:eastAsia="zh-CN"/>
              </w:rPr>
            </w:pPr>
            <w:r>
              <w:rPr>
                <w:rFonts w:hint="default"/>
                <w:color w:val="auto"/>
                <w:sz w:val="24"/>
                <w:highlight w:val="none"/>
                <w:lang w:val="en-US" w:eastAsia="zh-CN"/>
              </w:rPr>
              <w:t>T ——</w:t>
            </w:r>
            <w:r>
              <w:rPr>
                <w:rFonts w:hint="eastAsia"/>
                <w:color w:val="auto"/>
                <w:sz w:val="24"/>
                <w:highlight w:val="none"/>
                <w:lang w:val="en-US" w:eastAsia="zh-CN"/>
              </w:rPr>
              <w:t>用于计算等效声级的时间，</w:t>
            </w:r>
            <w:r>
              <w:rPr>
                <w:rFonts w:hint="default"/>
                <w:color w:val="auto"/>
                <w:sz w:val="24"/>
                <w:highlight w:val="none"/>
                <w:lang w:val="en-US" w:eastAsia="zh-CN"/>
              </w:rPr>
              <w:t>s</w:t>
            </w:r>
            <w:r>
              <w:rPr>
                <w:rFonts w:hint="eastAsia"/>
                <w:color w:val="auto"/>
                <w:sz w:val="24"/>
                <w:highlight w:val="none"/>
                <w:lang w:val="en-US" w:eastAsia="zh-CN"/>
              </w:rPr>
              <w:t xml:space="preserve">； </w:t>
            </w:r>
          </w:p>
          <w:p>
            <w:pPr>
              <w:spacing w:line="360" w:lineRule="auto"/>
              <w:ind w:firstLine="480" w:firstLineChars="200"/>
              <w:rPr>
                <w:rFonts w:hint="eastAsia"/>
                <w:color w:val="auto"/>
                <w:sz w:val="24"/>
                <w:highlight w:val="none"/>
                <w:lang w:val="en-US" w:eastAsia="zh-CN"/>
              </w:rPr>
            </w:pPr>
            <w:r>
              <w:rPr>
                <w:rFonts w:hint="default"/>
                <w:color w:val="auto"/>
                <w:sz w:val="24"/>
                <w:highlight w:val="none"/>
                <w:lang w:val="en-US" w:eastAsia="zh-CN"/>
              </w:rPr>
              <w:t>N ——</w:t>
            </w:r>
            <w:r>
              <w:rPr>
                <w:rFonts w:hint="eastAsia"/>
                <w:color w:val="auto"/>
                <w:sz w:val="24"/>
                <w:highlight w:val="none"/>
                <w:lang w:val="en-US" w:eastAsia="zh-CN"/>
              </w:rPr>
              <w:t xml:space="preserve">室外声源个数； </w:t>
            </w:r>
          </w:p>
          <w:p>
            <w:pPr>
              <w:spacing w:line="360" w:lineRule="auto"/>
              <w:ind w:firstLine="480" w:firstLineChars="200"/>
              <w:rPr>
                <w:rFonts w:hint="eastAsia"/>
                <w:color w:val="auto"/>
                <w:sz w:val="24"/>
                <w:highlight w:val="none"/>
                <w:lang w:val="en-US" w:eastAsia="zh-CN"/>
              </w:rPr>
            </w:pPr>
            <w:r>
              <w:rPr>
                <w:rFonts w:hint="default"/>
                <w:color w:val="auto"/>
                <w:sz w:val="24"/>
                <w:highlight w:val="none"/>
                <w:lang w:val="en-US" w:eastAsia="zh-CN"/>
              </w:rPr>
              <w:t>ti ——</w:t>
            </w:r>
            <w:r>
              <w:rPr>
                <w:rFonts w:hint="eastAsia"/>
                <w:color w:val="auto"/>
                <w:sz w:val="24"/>
                <w:highlight w:val="none"/>
                <w:lang w:val="en-US" w:eastAsia="zh-CN"/>
              </w:rPr>
              <w:t xml:space="preserve">在 </w:t>
            </w:r>
            <w:r>
              <w:rPr>
                <w:rFonts w:hint="default"/>
                <w:color w:val="auto"/>
                <w:sz w:val="24"/>
                <w:highlight w:val="none"/>
                <w:lang w:val="en-US" w:eastAsia="zh-CN"/>
              </w:rPr>
              <w:t xml:space="preserve">T </w:t>
            </w:r>
            <w:r>
              <w:rPr>
                <w:rFonts w:hint="eastAsia"/>
                <w:color w:val="auto"/>
                <w:sz w:val="24"/>
                <w:highlight w:val="none"/>
                <w:lang w:val="en-US" w:eastAsia="zh-CN"/>
              </w:rPr>
              <w:t xml:space="preserve">时间内 </w:t>
            </w:r>
            <w:r>
              <w:rPr>
                <w:rFonts w:hint="default"/>
                <w:color w:val="auto"/>
                <w:sz w:val="24"/>
                <w:highlight w:val="none"/>
                <w:lang w:val="en-US" w:eastAsia="zh-CN"/>
              </w:rPr>
              <w:t xml:space="preserve">i </w:t>
            </w:r>
            <w:r>
              <w:rPr>
                <w:rFonts w:hint="eastAsia"/>
                <w:color w:val="auto"/>
                <w:sz w:val="24"/>
                <w:highlight w:val="none"/>
                <w:lang w:val="en-US" w:eastAsia="zh-CN"/>
              </w:rPr>
              <w:t>声源工作时间，</w:t>
            </w:r>
            <w:r>
              <w:rPr>
                <w:rFonts w:hint="default"/>
                <w:color w:val="auto"/>
                <w:sz w:val="24"/>
                <w:highlight w:val="none"/>
                <w:lang w:val="en-US" w:eastAsia="zh-CN"/>
              </w:rPr>
              <w:t>s</w:t>
            </w:r>
            <w:r>
              <w:rPr>
                <w:rFonts w:hint="eastAsia"/>
                <w:color w:val="auto"/>
                <w:sz w:val="24"/>
                <w:highlight w:val="none"/>
                <w:lang w:val="en-US" w:eastAsia="zh-CN"/>
              </w:rPr>
              <w:t xml:space="preserve">； </w:t>
            </w:r>
          </w:p>
          <w:p>
            <w:pPr>
              <w:spacing w:line="360" w:lineRule="auto"/>
              <w:ind w:firstLine="480" w:firstLineChars="200"/>
              <w:rPr>
                <w:rFonts w:hint="eastAsia"/>
                <w:color w:val="auto"/>
                <w:sz w:val="24"/>
                <w:highlight w:val="none"/>
                <w:lang w:val="en-US" w:eastAsia="zh-CN"/>
              </w:rPr>
            </w:pPr>
            <w:r>
              <w:rPr>
                <w:rFonts w:hint="default"/>
                <w:color w:val="auto"/>
                <w:sz w:val="24"/>
                <w:highlight w:val="none"/>
                <w:lang w:val="en-US" w:eastAsia="zh-CN"/>
              </w:rPr>
              <w:t>M ——</w:t>
            </w:r>
            <w:r>
              <w:rPr>
                <w:rFonts w:hint="eastAsia"/>
                <w:color w:val="auto"/>
                <w:sz w:val="24"/>
                <w:highlight w:val="none"/>
                <w:lang w:val="en-US" w:eastAsia="zh-CN"/>
              </w:rPr>
              <w:t xml:space="preserve">等效室外声源个数； </w:t>
            </w:r>
          </w:p>
          <w:p>
            <w:pPr>
              <w:spacing w:line="360" w:lineRule="auto"/>
              <w:ind w:firstLine="480" w:firstLineChars="200"/>
              <w:rPr>
                <w:rFonts w:hint="eastAsia"/>
                <w:color w:val="auto"/>
                <w:sz w:val="24"/>
                <w:highlight w:val="none"/>
                <w:lang w:val="en-US" w:eastAsia="zh-CN"/>
              </w:rPr>
            </w:pPr>
            <w:r>
              <w:rPr>
                <w:rFonts w:hint="default"/>
                <w:color w:val="auto"/>
                <w:sz w:val="24"/>
                <w:highlight w:val="none"/>
                <w:lang w:val="en-US" w:eastAsia="zh-CN"/>
              </w:rPr>
              <w:t>t j ——</w:t>
            </w:r>
            <w:r>
              <w:rPr>
                <w:rFonts w:hint="eastAsia"/>
                <w:color w:val="auto"/>
                <w:sz w:val="24"/>
                <w:highlight w:val="none"/>
                <w:lang w:val="en-US" w:eastAsia="zh-CN"/>
              </w:rPr>
              <w:t xml:space="preserve">在 </w:t>
            </w:r>
            <w:r>
              <w:rPr>
                <w:rFonts w:hint="default"/>
                <w:color w:val="auto"/>
                <w:sz w:val="24"/>
                <w:highlight w:val="none"/>
                <w:lang w:val="en-US" w:eastAsia="zh-CN"/>
              </w:rPr>
              <w:t xml:space="preserve">T </w:t>
            </w:r>
            <w:r>
              <w:rPr>
                <w:rFonts w:hint="eastAsia"/>
                <w:color w:val="auto"/>
                <w:sz w:val="24"/>
                <w:highlight w:val="none"/>
                <w:lang w:val="en-US" w:eastAsia="zh-CN"/>
              </w:rPr>
              <w:t xml:space="preserve">时间内 </w:t>
            </w:r>
            <w:r>
              <w:rPr>
                <w:rFonts w:hint="default"/>
                <w:color w:val="auto"/>
                <w:sz w:val="24"/>
                <w:highlight w:val="none"/>
                <w:lang w:val="en-US" w:eastAsia="zh-CN"/>
              </w:rPr>
              <w:t xml:space="preserve">j </w:t>
            </w:r>
            <w:r>
              <w:rPr>
                <w:rFonts w:hint="eastAsia"/>
                <w:color w:val="auto"/>
                <w:sz w:val="24"/>
                <w:highlight w:val="none"/>
                <w:lang w:val="en-US" w:eastAsia="zh-CN"/>
              </w:rPr>
              <w:t>声源工作时间，</w:t>
            </w:r>
            <w:r>
              <w:rPr>
                <w:rFonts w:hint="default"/>
                <w:color w:val="auto"/>
                <w:sz w:val="24"/>
                <w:highlight w:val="none"/>
                <w:lang w:val="en-US" w:eastAsia="zh-CN"/>
              </w:rPr>
              <w:t>s</w:t>
            </w:r>
            <w:r>
              <w:rPr>
                <w:rFonts w:hint="eastAsia"/>
                <w:color w:val="auto"/>
                <w:sz w:val="24"/>
                <w:highlight w:val="none"/>
                <w:lang w:val="en-US" w:eastAsia="zh-CN"/>
              </w:rPr>
              <w:t xml:space="preserve">。 </w:t>
            </w:r>
          </w:p>
          <w:p>
            <w:pPr>
              <w:spacing w:line="360" w:lineRule="auto"/>
              <w:ind w:firstLine="480" w:firstLineChars="200"/>
              <w:rPr>
                <w:rFonts w:hint="default" w:eastAsia="宋体"/>
                <w:color w:val="auto"/>
                <w:sz w:val="24"/>
                <w:highlight w:val="none"/>
                <w:lang w:val="en-US" w:eastAsia="zh-CN"/>
              </w:rPr>
            </w:pPr>
            <w:r>
              <w:rPr>
                <w:rFonts w:hint="eastAsia"/>
                <w:color w:val="auto"/>
                <w:sz w:val="24"/>
                <w:highlight w:val="none"/>
                <w:lang w:val="en-US" w:eastAsia="zh-CN"/>
              </w:rPr>
              <w:t>预测点的预测等效声级（Leqg）：</w:t>
            </w:r>
          </w:p>
          <w:p>
            <w:pPr>
              <w:spacing w:line="360" w:lineRule="auto"/>
              <w:ind w:firstLine="420" w:firstLineChars="200"/>
              <w:rPr>
                <w:color w:val="auto"/>
                <w:sz w:val="24"/>
                <w:highlight w:val="none"/>
                <w:lang w:val="zh-CN"/>
              </w:rPr>
            </w:pPr>
            <w:r>
              <w:rPr>
                <w:color w:val="auto"/>
                <w:highlight w:val="none"/>
              </w:rPr>
              <w:drawing>
                <wp:inline distT="0" distB="0" distL="114300" distR="114300">
                  <wp:extent cx="4979670" cy="645795"/>
                  <wp:effectExtent l="0" t="0" r="11430" b="190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6"/>
                          <a:stretch>
                            <a:fillRect/>
                          </a:stretch>
                        </pic:blipFill>
                        <pic:spPr>
                          <a:xfrm>
                            <a:off x="0" y="0"/>
                            <a:ext cx="4979670" cy="645795"/>
                          </a:xfrm>
                          <a:prstGeom prst="rect">
                            <a:avLst/>
                          </a:prstGeom>
                          <a:noFill/>
                          <a:ln>
                            <a:noFill/>
                          </a:ln>
                        </pic:spPr>
                      </pic:pic>
                    </a:graphicData>
                  </a:graphic>
                </wp:inline>
              </w:drawing>
            </w:r>
          </w:p>
          <w:p>
            <w:pPr>
              <w:spacing w:line="360" w:lineRule="auto"/>
              <w:ind w:firstLine="480" w:firstLineChars="200"/>
              <w:rPr>
                <w:color w:val="auto"/>
                <w:sz w:val="24"/>
                <w:highlight w:val="none"/>
                <w:lang w:val="zh-CN"/>
              </w:rPr>
            </w:pPr>
            <w:r>
              <w:rPr>
                <w:color w:val="auto"/>
                <w:sz w:val="24"/>
                <w:highlight w:val="none"/>
                <w:lang w:val="zh-CN"/>
              </w:rPr>
              <w:t xml:space="preserve">式中： </w:t>
            </w:r>
            <w:r>
              <w:rPr>
                <w:rFonts w:hint="eastAsia"/>
                <w:color w:val="auto"/>
                <w:sz w:val="24"/>
                <w:highlight w:val="none"/>
                <w:lang w:val="en-US" w:eastAsia="zh-CN"/>
              </w:rPr>
              <w:t>Leqg</w:t>
            </w:r>
            <w:r>
              <w:rPr>
                <w:color w:val="auto"/>
                <w:sz w:val="24"/>
                <w:highlight w:val="none"/>
                <w:lang w:val="zh-CN"/>
              </w:rPr>
              <w:t>——建设项目声源在预测点产生的噪声贡献值，</w:t>
            </w:r>
            <w:r>
              <w:rPr>
                <w:rFonts w:hint="eastAsia"/>
                <w:color w:val="auto"/>
                <w:sz w:val="24"/>
                <w:highlight w:val="none"/>
                <w:lang w:val="en-US" w:eastAsia="zh-CN"/>
              </w:rPr>
              <w:t>dB</w:t>
            </w:r>
            <w:r>
              <w:rPr>
                <w:color w:val="auto"/>
                <w:sz w:val="24"/>
                <w:highlight w:val="none"/>
                <w:lang w:val="zh-CN"/>
              </w:rPr>
              <w:t>（</w:t>
            </w:r>
            <w:r>
              <w:rPr>
                <w:rFonts w:hint="eastAsia"/>
                <w:color w:val="auto"/>
                <w:sz w:val="24"/>
                <w:highlight w:val="none"/>
                <w:lang w:val="en-US" w:eastAsia="zh-CN"/>
              </w:rPr>
              <w:t>A</w:t>
            </w:r>
            <w:r>
              <w:rPr>
                <w:color w:val="auto"/>
                <w:sz w:val="24"/>
                <w:highlight w:val="none"/>
                <w:lang w:val="zh-CN"/>
              </w:rPr>
              <w:t>）；</w:t>
            </w:r>
          </w:p>
          <w:p>
            <w:pPr>
              <w:spacing w:line="360" w:lineRule="auto"/>
              <w:ind w:firstLine="480" w:firstLineChars="200"/>
              <w:rPr>
                <w:color w:val="auto"/>
                <w:sz w:val="24"/>
                <w:highlight w:val="none"/>
                <w:lang w:val="zh-CN"/>
              </w:rPr>
            </w:pPr>
            <w:r>
              <w:rPr>
                <w:rFonts w:hint="eastAsia"/>
                <w:color w:val="auto"/>
                <w:sz w:val="24"/>
                <w:highlight w:val="none"/>
                <w:lang w:val="en-US" w:eastAsia="zh-CN"/>
              </w:rPr>
              <w:t>Leqb</w:t>
            </w:r>
            <w:r>
              <w:rPr>
                <w:color w:val="auto"/>
                <w:sz w:val="24"/>
                <w:highlight w:val="none"/>
                <w:lang w:val="zh-CN"/>
              </w:rPr>
              <w:t>——预测点的背景噪声值，</w:t>
            </w:r>
            <w:r>
              <w:rPr>
                <w:rFonts w:hint="eastAsia"/>
                <w:color w:val="auto"/>
                <w:sz w:val="24"/>
                <w:highlight w:val="none"/>
                <w:lang w:val="en-US" w:eastAsia="zh-CN"/>
              </w:rPr>
              <w:t>dB</w:t>
            </w:r>
            <w:r>
              <w:rPr>
                <w:color w:val="auto"/>
                <w:sz w:val="24"/>
                <w:highlight w:val="none"/>
                <w:lang w:val="zh-CN"/>
              </w:rPr>
              <w:t>（</w:t>
            </w:r>
            <w:r>
              <w:rPr>
                <w:rFonts w:hint="eastAsia"/>
                <w:color w:val="auto"/>
                <w:sz w:val="24"/>
                <w:highlight w:val="none"/>
                <w:lang w:val="en-US" w:eastAsia="zh-CN"/>
              </w:rPr>
              <w:t>A</w:t>
            </w:r>
            <w:r>
              <w:rPr>
                <w:color w:val="auto"/>
                <w:sz w:val="24"/>
                <w:highlight w:val="none"/>
                <w:lang w:val="zh-CN"/>
              </w:rPr>
              <w:t>）。</w:t>
            </w:r>
          </w:p>
          <w:p>
            <w:pPr>
              <w:spacing w:line="360" w:lineRule="auto"/>
              <w:ind w:firstLine="480" w:firstLineChars="200"/>
              <w:rPr>
                <w:rFonts w:hint="default" w:eastAsia="宋体"/>
                <w:color w:val="auto"/>
                <w:sz w:val="24"/>
                <w:highlight w:val="none"/>
                <w:lang w:val="en-US" w:eastAsia="zh-CN"/>
              </w:rPr>
            </w:pPr>
            <w:r>
              <w:rPr>
                <w:rFonts w:hint="eastAsia"/>
                <w:color w:val="auto"/>
                <w:sz w:val="24"/>
                <w:highlight w:val="none"/>
                <w:lang w:val="en-US" w:eastAsia="zh-CN"/>
              </w:rPr>
              <w:t>本项目生产设备置于生产厂房内，仅冷却水塔露天安置，其噪声源强较低，生产设备主要采用建筑隔声、基础减振等降噪措施；经采取措施后，噪声值可降低15~20dB（A），各侧厂界处的噪声值详见下表。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表4-</w:t>
            </w:r>
            <w:r>
              <w:rPr>
                <w:rFonts w:hint="eastAsia" w:cs="Times New Roman"/>
                <w:color w:val="auto"/>
                <w:kern w:val="0"/>
                <w:sz w:val="24"/>
                <w:highlight w:val="none"/>
                <w:lang w:val="en-US" w:eastAsia="zh-CN"/>
              </w:rPr>
              <w:t>14</w:t>
            </w:r>
            <w:r>
              <w:rPr>
                <w:rFonts w:hint="eastAsia" w:ascii="Times New Roman" w:hAnsi="Times New Roman" w:eastAsia="宋体" w:cs="Times New Roman"/>
                <w:color w:val="auto"/>
                <w:kern w:val="0"/>
                <w:sz w:val="24"/>
                <w:highlight w:val="none"/>
                <w:lang w:val="en-US" w:eastAsia="zh-CN"/>
              </w:rPr>
              <w:t xml:space="preserve"> 各侧昼间厂界噪声达标情况  单位：dB（A）</w:t>
            </w:r>
          </w:p>
          <w:tbl>
            <w:tblPr>
              <w:tblStyle w:val="16"/>
              <w:tblW w:w="8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5"/>
              <w:gridCol w:w="1816"/>
              <w:gridCol w:w="3170"/>
              <w:gridCol w:w="1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605" w:type="dxa"/>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厂界</w:t>
                  </w:r>
                </w:p>
              </w:tc>
              <w:tc>
                <w:tcPr>
                  <w:tcW w:w="1816" w:type="dxa"/>
                  <w:vAlign w:val="center"/>
                </w:tcPr>
                <w:p>
                  <w:pPr>
                    <w:adjustRightInd w:val="0"/>
                    <w:snapToGrid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厂界噪声</w:t>
                  </w:r>
                </w:p>
              </w:tc>
              <w:tc>
                <w:tcPr>
                  <w:tcW w:w="3170" w:type="dxa"/>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标准值</w:t>
                  </w:r>
                </w:p>
              </w:tc>
              <w:tc>
                <w:tcPr>
                  <w:tcW w:w="1767" w:type="dxa"/>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05" w:type="dxa"/>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东厂界</w:t>
                  </w:r>
                </w:p>
              </w:tc>
              <w:tc>
                <w:tcPr>
                  <w:tcW w:w="1816" w:type="dxa"/>
                  <w:vAlign w:val="center"/>
                </w:tcPr>
                <w:p>
                  <w:pPr>
                    <w:adjustRightInd w:val="0"/>
                    <w:snapToGrid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49.0</w:t>
                  </w:r>
                </w:p>
              </w:tc>
              <w:tc>
                <w:tcPr>
                  <w:tcW w:w="3170" w:type="dxa"/>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昼间：65</w:t>
                  </w:r>
                </w:p>
              </w:tc>
              <w:tc>
                <w:tcPr>
                  <w:tcW w:w="1767" w:type="dxa"/>
                  <w:vMerge w:val="restart"/>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605" w:type="dxa"/>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南</w:t>
                  </w:r>
                  <w:r>
                    <w:rPr>
                      <w:rFonts w:hint="eastAsia" w:ascii="Times New Roman" w:hAnsi="Times New Roman" w:eastAsia="宋体" w:cs="Times New Roman"/>
                      <w:color w:val="auto"/>
                      <w:szCs w:val="21"/>
                      <w:highlight w:val="none"/>
                      <w:lang w:val="en-US" w:eastAsia="zh-CN"/>
                    </w:rPr>
                    <w:t>厂界</w:t>
                  </w:r>
                </w:p>
              </w:tc>
              <w:tc>
                <w:tcPr>
                  <w:tcW w:w="1816" w:type="dxa"/>
                  <w:vAlign w:val="center"/>
                </w:tcPr>
                <w:p>
                  <w:pPr>
                    <w:adjustRightInd w:val="0"/>
                    <w:snapToGrid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37.7</w:t>
                  </w:r>
                </w:p>
              </w:tc>
              <w:tc>
                <w:tcPr>
                  <w:tcW w:w="3170" w:type="dxa"/>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昼间：65</w:t>
                  </w:r>
                </w:p>
              </w:tc>
              <w:tc>
                <w:tcPr>
                  <w:tcW w:w="1767" w:type="dxa"/>
                  <w:vMerge w:val="continue"/>
                </w:tcPr>
                <w:p>
                  <w:pPr>
                    <w:adjustRightInd w:val="0"/>
                    <w:snapToGrid w:val="0"/>
                    <w:jc w:val="center"/>
                    <w:rPr>
                      <w:rFonts w:hint="default" w:ascii="Times New Roman" w:hAnsi="Times New Roman" w:eastAsia="宋体" w:cs="Times New Roman"/>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605" w:type="dxa"/>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西</w:t>
                  </w:r>
                  <w:r>
                    <w:rPr>
                      <w:rFonts w:hint="eastAsia" w:ascii="Times New Roman" w:hAnsi="Times New Roman" w:eastAsia="宋体" w:cs="Times New Roman"/>
                      <w:color w:val="auto"/>
                      <w:szCs w:val="21"/>
                      <w:highlight w:val="none"/>
                      <w:lang w:val="en-US" w:eastAsia="zh-CN"/>
                    </w:rPr>
                    <w:t>厂界</w:t>
                  </w:r>
                </w:p>
              </w:tc>
              <w:tc>
                <w:tcPr>
                  <w:tcW w:w="1816" w:type="dxa"/>
                  <w:vAlign w:val="center"/>
                </w:tcPr>
                <w:p>
                  <w:pPr>
                    <w:adjustRightInd w:val="0"/>
                    <w:snapToGrid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41.6</w:t>
                  </w:r>
                </w:p>
              </w:tc>
              <w:tc>
                <w:tcPr>
                  <w:tcW w:w="3170" w:type="dxa"/>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昼间：65</w:t>
                  </w:r>
                </w:p>
              </w:tc>
              <w:tc>
                <w:tcPr>
                  <w:tcW w:w="1767" w:type="dxa"/>
                  <w:vMerge w:val="continue"/>
                </w:tcPr>
                <w:p>
                  <w:pPr>
                    <w:adjustRightInd w:val="0"/>
                    <w:snapToGrid w:val="0"/>
                    <w:jc w:val="center"/>
                    <w:rPr>
                      <w:rFonts w:hint="default" w:ascii="Times New Roman" w:hAnsi="Times New Roman" w:eastAsia="宋体" w:cs="Times New Roman"/>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605" w:type="dxa"/>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北</w:t>
                  </w:r>
                  <w:r>
                    <w:rPr>
                      <w:rFonts w:hint="eastAsia" w:ascii="Times New Roman" w:hAnsi="Times New Roman" w:eastAsia="宋体" w:cs="Times New Roman"/>
                      <w:color w:val="auto"/>
                      <w:szCs w:val="21"/>
                      <w:highlight w:val="none"/>
                      <w:lang w:val="en-US" w:eastAsia="zh-CN"/>
                    </w:rPr>
                    <w:t>厂界</w:t>
                  </w:r>
                </w:p>
              </w:tc>
              <w:tc>
                <w:tcPr>
                  <w:tcW w:w="1816" w:type="dxa"/>
                  <w:vAlign w:val="center"/>
                </w:tcPr>
                <w:p>
                  <w:pPr>
                    <w:adjustRightInd w:val="0"/>
                    <w:snapToGrid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41.1</w:t>
                  </w:r>
                </w:p>
              </w:tc>
              <w:tc>
                <w:tcPr>
                  <w:tcW w:w="3170" w:type="dxa"/>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昼间：</w:t>
                  </w:r>
                  <w:r>
                    <w:rPr>
                      <w:rFonts w:hint="eastAsia" w:cs="Times New Roman"/>
                      <w:color w:val="auto"/>
                      <w:szCs w:val="21"/>
                      <w:highlight w:val="none"/>
                      <w:lang w:val="en-US" w:eastAsia="zh-CN"/>
                    </w:rPr>
                    <w:t>70</w:t>
                  </w:r>
                </w:p>
              </w:tc>
              <w:tc>
                <w:tcPr>
                  <w:tcW w:w="1767" w:type="dxa"/>
                  <w:vMerge w:val="continue"/>
                </w:tcPr>
                <w:p>
                  <w:pPr>
                    <w:adjustRightInd w:val="0"/>
                    <w:snapToGrid w:val="0"/>
                    <w:jc w:val="center"/>
                    <w:rPr>
                      <w:rFonts w:hint="default" w:ascii="Times New Roman" w:hAnsi="Times New Roman" w:eastAsia="宋体" w:cs="Times New Roman"/>
                      <w:color w:val="auto"/>
                      <w:szCs w:val="21"/>
                      <w:highlight w:val="none"/>
                      <w:lang w:val="en-US" w:eastAsia="zh-CN"/>
                    </w:rPr>
                  </w:pPr>
                </w:p>
              </w:tc>
            </w:tr>
          </w:tbl>
          <w:p>
            <w:pPr>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根据预测结果可知，在优先选用低产噪设备，并加装减震基座，合理布局，将生产设备均置于厂房内，利用建筑围墙隔声，合理安排工作时间等降噪措施后</w:t>
            </w:r>
            <w:r>
              <w:rPr>
                <w:rFonts w:hint="eastAsia" w:eastAsia="宋体" w:cs="Times New Roman"/>
                <w:color w:val="auto"/>
                <w:sz w:val="24"/>
                <w:lang w:val="en-US" w:eastAsia="zh-CN"/>
              </w:rPr>
              <w:t>，</w:t>
            </w:r>
            <w:r>
              <w:rPr>
                <w:rFonts w:hint="eastAsia" w:ascii="Times New Roman" w:hAnsi="Times New Roman" w:eastAsia="宋体" w:cs="Times New Roman"/>
                <w:color w:val="auto"/>
                <w:sz w:val="24"/>
                <w:lang w:val="en-US" w:eastAsia="zh-CN"/>
              </w:rPr>
              <w:t>本项目运营期</w:t>
            </w:r>
            <w:r>
              <w:rPr>
                <w:rFonts w:hint="eastAsia" w:cs="Times New Roman"/>
                <w:color w:val="auto"/>
                <w:kern w:val="0"/>
                <w:sz w:val="24"/>
                <w:lang w:val="en-US" w:eastAsia="zh-CN"/>
              </w:rPr>
              <w:t>北厂界满足</w:t>
            </w:r>
            <w:r>
              <w:rPr>
                <w:rFonts w:hint="default" w:ascii="Times New Roman" w:hAnsi="Times New Roman" w:eastAsia="宋体" w:cs="Times New Roman"/>
                <w:color w:val="auto"/>
                <w:kern w:val="0"/>
                <w:sz w:val="24"/>
                <w:lang w:val="en-US" w:eastAsia="zh-CN"/>
              </w:rPr>
              <w:t>《工业企业厂界环境噪声排放标准》（GB12348-2008）中</w:t>
            </w:r>
            <w:r>
              <w:rPr>
                <w:rFonts w:hint="eastAsia" w:cs="Times New Roman"/>
                <w:color w:val="auto"/>
                <w:kern w:val="0"/>
                <w:sz w:val="24"/>
                <w:lang w:val="en-US" w:eastAsia="zh-CN"/>
              </w:rPr>
              <w:t>4</w:t>
            </w:r>
            <w:r>
              <w:rPr>
                <w:rFonts w:hint="default" w:ascii="Times New Roman" w:hAnsi="Times New Roman" w:eastAsia="宋体" w:cs="Times New Roman"/>
                <w:color w:val="auto"/>
                <w:kern w:val="0"/>
                <w:sz w:val="24"/>
                <w:lang w:val="en-US" w:eastAsia="zh-CN"/>
              </w:rPr>
              <w:t>类标准</w:t>
            </w:r>
            <w:r>
              <w:rPr>
                <w:rFonts w:hint="eastAsia" w:ascii="Times New Roman" w:hAnsi="Times New Roman" w:eastAsia="宋体" w:cs="Times New Roman"/>
                <w:color w:val="auto"/>
                <w:sz w:val="24"/>
                <w:lang w:val="en-US" w:eastAsia="zh-CN"/>
              </w:rPr>
              <w:t>要求</w:t>
            </w:r>
            <w:r>
              <w:rPr>
                <w:rFonts w:hint="eastAsia" w:eastAsia="宋体" w:cs="Times New Roman"/>
                <w:color w:val="auto"/>
                <w:kern w:val="0"/>
                <w:sz w:val="24"/>
                <w:lang w:val="en-US" w:eastAsia="zh-CN"/>
              </w:rPr>
              <w:t>，</w:t>
            </w:r>
            <w:r>
              <w:rPr>
                <w:rFonts w:hint="eastAsia" w:cs="Times New Roman"/>
                <w:color w:val="auto"/>
                <w:kern w:val="0"/>
                <w:sz w:val="24"/>
                <w:lang w:val="en-US" w:eastAsia="zh-CN"/>
              </w:rPr>
              <w:t>东、西、南厂界满足</w:t>
            </w:r>
            <w:r>
              <w:rPr>
                <w:rFonts w:hint="default" w:ascii="Times New Roman" w:hAnsi="Times New Roman" w:eastAsia="宋体" w:cs="Times New Roman"/>
                <w:color w:val="auto"/>
                <w:kern w:val="0"/>
                <w:sz w:val="24"/>
                <w:lang w:val="en-US" w:eastAsia="zh-CN"/>
              </w:rPr>
              <w:t>《工业企业厂界环境噪声排放标准》（GB12348-2008）中</w:t>
            </w:r>
            <w:r>
              <w:rPr>
                <w:rFonts w:hint="eastAsia" w:eastAsia="宋体" w:cs="Times New Roman"/>
                <w:color w:val="auto"/>
                <w:kern w:val="0"/>
                <w:sz w:val="24"/>
                <w:lang w:val="en-US" w:eastAsia="zh-CN"/>
              </w:rPr>
              <w:t>3</w:t>
            </w:r>
            <w:r>
              <w:rPr>
                <w:rFonts w:hint="default" w:ascii="Times New Roman" w:hAnsi="Times New Roman" w:eastAsia="宋体" w:cs="Times New Roman"/>
                <w:color w:val="auto"/>
                <w:kern w:val="0"/>
                <w:sz w:val="24"/>
                <w:lang w:val="en-US" w:eastAsia="zh-CN"/>
              </w:rPr>
              <w:t>类标准</w:t>
            </w:r>
            <w:r>
              <w:rPr>
                <w:rFonts w:hint="eastAsia" w:ascii="Times New Roman" w:hAnsi="Times New Roman" w:eastAsia="宋体" w:cs="Times New Roman"/>
                <w:color w:val="auto"/>
                <w:sz w:val="24"/>
                <w:lang w:val="en-US" w:eastAsia="zh-CN"/>
              </w:rPr>
              <w:t>要求。</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表4-1</w:t>
            </w:r>
            <w:r>
              <w:rPr>
                <w:rFonts w:hint="eastAsia" w:eastAsia="宋体" w:cs="Times New Roman"/>
                <w:color w:val="auto"/>
                <w:sz w:val="24"/>
                <w:highlight w:val="none"/>
                <w:lang w:val="en-US" w:eastAsia="zh-CN"/>
              </w:rPr>
              <w:t>5</w:t>
            </w:r>
            <w:r>
              <w:rPr>
                <w:rFonts w:hint="eastAsia" w:ascii="Times New Roman" w:hAnsi="Times New Roman" w:eastAsia="宋体" w:cs="Times New Roman"/>
                <w:color w:val="auto"/>
                <w:sz w:val="24"/>
                <w:highlight w:val="none"/>
                <w:lang w:val="en-US" w:eastAsia="zh-CN"/>
              </w:rPr>
              <w:tab/>
            </w:r>
            <w:r>
              <w:rPr>
                <w:rFonts w:hint="eastAsia" w:ascii="Times New Roman" w:hAnsi="Times New Roman" w:eastAsia="宋体" w:cs="Times New Roman"/>
                <w:color w:val="auto"/>
                <w:sz w:val="24"/>
                <w:highlight w:val="none"/>
                <w:lang w:val="en-US" w:eastAsia="zh-CN"/>
              </w:rPr>
              <w:t>声环境保护目标噪声预测结果与达标分析表</w:t>
            </w:r>
            <w:r>
              <w:rPr>
                <w:rFonts w:hint="eastAsia" w:cs="Times New Roman"/>
                <w:color w:val="auto"/>
                <w:sz w:val="24"/>
                <w:highlight w:val="none"/>
                <w:lang w:val="en-US" w:eastAsia="zh-CN"/>
              </w:rPr>
              <w:t xml:space="preserve"> 单位：dB/（A）</w:t>
            </w:r>
          </w:p>
          <w:tbl>
            <w:tblPr>
              <w:tblStyle w:val="16"/>
              <w:tblW w:w="83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0"/>
              <w:gridCol w:w="1284"/>
              <w:gridCol w:w="1330"/>
              <w:gridCol w:w="1305"/>
              <w:gridCol w:w="881"/>
              <w:gridCol w:w="1267"/>
              <w:gridCol w:w="882"/>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0"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序号</w:t>
                  </w:r>
                </w:p>
              </w:tc>
              <w:tc>
                <w:tcPr>
                  <w:tcW w:w="76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声环境保护目标名称</w:t>
                  </w:r>
                </w:p>
              </w:tc>
              <w:tc>
                <w:tcPr>
                  <w:tcW w:w="79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噪声背景值</w:t>
                  </w:r>
                </w:p>
              </w:tc>
              <w:tc>
                <w:tcPr>
                  <w:tcW w:w="7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噪声现状值</w:t>
                  </w:r>
                </w:p>
              </w:tc>
              <w:tc>
                <w:tcPr>
                  <w:tcW w:w="52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噪声贡献值</w:t>
                  </w:r>
                </w:p>
              </w:tc>
              <w:tc>
                <w:tcPr>
                  <w:tcW w:w="75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噪声预测值</w:t>
                  </w:r>
                </w:p>
              </w:tc>
              <w:tc>
                <w:tcPr>
                  <w:tcW w:w="52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较现状增量</w:t>
                  </w:r>
                </w:p>
              </w:tc>
              <w:tc>
                <w:tcPr>
                  <w:tcW w:w="63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超标和达标情况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76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79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昼间</w:t>
                  </w:r>
                </w:p>
              </w:tc>
              <w:tc>
                <w:tcPr>
                  <w:tcW w:w="7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昼间</w:t>
                  </w:r>
                </w:p>
              </w:tc>
              <w:tc>
                <w:tcPr>
                  <w:tcW w:w="52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75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昼间</w:t>
                  </w:r>
                </w:p>
              </w:tc>
              <w:tc>
                <w:tcPr>
                  <w:tcW w:w="52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63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w:t>
                  </w:r>
                </w:p>
              </w:tc>
              <w:tc>
                <w:tcPr>
                  <w:tcW w:w="765" w:type="pct"/>
                  <w:vAlign w:val="center"/>
                </w:tcPr>
                <w:p>
                  <w:pPr>
                    <w:pStyle w:val="4"/>
                    <w:tabs>
                      <w:tab w:val="left" w:pos="1277"/>
                    </w:tabs>
                    <w:spacing w:line="240" w:lineRule="auto"/>
                    <w:jc w:val="center"/>
                    <w:rPr>
                      <w:rFonts w:hint="default" w:ascii="Times New Roman" w:hAnsi="Times New Roman" w:eastAsia="宋体" w:cs="Times New Roman"/>
                      <w:b w:val="0"/>
                      <w:bCs/>
                      <w:color w:val="auto"/>
                      <w:kern w:val="0"/>
                      <w:sz w:val="21"/>
                      <w:szCs w:val="21"/>
                      <w:highlight w:val="none"/>
                      <w:lang w:val="en-US" w:eastAsia="zh-CN" w:bidi="ar-SA"/>
                    </w:rPr>
                  </w:pPr>
                  <w:r>
                    <w:rPr>
                      <w:rFonts w:hint="eastAsia" w:eastAsia="宋体" w:cs="Times New Roman"/>
                      <w:b w:val="0"/>
                      <w:bCs/>
                      <w:color w:val="auto"/>
                      <w:sz w:val="21"/>
                      <w:szCs w:val="21"/>
                      <w:highlight w:val="none"/>
                      <w:lang w:val="en-US" w:eastAsia="zh-CN"/>
                    </w:rPr>
                    <w:t>1#居民点</w:t>
                  </w:r>
                </w:p>
              </w:tc>
              <w:tc>
                <w:tcPr>
                  <w:tcW w:w="79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52</w:t>
                  </w:r>
                </w:p>
              </w:tc>
              <w:tc>
                <w:tcPr>
                  <w:tcW w:w="7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52</w:t>
                  </w:r>
                </w:p>
              </w:tc>
              <w:tc>
                <w:tcPr>
                  <w:tcW w:w="52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9.6</w:t>
                  </w:r>
                </w:p>
              </w:tc>
              <w:tc>
                <w:tcPr>
                  <w:tcW w:w="75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52</w:t>
                  </w:r>
                </w:p>
              </w:tc>
              <w:tc>
                <w:tcPr>
                  <w:tcW w:w="52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63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2</w:t>
                  </w:r>
                </w:p>
              </w:tc>
              <w:tc>
                <w:tcPr>
                  <w:tcW w:w="765" w:type="pct"/>
                  <w:vAlign w:val="center"/>
                </w:tcPr>
                <w:p>
                  <w:pPr>
                    <w:pStyle w:val="4"/>
                    <w:tabs>
                      <w:tab w:val="left" w:pos="1277"/>
                    </w:tabs>
                    <w:spacing w:line="240" w:lineRule="auto"/>
                    <w:jc w:val="center"/>
                    <w:rPr>
                      <w:rFonts w:hint="eastAsia" w:ascii="Times New Roman" w:hAnsi="Times New Roman" w:eastAsia="宋体" w:cs="Times New Roman"/>
                      <w:b w:val="0"/>
                      <w:bCs/>
                      <w:color w:val="auto"/>
                      <w:kern w:val="0"/>
                      <w:sz w:val="21"/>
                      <w:szCs w:val="21"/>
                      <w:highlight w:val="none"/>
                      <w:lang w:val="en-US" w:eastAsia="zh-CN" w:bidi="ar-SA"/>
                    </w:rPr>
                  </w:pPr>
                  <w:r>
                    <w:rPr>
                      <w:rFonts w:hint="eastAsia" w:eastAsia="宋体" w:cs="Times New Roman"/>
                      <w:b w:val="0"/>
                      <w:bCs/>
                      <w:color w:val="auto"/>
                      <w:sz w:val="21"/>
                      <w:szCs w:val="21"/>
                      <w:highlight w:val="none"/>
                      <w:lang w:val="en-US" w:eastAsia="zh-CN"/>
                    </w:rPr>
                    <w:t>2#居民点</w:t>
                  </w:r>
                </w:p>
              </w:tc>
              <w:tc>
                <w:tcPr>
                  <w:tcW w:w="79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57</w:t>
                  </w:r>
                </w:p>
              </w:tc>
              <w:tc>
                <w:tcPr>
                  <w:tcW w:w="7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57</w:t>
                  </w:r>
                </w:p>
              </w:tc>
              <w:tc>
                <w:tcPr>
                  <w:tcW w:w="52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10.5</w:t>
                  </w:r>
                </w:p>
              </w:tc>
              <w:tc>
                <w:tcPr>
                  <w:tcW w:w="75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57</w:t>
                  </w:r>
                </w:p>
              </w:tc>
              <w:tc>
                <w:tcPr>
                  <w:tcW w:w="52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63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w:t>
                  </w:r>
                </w:p>
              </w:tc>
              <w:tc>
                <w:tcPr>
                  <w:tcW w:w="765" w:type="pct"/>
                  <w:vAlign w:val="center"/>
                </w:tcPr>
                <w:p>
                  <w:pPr>
                    <w:pStyle w:val="4"/>
                    <w:tabs>
                      <w:tab w:val="left" w:pos="1277"/>
                    </w:tabs>
                    <w:spacing w:line="240" w:lineRule="auto"/>
                    <w:jc w:val="center"/>
                    <w:rPr>
                      <w:rFonts w:hint="eastAsia" w:eastAsia="宋体" w:cs="Times New Roman"/>
                      <w:b w:val="0"/>
                      <w:bCs/>
                      <w:color w:val="auto"/>
                      <w:sz w:val="21"/>
                      <w:szCs w:val="21"/>
                      <w:highlight w:val="none"/>
                      <w:lang w:val="en-US" w:eastAsia="zh-CN"/>
                    </w:rPr>
                  </w:pPr>
                  <w:r>
                    <w:rPr>
                      <w:rFonts w:hint="eastAsia" w:eastAsia="宋体" w:cs="Times New Roman"/>
                      <w:bCs w:val="0"/>
                      <w:color w:val="auto"/>
                      <w:kern w:val="0"/>
                      <w:sz w:val="21"/>
                      <w:szCs w:val="21"/>
                      <w:highlight w:val="none"/>
                      <w:lang w:val="en-US" w:eastAsia="zh-CN" w:bidi="ar-SA"/>
                    </w:rPr>
                    <w:t>3</w:t>
                  </w:r>
                  <w:r>
                    <w:rPr>
                      <w:rFonts w:hint="eastAsia" w:eastAsia="宋体" w:cs="Times New Roman"/>
                      <w:bCs w:val="0"/>
                      <w:color w:val="auto"/>
                      <w:sz w:val="21"/>
                      <w:szCs w:val="21"/>
                      <w:highlight w:val="none"/>
                      <w:lang w:val="en-US" w:eastAsia="zh-CN"/>
                    </w:rPr>
                    <w:t>#居民点</w:t>
                  </w:r>
                </w:p>
              </w:tc>
              <w:tc>
                <w:tcPr>
                  <w:tcW w:w="79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52</w:t>
                  </w:r>
                </w:p>
              </w:tc>
              <w:tc>
                <w:tcPr>
                  <w:tcW w:w="77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52</w:t>
                  </w:r>
                </w:p>
              </w:tc>
              <w:tc>
                <w:tcPr>
                  <w:tcW w:w="52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11.9</w:t>
                  </w:r>
                </w:p>
              </w:tc>
              <w:tc>
                <w:tcPr>
                  <w:tcW w:w="75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52</w:t>
                  </w:r>
                </w:p>
              </w:tc>
              <w:tc>
                <w:tcPr>
                  <w:tcW w:w="52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w:t>
                  </w:r>
                </w:p>
              </w:tc>
              <w:tc>
                <w:tcPr>
                  <w:tcW w:w="63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达标</w:t>
                  </w:r>
                </w:p>
              </w:tc>
            </w:tr>
          </w:tbl>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highlight w:val="none"/>
                <w:lang w:val="en-US" w:eastAsia="zh-CN"/>
              </w:rPr>
              <w:t>由上表可知，正常工况下，项目</w:t>
            </w:r>
            <w:r>
              <w:rPr>
                <w:rFonts w:hint="eastAsia" w:cs="Times New Roman"/>
                <w:color w:val="auto"/>
                <w:sz w:val="24"/>
                <w:highlight w:val="none"/>
                <w:lang w:val="en-US" w:eastAsia="zh-CN"/>
              </w:rPr>
              <w:t>1#居民点及3#居民点</w:t>
            </w:r>
            <w:r>
              <w:rPr>
                <w:rFonts w:hint="eastAsia" w:ascii="Times New Roman" w:hAnsi="Times New Roman" w:eastAsia="宋体" w:cs="Times New Roman"/>
                <w:color w:val="auto"/>
                <w:sz w:val="24"/>
                <w:highlight w:val="none"/>
                <w:lang w:val="en-US" w:eastAsia="zh-CN"/>
              </w:rPr>
              <w:t>声环境保护目标噪声满足《声环境质量标准》(GB3096-2008) 2类标准</w:t>
            </w:r>
            <w:r>
              <w:rPr>
                <w:rFonts w:hint="eastAsia" w:cs="Times New Roman"/>
                <w:color w:val="auto"/>
                <w:sz w:val="24"/>
                <w:highlight w:val="none"/>
                <w:lang w:val="en-US" w:eastAsia="zh-CN"/>
              </w:rPr>
              <w:t>，2#居民点</w:t>
            </w:r>
            <w:r>
              <w:rPr>
                <w:rFonts w:hint="eastAsia" w:ascii="Times New Roman" w:hAnsi="Times New Roman" w:eastAsia="宋体" w:cs="Times New Roman"/>
                <w:color w:val="auto"/>
                <w:sz w:val="24"/>
                <w:highlight w:val="none"/>
                <w:lang w:val="en-US" w:eastAsia="zh-CN"/>
              </w:rPr>
              <w:t>声环境保护目标噪声满足《声环境质量标准》(GB3096-2008) 4a类标准。</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lang w:val="en-US" w:eastAsia="zh-CN"/>
              </w:rPr>
              <w:t>综上，本项目</w:t>
            </w:r>
            <w:r>
              <w:rPr>
                <w:rFonts w:hint="eastAsia" w:cs="Times New Roman"/>
                <w:color w:val="auto"/>
                <w:sz w:val="24"/>
                <w:lang w:val="en-US" w:eastAsia="zh-CN"/>
              </w:rPr>
              <w:t>运营期</w:t>
            </w:r>
            <w:r>
              <w:rPr>
                <w:rFonts w:hint="eastAsia" w:ascii="Times New Roman" w:hAnsi="Times New Roman" w:eastAsia="宋体" w:cs="Times New Roman"/>
                <w:color w:val="auto"/>
                <w:sz w:val="24"/>
                <w:lang w:val="en-US" w:eastAsia="zh-CN"/>
              </w:rPr>
              <w:t>生产设备运行噪声对外环境影响较小。</w:t>
            </w:r>
          </w:p>
          <w:p>
            <w:pPr>
              <w:spacing w:line="360" w:lineRule="auto"/>
              <w:ind w:firstLine="480" w:firstLineChars="200"/>
              <w:rPr>
                <w:rFonts w:ascii="Times New Roman" w:hAnsi="Times New Roman" w:eastAsia="宋体" w:cs="Times New Roman"/>
                <w:color w:val="auto"/>
                <w:sz w:val="24"/>
                <w:highlight w:val="none"/>
                <w:lang w:val="zh-CN"/>
              </w:rPr>
            </w:pPr>
            <w:r>
              <w:rPr>
                <w:rFonts w:hint="eastAsia" w:ascii="Times New Roman" w:hAnsi="Times New Roman" w:eastAsia="宋体" w:cs="Times New Roman"/>
                <w:color w:val="auto"/>
                <w:sz w:val="24"/>
                <w:highlight w:val="none"/>
                <w:lang w:val="zh-CN"/>
              </w:rPr>
              <w:t>（3）</w:t>
            </w:r>
            <w:r>
              <w:rPr>
                <w:rFonts w:ascii="Times New Roman" w:hAnsi="Times New Roman" w:eastAsia="宋体" w:cs="Times New Roman"/>
                <w:color w:val="auto"/>
                <w:sz w:val="24"/>
                <w:highlight w:val="none"/>
                <w:lang w:val="zh-CN"/>
              </w:rPr>
              <w:t>降噪措施</w:t>
            </w:r>
          </w:p>
          <w:p>
            <w:pPr>
              <w:spacing w:line="360" w:lineRule="auto"/>
              <w:ind w:firstLine="480" w:firstLineChars="200"/>
              <w:rPr>
                <w:rFonts w:ascii="Times New Roman" w:hAnsi="Times New Roman" w:eastAsia="宋体" w:cs="Times New Roman"/>
                <w:color w:val="auto"/>
                <w:sz w:val="24"/>
                <w:highlight w:val="none"/>
                <w:lang w:val="zh-CN"/>
              </w:rPr>
            </w:pPr>
            <w:r>
              <w:rPr>
                <w:rFonts w:ascii="Times New Roman" w:hAnsi="Times New Roman" w:eastAsia="宋体" w:cs="Times New Roman"/>
                <w:color w:val="auto"/>
                <w:sz w:val="24"/>
                <w:highlight w:val="none"/>
                <w:lang w:val="zh-CN"/>
              </w:rPr>
              <w:t>本环评要求建设单位拟采取严格的降噪措施和管理方式，具体采用的降噪措施有：</w:t>
            </w:r>
          </w:p>
          <w:p>
            <w:pPr>
              <w:spacing w:line="360" w:lineRule="auto"/>
              <w:ind w:firstLine="480" w:firstLineChars="200"/>
              <w:rPr>
                <w:rFonts w:ascii="Times New Roman" w:hAnsi="Times New Roman" w:eastAsia="宋体" w:cs="Times New Roman"/>
                <w:color w:val="auto"/>
                <w:sz w:val="24"/>
                <w:highlight w:val="none"/>
                <w:lang w:val="zh-CN"/>
              </w:rPr>
            </w:pPr>
            <w:r>
              <w:rPr>
                <w:rFonts w:ascii="Times New Roman" w:hAnsi="Times New Roman" w:eastAsia="宋体" w:cs="Times New Roman"/>
                <w:color w:val="auto"/>
                <w:sz w:val="24"/>
                <w:highlight w:val="none"/>
                <w:lang w:val="zh-CN"/>
              </w:rPr>
              <w:t>①合理布置声源，在保证工艺生产的同时注意选用低噪声的设备。</w:t>
            </w:r>
          </w:p>
          <w:p>
            <w:pPr>
              <w:spacing w:line="360" w:lineRule="auto"/>
              <w:ind w:firstLine="480" w:firstLineChars="200"/>
              <w:rPr>
                <w:rFonts w:ascii="Times New Roman" w:hAnsi="Times New Roman" w:eastAsia="宋体" w:cs="Times New Roman"/>
                <w:color w:val="auto"/>
                <w:sz w:val="24"/>
                <w:highlight w:val="none"/>
                <w:lang w:val="zh-CN"/>
              </w:rPr>
            </w:pPr>
            <w:r>
              <w:rPr>
                <w:rFonts w:ascii="Times New Roman" w:hAnsi="Times New Roman" w:eastAsia="宋体" w:cs="Times New Roman"/>
                <w:color w:val="auto"/>
                <w:sz w:val="24"/>
                <w:highlight w:val="none"/>
                <w:lang w:val="zh-CN"/>
              </w:rPr>
              <w:t>②对产生机械噪声的设备，在设备与地面之间安装减振装置</w:t>
            </w:r>
            <w:r>
              <w:rPr>
                <w:rFonts w:hint="eastAsia" w:ascii="Times New Roman" w:hAnsi="Times New Roman" w:eastAsia="宋体" w:cs="Times New Roman"/>
                <w:color w:val="auto"/>
                <w:sz w:val="24"/>
                <w:highlight w:val="none"/>
                <w:lang w:val="zh-CN"/>
              </w:rPr>
              <w:t>，</w:t>
            </w:r>
            <w:r>
              <w:rPr>
                <w:rFonts w:ascii="Times New Roman" w:hAnsi="Times New Roman" w:eastAsia="宋体" w:cs="Times New Roman"/>
                <w:color w:val="auto"/>
                <w:sz w:val="24"/>
                <w:highlight w:val="none"/>
                <w:lang w:val="zh-CN"/>
              </w:rPr>
              <w:t>设备安装时注意动静平衡的调试，机械设备加强维修保养，适时添加润滑油防止机械磨损。</w:t>
            </w:r>
          </w:p>
          <w:p>
            <w:pPr>
              <w:spacing w:line="360" w:lineRule="auto"/>
              <w:ind w:firstLine="480" w:firstLineChars="200"/>
              <w:rPr>
                <w:rFonts w:ascii="Times New Roman" w:hAnsi="Times New Roman" w:eastAsia="宋体" w:cs="Times New Roman"/>
                <w:color w:val="auto"/>
                <w:sz w:val="24"/>
                <w:highlight w:val="none"/>
                <w:lang w:val="zh-CN"/>
              </w:rPr>
            </w:pPr>
            <w:r>
              <w:rPr>
                <w:rFonts w:ascii="Times New Roman" w:hAnsi="Times New Roman" w:eastAsia="宋体" w:cs="Times New Roman"/>
                <w:color w:val="auto"/>
                <w:sz w:val="24"/>
                <w:highlight w:val="none"/>
                <w:lang w:val="zh-CN"/>
              </w:rPr>
              <w:t>③产生噪声的机电设备与地面柔性连接，设置隔振基础；对风机采取减振、隔声等降噪措施。</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ascii="Times New Roman" w:hAnsi="Times New Roman" w:eastAsia="宋体" w:cs="Times New Roman"/>
                <w:color w:val="auto"/>
                <w:sz w:val="24"/>
                <w:highlight w:val="none"/>
                <w:lang w:val="zh-CN"/>
              </w:rPr>
              <w:t>综上所述，本项目</w:t>
            </w:r>
            <w:r>
              <w:rPr>
                <w:rFonts w:hint="eastAsia" w:ascii="Times New Roman" w:hAnsi="Times New Roman" w:eastAsia="宋体" w:cs="Times New Roman"/>
                <w:color w:val="auto"/>
                <w:sz w:val="24"/>
                <w:highlight w:val="none"/>
                <w:lang w:val="zh-CN"/>
              </w:rPr>
              <w:t>运营期</w:t>
            </w:r>
            <w:r>
              <w:rPr>
                <w:rFonts w:ascii="Times New Roman" w:hAnsi="Times New Roman" w:eastAsia="宋体" w:cs="Times New Roman"/>
                <w:color w:val="auto"/>
                <w:sz w:val="24"/>
                <w:highlight w:val="none"/>
                <w:lang w:val="zh-CN"/>
              </w:rPr>
              <w:t>噪声经采取评价提出的措施后，对周围环境不会产生明显的影响。</w:t>
            </w:r>
          </w:p>
          <w:p>
            <w:pPr>
              <w:spacing w:line="360" w:lineRule="auto"/>
              <w:ind w:firstLine="480" w:firstLineChars="200"/>
              <w:rPr>
                <w:rFonts w:ascii="Times New Roman" w:hAnsi="Times New Roman" w:eastAsia="宋体" w:cs="Times New Roman"/>
                <w:color w:val="auto"/>
                <w:sz w:val="24"/>
                <w:highlight w:val="none"/>
                <w:lang w:val="zh-CN"/>
              </w:rPr>
            </w:pPr>
            <w:r>
              <w:rPr>
                <w:rFonts w:ascii="Times New Roman" w:hAnsi="Times New Roman" w:eastAsia="宋体" w:cs="Times New Roman"/>
                <w:color w:val="auto"/>
                <w:sz w:val="24"/>
                <w:highlight w:val="none"/>
                <w:lang w:val="zh-CN"/>
              </w:rPr>
              <w:t>3）噪声污染措施</w:t>
            </w:r>
          </w:p>
          <w:p>
            <w:pPr>
              <w:spacing w:line="360" w:lineRule="auto"/>
              <w:ind w:firstLine="480" w:firstLineChars="200"/>
              <w:rPr>
                <w:rFonts w:ascii="Times New Roman" w:hAnsi="Times New Roman" w:eastAsia="宋体" w:cs="Times New Roman"/>
                <w:color w:val="auto"/>
                <w:sz w:val="24"/>
                <w:highlight w:val="none"/>
                <w:lang w:val="zh-CN"/>
              </w:rPr>
            </w:pPr>
            <w:r>
              <w:rPr>
                <w:rFonts w:ascii="Times New Roman" w:hAnsi="Times New Roman" w:eastAsia="宋体" w:cs="Times New Roman"/>
                <w:color w:val="auto"/>
                <w:sz w:val="24"/>
                <w:highlight w:val="none"/>
                <w:lang w:val="zh-CN"/>
              </w:rPr>
              <w:t>在满足生产工艺要求的前提下，尽量选用低噪声设备，做好设备维护保养；所有生产设备均设置于车间内，采取建筑隔声；另外，高噪声设备采取基础</w:t>
            </w:r>
            <w:r>
              <w:rPr>
                <w:rFonts w:hint="eastAsia" w:cs="Times New Roman"/>
                <w:color w:val="auto"/>
                <w:sz w:val="24"/>
                <w:highlight w:val="none"/>
                <w:lang w:val="zh-CN"/>
              </w:rPr>
              <w:t>减振措施</w:t>
            </w:r>
            <w:r>
              <w:rPr>
                <w:rFonts w:ascii="Times New Roman" w:hAnsi="Times New Roman" w:eastAsia="宋体" w:cs="Times New Roman"/>
                <w:color w:val="auto"/>
                <w:sz w:val="24"/>
                <w:highlight w:val="none"/>
                <w:lang w:val="zh-CN"/>
              </w:rPr>
              <w:t>。</w:t>
            </w:r>
          </w:p>
          <w:p>
            <w:pPr>
              <w:spacing w:line="360" w:lineRule="auto"/>
              <w:ind w:firstLine="480" w:firstLineChars="200"/>
              <w:rPr>
                <w:rFonts w:ascii="Times New Roman" w:hAnsi="Times New Roman" w:eastAsia="宋体" w:cs="Times New Roman"/>
                <w:color w:val="auto"/>
                <w:sz w:val="24"/>
                <w:highlight w:val="none"/>
                <w:lang w:val="zh-CN"/>
              </w:rPr>
            </w:pPr>
            <w:r>
              <w:rPr>
                <w:rFonts w:ascii="Times New Roman" w:hAnsi="Times New Roman" w:eastAsia="宋体" w:cs="Times New Roman"/>
                <w:color w:val="auto"/>
                <w:sz w:val="24"/>
                <w:highlight w:val="none"/>
                <w:lang w:val="zh-CN"/>
              </w:rPr>
              <w:t>4）污染物监测计划</w:t>
            </w:r>
          </w:p>
          <w:p>
            <w:pPr>
              <w:spacing w:line="360" w:lineRule="auto"/>
              <w:ind w:firstLine="480" w:firstLineChars="200"/>
              <w:rPr>
                <w:rFonts w:ascii="Times New Roman" w:hAnsi="Times New Roman" w:eastAsia="宋体" w:cs="Times New Roman"/>
                <w:color w:val="auto"/>
                <w:sz w:val="24"/>
                <w:highlight w:val="none"/>
                <w:lang w:val="zh-CN"/>
              </w:rPr>
            </w:pPr>
            <w:r>
              <w:rPr>
                <w:rFonts w:ascii="Times New Roman" w:hAnsi="Times New Roman" w:eastAsia="宋体" w:cs="Times New Roman"/>
                <w:color w:val="auto"/>
                <w:sz w:val="24"/>
                <w:highlight w:val="none"/>
                <w:lang w:val="zh-CN"/>
              </w:rPr>
              <w:t>按照《排污单位自行监测技术指南-总则》（HJ819-2017），制定如下监测计划：</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表</w:t>
            </w:r>
            <w:r>
              <w:rPr>
                <w:rFonts w:hint="eastAsia" w:ascii="Times New Roman" w:hAnsi="Times New Roman" w:eastAsia="宋体" w:cs="Times New Roman"/>
                <w:color w:val="auto"/>
                <w:sz w:val="24"/>
                <w:highlight w:val="none"/>
                <w:lang w:val="en-US" w:eastAsia="zh-CN"/>
              </w:rPr>
              <w:t>4-</w:t>
            </w:r>
            <w:r>
              <w:rPr>
                <w:rFonts w:hint="eastAsia" w:cs="Times New Roman"/>
                <w:color w:val="auto"/>
                <w:sz w:val="24"/>
                <w:highlight w:val="none"/>
                <w:lang w:val="en-US" w:eastAsia="zh-CN"/>
              </w:rPr>
              <w:t>15</w:t>
            </w:r>
            <w:r>
              <w:rPr>
                <w:rFonts w:hint="eastAsia" w:ascii="Times New Roman" w:hAnsi="Times New Roman" w:eastAsia="宋体" w:cs="Times New Roman"/>
                <w:color w:val="auto"/>
                <w:sz w:val="24"/>
                <w:highlight w:val="none"/>
                <w:lang w:val="en-US" w:eastAsia="zh-CN"/>
              </w:rPr>
              <w:t xml:space="preserve"> </w:t>
            </w:r>
            <w:r>
              <w:rPr>
                <w:rFonts w:hint="eastAsia" w:ascii="Times New Roman" w:hAnsi="Times New Roman" w:eastAsia="宋体" w:cs="Times New Roman"/>
                <w:color w:val="auto"/>
                <w:sz w:val="24"/>
                <w:highlight w:val="none"/>
              </w:rPr>
              <w:t>噪声监测计划一览表</w:t>
            </w:r>
          </w:p>
          <w:tbl>
            <w:tblPr>
              <w:tblStyle w:val="15"/>
              <w:tblW w:w="8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28" w:type="dxa"/>
                <w:bottom w:w="57" w:type="dxa"/>
                <w:right w:w="28" w:type="dxa"/>
              </w:tblCellMar>
            </w:tblPr>
            <w:tblGrid>
              <w:gridCol w:w="1359"/>
              <w:gridCol w:w="2155"/>
              <w:gridCol w:w="1145"/>
              <w:gridCol w:w="3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cantSplit/>
                <w:trHeight w:val="90" w:hRule="atLeast"/>
                <w:tblHeader/>
                <w:jc w:val="center"/>
              </w:trPr>
              <w:tc>
                <w:tcPr>
                  <w:tcW w:w="810" w:type="pct"/>
                  <w:noWrap w:val="0"/>
                  <w:vAlign w:val="center"/>
                </w:tcPr>
                <w:p>
                  <w:pPr>
                    <w:pStyle w:val="24"/>
                    <w:spacing w:before="0" w:line="240" w:lineRule="auto"/>
                    <w:rPr>
                      <w:b/>
                      <w:color w:val="auto"/>
                      <w:sz w:val="21"/>
                      <w:szCs w:val="21"/>
                      <w:highlight w:val="none"/>
                    </w:rPr>
                  </w:pPr>
                  <w:r>
                    <w:rPr>
                      <w:b/>
                      <w:color w:val="auto"/>
                      <w:sz w:val="21"/>
                      <w:szCs w:val="21"/>
                      <w:highlight w:val="none"/>
                    </w:rPr>
                    <w:t>监测对象</w:t>
                  </w:r>
                </w:p>
              </w:tc>
              <w:tc>
                <w:tcPr>
                  <w:tcW w:w="1285" w:type="pct"/>
                  <w:noWrap w:val="0"/>
                  <w:vAlign w:val="center"/>
                </w:tcPr>
                <w:p>
                  <w:pPr>
                    <w:pStyle w:val="24"/>
                    <w:spacing w:before="0" w:line="240" w:lineRule="auto"/>
                    <w:rPr>
                      <w:b/>
                      <w:color w:val="auto"/>
                      <w:sz w:val="21"/>
                      <w:szCs w:val="21"/>
                      <w:highlight w:val="none"/>
                    </w:rPr>
                  </w:pPr>
                  <w:r>
                    <w:rPr>
                      <w:b/>
                      <w:color w:val="auto"/>
                      <w:sz w:val="21"/>
                      <w:szCs w:val="21"/>
                      <w:highlight w:val="none"/>
                    </w:rPr>
                    <w:t>监测点</w:t>
                  </w:r>
                </w:p>
              </w:tc>
              <w:tc>
                <w:tcPr>
                  <w:tcW w:w="683" w:type="pct"/>
                  <w:noWrap w:val="0"/>
                  <w:vAlign w:val="center"/>
                </w:tcPr>
                <w:p>
                  <w:pPr>
                    <w:pStyle w:val="24"/>
                    <w:spacing w:before="0" w:line="240" w:lineRule="auto"/>
                    <w:rPr>
                      <w:b/>
                      <w:color w:val="auto"/>
                      <w:sz w:val="21"/>
                      <w:szCs w:val="21"/>
                      <w:highlight w:val="none"/>
                    </w:rPr>
                  </w:pPr>
                  <w:r>
                    <w:rPr>
                      <w:b/>
                      <w:color w:val="auto"/>
                      <w:sz w:val="21"/>
                      <w:szCs w:val="21"/>
                      <w:highlight w:val="none"/>
                    </w:rPr>
                    <w:t>监测因子</w:t>
                  </w:r>
                </w:p>
              </w:tc>
              <w:tc>
                <w:tcPr>
                  <w:tcW w:w="2219" w:type="pct"/>
                  <w:noWrap w:val="0"/>
                  <w:vAlign w:val="center"/>
                </w:tcPr>
                <w:p>
                  <w:pPr>
                    <w:pStyle w:val="24"/>
                    <w:spacing w:before="0" w:line="240" w:lineRule="auto"/>
                    <w:rPr>
                      <w:b/>
                      <w:color w:val="auto"/>
                      <w:sz w:val="21"/>
                      <w:szCs w:val="21"/>
                      <w:highlight w:val="none"/>
                    </w:rPr>
                  </w:pPr>
                  <w:r>
                    <w:rPr>
                      <w:b/>
                      <w:color w:val="auto"/>
                      <w:sz w:val="21"/>
                      <w:szCs w:val="21"/>
                      <w:highlight w:val="none"/>
                    </w:rPr>
                    <w:t>监测时段与方法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cantSplit/>
                <w:trHeight w:val="90" w:hRule="atLeast"/>
                <w:tblHeader/>
                <w:jc w:val="center"/>
              </w:trPr>
              <w:tc>
                <w:tcPr>
                  <w:tcW w:w="810" w:type="pct"/>
                  <w:noWrap w:val="0"/>
                  <w:vAlign w:val="center"/>
                </w:tcPr>
                <w:p>
                  <w:pPr>
                    <w:pStyle w:val="24"/>
                    <w:spacing w:before="0" w:line="240" w:lineRule="auto"/>
                    <w:rPr>
                      <w:color w:val="auto"/>
                      <w:sz w:val="21"/>
                      <w:szCs w:val="21"/>
                      <w:highlight w:val="none"/>
                    </w:rPr>
                  </w:pPr>
                  <w:r>
                    <w:rPr>
                      <w:color w:val="auto"/>
                      <w:sz w:val="21"/>
                      <w:szCs w:val="21"/>
                      <w:highlight w:val="none"/>
                    </w:rPr>
                    <w:t>厂界噪声</w:t>
                  </w:r>
                </w:p>
              </w:tc>
              <w:tc>
                <w:tcPr>
                  <w:tcW w:w="1285" w:type="pct"/>
                  <w:noWrap w:val="0"/>
                  <w:vAlign w:val="center"/>
                </w:tcPr>
                <w:p>
                  <w:pPr>
                    <w:pStyle w:val="24"/>
                    <w:spacing w:before="0" w:line="240" w:lineRule="auto"/>
                    <w:rPr>
                      <w:color w:val="auto"/>
                      <w:sz w:val="21"/>
                      <w:szCs w:val="21"/>
                      <w:highlight w:val="none"/>
                    </w:rPr>
                  </w:pPr>
                  <w:r>
                    <w:rPr>
                      <w:color w:val="auto"/>
                      <w:sz w:val="21"/>
                      <w:szCs w:val="21"/>
                      <w:highlight w:val="none"/>
                    </w:rPr>
                    <w:t>东、西、南、北厂界</w:t>
                  </w:r>
                </w:p>
              </w:tc>
              <w:tc>
                <w:tcPr>
                  <w:tcW w:w="683" w:type="pct"/>
                  <w:noWrap w:val="0"/>
                  <w:vAlign w:val="center"/>
                </w:tcPr>
                <w:p>
                  <w:pPr>
                    <w:pStyle w:val="24"/>
                    <w:spacing w:before="0" w:line="240" w:lineRule="auto"/>
                    <w:rPr>
                      <w:color w:val="auto"/>
                      <w:sz w:val="21"/>
                      <w:szCs w:val="21"/>
                      <w:highlight w:val="none"/>
                    </w:rPr>
                  </w:pPr>
                  <w:r>
                    <w:rPr>
                      <w:color w:val="auto"/>
                      <w:sz w:val="21"/>
                      <w:szCs w:val="21"/>
                      <w:highlight w:val="none"/>
                    </w:rPr>
                    <w:t>厂界噪声</w:t>
                  </w:r>
                </w:p>
              </w:tc>
              <w:tc>
                <w:tcPr>
                  <w:tcW w:w="2219" w:type="pct"/>
                  <w:noWrap w:val="0"/>
                  <w:vAlign w:val="center"/>
                </w:tcPr>
                <w:p>
                  <w:pPr>
                    <w:pStyle w:val="24"/>
                    <w:spacing w:before="0" w:line="240" w:lineRule="auto"/>
                    <w:rPr>
                      <w:color w:val="auto"/>
                      <w:sz w:val="21"/>
                      <w:szCs w:val="21"/>
                      <w:highlight w:val="none"/>
                    </w:rPr>
                  </w:pPr>
                  <w:r>
                    <w:rPr>
                      <w:color w:val="auto"/>
                      <w:sz w:val="21"/>
                      <w:szCs w:val="21"/>
                      <w:highlight w:val="none"/>
                    </w:rPr>
                    <w:t>验收时监测一次，运营期每季度1次</w:t>
                  </w:r>
                </w:p>
              </w:tc>
            </w:tr>
          </w:tbl>
          <w:p>
            <w:pPr>
              <w:spacing w:line="360" w:lineRule="auto"/>
              <w:ind w:firstLine="480" w:firstLineChars="200"/>
              <w:rPr>
                <w:rFonts w:hint="default" w:cs="Times New Roman"/>
                <w:color w:val="auto"/>
                <w:kern w:val="0"/>
                <w:sz w:val="24"/>
                <w:highlight w:val="none"/>
                <w:lang w:val="en-US" w:eastAsia="zh-CN"/>
              </w:rPr>
            </w:pPr>
            <w:r>
              <w:rPr>
                <w:rFonts w:hint="eastAsia" w:cs="Times New Roman"/>
                <w:color w:val="auto"/>
                <w:kern w:val="0"/>
                <w:sz w:val="24"/>
                <w:highlight w:val="none"/>
                <w:lang w:val="en-US" w:eastAsia="zh-CN"/>
              </w:rPr>
              <w:t>4、固废</w:t>
            </w:r>
          </w:p>
          <w:p>
            <w:pPr>
              <w:spacing w:line="360" w:lineRule="auto"/>
              <w:ind w:firstLine="480" w:firstLineChars="200"/>
              <w:rPr>
                <w:rFonts w:hint="default" w:cs="Times New Roman"/>
                <w:color w:val="auto"/>
                <w:kern w:val="0"/>
                <w:sz w:val="24"/>
                <w:highlight w:val="none"/>
                <w:lang w:val="en-US" w:eastAsia="zh-CN"/>
              </w:rPr>
            </w:pPr>
            <w:r>
              <w:rPr>
                <w:rFonts w:hint="eastAsia" w:cs="Times New Roman"/>
                <w:color w:val="auto"/>
                <w:kern w:val="0"/>
                <w:sz w:val="24"/>
                <w:highlight w:val="none"/>
                <w:lang w:val="en-US" w:eastAsia="zh-CN"/>
              </w:rPr>
              <w:t>（1）源强核算</w:t>
            </w:r>
          </w:p>
          <w:p>
            <w:pPr>
              <w:spacing w:line="360" w:lineRule="auto"/>
              <w:ind w:firstLine="480" w:firstLineChars="200"/>
              <w:rPr>
                <w:rFonts w:hint="eastAsia" w:cs="Times New Roman"/>
                <w:color w:val="auto"/>
                <w:kern w:val="0"/>
                <w:sz w:val="24"/>
                <w:highlight w:val="none"/>
                <w:lang w:val="en-US" w:eastAsia="zh-CN"/>
              </w:rPr>
            </w:pPr>
            <w:r>
              <w:rPr>
                <w:rFonts w:hint="eastAsia" w:cs="Times New Roman"/>
                <w:color w:val="auto"/>
                <w:kern w:val="0"/>
                <w:sz w:val="24"/>
                <w:highlight w:val="none"/>
                <w:lang w:val="en-US" w:eastAsia="zh-CN"/>
              </w:rPr>
              <w:t>项目运营期内，固体废物主要为一般工业固废、危险废物及生活垃圾。运营期固废产、排情况详见下表。</w:t>
            </w:r>
          </w:p>
          <w:p>
            <w:pPr>
              <w:spacing w:line="360" w:lineRule="auto"/>
              <w:ind w:firstLine="482" w:firstLineChars="200"/>
              <w:rPr>
                <w:rFonts w:hint="default" w:cs="Times New Roman"/>
                <w:color w:val="auto"/>
                <w:kern w:val="0"/>
                <w:sz w:val="24"/>
                <w:highlight w:val="none"/>
                <w:lang w:val="en-US" w:eastAsia="zh-CN"/>
              </w:rPr>
            </w:pPr>
            <w:r>
              <w:rPr>
                <w:rFonts w:hint="eastAsia" w:cs="Times New Roman"/>
                <w:b/>
                <w:bCs/>
                <w:color w:val="auto"/>
                <w:kern w:val="0"/>
                <w:sz w:val="24"/>
                <w:highlight w:val="none"/>
                <w:lang w:val="en-US" w:eastAsia="zh-CN"/>
              </w:rPr>
              <w:t>一般工业固废</w:t>
            </w:r>
            <w:r>
              <w:rPr>
                <w:rFonts w:hint="eastAsia" w:cs="Times New Roman"/>
                <w:color w:val="auto"/>
                <w:kern w:val="0"/>
                <w:sz w:val="24"/>
                <w:highlight w:val="none"/>
                <w:lang w:val="en-US" w:eastAsia="zh-CN"/>
              </w:rPr>
              <w:t>：</w:t>
            </w:r>
          </w:p>
          <w:p>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eastAsia="宋体" w:cs="Times New Roman"/>
                <w:color w:val="auto"/>
                <w:kern w:val="0"/>
                <w:sz w:val="24"/>
                <w:highlight w:val="none"/>
                <w:lang w:val="en-US" w:eastAsia="zh-CN"/>
              </w:rPr>
              <w:t>废包装袋：</w:t>
            </w:r>
            <w:r>
              <w:rPr>
                <w:rFonts w:hint="eastAsia" w:cs="Times New Roman"/>
                <w:color w:val="auto"/>
                <w:kern w:val="0"/>
                <w:sz w:val="24"/>
                <w:highlight w:val="none"/>
                <w:lang w:val="en-US" w:eastAsia="zh-CN"/>
              </w:rPr>
              <w:t>主要为原辅材料包装拆包后产生的废包装袋，根据业主提供资料，废包装袋产生量约为0.2t/a。</w:t>
            </w:r>
            <w:r>
              <w:rPr>
                <w:rFonts w:hint="eastAsia" w:ascii="Times New Roman" w:hAnsi="Times New Roman" w:eastAsia="宋体" w:cs="Times New Roman"/>
                <w:color w:val="auto"/>
                <w:kern w:val="0"/>
                <w:sz w:val="24"/>
                <w:highlight w:val="none"/>
                <w:lang w:val="en-US" w:eastAsia="zh-CN"/>
              </w:rPr>
              <w:t>根据《一般固体废物分类与代码》（GB/T39198-2020），其一般固废代</w:t>
            </w:r>
            <w:r>
              <w:rPr>
                <w:rFonts w:hint="eastAsia" w:ascii="Times New Roman" w:hAnsi="Times New Roman" w:eastAsia="宋体" w:cs="Times New Roman"/>
                <w:color w:val="auto"/>
                <w:kern w:val="0"/>
                <w:sz w:val="24"/>
                <w:szCs w:val="24"/>
                <w:highlight w:val="none"/>
                <w:lang w:val="en-US" w:eastAsia="zh-CN"/>
              </w:rPr>
              <w:t>码为</w:t>
            </w:r>
            <w:r>
              <w:rPr>
                <w:rFonts w:hint="eastAsia" w:cs="Times New Roman"/>
                <w:color w:val="auto"/>
                <w:kern w:val="0"/>
                <w:sz w:val="24"/>
                <w:szCs w:val="24"/>
                <w:highlight w:val="none"/>
                <w:lang w:val="en-US" w:eastAsia="zh-CN"/>
              </w:rPr>
              <w:t>292</w:t>
            </w:r>
            <w:r>
              <w:rPr>
                <w:rFonts w:hint="eastAsia" w:ascii="Times New Roman" w:hAnsi="Times New Roman" w:eastAsia="宋体" w:cs="Times New Roman"/>
                <w:color w:val="auto"/>
                <w:sz w:val="24"/>
                <w:szCs w:val="24"/>
                <w:highlight w:val="none"/>
                <w:lang w:val="en-US" w:eastAsia="zh-CN"/>
              </w:rPr>
              <w:t>-009-07</w:t>
            </w:r>
            <w:r>
              <w:rPr>
                <w:rFonts w:hint="eastAsia" w:ascii="Times New Roman" w:hAnsi="Times New Roman" w:eastAsia="宋体" w:cs="Times New Roman"/>
                <w:color w:val="auto"/>
                <w:kern w:val="0"/>
                <w:sz w:val="24"/>
                <w:szCs w:val="24"/>
                <w:highlight w:val="none"/>
                <w:lang w:val="en-US" w:eastAsia="zh-CN"/>
              </w:rPr>
              <w:t>，经</w:t>
            </w:r>
            <w:r>
              <w:rPr>
                <w:rFonts w:hint="eastAsia" w:ascii="Times New Roman" w:hAnsi="Times New Roman" w:eastAsia="宋体" w:cs="Times New Roman"/>
                <w:color w:val="auto"/>
                <w:kern w:val="0"/>
                <w:sz w:val="24"/>
                <w:highlight w:val="none"/>
                <w:lang w:val="en-US" w:eastAsia="zh-CN"/>
              </w:rPr>
              <w:t>厂区收集后外售废旧物资回收单位。</w:t>
            </w:r>
          </w:p>
          <w:p>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eastAsia="宋体" w:cs="Times New Roman"/>
                <w:color w:val="auto"/>
                <w:kern w:val="0"/>
                <w:sz w:val="24"/>
                <w:highlight w:val="none"/>
                <w:lang w:val="en-US" w:eastAsia="zh-CN"/>
              </w:rPr>
              <w:t>废模具：</w:t>
            </w:r>
            <w:r>
              <w:rPr>
                <w:rFonts w:hint="default" w:ascii="Times New Roman" w:hAnsi="Times New Roman" w:eastAsia="宋体" w:cs="Times New Roman"/>
                <w:color w:val="auto"/>
                <w:kern w:val="0"/>
                <w:sz w:val="24"/>
                <w:highlight w:val="none"/>
                <w:lang w:val="en-US" w:eastAsia="zh-CN"/>
              </w:rPr>
              <w:t>本项目</w:t>
            </w:r>
            <w:r>
              <w:rPr>
                <w:rFonts w:hint="eastAsia" w:cs="Times New Roman"/>
                <w:color w:val="auto"/>
                <w:kern w:val="0"/>
                <w:sz w:val="24"/>
                <w:highlight w:val="none"/>
                <w:lang w:val="en-US" w:eastAsia="zh-CN"/>
              </w:rPr>
              <w:t>熔融挤塑及吸塑成型</w:t>
            </w:r>
            <w:r>
              <w:rPr>
                <w:rFonts w:hint="default" w:ascii="Times New Roman" w:hAnsi="Times New Roman" w:eastAsia="宋体" w:cs="Times New Roman"/>
                <w:color w:val="auto"/>
                <w:kern w:val="0"/>
                <w:sz w:val="24"/>
                <w:highlight w:val="none"/>
                <w:lang w:val="en-US" w:eastAsia="zh-CN"/>
              </w:rPr>
              <w:t>环节将产生废模具，模具损坏委托其他单位进行维修，不能修好时作为一般固废，废模具产生量很小，每年约</w:t>
            </w:r>
            <w:r>
              <w:rPr>
                <w:rFonts w:hint="eastAsia" w:ascii="Times New Roman" w:hAnsi="Times New Roman" w:eastAsia="宋体" w:cs="Times New Roman"/>
                <w:color w:val="auto"/>
                <w:kern w:val="0"/>
                <w:sz w:val="24"/>
                <w:highlight w:val="none"/>
                <w:lang w:val="en-US" w:eastAsia="zh-CN"/>
              </w:rPr>
              <w:t>10</w:t>
            </w:r>
            <w:r>
              <w:rPr>
                <w:rFonts w:hint="default" w:ascii="Times New Roman" w:hAnsi="Times New Roman" w:eastAsia="宋体" w:cs="Times New Roman"/>
                <w:color w:val="auto"/>
                <w:kern w:val="0"/>
                <w:sz w:val="24"/>
                <w:highlight w:val="none"/>
                <w:lang w:val="en-US" w:eastAsia="zh-CN"/>
              </w:rPr>
              <w:t>副，按每副10kg计算，废模具产生量为0.</w:t>
            </w:r>
            <w:r>
              <w:rPr>
                <w:rFonts w:hint="eastAsia" w:ascii="Times New Roman" w:hAnsi="Times New Roman" w:eastAsia="宋体" w:cs="Times New Roman"/>
                <w:color w:val="auto"/>
                <w:kern w:val="0"/>
                <w:sz w:val="24"/>
                <w:highlight w:val="none"/>
                <w:lang w:val="en-US" w:eastAsia="zh-CN"/>
              </w:rPr>
              <w:t>1</w:t>
            </w:r>
            <w:r>
              <w:rPr>
                <w:rFonts w:hint="default" w:ascii="Times New Roman" w:hAnsi="Times New Roman" w:eastAsia="宋体" w:cs="Times New Roman"/>
                <w:color w:val="auto"/>
                <w:kern w:val="0"/>
                <w:sz w:val="24"/>
                <w:highlight w:val="none"/>
                <w:lang w:val="en-US" w:eastAsia="zh-CN"/>
              </w:rPr>
              <w:t>t/a。</w:t>
            </w:r>
            <w:r>
              <w:rPr>
                <w:rFonts w:hint="default" w:ascii="Times New Roman" w:hAnsi="Times New Roman" w:eastAsia="宋体" w:cs="Times New Roman"/>
                <w:color w:val="auto"/>
                <w:kern w:val="0"/>
                <w:sz w:val="24"/>
                <w:szCs w:val="24"/>
                <w:highlight w:val="none"/>
                <w:lang w:val="en-US" w:eastAsia="zh-CN"/>
              </w:rPr>
              <w:t>对照《一般固体废物分类与代码》（GB-T39198-2020），一般固废代码</w:t>
            </w:r>
            <w:r>
              <w:rPr>
                <w:rFonts w:hint="eastAsia" w:ascii="Times New Roman" w:hAnsi="Times New Roman" w:eastAsia="宋体" w:cs="Times New Roman"/>
                <w:color w:val="auto"/>
                <w:sz w:val="24"/>
                <w:szCs w:val="24"/>
                <w:highlight w:val="none"/>
                <w:lang w:val="en-US" w:eastAsia="zh-CN"/>
              </w:rPr>
              <w:t>为</w:t>
            </w:r>
            <w:r>
              <w:rPr>
                <w:rFonts w:hint="eastAsia" w:cs="Times New Roman"/>
                <w:color w:val="auto"/>
                <w:sz w:val="24"/>
                <w:szCs w:val="24"/>
                <w:highlight w:val="none"/>
                <w:lang w:val="en-US" w:eastAsia="zh-CN"/>
              </w:rPr>
              <w:t>292</w:t>
            </w:r>
            <w:r>
              <w:rPr>
                <w:rFonts w:hint="eastAsia" w:ascii="Times New Roman" w:hAnsi="Times New Roman" w:eastAsia="宋体" w:cs="Times New Roman"/>
                <w:color w:val="auto"/>
                <w:kern w:val="0"/>
                <w:sz w:val="24"/>
                <w:szCs w:val="24"/>
                <w:highlight w:val="none"/>
                <w:shd w:val="clear" w:color="auto" w:fill="auto"/>
                <w:lang w:eastAsia="zh-CN"/>
              </w:rPr>
              <w:t>-004-</w:t>
            </w:r>
            <w:r>
              <w:rPr>
                <w:rFonts w:hint="default" w:ascii="Times New Roman" w:hAnsi="Times New Roman" w:eastAsia="宋体" w:cs="Times New Roman"/>
                <w:color w:val="auto"/>
                <w:kern w:val="0"/>
                <w:sz w:val="24"/>
                <w:szCs w:val="24"/>
                <w:highlight w:val="none"/>
                <w:shd w:val="clear" w:color="auto" w:fill="auto"/>
              </w:rPr>
              <w:t>09</w:t>
            </w:r>
            <w:r>
              <w:rPr>
                <w:rFonts w:hint="eastAsia" w:ascii="Times New Roman" w:hAnsi="Times New Roman" w:eastAsia="宋体" w:cs="Times New Roman"/>
                <w:color w:val="auto"/>
                <w:kern w:val="0"/>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经收集后</w:t>
            </w:r>
            <w:r>
              <w:rPr>
                <w:rFonts w:hint="eastAsia" w:ascii="Times New Roman" w:hAnsi="Times New Roman" w:eastAsia="宋体" w:cs="Times New Roman"/>
                <w:color w:val="auto"/>
                <w:sz w:val="24"/>
                <w:highlight w:val="none"/>
                <w:lang w:val="en-US" w:eastAsia="zh-CN"/>
              </w:rPr>
              <w:t>定期</w:t>
            </w:r>
            <w:r>
              <w:rPr>
                <w:rFonts w:hint="eastAsia" w:cs="Times New Roman"/>
                <w:color w:val="auto"/>
                <w:kern w:val="0"/>
                <w:sz w:val="24"/>
                <w:highlight w:val="none"/>
                <w:lang w:val="en-US" w:eastAsia="zh-CN"/>
              </w:rPr>
              <w:t>外售废旧物资回收单位</w:t>
            </w:r>
            <w:r>
              <w:rPr>
                <w:rFonts w:hint="eastAsia" w:ascii="Times New Roman" w:hAnsi="Times New Roman" w:eastAsia="宋体" w:cs="Times New Roman"/>
                <w:color w:val="auto"/>
                <w:kern w:val="0"/>
                <w:sz w:val="24"/>
                <w:highlight w:val="none"/>
                <w:lang w:val="en-US" w:eastAsia="zh-CN"/>
              </w:rPr>
              <w:t>。</w:t>
            </w:r>
          </w:p>
          <w:p>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eastAsia="宋体" w:cs="Times New Roman"/>
                <w:color w:val="auto"/>
                <w:kern w:val="0"/>
                <w:sz w:val="24"/>
                <w:highlight w:val="none"/>
                <w:lang w:val="en-US" w:eastAsia="zh-CN"/>
              </w:rPr>
              <w:t>塑料边角料及不合格品：主要为</w:t>
            </w:r>
            <w:r>
              <w:rPr>
                <w:rFonts w:hint="eastAsia" w:cs="Times New Roman"/>
                <w:color w:val="auto"/>
                <w:kern w:val="0"/>
                <w:sz w:val="24"/>
                <w:highlight w:val="none"/>
                <w:lang w:val="en-US" w:eastAsia="zh-CN"/>
              </w:rPr>
              <w:t>吸塑成型</w:t>
            </w:r>
            <w:r>
              <w:rPr>
                <w:rFonts w:hint="eastAsia" w:eastAsia="宋体" w:cs="Times New Roman"/>
                <w:color w:val="auto"/>
                <w:kern w:val="0"/>
                <w:sz w:val="24"/>
                <w:highlight w:val="none"/>
                <w:lang w:val="en-US" w:eastAsia="zh-CN"/>
              </w:rPr>
              <w:t>时产生是塑料边角料及人工检验时发现的不合格产品。根据建设单位提供资料，塑料边角料及不合格品</w:t>
            </w:r>
            <w:r>
              <w:rPr>
                <w:rFonts w:hint="eastAsia" w:cs="Times New Roman"/>
                <w:b w:val="0"/>
                <w:bCs w:val="0"/>
                <w:color w:val="auto"/>
                <w:kern w:val="0"/>
                <w:sz w:val="24"/>
                <w:highlight w:val="none"/>
                <w:lang w:val="en-US" w:eastAsia="zh-CN"/>
              </w:rPr>
              <w:t>约占产品的1%</w:t>
            </w:r>
            <w:r>
              <w:rPr>
                <w:rFonts w:hint="eastAsia" w:eastAsia="宋体" w:cs="Times New Roman"/>
                <w:color w:val="auto"/>
                <w:kern w:val="0"/>
                <w:sz w:val="24"/>
                <w:highlight w:val="none"/>
                <w:lang w:val="en-US" w:eastAsia="zh-CN"/>
              </w:rPr>
              <w:t>，则塑料边角料及不合格品产生量为</w:t>
            </w:r>
            <w:r>
              <w:rPr>
                <w:rFonts w:hint="eastAsia" w:cs="Times New Roman"/>
                <w:color w:val="auto"/>
                <w:kern w:val="0"/>
                <w:sz w:val="24"/>
                <w:highlight w:val="none"/>
                <w:lang w:val="en-US" w:eastAsia="zh-CN"/>
              </w:rPr>
              <w:t>1.38</w:t>
            </w:r>
            <w:r>
              <w:rPr>
                <w:rFonts w:hint="eastAsia" w:eastAsia="宋体" w:cs="Times New Roman"/>
                <w:color w:val="auto"/>
                <w:kern w:val="0"/>
                <w:sz w:val="24"/>
                <w:highlight w:val="none"/>
                <w:lang w:val="en-US" w:eastAsia="zh-CN"/>
              </w:rPr>
              <w:t>t/a。</w:t>
            </w:r>
            <w:r>
              <w:rPr>
                <w:rFonts w:hint="eastAsia" w:ascii="Times New Roman" w:hAnsi="Times New Roman" w:eastAsia="宋体" w:cs="Times New Roman"/>
                <w:color w:val="auto"/>
                <w:kern w:val="0"/>
                <w:sz w:val="24"/>
                <w:highlight w:val="none"/>
                <w:lang w:val="en-US" w:eastAsia="zh-CN"/>
              </w:rPr>
              <w:t>根据《一般固体废物分类与代码》（GB/T39198-2020），其一般固废代码为</w:t>
            </w:r>
            <w:r>
              <w:rPr>
                <w:rFonts w:hint="eastAsia" w:cs="Times New Roman"/>
                <w:color w:val="auto"/>
                <w:kern w:val="0"/>
                <w:sz w:val="24"/>
                <w:szCs w:val="24"/>
                <w:highlight w:val="none"/>
                <w:lang w:val="en-US" w:eastAsia="zh-CN"/>
              </w:rPr>
              <w:t>272</w:t>
            </w:r>
            <w:r>
              <w:rPr>
                <w:rFonts w:hint="eastAsia" w:ascii="Times New Roman" w:hAnsi="Times New Roman" w:eastAsia="宋体" w:cs="Times New Roman"/>
                <w:color w:val="auto"/>
                <w:sz w:val="24"/>
                <w:szCs w:val="24"/>
                <w:highlight w:val="none"/>
                <w:lang w:val="en-US" w:eastAsia="zh-CN"/>
              </w:rPr>
              <w:t>-009-06</w:t>
            </w:r>
            <w:r>
              <w:rPr>
                <w:rFonts w:hint="eastAsia" w:ascii="Times New Roman" w:hAnsi="Times New Roman" w:eastAsia="宋体" w:cs="Times New Roman"/>
                <w:color w:val="auto"/>
                <w:kern w:val="0"/>
                <w:sz w:val="24"/>
                <w:szCs w:val="24"/>
                <w:highlight w:val="none"/>
                <w:lang w:val="en-US" w:eastAsia="zh-CN"/>
              </w:rPr>
              <w:t>，</w:t>
            </w:r>
            <w:r>
              <w:rPr>
                <w:rFonts w:hint="eastAsia" w:eastAsia="宋体" w:cs="Times New Roman"/>
                <w:color w:val="auto"/>
                <w:kern w:val="0"/>
                <w:sz w:val="24"/>
                <w:szCs w:val="24"/>
                <w:highlight w:val="none"/>
                <w:lang w:val="en-US" w:eastAsia="zh-CN"/>
              </w:rPr>
              <w:t>经建设</w:t>
            </w:r>
            <w:r>
              <w:rPr>
                <w:rFonts w:hint="eastAsia" w:eastAsia="宋体" w:cs="Times New Roman"/>
                <w:color w:val="auto"/>
                <w:kern w:val="0"/>
                <w:sz w:val="24"/>
                <w:highlight w:val="none"/>
                <w:lang w:val="en-US" w:eastAsia="zh-CN"/>
              </w:rPr>
              <w:t>单位集中收集，</w:t>
            </w:r>
            <w:r>
              <w:rPr>
                <w:rFonts w:hint="eastAsia" w:cs="Times New Roman"/>
                <w:color w:val="auto"/>
                <w:kern w:val="0"/>
                <w:sz w:val="24"/>
                <w:highlight w:val="none"/>
                <w:lang w:val="en-US" w:eastAsia="zh-CN"/>
              </w:rPr>
              <w:t>定期外售废旧物资回收单位</w:t>
            </w:r>
            <w:r>
              <w:rPr>
                <w:rFonts w:hint="eastAsia" w:eastAsia="宋体" w:cs="Times New Roman"/>
                <w:color w:val="auto"/>
                <w:kern w:val="0"/>
                <w:sz w:val="24"/>
                <w:highlight w:val="none"/>
                <w:lang w:val="en-US" w:eastAsia="zh-CN"/>
              </w:rPr>
              <w:t>。</w:t>
            </w:r>
          </w:p>
          <w:p>
            <w:pPr>
              <w:spacing w:line="360" w:lineRule="auto"/>
              <w:ind w:firstLine="482" w:firstLineChars="200"/>
              <w:rPr>
                <w:rFonts w:hint="default" w:eastAsia="宋体" w:cs="Times New Roman"/>
                <w:color w:val="auto"/>
                <w:kern w:val="0"/>
                <w:sz w:val="24"/>
                <w:highlight w:val="none"/>
                <w:lang w:val="en-US" w:eastAsia="zh-CN"/>
              </w:rPr>
            </w:pPr>
            <w:r>
              <w:rPr>
                <w:rFonts w:hint="eastAsia" w:eastAsia="宋体" w:cs="Times New Roman"/>
                <w:b/>
                <w:bCs/>
                <w:color w:val="auto"/>
                <w:kern w:val="0"/>
                <w:sz w:val="24"/>
                <w:highlight w:val="none"/>
                <w:lang w:val="en-US" w:eastAsia="zh-CN"/>
              </w:rPr>
              <w:t>危险废物：</w:t>
            </w:r>
          </w:p>
          <w:p>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eastAsia="宋体" w:cs="Times New Roman"/>
                <w:color w:val="auto"/>
                <w:kern w:val="0"/>
                <w:sz w:val="24"/>
                <w:highlight w:val="none"/>
                <w:lang w:val="en-US" w:eastAsia="zh-CN"/>
              </w:rPr>
              <w:t>废润滑油：</w:t>
            </w:r>
            <w:r>
              <w:rPr>
                <w:color w:val="auto"/>
                <w:sz w:val="24"/>
                <w:lang w:val="zh-CN"/>
              </w:rPr>
              <w:t>项目</w:t>
            </w:r>
            <w:r>
              <w:rPr>
                <w:rFonts w:hint="eastAsia"/>
                <w:color w:val="auto"/>
                <w:sz w:val="24"/>
                <w:lang w:val="zh-CN"/>
              </w:rPr>
              <w:t>生产加工过程中需要用到润滑油进行润滑和冷却，润滑油经滤油机过滤后循环使用。再循环一段时间后无法继续使用需要更换，废</w:t>
            </w:r>
            <w:r>
              <w:rPr>
                <w:rFonts w:hint="eastAsia"/>
                <w:color w:val="auto"/>
                <w:sz w:val="24"/>
                <w:lang w:val="en-US" w:eastAsia="zh-CN"/>
              </w:rPr>
              <w:t>润滑</w:t>
            </w:r>
            <w:r>
              <w:rPr>
                <w:rFonts w:hint="eastAsia"/>
                <w:color w:val="auto"/>
                <w:sz w:val="24"/>
                <w:lang w:val="zh-CN"/>
              </w:rPr>
              <w:t>油产生量约</w:t>
            </w:r>
            <w:r>
              <w:rPr>
                <w:rFonts w:hint="eastAsia"/>
                <w:color w:val="auto"/>
                <w:sz w:val="24"/>
                <w:lang w:val="en-US" w:eastAsia="zh-CN"/>
              </w:rPr>
              <w:t>0.15</w:t>
            </w:r>
            <w:r>
              <w:rPr>
                <w:rFonts w:hint="eastAsia"/>
                <w:color w:val="auto"/>
                <w:sz w:val="24"/>
                <w:lang w:val="zh-CN"/>
              </w:rPr>
              <w:t>t/a。根据</w:t>
            </w:r>
            <w:r>
              <w:rPr>
                <w:color w:val="auto"/>
                <w:sz w:val="24"/>
                <w:lang w:val="zh-CN"/>
              </w:rPr>
              <w:t>《国家危险废物名录》（2021年版）</w:t>
            </w:r>
            <w:r>
              <w:rPr>
                <w:rFonts w:hint="eastAsia"/>
                <w:color w:val="auto"/>
                <w:sz w:val="24"/>
                <w:lang w:val="zh-CN"/>
              </w:rPr>
              <w:t>，该废矿物油属于</w:t>
            </w:r>
            <w:r>
              <w:rPr>
                <w:color w:val="auto"/>
                <w:sz w:val="24"/>
                <w:lang w:val="zh-CN"/>
              </w:rPr>
              <w:t>HW08</w:t>
            </w:r>
            <w:r>
              <w:rPr>
                <w:rFonts w:hint="eastAsia"/>
                <w:color w:val="auto"/>
                <w:sz w:val="24"/>
                <w:lang w:val="zh-CN"/>
              </w:rPr>
              <w:t xml:space="preserve"> </w:t>
            </w:r>
            <w:r>
              <w:rPr>
                <w:color w:val="auto"/>
                <w:sz w:val="24"/>
                <w:lang w:val="zh-CN"/>
              </w:rPr>
              <w:t>900-21</w:t>
            </w:r>
            <w:r>
              <w:rPr>
                <w:rFonts w:hint="eastAsia"/>
                <w:color w:val="auto"/>
                <w:sz w:val="24"/>
                <w:lang w:val="zh-CN"/>
              </w:rPr>
              <w:t>7</w:t>
            </w:r>
            <w:r>
              <w:rPr>
                <w:color w:val="auto"/>
                <w:sz w:val="24"/>
                <w:lang w:val="zh-CN"/>
              </w:rPr>
              <w:t>-08类危险废物，暂存于危废暂存</w:t>
            </w:r>
            <w:r>
              <w:rPr>
                <w:rFonts w:hint="eastAsia"/>
                <w:color w:val="auto"/>
                <w:sz w:val="24"/>
                <w:lang w:val="zh-CN"/>
              </w:rPr>
              <w:t>间内</w:t>
            </w:r>
            <w:r>
              <w:rPr>
                <w:color w:val="auto"/>
                <w:sz w:val="24"/>
                <w:lang w:val="zh-CN"/>
              </w:rPr>
              <w:t>，</w:t>
            </w:r>
            <w:r>
              <w:rPr>
                <w:rFonts w:hint="eastAsia"/>
                <w:color w:val="auto"/>
                <w:sz w:val="24"/>
                <w:lang w:val="en-US" w:eastAsia="zh-CN"/>
              </w:rPr>
              <w:t>定期</w:t>
            </w:r>
            <w:r>
              <w:rPr>
                <w:color w:val="auto"/>
                <w:sz w:val="24"/>
                <w:lang w:val="zh-CN"/>
              </w:rPr>
              <w:t>交有资质单位处理。</w:t>
            </w:r>
          </w:p>
          <w:p>
            <w:pPr>
              <w:spacing w:line="360" w:lineRule="auto"/>
              <w:ind w:firstLine="480" w:firstLineChars="200"/>
              <w:rPr>
                <w:rFonts w:hint="default" w:eastAsia="宋体" w:cs="Times New Roman"/>
                <w:color w:val="auto"/>
                <w:kern w:val="0"/>
                <w:sz w:val="24"/>
                <w:highlight w:val="none"/>
                <w:lang w:val="en-US" w:eastAsia="zh-CN"/>
              </w:rPr>
            </w:pPr>
            <w:r>
              <w:rPr>
                <w:rFonts w:hint="eastAsia" w:eastAsia="宋体" w:cs="Times New Roman"/>
                <w:color w:val="auto"/>
                <w:kern w:val="0"/>
                <w:sz w:val="24"/>
                <w:highlight w:val="none"/>
                <w:lang w:val="en-US" w:eastAsia="zh-CN"/>
              </w:rPr>
              <w:t>废润滑油桶：</w:t>
            </w:r>
            <w:r>
              <w:rPr>
                <w:color w:val="auto"/>
                <w:sz w:val="24"/>
                <w:lang w:val="zh-CN"/>
              </w:rPr>
              <w:t>废油桶产生量约为</w:t>
            </w:r>
            <w:r>
              <w:rPr>
                <w:rFonts w:hint="eastAsia"/>
                <w:color w:val="auto"/>
                <w:sz w:val="24"/>
                <w:lang w:val="zh-CN"/>
              </w:rPr>
              <w:t>0.</w:t>
            </w:r>
            <w:r>
              <w:rPr>
                <w:rFonts w:hint="eastAsia"/>
                <w:color w:val="auto"/>
                <w:sz w:val="24"/>
                <w:lang w:val="en-US" w:eastAsia="zh-CN"/>
              </w:rPr>
              <w:t>02</w:t>
            </w:r>
            <w:r>
              <w:rPr>
                <w:rFonts w:hint="eastAsia"/>
                <w:color w:val="auto"/>
                <w:sz w:val="24"/>
                <w:lang w:val="zh-CN"/>
              </w:rPr>
              <w:t>t</w:t>
            </w:r>
            <w:r>
              <w:rPr>
                <w:color w:val="auto"/>
                <w:sz w:val="24"/>
                <w:lang w:val="zh-CN"/>
              </w:rPr>
              <w:t>/a，</w:t>
            </w:r>
            <w:r>
              <w:rPr>
                <w:rFonts w:hint="eastAsia"/>
                <w:color w:val="auto"/>
                <w:sz w:val="24"/>
                <w:lang w:val="en-US" w:eastAsia="zh-CN"/>
              </w:rPr>
              <w:t>根据</w:t>
            </w:r>
            <w:r>
              <w:rPr>
                <w:color w:val="auto"/>
                <w:sz w:val="24"/>
                <w:lang w:val="zh-CN"/>
              </w:rPr>
              <w:t>《国家危险废物名录》（2021年版）</w:t>
            </w:r>
            <w:r>
              <w:rPr>
                <w:rFonts w:hint="eastAsia"/>
                <w:color w:val="auto"/>
                <w:sz w:val="24"/>
                <w:lang w:val="zh-CN"/>
              </w:rPr>
              <w:t>，</w:t>
            </w:r>
            <w:r>
              <w:rPr>
                <w:rFonts w:hint="eastAsia"/>
                <w:color w:val="auto"/>
                <w:sz w:val="24"/>
                <w:lang w:val="en-US" w:eastAsia="zh-CN"/>
              </w:rPr>
              <w:t>废润滑油桶属于</w:t>
            </w:r>
            <w:r>
              <w:rPr>
                <w:color w:val="auto"/>
                <w:sz w:val="24"/>
                <w:lang w:val="zh-CN"/>
              </w:rPr>
              <w:t>HW08 900-249-08类危险废物，暂存于危废暂存区，</w:t>
            </w:r>
            <w:r>
              <w:rPr>
                <w:rFonts w:hint="eastAsia"/>
                <w:color w:val="auto"/>
                <w:sz w:val="24"/>
                <w:lang w:val="en-US" w:eastAsia="zh-CN"/>
              </w:rPr>
              <w:t>定期</w:t>
            </w:r>
            <w:r>
              <w:rPr>
                <w:color w:val="auto"/>
                <w:sz w:val="24"/>
                <w:lang w:val="zh-CN"/>
              </w:rPr>
              <w:t>交有资质单位处理。</w:t>
            </w:r>
          </w:p>
          <w:p>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eastAsia="宋体" w:cs="Times New Roman"/>
                <w:color w:val="auto"/>
                <w:kern w:val="0"/>
                <w:sz w:val="24"/>
                <w:highlight w:val="none"/>
                <w:lang w:val="en-US" w:eastAsia="zh-CN"/>
              </w:rPr>
              <w:t>废过滤棉：</w:t>
            </w:r>
            <w:r>
              <w:rPr>
                <w:rFonts w:hint="eastAsia" w:cs="Times New Roman"/>
                <w:color w:val="auto"/>
                <w:kern w:val="0"/>
                <w:sz w:val="24"/>
                <w:highlight w:val="none"/>
                <w:lang w:val="en-US" w:eastAsia="zh-CN"/>
              </w:rPr>
              <w:t>主要为废气治理设备中产生的废过滤棉，产生量约1.2t/a</w:t>
            </w: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sz w:val="24"/>
                <w:szCs w:val="24"/>
                <w:highlight w:val="none"/>
              </w:rPr>
              <w:t>对照《国家危险废物名录（2021年版）》，属于危险废物</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highlight w:val="none"/>
                <w:lang w:val="en-US" w:eastAsia="zh-CN"/>
              </w:rPr>
              <w:t>危废类别为：</w:t>
            </w:r>
            <w:r>
              <w:rPr>
                <w:rFonts w:hint="default" w:ascii="Times New Roman" w:hAnsi="Times New Roman" w:eastAsia="宋体" w:cs="Times New Roman"/>
                <w:color w:val="auto"/>
                <w:sz w:val="24"/>
                <w:szCs w:val="24"/>
                <w:highlight w:val="none"/>
              </w:rPr>
              <w:t>HW</w:t>
            </w:r>
            <w:r>
              <w:rPr>
                <w:rFonts w:hint="eastAsia" w:cs="Times New Roman"/>
                <w:color w:val="auto"/>
                <w:sz w:val="24"/>
                <w:szCs w:val="24"/>
                <w:highlight w:val="none"/>
                <w:lang w:val="en-US" w:eastAsia="zh-CN"/>
              </w:rPr>
              <w:t>49</w:t>
            </w:r>
            <w:r>
              <w:rPr>
                <w:rFonts w:hint="eastAsia" w:ascii="Times New Roman" w:hAnsi="Times New Roman" w:eastAsia="宋体" w:cs="Times New Roman"/>
                <w:color w:val="auto"/>
                <w:sz w:val="24"/>
                <w:highlight w:val="none"/>
                <w:lang w:val="en-US" w:eastAsia="zh-CN"/>
              </w:rPr>
              <w:t>，废物代码为：</w:t>
            </w:r>
            <w:r>
              <w:rPr>
                <w:rFonts w:hint="eastAsia" w:cs="Times New Roman"/>
                <w:color w:val="auto"/>
                <w:sz w:val="24"/>
                <w:szCs w:val="24"/>
                <w:highlight w:val="none"/>
                <w:lang w:val="en-US" w:eastAsia="zh-CN"/>
              </w:rPr>
              <w:t>900-041-49</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经集中</w:t>
            </w:r>
            <w:r>
              <w:rPr>
                <w:rFonts w:hint="eastAsia" w:cs="Times New Roman"/>
                <w:color w:val="auto"/>
                <w:sz w:val="24"/>
                <w:szCs w:val="24"/>
                <w:highlight w:val="none"/>
                <w:lang w:val="en-US" w:eastAsia="zh-CN"/>
              </w:rPr>
              <w:t>收集</w:t>
            </w:r>
            <w:r>
              <w:rPr>
                <w:rFonts w:hint="eastAsia" w:ascii="Times New Roman" w:hAnsi="Times New Roman" w:eastAsia="宋体" w:cs="Times New Roman"/>
                <w:color w:val="auto"/>
                <w:sz w:val="24"/>
                <w:szCs w:val="24"/>
                <w:highlight w:val="none"/>
                <w:lang w:val="en-US" w:eastAsia="zh-CN"/>
              </w:rPr>
              <w:t>分类暂存于危废间，定期交由有资质单位处置</w:t>
            </w:r>
            <w:r>
              <w:rPr>
                <w:rFonts w:hint="eastAsia" w:cs="Times New Roman"/>
                <w:color w:val="auto"/>
                <w:sz w:val="24"/>
                <w:szCs w:val="24"/>
                <w:highlight w:val="none"/>
                <w:lang w:val="en-US" w:eastAsia="zh-CN"/>
              </w:rPr>
              <w:t>。</w:t>
            </w:r>
          </w:p>
          <w:p>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eastAsia="宋体" w:cs="Times New Roman"/>
                <w:color w:val="auto"/>
                <w:kern w:val="0"/>
                <w:sz w:val="24"/>
                <w:highlight w:val="none"/>
                <w:lang w:val="en-US" w:eastAsia="zh-CN"/>
              </w:rPr>
              <w:t>废uv灯管：</w:t>
            </w:r>
            <w:r>
              <w:rPr>
                <w:rFonts w:hint="eastAsia" w:cs="Times New Roman"/>
                <w:color w:val="auto"/>
                <w:kern w:val="0"/>
                <w:sz w:val="24"/>
                <w:highlight w:val="none"/>
                <w:lang w:val="en-US" w:eastAsia="zh-CN"/>
              </w:rPr>
              <w:t>有机废气治理过程中会产生废uv灯管，其产生量约0.021t/a，</w:t>
            </w:r>
            <w:r>
              <w:rPr>
                <w:rFonts w:hint="eastAsia" w:ascii="Times New Roman" w:hAnsi="Times New Roman" w:eastAsia="宋体" w:cs="Times New Roman"/>
                <w:color w:val="auto"/>
                <w:sz w:val="24"/>
                <w:highlight w:val="none"/>
                <w:lang w:val="en-US" w:eastAsia="zh-CN"/>
              </w:rPr>
              <w:t>对照《国家危险废物名录（2021年版）》，属危险废物HW29含汞废物非特定行业中的900-023-29。</w:t>
            </w:r>
            <w:r>
              <w:rPr>
                <w:rFonts w:hint="eastAsia" w:ascii="Times New Roman" w:hAnsi="Times New Roman" w:eastAsia="宋体" w:cs="Times New Roman"/>
                <w:color w:val="auto"/>
                <w:kern w:val="0"/>
                <w:sz w:val="24"/>
                <w:highlight w:val="none"/>
                <w:lang w:val="en-US" w:eastAsia="zh-CN"/>
              </w:rPr>
              <w:t>经收集后暂存于危废暂存间，定期交由有资质单位处置</w:t>
            </w:r>
            <w:r>
              <w:rPr>
                <w:rFonts w:hint="eastAsia" w:ascii="Times New Roman" w:hAnsi="Times New Roman" w:eastAsia="宋体" w:cs="Times New Roman"/>
                <w:color w:val="auto"/>
                <w:sz w:val="24"/>
                <w:highlight w:val="none"/>
                <w:lang w:val="en-US" w:eastAsia="zh-CN"/>
              </w:rPr>
              <w:t>。</w:t>
            </w:r>
          </w:p>
          <w:p>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eastAsia="宋体" w:cs="Times New Roman"/>
                <w:color w:val="auto"/>
                <w:kern w:val="0"/>
                <w:sz w:val="24"/>
                <w:highlight w:val="none"/>
                <w:lang w:val="en-US" w:eastAsia="zh-CN"/>
              </w:rPr>
              <w:t>废活性炭：</w:t>
            </w:r>
            <w:r>
              <w:rPr>
                <w:rFonts w:hint="eastAsia" w:cs="Times New Roman"/>
                <w:color w:val="auto"/>
                <w:kern w:val="0"/>
                <w:sz w:val="24"/>
                <w:highlight w:val="none"/>
                <w:lang w:val="en-US" w:eastAsia="zh-CN"/>
              </w:rPr>
              <w:t>项目有机废气采用活性炭进行吸附处理，</w:t>
            </w:r>
            <w:r>
              <w:rPr>
                <w:rFonts w:hint="default" w:ascii="Times New Roman" w:hAnsi="Times New Roman" w:cs="Times New Roman"/>
                <w:color w:val="auto"/>
                <w:sz w:val="24"/>
                <w:szCs w:val="24"/>
                <w:highlight w:val="none"/>
              </w:rPr>
              <w:t>按照1t活性炭可吸附0.25t有机废气估算，</w:t>
            </w:r>
            <w:r>
              <w:rPr>
                <w:rFonts w:hint="eastAsia" w:ascii="Times New Roman" w:hAnsi="Times New Roman" w:cs="Times New Roman"/>
                <w:color w:val="auto"/>
                <w:sz w:val="24"/>
                <w:szCs w:val="24"/>
                <w:highlight w:val="none"/>
                <w:lang w:val="en-US" w:eastAsia="zh-CN"/>
              </w:rPr>
              <w:t>根据工程分析，项目有机废气处理量为</w:t>
            </w:r>
            <w:r>
              <w:rPr>
                <w:rFonts w:hint="eastAsia" w:cs="Times New Roman"/>
                <w:color w:val="auto"/>
                <w:sz w:val="24"/>
                <w:szCs w:val="24"/>
                <w:highlight w:val="none"/>
                <w:lang w:val="en-US" w:eastAsia="zh-CN"/>
              </w:rPr>
              <w:t>0.271</w:t>
            </w:r>
            <w:r>
              <w:rPr>
                <w:rFonts w:hint="eastAsia" w:ascii="Times New Roman" w:hAnsi="Times New Roman" w:cs="Times New Roman"/>
                <w:color w:val="auto"/>
                <w:sz w:val="24"/>
                <w:szCs w:val="24"/>
                <w:highlight w:val="none"/>
                <w:lang w:val="en-US" w:eastAsia="zh-CN"/>
              </w:rPr>
              <w:t>t/a，则项目活性炭用量约为</w:t>
            </w:r>
            <w:r>
              <w:rPr>
                <w:rFonts w:hint="eastAsia" w:cs="Times New Roman"/>
                <w:color w:val="auto"/>
                <w:sz w:val="24"/>
                <w:szCs w:val="24"/>
                <w:highlight w:val="none"/>
                <w:lang w:val="en-US" w:eastAsia="zh-CN"/>
              </w:rPr>
              <w:t>1.084</w:t>
            </w:r>
            <w:r>
              <w:rPr>
                <w:rFonts w:hint="eastAsia" w:ascii="Times New Roman" w:hAnsi="Times New Roman" w:cs="Times New Roman"/>
                <w:color w:val="auto"/>
                <w:sz w:val="24"/>
                <w:szCs w:val="24"/>
                <w:highlight w:val="none"/>
                <w:lang w:val="en-US" w:eastAsia="zh-CN"/>
              </w:rPr>
              <w:t>t/a，则废活性炭产生量为</w:t>
            </w:r>
            <w:r>
              <w:rPr>
                <w:rFonts w:hint="eastAsia" w:cs="Times New Roman"/>
                <w:color w:val="auto"/>
                <w:sz w:val="24"/>
                <w:szCs w:val="24"/>
                <w:highlight w:val="none"/>
                <w:lang w:val="en-US" w:eastAsia="zh-CN"/>
              </w:rPr>
              <w:t>1.355</w:t>
            </w:r>
            <w:r>
              <w:rPr>
                <w:rFonts w:hint="eastAsia" w:ascii="Times New Roman" w:hAnsi="Times New Roman" w:cs="Times New Roman"/>
                <w:color w:val="auto"/>
                <w:sz w:val="24"/>
                <w:szCs w:val="24"/>
                <w:highlight w:val="none"/>
                <w:lang w:val="en-US" w:eastAsia="zh-CN"/>
              </w:rPr>
              <w:t>t/a。</w:t>
            </w:r>
            <w:r>
              <w:rPr>
                <w:rFonts w:hint="default" w:ascii="Times New Roman" w:hAnsi="Times New Roman" w:eastAsia="宋体" w:cs="Times New Roman"/>
                <w:color w:val="auto"/>
                <w:sz w:val="24"/>
                <w:szCs w:val="24"/>
                <w:highlight w:val="none"/>
              </w:rPr>
              <w:t>对照《国家危险废物名录（2021年版）》，属于危险废物</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highlight w:val="none"/>
                <w:lang w:val="en-US" w:eastAsia="zh-CN"/>
              </w:rPr>
              <w:t>危废类别为：</w:t>
            </w:r>
            <w:r>
              <w:rPr>
                <w:rFonts w:hint="default" w:ascii="Times New Roman" w:hAnsi="Times New Roman" w:eastAsia="宋体" w:cs="Times New Roman"/>
                <w:color w:val="auto"/>
                <w:sz w:val="24"/>
                <w:szCs w:val="24"/>
                <w:highlight w:val="none"/>
              </w:rPr>
              <w:t>HW49</w:t>
            </w:r>
            <w:r>
              <w:rPr>
                <w:rFonts w:hint="eastAsia" w:ascii="Times New Roman" w:hAnsi="Times New Roman" w:eastAsia="宋体" w:cs="Times New Roman"/>
                <w:color w:val="auto"/>
                <w:sz w:val="24"/>
                <w:highlight w:val="none"/>
                <w:lang w:val="en-US" w:eastAsia="zh-CN"/>
              </w:rPr>
              <w:t>，废物代码为：</w:t>
            </w:r>
            <w:r>
              <w:rPr>
                <w:rFonts w:hint="default" w:ascii="Times New Roman" w:hAnsi="Times New Roman" w:eastAsia="宋体" w:cs="Times New Roman"/>
                <w:color w:val="auto"/>
                <w:sz w:val="24"/>
                <w:szCs w:val="24"/>
                <w:highlight w:val="none"/>
              </w:rPr>
              <w:t>900-0</w:t>
            </w:r>
            <w:r>
              <w:rPr>
                <w:rFonts w:hint="eastAsia" w:ascii="Times New Roman" w:hAnsi="Times New Roman" w:eastAsia="宋体" w:cs="Times New Roman"/>
                <w:color w:val="auto"/>
                <w:sz w:val="24"/>
                <w:szCs w:val="24"/>
                <w:highlight w:val="none"/>
                <w:lang w:val="en-US" w:eastAsia="zh-CN"/>
              </w:rPr>
              <w:t>41</w:t>
            </w:r>
            <w:r>
              <w:rPr>
                <w:rFonts w:hint="default" w:ascii="Times New Roman" w:hAnsi="Times New Roman" w:eastAsia="宋体" w:cs="Times New Roman"/>
                <w:color w:val="auto"/>
                <w:sz w:val="24"/>
                <w:szCs w:val="24"/>
                <w:highlight w:val="none"/>
              </w:rPr>
              <w:t>-49。</w:t>
            </w:r>
            <w:r>
              <w:rPr>
                <w:rFonts w:hint="eastAsia" w:ascii="Times New Roman" w:hAnsi="Times New Roman" w:eastAsia="宋体" w:cs="Times New Roman"/>
                <w:color w:val="auto"/>
                <w:sz w:val="24"/>
                <w:szCs w:val="24"/>
                <w:highlight w:val="none"/>
                <w:lang w:val="en-US" w:eastAsia="zh-CN"/>
              </w:rPr>
              <w:t>经集中</w:t>
            </w:r>
            <w:r>
              <w:rPr>
                <w:rFonts w:hint="eastAsia" w:cs="Times New Roman"/>
                <w:color w:val="auto"/>
                <w:sz w:val="24"/>
                <w:szCs w:val="24"/>
                <w:highlight w:val="none"/>
                <w:lang w:val="en-US" w:eastAsia="zh-CN"/>
              </w:rPr>
              <w:t>收集</w:t>
            </w:r>
            <w:r>
              <w:rPr>
                <w:rFonts w:hint="eastAsia" w:ascii="Times New Roman" w:hAnsi="Times New Roman" w:eastAsia="宋体" w:cs="Times New Roman"/>
                <w:color w:val="auto"/>
                <w:sz w:val="24"/>
                <w:szCs w:val="24"/>
                <w:highlight w:val="none"/>
                <w:lang w:val="en-US" w:eastAsia="zh-CN"/>
              </w:rPr>
              <w:t>分类暂存于危废间，定期交由有资质单位处置。</w:t>
            </w:r>
          </w:p>
          <w:p>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eastAsia="宋体" w:cs="Times New Roman"/>
                <w:color w:val="auto"/>
                <w:kern w:val="0"/>
                <w:sz w:val="24"/>
                <w:highlight w:val="none"/>
                <w:lang w:val="en-US" w:eastAsia="zh-CN"/>
              </w:rPr>
              <w:t>废含油棉纱手套：</w:t>
            </w:r>
            <w:r>
              <w:rPr>
                <w:rFonts w:hint="eastAsia" w:cs="Times New Roman"/>
                <w:color w:val="auto"/>
                <w:kern w:val="0"/>
                <w:sz w:val="24"/>
                <w:highlight w:val="none"/>
                <w:lang w:val="en-US" w:eastAsia="zh-CN"/>
              </w:rPr>
              <w:t>主要为维修保养过程中产生的含油</w:t>
            </w:r>
            <w:r>
              <w:rPr>
                <w:rFonts w:hint="eastAsia" w:eastAsia="宋体" w:cs="Times New Roman"/>
                <w:color w:val="auto"/>
                <w:kern w:val="0"/>
                <w:sz w:val="24"/>
                <w:highlight w:val="none"/>
                <w:lang w:val="en-US" w:eastAsia="zh-CN"/>
              </w:rPr>
              <w:t>棉纱手套</w:t>
            </w:r>
            <w:r>
              <w:rPr>
                <w:rFonts w:hint="eastAsia" w:cs="Times New Roman"/>
                <w:color w:val="auto"/>
                <w:kern w:val="0"/>
                <w:sz w:val="24"/>
                <w:highlight w:val="none"/>
                <w:lang w:val="en-US" w:eastAsia="zh-CN"/>
              </w:rPr>
              <w:t>，产生量较少，约0.02t/a</w:t>
            </w: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sz w:val="24"/>
                <w:szCs w:val="24"/>
                <w:highlight w:val="none"/>
              </w:rPr>
              <w:t>对照《国家危险废物名录（2021年版）》，属于危险废物</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highlight w:val="none"/>
                <w:lang w:val="en-US" w:eastAsia="zh-CN"/>
              </w:rPr>
              <w:t>危废类别为：</w:t>
            </w:r>
            <w:r>
              <w:rPr>
                <w:rFonts w:hint="default" w:ascii="Times New Roman" w:hAnsi="Times New Roman" w:eastAsia="宋体" w:cs="Times New Roman"/>
                <w:color w:val="auto"/>
                <w:sz w:val="24"/>
                <w:szCs w:val="24"/>
                <w:highlight w:val="none"/>
              </w:rPr>
              <w:t>HW</w:t>
            </w:r>
            <w:r>
              <w:rPr>
                <w:rFonts w:hint="eastAsia" w:cs="Times New Roman"/>
                <w:color w:val="auto"/>
                <w:sz w:val="24"/>
                <w:szCs w:val="24"/>
                <w:highlight w:val="none"/>
                <w:lang w:val="en-US" w:eastAsia="zh-CN"/>
              </w:rPr>
              <w:t>49</w:t>
            </w:r>
            <w:r>
              <w:rPr>
                <w:rFonts w:hint="eastAsia" w:ascii="Times New Roman" w:hAnsi="Times New Roman" w:eastAsia="宋体" w:cs="Times New Roman"/>
                <w:color w:val="auto"/>
                <w:sz w:val="24"/>
                <w:highlight w:val="none"/>
                <w:lang w:val="en-US" w:eastAsia="zh-CN"/>
              </w:rPr>
              <w:t>，废物代码为：</w:t>
            </w:r>
            <w:r>
              <w:rPr>
                <w:rFonts w:hint="eastAsia" w:cs="Times New Roman"/>
                <w:color w:val="auto"/>
                <w:sz w:val="24"/>
                <w:szCs w:val="24"/>
                <w:highlight w:val="none"/>
                <w:lang w:val="en-US" w:eastAsia="zh-CN"/>
              </w:rPr>
              <w:t>900-041-49</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经集中</w:t>
            </w:r>
            <w:r>
              <w:rPr>
                <w:rFonts w:hint="eastAsia" w:cs="Times New Roman"/>
                <w:color w:val="auto"/>
                <w:sz w:val="24"/>
                <w:szCs w:val="24"/>
                <w:highlight w:val="none"/>
                <w:lang w:val="en-US" w:eastAsia="zh-CN"/>
              </w:rPr>
              <w:t>收集</w:t>
            </w:r>
            <w:r>
              <w:rPr>
                <w:rFonts w:hint="eastAsia" w:ascii="Times New Roman" w:hAnsi="Times New Roman" w:eastAsia="宋体" w:cs="Times New Roman"/>
                <w:color w:val="auto"/>
                <w:sz w:val="24"/>
                <w:szCs w:val="24"/>
                <w:highlight w:val="none"/>
                <w:lang w:val="en-US" w:eastAsia="zh-CN"/>
              </w:rPr>
              <w:t>分类暂存于危废间，定期交由有资质单位处置</w:t>
            </w:r>
            <w:r>
              <w:rPr>
                <w:rFonts w:hint="eastAsia" w:cs="Times New Roman"/>
                <w:color w:val="auto"/>
                <w:sz w:val="24"/>
                <w:szCs w:val="24"/>
                <w:highlight w:val="none"/>
                <w:lang w:val="en-US" w:eastAsia="zh-CN"/>
              </w:rPr>
              <w:t>。</w:t>
            </w:r>
          </w:p>
          <w:p>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eastAsia="宋体" w:cs="Times New Roman"/>
                <w:color w:val="auto"/>
                <w:kern w:val="0"/>
                <w:sz w:val="24"/>
                <w:highlight w:val="none"/>
                <w:lang w:val="en-US" w:eastAsia="zh-CN"/>
              </w:rPr>
              <w:t>生活垃圾：</w:t>
            </w:r>
            <w:r>
              <w:rPr>
                <w:rFonts w:hint="eastAsia" w:ascii="Times New Roman" w:hAnsi="Times New Roman" w:eastAsia="宋体" w:cs="Times New Roman"/>
                <w:color w:val="auto"/>
                <w:kern w:val="0"/>
                <w:sz w:val="24"/>
                <w:highlight w:val="none"/>
                <w:lang w:val="en-US" w:eastAsia="zh-CN"/>
              </w:rPr>
              <w:t>本项目营运期劳动定员</w:t>
            </w:r>
            <w:r>
              <w:rPr>
                <w:rFonts w:hint="eastAsia" w:eastAsia="宋体" w:cs="Times New Roman"/>
                <w:color w:val="auto"/>
                <w:kern w:val="0"/>
                <w:sz w:val="24"/>
                <w:highlight w:val="none"/>
                <w:lang w:val="en-US" w:eastAsia="zh-CN"/>
              </w:rPr>
              <w:t>2</w:t>
            </w:r>
            <w:r>
              <w:rPr>
                <w:rFonts w:hint="eastAsia" w:ascii="Times New Roman" w:hAnsi="Times New Roman" w:eastAsia="宋体" w:cs="Times New Roman"/>
                <w:color w:val="auto"/>
                <w:kern w:val="0"/>
                <w:sz w:val="24"/>
                <w:highlight w:val="none"/>
                <w:lang w:val="en-US" w:eastAsia="zh-CN"/>
              </w:rPr>
              <w:t>0人，产生的生活垃圾按0.5kg/人·d 计算，则项目生活垃圾产生量为</w:t>
            </w:r>
            <w:r>
              <w:rPr>
                <w:rFonts w:hint="eastAsia" w:eastAsia="宋体" w:cs="Times New Roman"/>
                <w:color w:val="auto"/>
                <w:kern w:val="0"/>
                <w:sz w:val="24"/>
                <w:highlight w:val="none"/>
                <w:lang w:val="en-US" w:eastAsia="zh-CN"/>
              </w:rPr>
              <w:t>10</w:t>
            </w:r>
            <w:r>
              <w:rPr>
                <w:rFonts w:hint="eastAsia" w:ascii="Times New Roman" w:hAnsi="Times New Roman" w:eastAsia="宋体" w:cs="Times New Roman"/>
                <w:color w:val="auto"/>
                <w:kern w:val="0"/>
                <w:sz w:val="24"/>
                <w:highlight w:val="none"/>
                <w:lang w:val="en-US" w:eastAsia="zh-CN"/>
              </w:rPr>
              <w:t>kg/d（2.6t/a）；经收集后交由环卫部门统一处置。</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表</w:t>
            </w:r>
            <w:r>
              <w:rPr>
                <w:rFonts w:hint="eastAsia" w:ascii="Times New Roman" w:hAnsi="Times New Roman" w:eastAsia="宋体" w:cs="Times New Roman"/>
                <w:color w:val="auto"/>
                <w:sz w:val="24"/>
                <w:highlight w:val="none"/>
                <w:lang w:val="en-US" w:eastAsia="zh-CN"/>
              </w:rPr>
              <w:t>4-</w:t>
            </w:r>
            <w:r>
              <w:rPr>
                <w:rFonts w:hint="eastAsia" w:cs="Times New Roman"/>
                <w:color w:val="auto"/>
                <w:sz w:val="24"/>
                <w:highlight w:val="none"/>
                <w:lang w:val="en-US" w:eastAsia="zh-CN"/>
              </w:rPr>
              <w:t>20</w:t>
            </w:r>
            <w:r>
              <w:rPr>
                <w:rFonts w:hint="eastAsia" w:ascii="Times New Roman" w:hAnsi="Times New Roman" w:eastAsia="宋体" w:cs="Times New Roman"/>
                <w:color w:val="auto"/>
                <w:sz w:val="24"/>
                <w:highlight w:val="none"/>
                <w:lang w:val="en-US" w:eastAsia="zh-CN"/>
              </w:rPr>
              <w:t xml:space="preserve"> </w:t>
            </w:r>
            <w:r>
              <w:rPr>
                <w:rFonts w:hint="eastAsia" w:ascii="Times New Roman" w:hAnsi="Times New Roman" w:eastAsia="宋体" w:cs="Times New Roman"/>
                <w:color w:val="auto"/>
                <w:sz w:val="24"/>
                <w:highlight w:val="none"/>
              </w:rPr>
              <w:t>固体废物产生情况一览表</w:t>
            </w:r>
          </w:p>
          <w:tbl>
            <w:tblPr>
              <w:tblStyle w:val="1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5"/>
              <w:gridCol w:w="2366"/>
              <w:gridCol w:w="1934"/>
              <w:gridCol w:w="883"/>
              <w:gridCol w:w="23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78" w:type="pct"/>
                  <w:gridSpan w:val="2"/>
                  <w:noWrap w:val="0"/>
                  <w:vAlign w:val="center"/>
                </w:tcPr>
                <w:p>
                  <w:pPr>
                    <w:jc w:val="center"/>
                    <w:rPr>
                      <w:b/>
                      <w:color w:val="auto"/>
                      <w:szCs w:val="21"/>
                      <w:highlight w:val="none"/>
                    </w:rPr>
                  </w:pPr>
                  <w:r>
                    <w:rPr>
                      <w:b/>
                      <w:color w:val="auto"/>
                      <w:szCs w:val="21"/>
                      <w:highlight w:val="none"/>
                    </w:rPr>
                    <w:t>固废类别及名称</w:t>
                  </w:r>
                </w:p>
              </w:tc>
              <w:tc>
                <w:tcPr>
                  <w:tcW w:w="1164" w:type="pct"/>
                  <w:noWrap w:val="0"/>
                  <w:vAlign w:val="center"/>
                </w:tcPr>
                <w:p>
                  <w:pPr>
                    <w:jc w:val="center"/>
                    <w:rPr>
                      <w:b/>
                      <w:color w:val="auto"/>
                      <w:szCs w:val="21"/>
                      <w:highlight w:val="none"/>
                    </w:rPr>
                  </w:pPr>
                  <w:r>
                    <w:rPr>
                      <w:b/>
                      <w:color w:val="auto"/>
                      <w:szCs w:val="21"/>
                      <w:highlight w:val="none"/>
                    </w:rPr>
                    <w:t>代码</w:t>
                  </w:r>
                </w:p>
              </w:tc>
              <w:tc>
                <w:tcPr>
                  <w:tcW w:w="531" w:type="pct"/>
                  <w:noWrap w:val="0"/>
                  <w:vAlign w:val="center"/>
                </w:tcPr>
                <w:p>
                  <w:pPr>
                    <w:jc w:val="center"/>
                    <w:rPr>
                      <w:b/>
                      <w:color w:val="auto"/>
                      <w:szCs w:val="21"/>
                      <w:highlight w:val="none"/>
                    </w:rPr>
                  </w:pPr>
                  <w:r>
                    <w:rPr>
                      <w:b/>
                      <w:color w:val="auto"/>
                      <w:szCs w:val="21"/>
                      <w:highlight w:val="none"/>
                    </w:rPr>
                    <w:t>产生量</w:t>
                  </w:r>
                </w:p>
              </w:tc>
              <w:tc>
                <w:tcPr>
                  <w:tcW w:w="1425" w:type="pct"/>
                  <w:noWrap w:val="0"/>
                  <w:vAlign w:val="center"/>
                </w:tcPr>
                <w:p>
                  <w:pPr>
                    <w:jc w:val="center"/>
                    <w:rPr>
                      <w:b/>
                      <w:color w:val="auto"/>
                      <w:szCs w:val="21"/>
                      <w:highlight w:val="none"/>
                    </w:rPr>
                  </w:pPr>
                  <w:r>
                    <w:rPr>
                      <w:b/>
                      <w:color w:val="auto"/>
                      <w:szCs w:val="21"/>
                      <w:highlight w:val="none"/>
                    </w:rPr>
                    <w:t>处理措施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54" w:type="pct"/>
                  <w:vMerge w:val="restart"/>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一般工业固废</w:t>
                  </w:r>
                </w:p>
              </w:tc>
              <w:tc>
                <w:tcPr>
                  <w:tcW w:w="1424"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废包装袋</w:t>
                  </w:r>
                </w:p>
              </w:tc>
              <w:tc>
                <w:tcPr>
                  <w:tcW w:w="1164" w:type="pct"/>
                  <w:noWrap w:val="0"/>
                  <w:vAlign w:val="center"/>
                </w:tcPr>
                <w:p>
                  <w:pPr>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375</w:t>
                  </w:r>
                  <w:r>
                    <w:rPr>
                      <w:rFonts w:hint="eastAsia" w:ascii="Times New Roman" w:hAnsi="Times New Roman" w:eastAsia="宋体" w:cs="Times New Roman"/>
                      <w:color w:val="auto"/>
                      <w:sz w:val="21"/>
                      <w:szCs w:val="21"/>
                      <w:highlight w:val="none"/>
                      <w:lang w:val="en-US" w:eastAsia="zh-CN"/>
                    </w:rPr>
                    <w:t>-009-07</w:t>
                  </w:r>
                </w:p>
              </w:tc>
              <w:tc>
                <w:tcPr>
                  <w:tcW w:w="531"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w:t>
                  </w:r>
                </w:p>
              </w:tc>
              <w:tc>
                <w:tcPr>
                  <w:tcW w:w="1425" w:type="pct"/>
                  <w:vMerge w:val="restart"/>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外售废旧物资回收单位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7" w:hRule="atLeast"/>
                <w:jc w:val="center"/>
              </w:trPr>
              <w:tc>
                <w:tcPr>
                  <w:tcW w:w="454" w:type="pct"/>
                  <w:vMerge w:val="continue"/>
                  <w:noWrap w:val="0"/>
                  <w:vAlign w:val="center"/>
                </w:tcPr>
                <w:p>
                  <w:pPr>
                    <w:jc w:val="center"/>
                    <w:rPr>
                      <w:rFonts w:hint="eastAsia" w:ascii="Times New Roman" w:hAnsi="Times New Roman" w:eastAsia="宋体" w:cs="Times New Roman"/>
                      <w:color w:val="auto"/>
                      <w:szCs w:val="21"/>
                      <w:highlight w:val="none"/>
                      <w:lang w:val="en-US" w:eastAsia="zh-CN"/>
                    </w:rPr>
                  </w:pPr>
                </w:p>
              </w:tc>
              <w:tc>
                <w:tcPr>
                  <w:tcW w:w="1424"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bCs/>
                      <w:snapToGrid w:val="0"/>
                      <w:color w:val="auto"/>
                      <w:kern w:val="0"/>
                      <w:sz w:val="21"/>
                      <w:szCs w:val="21"/>
                      <w:highlight w:val="none"/>
                      <w:vertAlign w:val="baseline"/>
                      <w:lang w:val="en-US" w:eastAsia="zh-CN"/>
                    </w:rPr>
                    <w:t>废模具</w:t>
                  </w:r>
                </w:p>
              </w:tc>
              <w:tc>
                <w:tcPr>
                  <w:tcW w:w="1164" w:type="pct"/>
                  <w:noWrap w:val="0"/>
                  <w:vAlign w:val="center"/>
                </w:tcPr>
                <w:p>
                  <w:pPr>
                    <w:jc w:val="center"/>
                    <w:rPr>
                      <w:rFonts w:hint="eastAsia" w:ascii="Times New Roman" w:hAnsi="Times New Roman" w:eastAsia="宋体" w:cs="Times New Roman"/>
                      <w:snapToGrid w:val="0"/>
                      <w:color w:val="auto"/>
                      <w:kern w:val="2"/>
                      <w:sz w:val="21"/>
                      <w:szCs w:val="21"/>
                      <w:highlight w:val="none"/>
                      <w:vertAlign w:val="baseline"/>
                      <w:lang w:val="en-US" w:eastAsia="zh-CN" w:bidi="ar-SA"/>
                    </w:rPr>
                  </w:pPr>
                  <w:r>
                    <w:rPr>
                      <w:rFonts w:hint="eastAsia" w:cs="Times New Roman"/>
                      <w:color w:val="auto"/>
                      <w:kern w:val="0"/>
                      <w:sz w:val="21"/>
                      <w:szCs w:val="21"/>
                      <w:highlight w:val="none"/>
                      <w:shd w:val="clear" w:color="auto" w:fill="auto"/>
                      <w:lang w:val="en-US" w:eastAsia="zh-CN"/>
                    </w:rPr>
                    <w:t>375</w:t>
                  </w:r>
                  <w:r>
                    <w:rPr>
                      <w:rFonts w:hint="eastAsia" w:ascii="Times New Roman" w:hAnsi="Times New Roman" w:eastAsia="宋体" w:cs="Times New Roman"/>
                      <w:color w:val="auto"/>
                      <w:kern w:val="0"/>
                      <w:sz w:val="21"/>
                      <w:szCs w:val="21"/>
                      <w:highlight w:val="none"/>
                      <w:shd w:val="clear" w:color="auto" w:fill="auto"/>
                      <w:lang w:eastAsia="zh-CN"/>
                    </w:rPr>
                    <w:t>-004-</w:t>
                  </w:r>
                  <w:r>
                    <w:rPr>
                      <w:rFonts w:hint="default" w:ascii="Times New Roman" w:hAnsi="Times New Roman" w:eastAsia="宋体" w:cs="Times New Roman"/>
                      <w:color w:val="auto"/>
                      <w:kern w:val="0"/>
                      <w:sz w:val="21"/>
                      <w:szCs w:val="21"/>
                      <w:highlight w:val="none"/>
                      <w:shd w:val="clear" w:color="auto" w:fill="auto"/>
                    </w:rPr>
                    <w:t>09</w:t>
                  </w:r>
                </w:p>
              </w:tc>
              <w:tc>
                <w:tcPr>
                  <w:tcW w:w="531"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w:t>
                  </w:r>
                </w:p>
              </w:tc>
              <w:tc>
                <w:tcPr>
                  <w:tcW w:w="1425" w:type="pct"/>
                  <w:vMerge w:val="continue"/>
                  <w:noWrap w:val="0"/>
                  <w:vAlign w:val="center"/>
                </w:tcPr>
                <w:p>
                  <w:pPr>
                    <w:jc w:val="center"/>
                    <w:rPr>
                      <w:rFonts w:hint="default" w:ascii="Times New Roman" w:hAnsi="Times New Roman" w:eastAsia="宋体" w:cs="Times New Roman"/>
                      <w:color w:val="auto"/>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7" w:hRule="atLeast"/>
                <w:jc w:val="center"/>
              </w:trPr>
              <w:tc>
                <w:tcPr>
                  <w:tcW w:w="454" w:type="pct"/>
                  <w:vMerge w:val="continue"/>
                  <w:noWrap w:val="0"/>
                  <w:vAlign w:val="center"/>
                </w:tcPr>
                <w:p>
                  <w:pPr>
                    <w:jc w:val="center"/>
                    <w:rPr>
                      <w:rFonts w:hint="eastAsia" w:ascii="Times New Roman" w:hAnsi="Times New Roman" w:eastAsia="宋体" w:cs="Times New Roman"/>
                      <w:color w:val="auto"/>
                      <w:szCs w:val="21"/>
                      <w:highlight w:val="yellow"/>
                      <w:lang w:val="en-US" w:eastAsia="zh-CN"/>
                    </w:rPr>
                  </w:pPr>
                </w:p>
              </w:tc>
              <w:tc>
                <w:tcPr>
                  <w:tcW w:w="1424"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塑料</w:t>
                  </w:r>
                  <w:r>
                    <w:rPr>
                      <w:rFonts w:hint="eastAsia" w:cs="Times New Roman"/>
                      <w:color w:val="auto"/>
                      <w:sz w:val="21"/>
                      <w:szCs w:val="21"/>
                      <w:highlight w:val="none"/>
                      <w:lang w:val="en-US" w:eastAsia="zh-CN"/>
                    </w:rPr>
                    <w:t>边角料及</w:t>
                  </w:r>
                  <w:r>
                    <w:rPr>
                      <w:rFonts w:hint="eastAsia" w:ascii="Times New Roman" w:hAnsi="Times New Roman" w:eastAsia="宋体" w:cs="Times New Roman"/>
                      <w:color w:val="auto"/>
                      <w:sz w:val="21"/>
                      <w:szCs w:val="21"/>
                      <w:highlight w:val="none"/>
                      <w:lang w:val="en-US" w:eastAsia="zh-CN"/>
                    </w:rPr>
                    <w:t>不合格品</w:t>
                  </w:r>
                </w:p>
              </w:tc>
              <w:tc>
                <w:tcPr>
                  <w:tcW w:w="1164"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1"/>
                      <w:highlight w:val="none"/>
                      <w:lang w:val="en-US" w:eastAsia="zh-CN"/>
                    </w:rPr>
                    <w:t>375</w:t>
                  </w:r>
                  <w:r>
                    <w:rPr>
                      <w:rFonts w:hint="eastAsia" w:ascii="Times New Roman" w:hAnsi="Times New Roman" w:eastAsia="宋体" w:cs="Times New Roman"/>
                      <w:color w:val="auto"/>
                      <w:sz w:val="21"/>
                      <w:szCs w:val="21"/>
                      <w:highlight w:val="none"/>
                      <w:lang w:val="en-US" w:eastAsia="zh-CN"/>
                    </w:rPr>
                    <w:t>-009-06</w:t>
                  </w:r>
                </w:p>
              </w:tc>
              <w:tc>
                <w:tcPr>
                  <w:tcW w:w="531"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1.38</w:t>
                  </w:r>
                </w:p>
              </w:tc>
              <w:tc>
                <w:tcPr>
                  <w:tcW w:w="1425" w:type="pct"/>
                  <w:vMerge w:val="continue"/>
                  <w:noWrap w:val="0"/>
                  <w:vAlign w:val="center"/>
                </w:tcPr>
                <w:p>
                  <w:pPr>
                    <w:jc w:val="center"/>
                    <w:rPr>
                      <w:rFonts w:hint="eastAsia" w:ascii="Times New Roman" w:hAnsi="Times New Roman" w:eastAsia="宋体" w:cs="Times New Roman"/>
                      <w:color w:val="auto"/>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7" w:hRule="atLeast"/>
                <w:jc w:val="center"/>
              </w:trPr>
              <w:tc>
                <w:tcPr>
                  <w:tcW w:w="454" w:type="pct"/>
                  <w:vMerge w:val="restart"/>
                  <w:noWrap w:val="0"/>
                  <w:vAlign w:val="center"/>
                </w:tcPr>
                <w:p>
                  <w:pPr>
                    <w:jc w:val="center"/>
                    <w:rPr>
                      <w:rFonts w:hint="eastAsia" w:ascii="Times New Roman" w:hAnsi="Times New Roman" w:eastAsia="宋体" w:cs="Times New Roman"/>
                      <w:color w:val="auto"/>
                      <w:szCs w:val="21"/>
                      <w:highlight w:val="yellow"/>
                      <w:lang w:val="en-US" w:eastAsia="zh-CN"/>
                    </w:rPr>
                  </w:pPr>
                  <w:r>
                    <w:rPr>
                      <w:rFonts w:hint="eastAsia" w:ascii="Times New Roman" w:hAnsi="Times New Roman" w:eastAsia="宋体" w:cs="Times New Roman"/>
                      <w:color w:val="auto"/>
                      <w:szCs w:val="21"/>
                      <w:highlight w:val="none"/>
                      <w:lang w:val="en-US" w:eastAsia="zh-CN"/>
                    </w:rPr>
                    <w:t>危险废物</w:t>
                  </w:r>
                </w:p>
              </w:tc>
              <w:tc>
                <w:tcPr>
                  <w:tcW w:w="1424"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废润滑油</w:t>
                  </w:r>
                </w:p>
              </w:tc>
              <w:tc>
                <w:tcPr>
                  <w:tcW w:w="1164" w:type="pct"/>
                  <w:noWrap w:val="0"/>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HW08，900-21</w:t>
                  </w:r>
                  <w:r>
                    <w:rPr>
                      <w:rFonts w:hint="eastAsia" w:cs="Times New Roman"/>
                      <w:color w:val="auto"/>
                      <w:szCs w:val="21"/>
                      <w:highlight w:val="none"/>
                      <w:lang w:val="en-US" w:eastAsia="zh-CN"/>
                    </w:rPr>
                    <w:t>7</w:t>
                  </w:r>
                  <w:r>
                    <w:rPr>
                      <w:rFonts w:hint="eastAsia" w:ascii="Times New Roman" w:hAnsi="Times New Roman" w:eastAsia="宋体" w:cs="Times New Roman"/>
                      <w:color w:val="auto"/>
                      <w:szCs w:val="21"/>
                      <w:highlight w:val="none"/>
                      <w:lang w:val="en-US" w:eastAsia="zh-CN"/>
                    </w:rPr>
                    <w:t>-08</w:t>
                  </w:r>
                </w:p>
              </w:tc>
              <w:tc>
                <w:tcPr>
                  <w:tcW w:w="531" w:type="pct"/>
                  <w:noWrap w:val="0"/>
                  <w:vAlign w:val="center"/>
                </w:tcPr>
                <w:p>
                  <w:pPr>
                    <w:jc w:val="center"/>
                    <w:rPr>
                      <w:rFonts w:hint="default"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3</w:t>
                  </w:r>
                </w:p>
              </w:tc>
              <w:tc>
                <w:tcPr>
                  <w:tcW w:w="1425" w:type="pct"/>
                  <w:vMerge w:val="restart"/>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统一收集，集中分类暂存于危废间，定期交由有资质单位处置；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7" w:hRule="atLeast"/>
                <w:jc w:val="center"/>
              </w:trPr>
              <w:tc>
                <w:tcPr>
                  <w:tcW w:w="454" w:type="pct"/>
                  <w:vMerge w:val="continue"/>
                  <w:noWrap w:val="0"/>
                  <w:vAlign w:val="center"/>
                </w:tcPr>
                <w:p>
                  <w:pPr>
                    <w:jc w:val="center"/>
                    <w:rPr>
                      <w:rFonts w:hint="eastAsia" w:ascii="Times New Roman" w:hAnsi="Times New Roman" w:eastAsia="宋体" w:cs="Times New Roman"/>
                      <w:color w:val="auto"/>
                      <w:szCs w:val="21"/>
                      <w:highlight w:val="yellow"/>
                      <w:lang w:val="en-US" w:eastAsia="zh-CN"/>
                    </w:rPr>
                  </w:pPr>
                </w:p>
              </w:tc>
              <w:tc>
                <w:tcPr>
                  <w:tcW w:w="1424"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废润滑油桶</w:t>
                  </w:r>
                </w:p>
              </w:tc>
              <w:tc>
                <w:tcPr>
                  <w:tcW w:w="1164"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HW08，</w:t>
                  </w:r>
                  <w:r>
                    <w:rPr>
                      <w:rFonts w:hint="eastAsia" w:ascii="Times New Roman" w:hAnsi="Times New Roman" w:eastAsia="宋体" w:cs="Times New Roman"/>
                      <w:color w:val="auto"/>
                      <w:szCs w:val="21"/>
                      <w:highlight w:val="none"/>
                      <w:lang w:val="zh-CN" w:eastAsia="zh-CN"/>
                    </w:rPr>
                    <w:t>900-249-08</w:t>
                  </w:r>
                </w:p>
              </w:tc>
              <w:tc>
                <w:tcPr>
                  <w:tcW w:w="531" w:type="pct"/>
                  <w:noWrap w:val="0"/>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0.02</w:t>
                  </w:r>
                </w:p>
              </w:tc>
              <w:tc>
                <w:tcPr>
                  <w:tcW w:w="1425" w:type="pct"/>
                  <w:vMerge w:val="continue"/>
                  <w:noWrap w:val="0"/>
                  <w:vAlign w:val="center"/>
                </w:tcPr>
                <w:p>
                  <w:pPr>
                    <w:jc w:val="center"/>
                    <w:rPr>
                      <w:rFonts w:hint="eastAsia" w:ascii="Times New Roman" w:hAnsi="Times New Roman" w:eastAsia="宋体" w:cs="Times New Roman"/>
                      <w:color w:val="auto"/>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7" w:hRule="atLeast"/>
                <w:jc w:val="center"/>
              </w:trPr>
              <w:tc>
                <w:tcPr>
                  <w:tcW w:w="454" w:type="pct"/>
                  <w:vMerge w:val="continue"/>
                  <w:noWrap w:val="0"/>
                  <w:vAlign w:val="center"/>
                </w:tcPr>
                <w:p>
                  <w:pPr>
                    <w:jc w:val="center"/>
                    <w:rPr>
                      <w:rFonts w:hint="eastAsia" w:ascii="Times New Roman" w:hAnsi="Times New Roman" w:eastAsia="宋体" w:cs="Times New Roman"/>
                      <w:color w:val="auto"/>
                      <w:szCs w:val="21"/>
                      <w:highlight w:val="yellow"/>
                      <w:lang w:val="en-US" w:eastAsia="zh-CN"/>
                    </w:rPr>
                  </w:pPr>
                </w:p>
              </w:tc>
              <w:tc>
                <w:tcPr>
                  <w:tcW w:w="1424"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废过滤棉</w:t>
                  </w:r>
                </w:p>
              </w:tc>
              <w:tc>
                <w:tcPr>
                  <w:tcW w:w="1164"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HW49</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900-041-49</w:t>
                  </w:r>
                </w:p>
              </w:tc>
              <w:tc>
                <w:tcPr>
                  <w:tcW w:w="531" w:type="pct"/>
                  <w:noWrap w:val="0"/>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1425" w:type="pct"/>
                  <w:vMerge w:val="continue"/>
                  <w:noWrap w:val="0"/>
                  <w:vAlign w:val="center"/>
                </w:tcPr>
                <w:p>
                  <w:pPr>
                    <w:jc w:val="center"/>
                    <w:rPr>
                      <w:rFonts w:hint="eastAsia" w:ascii="Times New Roman" w:hAnsi="Times New Roman" w:eastAsia="宋体" w:cs="Times New Roman"/>
                      <w:color w:val="auto"/>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7" w:hRule="atLeast"/>
                <w:jc w:val="center"/>
              </w:trPr>
              <w:tc>
                <w:tcPr>
                  <w:tcW w:w="454" w:type="pct"/>
                  <w:vMerge w:val="continue"/>
                  <w:noWrap w:val="0"/>
                  <w:vAlign w:val="center"/>
                </w:tcPr>
                <w:p>
                  <w:pPr>
                    <w:jc w:val="center"/>
                    <w:rPr>
                      <w:rFonts w:hint="eastAsia" w:ascii="Times New Roman" w:hAnsi="Times New Roman" w:eastAsia="宋体" w:cs="Times New Roman"/>
                      <w:color w:val="auto"/>
                      <w:szCs w:val="21"/>
                      <w:highlight w:val="yellow"/>
                      <w:lang w:val="en-US" w:eastAsia="zh-CN"/>
                    </w:rPr>
                  </w:pPr>
                </w:p>
              </w:tc>
              <w:tc>
                <w:tcPr>
                  <w:tcW w:w="1424"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废uv灯管</w:t>
                  </w:r>
                </w:p>
              </w:tc>
              <w:tc>
                <w:tcPr>
                  <w:tcW w:w="1164"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HW29，900-023-29</w:t>
                  </w:r>
                </w:p>
              </w:tc>
              <w:tc>
                <w:tcPr>
                  <w:tcW w:w="531"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r>
                    <w:rPr>
                      <w:rFonts w:hint="eastAsia" w:cs="Times New Roman"/>
                      <w:color w:val="auto"/>
                      <w:szCs w:val="21"/>
                      <w:highlight w:val="none"/>
                      <w:lang w:val="en-US" w:eastAsia="zh-CN"/>
                    </w:rPr>
                    <w:t>021</w:t>
                  </w:r>
                </w:p>
              </w:tc>
              <w:tc>
                <w:tcPr>
                  <w:tcW w:w="1425" w:type="pct"/>
                  <w:vMerge w:val="continue"/>
                  <w:noWrap w:val="0"/>
                  <w:vAlign w:val="center"/>
                </w:tcPr>
                <w:p>
                  <w:pPr>
                    <w:jc w:val="center"/>
                    <w:rPr>
                      <w:rFonts w:hint="eastAsia" w:ascii="Times New Roman" w:hAnsi="Times New Roman" w:eastAsia="宋体" w:cs="Times New Roman"/>
                      <w:color w:val="auto"/>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7" w:hRule="atLeast"/>
                <w:jc w:val="center"/>
              </w:trPr>
              <w:tc>
                <w:tcPr>
                  <w:tcW w:w="454" w:type="pct"/>
                  <w:vMerge w:val="continue"/>
                  <w:noWrap w:val="0"/>
                  <w:vAlign w:val="center"/>
                </w:tcPr>
                <w:p>
                  <w:pPr>
                    <w:jc w:val="center"/>
                    <w:rPr>
                      <w:rFonts w:hint="eastAsia" w:ascii="Times New Roman" w:hAnsi="Times New Roman" w:eastAsia="宋体" w:cs="Times New Roman"/>
                      <w:color w:val="auto"/>
                      <w:szCs w:val="21"/>
                      <w:highlight w:val="yellow"/>
                      <w:lang w:val="en-US" w:eastAsia="zh-CN"/>
                    </w:rPr>
                  </w:pPr>
                </w:p>
              </w:tc>
              <w:tc>
                <w:tcPr>
                  <w:tcW w:w="1424"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废活性炭</w:t>
                  </w:r>
                </w:p>
              </w:tc>
              <w:tc>
                <w:tcPr>
                  <w:tcW w:w="1164"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HW49，900-041-49</w:t>
                  </w:r>
                </w:p>
              </w:tc>
              <w:tc>
                <w:tcPr>
                  <w:tcW w:w="531" w:type="pct"/>
                  <w:noWrap w:val="0"/>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1.355</w:t>
                  </w:r>
                </w:p>
              </w:tc>
              <w:tc>
                <w:tcPr>
                  <w:tcW w:w="1425" w:type="pct"/>
                  <w:vMerge w:val="continue"/>
                  <w:noWrap w:val="0"/>
                  <w:vAlign w:val="center"/>
                </w:tcPr>
                <w:p>
                  <w:pPr>
                    <w:jc w:val="center"/>
                    <w:rPr>
                      <w:rFonts w:hint="eastAsia" w:ascii="Times New Roman" w:hAnsi="Times New Roman" w:eastAsia="宋体" w:cs="Times New Roman"/>
                      <w:color w:val="auto"/>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7" w:hRule="atLeast"/>
                <w:jc w:val="center"/>
              </w:trPr>
              <w:tc>
                <w:tcPr>
                  <w:tcW w:w="454" w:type="pct"/>
                  <w:vMerge w:val="continue"/>
                  <w:noWrap w:val="0"/>
                  <w:vAlign w:val="center"/>
                </w:tcPr>
                <w:p>
                  <w:pPr>
                    <w:jc w:val="center"/>
                    <w:rPr>
                      <w:rFonts w:hint="eastAsia" w:ascii="Times New Roman" w:hAnsi="Times New Roman" w:eastAsia="宋体" w:cs="Times New Roman"/>
                      <w:color w:val="auto"/>
                      <w:szCs w:val="21"/>
                      <w:highlight w:val="yellow"/>
                      <w:lang w:val="en-US" w:eastAsia="zh-CN"/>
                    </w:rPr>
                  </w:pPr>
                </w:p>
              </w:tc>
              <w:tc>
                <w:tcPr>
                  <w:tcW w:w="1424"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废含油棉纱手套</w:t>
                  </w:r>
                </w:p>
              </w:tc>
              <w:tc>
                <w:tcPr>
                  <w:tcW w:w="1164"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HW49，900-041-49</w:t>
                  </w:r>
                </w:p>
              </w:tc>
              <w:tc>
                <w:tcPr>
                  <w:tcW w:w="531" w:type="pct"/>
                  <w:noWrap w:val="0"/>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0.02</w:t>
                  </w:r>
                </w:p>
              </w:tc>
              <w:tc>
                <w:tcPr>
                  <w:tcW w:w="1425" w:type="pct"/>
                  <w:vMerge w:val="continue"/>
                  <w:noWrap w:val="0"/>
                  <w:vAlign w:val="center"/>
                </w:tcPr>
                <w:p>
                  <w:pPr>
                    <w:jc w:val="center"/>
                    <w:rPr>
                      <w:rFonts w:hint="eastAsia" w:ascii="Times New Roman" w:hAnsi="Times New Roman" w:eastAsia="宋体" w:cs="Times New Roman"/>
                      <w:color w:val="auto"/>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042" w:type="pct"/>
                  <w:gridSpan w:val="3"/>
                  <w:noWrap w:val="0"/>
                  <w:vAlign w:val="center"/>
                </w:tcPr>
                <w:p>
                  <w:pPr>
                    <w:jc w:val="center"/>
                    <w:rPr>
                      <w:color w:val="auto"/>
                      <w:szCs w:val="21"/>
                      <w:highlight w:val="none"/>
                    </w:rPr>
                  </w:pPr>
                  <w:r>
                    <w:rPr>
                      <w:color w:val="auto"/>
                      <w:szCs w:val="21"/>
                      <w:highlight w:val="none"/>
                    </w:rPr>
                    <w:t>生活垃圾</w:t>
                  </w:r>
                </w:p>
              </w:tc>
              <w:tc>
                <w:tcPr>
                  <w:tcW w:w="531" w:type="pct"/>
                  <w:noWrap w:val="0"/>
                  <w:vAlign w:val="center"/>
                </w:tcPr>
                <w:p>
                  <w:pPr>
                    <w:jc w:val="center"/>
                    <w:rPr>
                      <w:rFonts w:hint="default" w:eastAsia="宋体"/>
                      <w:color w:val="auto"/>
                      <w:szCs w:val="21"/>
                      <w:highlight w:val="none"/>
                      <w:lang w:val="en-US" w:eastAsia="zh-CN"/>
                    </w:rPr>
                  </w:pPr>
                  <w:r>
                    <w:rPr>
                      <w:rFonts w:hint="eastAsia" w:eastAsia="宋体"/>
                      <w:color w:val="auto"/>
                      <w:szCs w:val="21"/>
                      <w:highlight w:val="none"/>
                      <w:lang w:val="en-US" w:eastAsia="zh-CN"/>
                    </w:rPr>
                    <w:t>2.6</w:t>
                  </w:r>
                </w:p>
              </w:tc>
              <w:tc>
                <w:tcPr>
                  <w:tcW w:w="1425" w:type="pct"/>
                  <w:noWrap w:val="0"/>
                  <w:vAlign w:val="center"/>
                </w:tcPr>
                <w:p>
                  <w:pPr>
                    <w:jc w:val="center"/>
                    <w:rPr>
                      <w:color w:val="auto"/>
                      <w:szCs w:val="21"/>
                      <w:highlight w:val="none"/>
                    </w:rPr>
                  </w:pPr>
                  <w:r>
                    <w:rPr>
                      <w:rFonts w:hint="eastAsia" w:ascii="Times New Roman" w:hAnsi="Times New Roman" w:eastAsia="宋体" w:cs="Times New Roman"/>
                      <w:color w:val="auto"/>
                      <w:szCs w:val="21"/>
                      <w:highlight w:val="none"/>
                      <w:lang w:val="en-US" w:eastAsia="zh-CN"/>
                    </w:rPr>
                    <w:t>交当地环卫部门</w:t>
                  </w:r>
                </w:p>
              </w:tc>
            </w:tr>
          </w:tbl>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表</w:t>
            </w:r>
            <w:r>
              <w:rPr>
                <w:rFonts w:hint="eastAsia" w:ascii="Times New Roman" w:hAnsi="Times New Roman" w:eastAsia="宋体" w:cs="Times New Roman"/>
                <w:color w:val="auto"/>
                <w:sz w:val="24"/>
                <w:highlight w:val="none"/>
                <w:lang w:val="en-US" w:eastAsia="zh-CN"/>
              </w:rPr>
              <w:t>4-</w:t>
            </w:r>
            <w:r>
              <w:rPr>
                <w:rFonts w:hint="eastAsia" w:cs="Times New Roman"/>
                <w:color w:val="auto"/>
                <w:sz w:val="24"/>
                <w:highlight w:val="none"/>
                <w:lang w:val="en-US" w:eastAsia="zh-CN"/>
              </w:rPr>
              <w:t>21</w:t>
            </w:r>
            <w:r>
              <w:rPr>
                <w:rFonts w:hint="eastAsia" w:ascii="Times New Roman" w:hAnsi="Times New Roman" w:eastAsia="宋体" w:cs="Times New Roman"/>
                <w:color w:val="auto"/>
                <w:sz w:val="24"/>
                <w:highlight w:val="none"/>
                <w:lang w:val="en-US" w:eastAsia="zh-CN"/>
              </w:rPr>
              <w:t xml:space="preserve">  </w:t>
            </w:r>
            <w:r>
              <w:rPr>
                <w:rFonts w:hint="eastAsia" w:ascii="Times New Roman" w:hAnsi="Times New Roman" w:eastAsia="宋体" w:cs="Times New Roman"/>
                <w:color w:val="auto"/>
                <w:sz w:val="24"/>
                <w:highlight w:val="none"/>
              </w:rPr>
              <w:t>项目危险废物汇总一览表 单位t</w:t>
            </w:r>
          </w:p>
          <w:tbl>
            <w:tblPr>
              <w:tblStyle w:val="1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
              <w:gridCol w:w="1146"/>
              <w:gridCol w:w="792"/>
              <w:gridCol w:w="708"/>
              <w:gridCol w:w="750"/>
              <w:gridCol w:w="721"/>
              <w:gridCol w:w="428"/>
              <w:gridCol w:w="771"/>
              <w:gridCol w:w="565"/>
              <w:gridCol w:w="614"/>
              <w:gridCol w:w="605"/>
              <w:gridCol w:w="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 w:hRule="atLeast"/>
                <w:jc w:val="center"/>
              </w:trPr>
              <w:tc>
                <w:tcPr>
                  <w:tcW w:w="290" w:type="pct"/>
                  <w:noWrap w:val="0"/>
                  <w:vAlign w:val="center"/>
                </w:tcPr>
                <w:p>
                  <w:pPr>
                    <w:spacing w:line="280" w:lineRule="exact"/>
                    <w:ind w:left="-42" w:leftChars="-20" w:right="-67" w:rightChars="-32"/>
                    <w:jc w:val="center"/>
                    <w:rPr>
                      <w:b/>
                      <w:color w:val="auto"/>
                      <w:spacing w:val="-12"/>
                      <w:szCs w:val="21"/>
                      <w:highlight w:val="none"/>
                    </w:rPr>
                  </w:pPr>
                  <w:r>
                    <w:rPr>
                      <w:b/>
                      <w:color w:val="auto"/>
                      <w:spacing w:val="-12"/>
                      <w:szCs w:val="21"/>
                      <w:highlight w:val="none"/>
                    </w:rPr>
                    <w:t>序号</w:t>
                  </w:r>
                </w:p>
              </w:tc>
              <w:tc>
                <w:tcPr>
                  <w:tcW w:w="689" w:type="pct"/>
                  <w:noWrap w:val="0"/>
                  <w:vAlign w:val="center"/>
                </w:tcPr>
                <w:p>
                  <w:pPr>
                    <w:spacing w:line="280" w:lineRule="exact"/>
                    <w:ind w:left="-42" w:leftChars="-20" w:right="-67" w:rightChars="-32"/>
                    <w:jc w:val="center"/>
                    <w:rPr>
                      <w:b/>
                      <w:color w:val="auto"/>
                      <w:spacing w:val="-12"/>
                      <w:szCs w:val="21"/>
                      <w:highlight w:val="none"/>
                    </w:rPr>
                  </w:pPr>
                  <w:r>
                    <w:rPr>
                      <w:b/>
                      <w:color w:val="auto"/>
                      <w:spacing w:val="-12"/>
                      <w:szCs w:val="21"/>
                      <w:highlight w:val="none"/>
                    </w:rPr>
                    <w:t>危险废物名称</w:t>
                  </w:r>
                </w:p>
              </w:tc>
              <w:tc>
                <w:tcPr>
                  <w:tcW w:w="476" w:type="pct"/>
                  <w:noWrap w:val="0"/>
                  <w:vAlign w:val="center"/>
                </w:tcPr>
                <w:p>
                  <w:pPr>
                    <w:spacing w:line="280" w:lineRule="exact"/>
                    <w:ind w:left="-42" w:leftChars="-20" w:right="-67" w:rightChars="-32"/>
                    <w:jc w:val="center"/>
                    <w:rPr>
                      <w:b/>
                      <w:color w:val="auto"/>
                      <w:spacing w:val="-12"/>
                      <w:szCs w:val="21"/>
                      <w:highlight w:val="none"/>
                    </w:rPr>
                  </w:pPr>
                  <w:r>
                    <w:rPr>
                      <w:b/>
                      <w:color w:val="auto"/>
                      <w:spacing w:val="-12"/>
                      <w:szCs w:val="21"/>
                      <w:highlight w:val="none"/>
                    </w:rPr>
                    <w:t>危险废物类别</w:t>
                  </w:r>
                </w:p>
              </w:tc>
              <w:tc>
                <w:tcPr>
                  <w:tcW w:w="426" w:type="pct"/>
                  <w:noWrap w:val="0"/>
                  <w:vAlign w:val="center"/>
                </w:tcPr>
                <w:p>
                  <w:pPr>
                    <w:spacing w:line="280" w:lineRule="exact"/>
                    <w:ind w:left="-42" w:leftChars="-20" w:right="-67" w:rightChars="-32"/>
                    <w:jc w:val="center"/>
                    <w:rPr>
                      <w:b/>
                      <w:color w:val="auto"/>
                      <w:spacing w:val="-12"/>
                      <w:szCs w:val="21"/>
                      <w:highlight w:val="none"/>
                    </w:rPr>
                  </w:pPr>
                  <w:r>
                    <w:rPr>
                      <w:b/>
                      <w:color w:val="auto"/>
                      <w:spacing w:val="-12"/>
                      <w:szCs w:val="21"/>
                      <w:highlight w:val="none"/>
                    </w:rPr>
                    <w:t>危险废</w:t>
                  </w:r>
                </w:p>
                <w:p>
                  <w:pPr>
                    <w:spacing w:line="280" w:lineRule="exact"/>
                    <w:ind w:left="-42" w:leftChars="-20" w:right="-67" w:rightChars="-32"/>
                    <w:jc w:val="center"/>
                    <w:rPr>
                      <w:b/>
                      <w:color w:val="auto"/>
                      <w:spacing w:val="-12"/>
                      <w:szCs w:val="21"/>
                      <w:highlight w:val="none"/>
                    </w:rPr>
                  </w:pPr>
                  <w:r>
                    <w:rPr>
                      <w:b/>
                      <w:color w:val="auto"/>
                      <w:spacing w:val="-12"/>
                      <w:szCs w:val="21"/>
                      <w:highlight w:val="none"/>
                    </w:rPr>
                    <w:t>物代码</w:t>
                  </w:r>
                </w:p>
              </w:tc>
              <w:tc>
                <w:tcPr>
                  <w:tcW w:w="451" w:type="pct"/>
                  <w:noWrap w:val="0"/>
                  <w:vAlign w:val="center"/>
                </w:tcPr>
                <w:p>
                  <w:pPr>
                    <w:spacing w:line="280" w:lineRule="exact"/>
                    <w:ind w:left="-42" w:leftChars="-20" w:right="-67" w:rightChars="-32"/>
                    <w:jc w:val="center"/>
                    <w:rPr>
                      <w:b/>
                      <w:color w:val="auto"/>
                      <w:spacing w:val="-12"/>
                      <w:szCs w:val="21"/>
                      <w:highlight w:val="none"/>
                    </w:rPr>
                  </w:pPr>
                  <w:r>
                    <w:rPr>
                      <w:b/>
                      <w:color w:val="auto"/>
                      <w:spacing w:val="-12"/>
                      <w:szCs w:val="21"/>
                      <w:highlight w:val="none"/>
                    </w:rPr>
                    <w:t>产生量t/a</w:t>
                  </w:r>
                </w:p>
              </w:tc>
              <w:tc>
                <w:tcPr>
                  <w:tcW w:w="434" w:type="pct"/>
                  <w:noWrap w:val="0"/>
                  <w:vAlign w:val="center"/>
                </w:tcPr>
                <w:p>
                  <w:pPr>
                    <w:spacing w:line="280" w:lineRule="exact"/>
                    <w:ind w:left="-42" w:leftChars="-20" w:right="-67" w:rightChars="-32"/>
                    <w:jc w:val="center"/>
                    <w:rPr>
                      <w:b/>
                      <w:color w:val="auto"/>
                      <w:spacing w:val="-12"/>
                      <w:szCs w:val="21"/>
                      <w:highlight w:val="none"/>
                    </w:rPr>
                  </w:pPr>
                  <w:r>
                    <w:rPr>
                      <w:b/>
                      <w:color w:val="auto"/>
                      <w:spacing w:val="-12"/>
                      <w:szCs w:val="21"/>
                      <w:highlight w:val="none"/>
                    </w:rPr>
                    <w:t>产生工序及装置</w:t>
                  </w:r>
                </w:p>
              </w:tc>
              <w:tc>
                <w:tcPr>
                  <w:tcW w:w="257" w:type="pct"/>
                  <w:noWrap w:val="0"/>
                  <w:vAlign w:val="center"/>
                </w:tcPr>
                <w:p>
                  <w:pPr>
                    <w:spacing w:line="280" w:lineRule="exact"/>
                    <w:ind w:left="-42" w:leftChars="-20" w:right="-67" w:rightChars="-32"/>
                    <w:jc w:val="center"/>
                    <w:rPr>
                      <w:b/>
                      <w:color w:val="auto"/>
                      <w:spacing w:val="-12"/>
                      <w:szCs w:val="21"/>
                      <w:highlight w:val="none"/>
                    </w:rPr>
                  </w:pPr>
                  <w:r>
                    <w:rPr>
                      <w:b/>
                      <w:color w:val="auto"/>
                      <w:spacing w:val="-12"/>
                      <w:szCs w:val="21"/>
                      <w:highlight w:val="none"/>
                    </w:rPr>
                    <w:t>形态</w:t>
                  </w:r>
                </w:p>
              </w:tc>
              <w:tc>
                <w:tcPr>
                  <w:tcW w:w="464" w:type="pct"/>
                  <w:noWrap w:val="0"/>
                  <w:vAlign w:val="center"/>
                </w:tcPr>
                <w:p>
                  <w:pPr>
                    <w:spacing w:line="280" w:lineRule="exact"/>
                    <w:ind w:left="-42" w:leftChars="-20" w:right="-67" w:rightChars="-32"/>
                    <w:jc w:val="center"/>
                    <w:rPr>
                      <w:b/>
                      <w:color w:val="auto"/>
                      <w:spacing w:val="-12"/>
                      <w:szCs w:val="21"/>
                      <w:highlight w:val="none"/>
                    </w:rPr>
                  </w:pPr>
                  <w:r>
                    <w:rPr>
                      <w:b/>
                      <w:color w:val="auto"/>
                      <w:spacing w:val="-12"/>
                      <w:szCs w:val="21"/>
                      <w:highlight w:val="none"/>
                    </w:rPr>
                    <w:t>主要</w:t>
                  </w:r>
                </w:p>
                <w:p>
                  <w:pPr>
                    <w:spacing w:line="280" w:lineRule="exact"/>
                    <w:ind w:left="-42" w:leftChars="-20" w:right="-67" w:rightChars="-32"/>
                    <w:jc w:val="center"/>
                    <w:rPr>
                      <w:b/>
                      <w:color w:val="auto"/>
                      <w:spacing w:val="-12"/>
                      <w:szCs w:val="21"/>
                      <w:highlight w:val="none"/>
                    </w:rPr>
                  </w:pPr>
                  <w:r>
                    <w:rPr>
                      <w:b/>
                      <w:color w:val="auto"/>
                      <w:spacing w:val="-12"/>
                      <w:szCs w:val="21"/>
                      <w:highlight w:val="none"/>
                    </w:rPr>
                    <w:t>成分</w:t>
                  </w:r>
                </w:p>
              </w:tc>
              <w:tc>
                <w:tcPr>
                  <w:tcW w:w="340" w:type="pct"/>
                  <w:noWrap w:val="0"/>
                  <w:vAlign w:val="center"/>
                </w:tcPr>
                <w:p>
                  <w:pPr>
                    <w:spacing w:line="280" w:lineRule="exact"/>
                    <w:ind w:left="-42" w:leftChars="-20" w:right="-67" w:rightChars="-32"/>
                    <w:jc w:val="center"/>
                    <w:rPr>
                      <w:b/>
                      <w:color w:val="auto"/>
                      <w:spacing w:val="-12"/>
                      <w:szCs w:val="21"/>
                      <w:highlight w:val="none"/>
                    </w:rPr>
                  </w:pPr>
                  <w:r>
                    <w:rPr>
                      <w:b/>
                      <w:color w:val="auto"/>
                      <w:spacing w:val="-12"/>
                      <w:szCs w:val="21"/>
                      <w:highlight w:val="none"/>
                    </w:rPr>
                    <w:t>有害成分</w:t>
                  </w:r>
                </w:p>
              </w:tc>
              <w:tc>
                <w:tcPr>
                  <w:tcW w:w="369" w:type="pct"/>
                  <w:noWrap w:val="0"/>
                  <w:vAlign w:val="center"/>
                </w:tcPr>
                <w:p>
                  <w:pPr>
                    <w:spacing w:line="280" w:lineRule="exact"/>
                    <w:ind w:left="-42" w:leftChars="-20" w:right="-67" w:rightChars="-32"/>
                    <w:jc w:val="center"/>
                    <w:rPr>
                      <w:b/>
                      <w:color w:val="auto"/>
                      <w:spacing w:val="-12"/>
                      <w:szCs w:val="21"/>
                      <w:highlight w:val="none"/>
                    </w:rPr>
                  </w:pPr>
                  <w:r>
                    <w:rPr>
                      <w:b/>
                      <w:color w:val="auto"/>
                      <w:spacing w:val="-12"/>
                      <w:szCs w:val="21"/>
                      <w:highlight w:val="none"/>
                    </w:rPr>
                    <w:t>产废</w:t>
                  </w:r>
                </w:p>
                <w:p>
                  <w:pPr>
                    <w:spacing w:line="280" w:lineRule="exact"/>
                    <w:ind w:left="-42" w:leftChars="-20" w:right="-67" w:rightChars="-32"/>
                    <w:jc w:val="center"/>
                    <w:rPr>
                      <w:b/>
                      <w:color w:val="auto"/>
                      <w:spacing w:val="-12"/>
                      <w:szCs w:val="21"/>
                      <w:highlight w:val="none"/>
                    </w:rPr>
                  </w:pPr>
                  <w:r>
                    <w:rPr>
                      <w:b/>
                      <w:color w:val="auto"/>
                      <w:spacing w:val="-12"/>
                      <w:szCs w:val="21"/>
                      <w:highlight w:val="none"/>
                    </w:rPr>
                    <w:t>周期</w:t>
                  </w:r>
                </w:p>
              </w:tc>
              <w:tc>
                <w:tcPr>
                  <w:tcW w:w="364" w:type="pct"/>
                  <w:noWrap w:val="0"/>
                  <w:vAlign w:val="center"/>
                </w:tcPr>
                <w:p>
                  <w:pPr>
                    <w:spacing w:line="280" w:lineRule="exact"/>
                    <w:ind w:left="-42" w:leftChars="-20" w:right="-67" w:rightChars="-32"/>
                    <w:jc w:val="center"/>
                    <w:rPr>
                      <w:b/>
                      <w:color w:val="auto"/>
                      <w:spacing w:val="-12"/>
                      <w:szCs w:val="21"/>
                      <w:highlight w:val="none"/>
                    </w:rPr>
                  </w:pPr>
                  <w:r>
                    <w:rPr>
                      <w:b/>
                      <w:color w:val="auto"/>
                      <w:spacing w:val="-12"/>
                      <w:szCs w:val="21"/>
                      <w:highlight w:val="none"/>
                    </w:rPr>
                    <w:t>危险</w:t>
                  </w:r>
                </w:p>
                <w:p>
                  <w:pPr>
                    <w:spacing w:line="280" w:lineRule="exact"/>
                    <w:ind w:left="-42" w:leftChars="-20" w:right="-67" w:rightChars="-32"/>
                    <w:jc w:val="center"/>
                    <w:rPr>
                      <w:b/>
                      <w:color w:val="auto"/>
                      <w:spacing w:val="-12"/>
                      <w:szCs w:val="21"/>
                      <w:highlight w:val="none"/>
                    </w:rPr>
                  </w:pPr>
                  <w:r>
                    <w:rPr>
                      <w:b/>
                      <w:color w:val="auto"/>
                      <w:spacing w:val="-12"/>
                      <w:szCs w:val="21"/>
                      <w:highlight w:val="none"/>
                    </w:rPr>
                    <w:t>特性</w:t>
                  </w:r>
                </w:p>
              </w:tc>
              <w:tc>
                <w:tcPr>
                  <w:tcW w:w="435" w:type="pct"/>
                  <w:noWrap w:val="0"/>
                  <w:vAlign w:val="center"/>
                </w:tcPr>
                <w:p>
                  <w:pPr>
                    <w:spacing w:line="280" w:lineRule="exact"/>
                    <w:jc w:val="center"/>
                    <w:rPr>
                      <w:b/>
                      <w:color w:val="auto"/>
                      <w:szCs w:val="21"/>
                      <w:highlight w:val="none"/>
                    </w:rPr>
                  </w:pPr>
                  <w:r>
                    <w:rPr>
                      <w:b/>
                      <w:color w:val="auto"/>
                      <w:szCs w:val="21"/>
                      <w:highlight w:val="none"/>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290" w:type="pct"/>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689"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废</w:t>
                  </w:r>
                  <w:r>
                    <w:rPr>
                      <w:rFonts w:hint="eastAsia" w:cs="Times New Roman"/>
                      <w:color w:val="auto"/>
                      <w:szCs w:val="21"/>
                      <w:highlight w:val="none"/>
                      <w:lang w:val="en-US" w:eastAsia="zh-CN"/>
                    </w:rPr>
                    <w:t>润滑</w:t>
                  </w:r>
                  <w:r>
                    <w:rPr>
                      <w:rFonts w:hint="eastAsia" w:ascii="Times New Roman" w:hAnsi="Times New Roman" w:eastAsia="宋体" w:cs="Times New Roman"/>
                      <w:color w:val="auto"/>
                      <w:szCs w:val="21"/>
                      <w:highlight w:val="none"/>
                      <w:lang w:val="en-US" w:eastAsia="zh-CN"/>
                    </w:rPr>
                    <w:t>油</w:t>
                  </w:r>
                </w:p>
              </w:tc>
              <w:tc>
                <w:tcPr>
                  <w:tcW w:w="476"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HW08</w:t>
                  </w:r>
                </w:p>
              </w:tc>
              <w:tc>
                <w:tcPr>
                  <w:tcW w:w="42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Cs w:val="21"/>
                      <w:highlight w:val="none"/>
                      <w:lang w:val="en-US" w:eastAsia="zh-CN"/>
                    </w:rPr>
                    <w:t>900-21</w:t>
                  </w:r>
                  <w:r>
                    <w:rPr>
                      <w:rFonts w:hint="eastAsia" w:cs="Times New Roman"/>
                      <w:color w:val="auto"/>
                      <w:szCs w:val="21"/>
                      <w:highlight w:val="none"/>
                      <w:lang w:val="en-US" w:eastAsia="zh-CN"/>
                    </w:rPr>
                    <w:t>7</w:t>
                  </w:r>
                  <w:r>
                    <w:rPr>
                      <w:rFonts w:hint="eastAsia" w:ascii="Times New Roman" w:hAnsi="Times New Roman" w:eastAsia="宋体" w:cs="Times New Roman"/>
                      <w:color w:val="auto"/>
                      <w:szCs w:val="21"/>
                      <w:highlight w:val="none"/>
                      <w:lang w:val="en-US" w:eastAsia="zh-CN"/>
                    </w:rPr>
                    <w:t>-08</w:t>
                  </w:r>
                </w:p>
              </w:tc>
              <w:tc>
                <w:tcPr>
                  <w:tcW w:w="451"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3</w:t>
                  </w:r>
                </w:p>
              </w:tc>
              <w:tc>
                <w:tcPr>
                  <w:tcW w:w="434" w:type="pct"/>
                  <w:vMerge w:val="restart"/>
                  <w:noWrap w:val="0"/>
                  <w:vAlign w:val="center"/>
                </w:tcPr>
                <w:p>
                  <w:pPr>
                    <w:spacing w:line="280" w:lineRule="exact"/>
                    <w:ind w:left="-42" w:leftChars="-20" w:right="-67" w:rightChars="-32"/>
                    <w:jc w:val="center"/>
                    <w:rPr>
                      <w:rFonts w:hint="default" w:ascii="Times New Roman" w:hAnsi="Times New Roman" w:eastAsia="宋体" w:cs="Times New Roman"/>
                      <w:color w:val="auto"/>
                      <w:spacing w:val="-12"/>
                      <w:kern w:val="2"/>
                      <w:sz w:val="21"/>
                      <w:szCs w:val="21"/>
                      <w:highlight w:val="none"/>
                      <w:lang w:val="en-US" w:eastAsia="zh-CN" w:bidi="ar-SA"/>
                    </w:rPr>
                  </w:pPr>
                  <w:r>
                    <w:rPr>
                      <w:rFonts w:hint="eastAsia" w:ascii="Times New Roman" w:hAnsi="Times New Roman" w:eastAsia="宋体" w:cs="Times New Roman"/>
                      <w:color w:val="auto"/>
                      <w:spacing w:val="-12"/>
                      <w:kern w:val="2"/>
                      <w:sz w:val="21"/>
                      <w:szCs w:val="21"/>
                      <w:highlight w:val="none"/>
                      <w:lang w:val="en-US" w:eastAsia="zh-CN" w:bidi="ar-SA"/>
                    </w:rPr>
                    <w:t>生产设备、设备维护保养</w:t>
                  </w:r>
                </w:p>
              </w:tc>
              <w:tc>
                <w:tcPr>
                  <w:tcW w:w="257" w:type="pct"/>
                  <w:noWrap w:val="0"/>
                  <w:vAlign w:val="center"/>
                </w:tcPr>
                <w:p>
                  <w:pPr>
                    <w:spacing w:line="280" w:lineRule="exact"/>
                    <w:ind w:left="-42" w:leftChars="-20" w:right="-67" w:rightChars="-32"/>
                    <w:jc w:val="center"/>
                    <w:rPr>
                      <w:rFonts w:hint="default" w:ascii="Times New Roman" w:hAnsi="Times New Roman" w:eastAsia="宋体" w:cs="Times New Roman"/>
                      <w:color w:val="auto"/>
                      <w:spacing w:val="-12"/>
                      <w:kern w:val="2"/>
                      <w:sz w:val="21"/>
                      <w:szCs w:val="21"/>
                      <w:highlight w:val="none"/>
                      <w:lang w:val="en-US" w:eastAsia="zh-CN" w:bidi="ar-SA"/>
                    </w:rPr>
                  </w:pPr>
                  <w:r>
                    <w:rPr>
                      <w:rFonts w:hint="eastAsia" w:cs="Times New Roman"/>
                      <w:color w:val="auto"/>
                      <w:spacing w:val="-12"/>
                      <w:kern w:val="2"/>
                      <w:sz w:val="21"/>
                      <w:szCs w:val="21"/>
                      <w:highlight w:val="none"/>
                      <w:lang w:val="en-US" w:eastAsia="zh-CN" w:bidi="ar-SA"/>
                    </w:rPr>
                    <w:t>液</w:t>
                  </w:r>
                  <w:r>
                    <w:rPr>
                      <w:rFonts w:hint="eastAsia" w:ascii="Times New Roman" w:hAnsi="Times New Roman" w:eastAsia="宋体" w:cs="Times New Roman"/>
                      <w:color w:val="auto"/>
                      <w:spacing w:val="-12"/>
                      <w:kern w:val="2"/>
                      <w:sz w:val="21"/>
                      <w:szCs w:val="21"/>
                      <w:highlight w:val="none"/>
                      <w:lang w:val="en-US" w:eastAsia="zh-CN" w:bidi="ar-SA"/>
                    </w:rPr>
                    <w:t>态</w:t>
                  </w:r>
                </w:p>
              </w:tc>
              <w:tc>
                <w:tcPr>
                  <w:tcW w:w="464" w:type="pct"/>
                  <w:noWrap w:val="0"/>
                  <w:vAlign w:val="center"/>
                </w:tcPr>
                <w:p>
                  <w:pPr>
                    <w:spacing w:line="280" w:lineRule="exact"/>
                    <w:ind w:left="-42" w:leftChars="-20" w:right="-67" w:rightChars="-32"/>
                    <w:jc w:val="center"/>
                    <w:rPr>
                      <w:rFonts w:hint="default" w:ascii="Times New Roman" w:hAnsi="Times New Roman" w:eastAsia="宋体" w:cs="Times New Roman"/>
                      <w:color w:val="auto"/>
                      <w:spacing w:val="-12"/>
                      <w:kern w:val="2"/>
                      <w:sz w:val="21"/>
                      <w:szCs w:val="21"/>
                      <w:highlight w:val="none"/>
                      <w:lang w:val="en-US" w:eastAsia="zh-CN" w:bidi="ar-SA"/>
                    </w:rPr>
                  </w:pPr>
                  <w:r>
                    <w:rPr>
                      <w:rFonts w:hint="eastAsia" w:cs="Times New Roman"/>
                      <w:color w:val="auto"/>
                      <w:spacing w:val="-12"/>
                      <w:kern w:val="2"/>
                      <w:sz w:val="21"/>
                      <w:szCs w:val="21"/>
                      <w:highlight w:val="none"/>
                      <w:lang w:val="en-US" w:eastAsia="zh-CN" w:bidi="ar-SA"/>
                    </w:rPr>
                    <w:t>矿物油</w:t>
                  </w:r>
                </w:p>
              </w:tc>
              <w:tc>
                <w:tcPr>
                  <w:tcW w:w="340" w:type="pct"/>
                  <w:noWrap w:val="0"/>
                  <w:vAlign w:val="center"/>
                </w:tcPr>
                <w:p>
                  <w:pPr>
                    <w:spacing w:line="280" w:lineRule="exact"/>
                    <w:ind w:left="-42" w:leftChars="-20" w:right="-67" w:rightChars="-32"/>
                    <w:jc w:val="center"/>
                    <w:rPr>
                      <w:rFonts w:hint="default" w:ascii="Times New Roman" w:hAnsi="Times New Roman" w:eastAsia="宋体" w:cs="Times New Roman"/>
                      <w:color w:val="auto"/>
                      <w:spacing w:val="-12"/>
                      <w:kern w:val="2"/>
                      <w:sz w:val="21"/>
                      <w:szCs w:val="21"/>
                      <w:highlight w:val="none"/>
                      <w:lang w:val="en-US" w:eastAsia="zh-CN" w:bidi="ar-SA"/>
                    </w:rPr>
                  </w:pPr>
                  <w:r>
                    <w:rPr>
                      <w:rFonts w:hint="eastAsia" w:cs="Times New Roman"/>
                      <w:color w:val="auto"/>
                      <w:spacing w:val="-12"/>
                      <w:kern w:val="2"/>
                      <w:sz w:val="21"/>
                      <w:szCs w:val="21"/>
                      <w:highlight w:val="none"/>
                      <w:lang w:val="en-US" w:eastAsia="zh-CN" w:bidi="ar-SA"/>
                    </w:rPr>
                    <w:t>矿物油</w:t>
                  </w:r>
                </w:p>
              </w:tc>
              <w:tc>
                <w:tcPr>
                  <w:tcW w:w="369" w:type="pct"/>
                  <w:noWrap w:val="0"/>
                  <w:vAlign w:val="center"/>
                </w:tcPr>
                <w:p>
                  <w:pPr>
                    <w:spacing w:line="280" w:lineRule="exact"/>
                    <w:ind w:left="-42" w:leftChars="-20" w:right="-67" w:rightChars="-32"/>
                    <w:jc w:val="center"/>
                    <w:rPr>
                      <w:rFonts w:hint="default" w:ascii="Times New Roman" w:hAnsi="Times New Roman" w:eastAsia="宋体" w:cs="Times New Roman"/>
                      <w:color w:val="auto"/>
                      <w:spacing w:val="-12"/>
                      <w:kern w:val="2"/>
                      <w:sz w:val="21"/>
                      <w:szCs w:val="21"/>
                      <w:highlight w:val="none"/>
                      <w:lang w:val="en-US" w:eastAsia="zh-CN" w:bidi="ar-SA"/>
                    </w:rPr>
                  </w:pPr>
                  <w:r>
                    <w:rPr>
                      <w:rFonts w:hint="eastAsia" w:cs="Times New Roman"/>
                      <w:color w:val="auto"/>
                      <w:spacing w:val="-12"/>
                      <w:kern w:val="2"/>
                      <w:sz w:val="21"/>
                      <w:szCs w:val="21"/>
                      <w:highlight w:val="none"/>
                      <w:lang w:val="en-US" w:eastAsia="zh-CN" w:bidi="ar-SA"/>
                    </w:rPr>
                    <w:t>180d</w:t>
                  </w:r>
                </w:p>
              </w:tc>
              <w:tc>
                <w:tcPr>
                  <w:tcW w:w="364" w:type="pct"/>
                  <w:noWrap w:val="0"/>
                  <w:vAlign w:val="center"/>
                </w:tcPr>
                <w:p>
                  <w:pPr>
                    <w:spacing w:line="280" w:lineRule="exact"/>
                    <w:ind w:left="-42" w:leftChars="-20" w:right="-67" w:rightChars="-32"/>
                    <w:jc w:val="center"/>
                    <w:rPr>
                      <w:rFonts w:hint="default" w:ascii="Times New Roman" w:hAnsi="Times New Roman" w:eastAsia="宋体" w:cs="Times New Roman"/>
                      <w:color w:val="auto"/>
                      <w:spacing w:val="-12"/>
                      <w:kern w:val="2"/>
                      <w:sz w:val="21"/>
                      <w:szCs w:val="21"/>
                      <w:highlight w:val="none"/>
                      <w:lang w:val="en-US" w:eastAsia="zh-CN" w:bidi="ar-SA"/>
                    </w:rPr>
                  </w:pPr>
                  <w:r>
                    <w:rPr>
                      <w:rFonts w:hint="eastAsia" w:ascii="Times New Roman" w:hAnsi="Times New Roman" w:eastAsia="宋体" w:cs="Times New Roman"/>
                      <w:color w:val="auto"/>
                      <w:spacing w:val="-12"/>
                      <w:kern w:val="2"/>
                      <w:sz w:val="21"/>
                      <w:szCs w:val="21"/>
                      <w:highlight w:val="none"/>
                      <w:lang w:val="en-US" w:eastAsia="zh-CN" w:bidi="ar-SA"/>
                    </w:rPr>
                    <w:t>T、I</w:t>
                  </w:r>
                </w:p>
              </w:tc>
              <w:tc>
                <w:tcPr>
                  <w:tcW w:w="435" w:type="pct"/>
                  <w:vMerge w:val="restart"/>
                  <w:noWrap w:val="0"/>
                  <w:vAlign w:val="center"/>
                </w:tcPr>
                <w:p>
                  <w:pPr>
                    <w:spacing w:line="280" w:lineRule="exact"/>
                    <w:jc w:val="center"/>
                    <w:rPr>
                      <w:color w:val="auto"/>
                      <w:szCs w:val="21"/>
                      <w:highlight w:val="none"/>
                    </w:rPr>
                  </w:pPr>
                  <w:r>
                    <w:rPr>
                      <w:color w:val="auto"/>
                      <w:szCs w:val="21"/>
                      <w:highlight w:val="none"/>
                    </w:rPr>
                    <w:t>危险废物处理资质单位收运、处置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290" w:type="pct"/>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w:t>
                  </w:r>
                </w:p>
              </w:tc>
              <w:tc>
                <w:tcPr>
                  <w:tcW w:w="689"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废润滑油桶</w:t>
                  </w:r>
                </w:p>
              </w:tc>
              <w:tc>
                <w:tcPr>
                  <w:tcW w:w="476"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HW08</w:t>
                  </w:r>
                </w:p>
              </w:tc>
              <w:tc>
                <w:tcPr>
                  <w:tcW w:w="42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Cs w:val="21"/>
                      <w:highlight w:val="none"/>
                      <w:lang w:val="zh-CN" w:eastAsia="zh-CN"/>
                    </w:rPr>
                    <w:t>900-249-08</w:t>
                  </w:r>
                </w:p>
              </w:tc>
              <w:tc>
                <w:tcPr>
                  <w:tcW w:w="451"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0.02</w:t>
                  </w:r>
                </w:p>
              </w:tc>
              <w:tc>
                <w:tcPr>
                  <w:tcW w:w="434" w:type="pct"/>
                  <w:vMerge w:val="continue"/>
                  <w:noWrap w:val="0"/>
                  <w:vAlign w:val="center"/>
                </w:tcPr>
                <w:p>
                  <w:pPr>
                    <w:spacing w:line="280" w:lineRule="exact"/>
                    <w:ind w:left="-42" w:leftChars="-20" w:right="-67" w:rightChars="-32"/>
                    <w:jc w:val="center"/>
                    <w:rPr>
                      <w:rFonts w:hint="default" w:ascii="Times New Roman" w:hAnsi="Times New Roman" w:eastAsia="宋体" w:cs="Times New Roman"/>
                      <w:color w:val="auto"/>
                      <w:spacing w:val="-12"/>
                      <w:kern w:val="2"/>
                      <w:sz w:val="21"/>
                      <w:szCs w:val="21"/>
                      <w:highlight w:val="none"/>
                      <w:lang w:val="en-US" w:eastAsia="zh-CN" w:bidi="ar-SA"/>
                    </w:rPr>
                  </w:pPr>
                </w:p>
              </w:tc>
              <w:tc>
                <w:tcPr>
                  <w:tcW w:w="257" w:type="pct"/>
                  <w:noWrap w:val="0"/>
                  <w:vAlign w:val="center"/>
                </w:tcPr>
                <w:p>
                  <w:pPr>
                    <w:spacing w:line="280" w:lineRule="exact"/>
                    <w:ind w:left="-42" w:leftChars="-20" w:right="-67" w:rightChars="-32"/>
                    <w:jc w:val="center"/>
                    <w:rPr>
                      <w:rFonts w:hint="default" w:ascii="Times New Roman" w:hAnsi="Times New Roman" w:eastAsia="宋体" w:cs="Times New Roman"/>
                      <w:color w:val="auto"/>
                      <w:spacing w:val="-12"/>
                      <w:kern w:val="2"/>
                      <w:sz w:val="21"/>
                      <w:szCs w:val="21"/>
                      <w:highlight w:val="none"/>
                      <w:lang w:val="en-US" w:eastAsia="zh-CN" w:bidi="ar-SA"/>
                    </w:rPr>
                  </w:pPr>
                  <w:r>
                    <w:rPr>
                      <w:rFonts w:hint="eastAsia" w:ascii="Times New Roman" w:hAnsi="Times New Roman" w:eastAsia="宋体" w:cs="Times New Roman"/>
                      <w:color w:val="auto"/>
                      <w:spacing w:val="-12"/>
                      <w:kern w:val="2"/>
                      <w:sz w:val="21"/>
                      <w:szCs w:val="21"/>
                      <w:highlight w:val="none"/>
                      <w:lang w:val="en-US" w:eastAsia="zh-CN" w:bidi="ar-SA"/>
                    </w:rPr>
                    <w:t>固态</w:t>
                  </w:r>
                </w:p>
              </w:tc>
              <w:tc>
                <w:tcPr>
                  <w:tcW w:w="464" w:type="pct"/>
                  <w:noWrap w:val="0"/>
                  <w:vAlign w:val="center"/>
                </w:tcPr>
                <w:p>
                  <w:pPr>
                    <w:spacing w:line="280" w:lineRule="exact"/>
                    <w:ind w:left="-42" w:leftChars="-20" w:right="-67" w:rightChars="-32"/>
                    <w:jc w:val="center"/>
                    <w:rPr>
                      <w:rFonts w:hint="default" w:ascii="Times New Roman" w:hAnsi="Times New Roman" w:eastAsia="宋体" w:cs="Times New Roman"/>
                      <w:color w:val="auto"/>
                      <w:spacing w:val="-12"/>
                      <w:kern w:val="2"/>
                      <w:sz w:val="21"/>
                      <w:szCs w:val="21"/>
                      <w:highlight w:val="none"/>
                      <w:lang w:val="en-US" w:eastAsia="zh-CN" w:bidi="ar-SA"/>
                    </w:rPr>
                  </w:pPr>
                  <w:r>
                    <w:rPr>
                      <w:rFonts w:hint="eastAsia" w:cs="Times New Roman"/>
                      <w:color w:val="auto"/>
                      <w:spacing w:val="-12"/>
                      <w:kern w:val="2"/>
                      <w:sz w:val="21"/>
                      <w:szCs w:val="21"/>
                      <w:highlight w:val="none"/>
                      <w:lang w:val="en-US" w:eastAsia="zh-CN" w:bidi="ar-SA"/>
                    </w:rPr>
                    <w:t>矿物油</w:t>
                  </w:r>
                </w:p>
              </w:tc>
              <w:tc>
                <w:tcPr>
                  <w:tcW w:w="340" w:type="pct"/>
                  <w:noWrap w:val="0"/>
                  <w:vAlign w:val="center"/>
                </w:tcPr>
                <w:p>
                  <w:pPr>
                    <w:spacing w:line="280" w:lineRule="exact"/>
                    <w:ind w:left="-42" w:leftChars="-20" w:right="-67" w:rightChars="-32"/>
                    <w:jc w:val="center"/>
                    <w:rPr>
                      <w:rFonts w:hint="default" w:ascii="Times New Roman" w:hAnsi="Times New Roman" w:eastAsia="宋体" w:cs="Times New Roman"/>
                      <w:color w:val="auto"/>
                      <w:spacing w:val="-12"/>
                      <w:kern w:val="2"/>
                      <w:sz w:val="21"/>
                      <w:szCs w:val="21"/>
                      <w:highlight w:val="none"/>
                      <w:lang w:val="en-US" w:eastAsia="zh-CN" w:bidi="ar-SA"/>
                    </w:rPr>
                  </w:pPr>
                  <w:r>
                    <w:rPr>
                      <w:rFonts w:hint="eastAsia" w:cs="Times New Roman"/>
                      <w:color w:val="auto"/>
                      <w:spacing w:val="-12"/>
                      <w:kern w:val="2"/>
                      <w:sz w:val="21"/>
                      <w:szCs w:val="21"/>
                      <w:highlight w:val="none"/>
                      <w:lang w:val="en-US" w:eastAsia="zh-CN" w:bidi="ar-SA"/>
                    </w:rPr>
                    <w:t>矿物油</w:t>
                  </w:r>
                </w:p>
              </w:tc>
              <w:tc>
                <w:tcPr>
                  <w:tcW w:w="369" w:type="pct"/>
                  <w:noWrap w:val="0"/>
                  <w:vAlign w:val="center"/>
                </w:tcPr>
                <w:p>
                  <w:pPr>
                    <w:spacing w:line="280" w:lineRule="exact"/>
                    <w:ind w:left="-42" w:leftChars="-20" w:right="-67" w:rightChars="-32"/>
                    <w:jc w:val="center"/>
                    <w:rPr>
                      <w:rFonts w:hint="default" w:ascii="Times New Roman" w:hAnsi="Times New Roman" w:eastAsia="宋体" w:cs="Times New Roman"/>
                      <w:color w:val="auto"/>
                      <w:spacing w:val="-12"/>
                      <w:kern w:val="2"/>
                      <w:sz w:val="21"/>
                      <w:szCs w:val="21"/>
                      <w:highlight w:val="none"/>
                      <w:lang w:val="en-US" w:eastAsia="zh-CN" w:bidi="ar-SA"/>
                    </w:rPr>
                  </w:pPr>
                  <w:r>
                    <w:rPr>
                      <w:rFonts w:hint="eastAsia" w:cs="Times New Roman"/>
                      <w:color w:val="auto"/>
                      <w:spacing w:val="-12"/>
                      <w:kern w:val="2"/>
                      <w:sz w:val="21"/>
                      <w:szCs w:val="21"/>
                      <w:highlight w:val="none"/>
                      <w:lang w:val="en-US" w:eastAsia="zh-CN" w:bidi="ar-SA"/>
                    </w:rPr>
                    <w:t>180d</w:t>
                  </w:r>
                </w:p>
              </w:tc>
              <w:tc>
                <w:tcPr>
                  <w:tcW w:w="364" w:type="pct"/>
                  <w:noWrap w:val="0"/>
                  <w:vAlign w:val="center"/>
                </w:tcPr>
                <w:p>
                  <w:pPr>
                    <w:spacing w:line="280" w:lineRule="exact"/>
                    <w:ind w:left="-42" w:leftChars="-20" w:right="-67" w:rightChars="-32"/>
                    <w:jc w:val="center"/>
                    <w:rPr>
                      <w:rFonts w:hint="default" w:ascii="Times New Roman" w:hAnsi="Times New Roman" w:eastAsia="宋体" w:cs="Times New Roman"/>
                      <w:color w:val="auto"/>
                      <w:spacing w:val="-12"/>
                      <w:kern w:val="2"/>
                      <w:sz w:val="21"/>
                      <w:szCs w:val="21"/>
                      <w:highlight w:val="none"/>
                      <w:lang w:val="en-US" w:eastAsia="zh-CN" w:bidi="ar-SA"/>
                    </w:rPr>
                  </w:pPr>
                  <w:r>
                    <w:rPr>
                      <w:rFonts w:hint="eastAsia" w:ascii="Times New Roman" w:hAnsi="Times New Roman" w:eastAsia="宋体" w:cs="Times New Roman"/>
                      <w:color w:val="auto"/>
                      <w:spacing w:val="-12"/>
                      <w:kern w:val="2"/>
                      <w:sz w:val="21"/>
                      <w:szCs w:val="21"/>
                      <w:highlight w:val="none"/>
                      <w:lang w:val="en-US" w:eastAsia="zh-CN" w:bidi="ar-SA"/>
                    </w:rPr>
                    <w:t>T、I</w:t>
                  </w:r>
                </w:p>
              </w:tc>
              <w:tc>
                <w:tcPr>
                  <w:tcW w:w="435" w:type="pct"/>
                  <w:vMerge w:val="continue"/>
                  <w:noWrap w:val="0"/>
                  <w:vAlign w:val="center"/>
                </w:tcPr>
                <w:p>
                  <w:pPr>
                    <w:spacing w:line="280" w:lineRule="exac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290"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w:t>
                  </w:r>
                </w:p>
              </w:tc>
              <w:tc>
                <w:tcPr>
                  <w:tcW w:w="689"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废含油棉纱手套</w:t>
                  </w:r>
                </w:p>
              </w:tc>
              <w:tc>
                <w:tcPr>
                  <w:tcW w:w="476"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HW49</w:t>
                  </w:r>
                </w:p>
              </w:tc>
              <w:tc>
                <w:tcPr>
                  <w:tcW w:w="426" w:type="pct"/>
                  <w:noWrap w:val="0"/>
                  <w:vAlign w:val="center"/>
                </w:tcPr>
                <w:p>
                  <w:pPr>
                    <w:jc w:val="center"/>
                    <w:rPr>
                      <w:rFonts w:hint="eastAsia" w:ascii="Times New Roman" w:hAnsi="Times New Roman" w:eastAsia="宋体" w:cs="Times New Roman"/>
                      <w:color w:val="auto"/>
                      <w:kern w:val="2"/>
                      <w:sz w:val="21"/>
                      <w:szCs w:val="21"/>
                      <w:highlight w:val="none"/>
                      <w:lang w:val="zh-CN" w:eastAsia="zh-CN" w:bidi="ar-SA"/>
                    </w:rPr>
                  </w:pPr>
                  <w:r>
                    <w:rPr>
                      <w:rFonts w:hint="eastAsia" w:ascii="Times New Roman" w:hAnsi="Times New Roman" w:eastAsia="宋体" w:cs="Times New Roman"/>
                      <w:color w:val="auto"/>
                      <w:szCs w:val="21"/>
                      <w:highlight w:val="none"/>
                      <w:lang w:val="en-US" w:eastAsia="zh-CN"/>
                    </w:rPr>
                    <w:t>900-041-49</w:t>
                  </w:r>
                </w:p>
              </w:tc>
              <w:tc>
                <w:tcPr>
                  <w:tcW w:w="451"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0.02</w:t>
                  </w:r>
                </w:p>
              </w:tc>
              <w:tc>
                <w:tcPr>
                  <w:tcW w:w="434" w:type="pct"/>
                  <w:vMerge w:val="continue"/>
                  <w:noWrap w:val="0"/>
                  <w:vAlign w:val="center"/>
                </w:tcPr>
                <w:p>
                  <w:pPr>
                    <w:spacing w:line="280" w:lineRule="exact"/>
                    <w:ind w:left="-42" w:leftChars="-20" w:right="-67" w:rightChars="-32"/>
                    <w:jc w:val="center"/>
                    <w:rPr>
                      <w:rFonts w:hint="default" w:ascii="Times New Roman" w:hAnsi="Times New Roman" w:eastAsia="宋体" w:cs="Times New Roman"/>
                      <w:color w:val="auto"/>
                      <w:spacing w:val="-12"/>
                      <w:kern w:val="2"/>
                      <w:sz w:val="21"/>
                      <w:szCs w:val="21"/>
                      <w:highlight w:val="none"/>
                      <w:lang w:val="en-US" w:eastAsia="zh-CN" w:bidi="ar-SA"/>
                    </w:rPr>
                  </w:pPr>
                </w:p>
              </w:tc>
              <w:tc>
                <w:tcPr>
                  <w:tcW w:w="257" w:type="pct"/>
                  <w:noWrap w:val="0"/>
                  <w:vAlign w:val="center"/>
                </w:tcPr>
                <w:p>
                  <w:pPr>
                    <w:spacing w:line="280" w:lineRule="exact"/>
                    <w:ind w:left="-42" w:leftChars="-20" w:right="-67" w:rightChars="-32"/>
                    <w:jc w:val="center"/>
                    <w:rPr>
                      <w:rFonts w:hint="eastAsia" w:ascii="Times New Roman" w:hAnsi="Times New Roman" w:eastAsia="宋体" w:cs="Times New Roman"/>
                      <w:color w:val="auto"/>
                      <w:spacing w:val="-12"/>
                      <w:kern w:val="2"/>
                      <w:sz w:val="21"/>
                      <w:szCs w:val="21"/>
                      <w:highlight w:val="none"/>
                      <w:lang w:val="en-US" w:eastAsia="zh-CN" w:bidi="ar-SA"/>
                    </w:rPr>
                  </w:pPr>
                  <w:r>
                    <w:rPr>
                      <w:rFonts w:hint="eastAsia" w:ascii="Times New Roman" w:hAnsi="Times New Roman" w:eastAsia="宋体" w:cs="Times New Roman"/>
                      <w:color w:val="auto"/>
                      <w:spacing w:val="-12"/>
                      <w:kern w:val="2"/>
                      <w:sz w:val="21"/>
                      <w:szCs w:val="21"/>
                      <w:highlight w:val="none"/>
                      <w:lang w:val="en-US" w:eastAsia="zh-CN" w:bidi="ar-SA"/>
                    </w:rPr>
                    <w:t>固态</w:t>
                  </w:r>
                </w:p>
              </w:tc>
              <w:tc>
                <w:tcPr>
                  <w:tcW w:w="464" w:type="pct"/>
                  <w:noWrap w:val="0"/>
                  <w:vAlign w:val="center"/>
                </w:tcPr>
                <w:p>
                  <w:pPr>
                    <w:spacing w:line="280" w:lineRule="exact"/>
                    <w:ind w:left="-42" w:leftChars="-20" w:right="-67" w:rightChars="-32"/>
                    <w:jc w:val="center"/>
                    <w:rPr>
                      <w:rFonts w:hint="eastAsia" w:cs="Times New Roman"/>
                      <w:color w:val="auto"/>
                      <w:spacing w:val="-12"/>
                      <w:kern w:val="2"/>
                      <w:sz w:val="21"/>
                      <w:szCs w:val="21"/>
                      <w:highlight w:val="none"/>
                      <w:lang w:val="en-US" w:eastAsia="zh-CN" w:bidi="ar-SA"/>
                    </w:rPr>
                  </w:pPr>
                  <w:r>
                    <w:rPr>
                      <w:rFonts w:hint="eastAsia" w:cs="Times New Roman"/>
                      <w:color w:val="auto"/>
                      <w:spacing w:val="-12"/>
                      <w:kern w:val="2"/>
                      <w:sz w:val="21"/>
                      <w:szCs w:val="21"/>
                      <w:highlight w:val="none"/>
                      <w:lang w:val="en-US" w:eastAsia="zh-CN" w:bidi="ar-SA"/>
                    </w:rPr>
                    <w:t>矿物油</w:t>
                  </w:r>
                </w:p>
              </w:tc>
              <w:tc>
                <w:tcPr>
                  <w:tcW w:w="340" w:type="pct"/>
                  <w:noWrap w:val="0"/>
                  <w:vAlign w:val="center"/>
                </w:tcPr>
                <w:p>
                  <w:pPr>
                    <w:spacing w:line="280" w:lineRule="exact"/>
                    <w:ind w:left="-42" w:leftChars="-20" w:right="-67" w:rightChars="-32"/>
                    <w:jc w:val="center"/>
                    <w:rPr>
                      <w:rFonts w:hint="eastAsia" w:cs="Times New Roman"/>
                      <w:color w:val="auto"/>
                      <w:spacing w:val="-12"/>
                      <w:kern w:val="2"/>
                      <w:sz w:val="21"/>
                      <w:szCs w:val="21"/>
                      <w:highlight w:val="none"/>
                      <w:lang w:val="en-US" w:eastAsia="zh-CN" w:bidi="ar-SA"/>
                    </w:rPr>
                  </w:pPr>
                  <w:r>
                    <w:rPr>
                      <w:rFonts w:hint="eastAsia" w:cs="Times New Roman"/>
                      <w:color w:val="auto"/>
                      <w:spacing w:val="-12"/>
                      <w:kern w:val="2"/>
                      <w:sz w:val="21"/>
                      <w:szCs w:val="21"/>
                      <w:highlight w:val="none"/>
                      <w:lang w:val="en-US" w:eastAsia="zh-CN" w:bidi="ar-SA"/>
                    </w:rPr>
                    <w:t>矿物油</w:t>
                  </w:r>
                </w:p>
              </w:tc>
              <w:tc>
                <w:tcPr>
                  <w:tcW w:w="369" w:type="pct"/>
                  <w:noWrap w:val="0"/>
                  <w:vAlign w:val="center"/>
                </w:tcPr>
                <w:p>
                  <w:pPr>
                    <w:spacing w:line="280" w:lineRule="exact"/>
                    <w:ind w:left="-42" w:leftChars="-20" w:right="-67" w:rightChars="-32"/>
                    <w:jc w:val="center"/>
                    <w:rPr>
                      <w:rFonts w:hint="eastAsia" w:ascii="Times New Roman" w:hAnsi="Times New Roman" w:eastAsia="宋体" w:cs="Times New Roman"/>
                      <w:color w:val="auto"/>
                      <w:spacing w:val="-12"/>
                      <w:kern w:val="2"/>
                      <w:sz w:val="21"/>
                      <w:szCs w:val="21"/>
                      <w:highlight w:val="none"/>
                      <w:lang w:val="en-US" w:eastAsia="zh-CN" w:bidi="ar-SA"/>
                    </w:rPr>
                  </w:pPr>
                  <w:r>
                    <w:rPr>
                      <w:rFonts w:hint="eastAsia" w:cs="Times New Roman"/>
                      <w:color w:val="auto"/>
                      <w:spacing w:val="-12"/>
                      <w:kern w:val="2"/>
                      <w:sz w:val="21"/>
                      <w:szCs w:val="21"/>
                      <w:highlight w:val="none"/>
                      <w:lang w:val="en-US" w:eastAsia="zh-CN" w:bidi="ar-SA"/>
                    </w:rPr>
                    <w:t>180d</w:t>
                  </w:r>
                </w:p>
              </w:tc>
              <w:tc>
                <w:tcPr>
                  <w:tcW w:w="364" w:type="pct"/>
                  <w:noWrap w:val="0"/>
                  <w:vAlign w:val="center"/>
                </w:tcPr>
                <w:p>
                  <w:pPr>
                    <w:spacing w:line="280" w:lineRule="exact"/>
                    <w:ind w:left="-42" w:leftChars="-20" w:right="-67" w:rightChars="-32"/>
                    <w:jc w:val="center"/>
                    <w:rPr>
                      <w:rFonts w:hint="eastAsia" w:ascii="Times New Roman" w:hAnsi="Times New Roman" w:eastAsia="宋体" w:cs="Times New Roman"/>
                      <w:color w:val="auto"/>
                      <w:spacing w:val="-12"/>
                      <w:kern w:val="2"/>
                      <w:sz w:val="21"/>
                      <w:szCs w:val="21"/>
                      <w:highlight w:val="none"/>
                      <w:lang w:val="en-US" w:eastAsia="zh-CN" w:bidi="ar-SA"/>
                    </w:rPr>
                  </w:pPr>
                  <w:r>
                    <w:rPr>
                      <w:rFonts w:hint="eastAsia" w:ascii="Times New Roman" w:hAnsi="Times New Roman" w:eastAsia="宋体" w:cs="Times New Roman"/>
                      <w:color w:val="auto"/>
                      <w:spacing w:val="-12"/>
                      <w:kern w:val="2"/>
                      <w:sz w:val="21"/>
                      <w:szCs w:val="21"/>
                      <w:highlight w:val="none"/>
                      <w:lang w:val="en-US" w:eastAsia="zh-CN" w:bidi="ar-SA"/>
                    </w:rPr>
                    <w:t>T、I</w:t>
                  </w:r>
                </w:p>
              </w:tc>
              <w:tc>
                <w:tcPr>
                  <w:tcW w:w="435" w:type="pct"/>
                  <w:vMerge w:val="continue"/>
                  <w:noWrap w:val="0"/>
                  <w:vAlign w:val="center"/>
                </w:tcPr>
                <w:p>
                  <w:pPr>
                    <w:spacing w:line="280" w:lineRule="exac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290"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4</w:t>
                  </w:r>
                </w:p>
              </w:tc>
              <w:tc>
                <w:tcPr>
                  <w:tcW w:w="689"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废过滤棉</w:t>
                  </w:r>
                </w:p>
              </w:tc>
              <w:tc>
                <w:tcPr>
                  <w:tcW w:w="476"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HW49</w:t>
                  </w:r>
                </w:p>
              </w:tc>
              <w:tc>
                <w:tcPr>
                  <w:tcW w:w="42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900-041-49</w:t>
                  </w:r>
                </w:p>
              </w:tc>
              <w:tc>
                <w:tcPr>
                  <w:tcW w:w="451"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1.2</w:t>
                  </w:r>
                </w:p>
              </w:tc>
              <w:tc>
                <w:tcPr>
                  <w:tcW w:w="434" w:type="pct"/>
                  <w:vMerge w:val="restart"/>
                  <w:noWrap w:val="0"/>
                  <w:vAlign w:val="center"/>
                </w:tcPr>
                <w:p>
                  <w:pPr>
                    <w:spacing w:line="280" w:lineRule="exact"/>
                    <w:ind w:left="-42" w:leftChars="-20" w:right="-67" w:rightChars="-32"/>
                    <w:jc w:val="center"/>
                    <w:rPr>
                      <w:rFonts w:hint="default" w:ascii="Times New Roman" w:hAnsi="Times New Roman" w:eastAsia="宋体" w:cs="Times New Roman"/>
                      <w:color w:val="auto"/>
                      <w:spacing w:val="-12"/>
                      <w:kern w:val="2"/>
                      <w:sz w:val="21"/>
                      <w:szCs w:val="21"/>
                      <w:highlight w:val="none"/>
                      <w:lang w:val="en-US" w:eastAsia="zh-CN" w:bidi="ar-SA"/>
                    </w:rPr>
                  </w:pPr>
                  <w:r>
                    <w:rPr>
                      <w:rFonts w:hint="eastAsia" w:cs="Times New Roman"/>
                      <w:color w:val="auto"/>
                      <w:spacing w:val="-12"/>
                      <w:kern w:val="2"/>
                      <w:sz w:val="21"/>
                      <w:szCs w:val="21"/>
                      <w:highlight w:val="none"/>
                      <w:lang w:val="en-US" w:eastAsia="zh-CN" w:bidi="ar-SA"/>
                    </w:rPr>
                    <w:t>废气治理</w:t>
                  </w:r>
                </w:p>
              </w:tc>
              <w:tc>
                <w:tcPr>
                  <w:tcW w:w="257" w:type="pct"/>
                  <w:noWrap w:val="0"/>
                  <w:vAlign w:val="center"/>
                </w:tcPr>
                <w:p>
                  <w:pPr>
                    <w:spacing w:line="280" w:lineRule="exact"/>
                    <w:ind w:left="-42" w:leftChars="-20" w:right="-67" w:rightChars="-32"/>
                    <w:jc w:val="center"/>
                    <w:rPr>
                      <w:rFonts w:hint="default" w:ascii="Times New Roman" w:hAnsi="Times New Roman" w:eastAsia="宋体" w:cs="Times New Roman"/>
                      <w:color w:val="auto"/>
                      <w:spacing w:val="-12"/>
                      <w:kern w:val="2"/>
                      <w:sz w:val="21"/>
                      <w:szCs w:val="21"/>
                      <w:highlight w:val="none"/>
                      <w:lang w:val="en-US" w:eastAsia="zh-CN" w:bidi="ar-SA"/>
                    </w:rPr>
                  </w:pPr>
                  <w:r>
                    <w:rPr>
                      <w:rFonts w:hint="eastAsia" w:ascii="Times New Roman" w:hAnsi="Times New Roman" w:eastAsia="宋体" w:cs="Times New Roman"/>
                      <w:color w:val="auto"/>
                      <w:spacing w:val="-12"/>
                      <w:kern w:val="2"/>
                      <w:sz w:val="21"/>
                      <w:szCs w:val="21"/>
                      <w:highlight w:val="none"/>
                      <w:lang w:val="en-US" w:eastAsia="zh-CN" w:bidi="ar-SA"/>
                    </w:rPr>
                    <w:t>固态</w:t>
                  </w:r>
                </w:p>
              </w:tc>
              <w:tc>
                <w:tcPr>
                  <w:tcW w:w="464" w:type="pct"/>
                  <w:noWrap w:val="0"/>
                  <w:vAlign w:val="center"/>
                </w:tcPr>
                <w:p>
                  <w:pPr>
                    <w:spacing w:line="280" w:lineRule="exact"/>
                    <w:ind w:left="-42" w:leftChars="-20" w:right="-67" w:rightChars="-32"/>
                    <w:jc w:val="center"/>
                    <w:rPr>
                      <w:rFonts w:hint="default" w:ascii="Times New Roman" w:hAnsi="Times New Roman" w:eastAsia="宋体" w:cs="Times New Roman"/>
                      <w:color w:val="auto"/>
                      <w:spacing w:val="-12"/>
                      <w:kern w:val="2"/>
                      <w:sz w:val="21"/>
                      <w:szCs w:val="21"/>
                      <w:highlight w:val="none"/>
                      <w:lang w:val="en-US" w:eastAsia="zh-CN" w:bidi="ar-SA"/>
                    </w:rPr>
                  </w:pPr>
                  <w:r>
                    <w:rPr>
                      <w:rFonts w:hint="eastAsia" w:eastAsia="宋体"/>
                      <w:color w:val="auto"/>
                      <w:spacing w:val="-12"/>
                      <w:szCs w:val="21"/>
                      <w:highlight w:val="none"/>
                      <w:lang w:val="en-US" w:eastAsia="zh-CN"/>
                    </w:rPr>
                    <w:t>有机物</w:t>
                  </w:r>
                </w:p>
              </w:tc>
              <w:tc>
                <w:tcPr>
                  <w:tcW w:w="340" w:type="pct"/>
                  <w:noWrap w:val="0"/>
                  <w:vAlign w:val="center"/>
                </w:tcPr>
                <w:p>
                  <w:pPr>
                    <w:spacing w:line="280" w:lineRule="exact"/>
                    <w:ind w:left="-42" w:leftChars="-20" w:right="-67" w:rightChars="-32"/>
                    <w:jc w:val="center"/>
                    <w:rPr>
                      <w:rFonts w:hint="default" w:ascii="Times New Roman" w:hAnsi="Times New Roman" w:eastAsia="宋体" w:cs="Times New Roman"/>
                      <w:color w:val="auto"/>
                      <w:spacing w:val="-12"/>
                      <w:kern w:val="2"/>
                      <w:sz w:val="21"/>
                      <w:szCs w:val="21"/>
                      <w:highlight w:val="none"/>
                      <w:lang w:val="en-US" w:eastAsia="zh-CN" w:bidi="ar-SA"/>
                    </w:rPr>
                  </w:pPr>
                  <w:r>
                    <w:rPr>
                      <w:rFonts w:hint="eastAsia" w:eastAsia="宋体"/>
                      <w:color w:val="auto"/>
                      <w:spacing w:val="-12"/>
                      <w:szCs w:val="21"/>
                      <w:highlight w:val="none"/>
                      <w:lang w:val="en-US" w:eastAsia="zh-CN"/>
                    </w:rPr>
                    <w:t>有机物</w:t>
                  </w:r>
                </w:p>
              </w:tc>
              <w:tc>
                <w:tcPr>
                  <w:tcW w:w="369" w:type="pct"/>
                  <w:noWrap w:val="0"/>
                  <w:vAlign w:val="center"/>
                </w:tcPr>
                <w:p>
                  <w:pPr>
                    <w:spacing w:line="280" w:lineRule="exact"/>
                    <w:ind w:left="-42" w:leftChars="-20" w:right="-67" w:rightChars="-32"/>
                    <w:jc w:val="center"/>
                    <w:rPr>
                      <w:rFonts w:hint="default" w:ascii="Times New Roman" w:hAnsi="Times New Roman" w:eastAsia="宋体" w:cs="Times New Roman"/>
                      <w:color w:val="auto"/>
                      <w:spacing w:val="-12"/>
                      <w:kern w:val="2"/>
                      <w:sz w:val="21"/>
                      <w:szCs w:val="21"/>
                      <w:highlight w:val="none"/>
                      <w:lang w:val="en-US" w:eastAsia="zh-CN" w:bidi="ar-SA"/>
                    </w:rPr>
                  </w:pPr>
                  <w:r>
                    <w:rPr>
                      <w:rFonts w:hint="eastAsia" w:cs="Times New Roman"/>
                      <w:color w:val="auto"/>
                      <w:spacing w:val="-12"/>
                      <w:kern w:val="2"/>
                      <w:sz w:val="21"/>
                      <w:szCs w:val="21"/>
                      <w:highlight w:val="none"/>
                      <w:lang w:val="en-US" w:eastAsia="zh-CN" w:bidi="ar-SA"/>
                    </w:rPr>
                    <w:t>30d</w:t>
                  </w:r>
                </w:p>
              </w:tc>
              <w:tc>
                <w:tcPr>
                  <w:tcW w:w="364" w:type="pct"/>
                  <w:noWrap w:val="0"/>
                  <w:vAlign w:val="center"/>
                </w:tcPr>
                <w:p>
                  <w:pPr>
                    <w:spacing w:line="280" w:lineRule="exact"/>
                    <w:ind w:left="-42" w:leftChars="-20" w:right="-67" w:rightChars="-32"/>
                    <w:jc w:val="center"/>
                    <w:rPr>
                      <w:rFonts w:hint="default" w:ascii="Times New Roman" w:hAnsi="Times New Roman" w:eastAsia="宋体" w:cs="Times New Roman"/>
                      <w:color w:val="auto"/>
                      <w:spacing w:val="-12"/>
                      <w:kern w:val="2"/>
                      <w:sz w:val="21"/>
                      <w:szCs w:val="21"/>
                      <w:highlight w:val="none"/>
                      <w:lang w:val="en-US" w:eastAsia="zh-CN" w:bidi="ar-SA"/>
                    </w:rPr>
                  </w:pPr>
                  <w:r>
                    <w:rPr>
                      <w:rFonts w:hint="eastAsia" w:ascii="Times New Roman" w:hAnsi="Times New Roman" w:eastAsia="宋体" w:cs="Times New Roman"/>
                      <w:color w:val="auto"/>
                      <w:spacing w:val="-12"/>
                      <w:kern w:val="2"/>
                      <w:sz w:val="21"/>
                      <w:szCs w:val="21"/>
                      <w:highlight w:val="none"/>
                      <w:lang w:val="en-US" w:eastAsia="zh-CN" w:bidi="ar-SA"/>
                    </w:rPr>
                    <w:t>T、I</w:t>
                  </w:r>
                </w:p>
              </w:tc>
              <w:tc>
                <w:tcPr>
                  <w:tcW w:w="435" w:type="pct"/>
                  <w:vMerge w:val="continue"/>
                  <w:noWrap w:val="0"/>
                  <w:vAlign w:val="center"/>
                </w:tcPr>
                <w:p>
                  <w:pPr>
                    <w:spacing w:line="280" w:lineRule="exac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290"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5</w:t>
                  </w:r>
                </w:p>
              </w:tc>
              <w:tc>
                <w:tcPr>
                  <w:tcW w:w="689"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废uv灯管</w:t>
                  </w:r>
                </w:p>
              </w:tc>
              <w:tc>
                <w:tcPr>
                  <w:tcW w:w="476"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HW29</w:t>
                  </w:r>
                </w:p>
              </w:tc>
              <w:tc>
                <w:tcPr>
                  <w:tcW w:w="426"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900-023-29</w:t>
                  </w:r>
                </w:p>
              </w:tc>
              <w:tc>
                <w:tcPr>
                  <w:tcW w:w="451"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0.</w:t>
                  </w:r>
                  <w:r>
                    <w:rPr>
                      <w:rFonts w:hint="eastAsia" w:cs="Times New Roman"/>
                      <w:color w:val="auto"/>
                      <w:szCs w:val="21"/>
                      <w:highlight w:val="none"/>
                      <w:lang w:val="en-US" w:eastAsia="zh-CN"/>
                    </w:rPr>
                    <w:t>021</w:t>
                  </w:r>
                </w:p>
              </w:tc>
              <w:tc>
                <w:tcPr>
                  <w:tcW w:w="434" w:type="pct"/>
                  <w:vMerge w:val="continue"/>
                  <w:noWrap w:val="0"/>
                  <w:vAlign w:val="center"/>
                </w:tcPr>
                <w:p>
                  <w:pPr>
                    <w:spacing w:line="280" w:lineRule="exact"/>
                    <w:ind w:left="-42" w:leftChars="-20" w:right="-67" w:rightChars="-32"/>
                    <w:jc w:val="center"/>
                    <w:rPr>
                      <w:rFonts w:hint="default" w:ascii="Times New Roman" w:hAnsi="Times New Roman" w:eastAsia="宋体" w:cs="Times New Roman"/>
                      <w:color w:val="auto"/>
                      <w:spacing w:val="-12"/>
                      <w:kern w:val="2"/>
                      <w:sz w:val="21"/>
                      <w:szCs w:val="21"/>
                      <w:highlight w:val="none"/>
                      <w:lang w:val="en-US" w:eastAsia="zh-CN" w:bidi="ar-SA"/>
                    </w:rPr>
                  </w:pPr>
                </w:p>
              </w:tc>
              <w:tc>
                <w:tcPr>
                  <w:tcW w:w="257" w:type="pct"/>
                  <w:noWrap w:val="0"/>
                  <w:vAlign w:val="center"/>
                </w:tcPr>
                <w:p>
                  <w:pPr>
                    <w:spacing w:line="280" w:lineRule="exact"/>
                    <w:ind w:left="-42" w:leftChars="-20" w:right="-67" w:rightChars="-32"/>
                    <w:jc w:val="center"/>
                    <w:rPr>
                      <w:rFonts w:hint="default" w:ascii="Times New Roman" w:hAnsi="Times New Roman" w:eastAsia="宋体" w:cs="Times New Roman"/>
                      <w:color w:val="auto"/>
                      <w:spacing w:val="-12"/>
                      <w:kern w:val="2"/>
                      <w:sz w:val="21"/>
                      <w:szCs w:val="21"/>
                      <w:highlight w:val="none"/>
                      <w:lang w:val="en-US" w:eastAsia="zh-CN" w:bidi="ar-SA"/>
                    </w:rPr>
                  </w:pPr>
                  <w:r>
                    <w:rPr>
                      <w:rFonts w:hint="eastAsia" w:ascii="Times New Roman" w:hAnsi="Times New Roman" w:eastAsia="宋体" w:cs="Times New Roman"/>
                      <w:color w:val="auto"/>
                      <w:spacing w:val="-12"/>
                      <w:kern w:val="2"/>
                      <w:sz w:val="21"/>
                      <w:szCs w:val="21"/>
                      <w:highlight w:val="none"/>
                      <w:lang w:val="en-US" w:eastAsia="zh-CN" w:bidi="ar-SA"/>
                    </w:rPr>
                    <w:t>固态</w:t>
                  </w:r>
                </w:p>
              </w:tc>
              <w:tc>
                <w:tcPr>
                  <w:tcW w:w="464" w:type="pct"/>
                  <w:noWrap w:val="0"/>
                  <w:vAlign w:val="center"/>
                </w:tcPr>
                <w:p>
                  <w:pPr>
                    <w:spacing w:line="280" w:lineRule="exact"/>
                    <w:ind w:left="-42" w:leftChars="-20" w:right="-67" w:rightChars="-32"/>
                    <w:jc w:val="center"/>
                    <w:rPr>
                      <w:rFonts w:hint="default" w:ascii="Times New Roman" w:hAnsi="Times New Roman" w:eastAsia="宋体" w:cs="Times New Roman"/>
                      <w:color w:val="auto"/>
                      <w:spacing w:val="-12"/>
                      <w:kern w:val="2"/>
                      <w:sz w:val="21"/>
                      <w:szCs w:val="21"/>
                      <w:highlight w:val="none"/>
                      <w:lang w:val="en-US" w:eastAsia="zh-CN" w:bidi="ar-SA"/>
                    </w:rPr>
                  </w:pPr>
                  <w:r>
                    <w:rPr>
                      <w:rFonts w:hint="eastAsia" w:cs="Times New Roman"/>
                      <w:color w:val="auto"/>
                      <w:spacing w:val="-12"/>
                      <w:kern w:val="2"/>
                      <w:sz w:val="21"/>
                      <w:szCs w:val="21"/>
                      <w:highlight w:val="none"/>
                      <w:lang w:val="en-US" w:eastAsia="zh-CN" w:bidi="ar-SA"/>
                    </w:rPr>
                    <w:t>汞</w:t>
                  </w:r>
                </w:p>
              </w:tc>
              <w:tc>
                <w:tcPr>
                  <w:tcW w:w="340" w:type="pct"/>
                  <w:noWrap w:val="0"/>
                  <w:vAlign w:val="center"/>
                </w:tcPr>
                <w:p>
                  <w:pPr>
                    <w:spacing w:line="280" w:lineRule="exact"/>
                    <w:ind w:left="-42" w:leftChars="-20" w:right="-67" w:rightChars="-32"/>
                    <w:jc w:val="center"/>
                    <w:rPr>
                      <w:rFonts w:hint="default" w:ascii="Times New Roman" w:hAnsi="Times New Roman" w:eastAsia="宋体" w:cs="Times New Roman"/>
                      <w:color w:val="auto"/>
                      <w:spacing w:val="-12"/>
                      <w:kern w:val="2"/>
                      <w:sz w:val="21"/>
                      <w:szCs w:val="21"/>
                      <w:highlight w:val="none"/>
                      <w:lang w:val="en-US" w:eastAsia="zh-CN" w:bidi="ar-SA"/>
                    </w:rPr>
                  </w:pPr>
                  <w:r>
                    <w:rPr>
                      <w:rFonts w:hint="eastAsia" w:cs="Times New Roman"/>
                      <w:color w:val="auto"/>
                      <w:spacing w:val="-12"/>
                      <w:kern w:val="2"/>
                      <w:sz w:val="21"/>
                      <w:szCs w:val="21"/>
                      <w:highlight w:val="none"/>
                      <w:lang w:val="en-US" w:eastAsia="zh-CN" w:bidi="ar-SA"/>
                    </w:rPr>
                    <w:t>汞</w:t>
                  </w:r>
                </w:p>
              </w:tc>
              <w:tc>
                <w:tcPr>
                  <w:tcW w:w="369" w:type="pct"/>
                  <w:noWrap w:val="0"/>
                  <w:vAlign w:val="center"/>
                </w:tcPr>
                <w:p>
                  <w:pPr>
                    <w:spacing w:line="280" w:lineRule="exact"/>
                    <w:ind w:left="-42" w:leftChars="-20" w:right="-67" w:rightChars="-32"/>
                    <w:jc w:val="center"/>
                    <w:rPr>
                      <w:rFonts w:hint="default" w:ascii="Times New Roman" w:hAnsi="Times New Roman" w:eastAsia="宋体" w:cs="Times New Roman"/>
                      <w:color w:val="auto"/>
                      <w:spacing w:val="-12"/>
                      <w:kern w:val="2"/>
                      <w:sz w:val="21"/>
                      <w:szCs w:val="21"/>
                      <w:highlight w:val="none"/>
                      <w:lang w:val="en-US" w:eastAsia="zh-CN" w:bidi="ar-SA"/>
                    </w:rPr>
                  </w:pPr>
                  <w:r>
                    <w:rPr>
                      <w:rFonts w:hint="eastAsia" w:cs="Times New Roman"/>
                      <w:color w:val="auto"/>
                      <w:spacing w:val="-12"/>
                      <w:kern w:val="2"/>
                      <w:sz w:val="21"/>
                      <w:szCs w:val="21"/>
                      <w:highlight w:val="none"/>
                      <w:lang w:val="en-US" w:eastAsia="zh-CN" w:bidi="ar-SA"/>
                    </w:rPr>
                    <w:t>30d</w:t>
                  </w:r>
                </w:p>
              </w:tc>
              <w:tc>
                <w:tcPr>
                  <w:tcW w:w="364" w:type="pct"/>
                  <w:noWrap w:val="0"/>
                  <w:vAlign w:val="center"/>
                </w:tcPr>
                <w:p>
                  <w:pPr>
                    <w:spacing w:line="280" w:lineRule="exact"/>
                    <w:ind w:left="-42" w:leftChars="-20" w:right="-67" w:rightChars="-32"/>
                    <w:jc w:val="center"/>
                    <w:rPr>
                      <w:rFonts w:hint="default" w:ascii="Times New Roman" w:hAnsi="Times New Roman" w:eastAsia="宋体" w:cs="Times New Roman"/>
                      <w:color w:val="auto"/>
                      <w:spacing w:val="-12"/>
                      <w:kern w:val="2"/>
                      <w:sz w:val="21"/>
                      <w:szCs w:val="21"/>
                      <w:highlight w:val="none"/>
                      <w:lang w:val="en-US" w:eastAsia="zh-CN" w:bidi="ar-SA"/>
                    </w:rPr>
                  </w:pPr>
                  <w:r>
                    <w:rPr>
                      <w:rFonts w:hint="eastAsia" w:ascii="Times New Roman" w:hAnsi="Times New Roman" w:eastAsia="宋体" w:cs="Times New Roman"/>
                      <w:color w:val="auto"/>
                      <w:spacing w:val="-12"/>
                      <w:kern w:val="2"/>
                      <w:sz w:val="21"/>
                      <w:szCs w:val="21"/>
                      <w:highlight w:val="none"/>
                      <w:lang w:val="en-US" w:eastAsia="zh-CN" w:bidi="ar-SA"/>
                    </w:rPr>
                    <w:t>T、I</w:t>
                  </w:r>
                </w:p>
              </w:tc>
              <w:tc>
                <w:tcPr>
                  <w:tcW w:w="435" w:type="pct"/>
                  <w:vMerge w:val="continue"/>
                  <w:noWrap w:val="0"/>
                  <w:vAlign w:val="center"/>
                </w:tcPr>
                <w:p>
                  <w:pPr>
                    <w:spacing w:line="280" w:lineRule="exac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290"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6</w:t>
                  </w:r>
                </w:p>
              </w:tc>
              <w:tc>
                <w:tcPr>
                  <w:tcW w:w="689" w:type="pct"/>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废活性炭</w:t>
                  </w:r>
                </w:p>
              </w:tc>
              <w:tc>
                <w:tcPr>
                  <w:tcW w:w="476"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HW49</w:t>
                  </w:r>
                </w:p>
              </w:tc>
              <w:tc>
                <w:tcPr>
                  <w:tcW w:w="426"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900-041-49</w:t>
                  </w:r>
                </w:p>
              </w:tc>
              <w:tc>
                <w:tcPr>
                  <w:tcW w:w="451"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1.355</w:t>
                  </w:r>
                </w:p>
              </w:tc>
              <w:tc>
                <w:tcPr>
                  <w:tcW w:w="434" w:type="pct"/>
                  <w:vMerge w:val="continue"/>
                  <w:noWrap w:val="0"/>
                  <w:vAlign w:val="center"/>
                </w:tcPr>
                <w:p>
                  <w:pPr>
                    <w:spacing w:line="280" w:lineRule="exact"/>
                    <w:ind w:left="-42" w:leftChars="-20" w:right="-67" w:rightChars="-32"/>
                    <w:jc w:val="center"/>
                    <w:rPr>
                      <w:rFonts w:hint="default" w:ascii="Times New Roman" w:hAnsi="Times New Roman" w:eastAsia="宋体" w:cs="Times New Roman"/>
                      <w:color w:val="auto"/>
                      <w:spacing w:val="-12"/>
                      <w:kern w:val="2"/>
                      <w:sz w:val="21"/>
                      <w:szCs w:val="21"/>
                      <w:highlight w:val="none"/>
                      <w:lang w:val="en-US" w:eastAsia="zh-CN" w:bidi="ar-SA"/>
                    </w:rPr>
                  </w:pPr>
                </w:p>
              </w:tc>
              <w:tc>
                <w:tcPr>
                  <w:tcW w:w="257" w:type="pct"/>
                  <w:noWrap w:val="0"/>
                  <w:vAlign w:val="center"/>
                </w:tcPr>
                <w:p>
                  <w:pPr>
                    <w:spacing w:line="280" w:lineRule="exact"/>
                    <w:ind w:left="-42" w:leftChars="-20" w:right="-67" w:rightChars="-32"/>
                    <w:jc w:val="center"/>
                    <w:rPr>
                      <w:rFonts w:hint="default" w:ascii="Times New Roman" w:hAnsi="Times New Roman" w:eastAsia="宋体" w:cs="Times New Roman"/>
                      <w:color w:val="auto"/>
                      <w:spacing w:val="-12"/>
                      <w:kern w:val="2"/>
                      <w:sz w:val="21"/>
                      <w:szCs w:val="21"/>
                      <w:highlight w:val="none"/>
                      <w:lang w:val="en-US" w:eastAsia="zh-CN" w:bidi="ar-SA"/>
                    </w:rPr>
                  </w:pPr>
                  <w:r>
                    <w:rPr>
                      <w:rFonts w:hint="eastAsia" w:ascii="Times New Roman" w:hAnsi="Times New Roman" w:eastAsia="宋体" w:cs="Times New Roman"/>
                      <w:color w:val="auto"/>
                      <w:spacing w:val="-12"/>
                      <w:kern w:val="2"/>
                      <w:sz w:val="21"/>
                      <w:szCs w:val="21"/>
                      <w:highlight w:val="none"/>
                      <w:lang w:val="en-US" w:eastAsia="zh-CN" w:bidi="ar-SA"/>
                    </w:rPr>
                    <w:t>固态</w:t>
                  </w:r>
                </w:p>
              </w:tc>
              <w:tc>
                <w:tcPr>
                  <w:tcW w:w="464" w:type="pct"/>
                  <w:noWrap w:val="0"/>
                  <w:vAlign w:val="center"/>
                </w:tcPr>
                <w:p>
                  <w:pPr>
                    <w:spacing w:line="280" w:lineRule="exact"/>
                    <w:ind w:left="-42" w:leftChars="-20" w:right="-67" w:rightChars="-32"/>
                    <w:jc w:val="center"/>
                    <w:rPr>
                      <w:rFonts w:hint="default" w:ascii="Times New Roman" w:hAnsi="Times New Roman" w:eastAsia="宋体" w:cs="Times New Roman"/>
                      <w:color w:val="auto"/>
                      <w:spacing w:val="-12"/>
                      <w:kern w:val="2"/>
                      <w:sz w:val="21"/>
                      <w:szCs w:val="21"/>
                      <w:highlight w:val="none"/>
                      <w:lang w:val="en-US" w:eastAsia="zh-CN" w:bidi="ar-SA"/>
                    </w:rPr>
                  </w:pPr>
                  <w:r>
                    <w:rPr>
                      <w:rFonts w:hint="eastAsia" w:eastAsia="宋体"/>
                      <w:color w:val="auto"/>
                      <w:spacing w:val="-12"/>
                      <w:szCs w:val="21"/>
                      <w:highlight w:val="none"/>
                      <w:lang w:val="en-US" w:eastAsia="zh-CN"/>
                    </w:rPr>
                    <w:t>有机物</w:t>
                  </w:r>
                </w:p>
              </w:tc>
              <w:tc>
                <w:tcPr>
                  <w:tcW w:w="340" w:type="pct"/>
                  <w:noWrap w:val="0"/>
                  <w:vAlign w:val="center"/>
                </w:tcPr>
                <w:p>
                  <w:pPr>
                    <w:spacing w:line="280" w:lineRule="exact"/>
                    <w:ind w:left="-42" w:leftChars="-20" w:right="-67" w:rightChars="-32"/>
                    <w:jc w:val="center"/>
                    <w:rPr>
                      <w:rFonts w:hint="default" w:ascii="Times New Roman" w:hAnsi="Times New Roman" w:eastAsia="宋体" w:cs="Times New Roman"/>
                      <w:color w:val="auto"/>
                      <w:spacing w:val="-12"/>
                      <w:kern w:val="2"/>
                      <w:sz w:val="21"/>
                      <w:szCs w:val="21"/>
                      <w:highlight w:val="none"/>
                      <w:lang w:val="en-US" w:eastAsia="zh-CN" w:bidi="ar-SA"/>
                    </w:rPr>
                  </w:pPr>
                  <w:r>
                    <w:rPr>
                      <w:rFonts w:hint="eastAsia" w:eastAsia="宋体"/>
                      <w:color w:val="auto"/>
                      <w:spacing w:val="-12"/>
                      <w:szCs w:val="21"/>
                      <w:highlight w:val="none"/>
                      <w:lang w:val="en-US" w:eastAsia="zh-CN"/>
                    </w:rPr>
                    <w:t>有机物</w:t>
                  </w:r>
                </w:p>
              </w:tc>
              <w:tc>
                <w:tcPr>
                  <w:tcW w:w="369" w:type="pct"/>
                  <w:noWrap w:val="0"/>
                  <w:vAlign w:val="center"/>
                </w:tcPr>
                <w:p>
                  <w:pPr>
                    <w:spacing w:line="280" w:lineRule="exact"/>
                    <w:ind w:left="-42" w:leftChars="-20" w:right="-67" w:rightChars="-32"/>
                    <w:jc w:val="center"/>
                    <w:rPr>
                      <w:rFonts w:hint="default" w:ascii="Times New Roman" w:hAnsi="Times New Roman" w:eastAsia="宋体" w:cs="Times New Roman"/>
                      <w:color w:val="auto"/>
                      <w:spacing w:val="-12"/>
                      <w:kern w:val="2"/>
                      <w:sz w:val="21"/>
                      <w:szCs w:val="21"/>
                      <w:highlight w:val="none"/>
                      <w:lang w:val="en-US" w:eastAsia="zh-CN" w:bidi="ar-SA"/>
                    </w:rPr>
                  </w:pPr>
                  <w:r>
                    <w:rPr>
                      <w:rFonts w:hint="eastAsia" w:cs="Times New Roman"/>
                      <w:color w:val="auto"/>
                      <w:spacing w:val="-12"/>
                      <w:kern w:val="2"/>
                      <w:sz w:val="21"/>
                      <w:szCs w:val="21"/>
                      <w:highlight w:val="none"/>
                      <w:lang w:val="en-US" w:eastAsia="zh-CN" w:bidi="ar-SA"/>
                    </w:rPr>
                    <w:t>30d</w:t>
                  </w:r>
                </w:p>
              </w:tc>
              <w:tc>
                <w:tcPr>
                  <w:tcW w:w="364" w:type="pct"/>
                  <w:noWrap w:val="0"/>
                  <w:vAlign w:val="center"/>
                </w:tcPr>
                <w:p>
                  <w:pPr>
                    <w:spacing w:line="280" w:lineRule="exact"/>
                    <w:ind w:left="-42" w:leftChars="-20" w:right="-67" w:rightChars="-32"/>
                    <w:jc w:val="center"/>
                    <w:rPr>
                      <w:rFonts w:hint="default" w:ascii="Times New Roman" w:hAnsi="Times New Roman" w:eastAsia="宋体" w:cs="Times New Roman"/>
                      <w:color w:val="auto"/>
                      <w:spacing w:val="-12"/>
                      <w:kern w:val="2"/>
                      <w:sz w:val="21"/>
                      <w:szCs w:val="21"/>
                      <w:highlight w:val="none"/>
                      <w:lang w:val="en-US" w:eastAsia="zh-CN" w:bidi="ar-SA"/>
                    </w:rPr>
                  </w:pPr>
                  <w:r>
                    <w:rPr>
                      <w:rFonts w:hint="eastAsia" w:ascii="Times New Roman" w:hAnsi="Times New Roman" w:eastAsia="宋体" w:cs="Times New Roman"/>
                      <w:color w:val="auto"/>
                      <w:spacing w:val="-12"/>
                      <w:kern w:val="2"/>
                      <w:sz w:val="21"/>
                      <w:szCs w:val="21"/>
                      <w:highlight w:val="none"/>
                      <w:lang w:val="en-US" w:eastAsia="zh-CN" w:bidi="ar-SA"/>
                    </w:rPr>
                    <w:t>T、I</w:t>
                  </w:r>
                </w:p>
              </w:tc>
              <w:tc>
                <w:tcPr>
                  <w:tcW w:w="435" w:type="pct"/>
                  <w:vMerge w:val="continue"/>
                  <w:noWrap w:val="0"/>
                  <w:vAlign w:val="center"/>
                </w:tcPr>
                <w:p>
                  <w:pPr>
                    <w:spacing w:line="280" w:lineRule="exac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1883" w:type="pct"/>
                  <w:gridSpan w:val="4"/>
                  <w:noWrap w:val="0"/>
                  <w:vAlign w:val="center"/>
                </w:tcPr>
                <w:p>
                  <w:pPr>
                    <w:spacing w:line="280" w:lineRule="exact"/>
                    <w:jc w:val="center"/>
                    <w:rPr>
                      <w:color w:val="auto"/>
                      <w:szCs w:val="21"/>
                      <w:highlight w:val="yellow"/>
                    </w:rPr>
                  </w:pPr>
                  <w:r>
                    <w:rPr>
                      <w:color w:val="auto"/>
                      <w:szCs w:val="21"/>
                      <w:highlight w:val="none"/>
                    </w:rPr>
                    <w:t>合计</w:t>
                  </w:r>
                </w:p>
              </w:tc>
              <w:tc>
                <w:tcPr>
                  <w:tcW w:w="3116" w:type="pct"/>
                  <w:gridSpan w:val="8"/>
                  <w:noWrap w:val="0"/>
                  <w:vAlign w:val="center"/>
                </w:tcPr>
                <w:p>
                  <w:pPr>
                    <w:widowControl/>
                    <w:jc w:val="center"/>
                    <w:rPr>
                      <w:color w:val="auto"/>
                      <w:kern w:val="0"/>
                      <w:szCs w:val="21"/>
                      <w:highlight w:val="none"/>
                    </w:rPr>
                  </w:pPr>
                  <w:r>
                    <w:rPr>
                      <w:rFonts w:hint="eastAsia"/>
                      <w:color w:val="auto"/>
                      <w:szCs w:val="21"/>
                      <w:highlight w:val="none"/>
                      <w:lang w:val="en-US" w:eastAsia="zh-CN"/>
                    </w:rPr>
                    <w:t>3.581</w:t>
                  </w:r>
                  <w:r>
                    <w:rPr>
                      <w:color w:val="auto"/>
                      <w:szCs w:val="21"/>
                      <w:highlight w:val="none"/>
                    </w:rPr>
                    <w:t>t/a</w:t>
                  </w:r>
                </w:p>
              </w:tc>
            </w:tr>
          </w:tbl>
          <w:p>
            <w:pPr>
              <w:spacing w:line="360" w:lineRule="auto"/>
              <w:ind w:firstLine="480" w:firstLineChars="200"/>
              <w:rPr>
                <w:rFonts w:hint="default" w:eastAsia="宋体"/>
                <w:color w:val="auto"/>
                <w:sz w:val="24"/>
                <w:highlight w:val="none"/>
                <w:lang w:val="en-US" w:eastAsia="zh-CN"/>
              </w:rPr>
            </w:pPr>
            <w:r>
              <w:rPr>
                <w:rFonts w:hint="eastAsia"/>
                <w:color w:val="auto"/>
                <w:sz w:val="24"/>
                <w:highlight w:val="none"/>
                <w:lang w:val="zh-CN"/>
              </w:rPr>
              <w:t>（</w:t>
            </w:r>
            <w:r>
              <w:rPr>
                <w:rFonts w:hint="eastAsia"/>
                <w:color w:val="auto"/>
                <w:sz w:val="24"/>
                <w:highlight w:val="none"/>
                <w:lang w:val="en-US" w:eastAsia="zh-CN"/>
              </w:rPr>
              <w:t>2</w:t>
            </w:r>
            <w:r>
              <w:rPr>
                <w:rFonts w:hint="eastAsia"/>
                <w:color w:val="auto"/>
                <w:sz w:val="24"/>
                <w:highlight w:val="none"/>
                <w:lang w:val="zh-CN"/>
              </w:rPr>
              <w:t>）</w:t>
            </w:r>
            <w:r>
              <w:rPr>
                <w:color w:val="auto"/>
                <w:sz w:val="24"/>
                <w:highlight w:val="none"/>
                <w:lang w:val="zh-CN"/>
              </w:rPr>
              <w:t>固体废物</w:t>
            </w:r>
            <w:r>
              <w:rPr>
                <w:rFonts w:hint="eastAsia"/>
                <w:color w:val="auto"/>
                <w:sz w:val="24"/>
                <w:highlight w:val="none"/>
                <w:lang w:val="en-US" w:eastAsia="zh-CN"/>
              </w:rPr>
              <w:t>管理要求</w:t>
            </w:r>
          </w:p>
          <w:p>
            <w:pPr>
              <w:spacing w:line="360" w:lineRule="auto"/>
              <w:ind w:firstLine="480" w:firstLineChars="200"/>
              <w:rPr>
                <w:color w:val="auto"/>
                <w:sz w:val="24"/>
                <w:highlight w:val="none"/>
                <w:lang w:val="zh-CN"/>
              </w:rPr>
            </w:pPr>
            <w:r>
              <w:rPr>
                <w:rFonts w:hint="eastAsia"/>
                <w:color w:val="auto"/>
                <w:sz w:val="24"/>
                <w:highlight w:val="none"/>
                <w:lang w:val="zh-CN"/>
              </w:rPr>
              <w:t>一般工业固废暂存区</w:t>
            </w:r>
            <w:r>
              <w:rPr>
                <w:color w:val="auto"/>
                <w:sz w:val="24"/>
                <w:highlight w:val="none"/>
                <w:lang w:val="zh-CN"/>
              </w:rPr>
              <w:t>：</w:t>
            </w:r>
            <w:r>
              <w:rPr>
                <w:rFonts w:hint="eastAsia"/>
                <w:color w:val="auto"/>
                <w:sz w:val="24"/>
                <w:highlight w:val="none"/>
                <w:lang w:val="zh-CN"/>
              </w:rPr>
              <w:t>项目</w:t>
            </w:r>
            <w:r>
              <w:rPr>
                <w:rFonts w:hint="eastAsia"/>
                <w:color w:val="auto"/>
                <w:sz w:val="24"/>
                <w:szCs w:val="24"/>
                <w:highlight w:val="none"/>
                <w:lang w:val="zh-CN"/>
              </w:rPr>
              <w:t>于</w:t>
            </w:r>
            <w:r>
              <w:rPr>
                <w:rFonts w:hint="eastAsia"/>
                <w:color w:val="auto"/>
                <w:sz w:val="24"/>
                <w:szCs w:val="24"/>
                <w:highlight w:val="none"/>
                <w:lang w:val="en-US" w:eastAsia="zh-CN"/>
              </w:rPr>
              <w:t>厂房北侧</w:t>
            </w:r>
            <w:r>
              <w:rPr>
                <w:rFonts w:hint="eastAsia"/>
                <w:color w:val="auto"/>
                <w:sz w:val="24"/>
                <w:szCs w:val="24"/>
                <w:highlight w:val="none"/>
                <w:lang w:val="zh-CN"/>
              </w:rPr>
              <w:t>设</w:t>
            </w:r>
            <w:r>
              <w:rPr>
                <w:rFonts w:hint="eastAsia"/>
                <w:color w:val="auto"/>
                <w:sz w:val="24"/>
                <w:highlight w:val="none"/>
                <w:lang w:val="zh-CN"/>
              </w:rPr>
              <w:t>一个一般固废暂存</w:t>
            </w:r>
            <w:r>
              <w:rPr>
                <w:rFonts w:hint="eastAsia"/>
                <w:color w:val="auto"/>
                <w:sz w:val="24"/>
                <w:highlight w:val="none"/>
                <w:lang w:val="en-US" w:eastAsia="zh-CN"/>
              </w:rPr>
              <w:t>间</w:t>
            </w:r>
            <w:r>
              <w:rPr>
                <w:color w:val="auto"/>
                <w:sz w:val="24"/>
                <w:highlight w:val="none"/>
                <w:lang w:val="zh-CN"/>
              </w:rPr>
              <w:t>，建筑面积约</w:t>
            </w:r>
            <w:r>
              <w:rPr>
                <w:rFonts w:hint="eastAsia"/>
                <w:color w:val="auto"/>
                <w:sz w:val="24"/>
                <w:highlight w:val="none"/>
                <w:lang w:val="en-US" w:eastAsia="zh-CN"/>
              </w:rPr>
              <w:t>10</w:t>
            </w:r>
            <w:r>
              <w:rPr>
                <w:color w:val="auto"/>
                <w:sz w:val="24"/>
                <w:highlight w:val="none"/>
                <w:lang w:val="zh-CN"/>
              </w:rPr>
              <w:t>m</w:t>
            </w:r>
            <w:r>
              <w:rPr>
                <w:color w:val="auto"/>
                <w:sz w:val="24"/>
                <w:highlight w:val="none"/>
                <w:vertAlign w:val="superscript"/>
                <w:lang w:val="zh-CN"/>
              </w:rPr>
              <w:t>2</w:t>
            </w:r>
            <w:r>
              <w:rPr>
                <w:color w:val="auto"/>
                <w:sz w:val="24"/>
                <w:highlight w:val="none"/>
                <w:lang w:val="zh-CN"/>
              </w:rPr>
              <w:t>，一般固废暂存</w:t>
            </w:r>
            <w:r>
              <w:rPr>
                <w:rFonts w:hint="eastAsia"/>
                <w:color w:val="auto"/>
                <w:sz w:val="24"/>
                <w:highlight w:val="none"/>
                <w:lang w:val="en-US" w:eastAsia="zh-CN"/>
              </w:rPr>
              <w:t>间</w:t>
            </w:r>
            <w:r>
              <w:rPr>
                <w:color w:val="auto"/>
                <w:sz w:val="24"/>
                <w:highlight w:val="none"/>
                <w:lang w:val="zh-CN"/>
              </w:rPr>
              <w:t>应符合</w:t>
            </w:r>
            <w:r>
              <w:rPr>
                <w:rFonts w:hint="eastAsia"/>
                <w:color w:val="auto"/>
                <w:sz w:val="24"/>
                <w:highlight w:val="none"/>
                <w:lang w:val="en-US" w:eastAsia="zh-CN"/>
              </w:rPr>
              <w:t>相关</w:t>
            </w:r>
            <w:r>
              <w:rPr>
                <w:color w:val="auto"/>
                <w:sz w:val="24"/>
                <w:highlight w:val="none"/>
                <w:lang w:val="zh-CN"/>
              </w:rPr>
              <w:t>环保要求：防粉尘污染、防流失、防雨水进入；贮存应设置环境保护图形的警示、提示标志(环境保护图形标准(GB15562.2-1995))；堆场不得混入生活垃圾或危险废物。</w:t>
            </w:r>
          </w:p>
          <w:p>
            <w:pPr>
              <w:spacing w:line="360" w:lineRule="auto"/>
              <w:ind w:firstLine="480" w:firstLineChars="200"/>
              <w:rPr>
                <w:rFonts w:hint="default" w:eastAsia="宋体"/>
                <w:color w:val="auto"/>
                <w:sz w:val="24"/>
                <w:highlight w:val="none"/>
                <w:lang w:val="en-US" w:eastAsia="zh-CN"/>
              </w:rPr>
            </w:pPr>
            <w:r>
              <w:rPr>
                <w:rFonts w:hint="eastAsia"/>
                <w:color w:val="auto"/>
                <w:sz w:val="24"/>
                <w:highlight w:val="none"/>
                <w:lang w:val="zh-CN"/>
              </w:rPr>
              <w:t>危废暂存间</w:t>
            </w:r>
            <w:r>
              <w:rPr>
                <w:color w:val="auto"/>
                <w:sz w:val="24"/>
                <w:highlight w:val="none"/>
                <w:lang w:val="zh-CN"/>
              </w:rPr>
              <w:t>：</w:t>
            </w:r>
            <w:r>
              <w:rPr>
                <w:rFonts w:hint="eastAsia"/>
                <w:color w:val="auto"/>
                <w:sz w:val="24"/>
                <w:highlight w:val="none"/>
                <w:lang w:val="zh-CN"/>
              </w:rPr>
              <w:t>项目于</w:t>
            </w:r>
            <w:r>
              <w:rPr>
                <w:rFonts w:hint="eastAsia"/>
                <w:color w:val="auto"/>
                <w:sz w:val="24"/>
                <w:szCs w:val="24"/>
                <w:highlight w:val="none"/>
                <w:lang w:val="en-US" w:eastAsia="zh-CN"/>
              </w:rPr>
              <w:t>厂房北侧紧邻一般固废暂存间</w:t>
            </w:r>
            <w:r>
              <w:rPr>
                <w:color w:val="auto"/>
                <w:sz w:val="24"/>
                <w:highlight w:val="none"/>
                <w:lang w:val="zh-CN"/>
              </w:rPr>
              <w:t>设1个危险废物间，建筑面积约</w:t>
            </w:r>
            <w:r>
              <w:rPr>
                <w:rFonts w:hint="eastAsia"/>
                <w:color w:val="auto"/>
                <w:sz w:val="24"/>
                <w:highlight w:val="none"/>
                <w:lang w:val="en-US" w:eastAsia="zh-CN"/>
              </w:rPr>
              <w:t>5</w:t>
            </w:r>
            <w:r>
              <w:rPr>
                <w:color w:val="auto"/>
                <w:sz w:val="24"/>
                <w:highlight w:val="none"/>
                <w:lang w:val="zh-CN"/>
              </w:rPr>
              <w:t>m</w:t>
            </w:r>
            <w:r>
              <w:rPr>
                <w:color w:val="auto"/>
                <w:sz w:val="24"/>
                <w:highlight w:val="none"/>
                <w:vertAlign w:val="superscript"/>
                <w:lang w:val="zh-CN"/>
              </w:rPr>
              <w:t>2</w:t>
            </w:r>
            <w:r>
              <w:rPr>
                <w:color w:val="auto"/>
                <w:sz w:val="24"/>
                <w:highlight w:val="none"/>
                <w:lang w:val="zh-CN"/>
              </w:rPr>
              <w:t>，危险废物暂存区</w:t>
            </w:r>
            <w:r>
              <w:rPr>
                <w:rFonts w:hint="eastAsia"/>
                <w:color w:val="auto"/>
                <w:sz w:val="24"/>
                <w:highlight w:val="none"/>
                <w:lang w:val="zh-CN"/>
              </w:rPr>
              <w:t>做好“防风、防晒、防雨、防漏、防渗、防腐”</w:t>
            </w:r>
            <w:r>
              <w:rPr>
                <w:rFonts w:hint="eastAsia"/>
                <w:color w:val="auto"/>
                <w:sz w:val="24"/>
                <w:highlight w:val="none"/>
                <w:lang w:val="en-US" w:eastAsia="zh-CN"/>
              </w:rPr>
              <w:t>六</w:t>
            </w:r>
            <w:r>
              <w:rPr>
                <w:rFonts w:hint="eastAsia"/>
                <w:color w:val="auto"/>
                <w:sz w:val="24"/>
                <w:highlight w:val="none"/>
                <w:lang w:val="zh-CN"/>
              </w:rPr>
              <w:t>防措施，</w:t>
            </w:r>
            <w:r>
              <w:rPr>
                <w:rFonts w:hint="default"/>
                <w:color w:val="auto"/>
                <w:sz w:val="24"/>
                <w:highlight w:val="none"/>
                <w:lang w:val="zh-CN"/>
              </w:rPr>
              <w:t>不同种类的危险废物分类堆放，并配备相应标识标牌；设置托盘，危险废物采取专用容器收集后，置于托盘内，防止各种含有液体类危险废物漫流或泄漏</w:t>
            </w:r>
            <w:r>
              <w:rPr>
                <w:rFonts w:hint="eastAsia"/>
                <w:color w:val="auto"/>
                <w:sz w:val="24"/>
                <w:highlight w:val="none"/>
                <w:lang w:val="en-US" w:eastAsia="zh-CN"/>
              </w:rPr>
              <w:t>等</w:t>
            </w:r>
            <w:r>
              <w:rPr>
                <w:rFonts w:hint="eastAsia"/>
                <w:color w:val="auto"/>
                <w:sz w:val="24"/>
                <w:highlight w:val="none"/>
                <w:lang w:val="zh-CN"/>
              </w:rPr>
              <w:t>。</w:t>
            </w:r>
            <w:r>
              <w:rPr>
                <w:rFonts w:hint="eastAsia"/>
                <w:color w:val="auto"/>
                <w:sz w:val="24"/>
                <w:highlight w:val="none"/>
                <w:lang w:val="en-US" w:eastAsia="zh-CN"/>
              </w:rPr>
              <w:t>危险废物处置过程中应严格执行以下措施：</w:t>
            </w:r>
          </w:p>
          <w:p>
            <w:pPr>
              <w:spacing w:line="360" w:lineRule="auto"/>
              <w:ind w:firstLine="480" w:firstLineChars="200"/>
              <w:rPr>
                <w:rFonts w:hint="default"/>
                <w:color w:val="auto"/>
                <w:sz w:val="24"/>
                <w:highlight w:val="none"/>
                <w:lang w:val="zh-CN"/>
              </w:rPr>
            </w:pPr>
            <w:r>
              <w:rPr>
                <w:rFonts w:hint="default"/>
                <w:color w:val="auto"/>
                <w:sz w:val="24"/>
                <w:highlight w:val="none"/>
                <w:lang w:val="zh-CN"/>
              </w:rPr>
              <w:t>（1）危废暂存间应符合《危险废物贮存污染控制标准》（GB 18597-2023），满足“</w:t>
            </w:r>
            <w:r>
              <w:rPr>
                <w:rFonts w:hint="eastAsia"/>
                <w:color w:val="auto"/>
                <w:sz w:val="24"/>
                <w:highlight w:val="none"/>
                <w:lang w:val="zh-CN"/>
              </w:rPr>
              <w:t>防风、防晒、防雨、防漏、防渗、防腐</w:t>
            </w:r>
            <w:r>
              <w:rPr>
                <w:rFonts w:hint="default"/>
                <w:color w:val="auto"/>
                <w:sz w:val="24"/>
                <w:highlight w:val="none"/>
                <w:lang w:val="zh-CN"/>
              </w:rPr>
              <w:t>”要求。储存容器须完好无损，危废暂存间地面采取基础防渗，要求设置防渗层，采取“防渗混凝土+2mm厚HDPE防渗膜或至少2mm厚其他人工材料”进行防渗处理，且渗透系数须≤10</w:t>
            </w:r>
            <w:r>
              <w:rPr>
                <w:rFonts w:hint="default"/>
                <w:color w:val="auto"/>
                <w:sz w:val="24"/>
                <w:highlight w:val="none"/>
                <w:vertAlign w:val="superscript"/>
                <w:lang w:val="zh-CN"/>
              </w:rPr>
              <w:t>-10</w:t>
            </w:r>
            <w:r>
              <w:rPr>
                <w:rFonts w:hint="default"/>
                <w:color w:val="auto"/>
                <w:sz w:val="24"/>
                <w:highlight w:val="none"/>
                <w:lang w:val="zh-CN"/>
              </w:rPr>
              <w:t>cm/s。并设置堵截泄漏的裙脚，不同种类危险废物采用专用容器分类存放，不能混合贮存。</w:t>
            </w:r>
          </w:p>
          <w:p>
            <w:pPr>
              <w:spacing w:line="360" w:lineRule="auto"/>
              <w:ind w:firstLine="480" w:firstLineChars="200"/>
              <w:rPr>
                <w:rFonts w:hint="default"/>
                <w:color w:val="auto"/>
                <w:sz w:val="24"/>
                <w:highlight w:val="none"/>
                <w:lang w:val="zh-CN"/>
              </w:rPr>
            </w:pPr>
            <w:r>
              <w:rPr>
                <w:rFonts w:hint="default"/>
                <w:color w:val="auto"/>
                <w:sz w:val="24"/>
                <w:highlight w:val="none"/>
                <w:lang w:val="zh-CN"/>
              </w:rPr>
              <w:t>（2）设置危废管理台账，专人负责，做好危险废物进、出情况记录，记录上须注明危险废物的名称、来源、数量、特性和包装容器的类别、入库日期、存放 库位、废物出库日期及接收单位名称。危险废物的记录和货单在危险废物回取后应继续保留</w:t>
            </w:r>
            <w:r>
              <w:rPr>
                <w:rFonts w:hint="eastAsia"/>
                <w:color w:val="auto"/>
                <w:sz w:val="24"/>
                <w:highlight w:val="none"/>
                <w:lang w:val="en-US" w:eastAsia="zh-CN"/>
              </w:rPr>
              <w:t>5</w:t>
            </w:r>
            <w:r>
              <w:rPr>
                <w:rFonts w:hint="default"/>
                <w:color w:val="auto"/>
                <w:sz w:val="24"/>
                <w:highlight w:val="none"/>
                <w:lang w:val="zh-CN"/>
              </w:rPr>
              <w:t>年。</w:t>
            </w:r>
          </w:p>
          <w:p>
            <w:pPr>
              <w:spacing w:line="360" w:lineRule="auto"/>
              <w:ind w:firstLine="480" w:firstLineChars="200"/>
              <w:rPr>
                <w:rFonts w:hint="default"/>
                <w:color w:val="auto"/>
                <w:sz w:val="24"/>
                <w:highlight w:val="none"/>
                <w:lang w:val="zh-CN"/>
              </w:rPr>
            </w:pPr>
            <w:r>
              <w:rPr>
                <w:rFonts w:hint="default"/>
                <w:color w:val="auto"/>
                <w:sz w:val="24"/>
                <w:highlight w:val="none"/>
                <w:lang w:val="zh-CN"/>
              </w:rPr>
              <w:t>（3）定期对所贮存的危险废物包装容器及贮存设施进行检查，发现破损，应及时采取措施清理更换。</w:t>
            </w:r>
          </w:p>
          <w:p>
            <w:pPr>
              <w:spacing w:line="360" w:lineRule="auto"/>
              <w:ind w:firstLine="480" w:firstLineChars="200"/>
              <w:rPr>
                <w:rFonts w:hint="default"/>
                <w:color w:val="auto"/>
                <w:sz w:val="24"/>
                <w:highlight w:val="none"/>
                <w:lang w:val="zh-CN"/>
              </w:rPr>
            </w:pPr>
            <w:r>
              <w:rPr>
                <w:rFonts w:hint="default"/>
                <w:color w:val="auto"/>
                <w:sz w:val="24"/>
                <w:highlight w:val="none"/>
                <w:lang w:val="zh-CN"/>
              </w:rPr>
              <w:t>（4）危废暂</w:t>
            </w:r>
            <w:r>
              <w:rPr>
                <w:rFonts w:hint="default" w:ascii="Times New Roman" w:hAnsi="Times New Roman" w:eastAsia="宋体" w:cs="Times New Roman"/>
                <w:color w:val="auto"/>
                <w:sz w:val="24"/>
                <w:highlight w:val="none"/>
                <w:lang w:val="zh-CN"/>
              </w:rPr>
              <w:t>存间按照危险废物识别标志设置技术规范（HJ 1276—2022）要求设置警示标志。盛装危险废物的容器上必须粘贴符合</w:t>
            </w:r>
            <w:r>
              <w:rPr>
                <w:rFonts w:hint="default"/>
                <w:color w:val="auto"/>
                <w:sz w:val="24"/>
                <w:highlight w:val="none"/>
                <w:lang w:val="zh-CN"/>
              </w:rPr>
              <w:t>标准的标签。</w:t>
            </w:r>
          </w:p>
          <w:p>
            <w:pPr>
              <w:spacing w:line="360" w:lineRule="auto"/>
              <w:ind w:firstLine="480" w:firstLineChars="200"/>
              <w:rPr>
                <w:rFonts w:hint="default"/>
                <w:color w:val="auto"/>
                <w:sz w:val="24"/>
                <w:highlight w:val="none"/>
                <w:lang w:val="zh-CN"/>
              </w:rPr>
            </w:pPr>
            <w:r>
              <w:rPr>
                <w:rFonts w:hint="default"/>
                <w:color w:val="auto"/>
                <w:sz w:val="24"/>
                <w:highlight w:val="none"/>
                <w:lang w:val="zh-CN"/>
              </w:rPr>
              <w:t>（5）危险废物转移按照《危险废物转移联单管理办法》（总局令第5号）执行，在转移前三日内报告移出地环境保护行政主管部门，并同时将预期到达时 间报告</w:t>
            </w:r>
            <w:r>
              <w:rPr>
                <w:rFonts w:hint="eastAsia"/>
                <w:color w:val="auto"/>
                <w:sz w:val="24"/>
                <w:highlight w:val="none"/>
                <w:lang w:val="zh-CN" w:eastAsia="zh-CN"/>
              </w:rPr>
              <w:t>接受的环境</w:t>
            </w:r>
            <w:r>
              <w:rPr>
                <w:rFonts w:hint="default"/>
                <w:color w:val="auto"/>
                <w:sz w:val="24"/>
                <w:highlight w:val="none"/>
                <w:lang w:val="zh-CN"/>
              </w:rPr>
              <w:t>保护行政主管部门，申请填写危废转移单，报当地环保部门备 案，落实追踪制度，严防二次污染，杜绝随意买卖。</w:t>
            </w:r>
          </w:p>
          <w:p>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生活垃圾：生活垃圾分类袋装收集后由当地环卫部门清运处置。</w:t>
            </w:r>
          </w:p>
          <w:p>
            <w:pPr>
              <w:spacing w:line="360" w:lineRule="auto"/>
              <w:ind w:firstLine="480" w:firstLineChars="200"/>
              <w:rPr>
                <w:rFonts w:hint="eastAsia"/>
                <w:color w:val="auto"/>
                <w:sz w:val="24"/>
                <w:highlight w:val="none"/>
                <w:lang w:val="zh-CN"/>
              </w:rPr>
            </w:pPr>
            <w:r>
              <w:rPr>
                <w:rFonts w:hint="eastAsia"/>
                <w:color w:val="auto"/>
                <w:sz w:val="24"/>
                <w:highlight w:val="none"/>
                <w:lang w:val="en-US" w:eastAsia="zh-CN"/>
              </w:rPr>
              <w:t>项目在严格采取以上措施情况下，运营期产生的各类固体废弃物均可实现清洁处理和处置，不会产生二次污染。</w:t>
            </w:r>
          </w:p>
          <w:p>
            <w:pPr>
              <w:spacing w:line="360" w:lineRule="auto"/>
              <w:ind w:firstLine="480" w:firstLineChars="200"/>
              <w:rPr>
                <w:rFonts w:hint="eastAsia" w:ascii="Times New Roman" w:hAnsi="Times New Roman" w:eastAsia="宋体" w:cs="Times New Roman"/>
                <w:color w:val="auto"/>
                <w:sz w:val="24"/>
                <w:highlight w:val="none"/>
                <w:lang w:val="zh-CN"/>
              </w:rPr>
            </w:pPr>
            <w:r>
              <w:rPr>
                <w:rFonts w:hint="eastAsia" w:ascii="Times New Roman" w:hAnsi="Times New Roman" w:eastAsia="宋体" w:cs="Times New Roman"/>
                <w:color w:val="auto"/>
                <w:sz w:val="24"/>
                <w:highlight w:val="none"/>
                <w:lang w:val="zh-CN"/>
              </w:rPr>
              <w:t>5、地下水、土壤环境影响分析</w:t>
            </w:r>
          </w:p>
          <w:p>
            <w:pPr>
              <w:spacing w:line="360" w:lineRule="auto"/>
              <w:ind w:firstLine="480" w:firstLineChars="200"/>
              <w:rPr>
                <w:rFonts w:hint="eastAsia" w:ascii="Times New Roman" w:hAnsi="Times New Roman" w:eastAsia="宋体" w:cs="Times New Roman"/>
                <w:color w:val="auto"/>
                <w:sz w:val="24"/>
                <w:highlight w:val="none"/>
                <w:lang w:val="zh-CN"/>
              </w:rPr>
            </w:pPr>
            <w:r>
              <w:rPr>
                <w:rFonts w:hint="eastAsia"/>
                <w:color w:val="auto"/>
                <w:sz w:val="24"/>
                <w:highlight w:val="none"/>
                <w:lang w:val="en-US" w:eastAsia="zh-CN"/>
              </w:rPr>
              <w:t>建设单位租赁重庆市铜梁区金鸿浆纱厂原有生产厂房</w:t>
            </w:r>
            <w:r>
              <w:rPr>
                <w:rFonts w:hint="eastAsia" w:ascii="Times New Roman" w:hAnsi="Times New Roman" w:eastAsia="宋体" w:cs="Times New Roman"/>
                <w:color w:val="auto"/>
                <w:sz w:val="24"/>
                <w:highlight w:val="none"/>
                <w:lang w:val="zh-CN"/>
              </w:rPr>
              <w:t>进行项目建设，</w:t>
            </w:r>
            <w:r>
              <w:rPr>
                <w:rFonts w:hint="eastAsia" w:cs="Times New Roman"/>
                <w:color w:val="auto"/>
                <w:sz w:val="24"/>
                <w:highlight w:val="none"/>
                <w:lang w:val="en-US" w:eastAsia="zh-CN"/>
              </w:rPr>
              <w:t>建设过程对</w:t>
            </w:r>
            <w:r>
              <w:rPr>
                <w:rFonts w:hint="eastAsia" w:ascii="Times New Roman" w:hAnsi="Times New Roman" w:eastAsia="宋体" w:cs="Times New Roman"/>
                <w:color w:val="auto"/>
                <w:sz w:val="24"/>
                <w:highlight w:val="none"/>
                <w:lang w:val="zh-CN"/>
              </w:rPr>
              <w:t>生产厂房进行地面水泥硬化处理。为避免项目对区域地下水和土壤的污染，本次环评要求建设单位采用分区防渗措施，将生产厂房内分为简单防渗区、一般防渗区、重点防渗区。分别采取不同的防控方案：</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（1）简单</w:t>
            </w:r>
            <w:r>
              <w:rPr>
                <w:rFonts w:hint="eastAsia" w:ascii="Times New Roman" w:hAnsi="Times New Roman" w:eastAsia="宋体" w:cs="Times New Roman"/>
                <w:color w:val="auto"/>
                <w:sz w:val="24"/>
                <w:highlight w:val="none"/>
                <w:lang w:val="zh-CN"/>
              </w:rPr>
              <w:t>防渗</w:t>
            </w:r>
            <w:r>
              <w:rPr>
                <w:rFonts w:hint="eastAsia"/>
                <w:color w:val="auto"/>
                <w:sz w:val="24"/>
                <w:highlight w:val="none"/>
                <w:lang w:val="zh-CN"/>
              </w:rPr>
              <w:t>区：办公区等。</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防控方案：地面采取水泥硬化。</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（2）一般</w:t>
            </w:r>
            <w:r>
              <w:rPr>
                <w:rFonts w:hint="eastAsia" w:ascii="Times New Roman" w:hAnsi="Times New Roman" w:eastAsia="宋体" w:cs="Times New Roman"/>
                <w:color w:val="auto"/>
                <w:sz w:val="24"/>
                <w:highlight w:val="none"/>
                <w:lang w:val="zh-CN"/>
              </w:rPr>
              <w:t>防渗</w:t>
            </w:r>
            <w:r>
              <w:rPr>
                <w:rFonts w:hint="eastAsia"/>
                <w:color w:val="auto"/>
                <w:sz w:val="24"/>
                <w:highlight w:val="none"/>
                <w:lang w:val="zh-CN"/>
              </w:rPr>
              <w:t>区：生产加工区、一般固废暂存区。</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防控方案：生产加工区、一般固废暂存区采取水泥硬化并做防渗处理。</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（3）重点</w:t>
            </w:r>
            <w:r>
              <w:rPr>
                <w:rFonts w:hint="eastAsia" w:ascii="Times New Roman" w:hAnsi="Times New Roman" w:eastAsia="宋体" w:cs="Times New Roman"/>
                <w:color w:val="auto"/>
                <w:sz w:val="24"/>
                <w:highlight w:val="none"/>
                <w:lang w:val="zh-CN"/>
              </w:rPr>
              <w:t>防渗</w:t>
            </w:r>
            <w:r>
              <w:rPr>
                <w:rFonts w:hint="eastAsia"/>
                <w:color w:val="auto"/>
                <w:sz w:val="24"/>
                <w:highlight w:val="none"/>
                <w:lang w:val="zh-CN"/>
              </w:rPr>
              <w:t>区：危险废物暂存间、</w:t>
            </w:r>
            <w:r>
              <w:rPr>
                <w:rFonts w:hint="eastAsia"/>
                <w:color w:val="auto"/>
                <w:sz w:val="24"/>
                <w:highlight w:val="none"/>
                <w:lang w:val="en-US" w:eastAsia="zh-CN"/>
              </w:rPr>
              <w:t>油料库房</w:t>
            </w:r>
            <w:r>
              <w:rPr>
                <w:rFonts w:hint="eastAsia"/>
                <w:color w:val="auto"/>
                <w:sz w:val="24"/>
                <w:highlight w:val="none"/>
                <w:lang w:val="zh-CN"/>
              </w:rPr>
              <w:t>。</w:t>
            </w:r>
          </w:p>
          <w:p>
            <w:pPr>
              <w:spacing w:line="360" w:lineRule="auto"/>
              <w:ind w:firstLine="480" w:firstLineChars="200"/>
              <w:rPr>
                <w:rFonts w:hint="default" w:ascii="Times New Roman" w:hAnsi="Times New Roman" w:cs="Times New Roman"/>
                <w:color w:val="auto"/>
                <w:sz w:val="24"/>
                <w:highlight w:val="none"/>
                <w:lang w:val="zh-CN"/>
              </w:rPr>
            </w:pPr>
            <w:r>
              <w:rPr>
                <w:rFonts w:hint="eastAsia"/>
                <w:color w:val="auto"/>
                <w:sz w:val="24"/>
                <w:highlight w:val="none"/>
                <w:lang w:val="zh-CN"/>
              </w:rPr>
              <w:t>防控方案</w:t>
            </w:r>
            <w:r>
              <w:rPr>
                <w:rFonts w:hint="default" w:ascii="Times New Roman" w:hAnsi="Times New Roman" w:cs="Times New Roman"/>
                <w:color w:val="auto"/>
                <w:sz w:val="24"/>
                <w:highlight w:val="none"/>
                <w:lang w:val="zh-CN"/>
              </w:rPr>
              <w:t>：需满足《环境影响评价技术导则地下水环境》（HJ610-2016）中等效黏土防渗层厚度Mb≥6.0m，渗透系数K≤1×10</w:t>
            </w:r>
            <w:r>
              <w:rPr>
                <w:rFonts w:hint="default" w:ascii="Times New Roman" w:hAnsi="Times New Roman" w:cs="Times New Roman"/>
                <w:color w:val="auto"/>
                <w:sz w:val="24"/>
                <w:highlight w:val="none"/>
                <w:vertAlign w:val="superscript"/>
                <w:lang w:val="zh-CN"/>
              </w:rPr>
              <w:t>-7</w:t>
            </w:r>
            <w:r>
              <w:rPr>
                <w:rFonts w:hint="default" w:ascii="Times New Roman" w:hAnsi="Times New Roman" w:cs="Times New Roman"/>
                <w:color w:val="auto"/>
                <w:sz w:val="24"/>
                <w:highlight w:val="none"/>
                <w:lang w:val="zh-CN"/>
              </w:rPr>
              <w:t>cm/s 的要求，或者采用2mm厚高密度聚乙烯，或者至少2mm 厚其他人工材料，渗透系数≤1.0×10</w:t>
            </w:r>
            <w:r>
              <w:rPr>
                <w:rFonts w:hint="default" w:ascii="Times New Roman" w:hAnsi="Times New Roman" w:cs="Times New Roman"/>
                <w:color w:val="auto"/>
                <w:sz w:val="24"/>
                <w:highlight w:val="none"/>
                <w:vertAlign w:val="superscript"/>
                <w:lang w:val="zh-CN"/>
              </w:rPr>
              <w:t>-10</w:t>
            </w:r>
            <w:r>
              <w:rPr>
                <w:rFonts w:hint="default" w:ascii="Times New Roman" w:hAnsi="Times New Roman" w:cs="Times New Roman"/>
                <w:color w:val="auto"/>
                <w:sz w:val="24"/>
                <w:highlight w:val="none"/>
                <w:lang w:val="zh-CN"/>
              </w:rPr>
              <w:t>cm/s。</w:t>
            </w:r>
          </w:p>
          <w:p>
            <w:pPr>
              <w:spacing w:line="360" w:lineRule="auto"/>
              <w:ind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6、生态</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项目位于工业区，</w:t>
            </w:r>
            <w:r>
              <w:rPr>
                <w:rFonts w:hint="eastAsia"/>
                <w:color w:val="auto"/>
                <w:sz w:val="24"/>
                <w:highlight w:val="none"/>
                <w:lang w:val="en-US" w:eastAsia="zh-CN"/>
              </w:rPr>
              <w:t>租赁重庆市铜梁区金鸿浆纱厂原有生产厂房</w:t>
            </w:r>
            <w:r>
              <w:rPr>
                <w:rFonts w:hint="eastAsia" w:ascii="Times New Roman" w:hAnsi="Times New Roman" w:eastAsia="宋体" w:cs="Times New Roman"/>
                <w:color w:val="auto"/>
                <w:sz w:val="24"/>
                <w:highlight w:val="none"/>
                <w:lang w:val="zh-CN"/>
              </w:rPr>
              <w:t>进行项目建设，</w:t>
            </w:r>
            <w:r>
              <w:rPr>
                <w:rFonts w:hint="eastAsia"/>
                <w:color w:val="auto"/>
                <w:sz w:val="24"/>
                <w:highlight w:val="none"/>
                <w:lang w:val="zh-CN"/>
              </w:rPr>
              <w:t>对当地的生态环境影响较小，建议生态环境维持现有水平。</w:t>
            </w:r>
          </w:p>
          <w:p>
            <w:pPr>
              <w:spacing w:line="360" w:lineRule="auto"/>
              <w:ind w:firstLine="480" w:firstLineChars="200"/>
              <w:rPr>
                <w:rFonts w:hint="eastAsia" w:ascii="Times New Roman" w:hAnsi="Times New Roman" w:eastAsia="宋体" w:cs="Times New Roman"/>
                <w:color w:val="auto"/>
                <w:sz w:val="24"/>
                <w:highlight w:val="none"/>
                <w:lang w:val="zh-CN"/>
              </w:rPr>
            </w:pPr>
            <w:r>
              <w:rPr>
                <w:rFonts w:hint="eastAsia" w:ascii="Times New Roman" w:hAnsi="Times New Roman" w:eastAsia="宋体" w:cs="Times New Roman"/>
                <w:color w:val="auto"/>
                <w:sz w:val="24"/>
                <w:highlight w:val="none"/>
                <w:lang w:val="zh-CN"/>
              </w:rPr>
              <w:t>7、环境风险分析</w:t>
            </w:r>
          </w:p>
          <w:p>
            <w:pPr>
              <w:spacing w:line="360" w:lineRule="auto"/>
              <w:ind w:firstLine="480" w:firstLineChars="200"/>
              <w:rPr>
                <w:rFonts w:hint="eastAsia" w:ascii="Times New Roman" w:hAnsi="Times New Roman" w:eastAsia="宋体" w:cs="Times New Roman"/>
                <w:color w:val="auto"/>
                <w:sz w:val="24"/>
                <w:highlight w:val="none"/>
                <w:lang w:val="zh-CN"/>
              </w:rPr>
            </w:pPr>
            <w:r>
              <w:rPr>
                <w:rFonts w:hint="eastAsia" w:ascii="Times New Roman" w:hAnsi="Times New Roman" w:eastAsia="宋体" w:cs="Times New Roman"/>
                <w:color w:val="auto"/>
                <w:sz w:val="24"/>
                <w:highlight w:val="none"/>
                <w:lang w:val="en-US" w:eastAsia="zh-CN"/>
              </w:rPr>
              <w:t>根据《建设项目环境影响报告表编制技术指南（污染影响类）（试行）》，明确有毒有害和易燃易爆等危险物质和风险源分布情况及可能影响途径，并提出相应环境风险防控措施。</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（1）环境风险识别</w:t>
            </w:r>
          </w:p>
          <w:p>
            <w:pPr>
              <w:spacing w:line="360" w:lineRule="auto"/>
              <w:ind w:firstLine="480" w:firstLineChars="200"/>
              <w:rPr>
                <w:rFonts w:hint="eastAsia"/>
                <w:color w:val="auto"/>
                <w:sz w:val="24"/>
                <w:highlight w:val="none"/>
                <w:lang w:val="en-US" w:eastAsia="zh-CN"/>
              </w:rPr>
            </w:pPr>
            <w:r>
              <w:rPr>
                <w:rFonts w:hint="eastAsia"/>
                <w:color w:val="auto"/>
                <w:sz w:val="24"/>
                <w:highlight w:val="none"/>
                <w:lang w:val="zh-CN"/>
              </w:rPr>
              <w:t>根据《建设项目环境风险评价技术导则》（HJ 169-2018）附录B、附录C，所使用的原辅材料和产品中涉及的有毒、易燃、易爆化学品较少。项目所涉及的风险物质暂储量均未超过临界量。建设项目环境风险物质识别情况</w:t>
            </w:r>
            <w:r>
              <w:rPr>
                <w:rFonts w:hint="eastAsia"/>
                <w:color w:val="auto"/>
                <w:sz w:val="24"/>
                <w:highlight w:val="none"/>
                <w:lang w:val="en-US" w:eastAsia="zh-CN"/>
              </w:rPr>
              <w:t>及物质危险特性详见下表。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color w:val="auto"/>
                <w:sz w:val="24"/>
                <w:highlight w:val="none"/>
              </w:rPr>
            </w:pPr>
            <w:r>
              <w:rPr>
                <w:rFonts w:hint="eastAsia"/>
                <w:color w:val="auto"/>
                <w:sz w:val="24"/>
                <w:highlight w:val="none"/>
              </w:rPr>
              <w:t>表4-2</w:t>
            </w:r>
            <w:r>
              <w:rPr>
                <w:rFonts w:hint="eastAsia"/>
                <w:color w:val="auto"/>
                <w:sz w:val="24"/>
                <w:highlight w:val="none"/>
                <w:lang w:val="en-US" w:eastAsia="zh-CN"/>
              </w:rPr>
              <w:t>2</w:t>
            </w:r>
            <w:r>
              <w:rPr>
                <w:rFonts w:hint="eastAsia"/>
                <w:color w:val="auto"/>
                <w:sz w:val="24"/>
                <w:highlight w:val="none"/>
              </w:rPr>
              <w:t xml:space="preserve">  项目环境风险识别情况一览表</w:t>
            </w:r>
          </w:p>
          <w:tbl>
            <w:tblPr>
              <w:tblStyle w:val="15"/>
              <w:tblW w:w="8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1173"/>
              <w:gridCol w:w="1087"/>
              <w:gridCol w:w="1033"/>
              <w:gridCol w:w="1633"/>
              <w:gridCol w:w="3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173" w:type="dxa"/>
                  <w:noWrap w:val="0"/>
                  <w:vAlign w:val="center"/>
                </w:tcPr>
                <w:p>
                  <w:pPr>
                    <w:snapToGrid w:val="0"/>
                    <w:spacing w:line="240" w:lineRule="auto"/>
                    <w:jc w:val="center"/>
                    <w:rPr>
                      <w:color w:val="auto"/>
                      <w:szCs w:val="21"/>
                      <w:highlight w:val="none"/>
                    </w:rPr>
                  </w:pPr>
                  <w:r>
                    <w:rPr>
                      <w:rFonts w:hint="eastAsia"/>
                      <w:color w:val="auto"/>
                      <w:szCs w:val="21"/>
                      <w:highlight w:val="none"/>
                    </w:rPr>
                    <w:t>风险源分布</w:t>
                  </w:r>
                </w:p>
              </w:tc>
              <w:tc>
                <w:tcPr>
                  <w:tcW w:w="1087" w:type="dxa"/>
                  <w:noWrap w:val="0"/>
                  <w:vAlign w:val="center"/>
                </w:tcPr>
                <w:p>
                  <w:pPr>
                    <w:snapToGrid w:val="0"/>
                    <w:spacing w:line="240" w:lineRule="auto"/>
                    <w:jc w:val="center"/>
                    <w:rPr>
                      <w:rFonts w:hint="eastAsia"/>
                      <w:color w:val="auto"/>
                      <w:szCs w:val="21"/>
                      <w:highlight w:val="none"/>
                    </w:rPr>
                  </w:pPr>
                  <w:r>
                    <w:rPr>
                      <w:rFonts w:hint="eastAsia"/>
                      <w:color w:val="auto"/>
                      <w:szCs w:val="21"/>
                      <w:highlight w:val="none"/>
                    </w:rPr>
                    <w:t>风险源</w:t>
                  </w:r>
                </w:p>
              </w:tc>
              <w:tc>
                <w:tcPr>
                  <w:tcW w:w="1033" w:type="dxa"/>
                  <w:noWrap w:val="0"/>
                  <w:vAlign w:val="center"/>
                </w:tcPr>
                <w:p>
                  <w:pPr>
                    <w:snapToGrid w:val="0"/>
                    <w:spacing w:line="240" w:lineRule="auto"/>
                    <w:jc w:val="center"/>
                    <w:rPr>
                      <w:color w:val="auto"/>
                      <w:szCs w:val="21"/>
                      <w:highlight w:val="none"/>
                    </w:rPr>
                  </w:pPr>
                  <w:r>
                    <w:rPr>
                      <w:rFonts w:hint="eastAsia"/>
                      <w:color w:val="auto"/>
                      <w:szCs w:val="21"/>
                      <w:highlight w:val="none"/>
                    </w:rPr>
                    <w:t>风险物质</w:t>
                  </w:r>
                </w:p>
              </w:tc>
              <w:tc>
                <w:tcPr>
                  <w:tcW w:w="1633" w:type="dxa"/>
                  <w:noWrap w:val="0"/>
                  <w:vAlign w:val="center"/>
                </w:tcPr>
                <w:p>
                  <w:pPr>
                    <w:snapToGrid w:val="0"/>
                    <w:spacing w:line="240" w:lineRule="auto"/>
                    <w:jc w:val="center"/>
                    <w:rPr>
                      <w:color w:val="auto"/>
                      <w:szCs w:val="21"/>
                      <w:highlight w:val="none"/>
                    </w:rPr>
                  </w:pPr>
                  <w:r>
                    <w:rPr>
                      <w:rFonts w:hint="eastAsia"/>
                      <w:color w:val="auto"/>
                      <w:szCs w:val="21"/>
                      <w:highlight w:val="none"/>
                    </w:rPr>
                    <w:t>环境风险类型</w:t>
                  </w:r>
                </w:p>
              </w:tc>
              <w:tc>
                <w:tcPr>
                  <w:tcW w:w="3191" w:type="dxa"/>
                  <w:noWrap w:val="0"/>
                  <w:vAlign w:val="center"/>
                </w:tcPr>
                <w:p>
                  <w:pPr>
                    <w:snapToGrid w:val="0"/>
                    <w:spacing w:line="240" w:lineRule="auto"/>
                    <w:jc w:val="center"/>
                    <w:rPr>
                      <w:color w:val="auto"/>
                      <w:szCs w:val="21"/>
                      <w:highlight w:val="none"/>
                    </w:rPr>
                  </w:pPr>
                  <w:r>
                    <w:rPr>
                      <w:rFonts w:hint="eastAsia"/>
                      <w:color w:val="auto"/>
                      <w:szCs w:val="21"/>
                      <w:highlight w:val="none"/>
                    </w:rPr>
                    <w:t>环境影响途径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173" w:type="dxa"/>
                  <w:noWrap w:val="0"/>
                  <w:vAlign w:val="center"/>
                </w:tcPr>
                <w:p>
                  <w:pPr>
                    <w:snapToGrid w:val="0"/>
                    <w:spacing w:line="240" w:lineRule="auto"/>
                    <w:jc w:val="center"/>
                    <w:rPr>
                      <w:color w:val="auto"/>
                      <w:szCs w:val="21"/>
                      <w:highlight w:val="none"/>
                    </w:rPr>
                  </w:pPr>
                  <w:r>
                    <w:rPr>
                      <w:rFonts w:hint="eastAsia"/>
                      <w:color w:val="auto"/>
                      <w:szCs w:val="21"/>
                      <w:highlight w:val="none"/>
                    </w:rPr>
                    <w:t>危废暂存间</w:t>
                  </w:r>
                </w:p>
              </w:tc>
              <w:tc>
                <w:tcPr>
                  <w:tcW w:w="1087" w:type="dxa"/>
                  <w:noWrap w:val="0"/>
                  <w:vAlign w:val="center"/>
                </w:tcPr>
                <w:p>
                  <w:pPr>
                    <w:snapToGrid w:val="0"/>
                    <w:spacing w:line="240" w:lineRule="auto"/>
                    <w:jc w:val="center"/>
                    <w:rPr>
                      <w:rFonts w:hint="default" w:eastAsia="宋体"/>
                      <w:color w:val="auto"/>
                      <w:szCs w:val="21"/>
                      <w:highlight w:val="none"/>
                      <w:lang w:val="en-US" w:eastAsia="zh-CN"/>
                    </w:rPr>
                  </w:pPr>
                  <w:r>
                    <w:rPr>
                      <w:rFonts w:hint="eastAsia"/>
                      <w:color w:val="auto"/>
                      <w:szCs w:val="21"/>
                      <w:highlight w:val="none"/>
                      <w:lang w:val="en-US" w:eastAsia="zh-CN"/>
                    </w:rPr>
                    <w:t>废润滑油</w:t>
                  </w:r>
                </w:p>
              </w:tc>
              <w:tc>
                <w:tcPr>
                  <w:tcW w:w="1033" w:type="dxa"/>
                  <w:noWrap w:val="0"/>
                  <w:vAlign w:val="center"/>
                </w:tcPr>
                <w:p>
                  <w:pPr>
                    <w:snapToGrid w:val="0"/>
                    <w:spacing w:line="240" w:lineRule="auto"/>
                    <w:jc w:val="center"/>
                    <w:rPr>
                      <w:rFonts w:hint="eastAsia" w:eastAsia="宋体"/>
                      <w:color w:val="auto"/>
                      <w:szCs w:val="21"/>
                      <w:highlight w:val="none"/>
                      <w:lang w:eastAsia="zh-CN"/>
                    </w:rPr>
                  </w:pPr>
                  <w:r>
                    <w:rPr>
                      <w:rFonts w:hint="eastAsia"/>
                      <w:color w:val="auto"/>
                      <w:szCs w:val="21"/>
                      <w:highlight w:val="none"/>
                      <w:lang w:val="en-US" w:eastAsia="zh-CN"/>
                    </w:rPr>
                    <w:t>/</w:t>
                  </w:r>
                </w:p>
              </w:tc>
              <w:tc>
                <w:tcPr>
                  <w:tcW w:w="1633" w:type="dxa"/>
                  <w:vMerge w:val="restart"/>
                  <w:noWrap w:val="0"/>
                  <w:vAlign w:val="center"/>
                </w:tcPr>
                <w:p>
                  <w:pPr>
                    <w:snapToGrid w:val="0"/>
                    <w:spacing w:line="240" w:lineRule="auto"/>
                    <w:jc w:val="center"/>
                    <w:rPr>
                      <w:rFonts w:hint="eastAsia" w:eastAsia="宋体"/>
                      <w:color w:val="auto"/>
                      <w:szCs w:val="21"/>
                      <w:highlight w:val="none"/>
                      <w:lang w:eastAsia="zh-CN"/>
                    </w:rPr>
                  </w:pPr>
                  <w:r>
                    <w:rPr>
                      <w:rFonts w:hint="eastAsia"/>
                      <w:color w:val="auto"/>
                      <w:szCs w:val="21"/>
                      <w:highlight w:val="none"/>
                    </w:rPr>
                    <w:t>泄漏、火灾</w:t>
                  </w:r>
                </w:p>
              </w:tc>
              <w:tc>
                <w:tcPr>
                  <w:tcW w:w="3191" w:type="dxa"/>
                  <w:vMerge w:val="restart"/>
                  <w:noWrap w:val="0"/>
                  <w:vAlign w:val="center"/>
                </w:tcPr>
                <w:p>
                  <w:pPr>
                    <w:snapToGrid w:val="0"/>
                    <w:spacing w:line="240" w:lineRule="auto"/>
                    <w:jc w:val="center"/>
                    <w:rPr>
                      <w:color w:val="auto"/>
                      <w:szCs w:val="21"/>
                      <w:highlight w:val="none"/>
                    </w:rPr>
                  </w:pPr>
                  <w:r>
                    <w:rPr>
                      <w:color w:val="auto"/>
                      <w:szCs w:val="21"/>
                      <w:highlight w:val="none"/>
                    </w:rPr>
                    <w:t>包装桶破损，泄漏至围堰，围堰溢出进入雨水管网，最后进入地表水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173" w:type="dxa"/>
                  <w:noWrap w:val="0"/>
                  <w:vAlign w:val="center"/>
                </w:tcPr>
                <w:p>
                  <w:pPr>
                    <w:snapToGrid w:val="0"/>
                    <w:spacing w:line="240" w:lineRule="auto"/>
                    <w:jc w:val="center"/>
                    <w:rPr>
                      <w:rFonts w:hint="default" w:eastAsia="宋体"/>
                      <w:color w:val="auto"/>
                      <w:szCs w:val="21"/>
                      <w:highlight w:val="none"/>
                      <w:lang w:val="en-US" w:eastAsia="zh-CN"/>
                    </w:rPr>
                  </w:pPr>
                  <w:r>
                    <w:rPr>
                      <w:rFonts w:hint="eastAsia"/>
                      <w:color w:val="auto"/>
                      <w:szCs w:val="21"/>
                      <w:highlight w:val="none"/>
                      <w:lang w:val="en-US" w:eastAsia="zh-CN"/>
                    </w:rPr>
                    <w:t>油料库房</w:t>
                  </w:r>
                </w:p>
              </w:tc>
              <w:tc>
                <w:tcPr>
                  <w:tcW w:w="1087" w:type="dxa"/>
                  <w:noWrap w:val="0"/>
                  <w:vAlign w:val="center"/>
                </w:tcPr>
                <w:p>
                  <w:pPr>
                    <w:snapToGrid w:val="0"/>
                    <w:spacing w:line="240" w:lineRule="auto"/>
                    <w:jc w:val="center"/>
                    <w:rPr>
                      <w:rFonts w:hint="default"/>
                      <w:color w:val="auto"/>
                      <w:szCs w:val="21"/>
                      <w:highlight w:val="none"/>
                      <w:lang w:val="en-US" w:eastAsia="zh-CN"/>
                    </w:rPr>
                  </w:pPr>
                  <w:r>
                    <w:rPr>
                      <w:rFonts w:hint="eastAsia"/>
                      <w:color w:val="auto"/>
                      <w:szCs w:val="21"/>
                      <w:highlight w:val="none"/>
                      <w:lang w:val="en-US" w:eastAsia="zh-CN"/>
                    </w:rPr>
                    <w:t>润滑油</w:t>
                  </w:r>
                </w:p>
              </w:tc>
              <w:tc>
                <w:tcPr>
                  <w:tcW w:w="1033" w:type="dxa"/>
                  <w:noWrap w:val="0"/>
                  <w:vAlign w:val="center"/>
                </w:tcPr>
                <w:p>
                  <w:pPr>
                    <w:snapToGrid w:val="0"/>
                    <w:spacing w:line="240" w:lineRule="auto"/>
                    <w:jc w:val="center"/>
                    <w:rPr>
                      <w:rFonts w:hint="eastAsia"/>
                      <w:color w:val="auto"/>
                      <w:szCs w:val="21"/>
                      <w:highlight w:val="none"/>
                      <w:lang w:val="en-US" w:eastAsia="zh-CN"/>
                    </w:rPr>
                  </w:pPr>
                  <w:r>
                    <w:rPr>
                      <w:rFonts w:hint="eastAsia"/>
                      <w:color w:val="auto"/>
                      <w:szCs w:val="21"/>
                      <w:highlight w:val="none"/>
                      <w:lang w:val="en-US" w:eastAsia="zh-CN"/>
                    </w:rPr>
                    <w:t>/</w:t>
                  </w:r>
                </w:p>
              </w:tc>
              <w:tc>
                <w:tcPr>
                  <w:tcW w:w="1633" w:type="dxa"/>
                  <w:vMerge w:val="continue"/>
                  <w:noWrap w:val="0"/>
                  <w:vAlign w:val="center"/>
                </w:tcPr>
                <w:p>
                  <w:pPr>
                    <w:snapToGrid w:val="0"/>
                    <w:spacing w:line="240" w:lineRule="auto"/>
                    <w:jc w:val="center"/>
                    <w:rPr>
                      <w:rFonts w:hint="eastAsia"/>
                      <w:color w:val="auto"/>
                      <w:szCs w:val="21"/>
                      <w:highlight w:val="none"/>
                    </w:rPr>
                  </w:pPr>
                </w:p>
              </w:tc>
              <w:tc>
                <w:tcPr>
                  <w:tcW w:w="3191" w:type="dxa"/>
                  <w:vMerge w:val="continue"/>
                  <w:noWrap w:val="0"/>
                  <w:vAlign w:val="center"/>
                </w:tcPr>
                <w:p>
                  <w:pPr>
                    <w:snapToGrid w:val="0"/>
                    <w:spacing w:line="240" w:lineRule="auto"/>
                    <w:jc w:val="center"/>
                    <w:rPr>
                      <w:color w:val="auto"/>
                      <w:szCs w:val="21"/>
                      <w:highlight w:val="none"/>
                    </w:rPr>
                  </w:pPr>
                </w:p>
              </w:tc>
            </w:tr>
          </w:tbl>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表4-2</w:t>
            </w:r>
            <w:r>
              <w:rPr>
                <w:rFonts w:hint="eastAsia" w:cs="Times New Roman"/>
                <w:color w:val="auto"/>
                <w:sz w:val="24"/>
                <w:highlight w:val="none"/>
                <w:lang w:val="en-US" w:eastAsia="zh-CN"/>
              </w:rPr>
              <w:t>3</w:t>
            </w:r>
            <w:r>
              <w:rPr>
                <w:rFonts w:hint="eastAsia" w:ascii="Times New Roman" w:hAnsi="Times New Roman" w:eastAsia="宋体" w:cs="Times New Roman"/>
                <w:color w:val="auto"/>
                <w:sz w:val="24"/>
                <w:highlight w:val="none"/>
              </w:rPr>
              <w:t xml:space="preserve">  风险物质数量表</w:t>
            </w:r>
          </w:p>
          <w:tbl>
            <w:tblPr>
              <w:tblStyle w:val="15"/>
              <w:tblW w:w="83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2034"/>
              <w:gridCol w:w="915"/>
              <w:gridCol w:w="1095"/>
              <w:gridCol w:w="1032"/>
              <w:gridCol w:w="1267"/>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703" w:type="dxa"/>
                  <w:noWrap w:val="0"/>
                  <w:vAlign w:val="center"/>
                </w:tcPr>
                <w:p>
                  <w:pPr>
                    <w:spacing w:line="240" w:lineRule="auto"/>
                    <w:jc w:val="center"/>
                    <w:rPr>
                      <w:bCs/>
                      <w:color w:val="auto"/>
                      <w:highlight w:val="none"/>
                    </w:rPr>
                  </w:pPr>
                  <w:r>
                    <w:rPr>
                      <w:bCs/>
                      <w:color w:val="auto"/>
                      <w:highlight w:val="none"/>
                    </w:rPr>
                    <w:t>序号</w:t>
                  </w:r>
                </w:p>
              </w:tc>
              <w:tc>
                <w:tcPr>
                  <w:tcW w:w="2034" w:type="dxa"/>
                  <w:noWrap w:val="0"/>
                  <w:vAlign w:val="center"/>
                </w:tcPr>
                <w:p>
                  <w:pPr>
                    <w:spacing w:line="240" w:lineRule="auto"/>
                    <w:jc w:val="center"/>
                    <w:rPr>
                      <w:bCs/>
                      <w:color w:val="auto"/>
                      <w:highlight w:val="none"/>
                    </w:rPr>
                  </w:pPr>
                  <w:r>
                    <w:rPr>
                      <w:bCs/>
                      <w:color w:val="auto"/>
                      <w:highlight w:val="none"/>
                    </w:rPr>
                    <w:t>风险物质名称</w:t>
                  </w:r>
                </w:p>
              </w:tc>
              <w:tc>
                <w:tcPr>
                  <w:tcW w:w="915" w:type="dxa"/>
                  <w:noWrap w:val="0"/>
                  <w:vAlign w:val="center"/>
                </w:tcPr>
                <w:p>
                  <w:pPr>
                    <w:spacing w:line="240" w:lineRule="auto"/>
                    <w:jc w:val="center"/>
                    <w:rPr>
                      <w:bCs/>
                      <w:color w:val="auto"/>
                      <w:highlight w:val="none"/>
                    </w:rPr>
                  </w:pPr>
                  <w:r>
                    <w:rPr>
                      <w:bCs/>
                      <w:color w:val="auto"/>
                      <w:highlight w:val="none"/>
                    </w:rPr>
                    <w:t>储存量</w:t>
                  </w:r>
                  <w:r>
                    <w:rPr>
                      <w:rFonts w:hint="eastAsia"/>
                      <w:bCs/>
                      <w:color w:val="auto"/>
                      <w:highlight w:val="none"/>
                    </w:rPr>
                    <w:t>（t）</w:t>
                  </w:r>
                </w:p>
              </w:tc>
              <w:tc>
                <w:tcPr>
                  <w:tcW w:w="1095" w:type="dxa"/>
                  <w:noWrap w:val="0"/>
                  <w:vAlign w:val="center"/>
                </w:tcPr>
                <w:p>
                  <w:pPr>
                    <w:spacing w:line="240" w:lineRule="auto"/>
                    <w:jc w:val="center"/>
                    <w:rPr>
                      <w:rFonts w:hint="eastAsia"/>
                      <w:bCs/>
                      <w:color w:val="auto"/>
                      <w:highlight w:val="none"/>
                    </w:rPr>
                  </w:pPr>
                  <w:r>
                    <w:rPr>
                      <w:rFonts w:hint="eastAsia"/>
                      <w:bCs/>
                      <w:color w:val="auto"/>
                      <w:highlight w:val="none"/>
                    </w:rPr>
                    <w:t>临界量（t）</w:t>
                  </w:r>
                </w:p>
              </w:tc>
              <w:tc>
                <w:tcPr>
                  <w:tcW w:w="1032" w:type="dxa"/>
                  <w:noWrap w:val="0"/>
                  <w:vAlign w:val="center"/>
                </w:tcPr>
                <w:p>
                  <w:pPr>
                    <w:spacing w:line="240" w:lineRule="auto"/>
                    <w:jc w:val="center"/>
                    <w:rPr>
                      <w:bCs/>
                      <w:color w:val="auto"/>
                      <w:highlight w:val="none"/>
                    </w:rPr>
                  </w:pPr>
                  <w:r>
                    <w:rPr>
                      <w:rFonts w:hint="eastAsia"/>
                      <w:bCs/>
                      <w:color w:val="auto"/>
                      <w:highlight w:val="none"/>
                    </w:rPr>
                    <w:t>Q值</w:t>
                  </w:r>
                </w:p>
              </w:tc>
              <w:tc>
                <w:tcPr>
                  <w:tcW w:w="1267" w:type="dxa"/>
                  <w:noWrap w:val="0"/>
                  <w:vAlign w:val="center"/>
                </w:tcPr>
                <w:p>
                  <w:pPr>
                    <w:spacing w:line="240" w:lineRule="auto"/>
                    <w:jc w:val="center"/>
                    <w:rPr>
                      <w:bCs/>
                      <w:color w:val="auto"/>
                      <w:highlight w:val="none"/>
                    </w:rPr>
                  </w:pPr>
                  <w:r>
                    <w:rPr>
                      <w:bCs/>
                      <w:color w:val="auto"/>
                      <w:highlight w:val="none"/>
                    </w:rPr>
                    <w:t>特性</w:t>
                  </w:r>
                </w:p>
              </w:tc>
              <w:tc>
                <w:tcPr>
                  <w:tcW w:w="1290" w:type="dxa"/>
                  <w:noWrap w:val="0"/>
                  <w:vAlign w:val="center"/>
                </w:tcPr>
                <w:p>
                  <w:pPr>
                    <w:spacing w:line="240" w:lineRule="auto"/>
                    <w:jc w:val="center"/>
                    <w:rPr>
                      <w:rFonts w:hint="eastAsia"/>
                      <w:bCs/>
                      <w:color w:val="auto"/>
                      <w:highlight w:val="none"/>
                    </w:rPr>
                  </w:pPr>
                  <w:r>
                    <w:rPr>
                      <w:rFonts w:hint="eastAsia"/>
                      <w:bCs/>
                      <w:color w:val="auto"/>
                      <w:highlight w:val="none"/>
                    </w:rPr>
                    <w:t>风险源点位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703" w:type="dxa"/>
                  <w:noWrap w:val="0"/>
                  <w:vAlign w:val="center"/>
                </w:tcPr>
                <w:p>
                  <w:pPr>
                    <w:spacing w:line="240" w:lineRule="auto"/>
                    <w:jc w:val="center"/>
                    <w:rPr>
                      <w:rFonts w:hint="default"/>
                      <w:bCs/>
                      <w:color w:val="auto"/>
                      <w:highlight w:val="none"/>
                      <w:lang w:val="en-US" w:eastAsia="zh-CN"/>
                    </w:rPr>
                  </w:pPr>
                  <w:r>
                    <w:rPr>
                      <w:rFonts w:hint="eastAsia"/>
                      <w:bCs/>
                      <w:color w:val="auto"/>
                      <w:highlight w:val="none"/>
                      <w:lang w:val="en-US" w:eastAsia="zh-CN"/>
                    </w:rPr>
                    <w:t>1</w:t>
                  </w:r>
                </w:p>
              </w:tc>
              <w:tc>
                <w:tcPr>
                  <w:tcW w:w="2034" w:type="dxa"/>
                  <w:noWrap w:val="0"/>
                  <w:vAlign w:val="center"/>
                </w:tcPr>
                <w:p>
                  <w:pPr>
                    <w:spacing w:line="240" w:lineRule="auto"/>
                    <w:jc w:val="center"/>
                    <w:rPr>
                      <w:rFonts w:hint="default"/>
                      <w:bCs/>
                      <w:color w:val="auto"/>
                      <w:kern w:val="2"/>
                      <w:sz w:val="21"/>
                      <w:szCs w:val="24"/>
                      <w:highlight w:val="none"/>
                      <w:lang w:val="en-US" w:eastAsia="zh-CN" w:bidi="ar-SA"/>
                    </w:rPr>
                  </w:pPr>
                  <w:r>
                    <w:rPr>
                      <w:rFonts w:hint="eastAsia"/>
                      <w:bCs/>
                      <w:color w:val="auto"/>
                      <w:kern w:val="2"/>
                      <w:sz w:val="21"/>
                      <w:szCs w:val="24"/>
                      <w:highlight w:val="none"/>
                      <w:lang w:val="en-US" w:eastAsia="zh-CN" w:bidi="ar-SA"/>
                    </w:rPr>
                    <w:t>废</w:t>
                  </w:r>
                  <w:r>
                    <w:rPr>
                      <w:rFonts w:hint="eastAsia"/>
                      <w:color w:val="auto"/>
                      <w:szCs w:val="21"/>
                      <w:highlight w:val="none"/>
                      <w:lang w:val="en-US" w:eastAsia="zh-CN"/>
                    </w:rPr>
                    <w:t>润滑</w:t>
                  </w:r>
                  <w:r>
                    <w:rPr>
                      <w:rFonts w:hint="eastAsia"/>
                      <w:bCs/>
                      <w:color w:val="auto"/>
                      <w:kern w:val="2"/>
                      <w:sz w:val="21"/>
                      <w:szCs w:val="24"/>
                      <w:highlight w:val="none"/>
                      <w:lang w:val="en-US" w:eastAsia="zh-CN" w:bidi="ar-SA"/>
                    </w:rPr>
                    <w:t>油</w:t>
                  </w:r>
                </w:p>
              </w:tc>
              <w:tc>
                <w:tcPr>
                  <w:tcW w:w="915" w:type="dxa"/>
                  <w:noWrap w:val="0"/>
                  <w:vAlign w:val="center"/>
                </w:tcPr>
                <w:p>
                  <w:pPr>
                    <w:spacing w:line="240" w:lineRule="auto"/>
                    <w:jc w:val="center"/>
                    <w:rPr>
                      <w:rFonts w:hint="default"/>
                      <w:bCs/>
                      <w:color w:val="auto"/>
                      <w:kern w:val="2"/>
                      <w:sz w:val="21"/>
                      <w:szCs w:val="24"/>
                      <w:highlight w:val="none"/>
                      <w:lang w:val="en-US" w:eastAsia="zh-CN" w:bidi="ar-SA"/>
                    </w:rPr>
                  </w:pPr>
                  <w:r>
                    <w:rPr>
                      <w:rFonts w:hint="eastAsia"/>
                      <w:bCs/>
                      <w:color w:val="auto"/>
                      <w:kern w:val="2"/>
                      <w:sz w:val="21"/>
                      <w:szCs w:val="24"/>
                      <w:highlight w:val="none"/>
                      <w:lang w:val="en-US" w:eastAsia="zh-CN" w:bidi="ar-SA"/>
                    </w:rPr>
                    <w:t>0.3</w:t>
                  </w:r>
                </w:p>
              </w:tc>
              <w:tc>
                <w:tcPr>
                  <w:tcW w:w="1095" w:type="dxa"/>
                  <w:noWrap w:val="0"/>
                  <w:vAlign w:val="center"/>
                </w:tcPr>
                <w:p>
                  <w:pPr>
                    <w:spacing w:line="240" w:lineRule="auto"/>
                    <w:jc w:val="center"/>
                    <w:rPr>
                      <w:rFonts w:hint="default"/>
                      <w:bCs/>
                      <w:color w:val="auto"/>
                      <w:kern w:val="2"/>
                      <w:sz w:val="21"/>
                      <w:szCs w:val="24"/>
                      <w:highlight w:val="none"/>
                      <w:lang w:val="en-US" w:eastAsia="zh-CN" w:bidi="ar-SA"/>
                    </w:rPr>
                  </w:pPr>
                  <w:r>
                    <w:rPr>
                      <w:rFonts w:hint="eastAsia"/>
                      <w:bCs/>
                      <w:color w:val="auto"/>
                      <w:kern w:val="2"/>
                      <w:sz w:val="21"/>
                      <w:szCs w:val="24"/>
                      <w:highlight w:val="none"/>
                      <w:lang w:val="en-US" w:eastAsia="zh-CN" w:bidi="ar-SA"/>
                    </w:rPr>
                    <w:t>2500</w:t>
                  </w:r>
                </w:p>
              </w:tc>
              <w:tc>
                <w:tcPr>
                  <w:tcW w:w="1032" w:type="dxa"/>
                  <w:noWrap w:val="0"/>
                  <w:vAlign w:val="center"/>
                </w:tcPr>
                <w:p>
                  <w:pPr>
                    <w:spacing w:line="240" w:lineRule="auto"/>
                    <w:jc w:val="center"/>
                    <w:rPr>
                      <w:rFonts w:hint="default"/>
                      <w:bCs/>
                      <w:color w:val="auto"/>
                      <w:kern w:val="2"/>
                      <w:sz w:val="21"/>
                      <w:szCs w:val="24"/>
                      <w:highlight w:val="none"/>
                      <w:lang w:val="en-US" w:eastAsia="zh-CN" w:bidi="ar-SA"/>
                    </w:rPr>
                  </w:pPr>
                  <w:r>
                    <w:rPr>
                      <w:rFonts w:hint="eastAsia"/>
                      <w:bCs/>
                      <w:color w:val="auto"/>
                      <w:kern w:val="2"/>
                      <w:sz w:val="21"/>
                      <w:szCs w:val="24"/>
                      <w:highlight w:val="none"/>
                      <w:lang w:val="en-US" w:eastAsia="zh-CN" w:bidi="ar-SA"/>
                    </w:rPr>
                    <w:t>0.00012</w:t>
                  </w:r>
                </w:p>
              </w:tc>
              <w:tc>
                <w:tcPr>
                  <w:tcW w:w="1267" w:type="dxa"/>
                  <w:noWrap w:val="0"/>
                  <w:vAlign w:val="center"/>
                </w:tcPr>
                <w:p>
                  <w:pPr>
                    <w:spacing w:line="240" w:lineRule="auto"/>
                    <w:jc w:val="center"/>
                    <w:rPr>
                      <w:rFonts w:hint="eastAsia"/>
                      <w:bCs/>
                      <w:color w:val="auto"/>
                      <w:highlight w:val="none"/>
                      <w:lang w:val="en-US" w:eastAsia="zh-CN"/>
                    </w:rPr>
                  </w:pPr>
                  <w:r>
                    <w:rPr>
                      <w:rFonts w:hint="eastAsia"/>
                      <w:bCs/>
                      <w:color w:val="auto"/>
                      <w:highlight w:val="none"/>
                      <w:lang w:val="en-US" w:eastAsia="zh-CN"/>
                    </w:rPr>
                    <w:t>危害水环境</w:t>
                  </w:r>
                </w:p>
              </w:tc>
              <w:tc>
                <w:tcPr>
                  <w:tcW w:w="1290" w:type="dxa"/>
                  <w:noWrap w:val="0"/>
                  <w:vAlign w:val="center"/>
                </w:tcPr>
                <w:p>
                  <w:pPr>
                    <w:spacing w:line="240" w:lineRule="auto"/>
                    <w:jc w:val="center"/>
                    <w:rPr>
                      <w:rFonts w:hint="eastAsia"/>
                      <w:bCs/>
                      <w:color w:val="auto"/>
                      <w:highlight w:val="none"/>
                      <w:lang w:val="en-US" w:eastAsia="zh-CN"/>
                    </w:rPr>
                  </w:pPr>
                  <w:r>
                    <w:rPr>
                      <w:rFonts w:hint="eastAsia"/>
                      <w:bCs/>
                      <w:color w:val="auto"/>
                      <w:highlight w:val="none"/>
                      <w:lang w:val="en-US" w:eastAsia="zh-CN"/>
                    </w:rPr>
                    <w:t>危废间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703" w:type="dxa"/>
                  <w:noWrap w:val="0"/>
                  <w:vAlign w:val="center"/>
                </w:tcPr>
                <w:p>
                  <w:pPr>
                    <w:spacing w:line="240" w:lineRule="auto"/>
                    <w:jc w:val="center"/>
                    <w:rPr>
                      <w:rFonts w:hint="default"/>
                      <w:bCs/>
                      <w:color w:val="auto"/>
                      <w:highlight w:val="none"/>
                      <w:lang w:val="en-US" w:eastAsia="zh-CN"/>
                    </w:rPr>
                  </w:pPr>
                  <w:r>
                    <w:rPr>
                      <w:rFonts w:hint="eastAsia"/>
                      <w:bCs/>
                      <w:color w:val="auto"/>
                      <w:highlight w:val="none"/>
                      <w:lang w:val="en-US" w:eastAsia="zh-CN"/>
                    </w:rPr>
                    <w:t>2</w:t>
                  </w:r>
                </w:p>
              </w:tc>
              <w:tc>
                <w:tcPr>
                  <w:tcW w:w="2034" w:type="dxa"/>
                  <w:noWrap w:val="0"/>
                  <w:vAlign w:val="center"/>
                </w:tcPr>
                <w:p>
                  <w:pPr>
                    <w:spacing w:line="240" w:lineRule="auto"/>
                    <w:jc w:val="center"/>
                    <w:rPr>
                      <w:rFonts w:hint="eastAsia"/>
                      <w:bCs/>
                      <w:color w:val="auto"/>
                      <w:kern w:val="2"/>
                      <w:sz w:val="21"/>
                      <w:szCs w:val="24"/>
                      <w:highlight w:val="none"/>
                      <w:lang w:val="en-US" w:eastAsia="zh-CN" w:bidi="ar-SA"/>
                    </w:rPr>
                  </w:pPr>
                  <w:r>
                    <w:rPr>
                      <w:rFonts w:hint="eastAsia"/>
                      <w:color w:val="auto"/>
                      <w:szCs w:val="21"/>
                      <w:highlight w:val="none"/>
                      <w:lang w:val="en-US" w:eastAsia="zh-CN"/>
                    </w:rPr>
                    <w:t>润滑</w:t>
                  </w:r>
                  <w:r>
                    <w:rPr>
                      <w:rFonts w:hint="eastAsia"/>
                      <w:bCs/>
                      <w:color w:val="auto"/>
                      <w:kern w:val="2"/>
                      <w:sz w:val="21"/>
                      <w:szCs w:val="24"/>
                      <w:highlight w:val="none"/>
                      <w:lang w:val="en-US" w:eastAsia="zh-CN" w:bidi="ar-SA"/>
                    </w:rPr>
                    <w:t>油</w:t>
                  </w:r>
                </w:p>
              </w:tc>
              <w:tc>
                <w:tcPr>
                  <w:tcW w:w="915" w:type="dxa"/>
                  <w:noWrap w:val="0"/>
                  <w:vAlign w:val="center"/>
                </w:tcPr>
                <w:p>
                  <w:pPr>
                    <w:spacing w:line="240" w:lineRule="auto"/>
                    <w:jc w:val="center"/>
                    <w:rPr>
                      <w:rFonts w:hint="default"/>
                      <w:bCs/>
                      <w:color w:val="auto"/>
                      <w:kern w:val="2"/>
                      <w:sz w:val="21"/>
                      <w:szCs w:val="24"/>
                      <w:highlight w:val="none"/>
                      <w:lang w:val="en-US" w:eastAsia="zh-CN" w:bidi="ar-SA"/>
                    </w:rPr>
                  </w:pPr>
                  <w:r>
                    <w:rPr>
                      <w:rFonts w:hint="eastAsia"/>
                      <w:bCs/>
                      <w:color w:val="auto"/>
                      <w:kern w:val="2"/>
                      <w:sz w:val="21"/>
                      <w:szCs w:val="24"/>
                      <w:highlight w:val="none"/>
                      <w:lang w:val="en-US" w:eastAsia="zh-CN" w:bidi="ar-SA"/>
                    </w:rPr>
                    <w:t>0.34</w:t>
                  </w:r>
                </w:p>
              </w:tc>
              <w:tc>
                <w:tcPr>
                  <w:tcW w:w="1095" w:type="dxa"/>
                  <w:noWrap w:val="0"/>
                  <w:vAlign w:val="center"/>
                </w:tcPr>
                <w:p>
                  <w:pPr>
                    <w:spacing w:line="240" w:lineRule="auto"/>
                    <w:jc w:val="center"/>
                    <w:rPr>
                      <w:rFonts w:hint="eastAsia"/>
                      <w:bCs/>
                      <w:color w:val="auto"/>
                      <w:kern w:val="2"/>
                      <w:sz w:val="21"/>
                      <w:szCs w:val="24"/>
                      <w:highlight w:val="none"/>
                      <w:lang w:val="en-US" w:eastAsia="zh-CN" w:bidi="ar-SA"/>
                    </w:rPr>
                  </w:pPr>
                  <w:r>
                    <w:rPr>
                      <w:rFonts w:hint="eastAsia"/>
                      <w:bCs/>
                      <w:color w:val="auto"/>
                      <w:kern w:val="2"/>
                      <w:sz w:val="21"/>
                      <w:szCs w:val="24"/>
                      <w:highlight w:val="none"/>
                      <w:lang w:val="en-US" w:eastAsia="zh-CN" w:bidi="ar-SA"/>
                    </w:rPr>
                    <w:t>2500</w:t>
                  </w:r>
                </w:p>
              </w:tc>
              <w:tc>
                <w:tcPr>
                  <w:tcW w:w="1032" w:type="dxa"/>
                  <w:noWrap w:val="0"/>
                  <w:vAlign w:val="center"/>
                </w:tcPr>
                <w:p>
                  <w:pPr>
                    <w:spacing w:line="240" w:lineRule="auto"/>
                    <w:jc w:val="center"/>
                    <w:rPr>
                      <w:rFonts w:hint="default"/>
                      <w:bCs/>
                      <w:color w:val="auto"/>
                      <w:kern w:val="2"/>
                      <w:sz w:val="21"/>
                      <w:szCs w:val="24"/>
                      <w:highlight w:val="none"/>
                      <w:lang w:val="en-US" w:eastAsia="zh-CN" w:bidi="ar-SA"/>
                    </w:rPr>
                  </w:pPr>
                  <w:r>
                    <w:rPr>
                      <w:rFonts w:hint="eastAsia"/>
                      <w:bCs/>
                      <w:color w:val="auto"/>
                      <w:kern w:val="2"/>
                      <w:sz w:val="21"/>
                      <w:szCs w:val="24"/>
                      <w:highlight w:val="none"/>
                      <w:lang w:val="en-US" w:eastAsia="zh-CN" w:bidi="ar-SA"/>
                    </w:rPr>
                    <w:t>0.000136</w:t>
                  </w:r>
                </w:p>
              </w:tc>
              <w:tc>
                <w:tcPr>
                  <w:tcW w:w="1267" w:type="dxa"/>
                  <w:noWrap w:val="0"/>
                  <w:vAlign w:val="center"/>
                </w:tcPr>
                <w:p>
                  <w:pPr>
                    <w:spacing w:line="240" w:lineRule="auto"/>
                    <w:jc w:val="center"/>
                    <w:rPr>
                      <w:rFonts w:hint="eastAsia"/>
                      <w:bCs/>
                      <w:color w:val="auto"/>
                      <w:highlight w:val="none"/>
                      <w:lang w:val="en-US" w:eastAsia="zh-CN"/>
                    </w:rPr>
                  </w:pPr>
                  <w:r>
                    <w:rPr>
                      <w:rFonts w:hint="eastAsia"/>
                      <w:bCs/>
                      <w:color w:val="auto"/>
                      <w:highlight w:val="none"/>
                      <w:lang w:val="en-US" w:eastAsia="zh-CN"/>
                    </w:rPr>
                    <w:t>危害水环境</w:t>
                  </w:r>
                </w:p>
              </w:tc>
              <w:tc>
                <w:tcPr>
                  <w:tcW w:w="1290" w:type="dxa"/>
                  <w:noWrap w:val="0"/>
                  <w:vAlign w:val="center"/>
                </w:tcPr>
                <w:p>
                  <w:pPr>
                    <w:spacing w:line="240" w:lineRule="auto"/>
                    <w:jc w:val="center"/>
                    <w:rPr>
                      <w:rFonts w:hint="default"/>
                      <w:bCs/>
                      <w:color w:val="auto"/>
                      <w:highlight w:val="none"/>
                      <w:lang w:val="en-US" w:eastAsia="zh-CN"/>
                    </w:rPr>
                  </w:pPr>
                  <w:r>
                    <w:rPr>
                      <w:rFonts w:hint="eastAsia"/>
                      <w:bCs/>
                      <w:color w:val="auto"/>
                      <w:highlight w:val="none"/>
                      <w:lang w:val="en-US" w:eastAsia="zh-CN"/>
                    </w:rPr>
                    <w:t>油料库房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703" w:type="dxa"/>
                  <w:noWrap w:val="0"/>
                  <w:vAlign w:val="center"/>
                </w:tcPr>
                <w:p>
                  <w:pPr>
                    <w:spacing w:line="240" w:lineRule="auto"/>
                    <w:jc w:val="center"/>
                    <w:rPr>
                      <w:rFonts w:hint="default"/>
                      <w:bCs/>
                      <w:color w:val="auto"/>
                      <w:highlight w:val="none"/>
                      <w:lang w:val="en-US" w:eastAsia="zh-CN"/>
                    </w:rPr>
                  </w:pPr>
                  <w:r>
                    <w:rPr>
                      <w:rFonts w:hint="eastAsia"/>
                      <w:bCs/>
                      <w:color w:val="auto"/>
                      <w:highlight w:val="none"/>
                      <w:lang w:val="en-US" w:eastAsia="zh-CN"/>
                    </w:rPr>
                    <w:t>3</w:t>
                  </w:r>
                </w:p>
              </w:tc>
              <w:tc>
                <w:tcPr>
                  <w:tcW w:w="4044" w:type="dxa"/>
                  <w:gridSpan w:val="3"/>
                  <w:noWrap w:val="0"/>
                  <w:vAlign w:val="center"/>
                </w:tcPr>
                <w:p>
                  <w:pPr>
                    <w:spacing w:line="240" w:lineRule="auto"/>
                    <w:jc w:val="center"/>
                    <w:rPr>
                      <w:rFonts w:hint="default"/>
                      <w:bCs/>
                      <w:color w:val="auto"/>
                      <w:kern w:val="2"/>
                      <w:sz w:val="21"/>
                      <w:szCs w:val="24"/>
                      <w:highlight w:val="none"/>
                      <w:lang w:val="en-US" w:eastAsia="zh-CN" w:bidi="ar-SA"/>
                    </w:rPr>
                  </w:pPr>
                  <w:r>
                    <w:rPr>
                      <w:rFonts w:hint="eastAsia"/>
                      <w:bCs/>
                      <w:color w:val="auto"/>
                      <w:kern w:val="2"/>
                      <w:sz w:val="21"/>
                      <w:szCs w:val="24"/>
                      <w:highlight w:val="none"/>
                      <w:lang w:val="en-US" w:eastAsia="zh-CN" w:bidi="ar-SA"/>
                    </w:rPr>
                    <w:t>合计</w:t>
                  </w:r>
                </w:p>
              </w:tc>
              <w:tc>
                <w:tcPr>
                  <w:tcW w:w="1032" w:type="dxa"/>
                  <w:noWrap w:val="0"/>
                  <w:vAlign w:val="center"/>
                </w:tcPr>
                <w:p>
                  <w:pPr>
                    <w:spacing w:line="240" w:lineRule="auto"/>
                    <w:jc w:val="center"/>
                    <w:rPr>
                      <w:rFonts w:hint="default"/>
                      <w:bCs/>
                      <w:color w:val="auto"/>
                      <w:kern w:val="2"/>
                      <w:sz w:val="21"/>
                      <w:szCs w:val="24"/>
                      <w:highlight w:val="none"/>
                      <w:lang w:val="en-US" w:eastAsia="zh-CN" w:bidi="ar-SA"/>
                    </w:rPr>
                  </w:pPr>
                  <w:r>
                    <w:rPr>
                      <w:rFonts w:hint="eastAsia"/>
                      <w:bCs/>
                      <w:color w:val="auto"/>
                      <w:kern w:val="2"/>
                      <w:sz w:val="21"/>
                      <w:szCs w:val="24"/>
                      <w:highlight w:val="none"/>
                      <w:lang w:val="en-US" w:eastAsia="zh-CN" w:bidi="ar-SA"/>
                    </w:rPr>
                    <w:t>0.000256</w:t>
                  </w:r>
                </w:p>
              </w:tc>
              <w:tc>
                <w:tcPr>
                  <w:tcW w:w="1267" w:type="dxa"/>
                  <w:noWrap w:val="0"/>
                  <w:vAlign w:val="center"/>
                </w:tcPr>
                <w:p>
                  <w:pPr>
                    <w:spacing w:line="240" w:lineRule="auto"/>
                    <w:jc w:val="center"/>
                    <w:rPr>
                      <w:rFonts w:hint="default"/>
                      <w:bCs/>
                      <w:color w:val="auto"/>
                      <w:highlight w:val="none"/>
                      <w:lang w:val="en-US" w:eastAsia="zh-CN"/>
                    </w:rPr>
                  </w:pPr>
                  <w:r>
                    <w:rPr>
                      <w:rFonts w:hint="eastAsia"/>
                      <w:bCs/>
                      <w:color w:val="auto"/>
                      <w:highlight w:val="none"/>
                      <w:lang w:val="en-US" w:eastAsia="zh-CN"/>
                    </w:rPr>
                    <w:t>/</w:t>
                  </w:r>
                </w:p>
              </w:tc>
              <w:tc>
                <w:tcPr>
                  <w:tcW w:w="1290" w:type="dxa"/>
                  <w:noWrap w:val="0"/>
                  <w:vAlign w:val="center"/>
                </w:tcPr>
                <w:p>
                  <w:pPr>
                    <w:spacing w:line="240" w:lineRule="auto"/>
                    <w:jc w:val="center"/>
                    <w:rPr>
                      <w:rFonts w:hint="default"/>
                      <w:bCs/>
                      <w:color w:val="auto"/>
                      <w:highlight w:val="none"/>
                      <w:lang w:val="en-US" w:eastAsia="zh-CN"/>
                    </w:rPr>
                  </w:pPr>
                  <w:r>
                    <w:rPr>
                      <w:rFonts w:hint="eastAsia"/>
                      <w:bCs/>
                      <w:color w:val="auto"/>
                      <w:highlight w:val="none"/>
                      <w:lang w:val="en-US" w:eastAsia="zh-CN"/>
                    </w:rPr>
                    <w:t>/</w:t>
                  </w:r>
                </w:p>
              </w:tc>
            </w:tr>
          </w:tbl>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zh-CN"/>
              </w:rPr>
              <w:t>根据上表，项目风险物质q/Q值之和为</w:t>
            </w:r>
            <w:r>
              <w:rPr>
                <w:rFonts w:hint="eastAsia"/>
                <w:bCs/>
                <w:color w:val="auto"/>
                <w:kern w:val="2"/>
                <w:sz w:val="24"/>
                <w:szCs w:val="24"/>
                <w:highlight w:val="none"/>
                <w:lang w:val="en-US" w:eastAsia="zh-CN" w:bidi="ar-SA"/>
              </w:rPr>
              <w:t>0.000256</w:t>
            </w:r>
            <w:r>
              <w:rPr>
                <w:rFonts w:hint="default" w:ascii="Times New Roman" w:hAnsi="Times New Roman" w:eastAsia="宋体" w:cs="Times New Roman"/>
                <w:color w:val="auto"/>
                <w:sz w:val="24"/>
                <w:highlight w:val="none"/>
                <w:lang w:val="zh-CN"/>
              </w:rPr>
              <w:t>＜</w:t>
            </w:r>
            <w:r>
              <w:rPr>
                <w:rFonts w:hint="eastAsia" w:ascii="Times New Roman" w:hAnsi="Times New Roman" w:eastAsia="宋体" w:cs="Times New Roman"/>
                <w:color w:val="auto"/>
                <w:sz w:val="24"/>
                <w:highlight w:val="none"/>
                <w:lang w:val="zh-CN"/>
              </w:rPr>
              <w:t>1，该项目环境风险潜势为I，环境风险评价仅需进行简单分析。</w:t>
            </w:r>
          </w:p>
          <w:p>
            <w:pPr>
              <w:spacing w:line="360" w:lineRule="auto"/>
              <w:ind w:firstLine="480" w:firstLineChars="200"/>
              <w:rPr>
                <w:rFonts w:hint="eastAsia" w:ascii="Times New Roman" w:hAnsi="Times New Roman" w:eastAsia="宋体" w:cs="Times New Roman"/>
                <w:color w:val="auto"/>
                <w:sz w:val="24"/>
                <w:highlight w:val="none"/>
                <w:lang w:val="zh-CN"/>
              </w:rPr>
            </w:pPr>
            <w:r>
              <w:rPr>
                <w:rFonts w:hint="eastAsia" w:ascii="Times New Roman" w:hAnsi="Times New Roman" w:eastAsia="宋体" w:cs="Times New Roman"/>
                <w:color w:val="auto"/>
                <w:sz w:val="24"/>
                <w:highlight w:val="none"/>
                <w:lang w:val="zh-CN"/>
              </w:rPr>
              <w:t>（</w:t>
            </w:r>
            <w:r>
              <w:rPr>
                <w:rFonts w:hint="eastAsia" w:ascii="Times New Roman" w:hAnsi="Times New Roman" w:eastAsia="宋体" w:cs="Times New Roman"/>
                <w:color w:val="auto"/>
                <w:sz w:val="24"/>
                <w:highlight w:val="none"/>
                <w:lang w:val="en-US" w:eastAsia="zh-CN"/>
              </w:rPr>
              <w:t>2</w:t>
            </w:r>
            <w:r>
              <w:rPr>
                <w:rFonts w:hint="eastAsia" w:ascii="Times New Roman" w:hAnsi="Times New Roman" w:eastAsia="宋体" w:cs="Times New Roman"/>
                <w:color w:val="auto"/>
                <w:sz w:val="24"/>
                <w:highlight w:val="none"/>
                <w:lang w:val="zh-CN"/>
              </w:rPr>
              <w:t>）环境风险分析</w:t>
            </w:r>
          </w:p>
          <w:p>
            <w:pPr>
              <w:spacing w:line="360" w:lineRule="auto"/>
              <w:ind w:firstLine="480" w:firstLineChars="200"/>
              <w:rPr>
                <w:rFonts w:hint="eastAsia" w:ascii="Times New Roman" w:hAnsi="Times New Roman" w:eastAsia="宋体" w:cs="Times New Roman"/>
                <w:color w:val="auto"/>
                <w:sz w:val="24"/>
                <w:highlight w:val="none"/>
                <w:lang w:val="zh-CN"/>
              </w:rPr>
            </w:pPr>
            <w:r>
              <w:rPr>
                <w:rFonts w:hint="eastAsia" w:ascii="Times New Roman" w:hAnsi="Times New Roman" w:eastAsia="宋体" w:cs="Times New Roman"/>
                <w:color w:val="auto"/>
                <w:sz w:val="24"/>
                <w:highlight w:val="none"/>
                <w:lang w:val="zh-CN"/>
              </w:rPr>
              <w:t>1）泄漏事故分析</w:t>
            </w:r>
          </w:p>
          <w:p>
            <w:pPr>
              <w:spacing w:line="360" w:lineRule="auto"/>
              <w:ind w:firstLine="480" w:firstLineChars="200"/>
              <w:rPr>
                <w:rFonts w:hint="eastAsia" w:ascii="Times New Roman" w:hAnsi="Times New Roman" w:eastAsia="宋体" w:cs="Times New Roman"/>
                <w:color w:val="auto"/>
                <w:sz w:val="24"/>
                <w:highlight w:val="none"/>
                <w:lang w:val="zh-CN"/>
              </w:rPr>
            </w:pPr>
            <w:r>
              <w:rPr>
                <w:rFonts w:hint="eastAsia" w:ascii="Times New Roman" w:hAnsi="Times New Roman" w:eastAsia="宋体" w:cs="Times New Roman"/>
                <w:color w:val="auto"/>
                <w:sz w:val="24"/>
                <w:highlight w:val="none"/>
                <w:lang w:val="zh-CN"/>
              </w:rPr>
              <w:t>本项目</w:t>
            </w:r>
            <w:r>
              <w:rPr>
                <w:rFonts w:hint="eastAsia" w:ascii="Times New Roman" w:hAnsi="Times New Roman" w:eastAsia="宋体" w:cs="Times New Roman"/>
                <w:color w:val="auto"/>
                <w:sz w:val="24"/>
                <w:highlight w:val="none"/>
                <w:lang w:val="en-US" w:eastAsia="zh-CN"/>
              </w:rPr>
              <w:t>运营期润滑油</w:t>
            </w:r>
            <w:r>
              <w:rPr>
                <w:rFonts w:hint="eastAsia" w:cs="Times New Roman"/>
                <w:color w:val="auto"/>
                <w:sz w:val="24"/>
                <w:highlight w:val="none"/>
                <w:lang w:val="en-US" w:eastAsia="zh-CN"/>
              </w:rPr>
              <w:t>暂存于油料库房</w:t>
            </w:r>
            <w:r>
              <w:rPr>
                <w:rFonts w:hint="eastAsia" w:ascii="Times New Roman" w:hAnsi="Times New Roman" w:eastAsia="宋体" w:cs="Times New Roman"/>
                <w:color w:val="auto"/>
                <w:sz w:val="24"/>
                <w:highlight w:val="none"/>
                <w:lang w:val="en-US" w:eastAsia="zh-CN"/>
              </w:rPr>
              <w:t>，废润滑油</w:t>
            </w:r>
            <w:r>
              <w:rPr>
                <w:rFonts w:hint="eastAsia" w:ascii="Times New Roman" w:hAnsi="Times New Roman" w:eastAsia="宋体" w:cs="Times New Roman"/>
                <w:color w:val="auto"/>
                <w:sz w:val="24"/>
                <w:highlight w:val="none"/>
                <w:lang w:val="zh-CN"/>
              </w:rPr>
              <w:t>堆放在专门设置的</w:t>
            </w:r>
            <w:r>
              <w:rPr>
                <w:rFonts w:hint="eastAsia" w:ascii="Times New Roman" w:hAnsi="Times New Roman" w:eastAsia="宋体" w:cs="Times New Roman"/>
                <w:color w:val="auto"/>
                <w:sz w:val="24"/>
                <w:highlight w:val="none"/>
                <w:lang w:val="en-US" w:eastAsia="zh-CN"/>
              </w:rPr>
              <w:t>危废间内</w:t>
            </w:r>
            <w:r>
              <w:rPr>
                <w:rFonts w:hint="eastAsia" w:ascii="Times New Roman" w:hAnsi="Times New Roman" w:eastAsia="宋体" w:cs="Times New Roman"/>
                <w:color w:val="auto"/>
                <w:sz w:val="24"/>
                <w:highlight w:val="none"/>
                <w:lang w:val="zh-CN"/>
              </w:rPr>
              <w:t>。在不发生爆炸的情况下，泄漏的概率几乎为零。</w:t>
            </w:r>
          </w:p>
          <w:p>
            <w:pPr>
              <w:spacing w:line="360" w:lineRule="auto"/>
              <w:ind w:firstLine="480" w:firstLineChars="200"/>
              <w:rPr>
                <w:rFonts w:hint="eastAsia" w:ascii="Times New Roman" w:hAnsi="Times New Roman" w:eastAsia="宋体" w:cs="Times New Roman"/>
                <w:color w:val="auto"/>
                <w:sz w:val="24"/>
                <w:highlight w:val="none"/>
                <w:lang w:val="zh-CN"/>
              </w:rPr>
            </w:pPr>
            <w:r>
              <w:rPr>
                <w:rFonts w:hint="eastAsia" w:ascii="Times New Roman" w:hAnsi="Times New Roman" w:eastAsia="宋体" w:cs="Times New Roman"/>
                <w:color w:val="auto"/>
                <w:sz w:val="24"/>
                <w:highlight w:val="none"/>
                <w:lang w:val="zh-CN"/>
              </w:rPr>
              <w:t>在发生事故时，厂房地面采取了防渗防腐处理，能防止泄漏液体渗漏和腐蚀，同时，本环评要求</w:t>
            </w:r>
            <w:r>
              <w:rPr>
                <w:rFonts w:hint="eastAsia" w:cs="Times New Roman"/>
                <w:color w:val="auto"/>
                <w:sz w:val="24"/>
                <w:highlight w:val="none"/>
                <w:lang w:val="en-US" w:eastAsia="zh-CN"/>
              </w:rPr>
              <w:t>油料库房、</w:t>
            </w:r>
            <w:r>
              <w:rPr>
                <w:rFonts w:hint="eastAsia" w:ascii="Times New Roman" w:hAnsi="Times New Roman" w:eastAsia="宋体" w:cs="Times New Roman"/>
                <w:color w:val="auto"/>
                <w:sz w:val="24"/>
                <w:highlight w:val="none"/>
                <w:lang w:val="zh-CN"/>
              </w:rPr>
              <w:t>危废暂存间存放采用托盘</w:t>
            </w:r>
            <w:r>
              <w:rPr>
                <w:rFonts w:hint="eastAsia" w:cs="Times New Roman"/>
                <w:color w:val="auto"/>
                <w:sz w:val="24"/>
                <w:highlight w:val="none"/>
                <w:lang w:val="zh-CN"/>
              </w:rPr>
              <w:t>，</w:t>
            </w:r>
            <w:r>
              <w:rPr>
                <w:rFonts w:hint="eastAsia" w:cs="Times New Roman"/>
                <w:color w:val="auto"/>
                <w:sz w:val="24"/>
                <w:highlight w:val="none"/>
                <w:lang w:val="en-US" w:eastAsia="zh-CN"/>
              </w:rPr>
              <w:t>四周设置集水沟</w:t>
            </w:r>
            <w:r>
              <w:rPr>
                <w:rFonts w:hint="eastAsia" w:ascii="Times New Roman" w:hAnsi="Times New Roman" w:eastAsia="宋体" w:cs="Times New Roman"/>
                <w:color w:val="auto"/>
                <w:sz w:val="24"/>
                <w:highlight w:val="none"/>
                <w:lang w:val="zh-CN"/>
              </w:rPr>
              <w:t>。采取上述措施后均能将泄漏物质限定在库房内，对环境影响较小。</w:t>
            </w:r>
          </w:p>
          <w:p>
            <w:pPr>
              <w:spacing w:line="360" w:lineRule="auto"/>
              <w:ind w:firstLine="480" w:firstLineChars="200"/>
              <w:rPr>
                <w:rFonts w:hint="eastAsia" w:ascii="Times New Roman" w:hAnsi="Times New Roman" w:eastAsia="宋体" w:cs="Times New Roman"/>
                <w:color w:val="auto"/>
                <w:sz w:val="24"/>
                <w:highlight w:val="none"/>
                <w:lang w:val="zh-CN"/>
              </w:rPr>
            </w:pPr>
            <w:r>
              <w:rPr>
                <w:rFonts w:hint="eastAsia" w:ascii="Times New Roman" w:hAnsi="Times New Roman" w:eastAsia="宋体" w:cs="Times New Roman"/>
                <w:color w:val="auto"/>
                <w:sz w:val="24"/>
                <w:highlight w:val="none"/>
                <w:lang w:val="zh-CN"/>
              </w:rPr>
              <w:t>2）火灾爆炸事故影响分析</w:t>
            </w:r>
          </w:p>
          <w:p>
            <w:pPr>
              <w:spacing w:line="360" w:lineRule="auto"/>
              <w:ind w:firstLine="480" w:firstLineChars="200"/>
              <w:rPr>
                <w:rFonts w:hint="eastAsia" w:ascii="Times New Roman" w:hAnsi="Times New Roman" w:eastAsia="宋体" w:cs="Times New Roman"/>
                <w:color w:val="auto"/>
                <w:sz w:val="24"/>
                <w:highlight w:val="none"/>
                <w:lang w:val="zh-CN"/>
              </w:rPr>
            </w:pPr>
            <w:r>
              <w:rPr>
                <w:rFonts w:hint="eastAsia" w:ascii="Times New Roman" w:hAnsi="Times New Roman" w:eastAsia="宋体" w:cs="Times New Roman"/>
                <w:color w:val="auto"/>
                <w:sz w:val="24"/>
                <w:highlight w:val="none"/>
                <w:lang w:val="zh-CN"/>
              </w:rPr>
              <w:t>本项目</w:t>
            </w:r>
            <w:r>
              <w:rPr>
                <w:rFonts w:hint="eastAsia" w:cs="Times New Roman"/>
                <w:color w:val="auto"/>
                <w:sz w:val="24"/>
                <w:highlight w:val="none"/>
                <w:lang w:val="en-US" w:eastAsia="zh-CN"/>
              </w:rPr>
              <w:t>发生</w:t>
            </w:r>
            <w:r>
              <w:rPr>
                <w:rFonts w:hint="eastAsia" w:ascii="Times New Roman" w:hAnsi="Times New Roman" w:eastAsia="宋体" w:cs="Times New Roman"/>
                <w:color w:val="auto"/>
                <w:sz w:val="24"/>
                <w:highlight w:val="none"/>
                <w:lang w:val="zh-CN"/>
              </w:rPr>
              <w:t>泄漏后，如未及时发现及处理，遇到火源可能会引发火灾、爆炸等次生灾害，产生的大气污染物对周边环境空气造成影响。</w:t>
            </w:r>
          </w:p>
          <w:p>
            <w:pPr>
              <w:spacing w:line="360" w:lineRule="auto"/>
              <w:ind w:firstLine="480" w:firstLineChars="200"/>
              <w:rPr>
                <w:rFonts w:hint="eastAsia" w:ascii="Times New Roman" w:hAnsi="Times New Roman" w:eastAsia="宋体" w:cs="Times New Roman"/>
                <w:color w:val="auto"/>
                <w:sz w:val="24"/>
                <w:highlight w:val="none"/>
                <w:lang w:val="zh-CN"/>
              </w:rPr>
            </w:pPr>
            <w:r>
              <w:rPr>
                <w:rFonts w:hint="eastAsia" w:ascii="Times New Roman" w:hAnsi="Times New Roman" w:eastAsia="宋体" w:cs="Times New Roman"/>
                <w:color w:val="auto"/>
                <w:sz w:val="24"/>
                <w:highlight w:val="none"/>
                <w:lang w:val="zh-CN"/>
              </w:rPr>
              <w:t>（</w:t>
            </w:r>
            <w:r>
              <w:rPr>
                <w:rFonts w:hint="eastAsia" w:ascii="Times New Roman" w:hAnsi="Times New Roman" w:eastAsia="宋体" w:cs="Times New Roman"/>
                <w:color w:val="auto"/>
                <w:sz w:val="24"/>
                <w:highlight w:val="none"/>
                <w:lang w:val="en-US" w:eastAsia="zh-CN"/>
              </w:rPr>
              <w:t>3</w:t>
            </w:r>
            <w:r>
              <w:rPr>
                <w:rFonts w:hint="eastAsia" w:ascii="Times New Roman" w:hAnsi="Times New Roman" w:eastAsia="宋体" w:cs="Times New Roman"/>
                <w:color w:val="auto"/>
                <w:sz w:val="24"/>
                <w:highlight w:val="none"/>
                <w:lang w:val="zh-CN"/>
              </w:rPr>
              <w:t>）环境风险防范措施</w:t>
            </w:r>
          </w:p>
          <w:p>
            <w:pPr>
              <w:spacing w:line="360" w:lineRule="auto"/>
              <w:ind w:firstLine="480" w:firstLineChars="200"/>
              <w:rPr>
                <w:rFonts w:hint="eastAsia" w:ascii="Times New Roman" w:hAnsi="Times New Roman" w:eastAsia="宋体" w:cs="Times New Roman"/>
                <w:color w:val="auto"/>
                <w:sz w:val="24"/>
                <w:highlight w:val="none"/>
                <w:lang w:val="zh-CN"/>
              </w:rPr>
            </w:pPr>
            <w:r>
              <w:rPr>
                <w:rFonts w:hint="eastAsia" w:cs="Times New Roman"/>
                <w:color w:val="auto"/>
                <w:sz w:val="24"/>
                <w:highlight w:val="none"/>
                <w:lang w:val="en-US" w:eastAsia="zh-CN"/>
              </w:rPr>
              <w:t>项目</w:t>
            </w:r>
            <w:r>
              <w:rPr>
                <w:rFonts w:hint="eastAsia" w:ascii="Times New Roman" w:hAnsi="Times New Roman" w:eastAsia="宋体" w:cs="Times New Roman"/>
                <w:color w:val="auto"/>
                <w:sz w:val="24"/>
                <w:highlight w:val="none"/>
                <w:lang w:val="zh-CN"/>
              </w:rPr>
              <w:t>采取的风险防控与应急措施见</w:t>
            </w:r>
            <w:r>
              <w:rPr>
                <w:rFonts w:hint="eastAsia" w:ascii="Times New Roman" w:hAnsi="Times New Roman" w:cs="Times New Roman"/>
                <w:color w:val="auto"/>
                <w:sz w:val="24"/>
                <w:highlight w:val="none"/>
                <w:lang w:val="en-US" w:eastAsia="zh-CN"/>
              </w:rPr>
              <w:t>下</w:t>
            </w:r>
            <w:r>
              <w:rPr>
                <w:rFonts w:hint="eastAsia" w:ascii="Times New Roman" w:hAnsi="Times New Roman" w:eastAsia="宋体" w:cs="Times New Roman"/>
                <w:color w:val="auto"/>
                <w:sz w:val="24"/>
                <w:highlight w:val="none"/>
                <w:lang w:val="zh-CN"/>
              </w:rPr>
              <w:t>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表4-2</w:t>
            </w:r>
            <w:r>
              <w:rPr>
                <w:rFonts w:hint="eastAsia" w:cs="Times New Roman"/>
                <w:color w:val="auto"/>
                <w:sz w:val="24"/>
                <w:highlight w:val="none"/>
                <w:lang w:val="en-US" w:eastAsia="zh-CN"/>
              </w:rPr>
              <w:t>4</w:t>
            </w:r>
            <w:r>
              <w:rPr>
                <w:rFonts w:hint="eastAsia" w:ascii="Times New Roman" w:hAnsi="Times New Roman" w:eastAsia="宋体" w:cs="Times New Roman"/>
                <w:color w:val="auto"/>
                <w:sz w:val="24"/>
                <w:highlight w:val="none"/>
              </w:rPr>
              <w:t xml:space="preserve"> 油料库房、危废暂存间环境风险防控与应急措施</w:t>
            </w:r>
          </w:p>
          <w:tbl>
            <w:tblPr>
              <w:tblStyle w:val="15"/>
              <w:tblW w:w="7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1131"/>
              <w:gridCol w:w="6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131" w:type="dxa"/>
                  <w:noWrap w:val="0"/>
                  <w:vAlign w:val="center"/>
                </w:tcPr>
                <w:p>
                  <w:pPr>
                    <w:snapToGrid w:val="0"/>
                    <w:jc w:val="center"/>
                    <w:rPr>
                      <w:color w:val="auto"/>
                      <w:szCs w:val="21"/>
                      <w:highlight w:val="none"/>
                    </w:rPr>
                  </w:pPr>
                  <w:r>
                    <w:rPr>
                      <w:rFonts w:hint="eastAsia"/>
                      <w:color w:val="auto"/>
                      <w:szCs w:val="21"/>
                      <w:highlight w:val="none"/>
                    </w:rPr>
                    <w:t>风险单元</w:t>
                  </w:r>
                </w:p>
              </w:tc>
              <w:tc>
                <w:tcPr>
                  <w:tcW w:w="6848" w:type="dxa"/>
                  <w:noWrap w:val="0"/>
                  <w:vAlign w:val="center"/>
                </w:tcPr>
                <w:p>
                  <w:pPr>
                    <w:snapToGrid w:val="0"/>
                    <w:jc w:val="center"/>
                    <w:rPr>
                      <w:color w:val="auto"/>
                      <w:szCs w:val="21"/>
                      <w:highlight w:val="none"/>
                    </w:rPr>
                  </w:pPr>
                  <w:r>
                    <w:rPr>
                      <w:rFonts w:hint="eastAsia"/>
                      <w:color w:val="auto"/>
                      <w:szCs w:val="21"/>
                      <w:highlight w:val="none"/>
                    </w:rPr>
                    <w:t>采取的环境风险防控与应急措施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131" w:type="dxa"/>
                  <w:vMerge w:val="restart"/>
                  <w:noWrap w:val="0"/>
                  <w:vAlign w:val="center"/>
                </w:tcPr>
                <w:p>
                  <w:pPr>
                    <w:snapToGrid w:val="0"/>
                    <w:jc w:val="center"/>
                    <w:rPr>
                      <w:color w:val="auto"/>
                      <w:szCs w:val="21"/>
                      <w:highlight w:val="none"/>
                    </w:rPr>
                  </w:pPr>
                  <w:r>
                    <w:rPr>
                      <w:rFonts w:hint="eastAsia"/>
                      <w:color w:val="auto"/>
                      <w:szCs w:val="21"/>
                      <w:highlight w:val="none"/>
                    </w:rPr>
                    <w:t>危废暂存间</w:t>
                  </w:r>
                </w:p>
              </w:tc>
              <w:tc>
                <w:tcPr>
                  <w:tcW w:w="6848" w:type="dxa"/>
                  <w:noWrap w:val="0"/>
                  <w:vAlign w:val="center"/>
                </w:tcPr>
                <w:p>
                  <w:pPr>
                    <w:snapToGrid w:val="0"/>
                    <w:jc w:val="center"/>
                    <w:rPr>
                      <w:color w:val="auto"/>
                      <w:szCs w:val="21"/>
                      <w:highlight w:val="none"/>
                    </w:rPr>
                  </w:pPr>
                  <w:r>
                    <w:rPr>
                      <w:color w:val="auto"/>
                      <w:szCs w:val="21"/>
                      <w:highlight w:val="none"/>
                    </w:rPr>
                    <w:t>地面为环氧树脂地坪、设置围堤或地沟、收集坑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131" w:type="dxa"/>
                  <w:vMerge w:val="continue"/>
                  <w:noWrap w:val="0"/>
                  <w:vAlign w:val="center"/>
                </w:tcPr>
                <w:p>
                  <w:pPr>
                    <w:snapToGrid w:val="0"/>
                    <w:jc w:val="center"/>
                    <w:rPr>
                      <w:color w:val="auto"/>
                      <w:szCs w:val="21"/>
                      <w:highlight w:val="none"/>
                    </w:rPr>
                  </w:pPr>
                </w:p>
              </w:tc>
              <w:tc>
                <w:tcPr>
                  <w:tcW w:w="6848" w:type="dxa"/>
                  <w:noWrap w:val="0"/>
                  <w:vAlign w:val="center"/>
                </w:tcPr>
                <w:p>
                  <w:pPr>
                    <w:snapToGrid w:val="0"/>
                    <w:jc w:val="center"/>
                    <w:rPr>
                      <w:color w:val="auto"/>
                      <w:szCs w:val="21"/>
                      <w:highlight w:val="none"/>
                    </w:rPr>
                  </w:pPr>
                  <w:r>
                    <w:rPr>
                      <w:rFonts w:hint="eastAsia"/>
                      <w:color w:val="auto"/>
                      <w:szCs w:val="21"/>
                      <w:highlight w:val="none"/>
                    </w:rPr>
                    <w:t>各类危险废物分区存放，</w:t>
                  </w:r>
                  <w:r>
                    <w:rPr>
                      <w:color w:val="auto"/>
                      <w:szCs w:val="21"/>
                      <w:highlight w:val="none"/>
                    </w:rPr>
                    <w:t>周边张贴禁止火源的标志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131" w:type="dxa"/>
                  <w:vMerge w:val="continue"/>
                  <w:noWrap w:val="0"/>
                  <w:vAlign w:val="center"/>
                </w:tcPr>
                <w:p>
                  <w:pPr>
                    <w:snapToGrid w:val="0"/>
                    <w:jc w:val="center"/>
                    <w:rPr>
                      <w:color w:val="auto"/>
                      <w:szCs w:val="21"/>
                      <w:highlight w:val="none"/>
                    </w:rPr>
                  </w:pPr>
                </w:p>
              </w:tc>
              <w:tc>
                <w:tcPr>
                  <w:tcW w:w="6848" w:type="dxa"/>
                  <w:noWrap w:val="0"/>
                  <w:vAlign w:val="center"/>
                </w:tcPr>
                <w:p>
                  <w:pPr>
                    <w:snapToGrid w:val="0"/>
                    <w:jc w:val="center"/>
                    <w:rPr>
                      <w:color w:val="auto"/>
                      <w:szCs w:val="21"/>
                      <w:highlight w:val="none"/>
                    </w:rPr>
                  </w:pPr>
                  <w:r>
                    <w:rPr>
                      <w:color w:val="auto"/>
                      <w:szCs w:val="21"/>
                      <w:highlight w:val="none"/>
                    </w:rPr>
                    <w:t>配备吸附棉、干粉灭火器等消防物资、防爆灯具，设专人值守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131" w:type="dxa"/>
                  <w:vMerge w:val="continue"/>
                  <w:noWrap w:val="0"/>
                  <w:vAlign w:val="center"/>
                </w:tcPr>
                <w:p>
                  <w:pPr>
                    <w:snapToGrid w:val="0"/>
                    <w:jc w:val="center"/>
                    <w:rPr>
                      <w:color w:val="auto"/>
                      <w:szCs w:val="21"/>
                      <w:highlight w:val="none"/>
                    </w:rPr>
                  </w:pPr>
                </w:p>
              </w:tc>
              <w:tc>
                <w:tcPr>
                  <w:tcW w:w="6848" w:type="dxa"/>
                  <w:noWrap w:val="0"/>
                  <w:vAlign w:val="center"/>
                </w:tcPr>
                <w:p>
                  <w:pPr>
                    <w:snapToGrid w:val="0"/>
                    <w:jc w:val="center"/>
                    <w:rPr>
                      <w:color w:val="auto"/>
                      <w:szCs w:val="21"/>
                      <w:highlight w:val="none"/>
                    </w:rPr>
                  </w:pPr>
                  <w:r>
                    <w:rPr>
                      <w:rFonts w:hint="eastAsia"/>
                      <w:color w:val="auto"/>
                      <w:szCs w:val="21"/>
                      <w:highlight w:val="none"/>
                      <w:lang w:val="en-US" w:eastAsia="zh-CN"/>
                    </w:rPr>
                    <w:t>在液态危废储存装置底部设置托盘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131" w:type="dxa"/>
                  <w:vMerge w:val="restart"/>
                  <w:noWrap w:val="0"/>
                  <w:vAlign w:val="center"/>
                </w:tcPr>
                <w:p>
                  <w:pPr>
                    <w:snapToGrid w:val="0"/>
                    <w:jc w:val="center"/>
                    <w:rPr>
                      <w:rFonts w:hint="default" w:eastAsia="宋体"/>
                      <w:color w:val="auto"/>
                      <w:szCs w:val="21"/>
                      <w:highlight w:val="none"/>
                      <w:lang w:val="en-US" w:eastAsia="zh-CN"/>
                    </w:rPr>
                  </w:pPr>
                  <w:r>
                    <w:rPr>
                      <w:rFonts w:hint="eastAsia"/>
                      <w:color w:val="auto"/>
                      <w:szCs w:val="21"/>
                      <w:highlight w:val="none"/>
                      <w:lang w:val="en-US" w:eastAsia="zh-CN"/>
                    </w:rPr>
                    <w:t>油料库房</w:t>
                  </w:r>
                </w:p>
              </w:tc>
              <w:tc>
                <w:tcPr>
                  <w:tcW w:w="6848" w:type="dxa"/>
                  <w:noWrap w:val="0"/>
                  <w:vAlign w:val="center"/>
                </w:tcPr>
                <w:p>
                  <w:pPr>
                    <w:snapToGrid w:val="0"/>
                    <w:jc w:val="center"/>
                    <w:rPr>
                      <w:rFonts w:hint="eastAsia" w:ascii="Times New Roman" w:hAnsi="Times New Roman" w:eastAsia="宋体" w:cs="Times New Roman"/>
                      <w:color w:val="auto"/>
                      <w:kern w:val="2"/>
                      <w:sz w:val="21"/>
                      <w:szCs w:val="21"/>
                      <w:highlight w:val="none"/>
                      <w:lang w:val="en-US" w:eastAsia="zh-CN" w:bidi="ar-SA"/>
                    </w:rPr>
                  </w:pPr>
                  <w:r>
                    <w:rPr>
                      <w:color w:val="auto"/>
                      <w:szCs w:val="21"/>
                      <w:highlight w:val="none"/>
                    </w:rPr>
                    <w:t>地面为环氧树脂地坪、设置围堤或地沟、收集坑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131" w:type="dxa"/>
                  <w:vMerge w:val="continue"/>
                  <w:noWrap w:val="0"/>
                  <w:vAlign w:val="center"/>
                </w:tcPr>
                <w:p>
                  <w:pPr>
                    <w:snapToGrid w:val="0"/>
                    <w:jc w:val="center"/>
                    <w:rPr>
                      <w:color w:val="auto"/>
                      <w:szCs w:val="21"/>
                      <w:highlight w:val="none"/>
                    </w:rPr>
                  </w:pPr>
                </w:p>
              </w:tc>
              <w:tc>
                <w:tcPr>
                  <w:tcW w:w="6848" w:type="dxa"/>
                  <w:noWrap w:val="0"/>
                  <w:vAlign w:val="center"/>
                </w:tcPr>
                <w:p>
                  <w:pPr>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各</w:t>
                  </w:r>
                  <w:r>
                    <w:rPr>
                      <w:rFonts w:hint="eastAsia"/>
                      <w:color w:val="auto"/>
                      <w:szCs w:val="21"/>
                      <w:highlight w:val="none"/>
                      <w:lang w:val="en-US" w:eastAsia="zh-CN"/>
                    </w:rPr>
                    <w:t>液态原料</w:t>
                  </w:r>
                  <w:r>
                    <w:rPr>
                      <w:rFonts w:hint="eastAsia"/>
                      <w:color w:val="auto"/>
                      <w:szCs w:val="21"/>
                      <w:highlight w:val="none"/>
                    </w:rPr>
                    <w:t>分区存放，</w:t>
                  </w:r>
                  <w:r>
                    <w:rPr>
                      <w:color w:val="auto"/>
                      <w:szCs w:val="21"/>
                      <w:highlight w:val="none"/>
                    </w:rPr>
                    <w:t>周边张贴禁止火源的标志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131" w:type="dxa"/>
                  <w:vMerge w:val="continue"/>
                  <w:noWrap w:val="0"/>
                  <w:vAlign w:val="center"/>
                </w:tcPr>
                <w:p>
                  <w:pPr>
                    <w:snapToGrid w:val="0"/>
                    <w:jc w:val="center"/>
                    <w:rPr>
                      <w:color w:val="auto"/>
                      <w:szCs w:val="21"/>
                      <w:highlight w:val="none"/>
                    </w:rPr>
                  </w:pPr>
                </w:p>
              </w:tc>
              <w:tc>
                <w:tcPr>
                  <w:tcW w:w="6848" w:type="dxa"/>
                  <w:noWrap w:val="0"/>
                  <w:vAlign w:val="center"/>
                </w:tcPr>
                <w:p>
                  <w:pPr>
                    <w:snapToGrid w:val="0"/>
                    <w:jc w:val="center"/>
                    <w:rPr>
                      <w:rFonts w:hint="eastAsia" w:ascii="Times New Roman" w:hAnsi="Times New Roman" w:eastAsia="宋体" w:cs="Times New Roman"/>
                      <w:color w:val="auto"/>
                      <w:kern w:val="2"/>
                      <w:sz w:val="21"/>
                      <w:szCs w:val="21"/>
                      <w:highlight w:val="none"/>
                      <w:lang w:val="en-US" w:eastAsia="zh-CN" w:bidi="ar-SA"/>
                    </w:rPr>
                  </w:pPr>
                  <w:r>
                    <w:rPr>
                      <w:color w:val="auto"/>
                      <w:szCs w:val="21"/>
                      <w:highlight w:val="none"/>
                    </w:rPr>
                    <w:t>配备吸附棉、干粉灭火器等消防物资、防爆灯具，设专人值守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131" w:type="dxa"/>
                  <w:vMerge w:val="continue"/>
                  <w:noWrap w:val="0"/>
                  <w:vAlign w:val="center"/>
                </w:tcPr>
                <w:p>
                  <w:pPr>
                    <w:snapToGrid w:val="0"/>
                    <w:jc w:val="center"/>
                    <w:rPr>
                      <w:color w:val="auto"/>
                      <w:szCs w:val="21"/>
                      <w:highlight w:val="none"/>
                    </w:rPr>
                  </w:pPr>
                </w:p>
              </w:tc>
              <w:tc>
                <w:tcPr>
                  <w:tcW w:w="6848" w:type="dxa"/>
                  <w:noWrap w:val="0"/>
                  <w:vAlign w:val="center"/>
                </w:tcPr>
                <w:p>
                  <w:pPr>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在原料储存装置底部设置托盘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67" w:hRule="atLeast"/>
                <w:jc w:val="center"/>
              </w:trPr>
              <w:tc>
                <w:tcPr>
                  <w:tcW w:w="1131" w:type="dxa"/>
                  <w:noWrap w:val="0"/>
                  <w:vAlign w:val="center"/>
                </w:tcPr>
                <w:p>
                  <w:pPr>
                    <w:snapToGrid w:val="0"/>
                    <w:jc w:val="center"/>
                    <w:rPr>
                      <w:rFonts w:hint="eastAsia"/>
                      <w:color w:val="auto"/>
                      <w:szCs w:val="21"/>
                      <w:highlight w:val="none"/>
                    </w:rPr>
                  </w:pPr>
                  <w:r>
                    <w:rPr>
                      <w:rFonts w:hint="eastAsia"/>
                      <w:color w:val="auto"/>
                      <w:szCs w:val="21"/>
                      <w:highlight w:val="none"/>
                    </w:rPr>
                    <w:t>厂区</w:t>
                  </w:r>
                </w:p>
              </w:tc>
              <w:tc>
                <w:tcPr>
                  <w:tcW w:w="6848" w:type="dxa"/>
                  <w:noWrap w:val="0"/>
                  <w:vAlign w:val="center"/>
                </w:tcPr>
                <w:p>
                  <w:pPr>
                    <w:snapToGrid w:val="0"/>
                    <w:jc w:val="center"/>
                    <w:rPr>
                      <w:color w:val="auto"/>
                      <w:szCs w:val="21"/>
                      <w:highlight w:val="none"/>
                    </w:rPr>
                  </w:pPr>
                  <w:r>
                    <w:rPr>
                      <w:color w:val="auto"/>
                      <w:szCs w:val="21"/>
                      <w:highlight w:val="none"/>
                    </w:rPr>
                    <w:t>设置环保安全管理机构，建立环保安全管理制度，加强人员培训，预防环保、安全事故发生</w:t>
                  </w:r>
                </w:p>
              </w:tc>
            </w:tr>
          </w:tbl>
          <w:p>
            <w:pPr>
              <w:spacing w:line="360" w:lineRule="auto"/>
              <w:ind w:firstLine="480" w:firstLineChars="200"/>
              <w:rPr>
                <w:rFonts w:hint="eastAsia" w:ascii="Times New Roman" w:hAnsi="Times New Roman" w:eastAsia="宋体" w:cs="Times New Roman"/>
                <w:color w:val="auto"/>
                <w:sz w:val="24"/>
                <w:highlight w:val="none"/>
                <w:lang w:val="zh-CN"/>
              </w:rPr>
            </w:pPr>
            <w:r>
              <w:rPr>
                <w:rFonts w:hint="eastAsia" w:ascii="Times New Roman" w:hAnsi="Times New Roman" w:eastAsia="宋体" w:cs="Times New Roman"/>
                <w:color w:val="auto"/>
                <w:sz w:val="24"/>
                <w:highlight w:val="none"/>
                <w:lang w:val="zh-CN"/>
              </w:rPr>
              <w:t>（</w:t>
            </w:r>
            <w:r>
              <w:rPr>
                <w:rFonts w:hint="eastAsia" w:ascii="Times New Roman" w:hAnsi="Times New Roman" w:eastAsia="宋体" w:cs="Times New Roman"/>
                <w:color w:val="auto"/>
                <w:sz w:val="24"/>
                <w:highlight w:val="none"/>
                <w:lang w:val="en-US" w:eastAsia="zh-CN"/>
              </w:rPr>
              <w:t>4</w:t>
            </w:r>
            <w:r>
              <w:rPr>
                <w:rFonts w:hint="eastAsia" w:ascii="Times New Roman" w:hAnsi="Times New Roman" w:eastAsia="宋体" w:cs="Times New Roman"/>
                <w:color w:val="auto"/>
                <w:sz w:val="24"/>
                <w:highlight w:val="none"/>
                <w:lang w:val="zh-CN"/>
              </w:rPr>
              <w:t>）风险评价结论</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zh-CN"/>
              </w:rPr>
              <w:t>综上所述，项目风险物质厂区储存量较小，对周围环境及人群带来的环境风险较小，在建设单位严格落实各项风险防范措施和风险应急预案的前提下，项目的环境风险可防可控，项目建设是可行的。</w:t>
            </w:r>
          </w:p>
          <w:p>
            <w:pPr>
              <w:spacing w:line="360" w:lineRule="auto"/>
              <w:ind w:firstLine="480" w:firstLineChars="200"/>
              <w:rPr>
                <w:rFonts w:hint="eastAsia" w:ascii="Times New Roman" w:hAnsi="Times New Roman" w:eastAsia="宋体" w:cs="Times New Roman"/>
                <w:color w:val="auto"/>
                <w:sz w:val="24"/>
                <w:highlight w:val="none"/>
                <w:lang w:val="zh-CN"/>
              </w:rPr>
            </w:pPr>
            <w:r>
              <w:rPr>
                <w:rFonts w:hint="eastAsia" w:ascii="Times New Roman" w:hAnsi="Times New Roman" w:eastAsia="宋体" w:cs="Times New Roman"/>
                <w:color w:val="auto"/>
                <w:sz w:val="24"/>
                <w:highlight w:val="none"/>
                <w:lang w:val="en-US" w:eastAsia="zh-CN"/>
              </w:rPr>
              <w:t>8</w:t>
            </w:r>
            <w:r>
              <w:rPr>
                <w:rFonts w:hint="eastAsia" w:ascii="Times New Roman" w:hAnsi="Times New Roman" w:eastAsia="宋体" w:cs="Times New Roman"/>
                <w:color w:val="auto"/>
                <w:sz w:val="24"/>
                <w:highlight w:val="none"/>
                <w:lang w:val="zh-CN"/>
              </w:rPr>
              <w:t>、电磁辐射</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zh-CN"/>
              </w:rPr>
              <w:t>项目不涉及射线设备，不涉及电磁辐射。</w:t>
            </w:r>
          </w:p>
        </w:tc>
      </w:tr>
    </w:tbl>
    <w:p>
      <w:pPr>
        <w:pStyle w:val="6"/>
        <w:rPr>
          <w:color w:val="auto"/>
        </w:rPr>
        <w:sectPr>
          <w:pgSz w:w="11906" w:h="16838"/>
          <w:pgMar w:top="1440" w:right="1800" w:bottom="1440" w:left="1800" w:header="851" w:footer="992" w:gutter="0"/>
          <w:pgNumType w:fmt="decimal"/>
          <w:cols w:space="425" w:num="1"/>
          <w:docGrid w:type="lines" w:linePitch="312" w:charSpace="0"/>
        </w:sectPr>
      </w:pPr>
    </w:p>
    <w:p>
      <w:pPr>
        <w:pStyle w:val="13"/>
        <w:jc w:val="center"/>
        <w:outlineLvl w:val="0"/>
        <w:rPr>
          <w:rFonts w:ascii="Times New Roman" w:hAnsi="Times New Roman"/>
          <w:snapToGrid w:val="0"/>
          <w:color w:val="auto"/>
          <w:sz w:val="30"/>
          <w:szCs w:val="30"/>
          <w:highlight w:val="none"/>
        </w:rPr>
      </w:pPr>
      <w:r>
        <w:rPr>
          <w:rFonts w:ascii="Times New Roman" w:hAnsi="Times New Roman"/>
          <w:snapToGrid w:val="0"/>
          <w:color w:val="auto"/>
          <w:sz w:val="30"/>
          <w:szCs w:val="30"/>
          <w:highlight w:val="none"/>
        </w:rPr>
        <w:t>五、</w:t>
      </w:r>
      <w:bookmarkStart w:id="3" w:name="_Hlk54167917"/>
      <w:r>
        <w:rPr>
          <w:rFonts w:ascii="Times New Roman" w:hAnsi="Times New Roman"/>
          <w:snapToGrid w:val="0"/>
          <w:color w:val="auto"/>
          <w:sz w:val="30"/>
          <w:szCs w:val="30"/>
          <w:highlight w:val="none"/>
        </w:rPr>
        <w:t>环境保护措施监督检查清单</w:t>
      </w:r>
      <w:bookmarkEnd w:id="3"/>
    </w:p>
    <w:tbl>
      <w:tblPr>
        <w:tblStyle w:val="15"/>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332"/>
        <w:gridCol w:w="1283"/>
        <w:gridCol w:w="3455"/>
        <w:gridCol w:w="165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1080" w:type="dxa"/>
            <w:tcBorders>
              <w:tl2br w:val="single" w:color="auto" w:sz="4" w:space="0"/>
            </w:tcBorders>
            <w:noWrap w:val="0"/>
            <w:vAlign w:val="top"/>
          </w:tcPr>
          <w:p>
            <w:pPr>
              <w:adjustRightInd w:val="0"/>
              <w:snapToGrid w:val="0"/>
              <w:ind w:firstLine="420" w:firstLineChars="200"/>
              <w:rPr>
                <w:color w:val="auto"/>
                <w:sz w:val="21"/>
                <w:szCs w:val="21"/>
                <w:highlight w:val="none"/>
              </w:rPr>
            </w:pPr>
            <w:r>
              <w:rPr>
                <w:color w:val="auto"/>
                <w:sz w:val="21"/>
                <w:szCs w:val="21"/>
                <w:highlight w:val="none"/>
              </w:rPr>
              <w:t>内容</w:t>
            </w:r>
          </w:p>
          <w:p>
            <w:pPr>
              <w:adjustRightInd w:val="0"/>
              <w:snapToGrid w:val="0"/>
              <w:rPr>
                <w:color w:val="auto"/>
                <w:sz w:val="21"/>
                <w:szCs w:val="21"/>
                <w:highlight w:val="none"/>
              </w:rPr>
            </w:pPr>
            <w:r>
              <w:rPr>
                <w:color w:val="auto"/>
                <w:sz w:val="21"/>
                <w:szCs w:val="21"/>
                <w:highlight w:val="none"/>
              </w:rPr>
              <w:t>要素</w:t>
            </w:r>
          </w:p>
        </w:tc>
        <w:tc>
          <w:tcPr>
            <w:tcW w:w="1332" w:type="dxa"/>
            <w:noWrap w:val="0"/>
            <w:vAlign w:val="center"/>
          </w:tcPr>
          <w:p>
            <w:pPr>
              <w:adjustRightInd w:val="0"/>
              <w:snapToGrid w:val="0"/>
              <w:jc w:val="center"/>
              <w:rPr>
                <w:color w:val="auto"/>
                <w:sz w:val="21"/>
                <w:szCs w:val="21"/>
                <w:highlight w:val="none"/>
              </w:rPr>
            </w:pPr>
            <w:r>
              <w:rPr>
                <w:color w:val="auto"/>
                <w:sz w:val="21"/>
                <w:szCs w:val="21"/>
                <w:highlight w:val="none"/>
              </w:rPr>
              <w:t>排放口(编号、名称)/污染源</w:t>
            </w:r>
          </w:p>
        </w:tc>
        <w:tc>
          <w:tcPr>
            <w:tcW w:w="1283" w:type="dxa"/>
            <w:noWrap w:val="0"/>
            <w:vAlign w:val="center"/>
          </w:tcPr>
          <w:p>
            <w:pPr>
              <w:adjustRightInd w:val="0"/>
              <w:snapToGrid w:val="0"/>
              <w:jc w:val="center"/>
              <w:rPr>
                <w:color w:val="auto"/>
                <w:sz w:val="21"/>
                <w:szCs w:val="21"/>
                <w:highlight w:val="none"/>
              </w:rPr>
            </w:pPr>
            <w:r>
              <w:rPr>
                <w:color w:val="auto"/>
                <w:sz w:val="21"/>
                <w:szCs w:val="21"/>
                <w:highlight w:val="none"/>
              </w:rPr>
              <w:t>污染物项目</w:t>
            </w:r>
          </w:p>
        </w:tc>
        <w:tc>
          <w:tcPr>
            <w:tcW w:w="3455" w:type="dxa"/>
            <w:noWrap w:val="0"/>
            <w:vAlign w:val="center"/>
          </w:tcPr>
          <w:p>
            <w:pPr>
              <w:adjustRightInd w:val="0"/>
              <w:snapToGrid w:val="0"/>
              <w:jc w:val="center"/>
              <w:rPr>
                <w:color w:val="auto"/>
                <w:sz w:val="21"/>
                <w:szCs w:val="21"/>
                <w:highlight w:val="none"/>
              </w:rPr>
            </w:pPr>
            <w:r>
              <w:rPr>
                <w:color w:val="auto"/>
                <w:sz w:val="21"/>
                <w:szCs w:val="21"/>
                <w:highlight w:val="none"/>
              </w:rPr>
              <w:t>环境保护措施</w:t>
            </w:r>
          </w:p>
        </w:tc>
        <w:tc>
          <w:tcPr>
            <w:tcW w:w="1650" w:type="dxa"/>
            <w:noWrap w:val="0"/>
            <w:vAlign w:val="center"/>
          </w:tcPr>
          <w:p>
            <w:pPr>
              <w:adjustRightInd w:val="0"/>
              <w:snapToGrid w:val="0"/>
              <w:jc w:val="center"/>
              <w:rPr>
                <w:color w:val="auto"/>
                <w:sz w:val="21"/>
                <w:szCs w:val="21"/>
                <w:highlight w:val="none"/>
              </w:rPr>
            </w:pPr>
            <w:r>
              <w:rPr>
                <w:color w:val="auto"/>
                <w:sz w:val="21"/>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080" w:type="dxa"/>
            <w:vMerge w:val="restart"/>
            <w:noWrap w:val="0"/>
            <w:vAlign w:val="center"/>
          </w:tcPr>
          <w:p>
            <w:pPr>
              <w:adjustRightInd w:val="0"/>
              <w:snapToGrid w:val="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大气环境</w:t>
            </w:r>
          </w:p>
        </w:tc>
        <w:tc>
          <w:tcPr>
            <w:tcW w:w="1332" w:type="dxa"/>
            <w:vMerge w:val="restart"/>
            <w:noWrap w:val="0"/>
            <w:vAlign w:val="center"/>
          </w:tcPr>
          <w:p>
            <w:pPr>
              <w:adjustRightInd w:val="0"/>
              <w:snapToGrid w:val="0"/>
              <w:jc w:val="center"/>
              <w:rPr>
                <w:rFonts w:hint="default"/>
                <w:color w:val="auto"/>
                <w:sz w:val="21"/>
                <w:szCs w:val="21"/>
                <w:highlight w:val="none"/>
                <w:lang w:val="en-US" w:eastAsia="zh-CN"/>
              </w:rPr>
            </w:pPr>
            <w:r>
              <w:rPr>
                <w:rFonts w:hint="eastAsia"/>
                <w:color w:val="auto"/>
                <w:sz w:val="21"/>
                <w:szCs w:val="21"/>
                <w:highlight w:val="none"/>
                <w:lang w:val="en-US" w:eastAsia="zh-CN"/>
              </w:rPr>
              <w:t>挤塑废气</w:t>
            </w:r>
          </w:p>
        </w:tc>
        <w:tc>
          <w:tcPr>
            <w:tcW w:w="128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非甲烷总烃</w:t>
            </w:r>
          </w:p>
        </w:tc>
        <w:tc>
          <w:tcPr>
            <w:tcW w:w="3455" w:type="dxa"/>
            <w:vMerge w:val="restart"/>
            <w:noWrap w:val="0"/>
            <w:vAlign w:val="center"/>
          </w:tcPr>
          <w:p>
            <w:pPr>
              <w:adjustRightInd w:val="0"/>
              <w:snapToGrid w:val="0"/>
              <w:spacing w:line="240" w:lineRule="auto"/>
              <w:jc w:val="center"/>
              <w:rPr>
                <w:rFonts w:hint="eastAsia" w:cs="Times New Roman"/>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经各自集气罩收集后共</w:t>
            </w:r>
            <w:r>
              <w:rPr>
                <w:rFonts w:hint="eastAsia" w:ascii="Times New Roman" w:hAnsi="Times New Roman" w:eastAsia="宋体" w:cs="Times New Roman"/>
                <w:bCs/>
                <w:color w:val="auto"/>
                <w:sz w:val="21"/>
                <w:szCs w:val="21"/>
                <w:highlight w:val="none"/>
                <w:lang w:val="en-US" w:eastAsia="zh-CN"/>
              </w:rPr>
              <w:t>用</w:t>
            </w:r>
            <w:r>
              <w:rPr>
                <w:rFonts w:hint="eastAsia" w:ascii="Times New Roman" w:hAnsi="Times New Roman" w:cs="Times New Roman"/>
                <w:bCs/>
                <w:color w:val="auto"/>
                <w:sz w:val="21"/>
                <w:szCs w:val="21"/>
                <w:highlight w:val="none"/>
                <w:lang w:val="en-US" w:eastAsia="zh-CN"/>
              </w:rPr>
              <w:t>一套</w:t>
            </w:r>
            <w:r>
              <w:rPr>
                <w:rFonts w:hint="eastAsia" w:ascii="Times New Roman" w:hAnsi="Times New Roman" w:eastAsia="宋体" w:cs="Times New Roman"/>
                <w:bCs/>
                <w:color w:val="auto"/>
                <w:sz w:val="21"/>
                <w:szCs w:val="21"/>
                <w:highlight w:val="none"/>
                <w:lang w:val="en-US" w:eastAsia="zh-CN"/>
              </w:rPr>
              <w:t>“</w:t>
            </w:r>
            <w:r>
              <w:rPr>
                <w:rFonts w:hint="eastAsia" w:eastAsia="宋体" w:cs="Times New Roman"/>
                <w:bCs/>
                <w:color w:val="auto"/>
                <w:sz w:val="21"/>
                <w:szCs w:val="21"/>
                <w:highlight w:val="none"/>
                <w:lang w:val="en-US" w:eastAsia="zh-CN"/>
              </w:rPr>
              <w:t>过滤棉+</w:t>
            </w:r>
            <w:r>
              <w:rPr>
                <w:rFonts w:hint="eastAsia" w:ascii="Times New Roman" w:hAnsi="Times New Roman" w:eastAsia="宋体" w:cs="Times New Roman"/>
                <w:color w:val="auto"/>
                <w:sz w:val="21"/>
                <w:szCs w:val="21"/>
                <w:highlight w:val="none"/>
                <w:lang w:val="en-US" w:eastAsia="zh-CN"/>
              </w:rPr>
              <w:t>uv光解+两级活性炭</w:t>
            </w:r>
            <w:r>
              <w:rPr>
                <w:rFonts w:hint="eastAsia" w:ascii="Times New Roman" w:hAnsi="Times New Roman" w:cs="Times New Roman"/>
                <w:color w:val="auto"/>
                <w:sz w:val="21"/>
                <w:szCs w:val="21"/>
                <w:highlight w:val="none"/>
                <w:lang w:val="en-US" w:eastAsia="zh-CN"/>
              </w:rPr>
              <w:t>吸附</w:t>
            </w:r>
            <w:r>
              <w:rPr>
                <w:rFonts w:hint="eastAsia" w:ascii="Times New Roman" w:hAnsi="Times New Roman" w:eastAsia="宋体" w:cs="Times New Roman"/>
                <w:bCs/>
                <w:color w:val="auto"/>
                <w:sz w:val="21"/>
                <w:szCs w:val="21"/>
                <w:highlight w:val="none"/>
                <w:lang w:val="en-US" w:eastAsia="zh-CN"/>
              </w:rPr>
              <w:t>”</w:t>
            </w:r>
            <w:r>
              <w:rPr>
                <w:rFonts w:hint="eastAsia" w:ascii="Times New Roman" w:hAnsi="Times New Roman" w:cs="Times New Roman"/>
                <w:bCs/>
                <w:color w:val="auto"/>
                <w:sz w:val="21"/>
                <w:szCs w:val="21"/>
                <w:highlight w:val="none"/>
                <w:lang w:val="en-US" w:eastAsia="zh-CN"/>
              </w:rPr>
              <w:t>装置</w:t>
            </w:r>
            <w:r>
              <w:rPr>
                <w:rFonts w:hint="eastAsia" w:ascii="Times New Roman" w:hAnsi="Times New Roman" w:eastAsia="宋体" w:cs="Times New Roman"/>
                <w:bCs/>
                <w:color w:val="auto"/>
                <w:sz w:val="21"/>
                <w:szCs w:val="21"/>
                <w:highlight w:val="none"/>
                <w:lang w:val="en-US" w:eastAsia="zh-CN"/>
              </w:rPr>
              <w:t>处理达标后排放</w:t>
            </w:r>
          </w:p>
        </w:tc>
        <w:tc>
          <w:tcPr>
            <w:tcW w:w="1650" w:type="dxa"/>
            <w:vMerge w:val="restart"/>
            <w:noWrap w:val="0"/>
            <w:vAlign w:val="center"/>
          </w:tcPr>
          <w:p>
            <w:pPr>
              <w:adjustRightInd w:val="0"/>
              <w:snapToGrid w:val="0"/>
              <w:jc w:val="center"/>
              <w:rPr>
                <w:color w:val="auto"/>
                <w:sz w:val="21"/>
                <w:szCs w:val="21"/>
                <w:highlight w:val="none"/>
                <w:shd w:val="clear" w:color="auto" w:fill="FFFFFF"/>
              </w:rPr>
            </w:pPr>
            <w:r>
              <w:rPr>
                <w:rFonts w:hint="eastAsia" w:cs="Times New Roman"/>
                <w:color w:val="auto"/>
                <w:kern w:val="2"/>
                <w:sz w:val="21"/>
                <w:szCs w:val="21"/>
                <w:highlight w:val="none"/>
                <w:vertAlign w:val="baseline"/>
                <w:lang w:val="en-US" w:eastAsia="zh-CN"/>
              </w:rPr>
              <w:t>《合成树脂工业污染物排放标准》（GB31572-2015）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08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rPr>
            </w:pPr>
          </w:p>
        </w:tc>
        <w:tc>
          <w:tcPr>
            <w:tcW w:w="1332"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rPr>
            </w:pPr>
          </w:p>
        </w:tc>
        <w:tc>
          <w:tcPr>
            <w:tcW w:w="128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w:t>
            </w:r>
          </w:p>
        </w:tc>
        <w:tc>
          <w:tcPr>
            <w:tcW w:w="3455"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65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080" w:type="dxa"/>
            <w:vMerge w:val="continue"/>
            <w:noWrap w:val="0"/>
            <w:vAlign w:val="center"/>
          </w:tcPr>
          <w:p>
            <w:pPr>
              <w:adjustRightInd w:val="0"/>
              <w:snapToGrid w:val="0"/>
              <w:jc w:val="center"/>
              <w:rPr>
                <w:rFonts w:hint="eastAsia"/>
                <w:color w:val="auto"/>
                <w:sz w:val="21"/>
                <w:szCs w:val="21"/>
                <w:highlight w:val="none"/>
                <w:lang w:val="en-US" w:eastAsia="zh-CN"/>
              </w:rPr>
            </w:pPr>
          </w:p>
        </w:tc>
        <w:tc>
          <w:tcPr>
            <w:tcW w:w="1332" w:type="dxa"/>
            <w:noWrap w:val="0"/>
            <w:vAlign w:val="center"/>
          </w:tcPr>
          <w:p>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吸塑废气</w:t>
            </w:r>
          </w:p>
        </w:tc>
        <w:tc>
          <w:tcPr>
            <w:tcW w:w="128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非甲烷总烃</w:t>
            </w:r>
          </w:p>
        </w:tc>
        <w:tc>
          <w:tcPr>
            <w:tcW w:w="3455" w:type="dxa"/>
            <w:vMerge w:val="continue"/>
            <w:noWrap w:val="0"/>
            <w:vAlign w:val="center"/>
          </w:tcPr>
          <w:p>
            <w:pPr>
              <w:adjustRightInd w:val="0"/>
              <w:snapToGrid w:val="0"/>
              <w:spacing w:line="240" w:lineRule="auto"/>
              <w:jc w:val="center"/>
              <w:rPr>
                <w:rFonts w:hint="eastAsia" w:cs="Times New Roman"/>
                <w:color w:val="auto"/>
                <w:sz w:val="21"/>
                <w:szCs w:val="21"/>
                <w:highlight w:val="none"/>
                <w:lang w:val="en-US" w:eastAsia="zh-CN"/>
              </w:rPr>
            </w:pPr>
          </w:p>
        </w:tc>
        <w:tc>
          <w:tcPr>
            <w:tcW w:w="1650" w:type="dxa"/>
            <w:vMerge w:val="continue"/>
            <w:noWrap w:val="0"/>
            <w:vAlign w:val="center"/>
          </w:tcPr>
          <w:p>
            <w:pPr>
              <w:adjustRightInd w:val="0"/>
              <w:snapToGrid w:val="0"/>
              <w:jc w:val="center"/>
              <w:rPr>
                <w:rFonts w:hint="eastAsia" w:eastAsia="宋体" w:cs="Times New Roman"/>
                <w:color w:val="auto"/>
                <w:kern w:val="2"/>
                <w:sz w:val="21"/>
                <w:szCs w:val="21"/>
                <w:highlight w:val="none"/>
                <w:vertAlign w:val="baseli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7" w:hRule="atLeast"/>
          <w:jc w:val="center"/>
        </w:trPr>
        <w:tc>
          <w:tcPr>
            <w:tcW w:w="1080" w:type="dxa"/>
            <w:noWrap w:val="0"/>
            <w:vAlign w:val="center"/>
          </w:tcPr>
          <w:p>
            <w:pPr>
              <w:adjustRightInd w:val="0"/>
              <w:snapToGrid w:val="0"/>
              <w:jc w:val="center"/>
              <w:rPr>
                <w:color w:val="auto"/>
                <w:sz w:val="21"/>
                <w:szCs w:val="21"/>
                <w:highlight w:val="none"/>
              </w:rPr>
            </w:pPr>
            <w:r>
              <w:rPr>
                <w:color w:val="auto"/>
                <w:sz w:val="21"/>
                <w:szCs w:val="21"/>
                <w:highlight w:val="none"/>
              </w:rPr>
              <w:t>地表水</w:t>
            </w:r>
          </w:p>
          <w:p>
            <w:pPr>
              <w:adjustRightInd w:val="0"/>
              <w:snapToGrid w:val="0"/>
              <w:jc w:val="center"/>
              <w:rPr>
                <w:color w:val="auto"/>
                <w:sz w:val="21"/>
                <w:szCs w:val="21"/>
                <w:highlight w:val="none"/>
              </w:rPr>
            </w:pPr>
            <w:r>
              <w:rPr>
                <w:color w:val="auto"/>
                <w:sz w:val="21"/>
                <w:szCs w:val="21"/>
                <w:highlight w:val="none"/>
              </w:rPr>
              <w:t>环境</w:t>
            </w:r>
          </w:p>
        </w:tc>
        <w:tc>
          <w:tcPr>
            <w:tcW w:w="1332" w:type="dxa"/>
            <w:noWrap w:val="0"/>
            <w:vAlign w:val="center"/>
          </w:tcPr>
          <w:p>
            <w:pPr>
              <w:adjustRightInd w:val="0"/>
              <w:snapToGrid w:val="0"/>
              <w:jc w:val="center"/>
              <w:rPr>
                <w:rFonts w:hint="default" w:eastAsia="宋体"/>
                <w:color w:val="auto"/>
                <w:sz w:val="21"/>
                <w:szCs w:val="21"/>
                <w:highlight w:val="none"/>
                <w:lang w:val="en-US" w:eastAsia="zh-CN"/>
              </w:rPr>
            </w:pPr>
            <w:r>
              <w:rPr>
                <w:rFonts w:hint="eastAsia" w:cs="Times New Roman"/>
                <w:color w:val="auto"/>
                <w:kern w:val="0"/>
                <w:sz w:val="21"/>
                <w:szCs w:val="21"/>
                <w:lang w:val="en-US" w:eastAsia="zh-CN"/>
              </w:rPr>
              <w:t>综合废水</w:t>
            </w:r>
          </w:p>
        </w:tc>
        <w:tc>
          <w:tcPr>
            <w:tcW w:w="1283" w:type="dxa"/>
            <w:noWrap w:val="0"/>
            <w:vAlign w:val="center"/>
          </w:tcPr>
          <w:p>
            <w:pPr>
              <w:adjustRightInd w:val="0"/>
              <w:snapToGrid w:val="0"/>
              <w:jc w:val="center"/>
              <w:rPr>
                <w:rFonts w:hint="default" w:eastAsia="宋体"/>
                <w:color w:val="auto"/>
                <w:sz w:val="21"/>
                <w:szCs w:val="21"/>
                <w:highlight w:val="none"/>
                <w:lang w:val="en-US" w:eastAsia="zh-CN"/>
              </w:rPr>
            </w:pPr>
            <w:r>
              <w:rPr>
                <w:color w:val="auto"/>
                <w:sz w:val="21"/>
                <w:szCs w:val="21"/>
                <w:highlight w:val="none"/>
              </w:rPr>
              <w:t>pH、COD、BOD</w:t>
            </w:r>
            <w:r>
              <w:rPr>
                <w:color w:val="auto"/>
                <w:sz w:val="21"/>
                <w:szCs w:val="21"/>
                <w:highlight w:val="none"/>
                <w:vertAlign w:val="subscript"/>
              </w:rPr>
              <w:t>5</w:t>
            </w:r>
            <w:r>
              <w:rPr>
                <w:color w:val="auto"/>
                <w:sz w:val="21"/>
                <w:szCs w:val="21"/>
                <w:highlight w:val="none"/>
              </w:rPr>
              <w:t>、SS、氨氮</w:t>
            </w:r>
            <w:r>
              <w:rPr>
                <w:rFonts w:hint="eastAsia"/>
                <w:color w:val="auto"/>
                <w:sz w:val="21"/>
                <w:szCs w:val="21"/>
                <w:highlight w:val="none"/>
                <w:lang w:eastAsia="zh-CN"/>
              </w:rPr>
              <w:t>、</w:t>
            </w:r>
            <w:r>
              <w:rPr>
                <w:rFonts w:hint="eastAsia"/>
                <w:color w:val="auto"/>
                <w:sz w:val="21"/>
                <w:szCs w:val="21"/>
                <w:highlight w:val="none"/>
                <w:lang w:val="en-US" w:eastAsia="zh-CN"/>
              </w:rPr>
              <w:t>石油类</w:t>
            </w:r>
          </w:p>
        </w:tc>
        <w:tc>
          <w:tcPr>
            <w:tcW w:w="3455" w:type="dxa"/>
            <w:noWrap w:val="0"/>
            <w:vAlign w:val="center"/>
          </w:tcPr>
          <w:p>
            <w:pPr>
              <w:adjustRightInd w:val="0"/>
              <w:snapToGrid w:val="0"/>
              <w:spacing w:line="240" w:lineRule="auto"/>
              <w:rPr>
                <w:rFonts w:hint="default"/>
                <w:color w:val="auto"/>
                <w:sz w:val="21"/>
                <w:szCs w:val="21"/>
                <w:highlight w:val="none"/>
                <w:lang w:val="en-US"/>
              </w:rPr>
            </w:pPr>
            <w:r>
              <w:rPr>
                <w:rFonts w:hint="default" w:ascii="Times New Roman" w:hAnsi="Times New Roman" w:eastAsia="宋体" w:cs="Times New Roman"/>
                <w:color w:val="auto"/>
                <w:kern w:val="0"/>
                <w:sz w:val="21"/>
                <w:szCs w:val="21"/>
                <w:highlight w:val="none"/>
                <w:lang w:bidi="ar"/>
              </w:rPr>
              <w:t>雨污</w:t>
            </w:r>
            <w:r>
              <w:rPr>
                <w:rFonts w:hint="default" w:ascii="Times New Roman" w:hAnsi="Times New Roman" w:cs="Times New Roman"/>
                <w:color w:val="auto"/>
                <w:kern w:val="0"/>
                <w:sz w:val="21"/>
                <w:szCs w:val="21"/>
                <w:highlight w:val="none"/>
                <w:lang w:bidi="ar"/>
              </w:rPr>
              <w:t>分流</w:t>
            </w:r>
            <w:r>
              <w:rPr>
                <w:rFonts w:hint="default" w:ascii="Times New Roman" w:hAnsi="Times New Roman" w:cs="Times New Roman"/>
                <w:color w:val="auto"/>
                <w:kern w:val="0"/>
                <w:sz w:val="21"/>
                <w:szCs w:val="21"/>
                <w:highlight w:val="none"/>
                <w:lang w:val="en-US" w:eastAsia="zh-CN" w:bidi="ar"/>
              </w:rPr>
              <w:t>制</w:t>
            </w:r>
            <w:r>
              <w:rPr>
                <w:rFonts w:hint="default" w:ascii="Times New Roman" w:hAnsi="Times New Roman" w:cs="Times New Roman"/>
                <w:color w:val="auto"/>
                <w:kern w:val="0"/>
                <w:sz w:val="21"/>
                <w:szCs w:val="21"/>
                <w:highlight w:val="none"/>
                <w:lang w:bidi="ar"/>
              </w:rPr>
              <w:t>，</w:t>
            </w:r>
            <w:r>
              <w:rPr>
                <w:rFonts w:hint="default" w:ascii="Times New Roman" w:hAnsi="Times New Roman" w:cs="Times New Roman"/>
                <w:color w:val="auto"/>
                <w:kern w:val="0"/>
                <w:sz w:val="21"/>
                <w:szCs w:val="21"/>
                <w:highlight w:val="none"/>
                <w:lang w:val="en-US" w:eastAsia="zh-CN" w:bidi="ar"/>
              </w:rPr>
              <w:t>雨水经厂区雨水管网进入</w:t>
            </w:r>
            <w:r>
              <w:rPr>
                <w:rFonts w:hint="eastAsia" w:cs="Times New Roman"/>
                <w:color w:val="auto"/>
                <w:kern w:val="0"/>
                <w:sz w:val="21"/>
                <w:szCs w:val="21"/>
                <w:highlight w:val="none"/>
                <w:lang w:val="en-US" w:eastAsia="zh-CN" w:bidi="ar"/>
              </w:rPr>
              <w:t>市政</w:t>
            </w:r>
            <w:r>
              <w:rPr>
                <w:rFonts w:hint="default" w:ascii="Times New Roman" w:hAnsi="Times New Roman" w:cs="Times New Roman"/>
                <w:color w:val="auto"/>
                <w:kern w:val="0"/>
                <w:sz w:val="21"/>
                <w:szCs w:val="21"/>
                <w:highlight w:val="none"/>
                <w:lang w:val="en-US" w:eastAsia="zh-CN" w:bidi="ar"/>
              </w:rPr>
              <w:t>雨水管网；</w:t>
            </w:r>
            <w:r>
              <w:rPr>
                <w:rFonts w:hint="eastAsia" w:cs="Times New Roman"/>
                <w:color w:val="auto"/>
                <w:kern w:val="0"/>
                <w:sz w:val="21"/>
                <w:szCs w:val="21"/>
                <w:highlight w:val="none"/>
                <w:lang w:val="en-US" w:eastAsia="zh-CN" w:bidi="ar"/>
              </w:rPr>
              <w:t>空压机含油废水</w:t>
            </w:r>
            <w:r>
              <w:rPr>
                <w:rFonts w:hint="eastAsia" w:cs="Times New Roman"/>
                <w:color w:val="auto"/>
                <w:kern w:val="0"/>
                <w:sz w:val="21"/>
                <w:szCs w:val="21"/>
                <w:highlight w:val="none"/>
                <w:lang w:val="en-US" w:eastAsia="zh-CN"/>
              </w:rPr>
              <w:t>及地面清洁废水经油水分离器</w:t>
            </w:r>
            <w:r>
              <w:rPr>
                <w:rFonts w:hint="eastAsia"/>
                <w:color w:val="auto"/>
                <w:kern w:val="0"/>
                <w:szCs w:val="21"/>
                <w:highlight w:val="none"/>
                <w:lang w:val="en-US" w:eastAsia="zh-CN" w:bidi="ar"/>
              </w:rPr>
              <w:t>（处理规模2</w:t>
            </w:r>
            <w:r>
              <w:rPr>
                <w:rFonts w:hint="eastAsia" w:ascii="Times New Roman" w:hAnsi="Times New Roman" w:cs="Times New Roman"/>
                <w:color w:val="auto"/>
                <w:sz w:val="21"/>
                <w:szCs w:val="21"/>
                <w:highlight w:val="none"/>
                <w:lang w:val="en-US" w:eastAsia="zh-CN"/>
              </w:rPr>
              <w:t>m</w:t>
            </w:r>
            <w:r>
              <w:rPr>
                <w:rFonts w:hint="eastAsia"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lang w:val="en-US" w:eastAsia="zh-CN"/>
              </w:rPr>
              <w:t>/d</w:t>
            </w:r>
            <w:r>
              <w:rPr>
                <w:rFonts w:hint="eastAsia"/>
                <w:color w:val="auto"/>
                <w:kern w:val="0"/>
                <w:szCs w:val="21"/>
                <w:highlight w:val="none"/>
                <w:lang w:val="en-US" w:eastAsia="zh-CN" w:bidi="ar"/>
              </w:rPr>
              <w:t>）</w:t>
            </w:r>
            <w:r>
              <w:rPr>
                <w:rFonts w:hint="eastAsia" w:cs="Times New Roman"/>
                <w:color w:val="auto"/>
                <w:kern w:val="0"/>
                <w:sz w:val="21"/>
                <w:szCs w:val="21"/>
                <w:highlight w:val="none"/>
                <w:lang w:val="en-US" w:eastAsia="zh-CN"/>
              </w:rPr>
              <w:t>处理后与生活污水一并进入厂区自建</w:t>
            </w:r>
            <w:r>
              <w:rPr>
                <w:rFonts w:hint="eastAsia" w:ascii="Times New Roman" w:hAnsi="Times New Roman" w:eastAsia="宋体" w:cs="Times New Roman"/>
                <w:color w:val="auto"/>
                <w:kern w:val="0"/>
                <w:sz w:val="21"/>
                <w:szCs w:val="21"/>
                <w:highlight w:val="none"/>
                <w:lang w:val="en-US" w:eastAsia="zh-CN"/>
              </w:rPr>
              <w:t>生化池（处理能力</w:t>
            </w:r>
            <w:r>
              <w:rPr>
                <w:rFonts w:hint="eastAsia" w:cs="Times New Roman"/>
                <w:color w:val="auto"/>
                <w:kern w:val="0"/>
                <w:sz w:val="21"/>
                <w:szCs w:val="21"/>
                <w:highlight w:val="none"/>
                <w:lang w:val="en-US" w:eastAsia="zh-CN"/>
              </w:rPr>
              <w:t>6</w:t>
            </w:r>
            <w:r>
              <w:rPr>
                <w:rFonts w:hint="eastAsia" w:ascii="Times New Roman" w:hAnsi="Times New Roman" w:eastAsia="宋体" w:cs="Times New Roman"/>
                <w:color w:val="auto"/>
                <w:kern w:val="0"/>
                <w:sz w:val="21"/>
                <w:szCs w:val="21"/>
                <w:highlight w:val="none"/>
                <w:lang w:val="en-US" w:eastAsia="zh-CN"/>
              </w:rPr>
              <w:t>m</w:t>
            </w:r>
            <w:r>
              <w:rPr>
                <w:rFonts w:hint="eastAsia" w:ascii="Times New Roman" w:hAnsi="Times New Roman" w:eastAsia="宋体" w:cs="Times New Roman"/>
                <w:color w:val="auto"/>
                <w:kern w:val="0"/>
                <w:sz w:val="21"/>
                <w:szCs w:val="21"/>
                <w:highlight w:val="none"/>
                <w:vertAlign w:val="superscript"/>
                <w:lang w:val="en-US" w:eastAsia="zh-CN"/>
              </w:rPr>
              <w:t>3</w:t>
            </w:r>
            <w:r>
              <w:rPr>
                <w:rFonts w:hint="eastAsia" w:ascii="Times New Roman" w:hAnsi="Times New Roman" w:eastAsia="宋体" w:cs="Times New Roman"/>
                <w:color w:val="auto"/>
                <w:kern w:val="0"/>
                <w:sz w:val="21"/>
                <w:szCs w:val="21"/>
                <w:highlight w:val="none"/>
                <w:lang w:val="en-US" w:eastAsia="zh-CN"/>
              </w:rPr>
              <w:t>/d）处理达</w:t>
            </w:r>
            <w:r>
              <w:rPr>
                <w:rFonts w:hint="default" w:ascii="Times New Roman" w:hAnsi="Times New Roman" w:eastAsia="宋体" w:cs="Times New Roman"/>
                <w:color w:val="auto"/>
                <w:kern w:val="0"/>
                <w:sz w:val="21"/>
                <w:szCs w:val="21"/>
                <w:highlight w:val="none"/>
                <w:lang w:val="en-US" w:eastAsia="zh-CN"/>
              </w:rPr>
              <w:t>《污水综合排放标准》（GB 8978-1996）三级后</w:t>
            </w:r>
            <w:r>
              <w:rPr>
                <w:rFonts w:hint="eastAsia" w:ascii="Times New Roman" w:hAnsi="Times New Roman" w:eastAsia="宋体" w:cs="Times New Roman"/>
                <w:color w:val="auto"/>
                <w:kern w:val="0"/>
                <w:sz w:val="21"/>
                <w:szCs w:val="21"/>
                <w:highlight w:val="none"/>
                <w:lang w:val="en-US" w:eastAsia="zh-CN"/>
              </w:rPr>
              <w:t>通过</w:t>
            </w:r>
            <w:r>
              <w:rPr>
                <w:rFonts w:hint="eastAsia" w:cs="Times New Roman"/>
                <w:color w:val="auto"/>
                <w:kern w:val="0"/>
                <w:sz w:val="21"/>
                <w:szCs w:val="21"/>
                <w:highlight w:val="none"/>
                <w:lang w:val="en-US" w:eastAsia="zh-CN"/>
              </w:rPr>
              <w:t>市政</w:t>
            </w:r>
            <w:r>
              <w:rPr>
                <w:rFonts w:hint="eastAsia" w:ascii="Times New Roman" w:hAnsi="Times New Roman" w:eastAsia="宋体" w:cs="Times New Roman"/>
                <w:color w:val="auto"/>
                <w:kern w:val="0"/>
                <w:sz w:val="21"/>
                <w:szCs w:val="21"/>
                <w:highlight w:val="none"/>
                <w:lang w:val="en-US" w:eastAsia="zh-CN"/>
              </w:rPr>
              <w:t>污水管网进入铜梁侣俸污水处理厂处理达《城镇污水处理厂污染物排放标准》（GB 18918-2002）一级B标后排至侣俸河</w:t>
            </w:r>
          </w:p>
        </w:tc>
        <w:tc>
          <w:tcPr>
            <w:tcW w:w="1650" w:type="dxa"/>
            <w:noWrap w:val="0"/>
            <w:vAlign w:val="center"/>
          </w:tcPr>
          <w:p>
            <w:pPr>
              <w:adjustRightInd w:val="0"/>
              <w:snapToGrid w:val="0"/>
              <w:jc w:val="center"/>
              <w:rPr>
                <w:rFonts w:hint="eastAsia" w:eastAsia="宋体"/>
                <w:color w:val="auto"/>
                <w:sz w:val="21"/>
                <w:szCs w:val="21"/>
                <w:highlight w:val="none"/>
                <w:lang w:eastAsia="zh-CN"/>
              </w:rPr>
            </w:pPr>
            <w:r>
              <w:rPr>
                <w:rFonts w:hint="default" w:ascii="Times New Roman" w:hAnsi="Times New Roman" w:cs="Times New Roman"/>
                <w:color w:val="auto"/>
                <w:kern w:val="0"/>
                <w:sz w:val="21"/>
                <w:szCs w:val="21"/>
                <w:highlight w:val="none"/>
                <w:lang w:val="en-US" w:eastAsia="zh-CN" w:bidi="ar"/>
              </w:rPr>
              <w:t>《污水综合排放标准》（GB8978-1996）三级标准</w:t>
            </w:r>
            <w:r>
              <w:rPr>
                <w:rFonts w:hint="eastAsia"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《城镇污水处理厂污染物排放标准》（GB 18918-2002）一级</w:t>
            </w:r>
            <w:r>
              <w:rPr>
                <w:rFonts w:hint="eastAsia" w:ascii="Times New Roman" w:hAnsi="Times New Roman" w:eastAsia="宋体" w:cs="Times New Roman"/>
                <w:color w:val="auto"/>
                <w:kern w:val="0"/>
                <w:sz w:val="21"/>
                <w:szCs w:val="21"/>
                <w:highlight w:val="none"/>
                <w:lang w:val="en-US" w:eastAsia="zh-CN" w:bidi="ar"/>
              </w:rPr>
              <w:t>B</w:t>
            </w:r>
            <w:r>
              <w:rPr>
                <w:rFonts w:hint="default" w:ascii="Times New Roman" w:hAnsi="Times New Roman" w:eastAsia="宋体" w:cs="Times New Roman"/>
                <w:color w:val="auto"/>
                <w:kern w:val="0"/>
                <w:sz w:val="21"/>
                <w:szCs w:val="21"/>
                <w:highlight w:val="none"/>
                <w:lang w:val="en-US" w:eastAsia="zh-CN" w:bidi="ar"/>
              </w:rPr>
              <w:t>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1080" w:type="dxa"/>
            <w:noWrap w:val="0"/>
            <w:vAlign w:val="center"/>
          </w:tcPr>
          <w:p>
            <w:pPr>
              <w:adjustRightInd w:val="0"/>
              <w:snapToGrid w:val="0"/>
              <w:jc w:val="center"/>
              <w:rPr>
                <w:color w:val="auto"/>
                <w:sz w:val="21"/>
                <w:szCs w:val="21"/>
                <w:highlight w:val="none"/>
              </w:rPr>
            </w:pPr>
            <w:r>
              <w:rPr>
                <w:color w:val="auto"/>
                <w:sz w:val="21"/>
                <w:szCs w:val="21"/>
                <w:highlight w:val="none"/>
              </w:rPr>
              <w:t>声环境</w:t>
            </w:r>
          </w:p>
        </w:tc>
        <w:tc>
          <w:tcPr>
            <w:tcW w:w="1332" w:type="dxa"/>
            <w:noWrap w:val="0"/>
            <w:vAlign w:val="center"/>
          </w:tcPr>
          <w:p>
            <w:pPr>
              <w:adjustRightInd w:val="0"/>
              <w:snapToGrid w:val="0"/>
              <w:jc w:val="center"/>
              <w:rPr>
                <w:color w:val="auto"/>
                <w:sz w:val="21"/>
                <w:szCs w:val="21"/>
                <w:highlight w:val="none"/>
              </w:rPr>
            </w:pPr>
            <w:r>
              <w:rPr>
                <w:color w:val="auto"/>
                <w:sz w:val="21"/>
                <w:szCs w:val="21"/>
                <w:highlight w:val="none"/>
              </w:rPr>
              <w:t>噪声</w:t>
            </w:r>
          </w:p>
        </w:tc>
        <w:tc>
          <w:tcPr>
            <w:tcW w:w="1283" w:type="dxa"/>
            <w:noWrap w:val="0"/>
            <w:vAlign w:val="center"/>
          </w:tcPr>
          <w:p>
            <w:pPr>
              <w:adjustRightInd w:val="0"/>
              <w:snapToGrid w:val="0"/>
              <w:jc w:val="center"/>
              <w:rPr>
                <w:color w:val="auto"/>
                <w:sz w:val="21"/>
                <w:szCs w:val="21"/>
                <w:highlight w:val="none"/>
              </w:rPr>
            </w:pPr>
            <w:r>
              <w:rPr>
                <w:color w:val="auto"/>
                <w:sz w:val="21"/>
                <w:szCs w:val="21"/>
                <w:highlight w:val="none"/>
              </w:rPr>
              <w:t>dB(A)</w:t>
            </w:r>
          </w:p>
        </w:tc>
        <w:tc>
          <w:tcPr>
            <w:tcW w:w="3455" w:type="dxa"/>
            <w:noWrap w:val="0"/>
            <w:vAlign w:val="center"/>
          </w:tcPr>
          <w:p>
            <w:pPr>
              <w:adjustRightInd w:val="0"/>
              <w:snapToGrid w:val="0"/>
              <w:jc w:val="center"/>
              <w:rPr>
                <w:color w:val="auto"/>
                <w:sz w:val="21"/>
                <w:szCs w:val="21"/>
                <w:highlight w:val="none"/>
              </w:rPr>
            </w:pPr>
            <w:r>
              <w:rPr>
                <w:color w:val="auto"/>
                <w:sz w:val="21"/>
                <w:szCs w:val="21"/>
                <w:highlight w:val="none"/>
              </w:rPr>
              <w:t>选用高效低噪设备，建筑降噪、</w:t>
            </w:r>
            <w:r>
              <w:rPr>
                <w:rFonts w:hint="eastAsia"/>
                <w:color w:val="auto"/>
                <w:sz w:val="21"/>
                <w:szCs w:val="21"/>
                <w:highlight w:val="none"/>
                <w:lang w:val="en-US" w:eastAsia="zh-CN"/>
              </w:rPr>
              <w:t>基础减振、距离衰减</w:t>
            </w:r>
            <w:r>
              <w:rPr>
                <w:color w:val="auto"/>
                <w:sz w:val="21"/>
                <w:szCs w:val="21"/>
                <w:highlight w:val="none"/>
              </w:rPr>
              <w:t>。</w:t>
            </w:r>
          </w:p>
        </w:tc>
        <w:tc>
          <w:tcPr>
            <w:tcW w:w="1650" w:type="dxa"/>
            <w:noWrap w:val="0"/>
            <w:vAlign w:val="center"/>
          </w:tcPr>
          <w:p>
            <w:pPr>
              <w:adjustRightInd w:val="0"/>
              <w:snapToGrid w:val="0"/>
              <w:rPr>
                <w:color w:val="auto"/>
                <w:sz w:val="21"/>
                <w:szCs w:val="21"/>
                <w:highlight w:val="none"/>
              </w:rPr>
            </w:pPr>
            <w:r>
              <w:rPr>
                <w:color w:val="auto"/>
                <w:kern w:val="0"/>
                <w:sz w:val="21"/>
                <w:szCs w:val="21"/>
                <w:highlight w:val="none"/>
              </w:rPr>
              <w:t>《工业企业厂界环境噪声排放标准》（GB12348-2008）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1080" w:type="dxa"/>
            <w:noWrap w:val="0"/>
            <w:vAlign w:val="center"/>
          </w:tcPr>
          <w:p>
            <w:pPr>
              <w:adjustRightInd w:val="0"/>
              <w:snapToGrid w:val="0"/>
              <w:jc w:val="center"/>
              <w:rPr>
                <w:color w:val="auto"/>
                <w:sz w:val="21"/>
                <w:szCs w:val="21"/>
                <w:highlight w:val="none"/>
              </w:rPr>
            </w:pPr>
            <w:r>
              <w:rPr>
                <w:color w:val="auto"/>
                <w:sz w:val="21"/>
                <w:szCs w:val="21"/>
                <w:highlight w:val="none"/>
              </w:rPr>
              <w:t>电磁辐射</w:t>
            </w:r>
          </w:p>
        </w:tc>
        <w:tc>
          <w:tcPr>
            <w:tcW w:w="1332" w:type="dxa"/>
            <w:noWrap w:val="0"/>
            <w:vAlign w:val="center"/>
          </w:tcPr>
          <w:p>
            <w:pPr>
              <w:adjustRightInd w:val="0"/>
              <w:snapToGrid w:val="0"/>
              <w:jc w:val="center"/>
              <w:rPr>
                <w:color w:val="auto"/>
                <w:sz w:val="21"/>
                <w:szCs w:val="21"/>
                <w:highlight w:val="none"/>
              </w:rPr>
            </w:pPr>
            <w:r>
              <w:rPr>
                <w:color w:val="auto"/>
                <w:sz w:val="21"/>
                <w:szCs w:val="21"/>
                <w:highlight w:val="none"/>
              </w:rPr>
              <w:t>/</w:t>
            </w:r>
          </w:p>
        </w:tc>
        <w:tc>
          <w:tcPr>
            <w:tcW w:w="1283" w:type="dxa"/>
            <w:noWrap w:val="0"/>
            <w:vAlign w:val="center"/>
          </w:tcPr>
          <w:p>
            <w:pPr>
              <w:adjustRightInd w:val="0"/>
              <w:snapToGrid w:val="0"/>
              <w:jc w:val="center"/>
              <w:rPr>
                <w:color w:val="auto"/>
                <w:sz w:val="21"/>
                <w:szCs w:val="21"/>
                <w:highlight w:val="none"/>
              </w:rPr>
            </w:pPr>
            <w:r>
              <w:rPr>
                <w:color w:val="auto"/>
                <w:sz w:val="21"/>
                <w:szCs w:val="21"/>
                <w:highlight w:val="none"/>
              </w:rPr>
              <w:t>/</w:t>
            </w:r>
          </w:p>
        </w:tc>
        <w:tc>
          <w:tcPr>
            <w:tcW w:w="3455" w:type="dxa"/>
            <w:noWrap w:val="0"/>
            <w:vAlign w:val="center"/>
          </w:tcPr>
          <w:p>
            <w:pPr>
              <w:adjustRightInd w:val="0"/>
              <w:snapToGrid w:val="0"/>
              <w:jc w:val="center"/>
              <w:rPr>
                <w:color w:val="auto"/>
                <w:sz w:val="21"/>
                <w:szCs w:val="21"/>
                <w:highlight w:val="none"/>
              </w:rPr>
            </w:pPr>
            <w:r>
              <w:rPr>
                <w:color w:val="auto"/>
                <w:sz w:val="21"/>
                <w:szCs w:val="21"/>
                <w:highlight w:val="none"/>
              </w:rPr>
              <w:t>/</w:t>
            </w:r>
          </w:p>
        </w:tc>
        <w:tc>
          <w:tcPr>
            <w:tcW w:w="1650" w:type="dxa"/>
            <w:noWrap w:val="0"/>
            <w:vAlign w:val="center"/>
          </w:tcPr>
          <w:p>
            <w:pPr>
              <w:adjustRightInd w:val="0"/>
              <w:snapToGrid w:val="0"/>
              <w:jc w:val="center"/>
              <w:rPr>
                <w:color w:val="auto"/>
                <w:sz w:val="21"/>
                <w:szCs w:val="21"/>
                <w:highlight w:val="none"/>
              </w:rPr>
            </w:pPr>
            <w:r>
              <w:rPr>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8" w:hRule="atLeast"/>
          <w:jc w:val="center"/>
        </w:trPr>
        <w:tc>
          <w:tcPr>
            <w:tcW w:w="1080" w:type="dxa"/>
            <w:noWrap w:val="0"/>
            <w:vAlign w:val="center"/>
          </w:tcPr>
          <w:p>
            <w:pPr>
              <w:adjustRightInd w:val="0"/>
              <w:snapToGrid w:val="0"/>
              <w:spacing w:line="360" w:lineRule="auto"/>
              <w:jc w:val="center"/>
              <w:rPr>
                <w:color w:val="auto"/>
                <w:sz w:val="21"/>
                <w:szCs w:val="21"/>
                <w:highlight w:val="none"/>
              </w:rPr>
            </w:pPr>
            <w:r>
              <w:rPr>
                <w:color w:val="auto"/>
                <w:sz w:val="21"/>
                <w:szCs w:val="21"/>
                <w:highlight w:val="none"/>
              </w:rPr>
              <w:t>固体废物</w:t>
            </w:r>
          </w:p>
        </w:tc>
        <w:tc>
          <w:tcPr>
            <w:tcW w:w="7720" w:type="dxa"/>
            <w:gridSpan w:val="4"/>
            <w:noWrap w:val="0"/>
            <w:vAlign w:val="center"/>
          </w:tcPr>
          <w:p>
            <w:pPr>
              <w:adjustRightInd w:val="0"/>
              <w:snapToGrid w:val="0"/>
              <w:spacing w:line="360" w:lineRule="auto"/>
              <w:rPr>
                <w:rFonts w:hint="eastAsia"/>
                <w:color w:val="auto"/>
                <w:sz w:val="24"/>
                <w:szCs w:val="24"/>
                <w:highlight w:val="none"/>
              </w:rPr>
            </w:pPr>
            <w:r>
              <w:rPr>
                <w:color w:val="auto"/>
                <w:sz w:val="24"/>
                <w:szCs w:val="24"/>
                <w:highlight w:val="none"/>
              </w:rPr>
              <w:t>生活垃圾：分类收集，交由市政环卫部门外运处置。危险废物：暂存于危废暂存间，交有危废处理资质的单位处置；设1处危废暂存</w:t>
            </w:r>
            <w:r>
              <w:rPr>
                <w:rFonts w:hint="eastAsia"/>
                <w:color w:val="auto"/>
                <w:sz w:val="24"/>
                <w:szCs w:val="24"/>
                <w:highlight w:val="none"/>
              </w:rPr>
              <w:t>间</w:t>
            </w:r>
            <w:r>
              <w:rPr>
                <w:color w:val="auto"/>
                <w:sz w:val="24"/>
                <w:szCs w:val="24"/>
                <w:highlight w:val="none"/>
              </w:rPr>
              <w:t>（位于</w:t>
            </w:r>
            <w:r>
              <w:rPr>
                <w:rFonts w:hint="eastAsia"/>
                <w:color w:val="auto"/>
                <w:sz w:val="24"/>
                <w:szCs w:val="24"/>
                <w:highlight w:val="none"/>
                <w:lang w:val="en-US" w:eastAsia="zh-CN"/>
              </w:rPr>
              <w:t>厂房北侧</w:t>
            </w:r>
            <w:r>
              <w:rPr>
                <w:color w:val="auto"/>
                <w:sz w:val="24"/>
                <w:szCs w:val="24"/>
                <w:highlight w:val="none"/>
              </w:rPr>
              <w:t>，</w:t>
            </w:r>
            <w:r>
              <w:rPr>
                <w:rFonts w:hint="eastAsia"/>
                <w:color w:val="auto"/>
                <w:sz w:val="24"/>
                <w:szCs w:val="24"/>
                <w:highlight w:val="none"/>
              </w:rPr>
              <w:t>建筑</w:t>
            </w:r>
            <w:r>
              <w:rPr>
                <w:color w:val="auto"/>
                <w:sz w:val="24"/>
                <w:szCs w:val="24"/>
                <w:highlight w:val="none"/>
              </w:rPr>
              <w:t>面积</w:t>
            </w:r>
            <w:r>
              <w:rPr>
                <w:rFonts w:hint="eastAsia"/>
                <w:color w:val="auto"/>
                <w:sz w:val="24"/>
                <w:szCs w:val="24"/>
                <w:highlight w:val="none"/>
                <w:lang w:val="en-US" w:eastAsia="zh-CN"/>
              </w:rPr>
              <w:t>5</w:t>
            </w:r>
            <w:r>
              <w:rPr>
                <w:color w:val="auto"/>
                <w:sz w:val="24"/>
                <w:szCs w:val="24"/>
                <w:highlight w:val="none"/>
              </w:rPr>
              <w:t>m</w:t>
            </w:r>
            <w:r>
              <w:rPr>
                <w:color w:val="auto"/>
                <w:sz w:val="24"/>
                <w:szCs w:val="24"/>
                <w:highlight w:val="none"/>
                <w:vertAlign w:val="superscript"/>
              </w:rPr>
              <w:t>2</w:t>
            </w:r>
            <w:r>
              <w:rPr>
                <w:color w:val="auto"/>
                <w:sz w:val="24"/>
                <w:szCs w:val="24"/>
                <w:highlight w:val="none"/>
              </w:rPr>
              <w:t>），危险废物</w:t>
            </w:r>
            <w:r>
              <w:rPr>
                <w:rFonts w:hint="eastAsia"/>
                <w:color w:val="auto"/>
                <w:sz w:val="24"/>
                <w:szCs w:val="24"/>
                <w:highlight w:val="none"/>
              </w:rPr>
              <w:t>间设</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六</w:t>
            </w:r>
            <w:r>
              <w:rPr>
                <w:rFonts w:hint="eastAsia" w:ascii="宋体" w:hAnsi="宋体" w:cs="宋体"/>
                <w:color w:val="auto"/>
                <w:sz w:val="24"/>
                <w:szCs w:val="24"/>
                <w:highlight w:val="none"/>
              </w:rPr>
              <w:t>防”处理措施，并</w:t>
            </w:r>
            <w:r>
              <w:rPr>
                <w:color w:val="auto"/>
                <w:sz w:val="24"/>
                <w:szCs w:val="24"/>
                <w:highlight w:val="none"/>
              </w:rPr>
              <w:t>张贴相应标识标牌</w:t>
            </w:r>
            <w:r>
              <w:rPr>
                <w:rFonts w:hint="eastAsia"/>
                <w:bCs/>
                <w:color w:val="auto"/>
                <w:sz w:val="24"/>
                <w:szCs w:val="24"/>
                <w:highlight w:val="none"/>
              </w:rPr>
              <w:t>。</w:t>
            </w:r>
            <w:r>
              <w:rPr>
                <w:rFonts w:hint="eastAsia"/>
                <w:color w:val="auto"/>
                <w:sz w:val="24"/>
                <w:szCs w:val="24"/>
                <w:highlight w:val="none"/>
              </w:rPr>
              <w:t>一般工业固废</w:t>
            </w:r>
            <w:r>
              <w:rPr>
                <w:color w:val="auto"/>
                <w:sz w:val="24"/>
                <w:szCs w:val="24"/>
                <w:highlight w:val="none"/>
              </w:rPr>
              <w:t>：</w:t>
            </w:r>
            <w:r>
              <w:rPr>
                <w:rFonts w:hint="eastAsia"/>
                <w:color w:val="auto"/>
                <w:sz w:val="24"/>
                <w:szCs w:val="24"/>
                <w:highlight w:val="none"/>
              </w:rPr>
              <w:t>暂存于一般固废暂存</w:t>
            </w:r>
            <w:r>
              <w:rPr>
                <w:rFonts w:hint="eastAsia"/>
                <w:color w:val="auto"/>
                <w:sz w:val="24"/>
                <w:szCs w:val="24"/>
                <w:highlight w:val="none"/>
                <w:lang w:val="en-US" w:eastAsia="zh-CN"/>
              </w:rPr>
              <w:t>间</w:t>
            </w:r>
            <w:r>
              <w:rPr>
                <w:rFonts w:hint="eastAsia"/>
                <w:color w:val="auto"/>
                <w:sz w:val="24"/>
                <w:szCs w:val="24"/>
                <w:highlight w:val="none"/>
              </w:rPr>
              <w:t>，交由</w:t>
            </w:r>
            <w:r>
              <w:rPr>
                <w:rFonts w:hint="eastAsia"/>
                <w:color w:val="auto"/>
                <w:sz w:val="24"/>
                <w:szCs w:val="24"/>
                <w:highlight w:val="none"/>
                <w:lang w:val="en-US" w:eastAsia="zh-CN"/>
              </w:rPr>
              <w:t>废旧物资回收单位处置；</w:t>
            </w:r>
            <w:r>
              <w:rPr>
                <w:color w:val="auto"/>
                <w:sz w:val="24"/>
                <w:szCs w:val="24"/>
                <w:highlight w:val="none"/>
              </w:rPr>
              <w:t>一般工业固废暂存于一般工业固废暂存</w:t>
            </w:r>
            <w:r>
              <w:rPr>
                <w:rFonts w:hint="eastAsia"/>
                <w:color w:val="auto"/>
                <w:sz w:val="24"/>
                <w:szCs w:val="24"/>
                <w:highlight w:val="none"/>
                <w:lang w:val="en-US" w:eastAsia="zh-CN"/>
              </w:rPr>
              <w:t>间</w:t>
            </w:r>
            <w:r>
              <w:rPr>
                <w:rFonts w:hint="eastAsia"/>
                <w:color w:val="auto"/>
                <w:sz w:val="24"/>
                <w:szCs w:val="24"/>
                <w:highlight w:val="none"/>
                <w:lang w:eastAsia="zh-CN"/>
              </w:rPr>
              <w:t>（</w:t>
            </w:r>
            <w:r>
              <w:rPr>
                <w:color w:val="auto"/>
                <w:sz w:val="24"/>
                <w:szCs w:val="24"/>
                <w:highlight w:val="none"/>
              </w:rPr>
              <w:t>位于</w:t>
            </w:r>
            <w:r>
              <w:rPr>
                <w:rFonts w:hint="eastAsia"/>
                <w:color w:val="auto"/>
                <w:sz w:val="24"/>
                <w:szCs w:val="24"/>
                <w:highlight w:val="none"/>
                <w:lang w:val="en-US" w:eastAsia="zh-CN"/>
              </w:rPr>
              <w:t>厂房北侧</w:t>
            </w:r>
            <w:r>
              <w:rPr>
                <w:color w:val="auto"/>
                <w:sz w:val="24"/>
                <w:szCs w:val="24"/>
                <w:highlight w:val="none"/>
              </w:rPr>
              <w:t>，建筑面积</w:t>
            </w:r>
            <w:r>
              <w:rPr>
                <w:rFonts w:hint="eastAsia"/>
                <w:color w:val="auto"/>
                <w:sz w:val="24"/>
                <w:szCs w:val="24"/>
                <w:highlight w:val="none"/>
                <w:lang w:val="en-US" w:eastAsia="zh-CN"/>
              </w:rPr>
              <w:t>10</w:t>
            </w:r>
            <w:r>
              <w:rPr>
                <w:color w:val="auto"/>
                <w:sz w:val="24"/>
                <w:szCs w:val="24"/>
                <w:highlight w:val="none"/>
              </w:rPr>
              <w:t>m</w:t>
            </w:r>
            <w:r>
              <w:rPr>
                <w:color w:val="auto"/>
                <w:sz w:val="24"/>
                <w:szCs w:val="24"/>
                <w:highlight w:val="none"/>
                <w:vertAlign w:val="superscript"/>
              </w:rPr>
              <w:t>2</w:t>
            </w:r>
            <w:r>
              <w:rPr>
                <w:color w:val="auto"/>
                <w:sz w:val="24"/>
                <w:szCs w:val="24"/>
                <w:highlight w:val="none"/>
              </w:rPr>
              <w:t>），张贴相应标识标牌，地坪做防渗处理</w:t>
            </w:r>
            <w:r>
              <w:rPr>
                <w:rFonts w:hint="eastAsia"/>
                <w:color w:val="auto"/>
                <w:sz w:val="24"/>
                <w:szCs w:val="24"/>
                <w:highlight w:val="none"/>
              </w:rPr>
              <w:t>。</w:t>
            </w:r>
          </w:p>
          <w:p>
            <w:pPr>
              <w:adjustRightInd w:val="0"/>
              <w:snapToGrid w:val="0"/>
              <w:spacing w:line="360" w:lineRule="auto"/>
              <w:rPr>
                <w:rFonts w:hint="eastAsia"/>
                <w:color w:val="auto"/>
                <w:sz w:val="24"/>
                <w:szCs w:val="24"/>
                <w:highlight w:val="none"/>
              </w:rPr>
            </w:pPr>
          </w:p>
          <w:p>
            <w:pPr>
              <w:adjustRightInd w:val="0"/>
              <w:snapToGrid w:val="0"/>
              <w:spacing w:line="360" w:lineRule="auto"/>
              <w:rPr>
                <w:rFonts w:hint="eastAsia"/>
                <w:color w:val="auto"/>
                <w:sz w:val="24"/>
                <w:szCs w:val="24"/>
                <w:highlight w:val="none"/>
              </w:rPr>
            </w:pPr>
          </w:p>
          <w:p>
            <w:pPr>
              <w:adjustRightInd w:val="0"/>
              <w:snapToGrid w:val="0"/>
              <w:spacing w:line="360" w:lineRule="auto"/>
              <w:rPr>
                <w:rFonts w:hint="eastAsia"/>
                <w:color w:val="auto"/>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01" w:hRule="atLeast"/>
          <w:jc w:val="center"/>
        </w:trPr>
        <w:tc>
          <w:tcPr>
            <w:tcW w:w="10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土壤及地下水污染防治措施</w:t>
            </w:r>
          </w:p>
        </w:tc>
        <w:tc>
          <w:tcPr>
            <w:tcW w:w="7720"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A、简单防渗区：办公区等。</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防渗方案：地面采取水泥硬化。</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B、一般防渗区：生产加工区、一般固废暂存区。</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防渗方案：采取水泥硬化并做防渗处理。</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C、重点防渗区：</w:t>
            </w:r>
            <w:r>
              <w:rPr>
                <w:rFonts w:hint="eastAsia"/>
                <w:color w:val="auto"/>
                <w:sz w:val="24"/>
                <w:szCs w:val="24"/>
                <w:highlight w:val="none"/>
                <w:lang w:val="zh-CN"/>
              </w:rPr>
              <w:t>危险废物暂存间、</w:t>
            </w:r>
            <w:r>
              <w:rPr>
                <w:rFonts w:hint="eastAsia"/>
                <w:color w:val="auto"/>
                <w:sz w:val="24"/>
                <w:szCs w:val="24"/>
                <w:highlight w:val="none"/>
                <w:lang w:val="en-US" w:eastAsia="zh-CN"/>
              </w:rPr>
              <w:t>油料库房</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color w:val="auto"/>
                <w:sz w:val="24"/>
                <w:szCs w:val="24"/>
                <w:highlight w:val="none"/>
              </w:rPr>
            </w:pPr>
            <w:r>
              <w:rPr>
                <w:rFonts w:hint="eastAsia" w:ascii="Times New Roman" w:hAnsi="Times New Roman" w:eastAsia="宋体" w:cs="Times New Roman"/>
                <w:color w:val="auto"/>
                <w:sz w:val="24"/>
                <w:szCs w:val="24"/>
                <w:highlight w:val="none"/>
                <w:lang w:val="en-US" w:eastAsia="zh-CN"/>
              </w:rPr>
              <w:t>防渗方案：需满足《环境影响评价技术导则地下水环境》（HJ610-2016）中等效黏土防渗层厚度Mb≥6.0m，渗透系数K≤1×10</w:t>
            </w:r>
            <w:r>
              <w:rPr>
                <w:rFonts w:hint="eastAsia" w:ascii="Times New Roman" w:hAnsi="Times New Roman" w:eastAsia="宋体" w:cs="Times New Roman"/>
                <w:color w:val="auto"/>
                <w:sz w:val="24"/>
                <w:szCs w:val="24"/>
                <w:highlight w:val="none"/>
                <w:vertAlign w:val="superscript"/>
                <w:lang w:val="en-US" w:eastAsia="zh-CN"/>
              </w:rPr>
              <w:t>-7</w:t>
            </w:r>
            <w:r>
              <w:rPr>
                <w:rFonts w:hint="eastAsia" w:ascii="Times New Roman" w:hAnsi="Times New Roman" w:eastAsia="宋体" w:cs="Times New Roman"/>
                <w:color w:val="auto"/>
                <w:sz w:val="24"/>
                <w:szCs w:val="24"/>
                <w:highlight w:val="none"/>
                <w:lang w:val="en-US" w:eastAsia="zh-CN"/>
              </w:rPr>
              <w:t>cm/s 的要求，或者采用2mm厚高密度聚乙烯，或者至少2mm 厚其他人工材料，渗透系数≤1.0×10</w:t>
            </w:r>
            <w:r>
              <w:rPr>
                <w:rFonts w:hint="eastAsia" w:ascii="Times New Roman" w:hAnsi="Times New Roman" w:eastAsia="宋体" w:cs="Times New Roman"/>
                <w:color w:val="auto"/>
                <w:sz w:val="24"/>
                <w:szCs w:val="24"/>
                <w:highlight w:val="none"/>
                <w:vertAlign w:val="superscript"/>
                <w:lang w:val="en-US" w:eastAsia="zh-CN"/>
              </w:rPr>
              <w:t>-10</w:t>
            </w:r>
            <w:r>
              <w:rPr>
                <w:rFonts w:hint="eastAsia" w:ascii="Times New Roman" w:hAnsi="Times New Roman" w:eastAsia="宋体" w:cs="Times New Roman"/>
                <w:color w:val="auto"/>
                <w:sz w:val="24"/>
                <w:szCs w:val="24"/>
                <w:highlight w:val="none"/>
                <w:lang w:val="en-US" w:eastAsia="zh-CN"/>
              </w:rPr>
              <w:t>cm/s。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10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生态保护措施</w:t>
            </w:r>
          </w:p>
        </w:tc>
        <w:tc>
          <w:tcPr>
            <w:tcW w:w="7720" w:type="dxa"/>
            <w:gridSpan w:val="4"/>
            <w:noWrap w:val="0"/>
            <w:vAlign w:val="center"/>
          </w:tcPr>
          <w:p>
            <w:pPr>
              <w:adjustRightInd w:val="0"/>
              <w:snapToGrid w:val="0"/>
              <w:spacing w:line="360" w:lineRule="auto"/>
              <w:jc w:val="center"/>
              <w:rPr>
                <w:color w:val="auto"/>
                <w:sz w:val="24"/>
                <w:szCs w:val="24"/>
                <w:highlight w:val="none"/>
              </w:rPr>
            </w:pPr>
            <w:r>
              <w:rPr>
                <w:rFonts w:hint="eastAsia" w:ascii="Times New Roman" w:hAnsi="Times New Roman" w:eastAsia="宋体" w:cs="Times New Roman"/>
                <w:color w:val="auto"/>
                <w:sz w:val="24"/>
                <w:szCs w:val="24"/>
                <w:highlight w:val="none"/>
                <w:lang w:val="zh-CN" w:eastAsia="zh-CN"/>
              </w:rPr>
              <w:t>无（本项目不涉及）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环境风险防范措施</w:t>
            </w:r>
          </w:p>
        </w:tc>
        <w:tc>
          <w:tcPr>
            <w:tcW w:w="7720" w:type="dxa"/>
            <w:gridSpan w:val="4"/>
            <w:noWrap w:val="0"/>
            <w:vAlign w:val="center"/>
          </w:tcPr>
          <w:p>
            <w:pPr>
              <w:adjustRightInd w:val="0"/>
              <w:snapToGrid w:val="0"/>
              <w:spacing w:line="360" w:lineRule="auto"/>
              <w:jc w:val="both"/>
              <w:rPr>
                <w:color w:val="auto"/>
                <w:sz w:val="24"/>
                <w:szCs w:val="24"/>
                <w:highlight w:val="none"/>
              </w:rPr>
            </w:pPr>
            <w:r>
              <w:rPr>
                <w:color w:val="auto"/>
                <w:sz w:val="24"/>
                <w:szCs w:val="24"/>
                <w:highlight w:val="none"/>
              </w:rPr>
              <w:t>制定完善的风险防范管理制度，成立应急事故处理部门</w:t>
            </w:r>
            <w:r>
              <w:rPr>
                <w:rFonts w:hint="eastAsia"/>
                <w:color w:val="auto"/>
                <w:sz w:val="24"/>
                <w:szCs w:val="24"/>
                <w:highlight w:val="none"/>
              </w:rPr>
              <w:t>；</w:t>
            </w:r>
            <w:r>
              <w:rPr>
                <w:color w:val="auto"/>
                <w:sz w:val="24"/>
                <w:szCs w:val="24"/>
                <w:highlight w:val="none"/>
              </w:rPr>
              <w:t>贮存危险品物质时，贮存容器、方法、贮存量、环境等必须符合国家有关规定，要有专人保管。准备灭火器材及个人防护自救设备；危废暂存间等区域为重点防渗区，采取重点防渗措施</w:t>
            </w:r>
            <w:r>
              <w:rPr>
                <w:rFonts w:hint="eastAsia"/>
                <w:color w:val="auto"/>
                <w:sz w:val="24"/>
                <w:szCs w:val="24"/>
                <w:highlight w:val="none"/>
              </w:rPr>
              <w:t>等</w:t>
            </w:r>
            <w:r>
              <w:rPr>
                <w:color w:val="auto"/>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0" w:hRule="atLeast"/>
          <w:jc w:val="center"/>
        </w:trPr>
        <w:tc>
          <w:tcPr>
            <w:tcW w:w="1080" w:type="dxa"/>
            <w:noWrap w:val="0"/>
            <w:vAlign w:val="center"/>
          </w:tcPr>
          <w:p>
            <w:pPr>
              <w:adjustRightInd w:val="0"/>
              <w:snapToGrid w:val="0"/>
              <w:jc w:val="center"/>
              <w:rPr>
                <w:color w:val="auto"/>
                <w:spacing w:val="-8"/>
                <w:szCs w:val="21"/>
                <w:highlight w:val="none"/>
              </w:rPr>
            </w:pPr>
            <w:r>
              <w:rPr>
                <w:color w:val="auto"/>
                <w:spacing w:val="-8"/>
                <w:szCs w:val="21"/>
                <w:highlight w:val="none"/>
              </w:rPr>
              <w:t>其他环境</w:t>
            </w:r>
          </w:p>
          <w:p>
            <w:pPr>
              <w:adjustRightInd w:val="0"/>
              <w:snapToGrid w:val="0"/>
              <w:jc w:val="center"/>
              <w:rPr>
                <w:color w:val="auto"/>
                <w:spacing w:val="-8"/>
                <w:szCs w:val="21"/>
                <w:highlight w:val="none"/>
              </w:rPr>
            </w:pPr>
            <w:r>
              <w:rPr>
                <w:color w:val="auto"/>
                <w:spacing w:val="-8"/>
                <w:szCs w:val="21"/>
                <w:highlight w:val="none"/>
              </w:rPr>
              <w:t>管理要求</w:t>
            </w:r>
          </w:p>
        </w:tc>
        <w:tc>
          <w:tcPr>
            <w:tcW w:w="7720" w:type="dxa"/>
            <w:gridSpan w:val="4"/>
            <w:noWrap w:val="0"/>
            <w:vAlign w:val="center"/>
          </w:tcPr>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1）环境管理制度</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根据《排污许可证申请与核发技术规范 总则》（HJ942-2018）：排污单位应当按照相关法律法规、标准和技术规范等要求运行大气及水污染防治设施，并进行维护和管理，保证设施正常运行。</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本次评价要求建设单位：①设立专人负责环保，建立完善的环境保护规章制度，并认真监督实施；②对各种环保设备的运行状况进行监督管理，确保设备正常高效运行；③本项目的环境管理主体责任为：本项目业主。④开展环境管理</w:t>
            </w:r>
            <w:r>
              <w:rPr>
                <w:rFonts w:hint="eastAsia" w:ascii="Times New Roman" w:hAnsi="Times New Roman" w:eastAsia="宋体" w:cs="Times New Roman"/>
                <w:color w:val="auto"/>
                <w:sz w:val="24"/>
                <w:szCs w:val="24"/>
                <w:highlight w:val="none"/>
                <w:lang w:val="en-US" w:eastAsia="zh-CN"/>
              </w:rPr>
              <w:t>台账</w:t>
            </w:r>
            <w:r>
              <w:rPr>
                <w:rFonts w:hint="eastAsia" w:ascii="Times New Roman" w:hAnsi="Times New Roman" w:eastAsia="宋体" w:cs="Times New Roman"/>
                <w:color w:val="auto"/>
                <w:sz w:val="24"/>
                <w:szCs w:val="24"/>
                <w:highlight w:val="none"/>
                <w:lang w:val="zh-CN"/>
              </w:rPr>
              <w:t>记录和执行标准编制及提交。⑤一般工业固体废物和危险废物在专门区域分隔存放，减少固体废物的转移次数，防止发生撒落和混入的情况，危险废物暂存间应按照 GB 18597 相关要求执行，有效防止临时存放过程中二次污染。</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2）排污口规范化</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根据国家环保总局《关于开展排放口规范化整治工作的通知》(环发[1999]24号)以及重庆市环保局《重庆市排放污染物许可证管理办法》(渝环发[2001]559号)中《排污口规范化整治方案》要求，对项目排污口规整提出如下要求：</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固定噪声排放源：噪声排放源标志牌应设置在距选定监测点较近且醒目处。固定噪声污染源对边界影响最大处，须按《工业企业厂界环境噪声排放标准》（GB12348-2008）的规定，设置环境噪声监测点，并在该处附近醒目处设置环境保护图形标志牌。边界上有若干个在声环境中相对独立的固定噪声污染源，应分别设置环境噪声监测点和环境保护图形标志牌。</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固体废弃物：一般固体废弃物应设置专用贮存、堆放场地；危险废物设置专用收集贮存装置、暂存场地。暂存间需防渗、防风、防雨；除综合利用外，固体废物的处置、贮存、堆放场应分别立标。标志牌立于边界线上。本项目一般固废和危险废物堆放场分别设1个标志牌。</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废水：排放口应具备采样和流量测定条件，并按照《污染源监测技术规范》设置采样点；排污口可以矩形、圆筒形或梯形，保证水深不低于 0.1m，流速不小于0.05m/s，流口出水必须进入尾水排放管，并在明渠之前相接；置规范的、便于测量流量、流速的测流段，测流段直线长度应是其水面宽度的6倍以上，最小1.5倍以上。</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废气：项目生产过程中设置排气筒，排气筒高于主车间顶部，应在车间顶部设置采样平台监测采样口，采样口设置应符合《污染源技术规范》要求；采样口必须设置常备电源；排气筒应设置、注明以下内容：标准编号、污染源名称及型号；排放高度、出口直径；排气量、最大允许排放浓度；排放大气污染物的名称、最大允许排放量。</w:t>
            </w:r>
          </w:p>
          <w:p>
            <w:pPr>
              <w:spacing w:line="360" w:lineRule="auto"/>
              <w:ind w:firstLine="480" w:firstLineChars="200"/>
              <w:rPr>
                <w:rFonts w:hint="eastAsia" w:ascii="Times New Roman" w:hAnsi="Times New Roman" w:eastAsia="宋体" w:cs="Times New Roman"/>
                <w:color w:val="auto"/>
                <w:sz w:val="24"/>
                <w:szCs w:val="24"/>
                <w:highlight w:val="none"/>
                <w:lang w:val="zh-CN"/>
              </w:rPr>
            </w:pPr>
          </w:p>
          <w:p>
            <w:pPr>
              <w:spacing w:line="360" w:lineRule="auto"/>
              <w:ind w:firstLine="480" w:firstLineChars="200"/>
              <w:rPr>
                <w:rFonts w:hint="eastAsia" w:ascii="Times New Roman" w:hAnsi="Times New Roman" w:eastAsia="宋体" w:cs="Times New Roman"/>
                <w:color w:val="auto"/>
                <w:sz w:val="24"/>
                <w:szCs w:val="24"/>
                <w:highlight w:val="none"/>
                <w:lang w:val="zh-CN"/>
              </w:rPr>
            </w:pPr>
          </w:p>
          <w:p>
            <w:pPr>
              <w:spacing w:line="360" w:lineRule="auto"/>
              <w:ind w:firstLine="480" w:firstLineChars="200"/>
              <w:rPr>
                <w:rFonts w:hint="eastAsia" w:ascii="Times New Roman" w:hAnsi="Times New Roman" w:eastAsia="宋体" w:cs="Times New Roman"/>
                <w:color w:val="auto"/>
                <w:sz w:val="24"/>
                <w:szCs w:val="24"/>
                <w:highlight w:val="none"/>
                <w:lang w:val="zh-CN"/>
              </w:rPr>
            </w:pPr>
          </w:p>
          <w:p>
            <w:pPr>
              <w:spacing w:line="360" w:lineRule="auto"/>
              <w:ind w:firstLine="480" w:firstLineChars="200"/>
              <w:rPr>
                <w:rFonts w:hint="eastAsia" w:ascii="Times New Roman" w:hAnsi="Times New Roman" w:eastAsia="宋体" w:cs="Times New Roman"/>
                <w:color w:val="auto"/>
                <w:sz w:val="24"/>
                <w:szCs w:val="24"/>
                <w:highlight w:val="none"/>
                <w:lang w:val="zh-CN"/>
              </w:rPr>
            </w:pPr>
          </w:p>
          <w:p>
            <w:pPr>
              <w:spacing w:line="360" w:lineRule="auto"/>
              <w:ind w:firstLine="480" w:firstLineChars="200"/>
              <w:rPr>
                <w:rFonts w:hint="eastAsia" w:eastAsia="宋体" w:cs="Times New Roman"/>
                <w:color w:val="auto"/>
                <w:sz w:val="24"/>
                <w:szCs w:val="24"/>
                <w:highlight w:val="none"/>
                <w:lang w:val="en-US" w:eastAsia="zh-CN"/>
              </w:rPr>
            </w:pPr>
          </w:p>
        </w:tc>
      </w:tr>
    </w:tbl>
    <w:p>
      <w:pPr>
        <w:pStyle w:val="21"/>
        <w:rPr>
          <w:color w:val="auto"/>
          <w:highlight w:val="none"/>
        </w:rPr>
        <w:sectPr>
          <w:pgSz w:w="11906" w:h="16838"/>
          <w:pgMar w:top="1440" w:right="1800" w:bottom="1440" w:left="1800" w:header="851" w:footer="992" w:gutter="0"/>
          <w:pgNumType w:fmt="decimal"/>
          <w:cols w:space="425" w:num="1"/>
          <w:docGrid w:type="lines" w:linePitch="312" w:charSpace="0"/>
        </w:sectPr>
      </w:pPr>
    </w:p>
    <w:p>
      <w:pPr>
        <w:pStyle w:val="13"/>
        <w:jc w:val="center"/>
        <w:outlineLvl w:val="0"/>
        <w:rPr>
          <w:rFonts w:ascii="Times New Roman" w:hAnsi="Times New Roman"/>
          <w:snapToGrid w:val="0"/>
          <w:color w:val="auto"/>
          <w:sz w:val="30"/>
          <w:szCs w:val="30"/>
          <w:highlight w:val="none"/>
        </w:rPr>
      </w:pPr>
      <w:r>
        <w:rPr>
          <w:rFonts w:ascii="Times New Roman" w:hAnsi="Times New Roman"/>
          <w:snapToGrid w:val="0"/>
          <w:color w:val="auto"/>
          <w:sz w:val="30"/>
          <w:szCs w:val="30"/>
          <w:highlight w:val="none"/>
        </w:rPr>
        <w:t>六、结论</w:t>
      </w:r>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spacing w:line="360" w:lineRule="auto"/>
              <w:ind w:firstLine="480" w:firstLineChars="200"/>
              <w:jc w:val="both"/>
              <w:rPr>
                <w:rFonts w:ascii="Times New Roman" w:hAnsi="Times New Roman" w:eastAsia="宋体" w:cs="Times New Roman"/>
                <w:color w:val="auto"/>
                <w:sz w:val="24"/>
                <w:szCs w:val="24"/>
                <w:highlight w:val="none"/>
              </w:rPr>
            </w:pPr>
            <w:r>
              <w:rPr>
                <w:rFonts w:hint="eastAsia"/>
                <w:color w:val="auto"/>
                <w:sz w:val="24"/>
                <w:highlight w:val="none"/>
              </w:rPr>
              <w:t>重庆</w:t>
            </w:r>
            <w:r>
              <w:rPr>
                <w:rFonts w:hint="eastAsia"/>
                <w:color w:val="auto"/>
                <w:sz w:val="24"/>
                <w:highlight w:val="none"/>
                <w:lang w:val="en-US" w:eastAsia="zh-CN"/>
              </w:rPr>
              <w:t>翔达包装制品有限公司租赁重庆市铜梁区金鸿浆纱厂位于</w:t>
            </w:r>
            <w:r>
              <w:rPr>
                <w:rFonts w:hint="eastAsia"/>
                <w:color w:val="auto"/>
                <w:sz w:val="24"/>
                <w:highlight w:val="none"/>
              </w:rPr>
              <w:t>重庆市</w:t>
            </w:r>
            <w:r>
              <w:rPr>
                <w:rFonts w:hint="eastAsia"/>
                <w:color w:val="auto"/>
                <w:sz w:val="24"/>
                <w:highlight w:val="none"/>
                <w:lang w:val="en-US" w:eastAsia="zh-CN"/>
              </w:rPr>
              <w:t>铜梁</w:t>
            </w:r>
            <w:r>
              <w:rPr>
                <w:rFonts w:hint="eastAsia"/>
                <w:color w:val="auto"/>
                <w:sz w:val="24"/>
                <w:highlight w:val="none"/>
              </w:rPr>
              <w:t>区</w:t>
            </w:r>
            <w:r>
              <w:rPr>
                <w:rFonts w:hint="eastAsia"/>
                <w:color w:val="auto"/>
                <w:sz w:val="24"/>
                <w:highlight w:val="none"/>
                <w:lang w:val="en-US" w:eastAsia="zh-CN"/>
              </w:rPr>
              <w:t>侣俸镇工业园区创业路2号原有生产厂房，建筑面积约3000m</w:t>
            </w:r>
            <w:r>
              <w:rPr>
                <w:rFonts w:hint="eastAsia"/>
                <w:color w:val="auto"/>
                <w:sz w:val="24"/>
                <w:highlight w:val="none"/>
                <w:vertAlign w:val="superscript"/>
                <w:lang w:val="en-US" w:eastAsia="zh-CN"/>
              </w:rPr>
              <w:t>2</w:t>
            </w:r>
            <w:r>
              <w:rPr>
                <w:rFonts w:hint="eastAsia" w:cs="Times New Roman"/>
                <w:bCs/>
                <w:snapToGrid w:val="0"/>
                <w:color w:val="auto"/>
                <w:kern w:val="0"/>
                <w:sz w:val="24"/>
                <w:highlight w:val="none"/>
                <w:lang w:val="en-US" w:eastAsia="zh-CN"/>
              </w:rPr>
              <w:t>，进行建设“年产包装制品100万套生产项目”</w:t>
            </w:r>
            <w:r>
              <w:rPr>
                <w:rFonts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rPr>
              <w:t>该项目</w:t>
            </w:r>
            <w:r>
              <w:rPr>
                <w:rFonts w:ascii="Times New Roman" w:hAnsi="Times New Roman" w:eastAsia="宋体" w:cs="Times New Roman"/>
                <w:color w:val="auto"/>
                <w:sz w:val="24"/>
                <w:szCs w:val="24"/>
                <w:highlight w:val="none"/>
              </w:rPr>
              <w:t>符合国家和重庆市的</w:t>
            </w:r>
            <w:r>
              <w:rPr>
                <w:rFonts w:hint="eastAsia" w:ascii="Times New Roman" w:hAnsi="Times New Roman" w:eastAsia="宋体" w:cs="Times New Roman"/>
                <w:color w:val="auto"/>
                <w:sz w:val="24"/>
                <w:szCs w:val="24"/>
                <w:highlight w:val="none"/>
              </w:rPr>
              <w:t>现行</w:t>
            </w:r>
            <w:r>
              <w:rPr>
                <w:rFonts w:ascii="Times New Roman" w:hAnsi="Times New Roman" w:eastAsia="宋体" w:cs="Times New Roman"/>
                <w:color w:val="auto"/>
                <w:sz w:val="24"/>
                <w:szCs w:val="24"/>
                <w:highlight w:val="none"/>
              </w:rPr>
              <w:t>产业政策，符合</w:t>
            </w:r>
            <w:r>
              <w:rPr>
                <w:rFonts w:hint="eastAsia" w:eastAsia="宋体" w:cs="Times New Roman"/>
                <w:color w:val="auto"/>
                <w:sz w:val="24"/>
                <w:szCs w:val="24"/>
                <w:highlight w:val="none"/>
                <w:lang w:val="en-US" w:eastAsia="zh-CN"/>
              </w:rPr>
              <w:t>相关</w:t>
            </w:r>
            <w:r>
              <w:rPr>
                <w:rFonts w:ascii="Times New Roman" w:hAnsi="Times New Roman" w:eastAsia="宋体" w:cs="Times New Roman"/>
                <w:color w:val="auto"/>
                <w:sz w:val="24"/>
                <w:szCs w:val="24"/>
                <w:highlight w:val="none"/>
              </w:rPr>
              <w:t>规划</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选址要求。项目建成后，</w:t>
            </w:r>
            <w:r>
              <w:rPr>
                <w:rFonts w:hint="eastAsia" w:ascii="Times New Roman" w:hAnsi="Times New Roman" w:eastAsia="宋体" w:cs="Times New Roman"/>
                <w:color w:val="auto"/>
                <w:sz w:val="24"/>
                <w:szCs w:val="24"/>
                <w:highlight w:val="none"/>
              </w:rPr>
              <w:t>项目运营期</w:t>
            </w:r>
            <w:r>
              <w:rPr>
                <w:rFonts w:ascii="Times New Roman" w:hAnsi="Times New Roman" w:eastAsia="宋体" w:cs="Times New Roman"/>
                <w:color w:val="auto"/>
                <w:sz w:val="24"/>
                <w:szCs w:val="24"/>
                <w:highlight w:val="none"/>
              </w:rPr>
              <w:t>按报告表中提出的环保措施进行治理、在确保污染物达标排放的前提下，项目对周围环境不会产生明显的影响，环境可以接受。</w:t>
            </w:r>
          </w:p>
          <w:p>
            <w:pPr>
              <w:spacing w:line="360" w:lineRule="auto"/>
              <w:ind w:firstLine="480" w:firstLineChars="200"/>
              <w:jc w:val="both"/>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因此，从环境保护的角度来看，项目建设可行。</w:t>
            </w:r>
          </w:p>
          <w:p>
            <w:pPr>
              <w:spacing w:line="360" w:lineRule="auto"/>
              <w:ind w:firstLine="480" w:firstLineChars="200"/>
              <w:jc w:val="both"/>
              <w:rPr>
                <w:rFonts w:ascii="Times New Roman" w:hAnsi="Times New Roman" w:eastAsia="宋体" w:cs="Times New Roman"/>
                <w:color w:val="auto"/>
                <w:sz w:val="24"/>
                <w:szCs w:val="24"/>
                <w:highlight w:val="none"/>
              </w:rPr>
            </w:pPr>
          </w:p>
          <w:p>
            <w:pPr>
              <w:spacing w:line="360" w:lineRule="auto"/>
              <w:ind w:firstLine="480" w:firstLineChars="200"/>
              <w:jc w:val="both"/>
              <w:rPr>
                <w:rFonts w:ascii="Times New Roman" w:hAnsi="Times New Roman" w:eastAsia="宋体" w:cs="Times New Roman"/>
                <w:color w:val="auto"/>
                <w:sz w:val="24"/>
                <w:szCs w:val="24"/>
                <w:highlight w:val="none"/>
              </w:rPr>
            </w:pPr>
          </w:p>
          <w:p>
            <w:pPr>
              <w:spacing w:line="360" w:lineRule="auto"/>
              <w:ind w:firstLine="480" w:firstLineChars="200"/>
              <w:jc w:val="both"/>
              <w:rPr>
                <w:rFonts w:ascii="Times New Roman" w:hAnsi="Times New Roman" w:eastAsia="宋体" w:cs="Times New Roman"/>
                <w:color w:val="auto"/>
                <w:sz w:val="24"/>
                <w:szCs w:val="24"/>
                <w:highlight w:val="none"/>
              </w:rPr>
            </w:pPr>
          </w:p>
          <w:p>
            <w:pPr>
              <w:spacing w:line="360" w:lineRule="auto"/>
              <w:ind w:firstLine="480" w:firstLineChars="200"/>
              <w:jc w:val="both"/>
              <w:rPr>
                <w:rFonts w:ascii="Times New Roman" w:hAnsi="Times New Roman" w:eastAsia="宋体" w:cs="Times New Roman"/>
                <w:color w:val="auto"/>
                <w:sz w:val="24"/>
                <w:szCs w:val="24"/>
                <w:highlight w:val="none"/>
              </w:rPr>
            </w:pPr>
          </w:p>
          <w:p>
            <w:pPr>
              <w:adjustRightInd w:val="0"/>
              <w:snapToGrid w:val="0"/>
              <w:spacing w:line="360" w:lineRule="auto"/>
              <w:ind w:firstLine="480" w:firstLineChars="200"/>
              <w:jc w:val="both"/>
              <w:rPr>
                <w:bCs/>
                <w:color w:val="auto"/>
                <w:sz w:val="24"/>
                <w:highlight w:val="none"/>
              </w:rPr>
            </w:pPr>
          </w:p>
          <w:p>
            <w:pPr>
              <w:adjustRightInd w:val="0"/>
              <w:snapToGrid w:val="0"/>
              <w:spacing w:line="360" w:lineRule="auto"/>
              <w:ind w:firstLine="480" w:firstLineChars="200"/>
              <w:jc w:val="both"/>
              <w:rPr>
                <w:bCs/>
                <w:color w:val="auto"/>
                <w:sz w:val="24"/>
                <w:highlight w:val="none"/>
              </w:rPr>
            </w:pPr>
          </w:p>
          <w:p>
            <w:pPr>
              <w:adjustRightInd w:val="0"/>
              <w:snapToGrid w:val="0"/>
              <w:spacing w:line="360" w:lineRule="auto"/>
              <w:ind w:firstLine="480" w:firstLineChars="200"/>
              <w:jc w:val="both"/>
              <w:rPr>
                <w:bCs/>
                <w:color w:val="auto"/>
                <w:sz w:val="24"/>
                <w:highlight w:val="none"/>
              </w:rPr>
            </w:pPr>
          </w:p>
          <w:p>
            <w:pPr>
              <w:adjustRightInd w:val="0"/>
              <w:snapToGrid w:val="0"/>
              <w:spacing w:line="360" w:lineRule="auto"/>
              <w:ind w:firstLine="480" w:firstLineChars="200"/>
              <w:jc w:val="both"/>
              <w:rPr>
                <w:bCs/>
                <w:color w:val="auto"/>
                <w:sz w:val="24"/>
                <w:highlight w:val="none"/>
              </w:rPr>
            </w:pPr>
          </w:p>
          <w:p>
            <w:pPr>
              <w:adjustRightInd w:val="0"/>
              <w:snapToGrid w:val="0"/>
              <w:spacing w:line="360" w:lineRule="auto"/>
              <w:ind w:firstLine="480" w:firstLineChars="200"/>
              <w:jc w:val="both"/>
              <w:rPr>
                <w:bCs/>
                <w:color w:val="auto"/>
                <w:sz w:val="24"/>
                <w:highlight w:val="none"/>
              </w:rPr>
            </w:pPr>
          </w:p>
          <w:p>
            <w:pPr>
              <w:adjustRightInd w:val="0"/>
              <w:snapToGrid w:val="0"/>
              <w:spacing w:line="360" w:lineRule="auto"/>
              <w:ind w:firstLine="480" w:firstLineChars="200"/>
              <w:jc w:val="both"/>
              <w:rPr>
                <w:bCs/>
                <w:color w:val="auto"/>
                <w:sz w:val="24"/>
                <w:highlight w:val="none"/>
              </w:rPr>
            </w:pPr>
          </w:p>
          <w:p>
            <w:pPr>
              <w:adjustRightInd w:val="0"/>
              <w:snapToGrid w:val="0"/>
              <w:spacing w:line="360" w:lineRule="auto"/>
              <w:ind w:firstLine="480" w:firstLineChars="200"/>
              <w:jc w:val="both"/>
              <w:rPr>
                <w:bCs/>
                <w:color w:val="auto"/>
                <w:sz w:val="24"/>
                <w:highlight w:val="none"/>
              </w:rPr>
            </w:pPr>
          </w:p>
          <w:p>
            <w:pPr>
              <w:adjustRightInd w:val="0"/>
              <w:snapToGrid w:val="0"/>
              <w:spacing w:line="360" w:lineRule="auto"/>
              <w:ind w:firstLine="480" w:firstLineChars="200"/>
              <w:jc w:val="both"/>
              <w:rPr>
                <w:bCs/>
                <w:color w:val="auto"/>
                <w:sz w:val="24"/>
                <w:highlight w:val="none"/>
              </w:rPr>
            </w:pPr>
          </w:p>
          <w:p>
            <w:pPr>
              <w:adjustRightInd w:val="0"/>
              <w:snapToGrid w:val="0"/>
              <w:spacing w:line="360" w:lineRule="auto"/>
              <w:ind w:firstLine="480" w:firstLineChars="200"/>
              <w:jc w:val="both"/>
              <w:rPr>
                <w:bCs/>
                <w:color w:val="auto"/>
                <w:sz w:val="24"/>
                <w:highlight w:val="none"/>
              </w:rPr>
            </w:pPr>
          </w:p>
          <w:p>
            <w:pPr>
              <w:adjustRightInd w:val="0"/>
              <w:snapToGrid w:val="0"/>
              <w:spacing w:line="360" w:lineRule="auto"/>
              <w:ind w:firstLine="480" w:firstLineChars="200"/>
              <w:jc w:val="both"/>
              <w:rPr>
                <w:bCs/>
                <w:color w:val="auto"/>
                <w:sz w:val="24"/>
                <w:highlight w:val="none"/>
              </w:rPr>
            </w:pPr>
          </w:p>
          <w:p>
            <w:pPr>
              <w:adjustRightInd w:val="0"/>
              <w:snapToGrid w:val="0"/>
              <w:spacing w:line="360" w:lineRule="auto"/>
              <w:ind w:firstLine="480" w:firstLineChars="200"/>
              <w:jc w:val="both"/>
              <w:rPr>
                <w:bCs/>
                <w:color w:val="auto"/>
                <w:sz w:val="24"/>
                <w:highlight w:val="none"/>
              </w:rPr>
            </w:pPr>
          </w:p>
          <w:p>
            <w:pPr>
              <w:adjustRightInd w:val="0"/>
              <w:snapToGrid w:val="0"/>
              <w:spacing w:line="360" w:lineRule="auto"/>
              <w:ind w:firstLine="480" w:firstLineChars="200"/>
              <w:jc w:val="both"/>
              <w:rPr>
                <w:bCs/>
                <w:color w:val="auto"/>
                <w:sz w:val="24"/>
                <w:highlight w:val="none"/>
              </w:rPr>
            </w:pPr>
          </w:p>
          <w:p>
            <w:pPr>
              <w:adjustRightInd w:val="0"/>
              <w:snapToGrid w:val="0"/>
              <w:spacing w:line="360" w:lineRule="auto"/>
              <w:ind w:firstLine="480" w:firstLineChars="200"/>
              <w:jc w:val="both"/>
              <w:rPr>
                <w:bCs/>
                <w:color w:val="auto"/>
                <w:sz w:val="24"/>
                <w:highlight w:val="none"/>
              </w:rPr>
            </w:pPr>
          </w:p>
          <w:p>
            <w:pPr>
              <w:spacing w:line="360" w:lineRule="auto"/>
              <w:jc w:val="both"/>
              <w:rPr>
                <w:color w:val="auto"/>
                <w:sz w:val="24"/>
                <w:highlight w:val="none"/>
              </w:rPr>
            </w:pPr>
          </w:p>
        </w:tc>
      </w:tr>
    </w:tbl>
    <w:p>
      <w:pPr>
        <w:pStyle w:val="21"/>
        <w:rPr>
          <w:color w:val="auto"/>
          <w:highlight w:val="none"/>
        </w:rPr>
        <w:sectPr>
          <w:pgSz w:w="11906" w:h="16838"/>
          <w:pgMar w:top="1440" w:right="1800" w:bottom="1440" w:left="1800" w:header="851" w:footer="992" w:gutter="0"/>
          <w:pgNumType w:fmt="decimal"/>
          <w:cols w:space="425" w:num="1"/>
          <w:docGrid w:type="lines" w:linePitch="312" w:charSpace="0"/>
        </w:sectPr>
      </w:pPr>
    </w:p>
    <w:p>
      <w:pPr>
        <w:pStyle w:val="13"/>
        <w:adjustRightInd w:val="0"/>
        <w:snapToGrid w:val="0"/>
        <w:spacing w:before="0" w:beforeAutospacing="0" w:after="0" w:afterAutospacing="0" w:line="648" w:lineRule="auto"/>
        <w:outlineLvl w:val="0"/>
        <w:rPr>
          <w:rFonts w:ascii="Times New Roman" w:hAnsi="Times New Roman"/>
          <w:snapToGrid w:val="0"/>
          <w:color w:val="auto"/>
          <w:sz w:val="32"/>
          <w:szCs w:val="32"/>
          <w:highlight w:val="none"/>
        </w:rPr>
      </w:pPr>
      <w:r>
        <w:rPr>
          <w:rFonts w:ascii="Times New Roman" w:hAnsi="Times New Roman"/>
          <w:snapToGrid w:val="0"/>
          <w:color w:val="auto"/>
          <w:sz w:val="32"/>
          <w:szCs w:val="32"/>
          <w:highlight w:val="none"/>
        </w:rPr>
        <w:t>附表</w:t>
      </w:r>
    </w:p>
    <w:p>
      <w:pPr>
        <w:pStyle w:val="13"/>
        <w:adjustRightInd w:val="0"/>
        <w:snapToGrid w:val="0"/>
        <w:spacing w:before="0" w:beforeAutospacing="0" w:after="0" w:afterAutospacing="0" w:line="360" w:lineRule="auto"/>
        <w:jc w:val="center"/>
        <w:outlineLvl w:val="0"/>
        <w:rPr>
          <w:rFonts w:ascii="Times New Roman" w:hAnsi="Times New Roman"/>
          <w:snapToGrid w:val="0"/>
          <w:color w:val="auto"/>
          <w:sz w:val="38"/>
          <w:szCs w:val="38"/>
          <w:highlight w:val="none"/>
        </w:rPr>
      </w:pPr>
      <w:r>
        <w:rPr>
          <w:rFonts w:ascii="Times New Roman" w:hAnsi="Times New Roman"/>
          <w:snapToGrid w:val="0"/>
          <w:color w:val="auto"/>
          <w:sz w:val="38"/>
          <w:szCs w:val="38"/>
          <w:highlight w:val="none"/>
        </w:rPr>
        <w:t>建设项目污染物排放量汇总表</w:t>
      </w:r>
    </w:p>
    <w:tbl>
      <w:tblPr>
        <w:tblStyle w:val="15"/>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22"/>
        <w:gridCol w:w="707"/>
        <w:gridCol w:w="976"/>
        <w:gridCol w:w="1701"/>
        <w:gridCol w:w="1276"/>
        <w:gridCol w:w="1701"/>
        <w:gridCol w:w="1559"/>
        <w:gridCol w:w="1761"/>
        <w:gridCol w:w="1699"/>
        <w:gridCol w:w="10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322" w:type="dxa"/>
            <w:tcBorders>
              <w:tl2br w:val="single" w:color="auto" w:sz="4" w:space="0"/>
            </w:tcBorders>
            <w:noWrap w:val="0"/>
            <w:tcMar>
              <w:left w:w="28" w:type="dxa"/>
              <w:right w:w="28" w:type="dxa"/>
            </w:tcMar>
            <w:vAlign w:val="center"/>
          </w:tcPr>
          <w:p>
            <w:pPr>
              <w:pStyle w:val="20"/>
              <w:spacing w:beforeLines="0" w:afterLines="0" w:line="240" w:lineRule="auto"/>
              <w:jc w:val="right"/>
              <w:rPr>
                <w:rFonts w:ascii="Times New Roman"/>
                <w:snapToGrid w:val="0"/>
                <w:color w:val="auto"/>
                <w:spacing w:val="-6"/>
                <w:kern w:val="21"/>
                <w:szCs w:val="21"/>
                <w:highlight w:val="none"/>
                <w:lang w:val="en-US" w:eastAsia="zh-CN"/>
              </w:rPr>
            </w:pPr>
            <w:r>
              <w:rPr>
                <w:rFonts w:ascii="Times New Roman"/>
                <w:snapToGrid w:val="0"/>
                <w:color w:val="auto"/>
                <w:spacing w:val="-6"/>
                <w:kern w:val="21"/>
                <w:szCs w:val="21"/>
                <w:highlight w:val="none"/>
                <w:lang w:val="en-US" w:eastAsia="zh-CN"/>
              </w:rPr>
              <w:t>项目</w:t>
            </w:r>
          </w:p>
          <w:p>
            <w:pPr>
              <w:pStyle w:val="20"/>
              <w:spacing w:beforeLines="0" w:afterLines="0" w:line="240" w:lineRule="auto"/>
              <w:jc w:val="left"/>
              <w:rPr>
                <w:rFonts w:ascii="Times New Roman"/>
                <w:snapToGrid w:val="0"/>
                <w:color w:val="auto"/>
                <w:spacing w:val="-6"/>
                <w:kern w:val="21"/>
                <w:szCs w:val="21"/>
                <w:highlight w:val="none"/>
                <w:lang w:val="en-US" w:eastAsia="zh-CN"/>
              </w:rPr>
            </w:pPr>
            <w:r>
              <w:rPr>
                <w:rFonts w:ascii="Times New Roman"/>
                <w:snapToGrid w:val="0"/>
                <w:color w:val="auto"/>
                <w:spacing w:val="-6"/>
                <w:kern w:val="21"/>
                <w:szCs w:val="21"/>
                <w:highlight w:val="none"/>
                <w:lang w:val="en-US" w:eastAsia="zh-CN"/>
              </w:rPr>
              <w:t>分类</w:t>
            </w:r>
          </w:p>
        </w:tc>
        <w:tc>
          <w:tcPr>
            <w:tcW w:w="1683" w:type="dxa"/>
            <w:gridSpan w:val="2"/>
            <w:noWrap w:val="0"/>
            <w:tcMar>
              <w:left w:w="28" w:type="dxa"/>
              <w:right w:w="28" w:type="dxa"/>
            </w:tcMar>
            <w:vAlign w:val="center"/>
          </w:tcPr>
          <w:p>
            <w:pPr>
              <w:pStyle w:val="20"/>
              <w:spacing w:beforeLines="0" w:afterLines="0" w:line="240" w:lineRule="auto"/>
              <w:rPr>
                <w:rFonts w:ascii="Times New Roman"/>
                <w:snapToGrid w:val="0"/>
                <w:color w:val="auto"/>
                <w:spacing w:val="-6"/>
                <w:kern w:val="21"/>
                <w:szCs w:val="21"/>
                <w:highlight w:val="none"/>
                <w:lang w:val="en-US" w:eastAsia="zh-CN"/>
              </w:rPr>
            </w:pPr>
            <w:r>
              <w:rPr>
                <w:rFonts w:ascii="Times New Roman"/>
                <w:snapToGrid w:val="0"/>
                <w:color w:val="auto"/>
                <w:spacing w:val="-6"/>
                <w:kern w:val="21"/>
                <w:szCs w:val="21"/>
                <w:highlight w:val="none"/>
                <w:lang w:val="en-US" w:eastAsia="zh-CN"/>
              </w:rPr>
              <w:t>污染物名称</w:t>
            </w:r>
          </w:p>
        </w:tc>
        <w:tc>
          <w:tcPr>
            <w:tcW w:w="1701" w:type="dxa"/>
            <w:noWrap w:val="0"/>
            <w:tcMar>
              <w:left w:w="28" w:type="dxa"/>
              <w:right w:w="28" w:type="dxa"/>
            </w:tcMar>
            <w:vAlign w:val="center"/>
          </w:tcPr>
          <w:p>
            <w:pPr>
              <w:pStyle w:val="20"/>
              <w:spacing w:beforeLines="0" w:afterLines="0" w:line="240" w:lineRule="auto"/>
              <w:rPr>
                <w:rFonts w:ascii="Times New Roman"/>
                <w:snapToGrid w:val="0"/>
                <w:color w:val="auto"/>
                <w:spacing w:val="-6"/>
                <w:kern w:val="21"/>
                <w:szCs w:val="21"/>
                <w:highlight w:val="none"/>
                <w:lang w:val="en-US" w:eastAsia="zh-CN"/>
              </w:rPr>
            </w:pPr>
            <w:r>
              <w:rPr>
                <w:rFonts w:ascii="Times New Roman"/>
                <w:snapToGrid w:val="0"/>
                <w:color w:val="auto"/>
                <w:spacing w:val="-6"/>
                <w:kern w:val="21"/>
                <w:szCs w:val="21"/>
                <w:highlight w:val="none"/>
                <w:lang w:val="en-US" w:eastAsia="zh-CN"/>
              </w:rPr>
              <w:t>现有工程</w:t>
            </w:r>
          </w:p>
          <w:p>
            <w:pPr>
              <w:pStyle w:val="20"/>
              <w:spacing w:beforeLines="0" w:afterLines="0" w:line="240" w:lineRule="auto"/>
              <w:rPr>
                <w:rFonts w:ascii="Times New Roman"/>
                <w:snapToGrid w:val="0"/>
                <w:color w:val="auto"/>
                <w:spacing w:val="-6"/>
                <w:kern w:val="21"/>
                <w:szCs w:val="21"/>
                <w:highlight w:val="none"/>
                <w:lang w:val="en-US" w:eastAsia="zh-CN"/>
              </w:rPr>
            </w:pPr>
            <w:r>
              <w:rPr>
                <w:rFonts w:ascii="Times New Roman"/>
                <w:snapToGrid w:val="0"/>
                <w:color w:val="auto"/>
                <w:spacing w:val="-6"/>
                <w:kern w:val="21"/>
                <w:szCs w:val="21"/>
                <w:highlight w:val="none"/>
                <w:lang w:val="en-US" w:eastAsia="zh-CN"/>
              </w:rPr>
              <w:t>排放量（固体废物产生量）</w:t>
            </w:r>
            <w:r>
              <w:rPr>
                <w:rFonts w:ascii="Times New Roman"/>
                <w:snapToGrid w:val="0"/>
                <w:color w:val="auto"/>
                <w:spacing w:val="-6"/>
                <w:kern w:val="21"/>
                <w:szCs w:val="21"/>
                <w:highlight w:val="none"/>
                <w:lang w:val="en-US" w:eastAsia="zh-CN"/>
              </w:rPr>
              <w:fldChar w:fldCharType="begin"/>
            </w:r>
            <w:r>
              <w:rPr>
                <w:rFonts w:ascii="Times New Roman"/>
                <w:snapToGrid w:val="0"/>
                <w:color w:val="auto"/>
                <w:spacing w:val="-6"/>
                <w:kern w:val="21"/>
                <w:szCs w:val="21"/>
                <w:highlight w:val="none"/>
                <w:lang w:val="en-US" w:eastAsia="zh-CN"/>
              </w:rPr>
              <w:instrText xml:space="preserve"> = 1 \* GB3 \* MERGEFORMAT </w:instrText>
            </w:r>
            <w:r>
              <w:rPr>
                <w:rFonts w:ascii="Times New Roman"/>
                <w:snapToGrid w:val="0"/>
                <w:color w:val="auto"/>
                <w:spacing w:val="-6"/>
                <w:kern w:val="21"/>
                <w:szCs w:val="21"/>
                <w:highlight w:val="none"/>
                <w:lang w:val="en-US" w:eastAsia="zh-CN"/>
              </w:rPr>
              <w:fldChar w:fldCharType="separate"/>
            </w:r>
            <w:r>
              <w:rPr>
                <w:rFonts w:ascii="Times New Roman"/>
                <w:color w:val="auto"/>
                <w:kern w:val="2"/>
                <w:szCs w:val="21"/>
                <w:highlight w:val="none"/>
                <w:lang w:val="en-US" w:eastAsia="zh-CN"/>
              </w:rPr>
              <w:t>①</w:t>
            </w:r>
            <w:r>
              <w:rPr>
                <w:rFonts w:ascii="Times New Roman"/>
                <w:snapToGrid w:val="0"/>
                <w:color w:val="auto"/>
                <w:spacing w:val="-6"/>
                <w:kern w:val="21"/>
                <w:szCs w:val="21"/>
                <w:highlight w:val="none"/>
                <w:lang w:val="en-US" w:eastAsia="zh-CN"/>
              </w:rPr>
              <w:fldChar w:fldCharType="end"/>
            </w:r>
          </w:p>
        </w:tc>
        <w:tc>
          <w:tcPr>
            <w:tcW w:w="1276" w:type="dxa"/>
            <w:noWrap w:val="0"/>
            <w:tcMar>
              <w:left w:w="28" w:type="dxa"/>
              <w:right w:w="28" w:type="dxa"/>
            </w:tcMar>
            <w:vAlign w:val="center"/>
          </w:tcPr>
          <w:p>
            <w:pPr>
              <w:pStyle w:val="20"/>
              <w:spacing w:beforeLines="0" w:afterLines="0" w:line="240" w:lineRule="auto"/>
              <w:rPr>
                <w:rFonts w:ascii="Times New Roman"/>
                <w:snapToGrid w:val="0"/>
                <w:color w:val="auto"/>
                <w:spacing w:val="-6"/>
                <w:kern w:val="21"/>
                <w:szCs w:val="21"/>
                <w:highlight w:val="none"/>
                <w:lang w:val="en-US" w:eastAsia="zh-CN"/>
              </w:rPr>
            </w:pPr>
            <w:r>
              <w:rPr>
                <w:rFonts w:ascii="Times New Roman"/>
                <w:snapToGrid w:val="0"/>
                <w:color w:val="auto"/>
                <w:spacing w:val="-6"/>
                <w:kern w:val="21"/>
                <w:szCs w:val="21"/>
                <w:highlight w:val="none"/>
                <w:lang w:val="en-US" w:eastAsia="zh-CN"/>
              </w:rPr>
              <w:t>现有工程</w:t>
            </w:r>
          </w:p>
          <w:p>
            <w:pPr>
              <w:pStyle w:val="20"/>
              <w:spacing w:beforeLines="0" w:afterLines="0" w:line="240" w:lineRule="auto"/>
              <w:rPr>
                <w:rFonts w:ascii="Times New Roman"/>
                <w:snapToGrid w:val="0"/>
                <w:color w:val="auto"/>
                <w:spacing w:val="-6"/>
                <w:kern w:val="21"/>
                <w:szCs w:val="21"/>
                <w:highlight w:val="none"/>
                <w:lang w:val="en-US" w:eastAsia="zh-CN"/>
              </w:rPr>
            </w:pPr>
            <w:r>
              <w:rPr>
                <w:rFonts w:ascii="Times New Roman"/>
                <w:snapToGrid w:val="0"/>
                <w:color w:val="auto"/>
                <w:spacing w:val="-6"/>
                <w:kern w:val="21"/>
                <w:szCs w:val="21"/>
                <w:highlight w:val="none"/>
                <w:lang w:val="en-US" w:eastAsia="zh-CN"/>
              </w:rPr>
              <w:t>许可排放量</w:t>
            </w:r>
          </w:p>
          <w:p>
            <w:pPr>
              <w:pStyle w:val="20"/>
              <w:spacing w:beforeLines="0" w:afterLines="0" w:line="240" w:lineRule="auto"/>
              <w:rPr>
                <w:rFonts w:ascii="Times New Roman"/>
                <w:snapToGrid w:val="0"/>
                <w:color w:val="auto"/>
                <w:spacing w:val="-6"/>
                <w:kern w:val="21"/>
                <w:szCs w:val="21"/>
                <w:highlight w:val="none"/>
                <w:lang w:val="en-US" w:eastAsia="zh-CN"/>
              </w:rPr>
            </w:pPr>
            <w:r>
              <w:rPr>
                <w:rFonts w:ascii="Times New Roman"/>
                <w:snapToGrid w:val="0"/>
                <w:color w:val="auto"/>
                <w:spacing w:val="-6"/>
                <w:kern w:val="21"/>
                <w:szCs w:val="21"/>
                <w:highlight w:val="none"/>
                <w:lang w:val="en-US" w:eastAsia="zh-CN"/>
              </w:rPr>
              <w:fldChar w:fldCharType="begin"/>
            </w:r>
            <w:r>
              <w:rPr>
                <w:rFonts w:ascii="Times New Roman"/>
                <w:snapToGrid w:val="0"/>
                <w:color w:val="auto"/>
                <w:spacing w:val="-6"/>
                <w:kern w:val="21"/>
                <w:szCs w:val="21"/>
                <w:highlight w:val="none"/>
                <w:lang w:val="en-US" w:eastAsia="zh-CN"/>
              </w:rPr>
              <w:instrText xml:space="preserve"> = 2 \* GB3 \* MERGEFORMAT </w:instrText>
            </w:r>
            <w:r>
              <w:rPr>
                <w:rFonts w:ascii="Times New Roman"/>
                <w:snapToGrid w:val="0"/>
                <w:color w:val="auto"/>
                <w:spacing w:val="-6"/>
                <w:kern w:val="21"/>
                <w:szCs w:val="21"/>
                <w:highlight w:val="none"/>
                <w:lang w:val="en-US" w:eastAsia="zh-CN"/>
              </w:rPr>
              <w:fldChar w:fldCharType="separate"/>
            </w:r>
            <w:r>
              <w:rPr>
                <w:rFonts w:ascii="Times New Roman"/>
                <w:snapToGrid w:val="0"/>
                <w:color w:val="auto"/>
                <w:spacing w:val="-6"/>
                <w:kern w:val="21"/>
                <w:szCs w:val="21"/>
                <w:highlight w:val="none"/>
                <w:lang w:val="en-US" w:eastAsia="zh-CN"/>
              </w:rPr>
              <w:t>②</w:t>
            </w:r>
            <w:r>
              <w:rPr>
                <w:rFonts w:ascii="Times New Roman"/>
                <w:snapToGrid w:val="0"/>
                <w:color w:val="auto"/>
                <w:spacing w:val="-6"/>
                <w:kern w:val="21"/>
                <w:szCs w:val="21"/>
                <w:highlight w:val="none"/>
                <w:lang w:val="en-US" w:eastAsia="zh-CN"/>
              </w:rPr>
              <w:fldChar w:fldCharType="end"/>
            </w:r>
          </w:p>
        </w:tc>
        <w:tc>
          <w:tcPr>
            <w:tcW w:w="1701" w:type="dxa"/>
            <w:noWrap w:val="0"/>
            <w:tcMar>
              <w:left w:w="28" w:type="dxa"/>
              <w:right w:w="28" w:type="dxa"/>
            </w:tcMar>
            <w:vAlign w:val="center"/>
          </w:tcPr>
          <w:p>
            <w:pPr>
              <w:pStyle w:val="20"/>
              <w:spacing w:beforeLines="0" w:afterLines="0" w:line="240" w:lineRule="auto"/>
              <w:rPr>
                <w:rFonts w:ascii="Times New Roman"/>
                <w:snapToGrid w:val="0"/>
                <w:color w:val="auto"/>
                <w:spacing w:val="-6"/>
                <w:kern w:val="21"/>
                <w:szCs w:val="21"/>
                <w:highlight w:val="none"/>
                <w:lang w:val="en-US" w:eastAsia="zh-CN"/>
              </w:rPr>
            </w:pPr>
            <w:r>
              <w:rPr>
                <w:rFonts w:ascii="Times New Roman"/>
                <w:snapToGrid w:val="0"/>
                <w:color w:val="auto"/>
                <w:spacing w:val="-6"/>
                <w:kern w:val="21"/>
                <w:szCs w:val="21"/>
                <w:highlight w:val="none"/>
                <w:lang w:val="en-US" w:eastAsia="zh-CN"/>
              </w:rPr>
              <w:t>在建工程</w:t>
            </w:r>
          </w:p>
          <w:p>
            <w:pPr>
              <w:pStyle w:val="20"/>
              <w:spacing w:beforeLines="0" w:afterLines="0" w:line="240" w:lineRule="auto"/>
              <w:rPr>
                <w:rFonts w:ascii="Times New Roman"/>
                <w:snapToGrid w:val="0"/>
                <w:color w:val="auto"/>
                <w:spacing w:val="-6"/>
                <w:kern w:val="21"/>
                <w:szCs w:val="21"/>
                <w:highlight w:val="none"/>
                <w:lang w:val="en-US" w:eastAsia="zh-CN"/>
              </w:rPr>
            </w:pPr>
            <w:r>
              <w:rPr>
                <w:rFonts w:ascii="Times New Roman"/>
                <w:snapToGrid w:val="0"/>
                <w:color w:val="auto"/>
                <w:spacing w:val="-6"/>
                <w:kern w:val="21"/>
                <w:szCs w:val="21"/>
                <w:highlight w:val="none"/>
                <w:lang w:val="en-US" w:eastAsia="zh-CN"/>
              </w:rPr>
              <w:t>排放量（固体废物产生量）</w:t>
            </w:r>
            <w:r>
              <w:rPr>
                <w:rFonts w:ascii="Times New Roman"/>
                <w:snapToGrid w:val="0"/>
                <w:color w:val="auto"/>
                <w:spacing w:val="-6"/>
                <w:kern w:val="21"/>
                <w:szCs w:val="21"/>
                <w:highlight w:val="none"/>
                <w:lang w:val="en-US" w:eastAsia="zh-CN"/>
              </w:rPr>
              <w:fldChar w:fldCharType="begin"/>
            </w:r>
            <w:r>
              <w:rPr>
                <w:rFonts w:ascii="Times New Roman"/>
                <w:snapToGrid w:val="0"/>
                <w:color w:val="auto"/>
                <w:spacing w:val="-6"/>
                <w:kern w:val="21"/>
                <w:szCs w:val="21"/>
                <w:highlight w:val="none"/>
                <w:lang w:val="en-US" w:eastAsia="zh-CN"/>
              </w:rPr>
              <w:instrText xml:space="preserve"> = 3 \* GB3 \* MERGEFORMAT </w:instrText>
            </w:r>
            <w:r>
              <w:rPr>
                <w:rFonts w:ascii="Times New Roman"/>
                <w:snapToGrid w:val="0"/>
                <w:color w:val="auto"/>
                <w:spacing w:val="-6"/>
                <w:kern w:val="21"/>
                <w:szCs w:val="21"/>
                <w:highlight w:val="none"/>
                <w:lang w:val="en-US" w:eastAsia="zh-CN"/>
              </w:rPr>
              <w:fldChar w:fldCharType="separate"/>
            </w:r>
            <w:r>
              <w:rPr>
                <w:rFonts w:ascii="Times New Roman"/>
                <w:color w:val="auto"/>
                <w:kern w:val="2"/>
                <w:szCs w:val="21"/>
                <w:highlight w:val="none"/>
                <w:lang w:val="en-US" w:eastAsia="zh-CN"/>
              </w:rPr>
              <w:t>③</w:t>
            </w:r>
            <w:r>
              <w:rPr>
                <w:rFonts w:ascii="Times New Roman"/>
                <w:snapToGrid w:val="0"/>
                <w:color w:val="auto"/>
                <w:spacing w:val="-6"/>
                <w:kern w:val="21"/>
                <w:szCs w:val="21"/>
                <w:highlight w:val="none"/>
                <w:lang w:val="en-US" w:eastAsia="zh-CN"/>
              </w:rPr>
              <w:fldChar w:fldCharType="end"/>
            </w:r>
          </w:p>
        </w:tc>
        <w:tc>
          <w:tcPr>
            <w:tcW w:w="1559" w:type="dxa"/>
            <w:noWrap w:val="0"/>
            <w:tcMar>
              <w:left w:w="28" w:type="dxa"/>
              <w:right w:w="28" w:type="dxa"/>
            </w:tcMar>
            <w:vAlign w:val="center"/>
          </w:tcPr>
          <w:p>
            <w:pPr>
              <w:pStyle w:val="20"/>
              <w:spacing w:beforeLines="0" w:afterLines="0" w:line="240" w:lineRule="auto"/>
              <w:rPr>
                <w:rFonts w:ascii="Times New Roman"/>
                <w:snapToGrid w:val="0"/>
                <w:color w:val="auto"/>
                <w:spacing w:val="-6"/>
                <w:kern w:val="21"/>
                <w:szCs w:val="21"/>
                <w:highlight w:val="none"/>
                <w:lang w:val="en-US" w:eastAsia="zh-CN"/>
              </w:rPr>
            </w:pPr>
            <w:r>
              <w:rPr>
                <w:rFonts w:ascii="Times New Roman"/>
                <w:snapToGrid w:val="0"/>
                <w:color w:val="auto"/>
                <w:spacing w:val="-6"/>
                <w:kern w:val="21"/>
                <w:szCs w:val="21"/>
                <w:highlight w:val="none"/>
                <w:lang w:val="en-US" w:eastAsia="zh-CN"/>
              </w:rPr>
              <w:t>本项目</w:t>
            </w:r>
          </w:p>
          <w:p>
            <w:pPr>
              <w:pStyle w:val="20"/>
              <w:spacing w:beforeLines="0" w:afterLines="0" w:line="240" w:lineRule="auto"/>
              <w:rPr>
                <w:rFonts w:ascii="Times New Roman"/>
                <w:snapToGrid w:val="0"/>
                <w:color w:val="auto"/>
                <w:spacing w:val="-6"/>
                <w:kern w:val="21"/>
                <w:szCs w:val="21"/>
                <w:highlight w:val="none"/>
                <w:lang w:val="en-US" w:eastAsia="zh-CN"/>
              </w:rPr>
            </w:pPr>
            <w:r>
              <w:rPr>
                <w:rFonts w:ascii="Times New Roman"/>
                <w:snapToGrid w:val="0"/>
                <w:color w:val="auto"/>
                <w:spacing w:val="-6"/>
                <w:kern w:val="21"/>
                <w:szCs w:val="21"/>
                <w:highlight w:val="none"/>
                <w:lang w:val="en-US" w:eastAsia="zh-CN"/>
              </w:rPr>
              <w:t>排放量（固体废物产生量）</w:t>
            </w:r>
            <w:r>
              <w:rPr>
                <w:rFonts w:ascii="Times New Roman"/>
                <w:snapToGrid w:val="0"/>
                <w:color w:val="auto"/>
                <w:spacing w:val="-6"/>
                <w:kern w:val="21"/>
                <w:szCs w:val="21"/>
                <w:highlight w:val="none"/>
                <w:lang w:val="en-US" w:eastAsia="zh-CN"/>
              </w:rPr>
              <w:fldChar w:fldCharType="begin"/>
            </w:r>
            <w:r>
              <w:rPr>
                <w:rFonts w:ascii="Times New Roman"/>
                <w:snapToGrid w:val="0"/>
                <w:color w:val="auto"/>
                <w:spacing w:val="-6"/>
                <w:kern w:val="21"/>
                <w:szCs w:val="21"/>
                <w:highlight w:val="none"/>
                <w:lang w:val="en-US" w:eastAsia="zh-CN"/>
              </w:rPr>
              <w:instrText xml:space="preserve"> = 4 \* GB3 \* MERGEFORMAT </w:instrText>
            </w:r>
            <w:r>
              <w:rPr>
                <w:rFonts w:ascii="Times New Roman"/>
                <w:snapToGrid w:val="0"/>
                <w:color w:val="auto"/>
                <w:spacing w:val="-6"/>
                <w:kern w:val="21"/>
                <w:szCs w:val="21"/>
                <w:highlight w:val="none"/>
                <w:lang w:val="en-US" w:eastAsia="zh-CN"/>
              </w:rPr>
              <w:fldChar w:fldCharType="separate"/>
            </w:r>
            <w:r>
              <w:rPr>
                <w:rFonts w:ascii="Times New Roman"/>
                <w:color w:val="auto"/>
                <w:kern w:val="2"/>
                <w:szCs w:val="21"/>
                <w:highlight w:val="none"/>
                <w:lang w:val="en-US" w:eastAsia="zh-CN"/>
              </w:rPr>
              <w:t>④</w:t>
            </w:r>
            <w:r>
              <w:rPr>
                <w:rFonts w:ascii="Times New Roman"/>
                <w:snapToGrid w:val="0"/>
                <w:color w:val="auto"/>
                <w:spacing w:val="-6"/>
                <w:kern w:val="21"/>
                <w:szCs w:val="21"/>
                <w:highlight w:val="none"/>
                <w:lang w:val="en-US" w:eastAsia="zh-CN"/>
              </w:rPr>
              <w:fldChar w:fldCharType="end"/>
            </w:r>
          </w:p>
        </w:tc>
        <w:tc>
          <w:tcPr>
            <w:tcW w:w="1761" w:type="dxa"/>
            <w:noWrap w:val="0"/>
            <w:tcMar>
              <w:left w:w="28" w:type="dxa"/>
              <w:right w:w="28" w:type="dxa"/>
            </w:tcMar>
            <w:vAlign w:val="center"/>
          </w:tcPr>
          <w:p>
            <w:pPr>
              <w:pStyle w:val="20"/>
              <w:spacing w:beforeLines="0" w:afterLines="0" w:line="240" w:lineRule="auto"/>
              <w:rPr>
                <w:rFonts w:ascii="Times New Roman"/>
                <w:snapToGrid w:val="0"/>
                <w:color w:val="auto"/>
                <w:spacing w:val="-16"/>
                <w:kern w:val="21"/>
                <w:szCs w:val="21"/>
                <w:highlight w:val="none"/>
                <w:lang w:val="en-US" w:eastAsia="zh-CN"/>
              </w:rPr>
            </w:pPr>
            <w:r>
              <w:rPr>
                <w:rFonts w:ascii="Times New Roman"/>
                <w:snapToGrid w:val="0"/>
                <w:color w:val="auto"/>
                <w:spacing w:val="-16"/>
                <w:kern w:val="21"/>
                <w:szCs w:val="21"/>
                <w:highlight w:val="none"/>
                <w:lang w:val="en-US" w:eastAsia="zh-CN"/>
              </w:rPr>
              <w:t>以新带老削减量</w:t>
            </w:r>
          </w:p>
          <w:p>
            <w:pPr>
              <w:pStyle w:val="20"/>
              <w:spacing w:beforeLines="0" w:afterLines="0" w:line="240" w:lineRule="auto"/>
              <w:rPr>
                <w:rFonts w:ascii="Times New Roman"/>
                <w:snapToGrid w:val="0"/>
                <w:color w:val="auto"/>
                <w:spacing w:val="-16"/>
                <w:kern w:val="21"/>
                <w:szCs w:val="21"/>
                <w:highlight w:val="none"/>
                <w:lang w:val="en-US" w:eastAsia="zh-CN"/>
              </w:rPr>
            </w:pPr>
            <w:r>
              <w:rPr>
                <w:rFonts w:ascii="Times New Roman"/>
                <w:snapToGrid w:val="0"/>
                <w:color w:val="auto"/>
                <w:spacing w:val="-16"/>
                <w:kern w:val="21"/>
                <w:szCs w:val="21"/>
                <w:highlight w:val="none"/>
                <w:lang w:val="en-US" w:eastAsia="zh-CN"/>
              </w:rPr>
              <w:t>（新建项目不填）</w:t>
            </w:r>
            <w:r>
              <w:rPr>
                <w:rFonts w:ascii="Times New Roman"/>
                <w:snapToGrid w:val="0"/>
                <w:color w:val="auto"/>
                <w:spacing w:val="-16"/>
                <w:kern w:val="21"/>
                <w:szCs w:val="21"/>
                <w:highlight w:val="none"/>
                <w:lang w:val="en-US" w:eastAsia="zh-CN"/>
              </w:rPr>
              <w:fldChar w:fldCharType="begin"/>
            </w:r>
            <w:r>
              <w:rPr>
                <w:rFonts w:ascii="Times New Roman"/>
                <w:snapToGrid w:val="0"/>
                <w:color w:val="auto"/>
                <w:spacing w:val="-16"/>
                <w:kern w:val="21"/>
                <w:szCs w:val="21"/>
                <w:highlight w:val="none"/>
                <w:lang w:val="en-US" w:eastAsia="zh-CN"/>
              </w:rPr>
              <w:instrText xml:space="preserve"> = 5 \* GB3 \* MERGEFORMAT </w:instrText>
            </w:r>
            <w:r>
              <w:rPr>
                <w:rFonts w:ascii="Times New Roman"/>
                <w:snapToGrid w:val="0"/>
                <w:color w:val="auto"/>
                <w:spacing w:val="-16"/>
                <w:kern w:val="21"/>
                <w:szCs w:val="21"/>
                <w:highlight w:val="none"/>
                <w:lang w:val="en-US" w:eastAsia="zh-CN"/>
              </w:rPr>
              <w:fldChar w:fldCharType="separate"/>
            </w:r>
            <w:r>
              <w:rPr>
                <w:rFonts w:ascii="Times New Roman"/>
                <w:color w:val="auto"/>
                <w:kern w:val="2"/>
                <w:szCs w:val="21"/>
                <w:highlight w:val="none"/>
                <w:lang w:val="en-US" w:eastAsia="zh-CN"/>
              </w:rPr>
              <w:t>⑤</w:t>
            </w:r>
            <w:r>
              <w:rPr>
                <w:rFonts w:ascii="Times New Roman"/>
                <w:snapToGrid w:val="0"/>
                <w:color w:val="auto"/>
                <w:spacing w:val="-16"/>
                <w:kern w:val="21"/>
                <w:szCs w:val="21"/>
                <w:highlight w:val="none"/>
                <w:lang w:val="en-US" w:eastAsia="zh-CN"/>
              </w:rPr>
              <w:fldChar w:fldCharType="end"/>
            </w:r>
          </w:p>
        </w:tc>
        <w:tc>
          <w:tcPr>
            <w:tcW w:w="1699" w:type="dxa"/>
            <w:noWrap w:val="0"/>
            <w:tcMar>
              <w:left w:w="28" w:type="dxa"/>
              <w:right w:w="28" w:type="dxa"/>
            </w:tcMar>
            <w:vAlign w:val="center"/>
          </w:tcPr>
          <w:p>
            <w:pPr>
              <w:pStyle w:val="20"/>
              <w:spacing w:beforeLines="0" w:afterLines="0" w:line="240" w:lineRule="auto"/>
              <w:rPr>
                <w:rFonts w:ascii="Times New Roman"/>
                <w:snapToGrid w:val="0"/>
                <w:color w:val="auto"/>
                <w:spacing w:val="-16"/>
                <w:kern w:val="21"/>
                <w:szCs w:val="21"/>
                <w:highlight w:val="none"/>
                <w:lang w:val="en-US" w:eastAsia="zh-CN"/>
              </w:rPr>
            </w:pPr>
            <w:r>
              <w:rPr>
                <w:rFonts w:ascii="Times New Roman"/>
                <w:snapToGrid w:val="0"/>
                <w:color w:val="auto"/>
                <w:spacing w:val="-16"/>
                <w:kern w:val="21"/>
                <w:szCs w:val="21"/>
                <w:highlight w:val="none"/>
                <w:lang w:val="en-US" w:eastAsia="zh-CN"/>
              </w:rPr>
              <w:t>本项目建成后</w:t>
            </w:r>
          </w:p>
          <w:p>
            <w:pPr>
              <w:pStyle w:val="20"/>
              <w:spacing w:beforeLines="0" w:afterLines="0" w:line="240" w:lineRule="auto"/>
              <w:rPr>
                <w:rFonts w:ascii="Times New Roman"/>
                <w:snapToGrid w:val="0"/>
                <w:color w:val="auto"/>
                <w:spacing w:val="-16"/>
                <w:kern w:val="21"/>
                <w:szCs w:val="21"/>
                <w:highlight w:val="none"/>
                <w:lang w:val="en-US" w:eastAsia="zh-CN"/>
              </w:rPr>
            </w:pPr>
            <w:r>
              <w:rPr>
                <w:rFonts w:ascii="Times New Roman"/>
                <w:snapToGrid w:val="0"/>
                <w:color w:val="auto"/>
                <w:spacing w:val="-16"/>
                <w:kern w:val="21"/>
                <w:szCs w:val="21"/>
                <w:highlight w:val="none"/>
                <w:lang w:val="en-US" w:eastAsia="zh-CN"/>
              </w:rPr>
              <w:t>全厂排放量（固体废物产生量）</w:t>
            </w:r>
            <w:r>
              <w:rPr>
                <w:rFonts w:ascii="Times New Roman"/>
                <w:snapToGrid w:val="0"/>
                <w:color w:val="auto"/>
                <w:spacing w:val="-16"/>
                <w:kern w:val="21"/>
                <w:szCs w:val="21"/>
                <w:highlight w:val="none"/>
                <w:lang w:val="en-US" w:eastAsia="zh-CN"/>
              </w:rPr>
              <w:fldChar w:fldCharType="begin"/>
            </w:r>
            <w:r>
              <w:rPr>
                <w:rFonts w:ascii="Times New Roman"/>
                <w:snapToGrid w:val="0"/>
                <w:color w:val="auto"/>
                <w:spacing w:val="-16"/>
                <w:kern w:val="21"/>
                <w:szCs w:val="21"/>
                <w:highlight w:val="none"/>
                <w:lang w:val="en-US" w:eastAsia="zh-CN"/>
              </w:rPr>
              <w:instrText xml:space="preserve"> = 6 \* GB3 \* MERGEFORMAT </w:instrText>
            </w:r>
            <w:r>
              <w:rPr>
                <w:rFonts w:ascii="Times New Roman"/>
                <w:snapToGrid w:val="0"/>
                <w:color w:val="auto"/>
                <w:spacing w:val="-16"/>
                <w:kern w:val="21"/>
                <w:szCs w:val="21"/>
                <w:highlight w:val="none"/>
                <w:lang w:val="en-US" w:eastAsia="zh-CN"/>
              </w:rPr>
              <w:fldChar w:fldCharType="separate"/>
            </w:r>
            <w:r>
              <w:rPr>
                <w:rFonts w:ascii="Times New Roman"/>
                <w:color w:val="auto"/>
                <w:kern w:val="2"/>
                <w:szCs w:val="21"/>
                <w:highlight w:val="none"/>
                <w:lang w:val="en-US" w:eastAsia="zh-CN"/>
              </w:rPr>
              <w:t>⑥</w:t>
            </w:r>
            <w:r>
              <w:rPr>
                <w:rFonts w:ascii="Times New Roman"/>
                <w:snapToGrid w:val="0"/>
                <w:color w:val="auto"/>
                <w:spacing w:val="-16"/>
                <w:kern w:val="21"/>
                <w:szCs w:val="21"/>
                <w:highlight w:val="none"/>
                <w:lang w:val="en-US" w:eastAsia="zh-CN"/>
              </w:rPr>
              <w:fldChar w:fldCharType="end"/>
            </w:r>
          </w:p>
        </w:tc>
        <w:tc>
          <w:tcPr>
            <w:tcW w:w="1086" w:type="dxa"/>
            <w:noWrap w:val="0"/>
            <w:tcMar>
              <w:left w:w="28" w:type="dxa"/>
              <w:right w:w="28" w:type="dxa"/>
            </w:tcMar>
            <w:vAlign w:val="center"/>
          </w:tcPr>
          <w:p>
            <w:pPr>
              <w:pStyle w:val="20"/>
              <w:spacing w:beforeLines="0" w:afterLines="0" w:line="240" w:lineRule="auto"/>
              <w:rPr>
                <w:rFonts w:ascii="Times New Roman"/>
                <w:snapToGrid w:val="0"/>
                <w:color w:val="auto"/>
                <w:spacing w:val="-6"/>
                <w:kern w:val="21"/>
                <w:szCs w:val="21"/>
                <w:highlight w:val="none"/>
                <w:lang w:val="en-US" w:eastAsia="zh-CN"/>
              </w:rPr>
            </w:pPr>
            <w:r>
              <w:rPr>
                <w:rFonts w:ascii="Times New Roman"/>
                <w:snapToGrid w:val="0"/>
                <w:color w:val="auto"/>
                <w:spacing w:val="-6"/>
                <w:kern w:val="21"/>
                <w:szCs w:val="21"/>
                <w:highlight w:val="none"/>
                <w:lang w:val="en-US" w:eastAsia="zh-CN"/>
              </w:rPr>
              <w:t>变化量</w:t>
            </w:r>
          </w:p>
          <w:p>
            <w:pPr>
              <w:pStyle w:val="20"/>
              <w:spacing w:beforeLines="0" w:afterLines="0" w:line="240" w:lineRule="auto"/>
              <w:rPr>
                <w:rFonts w:ascii="Times New Roman"/>
                <w:snapToGrid w:val="0"/>
                <w:color w:val="auto"/>
                <w:spacing w:val="-6"/>
                <w:kern w:val="21"/>
                <w:szCs w:val="21"/>
                <w:highlight w:val="none"/>
                <w:lang w:val="en-US" w:eastAsia="zh-CN"/>
              </w:rPr>
            </w:pPr>
            <w:r>
              <w:rPr>
                <w:rFonts w:ascii="Times New Roman"/>
                <w:snapToGrid w:val="0"/>
                <w:color w:val="auto"/>
                <w:spacing w:val="-6"/>
                <w:kern w:val="21"/>
                <w:szCs w:val="21"/>
                <w:highlight w:val="none"/>
                <w:lang w:val="en-US" w:eastAsia="zh-CN"/>
              </w:rPr>
              <w:fldChar w:fldCharType="begin"/>
            </w:r>
            <w:r>
              <w:rPr>
                <w:rFonts w:ascii="Times New Roman"/>
                <w:snapToGrid w:val="0"/>
                <w:color w:val="auto"/>
                <w:spacing w:val="-6"/>
                <w:kern w:val="21"/>
                <w:szCs w:val="21"/>
                <w:highlight w:val="none"/>
                <w:lang w:val="en-US" w:eastAsia="zh-CN"/>
              </w:rPr>
              <w:instrText xml:space="preserve"> = 7 \* GB3 \* MERGEFORMAT </w:instrText>
            </w:r>
            <w:r>
              <w:rPr>
                <w:rFonts w:ascii="Times New Roman"/>
                <w:snapToGrid w:val="0"/>
                <w:color w:val="auto"/>
                <w:spacing w:val="-6"/>
                <w:kern w:val="21"/>
                <w:szCs w:val="21"/>
                <w:highlight w:val="none"/>
                <w:lang w:val="en-US" w:eastAsia="zh-CN"/>
              </w:rPr>
              <w:fldChar w:fldCharType="separate"/>
            </w:r>
            <w:r>
              <w:rPr>
                <w:rFonts w:ascii="Times New Roman"/>
                <w:color w:val="auto"/>
                <w:kern w:val="2"/>
                <w:szCs w:val="21"/>
                <w:highlight w:val="none"/>
                <w:lang w:val="en-US" w:eastAsia="zh-CN"/>
              </w:rPr>
              <w:t>⑦</w:t>
            </w:r>
            <w:r>
              <w:rPr>
                <w:rFonts w:ascii="Times New Roman"/>
                <w:snapToGrid w:val="0"/>
                <w:color w:val="auto"/>
                <w:spacing w:val="-6"/>
                <w:kern w:val="21"/>
                <w:szCs w:val="21"/>
                <w:highlight w:val="none"/>
                <w:lang w:val="en-US" w:eastAsia="zh-CN"/>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22" w:type="dxa"/>
            <w:vMerge w:val="restart"/>
            <w:noWrap w:val="0"/>
            <w:vAlign w:val="center"/>
          </w:tcPr>
          <w:p>
            <w:pPr>
              <w:pStyle w:val="20"/>
              <w:spacing w:beforeLines="0" w:afterLines="0" w:line="240" w:lineRule="auto"/>
              <w:rPr>
                <w:rFonts w:ascii="Times New Roman"/>
                <w:snapToGrid w:val="0"/>
                <w:color w:val="auto"/>
                <w:kern w:val="21"/>
                <w:szCs w:val="21"/>
                <w:highlight w:val="none"/>
                <w:lang w:val="en-US" w:eastAsia="zh-CN"/>
              </w:rPr>
            </w:pPr>
            <w:r>
              <w:rPr>
                <w:rFonts w:ascii="Times New Roman"/>
                <w:snapToGrid w:val="0"/>
                <w:color w:val="auto"/>
                <w:kern w:val="21"/>
                <w:szCs w:val="21"/>
                <w:highlight w:val="none"/>
                <w:lang w:val="en-US" w:eastAsia="zh-CN"/>
              </w:rPr>
              <w:t>废气</w:t>
            </w:r>
          </w:p>
        </w:tc>
        <w:tc>
          <w:tcPr>
            <w:tcW w:w="707" w:type="dxa"/>
            <w:vMerge w:val="restart"/>
            <w:noWrap w:val="0"/>
            <w:vAlign w:val="center"/>
          </w:tcPr>
          <w:p>
            <w:pPr>
              <w:pStyle w:val="20"/>
              <w:spacing w:beforeLines="0" w:afterLines="0" w:line="240" w:lineRule="auto"/>
              <w:rPr>
                <w:rFonts w:hint="default" w:ascii="Times New Roman" w:hAnsi="Times New Roman" w:cs="Times New Roman"/>
                <w:snapToGrid w:val="0"/>
                <w:color w:val="auto"/>
                <w:kern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DA001</w:t>
            </w:r>
          </w:p>
        </w:tc>
        <w:tc>
          <w:tcPr>
            <w:tcW w:w="97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非甲烷总烃</w:t>
            </w:r>
            <w:r>
              <w:rPr>
                <w:rFonts w:hint="eastAsia" w:ascii="Times New Roman"/>
                <w:snapToGrid w:val="0"/>
                <w:color w:val="auto"/>
                <w:kern w:val="21"/>
                <w:szCs w:val="21"/>
                <w:highlight w:val="none"/>
                <w:lang w:val="en-US" w:eastAsia="zh-CN"/>
              </w:rPr>
              <w:t>t/a</w:t>
            </w:r>
          </w:p>
        </w:tc>
        <w:tc>
          <w:tcPr>
            <w:tcW w:w="1701" w:type="dxa"/>
            <w:noWrap w:val="0"/>
            <w:vAlign w:val="center"/>
          </w:tcPr>
          <w:p>
            <w:pPr>
              <w:jc w:val="center"/>
              <w:rPr>
                <w:rFonts w:hint="eastAsia" w:ascii="Times New Roman"/>
                <w:snapToGrid w:val="0"/>
                <w:color w:val="auto"/>
                <w:kern w:val="21"/>
                <w:szCs w:val="21"/>
                <w:highlight w:val="none"/>
                <w:lang w:val="en-US" w:eastAsia="zh-CN"/>
              </w:rPr>
            </w:pPr>
            <w:r>
              <w:rPr>
                <w:color w:val="auto"/>
                <w:szCs w:val="21"/>
                <w:highlight w:val="none"/>
              </w:rPr>
              <w:t>0</w:t>
            </w:r>
          </w:p>
        </w:tc>
        <w:tc>
          <w:tcPr>
            <w:tcW w:w="1276" w:type="dxa"/>
            <w:noWrap w:val="0"/>
            <w:vAlign w:val="center"/>
          </w:tcPr>
          <w:p>
            <w:pPr>
              <w:jc w:val="center"/>
              <w:rPr>
                <w:rFonts w:hint="eastAsia" w:ascii="Times New Roman"/>
                <w:snapToGrid w:val="0"/>
                <w:color w:val="auto"/>
                <w:kern w:val="21"/>
                <w:szCs w:val="21"/>
                <w:highlight w:val="none"/>
                <w:lang w:val="en-US" w:eastAsia="zh-CN"/>
              </w:rPr>
            </w:pPr>
            <w:r>
              <w:rPr>
                <w:color w:val="auto"/>
                <w:szCs w:val="21"/>
                <w:highlight w:val="none"/>
              </w:rPr>
              <w:t>0</w:t>
            </w:r>
          </w:p>
        </w:tc>
        <w:tc>
          <w:tcPr>
            <w:tcW w:w="1701" w:type="dxa"/>
            <w:noWrap w:val="0"/>
            <w:vAlign w:val="center"/>
          </w:tcPr>
          <w:p>
            <w:pPr>
              <w:jc w:val="center"/>
              <w:rPr>
                <w:rFonts w:hint="eastAsia" w:ascii="Times New Roman"/>
                <w:snapToGrid w:val="0"/>
                <w:color w:val="auto"/>
                <w:kern w:val="21"/>
                <w:szCs w:val="21"/>
                <w:highlight w:val="none"/>
                <w:lang w:val="en-US" w:eastAsia="zh-CN"/>
              </w:rPr>
            </w:pPr>
            <w:r>
              <w:rPr>
                <w:color w:val="auto"/>
                <w:szCs w:val="21"/>
                <w:highlight w:val="none"/>
              </w:rPr>
              <w:t>0</w:t>
            </w:r>
          </w:p>
        </w:tc>
        <w:tc>
          <w:tcPr>
            <w:tcW w:w="155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0.04</w:t>
            </w:r>
          </w:p>
        </w:tc>
        <w:tc>
          <w:tcPr>
            <w:tcW w:w="1761" w:type="dxa"/>
            <w:noWrap w:val="0"/>
            <w:vAlign w:val="center"/>
          </w:tcPr>
          <w:p>
            <w:pPr>
              <w:jc w:val="center"/>
              <w:rPr>
                <w:rFonts w:hint="eastAsia" w:ascii="Times New Roman"/>
                <w:snapToGrid w:val="0"/>
                <w:color w:val="auto"/>
                <w:kern w:val="21"/>
                <w:szCs w:val="21"/>
                <w:highlight w:val="none"/>
                <w:lang w:val="en-US" w:eastAsia="zh-CN"/>
              </w:rPr>
            </w:pPr>
            <w:r>
              <w:rPr>
                <w:color w:val="auto"/>
                <w:szCs w:val="21"/>
                <w:highlight w:val="none"/>
              </w:rPr>
              <w:t>0</w:t>
            </w:r>
          </w:p>
        </w:tc>
        <w:tc>
          <w:tcPr>
            <w:tcW w:w="169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0.04</w:t>
            </w:r>
          </w:p>
        </w:tc>
        <w:tc>
          <w:tcPr>
            <w:tcW w:w="108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22" w:type="dxa"/>
            <w:vMerge w:val="continue"/>
            <w:noWrap w:val="0"/>
            <w:vAlign w:val="center"/>
          </w:tcPr>
          <w:p>
            <w:pPr>
              <w:pStyle w:val="20"/>
              <w:spacing w:beforeLines="0" w:afterLines="0" w:line="240" w:lineRule="auto"/>
              <w:rPr>
                <w:rFonts w:ascii="Times New Roman"/>
                <w:snapToGrid w:val="0"/>
                <w:color w:val="auto"/>
                <w:kern w:val="21"/>
                <w:szCs w:val="21"/>
                <w:highlight w:val="none"/>
                <w:lang w:val="en-US" w:eastAsia="zh-CN"/>
              </w:rPr>
            </w:pPr>
          </w:p>
        </w:tc>
        <w:tc>
          <w:tcPr>
            <w:tcW w:w="707" w:type="dxa"/>
            <w:vMerge w:val="continue"/>
            <w:noWrap w:val="0"/>
            <w:vAlign w:val="center"/>
          </w:tcPr>
          <w:p>
            <w:pPr>
              <w:pStyle w:val="20"/>
              <w:spacing w:beforeLines="0" w:afterLines="0" w:line="240" w:lineRule="auto"/>
              <w:rPr>
                <w:rFonts w:hint="default" w:ascii="Times New Roman" w:hAnsi="Times New Roman" w:cs="Times New Roman"/>
                <w:snapToGrid w:val="0"/>
                <w:color w:val="auto"/>
                <w:kern w:val="21"/>
                <w:szCs w:val="21"/>
                <w:highlight w:val="none"/>
                <w:lang w:val="en-US" w:eastAsia="zh-CN"/>
              </w:rPr>
            </w:pPr>
          </w:p>
        </w:tc>
        <w:tc>
          <w:tcPr>
            <w:tcW w:w="97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颗粒物</w:t>
            </w:r>
            <w:r>
              <w:rPr>
                <w:rFonts w:hint="eastAsia" w:ascii="Times New Roman"/>
                <w:snapToGrid w:val="0"/>
                <w:color w:val="auto"/>
                <w:kern w:val="21"/>
                <w:szCs w:val="21"/>
                <w:highlight w:val="none"/>
                <w:lang w:val="en-US" w:eastAsia="zh-CN"/>
              </w:rPr>
              <w:t>t/a</w:t>
            </w:r>
          </w:p>
        </w:tc>
        <w:tc>
          <w:tcPr>
            <w:tcW w:w="1701" w:type="dxa"/>
            <w:noWrap w:val="0"/>
            <w:vAlign w:val="center"/>
          </w:tcPr>
          <w:p>
            <w:pPr>
              <w:jc w:val="center"/>
              <w:rPr>
                <w:rFonts w:hint="eastAsia" w:ascii="Times New Roman"/>
                <w:snapToGrid w:val="0"/>
                <w:color w:val="auto"/>
                <w:kern w:val="21"/>
                <w:szCs w:val="21"/>
                <w:highlight w:val="none"/>
                <w:lang w:val="en-US" w:eastAsia="zh-CN"/>
              </w:rPr>
            </w:pPr>
            <w:r>
              <w:rPr>
                <w:color w:val="auto"/>
                <w:szCs w:val="21"/>
                <w:highlight w:val="none"/>
              </w:rPr>
              <w:t>0</w:t>
            </w:r>
          </w:p>
        </w:tc>
        <w:tc>
          <w:tcPr>
            <w:tcW w:w="1276" w:type="dxa"/>
            <w:noWrap w:val="0"/>
            <w:vAlign w:val="center"/>
          </w:tcPr>
          <w:p>
            <w:pPr>
              <w:jc w:val="center"/>
              <w:rPr>
                <w:rFonts w:hint="eastAsia" w:ascii="Times New Roman"/>
                <w:snapToGrid w:val="0"/>
                <w:color w:val="auto"/>
                <w:kern w:val="21"/>
                <w:szCs w:val="21"/>
                <w:highlight w:val="none"/>
                <w:lang w:val="en-US" w:eastAsia="zh-CN"/>
              </w:rPr>
            </w:pPr>
            <w:r>
              <w:rPr>
                <w:color w:val="auto"/>
                <w:szCs w:val="21"/>
                <w:highlight w:val="none"/>
              </w:rPr>
              <w:t>0</w:t>
            </w:r>
          </w:p>
        </w:tc>
        <w:tc>
          <w:tcPr>
            <w:tcW w:w="1701" w:type="dxa"/>
            <w:noWrap w:val="0"/>
            <w:vAlign w:val="center"/>
          </w:tcPr>
          <w:p>
            <w:pPr>
              <w:jc w:val="center"/>
              <w:rPr>
                <w:rFonts w:hint="eastAsia" w:ascii="Times New Roman"/>
                <w:snapToGrid w:val="0"/>
                <w:color w:val="auto"/>
                <w:kern w:val="21"/>
                <w:szCs w:val="21"/>
                <w:highlight w:val="none"/>
                <w:lang w:val="en-US" w:eastAsia="zh-CN"/>
              </w:rPr>
            </w:pPr>
            <w:r>
              <w:rPr>
                <w:color w:val="auto"/>
                <w:szCs w:val="21"/>
                <w:highlight w:val="none"/>
              </w:rPr>
              <w:t>0</w:t>
            </w:r>
          </w:p>
        </w:tc>
        <w:tc>
          <w:tcPr>
            <w:tcW w:w="155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w:t>
            </w:r>
          </w:p>
        </w:tc>
        <w:tc>
          <w:tcPr>
            <w:tcW w:w="1761" w:type="dxa"/>
            <w:noWrap w:val="0"/>
            <w:vAlign w:val="center"/>
          </w:tcPr>
          <w:p>
            <w:pPr>
              <w:jc w:val="center"/>
              <w:rPr>
                <w:rFonts w:hint="eastAsia" w:ascii="Times New Roman"/>
                <w:snapToGrid w:val="0"/>
                <w:color w:val="auto"/>
                <w:kern w:val="21"/>
                <w:szCs w:val="21"/>
                <w:highlight w:val="none"/>
                <w:lang w:val="en-US" w:eastAsia="zh-CN"/>
              </w:rPr>
            </w:pPr>
            <w:r>
              <w:rPr>
                <w:color w:val="auto"/>
                <w:szCs w:val="21"/>
                <w:highlight w:val="none"/>
              </w:rPr>
              <w:t>0</w:t>
            </w:r>
          </w:p>
        </w:tc>
        <w:tc>
          <w:tcPr>
            <w:tcW w:w="169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w:t>
            </w:r>
          </w:p>
        </w:tc>
        <w:tc>
          <w:tcPr>
            <w:tcW w:w="108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2" w:type="dxa"/>
            <w:vMerge w:val="restart"/>
            <w:noWrap w:val="0"/>
            <w:vAlign w:val="center"/>
          </w:tcPr>
          <w:p>
            <w:pPr>
              <w:pStyle w:val="20"/>
              <w:spacing w:beforeLines="0" w:afterLines="0" w:line="240" w:lineRule="auto"/>
              <w:rPr>
                <w:rFonts w:ascii="Times New Roman"/>
                <w:snapToGrid w:val="0"/>
                <w:color w:val="auto"/>
                <w:kern w:val="21"/>
                <w:szCs w:val="21"/>
                <w:highlight w:val="none"/>
                <w:lang w:val="en-US" w:eastAsia="zh-CN"/>
              </w:rPr>
            </w:pPr>
            <w:r>
              <w:rPr>
                <w:rFonts w:ascii="Times New Roman"/>
                <w:snapToGrid w:val="0"/>
                <w:color w:val="auto"/>
                <w:kern w:val="21"/>
                <w:szCs w:val="21"/>
                <w:highlight w:val="none"/>
                <w:lang w:val="en-US" w:eastAsia="zh-CN"/>
              </w:rPr>
              <w:t>废水</w:t>
            </w:r>
          </w:p>
        </w:tc>
        <w:tc>
          <w:tcPr>
            <w:tcW w:w="1683" w:type="dxa"/>
            <w:gridSpan w:val="2"/>
            <w:noWrap w:val="0"/>
            <w:vAlign w:val="center"/>
          </w:tcPr>
          <w:p>
            <w:pPr>
              <w:contextualSpacing/>
              <w:jc w:val="center"/>
              <w:rPr>
                <w:snapToGrid w:val="0"/>
                <w:color w:val="auto"/>
                <w:kern w:val="21"/>
                <w:szCs w:val="21"/>
                <w:highlight w:val="none"/>
              </w:rPr>
            </w:pPr>
            <w:r>
              <w:rPr>
                <w:color w:val="auto"/>
                <w:szCs w:val="21"/>
                <w:highlight w:val="none"/>
              </w:rPr>
              <w:t>废水量/t/a</w:t>
            </w:r>
          </w:p>
        </w:tc>
        <w:tc>
          <w:tcPr>
            <w:tcW w:w="1701" w:type="dxa"/>
            <w:noWrap w:val="0"/>
            <w:vAlign w:val="center"/>
          </w:tcPr>
          <w:p>
            <w:pPr>
              <w:pStyle w:val="20"/>
              <w:spacing w:beforeLines="0" w:afterLines="0" w:line="240" w:lineRule="auto"/>
              <w:rPr>
                <w:rFonts w:ascii="Times New Roman"/>
                <w:snapToGrid w:val="0"/>
                <w:color w:val="auto"/>
                <w:kern w:val="21"/>
                <w:szCs w:val="21"/>
                <w:highlight w:val="none"/>
                <w:lang w:val="en-US" w:eastAsia="zh-CN"/>
              </w:rPr>
            </w:pPr>
            <w:r>
              <w:rPr>
                <w:rFonts w:ascii="Times New Roman"/>
                <w:snapToGrid w:val="0"/>
                <w:color w:val="auto"/>
                <w:kern w:val="21"/>
                <w:szCs w:val="21"/>
                <w:highlight w:val="none"/>
                <w:lang w:val="en-US" w:eastAsia="zh-CN"/>
              </w:rPr>
              <w:t>0</w:t>
            </w:r>
          </w:p>
        </w:tc>
        <w:tc>
          <w:tcPr>
            <w:tcW w:w="1276" w:type="dxa"/>
            <w:noWrap w:val="0"/>
            <w:vAlign w:val="center"/>
          </w:tcPr>
          <w:p>
            <w:pPr>
              <w:pStyle w:val="20"/>
              <w:spacing w:beforeLines="0" w:afterLines="0" w:line="240" w:lineRule="auto"/>
              <w:rPr>
                <w:rFonts w:ascii="Times New Roman"/>
                <w:snapToGrid w:val="0"/>
                <w:color w:val="auto"/>
                <w:kern w:val="21"/>
                <w:szCs w:val="21"/>
                <w:highlight w:val="none"/>
                <w:lang w:val="en-US" w:eastAsia="zh-CN"/>
              </w:rPr>
            </w:pPr>
            <w:r>
              <w:rPr>
                <w:rFonts w:ascii="Times New Roman"/>
                <w:snapToGrid w:val="0"/>
                <w:color w:val="auto"/>
                <w:kern w:val="21"/>
                <w:szCs w:val="21"/>
                <w:highlight w:val="none"/>
                <w:lang w:val="en-US" w:eastAsia="zh-CN"/>
              </w:rPr>
              <w:t>0</w:t>
            </w:r>
          </w:p>
        </w:tc>
        <w:tc>
          <w:tcPr>
            <w:tcW w:w="1701" w:type="dxa"/>
            <w:noWrap w:val="0"/>
            <w:vAlign w:val="center"/>
          </w:tcPr>
          <w:p>
            <w:pPr>
              <w:pStyle w:val="20"/>
              <w:spacing w:beforeLines="0" w:afterLines="0" w:line="240" w:lineRule="auto"/>
              <w:rPr>
                <w:rFonts w:ascii="Times New Roman"/>
                <w:snapToGrid w:val="0"/>
                <w:color w:val="auto"/>
                <w:kern w:val="21"/>
                <w:szCs w:val="21"/>
                <w:highlight w:val="none"/>
                <w:lang w:val="en-US" w:eastAsia="zh-CN"/>
              </w:rPr>
            </w:pPr>
            <w:r>
              <w:rPr>
                <w:rFonts w:ascii="Times New Roman"/>
                <w:snapToGrid w:val="0"/>
                <w:color w:val="auto"/>
                <w:kern w:val="21"/>
                <w:szCs w:val="21"/>
                <w:highlight w:val="none"/>
                <w:lang w:val="en-US" w:eastAsia="zh-CN"/>
              </w:rPr>
              <w:t>0</w:t>
            </w:r>
          </w:p>
        </w:tc>
        <w:tc>
          <w:tcPr>
            <w:tcW w:w="1559" w:type="dxa"/>
            <w:noWrap w:val="0"/>
            <w:vAlign w:val="center"/>
          </w:tcPr>
          <w:p>
            <w:pPr>
              <w:spacing w:line="240" w:lineRule="auto"/>
              <w:jc w:val="center"/>
              <w:rPr>
                <w:rFonts w:hint="default"/>
                <w:snapToGrid w:val="0"/>
                <w:color w:val="auto"/>
                <w:kern w:val="21"/>
                <w:szCs w:val="21"/>
                <w:highlight w:val="none"/>
                <w:lang w:val="en-US" w:eastAsia="zh-CN"/>
              </w:rPr>
            </w:pPr>
            <w:r>
              <w:rPr>
                <w:rFonts w:hint="eastAsia" w:cs="Times New Roman"/>
                <w:color w:val="auto"/>
                <w:kern w:val="0"/>
                <w:sz w:val="21"/>
                <w:szCs w:val="21"/>
                <w:highlight w:val="none"/>
                <w:vertAlign w:val="baseline"/>
                <w:lang w:val="en-US" w:eastAsia="zh-CN"/>
              </w:rPr>
              <w:t>561.66</w:t>
            </w:r>
          </w:p>
        </w:tc>
        <w:tc>
          <w:tcPr>
            <w:tcW w:w="1761" w:type="dxa"/>
            <w:noWrap w:val="0"/>
            <w:vAlign w:val="center"/>
          </w:tcPr>
          <w:p>
            <w:pPr>
              <w:widowControl/>
              <w:adjustRightInd w:val="0"/>
              <w:snapToGrid w:val="0"/>
              <w:contextualSpacing/>
              <w:jc w:val="center"/>
              <w:rPr>
                <w:snapToGrid w:val="0"/>
                <w:color w:val="auto"/>
                <w:kern w:val="21"/>
                <w:szCs w:val="21"/>
                <w:highlight w:val="none"/>
              </w:rPr>
            </w:pPr>
            <w:r>
              <w:rPr>
                <w:color w:val="auto"/>
                <w:szCs w:val="21"/>
                <w:highlight w:val="none"/>
              </w:rPr>
              <w:t>0</w:t>
            </w:r>
          </w:p>
        </w:tc>
        <w:tc>
          <w:tcPr>
            <w:tcW w:w="1699" w:type="dxa"/>
            <w:noWrap w:val="0"/>
            <w:vAlign w:val="center"/>
          </w:tcPr>
          <w:p>
            <w:pPr>
              <w:contextualSpacing/>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kern w:val="0"/>
                <w:sz w:val="21"/>
                <w:szCs w:val="21"/>
                <w:highlight w:val="none"/>
                <w:vertAlign w:val="baseline"/>
                <w:lang w:val="en-US" w:eastAsia="zh-CN"/>
              </w:rPr>
              <w:t>561.66</w:t>
            </w:r>
          </w:p>
        </w:tc>
        <w:tc>
          <w:tcPr>
            <w:tcW w:w="1086" w:type="dxa"/>
            <w:noWrap w:val="0"/>
            <w:vAlign w:val="center"/>
          </w:tcPr>
          <w:p>
            <w:pPr>
              <w:contextualSpacing/>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kern w:val="0"/>
                <w:sz w:val="21"/>
                <w:szCs w:val="21"/>
                <w:highlight w:val="none"/>
                <w:vertAlign w:val="baseline"/>
                <w:lang w:val="en-US" w:eastAsia="zh-CN"/>
              </w:rPr>
              <w:t>+561.66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2" w:type="dxa"/>
            <w:vMerge w:val="continue"/>
            <w:noWrap w:val="0"/>
            <w:vAlign w:val="center"/>
          </w:tcPr>
          <w:p>
            <w:pPr>
              <w:pStyle w:val="20"/>
              <w:spacing w:beforeLines="0" w:afterLines="0" w:line="240" w:lineRule="auto"/>
              <w:rPr>
                <w:rFonts w:ascii="Times New Roman"/>
                <w:snapToGrid w:val="0"/>
                <w:color w:val="auto"/>
                <w:kern w:val="21"/>
                <w:szCs w:val="21"/>
                <w:highlight w:val="none"/>
                <w:lang w:val="en-US" w:eastAsia="zh-CN"/>
              </w:rPr>
            </w:pPr>
          </w:p>
        </w:tc>
        <w:tc>
          <w:tcPr>
            <w:tcW w:w="1683" w:type="dxa"/>
            <w:gridSpan w:val="2"/>
            <w:noWrap w:val="0"/>
            <w:vAlign w:val="center"/>
          </w:tcPr>
          <w:p>
            <w:pPr>
              <w:contextualSpacing/>
              <w:jc w:val="center"/>
              <w:rPr>
                <w:rFonts w:hint="default" w:eastAsia="宋体"/>
                <w:color w:val="auto"/>
                <w:szCs w:val="21"/>
                <w:highlight w:val="none"/>
                <w:lang w:val="en-US" w:eastAsia="zh-CN"/>
              </w:rPr>
            </w:pPr>
            <w:r>
              <w:rPr>
                <w:rFonts w:hint="eastAsia"/>
                <w:color w:val="auto"/>
                <w:szCs w:val="21"/>
                <w:highlight w:val="none"/>
                <w:lang w:val="en-US" w:eastAsia="zh-CN"/>
              </w:rPr>
              <w:t>pH无量纲</w:t>
            </w:r>
          </w:p>
        </w:tc>
        <w:tc>
          <w:tcPr>
            <w:tcW w:w="1701" w:type="dxa"/>
            <w:noWrap w:val="0"/>
            <w:vAlign w:val="center"/>
          </w:tcPr>
          <w:p>
            <w:pPr>
              <w:pStyle w:val="20"/>
              <w:spacing w:beforeLines="0" w:afterLines="0" w:line="240" w:lineRule="auto"/>
              <w:rPr>
                <w:rFonts w:hint="default" w:ascii="Times New Roman"/>
                <w:color w:val="auto"/>
                <w:szCs w:val="21"/>
                <w:highlight w:val="none"/>
                <w:lang w:val="en-US" w:eastAsia="zh-CN"/>
              </w:rPr>
            </w:pPr>
            <w:r>
              <w:rPr>
                <w:rFonts w:hint="eastAsia" w:ascii="Times New Roman"/>
                <w:color w:val="auto"/>
                <w:szCs w:val="21"/>
                <w:highlight w:val="none"/>
                <w:lang w:val="en-US" w:eastAsia="zh-CN"/>
              </w:rPr>
              <w:t>0</w:t>
            </w:r>
          </w:p>
        </w:tc>
        <w:tc>
          <w:tcPr>
            <w:tcW w:w="1276" w:type="dxa"/>
            <w:noWrap w:val="0"/>
            <w:vAlign w:val="center"/>
          </w:tcPr>
          <w:p>
            <w:pPr>
              <w:pStyle w:val="20"/>
              <w:spacing w:beforeLines="0" w:afterLines="0" w:line="240" w:lineRule="auto"/>
              <w:rPr>
                <w:rFonts w:hint="default" w:ascii="Times New Roman"/>
                <w:color w:val="auto"/>
                <w:szCs w:val="21"/>
                <w:highlight w:val="none"/>
                <w:lang w:val="en-US" w:eastAsia="zh-CN"/>
              </w:rPr>
            </w:pPr>
            <w:r>
              <w:rPr>
                <w:rFonts w:hint="eastAsia" w:ascii="Times New Roman"/>
                <w:color w:val="auto"/>
                <w:szCs w:val="21"/>
                <w:highlight w:val="none"/>
                <w:lang w:val="en-US" w:eastAsia="zh-CN"/>
              </w:rPr>
              <w:t>0</w:t>
            </w:r>
          </w:p>
        </w:tc>
        <w:tc>
          <w:tcPr>
            <w:tcW w:w="1701" w:type="dxa"/>
            <w:noWrap w:val="0"/>
            <w:vAlign w:val="center"/>
          </w:tcPr>
          <w:p>
            <w:pPr>
              <w:pStyle w:val="20"/>
              <w:spacing w:beforeLines="0" w:afterLines="0" w:line="240" w:lineRule="auto"/>
              <w:rPr>
                <w:rFonts w:hint="default" w:ascii="Times New Roman"/>
                <w:color w:val="auto"/>
                <w:szCs w:val="21"/>
                <w:highlight w:val="none"/>
                <w:lang w:val="en-US" w:eastAsia="zh-CN"/>
              </w:rPr>
            </w:pPr>
            <w:r>
              <w:rPr>
                <w:rFonts w:hint="eastAsia" w:ascii="Times New Roman"/>
                <w:color w:val="auto"/>
                <w:szCs w:val="21"/>
                <w:highlight w:val="none"/>
                <w:lang w:val="en-US" w:eastAsia="zh-CN"/>
              </w:rPr>
              <w:t>0</w:t>
            </w:r>
          </w:p>
        </w:tc>
        <w:tc>
          <w:tcPr>
            <w:tcW w:w="1559" w:type="dxa"/>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1761" w:type="dxa"/>
            <w:noWrap w:val="0"/>
            <w:vAlign w:val="center"/>
          </w:tcPr>
          <w:p>
            <w:pPr>
              <w:contextualSpacing/>
              <w:jc w:val="center"/>
              <w:rPr>
                <w:rFonts w:hint="default"/>
                <w:snapToGrid w:val="0"/>
                <w:color w:val="auto"/>
                <w:kern w:val="21"/>
                <w:szCs w:val="21"/>
                <w:highlight w:val="none"/>
                <w:lang w:val="en-US" w:eastAsia="zh-CN"/>
              </w:rPr>
            </w:pPr>
            <w:r>
              <w:rPr>
                <w:rFonts w:hint="eastAsia"/>
                <w:snapToGrid w:val="0"/>
                <w:color w:val="auto"/>
                <w:kern w:val="21"/>
                <w:szCs w:val="21"/>
                <w:highlight w:val="none"/>
                <w:lang w:val="en-US" w:eastAsia="zh-CN"/>
              </w:rPr>
              <w:t>0</w:t>
            </w:r>
          </w:p>
        </w:tc>
        <w:tc>
          <w:tcPr>
            <w:tcW w:w="1699" w:type="dxa"/>
            <w:noWrap w:val="0"/>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rPr>
              <w:t>/</w:t>
            </w:r>
          </w:p>
        </w:tc>
        <w:tc>
          <w:tcPr>
            <w:tcW w:w="1086" w:type="dxa"/>
            <w:noWrap w:val="0"/>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2" w:type="dxa"/>
            <w:vMerge w:val="continue"/>
            <w:noWrap w:val="0"/>
            <w:vAlign w:val="center"/>
          </w:tcPr>
          <w:p>
            <w:pPr>
              <w:pStyle w:val="20"/>
              <w:spacing w:beforeLines="0" w:afterLines="0" w:line="240" w:lineRule="auto"/>
              <w:rPr>
                <w:rFonts w:ascii="Times New Roman"/>
                <w:snapToGrid w:val="0"/>
                <w:color w:val="auto"/>
                <w:kern w:val="21"/>
                <w:szCs w:val="21"/>
                <w:highlight w:val="none"/>
                <w:lang w:val="en-US" w:eastAsia="zh-CN"/>
              </w:rPr>
            </w:pPr>
          </w:p>
        </w:tc>
        <w:tc>
          <w:tcPr>
            <w:tcW w:w="1683" w:type="dxa"/>
            <w:gridSpan w:val="2"/>
            <w:noWrap w:val="0"/>
            <w:vAlign w:val="center"/>
          </w:tcPr>
          <w:p>
            <w:pPr>
              <w:contextualSpacing/>
              <w:jc w:val="center"/>
              <w:rPr>
                <w:snapToGrid w:val="0"/>
                <w:color w:val="auto"/>
                <w:kern w:val="21"/>
                <w:szCs w:val="21"/>
                <w:highlight w:val="none"/>
              </w:rPr>
            </w:pPr>
            <w:r>
              <w:rPr>
                <w:color w:val="auto"/>
                <w:szCs w:val="21"/>
                <w:highlight w:val="none"/>
              </w:rPr>
              <w:t>COD/t/a</w:t>
            </w:r>
          </w:p>
        </w:tc>
        <w:tc>
          <w:tcPr>
            <w:tcW w:w="1701" w:type="dxa"/>
            <w:noWrap w:val="0"/>
            <w:vAlign w:val="center"/>
          </w:tcPr>
          <w:p>
            <w:pPr>
              <w:pStyle w:val="20"/>
              <w:spacing w:beforeLines="0" w:afterLines="0" w:line="240" w:lineRule="auto"/>
              <w:rPr>
                <w:rFonts w:ascii="Times New Roman"/>
                <w:snapToGrid w:val="0"/>
                <w:color w:val="auto"/>
                <w:kern w:val="21"/>
                <w:szCs w:val="21"/>
                <w:highlight w:val="none"/>
                <w:lang w:val="en-US" w:eastAsia="zh-CN"/>
              </w:rPr>
            </w:pPr>
            <w:r>
              <w:rPr>
                <w:rFonts w:ascii="Times New Roman"/>
                <w:color w:val="auto"/>
                <w:szCs w:val="21"/>
                <w:highlight w:val="none"/>
                <w:lang w:val="en-US" w:eastAsia="zh-CN"/>
              </w:rPr>
              <w:t>0</w:t>
            </w:r>
          </w:p>
        </w:tc>
        <w:tc>
          <w:tcPr>
            <w:tcW w:w="1276" w:type="dxa"/>
            <w:noWrap w:val="0"/>
            <w:vAlign w:val="center"/>
          </w:tcPr>
          <w:p>
            <w:pPr>
              <w:pStyle w:val="20"/>
              <w:spacing w:beforeLines="0" w:afterLines="0" w:line="240" w:lineRule="auto"/>
              <w:rPr>
                <w:rFonts w:ascii="Times New Roman"/>
                <w:snapToGrid w:val="0"/>
                <w:color w:val="auto"/>
                <w:kern w:val="21"/>
                <w:szCs w:val="21"/>
                <w:highlight w:val="none"/>
                <w:lang w:val="en-US" w:eastAsia="zh-CN"/>
              </w:rPr>
            </w:pPr>
            <w:r>
              <w:rPr>
                <w:rFonts w:ascii="Times New Roman"/>
                <w:color w:val="auto"/>
                <w:szCs w:val="21"/>
                <w:highlight w:val="none"/>
                <w:lang w:val="en-US" w:eastAsia="zh-CN"/>
              </w:rPr>
              <w:t>0</w:t>
            </w:r>
          </w:p>
        </w:tc>
        <w:tc>
          <w:tcPr>
            <w:tcW w:w="1701" w:type="dxa"/>
            <w:noWrap w:val="0"/>
            <w:vAlign w:val="center"/>
          </w:tcPr>
          <w:p>
            <w:pPr>
              <w:pStyle w:val="20"/>
              <w:spacing w:beforeLines="0" w:afterLines="0" w:line="240" w:lineRule="auto"/>
              <w:jc w:val="center"/>
              <w:rPr>
                <w:rFonts w:ascii="Times New Roman"/>
                <w:snapToGrid w:val="0"/>
                <w:color w:val="auto"/>
                <w:kern w:val="21"/>
                <w:szCs w:val="21"/>
                <w:highlight w:val="none"/>
                <w:lang w:val="en-US" w:eastAsia="zh-CN"/>
              </w:rPr>
            </w:pPr>
            <w:r>
              <w:rPr>
                <w:rFonts w:ascii="Times New Roman"/>
                <w:color w:val="auto"/>
                <w:szCs w:val="21"/>
                <w:highlight w:val="none"/>
                <w:lang w:val="en-US" w:eastAsia="zh-CN"/>
              </w:rPr>
              <w:t>0</w:t>
            </w:r>
          </w:p>
        </w:tc>
        <w:tc>
          <w:tcPr>
            <w:tcW w:w="1559" w:type="dxa"/>
            <w:noWrap w:val="0"/>
            <w:vAlign w:val="top"/>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rPr>
              <w:t>0.034</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rPr>
              <w:t>0</w:t>
            </w:r>
          </w:p>
        </w:tc>
        <w:tc>
          <w:tcPr>
            <w:tcW w:w="1699" w:type="dxa"/>
            <w:noWrap w:val="0"/>
            <w:vAlign w:val="top"/>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rPr>
              <w:t>0.034</w:t>
            </w:r>
          </w:p>
        </w:tc>
        <w:tc>
          <w:tcPr>
            <w:tcW w:w="1086" w:type="dxa"/>
            <w:noWrap w:val="0"/>
            <w:vAlign w:val="top"/>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rPr>
              <w:t>+0.034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2" w:type="dxa"/>
            <w:vMerge w:val="continue"/>
            <w:noWrap w:val="0"/>
            <w:vAlign w:val="center"/>
          </w:tcPr>
          <w:p>
            <w:pPr>
              <w:pStyle w:val="20"/>
              <w:spacing w:beforeLines="0" w:afterLines="0" w:line="240" w:lineRule="auto"/>
              <w:rPr>
                <w:rFonts w:ascii="Times New Roman"/>
                <w:snapToGrid w:val="0"/>
                <w:color w:val="auto"/>
                <w:kern w:val="21"/>
                <w:szCs w:val="21"/>
                <w:highlight w:val="none"/>
                <w:lang w:val="en-US" w:eastAsia="zh-CN"/>
              </w:rPr>
            </w:pPr>
          </w:p>
        </w:tc>
        <w:tc>
          <w:tcPr>
            <w:tcW w:w="1683" w:type="dxa"/>
            <w:gridSpan w:val="2"/>
            <w:noWrap w:val="0"/>
            <w:vAlign w:val="center"/>
          </w:tcPr>
          <w:p>
            <w:pPr>
              <w:contextualSpacing/>
              <w:jc w:val="center"/>
              <w:rPr>
                <w:snapToGrid w:val="0"/>
                <w:color w:val="auto"/>
                <w:kern w:val="21"/>
                <w:szCs w:val="21"/>
                <w:highlight w:val="none"/>
              </w:rPr>
            </w:pPr>
            <w:r>
              <w:rPr>
                <w:color w:val="auto"/>
                <w:szCs w:val="21"/>
                <w:highlight w:val="none"/>
              </w:rPr>
              <w:t>BOD</w:t>
            </w:r>
            <w:r>
              <w:rPr>
                <w:color w:val="auto"/>
                <w:szCs w:val="21"/>
                <w:highlight w:val="none"/>
                <w:vertAlign w:val="subscript"/>
              </w:rPr>
              <w:t>5</w:t>
            </w:r>
            <w:r>
              <w:rPr>
                <w:color w:val="auto"/>
                <w:szCs w:val="21"/>
                <w:highlight w:val="none"/>
              </w:rPr>
              <w:t>/t/a</w:t>
            </w:r>
          </w:p>
        </w:tc>
        <w:tc>
          <w:tcPr>
            <w:tcW w:w="1701" w:type="dxa"/>
            <w:noWrap w:val="0"/>
            <w:vAlign w:val="center"/>
          </w:tcPr>
          <w:p>
            <w:pPr>
              <w:pStyle w:val="20"/>
              <w:spacing w:beforeLines="0" w:afterLines="0" w:line="240" w:lineRule="auto"/>
              <w:rPr>
                <w:rFonts w:ascii="Times New Roman"/>
                <w:snapToGrid w:val="0"/>
                <w:color w:val="auto"/>
                <w:kern w:val="21"/>
                <w:szCs w:val="21"/>
                <w:highlight w:val="none"/>
                <w:lang w:val="en-US" w:eastAsia="zh-CN"/>
              </w:rPr>
            </w:pPr>
            <w:r>
              <w:rPr>
                <w:rFonts w:ascii="Times New Roman"/>
                <w:snapToGrid w:val="0"/>
                <w:color w:val="auto"/>
                <w:kern w:val="21"/>
                <w:szCs w:val="21"/>
                <w:highlight w:val="none"/>
                <w:lang w:val="en-US" w:eastAsia="zh-CN"/>
              </w:rPr>
              <w:t>0</w:t>
            </w:r>
          </w:p>
        </w:tc>
        <w:tc>
          <w:tcPr>
            <w:tcW w:w="1276" w:type="dxa"/>
            <w:noWrap w:val="0"/>
            <w:vAlign w:val="center"/>
          </w:tcPr>
          <w:p>
            <w:pPr>
              <w:pStyle w:val="20"/>
              <w:spacing w:beforeLines="0" w:afterLines="0" w:line="240" w:lineRule="auto"/>
              <w:rPr>
                <w:rFonts w:ascii="Times New Roman"/>
                <w:snapToGrid w:val="0"/>
                <w:color w:val="auto"/>
                <w:kern w:val="21"/>
                <w:szCs w:val="21"/>
                <w:highlight w:val="none"/>
                <w:lang w:val="en-US" w:eastAsia="zh-CN"/>
              </w:rPr>
            </w:pPr>
            <w:r>
              <w:rPr>
                <w:rFonts w:ascii="Times New Roman"/>
                <w:snapToGrid w:val="0"/>
                <w:color w:val="auto"/>
                <w:kern w:val="21"/>
                <w:szCs w:val="21"/>
                <w:highlight w:val="none"/>
                <w:lang w:val="en-US" w:eastAsia="zh-CN"/>
              </w:rPr>
              <w:t>0</w:t>
            </w:r>
          </w:p>
        </w:tc>
        <w:tc>
          <w:tcPr>
            <w:tcW w:w="1701" w:type="dxa"/>
            <w:noWrap w:val="0"/>
            <w:vAlign w:val="center"/>
          </w:tcPr>
          <w:p>
            <w:pPr>
              <w:pStyle w:val="20"/>
              <w:spacing w:beforeLines="0" w:afterLines="0" w:line="240" w:lineRule="auto"/>
              <w:jc w:val="center"/>
              <w:rPr>
                <w:rFonts w:ascii="Times New Roman"/>
                <w:snapToGrid w:val="0"/>
                <w:color w:val="auto"/>
                <w:kern w:val="21"/>
                <w:szCs w:val="21"/>
                <w:highlight w:val="none"/>
                <w:lang w:val="en-US" w:eastAsia="zh-CN"/>
              </w:rPr>
            </w:pPr>
            <w:r>
              <w:rPr>
                <w:rFonts w:ascii="Times New Roman"/>
                <w:snapToGrid w:val="0"/>
                <w:color w:val="auto"/>
                <w:kern w:val="21"/>
                <w:szCs w:val="21"/>
                <w:highlight w:val="none"/>
                <w:lang w:val="en-US" w:eastAsia="zh-CN"/>
              </w:rPr>
              <w:t>0</w:t>
            </w:r>
          </w:p>
        </w:tc>
        <w:tc>
          <w:tcPr>
            <w:tcW w:w="1559" w:type="dxa"/>
            <w:noWrap w:val="0"/>
            <w:vAlign w:val="top"/>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rPr>
              <w:t>0.011</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rPr>
              <w:t>0</w:t>
            </w:r>
          </w:p>
        </w:tc>
        <w:tc>
          <w:tcPr>
            <w:tcW w:w="1699" w:type="dxa"/>
            <w:noWrap w:val="0"/>
            <w:vAlign w:val="top"/>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rPr>
              <w:t>0.011</w:t>
            </w:r>
          </w:p>
        </w:tc>
        <w:tc>
          <w:tcPr>
            <w:tcW w:w="1086" w:type="dxa"/>
            <w:noWrap w:val="0"/>
            <w:vAlign w:val="top"/>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rPr>
              <w:t>+0.011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2" w:type="dxa"/>
            <w:vMerge w:val="continue"/>
            <w:noWrap w:val="0"/>
            <w:vAlign w:val="center"/>
          </w:tcPr>
          <w:p>
            <w:pPr>
              <w:pStyle w:val="20"/>
              <w:spacing w:beforeLines="0" w:afterLines="0" w:line="240" w:lineRule="auto"/>
              <w:rPr>
                <w:rFonts w:ascii="Times New Roman"/>
                <w:snapToGrid w:val="0"/>
                <w:color w:val="auto"/>
                <w:kern w:val="21"/>
                <w:szCs w:val="21"/>
                <w:highlight w:val="none"/>
                <w:lang w:val="en-US" w:eastAsia="zh-CN"/>
              </w:rPr>
            </w:pPr>
          </w:p>
        </w:tc>
        <w:tc>
          <w:tcPr>
            <w:tcW w:w="1683" w:type="dxa"/>
            <w:gridSpan w:val="2"/>
            <w:noWrap w:val="0"/>
            <w:vAlign w:val="center"/>
          </w:tcPr>
          <w:p>
            <w:pPr>
              <w:contextualSpacing/>
              <w:jc w:val="center"/>
              <w:rPr>
                <w:snapToGrid w:val="0"/>
                <w:color w:val="auto"/>
                <w:kern w:val="21"/>
                <w:szCs w:val="21"/>
                <w:highlight w:val="none"/>
              </w:rPr>
            </w:pPr>
            <w:r>
              <w:rPr>
                <w:color w:val="auto"/>
                <w:szCs w:val="21"/>
                <w:highlight w:val="none"/>
              </w:rPr>
              <w:t>SS/t/a</w:t>
            </w:r>
          </w:p>
        </w:tc>
        <w:tc>
          <w:tcPr>
            <w:tcW w:w="1701" w:type="dxa"/>
            <w:noWrap w:val="0"/>
            <w:vAlign w:val="center"/>
          </w:tcPr>
          <w:p>
            <w:pPr>
              <w:pStyle w:val="20"/>
              <w:spacing w:beforeLines="0" w:afterLines="0" w:line="240" w:lineRule="auto"/>
              <w:rPr>
                <w:rFonts w:ascii="Times New Roman"/>
                <w:snapToGrid w:val="0"/>
                <w:color w:val="auto"/>
                <w:kern w:val="21"/>
                <w:szCs w:val="21"/>
                <w:highlight w:val="none"/>
                <w:lang w:val="en-US" w:eastAsia="zh-CN"/>
              </w:rPr>
            </w:pPr>
            <w:r>
              <w:rPr>
                <w:rFonts w:ascii="Times New Roman"/>
                <w:color w:val="auto"/>
                <w:szCs w:val="21"/>
                <w:highlight w:val="none"/>
                <w:lang w:val="en-US" w:eastAsia="zh-CN"/>
              </w:rPr>
              <w:t>0</w:t>
            </w:r>
          </w:p>
        </w:tc>
        <w:tc>
          <w:tcPr>
            <w:tcW w:w="1276" w:type="dxa"/>
            <w:noWrap w:val="0"/>
            <w:vAlign w:val="center"/>
          </w:tcPr>
          <w:p>
            <w:pPr>
              <w:pStyle w:val="20"/>
              <w:spacing w:beforeLines="0" w:afterLines="0" w:line="240" w:lineRule="auto"/>
              <w:rPr>
                <w:rFonts w:ascii="Times New Roman"/>
                <w:snapToGrid w:val="0"/>
                <w:color w:val="auto"/>
                <w:kern w:val="21"/>
                <w:szCs w:val="21"/>
                <w:highlight w:val="none"/>
                <w:lang w:val="en-US" w:eastAsia="zh-CN"/>
              </w:rPr>
            </w:pPr>
            <w:r>
              <w:rPr>
                <w:rFonts w:ascii="Times New Roman"/>
                <w:color w:val="auto"/>
                <w:szCs w:val="21"/>
                <w:highlight w:val="none"/>
                <w:lang w:val="en-US" w:eastAsia="zh-CN"/>
              </w:rPr>
              <w:t>0</w:t>
            </w:r>
          </w:p>
        </w:tc>
        <w:tc>
          <w:tcPr>
            <w:tcW w:w="1701" w:type="dxa"/>
            <w:noWrap w:val="0"/>
            <w:vAlign w:val="center"/>
          </w:tcPr>
          <w:p>
            <w:pPr>
              <w:pStyle w:val="20"/>
              <w:spacing w:beforeLines="0" w:afterLines="0" w:line="240" w:lineRule="auto"/>
              <w:jc w:val="center"/>
              <w:rPr>
                <w:rFonts w:ascii="Times New Roman"/>
                <w:snapToGrid w:val="0"/>
                <w:color w:val="auto"/>
                <w:kern w:val="21"/>
                <w:szCs w:val="21"/>
                <w:highlight w:val="none"/>
                <w:lang w:val="en-US" w:eastAsia="zh-CN"/>
              </w:rPr>
            </w:pPr>
            <w:r>
              <w:rPr>
                <w:rFonts w:ascii="Times New Roman"/>
                <w:color w:val="auto"/>
                <w:szCs w:val="21"/>
                <w:highlight w:val="none"/>
                <w:lang w:val="en-US" w:eastAsia="zh-CN"/>
              </w:rPr>
              <w:t>0</w:t>
            </w:r>
          </w:p>
        </w:tc>
        <w:tc>
          <w:tcPr>
            <w:tcW w:w="1559" w:type="dxa"/>
            <w:noWrap w:val="0"/>
            <w:vAlign w:val="top"/>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rPr>
              <w:t>0.011</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rPr>
              <w:t>0</w:t>
            </w:r>
          </w:p>
        </w:tc>
        <w:tc>
          <w:tcPr>
            <w:tcW w:w="1699" w:type="dxa"/>
            <w:noWrap w:val="0"/>
            <w:vAlign w:val="top"/>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rPr>
              <w:t>0.011</w:t>
            </w:r>
          </w:p>
        </w:tc>
        <w:tc>
          <w:tcPr>
            <w:tcW w:w="1086" w:type="dxa"/>
            <w:noWrap w:val="0"/>
            <w:vAlign w:val="top"/>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rPr>
              <w:t>+0.011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2" w:type="dxa"/>
            <w:vMerge w:val="continue"/>
            <w:noWrap w:val="0"/>
            <w:vAlign w:val="center"/>
          </w:tcPr>
          <w:p>
            <w:pPr>
              <w:pStyle w:val="20"/>
              <w:spacing w:beforeLines="0" w:afterLines="0" w:line="240" w:lineRule="auto"/>
              <w:rPr>
                <w:rFonts w:ascii="Times New Roman"/>
                <w:snapToGrid w:val="0"/>
                <w:color w:val="auto"/>
                <w:kern w:val="21"/>
                <w:szCs w:val="21"/>
                <w:highlight w:val="none"/>
                <w:lang w:val="en-US" w:eastAsia="zh-CN"/>
              </w:rPr>
            </w:pPr>
          </w:p>
        </w:tc>
        <w:tc>
          <w:tcPr>
            <w:tcW w:w="1683" w:type="dxa"/>
            <w:gridSpan w:val="2"/>
            <w:noWrap w:val="0"/>
            <w:vAlign w:val="center"/>
          </w:tcPr>
          <w:p>
            <w:pPr>
              <w:contextualSpacing/>
              <w:jc w:val="center"/>
              <w:rPr>
                <w:snapToGrid w:val="0"/>
                <w:color w:val="auto"/>
                <w:kern w:val="21"/>
                <w:szCs w:val="21"/>
                <w:highlight w:val="none"/>
              </w:rPr>
            </w:pPr>
            <w:r>
              <w:rPr>
                <w:color w:val="auto"/>
                <w:szCs w:val="21"/>
                <w:highlight w:val="none"/>
              </w:rPr>
              <w:t>NH</w:t>
            </w:r>
            <w:r>
              <w:rPr>
                <w:color w:val="auto"/>
                <w:szCs w:val="21"/>
                <w:highlight w:val="none"/>
                <w:vertAlign w:val="subscript"/>
              </w:rPr>
              <w:t>3</w:t>
            </w:r>
            <w:r>
              <w:rPr>
                <w:color w:val="auto"/>
                <w:szCs w:val="21"/>
                <w:highlight w:val="none"/>
              </w:rPr>
              <w:t>-N/t/a</w:t>
            </w:r>
          </w:p>
        </w:tc>
        <w:tc>
          <w:tcPr>
            <w:tcW w:w="1701" w:type="dxa"/>
            <w:noWrap w:val="0"/>
            <w:vAlign w:val="center"/>
          </w:tcPr>
          <w:p>
            <w:pPr>
              <w:pStyle w:val="20"/>
              <w:spacing w:beforeLines="0" w:afterLines="0" w:line="240" w:lineRule="auto"/>
              <w:rPr>
                <w:rFonts w:ascii="Times New Roman"/>
                <w:snapToGrid w:val="0"/>
                <w:color w:val="auto"/>
                <w:kern w:val="21"/>
                <w:szCs w:val="21"/>
                <w:highlight w:val="none"/>
                <w:lang w:val="en-US" w:eastAsia="zh-CN"/>
              </w:rPr>
            </w:pPr>
            <w:r>
              <w:rPr>
                <w:rFonts w:ascii="Times New Roman"/>
                <w:snapToGrid w:val="0"/>
                <w:color w:val="auto"/>
                <w:kern w:val="21"/>
                <w:szCs w:val="21"/>
                <w:highlight w:val="none"/>
                <w:lang w:val="en-US" w:eastAsia="zh-CN"/>
              </w:rPr>
              <w:t>0</w:t>
            </w:r>
          </w:p>
        </w:tc>
        <w:tc>
          <w:tcPr>
            <w:tcW w:w="1276" w:type="dxa"/>
            <w:noWrap w:val="0"/>
            <w:vAlign w:val="center"/>
          </w:tcPr>
          <w:p>
            <w:pPr>
              <w:pStyle w:val="20"/>
              <w:spacing w:beforeLines="0" w:afterLines="0" w:line="240" w:lineRule="auto"/>
              <w:rPr>
                <w:rFonts w:ascii="Times New Roman"/>
                <w:snapToGrid w:val="0"/>
                <w:color w:val="auto"/>
                <w:kern w:val="21"/>
                <w:szCs w:val="21"/>
                <w:highlight w:val="none"/>
                <w:lang w:val="en-US" w:eastAsia="zh-CN"/>
              </w:rPr>
            </w:pPr>
            <w:r>
              <w:rPr>
                <w:rFonts w:ascii="Times New Roman"/>
                <w:snapToGrid w:val="0"/>
                <w:color w:val="auto"/>
                <w:kern w:val="21"/>
                <w:szCs w:val="21"/>
                <w:highlight w:val="none"/>
                <w:lang w:val="en-US" w:eastAsia="zh-CN"/>
              </w:rPr>
              <w:t>0</w:t>
            </w:r>
          </w:p>
        </w:tc>
        <w:tc>
          <w:tcPr>
            <w:tcW w:w="1701" w:type="dxa"/>
            <w:noWrap w:val="0"/>
            <w:vAlign w:val="center"/>
          </w:tcPr>
          <w:p>
            <w:pPr>
              <w:pStyle w:val="20"/>
              <w:spacing w:beforeLines="0" w:afterLines="0" w:line="240" w:lineRule="auto"/>
              <w:jc w:val="center"/>
              <w:rPr>
                <w:rFonts w:ascii="Times New Roman"/>
                <w:snapToGrid w:val="0"/>
                <w:color w:val="auto"/>
                <w:kern w:val="21"/>
                <w:szCs w:val="21"/>
                <w:highlight w:val="none"/>
                <w:lang w:val="en-US" w:eastAsia="zh-CN"/>
              </w:rPr>
            </w:pPr>
            <w:r>
              <w:rPr>
                <w:rFonts w:ascii="Times New Roman"/>
                <w:snapToGrid w:val="0"/>
                <w:color w:val="auto"/>
                <w:kern w:val="21"/>
                <w:szCs w:val="21"/>
                <w:highlight w:val="none"/>
                <w:lang w:val="en-US" w:eastAsia="zh-CN"/>
              </w:rPr>
              <w:t>0</w:t>
            </w:r>
          </w:p>
        </w:tc>
        <w:tc>
          <w:tcPr>
            <w:tcW w:w="1559" w:type="dxa"/>
            <w:noWrap w:val="0"/>
            <w:vAlign w:val="top"/>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rPr>
              <w:t>0.004</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rPr>
              <w:t>0</w:t>
            </w:r>
          </w:p>
        </w:tc>
        <w:tc>
          <w:tcPr>
            <w:tcW w:w="1699" w:type="dxa"/>
            <w:noWrap w:val="0"/>
            <w:vAlign w:val="top"/>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rPr>
              <w:t>0.004</w:t>
            </w:r>
          </w:p>
        </w:tc>
        <w:tc>
          <w:tcPr>
            <w:tcW w:w="1086" w:type="dxa"/>
            <w:noWrap w:val="0"/>
            <w:vAlign w:val="top"/>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rPr>
              <w:t>+0.004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2" w:type="dxa"/>
            <w:vMerge w:val="continue"/>
            <w:noWrap w:val="0"/>
            <w:vAlign w:val="center"/>
          </w:tcPr>
          <w:p>
            <w:pPr>
              <w:pStyle w:val="20"/>
              <w:spacing w:beforeLines="0" w:afterLines="0" w:line="240" w:lineRule="auto"/>
              <w:rPr>
                <w:rFonts w:ascii="Times New Roman"/>
                <w:snapToGrid w:val="0"/>
                <w:color w:val="auto"/>
                <w:kern w:val="21"/>
                <w:szCs w:val="21"/>
                <w:highlight w:val="none"/>
                <w:lang w:val="en-US" w:eastAsia="zh-CN"/>
              </w:rPr>
            </w:pPr>
          </w:p>
        </w:tc>
        <w:tc>
          <w:tcPr>
            <w:tcW w:w="1683" w:type="dxa"/>
            <w:gridSpan w:val="2"/>
            <w:noWrap w:val="0"/>
            <w:vAlign w:val="center"/>
          </w:tcPr>
          <w:p>
            <w:pPr>
              <w:contextualSpacing/>
              <w:jc w:val="center"/>
              <w:rPr>
                <w:rFonts w:hint="eastAsia" w:eastAsia="宋体"/>
                <w:color w:val="auto"/>
                <w:szCs w:val="21"/>
                <w:highlight w:val="none"/>
                <w:lang w:val="en-US" w:eastAsia="zh-CN"/>
              </w:rPr>
            </w:pPr>
            <w:r>
              <w:rPr>
                <w:rFonts w:hint="eastAsia"/>
                <w:color w:val="auto"/>
                <w:szCs w:val="21"/>
                <w:highlight w:val="none"/>
                <w:lang w:val="en-US" w:eastAsia="zh-CN"/>
              </w:rPr>
              <w:t>石油类</w:t>
            </w:r>
            <w:r>
              <w:rPr>
                <w:color w:val="auto"/>
                <w:szCs w:val="21"/>
                <w:highlight w:val="none"/>
              </w:rPr>
              <w:t>/t/a</w:t>
            </w:r>
          </w:p>
        </w:tc>
        <w:tc>
          <w:tcPr>
            <w:tcW w:w="1701" w:type="dxa"/>
            <w:noWrap w:val="0"/>
            <w:vAlign w:val="center"/>
          </w:tcPr>
          <w:p>
            <w:pPr>
              <w:pStyle w:val="20"/>
              <w:spacing w:beforeLines="0" w:afterLines="0" w:line="240" w:lineRule="auto"/>
              <w:jc w:val="center"/>
              <w:rPr>
                <w:rFonts w:ascii="Times New Roman"/>
                <w:color w:val="auto"/>
                <w:szCs w:val="21"/>
                <w:highlight w:val="none"/>
                <w:lang w:val="en-US" w:eastAsia="zh-CN"/>
              </w:rPr>
            </w:pPr>
            <w:r>
              <w:rPr>
                <w:rFonts w:hint="eastAsia" w:ascii="Times New Roman"/>
                <w:color w:val="auto"/>
                <w:szCs w:val="21"/>
                <w:highlight w:val="none"/>
                <w:lang w:val="en-US" w:eastAsia="zh-CN"/>
              </w:rPr>
              <w:t>0</w:t>
            </w:r>
          </w:p>
        </w:tc>
        <w:tc>
          <w:tcPr>
            <w:tcW w:w="1276" w:type="dxa"/>
            <w:noWrap w:val="0"/>
            <w:vAlign w:val="center"/>
          </w:tcPr>
          <w:p>
            <w:pPr>
              <w:pStyle w:val="20"/>
              <w:spacing w:beforeLines="0" w:afterLines="0" w:line="240" w:lineRule="auto"/>
              <w:jc w:val="center"/>
              <w:rPr>
                <w:rFonts w:ascii="Times New Roman"/>
                <w:color w:val="auto"/>
                <w:szCs w:val="21"/>
                <w:highlight w:val="none"/>
                <w:lang w:val="en-US" w:eastAsia="zh-CN"/>
              </w:rPr>
            </w:pPr>
            <w:r>
              <w:rPr>
                <w:rFonts w:hint="eastAsia" w:ascii="Times New Roman"/>
                <w:color w:val="auto"/>
                <w:szCs w:val="21"/>
                <w:highlight w:val="none"/>
                <w:lang w:val="en-US" w:eastAsia="zh-CN"/>
              </w:rPr>
              <w:t>0</w:t>
            </w:r>
          </w:p>
        </w:tc>
        <w:tc>
          <w:tcPr>
            <w:tcW w:w="1701" w:type="dxa"/>
            <w:noWrap w:val="0"/>
            <w:vAlign w:val="center"/>
          </w:tcPr>
          <w:p>
            <w:pPr>
              <w:pStyle w:val="20"/>
              <w:spacing w:beforeLines="0" w:afterLines="0" w:line="240" w:lineRule="auto"/>
              <w:jc w:val="center"/>
              <w:rPr>
                <w:rFonts w:ascii="Times New Roman"/>
                <w:color w:val="auto"/>
                <w:szCs w:val="21"/>
                <w:highlight w:val="none"/>
                <w:lang w:val="en-US" w:eastAsia="zh-CN"/>
              </w:rPr>
            </w:pPr>
            <w:r>
              <w:rPr>
                <w:rFonts w:hint="eastAsia" w:ascii="Times New Roman"/>
                <w:color w:val="auto"/>
                <w:szCs w:val="21"/>
                <w:highlight w:val="none"/>
                <w:lang w:val="en-US" w:eastAsia="zh-CN"/>
              </w:rPr>
              <w:t>0</w:t>
            </w:r>
          </w:p>
        </w:tc>
        <w:tc>
          <w:tcPr>
            <w:tcW w:w="1559" w:type="dxa"/>
            <w:noWrap w:val="0"/>
            <w:vAlign w:val="top"/>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rPr>
              <w:t>0.002</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0</w:t>
            </w:r>
          </w:p>
        </w:tc>
        <w:tc>
          <w:tcPr>
            <w:tcW w:w="1699" w:type="dxa"/>
            <w:noWrap w:val="0"/>
            <w:vAlign w:val="top"/>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rPr>
              <w:t>0.002</w:t>
            </w:r>
          </w:p>
        </w:tc>
        <w:tc>
          <w:tcPr>
            <w:tcW w:w="1086" w:type="dxa"/>
            <w:noWrap w:val="0"/>
            <w:vAlign w:val="top"/>
          </w:tcPr>
          <w:p>
            <w:pPr>
              <w:spacing w:line="240" w:lineRule="auto"/>
              <w:jc w:val="center"/>
              <w:rPr>
                <w:rFonts w:hint="default"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2" w:type="dxa"/>
            <w:vMerge w:val="restart"/>
            <w:noWrap w:val="0"/>
            <w:vAlign w:val="center"/>
          </w:tcPr>
          <w:p>
            <w:pPr>
              <w:pStyle w:val="20"/>
              <w:spacing w:beforeLines="0" w:afterLines="0" w:line="240" w:lineRule="auto"/>
              <w:rPr>
                <w:rFonts w:ascii="Times New Roman"/>
                <w:snapToGrid w:val="0"/>
                <w:color w:val="auto"/>
                <w:kern w:val="21"/>
                <w:szCs w:val="21"/>
                <w:highlight w:val="none"/>
                <w:lang w:val="en-US" w:eastAsia="zh-CN"/>
              </w:rPr>
            </w:pPr>
            <w:r>
              <w:rPr>
                <w:rFonts w:ascii="Times New Roman"/>
                <w:snapToGrid w:val="0"/>
                <w:color w:val="auto"/>
                <w:kern w:val="21"/>
                <w:szCs w:val="21"/>
                <w:highlight w:val="none"/>
                <w:lang w:val="en-US" w:eastAsia="zh-CN"/>
              </w:rPr>
              <w:t>一般工业</w:t>
            </w:r>
          </w:p>
          <w:p>
            <w:pPr>
              <w:pStyle w:val="20"/>
              <w:spacing w:beforeLines="0" w:afterLines="0" w:line="240" w:lineRule="auto"/>
              <w:rPr>
                <w:rFonts w:ascii="Times New Roman"/>
                <w:snapToGrid w:val="0"/>
                <w:color w:val="auto"/>
                <w:kern w:val="21"/>
                <w:szCs w:val="21"/>
                <w:highlight w:val="none"/>
                <w:lang w:val="en-US" w:eastAsia="zh-CN"/>
              </w:rPr>
            </w:pPr>
            <w:r>
              <w:rPr>
                <w:rFonts w:ascii="Times New Roman"/>
                <w:snapToGrid w:val="0"/>
                <w:color w:val="auto"/>
                <w:kern w:val="21"/>
                <w:szCs w:val="21"/>
                <w:highlight w:val="none"/>
                <w:lang w:val="en-US" w:eastAsia="zh-CN"/>
              </w:rPr>
              <w:t>固体废物</w:t>
            </w:r>
          </w:p>
        </w:tc>
        <w:tc>
          <w:tcPr>
            <w:tcW w:w="1683" w:type="dxa"/>
            <w:gridSpan w:val="2"/>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废包装材料</w:t>
            </w:r>
            <w:r>
              <w:rPr>
                <w:color w:val="auto"/>
                <w:szCs w:val="21"/>
                <w:highlight w:val="none"/>
              </w:rPr>
              <w:t>/t/a</w:t>
            </w:r>
          </w:p>
        </w:tc>
        <w:tc>
          <w:tcPr>
            <w:tcW w:w="1701" w:type="dxa"/>
            <w:noWrap w:val="0"/>
            <w:vAlign w:val="center"/>
          </w:tcPr>
          <w:p>
            <w:pPr>
              <w:widowControl/>
              <w:adjustRightInd w:val="0"/>
              <w:snapToGrid w:val="0"/>
              <w:contextualSpacing/>
              <w:jc w:val="center"/>
              <w:rPr>
                <w:color w:val="auto"/>
                <w:szCs w:val="21"/>
                <w:highlight w:val="none"/>
              </w:rPr>
            </w:pPr>
            <w:r>
              <w:rPr>
                <w:color w:val="auto"/>
                <w:szCs w:val="21"/>
                <w:highlight w:val="none"/>
              </w:rPr>
              <w:t>0</w:t>
            </w:r>
          </w:p>
        </w:tc>
        <w:tc>
          <w:tcPr>
            <w:tcW w:w="1276" w:type="dxa"/>
            <w:noWrap w:val="0"/>
            <w:vAlign w:val="center"/>
          </w:tcPr>
          <w:p>
            <w:pPr>
              <w:widowControl/>
              <w:adjustRightInd w:val="0"/>
              <w:snapToGrid w:val="0"/>
              <w:contextualSpacing/>
              <w:jc w:val="center"/>
              <w:rPr>
                <w:color w:val="auto"/>
                <w:szCs w:val="21"/>
                <w:highlight w:val="none"/>
              </w:rPr>
            </w:pPr>
            <w:r>
              <w:rPr>
                <w:color w:val="auto"/>
                <w:szCs w:val="21"/>
                <w:highlight w:val="none"/>
              </w:rPr>
              <w:t>0</w:t>
            </w:r>
          </w:p>
        </w:tc>
        <w:tc>
          <w:tcPr>
            <w:tcW w:w="1701" w:type="dxa"/>
            <w:noWrap w:val="0"/>
            <w:vAlign w:val="center"/>
          </w:tcPr>
          <w:p>
            <w:pPr>
              <w:widowControl/>
              <w:adjustRightInd w:val="0"/>
              <w:snapToGrid w:val="0"/>
              <w:contextualSpacing/>
              <w:jc w:val="center"/>
              <w:rPr>
                <w:color w:val="auto"/>
                <w:szCs w:val="21"/>
                <w:highlight w:val="none"/>
              </w:rPr>
            </w:pPr>
            <w:r>
              <w:rPr>
                <w:color w:val="auto"/>
                <w:szCs w:val="21"/>
                <w:highlight w:val="none"/>
              </w:rPr>
              <w:t>0</w:t>
            </w:r>
          </w:p>
        </w:tc>
        <w:tc>
          <w:tcPr>
            <w:tcW w:w="1559"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0.2</w:t>
            </w:r>
          </w:p>
        </w:tc>
        <w:tc>
          <w:tcPr>
            <w:tcW w:w="1761" w:type="dxa"/>
            <w:noWrap w:val="0"/>
            <w:vAlign w:val="center"/>
          </w:tcPr>
          <w:p>
            <w:pPr>
              <w:widowControl/>
              <w:adjustRightInd w:val="0"/>
              <w:snapToGrid w:val="0"/>
              <w:contextualSpacing/>
              <w:jc w:val="center"/>
              <w:rPr>
                <w:color w:val="auto"/>
                <w:szCs w:val="21"/>
                <w:highlight w:val="none"/>
              </w:rPr>
            </w:pPr>
            <w:r>
              <w:rPr>
                <w:color w:val="auto"/>
                <w:szCs w:val="21"/>
                <w:highlight w:val="none"/>
              </w:rPr>
              <w:t>0</w:t>
            </w:r>
          </w:p>
        </w:tc>
        <w:tc>
          <w:tcPr>
            <w:tcW w:w="1699" w:type="dxa"/>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0.2</w:t>
            </w:r>
          </w:p>
        </w:tc>
        <w:tc>
          <w:tcPr>
            <w:tcW w:w="1086" w:type="dxa"/>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1322" w:type="dxa"/>
            <w:vMerge w:val="continue"/>
            <w:noWrap w:val="0"/>
            <w:vAlign w:val="center"/>
          </w:tcPr>
          <w:p>
            <w:pPr>
              <w:pStyle w:val="20"/>
              <w:spacing w:beforeLines="0" w:afterLines="0" w:line="240" w:lineRule="auto"/>
              <w:rPr>
                <w:rFonts w:ascii="Times New Roman"/>
                <w:snapToGrid w:val="0"/>
                <w:color w:val="auto"/>
                <w:kern w:val="21"/>
                <w:szCs w:val="21"/>
                <w:highlight w:val="none"/>
                <w:lang w:val="en-US" w:eastAsia="zh-CN"/>
              </w:rPr>
            </w:pPr>
          </w:p>
        </w:tc>
        <w:tc>
          <w:tcPr>
            <w:tcW w:w="1683" w:type="dxa"/>
            <w:gridSpan w:val="2"/>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bCs/>
                <w:snapToGrid w:val="0"/>
                <w:color w:val="auto"/>
                <w:kern w:val="0"/>
                <w:sz w:val="21"/>
                <w:szCs w:val="21"/>
                <w:highlight w:val="none"/>
                <w:vertAlign w:val="baseline"/>
                <w:lang w:val="en-US" w:eastAsia="zh-CN"/>
              </w:rPr>
              <w:t>废模具</w:t>
            </w:r>
            <w:r>
              <w:rPr>
                <w:color w:val="auto"/>
                <w:szCs w:val="21"/>
                <w:highlight w:val="none"/>
              </w:rPr>
              <w:t>/t/a</w:t>
            </w:r>
          </w:p>
        </w:tc>
        <w:tc>
          <w:tcPr>
            <w:tcW w:w="1701" w:type="dxa"/>
            <w:noWrap w:val="0"/>
            <w:vAlign w:val="center"/>
          </w:tcPr>
          <w:p>
            <w:pPr>
              <w:widowControl/>
              <w:adjustRightInd w:val="0"/>
              <w:snapToGrid w:val="0"/>
              <w:contextualSpacing/>
              <w:jc w:val="center"/>
              <w:rPr>
                <w:color w:val="auto"/>
                <w:szCs w:val="21"/>
                <w:highlight w:val="none"/>
              </w:rPr>
            </w:pPr>
            <w:r>
              <w:rPr>
                <w:color w:val="auto"/>
                <w:szCs w:val="21"/>
                <w:highlight w:val="none"/>
              </w:rPr>
              <w:t>0</w:t>
            </w:r>
          </w:p>
        </w:tc>
        <w:tc>
          <w:tcPr>
            <w:tcW w:w="1276" w:type="dxa"/>
            <w:noWrap w:val="0"/>
            <w:vAlign w:val="center"/>
          </w:tcPr>
          <w:p>
            <w:pPr>
              <w:widowControl/>
              <w:adjustRightInd w:val="0"/>
              <w:snapToGrid w:val="0"/>
              <w:contextualSpacing/>
              <w:jc w:val="center"/>
              <w:rPr>
                <w:color w:val="auto"/>
                <w:szCs w:val="21"/>
                <w:highlight w:val="none"/>
              </w:rPr>
            </w:pPr>
            <w:r>
              <w:rPr>
                <w:color w:val="auto"/>
                <w:szCs w:val="21"/>
                <w:highlight w:val="none"/>
              </w:rPr>
              <w:t>0</w:t>
            </w:r>
          </w:p>
        </w:tc>
        <w:tc>
          <w:tcPr>
            <w:tcW w:w="1701" w:type="dxa"/>
            <w:noWrap w:val="0"/>
            <w:vAlign w:val="center"/>
          </w:tcPr>
          <w:p>
            <w:pPr>
              <w:widowControl/>
              <w:adjustRightInd w:val="0"/>
              <w:snapToGrid w:val="0"/>
              <w:contextualSpacing/>
              <w:jc w:val="center"/>
              <w:rPr>
                <w:color w:val="auto"/>
                <w:szCs w:val="21"/>
                <w:highlight w:val="none"/>
              </w:rPr>
            </w:pPr>
            <w:r>
              <w:rPr>
                <w:color w:val="auto"/>
                <w:szCs w:val="21"/>
                <w:highlight w:val="none"/>
              </w:rPr>
              <w:t>0</w:t>
            </w:r>
          </w:p>
        </w:tc>
        <w:tc>
          <w:tcPr>
            <w:tcW w:w="1559"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0.1</w:t>
            </w:r>
          </w:p>
        </w:tc>
        <w:tc>
          <w:tcPr>
            <w:tcW w:w="1761" w:type="dxa"/>
            <w:noWrap w:val="0"/>
            <w:vAlign w:val="center"/>
          </w:tcPr>
          <w:p>
            <w:pPr>
              <w:widowControl/>
              <w:adjustRightInd w:val="0"/>
              <w:snapToGrid w:val="0"/>
              <w:contextualSpacing/>
              <w:jc w:val="center"/>
              <w:rPr>
                <w:color w:val="auto"/>
                <w:szCs w:val="21"/>
                <w:highlight w:val="none"/>
              </w:rPr>
            </w:pPr>
            <w:r>
              <w:rPr>
                <w:color w:val="auto"/>
                <w:szCs w:val="21"/>
                <w:highlight w:val="none"/>
              </w:rPr>
              <w:t>0</w:t>
            </w:r>
          </w:p>
        </w:tc>
        <w:tc>
          <w:tcPr>
            <w:tcW w:w="1699" w:type="dxa"/>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0.1</w:t>
            </w:r>
          </w:p>
        </w:tc>
        <w:tc>
          <w:tcPr>
            <w:tcW w:w="1086" w:type="dxa"/>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2" w:type="dxa"/>
            <w:vMerge w:val="continue"/>
            <w:noWrap w:val="0"/>
            <w:vAlign w:val="center"/>
          </w:tcPr>
          <w:p>
            <w:pPr>
              <w:pStyle w:val="20"/>
              <w:spacing w:beforeLines="0" w:afterLines="0" w:line="240" w:lineRule="auto"/>
              <w:rPr>
                <w:rFonts w:ascii="Times New Roman"/>
                <w:snapToGrid w:val="0"/>
                <w:color w:val="auto"/>
                <w:kern w:val="21"/>
                <w:szCs w:val="21"/>
                <w:highlight w:val="none"/>
                <w:lang w:val="en-US" w:eastAsia="zh-CN"/>
              </w:rPr>
            </w:pPr>
          </w:p>
        </w:tc>
        <w:tc>
          <w:tcPr>
            <w:tcW w:w="1683" w:type="dxa"/>
            <w:gridSpan w:val="2"/>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塑料边角料</w:t>
            </w:r>
            <w:r>
              <w:rPr>
                <w:rFonts w:hint="eastAsia" w:cs="Times New Roman"/>
                <w:color w:val="auto"/>
                <w:szCs w:val="21"/>
                <w:highlight w:val="none"/>
                <w:lang w:val="en-US" w:eastAsia="zh-CN"/>
              </w:rPr>
              <w:t>及</w:t>
            </w:r>
            <w:r>
              <w:rPr>
                <w:rFonts w:hint="eastAsia" w:ascii="Times New Roman" w:hAnsi="Times New Roman" w:eastAsia="宋体" w:cs="Times New Roman"/>
                <w:color w:val="auto"/>
                <w:szCs w:val="21"/>
                <w:highlight w:val="none"/>
                <w:lang w:val="en-US" w:eastAsia="zh-CN"/>
              </w:rPr>
              <w:t>不合格品</w:t>
            </w:r>
            <w:r>
              <w:rPr>
                <w:color w:val="auto"/>
                <w:szCs w:val="21"/>
                <w:highlight w:val="none"/>
              </w:rPr>
              <w:t>/t/a</w:t>
            </w:r>
          </w:p>
        </w:tc>
        <w:tc>
          <w:tcPr>
            <w:tcW w:w="1701" w:type="dxa"/>
            <w:noWrap w:val="0"/>
            <w:vAlign w:val="center"/>
          </w:tcPr>
          <w:p>
            <w:pPr>
              <w:widowControl/>
              <w:adjustRightInd w:val="0"/>
              <w:snapToGrid w:val="0"/>
              <w:contextualSpacing/>
              <w:jc w:val="center"/>
              <w:rPr>
                <w:color w:val="auto"/>
                <w:szCs w:val="21"/>
                <w:highlight w:val="none"/>
              </w:rPr>
            </w:pPr>
            <w:r>
              <w:rPr>
                <w:color w:val="auto"/>
                <w:szCs w:val="21"/>
                <w:highlight w:val="none"/>
              </w:rPr>
              <w:t>0</w:t>
            </w:r>
          </w:p>
        </w:tc>
        <w:tc>
          <w:tcPr>
            <w:tcW w:w="1276" w:type="dxa"/>
            <w:noWrap w:val="0"/>
            <w:vAlign w:val="center"/>
          </w:tcPr>
          <w:p>
            <w:pPr>
              <w:widowControl/>
              <w:adjustRightInd w:val="0"/>
              <w:snapToGrid w:val="0"/>
              <w:contextualSpacing/>
              <w:jc w:val="center"/>
              <w:rPr>
                <w:color w:val="auto"/>
                <w:szCs w:val="21"/>
                <w:highlight w:val="none"/>
              </w:rPr>
            </w:pPr>
            <w:r>
              <w:rPr>
                <w:color w:val="auto"/>
                <w:szCs w:val="21"/>
                <w:highlight w:val="none"/>
              </w:rPr>
              <w:t>0</w:t>
            </w:r>
          </w:p>
        </w:tc>
        <w:tc>
          <w:tcPr>
            <w:tcW w:w="1701" w:type="dxa"/>
            <w:noWrap w:val="0"/>
            <w:vAlign w:val="center"/>
          </w:tcPr>
          <w:p>
            <w:pPr>
              <w:widowControl/>
              <w:adjustRightInd w:val="0"/>
              <w:snapToGrid w:val="0"/>
              <w:contextualSpacing/>
              <w:jc w:val="center"/>
              <w:rPr>
                <w:color w:val="auto"/>
                <w:szCs w:val="21"/>
                <w:highlight w:val="none"/>
              </w:rPr>
            </w:pPr>
            <w:r>
              <w:rPr>
                <w:color w:val="auto"/>
                <w:szCs w:val="21"/>
                <w:highlight w:val="none"/>
              </w:rPr>
              <w:t>0</w:t>
            </w:r>
          </w:p>
        </w:tc>
        <w:tc>
          <w:tcPr>
            <w:tcW w:w="1559"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1.38</w:t>
            </w:r>
          </w:p>
        </w:tc>
        <w:tc>
          <w:tcPr>
            <w:tcW w:w="1761" w:type="dxa"/>
            <w:noWrap w:val="0"/>
            <w:vAlign w:val="center"/>
          </w:tcPr>
          <w:p>
            <w:pPr>
              <w:widowControl/>
              <w:adjustRightInd w:val="0"/>
              <w:snapToGrid w:val="0"/>
              <w:contextualSpacing/>
              <w:jc w:val="center"/>
              <w:rPr>
                <w:color w:val="auto"/>
                <w:szCs w:val="21"/>
                <w:highlight w:val="none"/>
              </w:rPr>
            </w:pPr>
            <w:r>
              <w:rPr>
                <w:color w:val="auto"/>
                <w:szCs w:val="21"/>
                <w:highlight w:val="none"/>
              </w:rPr>
              <w:t>0</w:t>
            </w:r>
          </w:p>
        </w:tc>
        <w:tc>
          <w:tcPr>
            <w:tcW w:w="1699" w:type="dxa"/>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1.38</w:t>
            </w:r>
          </w:p>
        </w:tc>
        <w:tc>
          <w:tcPr>
            <w:tcW w:w="1086" w:type="dxa"/>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2" w:type="dxa"/>
            <w:vMerge w:val="restart"/>
            <w:noWrap w:val="0"/>
            <w:vAlign w:val="center"/>
          </w:tcPr>
          <w:p>
            <w:pPr>
              <w:pStyle w:val="20"/>
              <w:spacing w:beforeLines="0" w:afterLines="0" w:line="240" w:lineRule="auto"/>
              <w:rPr>
                <w:rFonts w:hint="default" w:ascii="Times New Roman"/>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危险废物</w:t>
            </w:r>
          </w:p>
        </w:tc>
        <w:tc>
          <w:tcPr>
            <w:tcW w:w="1683" w:type="dxa"/>
            <w:gridSpan w:val="2"/>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废</w:t>
            </w:r>
            <w:r>
              <w:rPr>
                <w:rFonts w:hint="eastAsia" w:cs="Times New Roman"/>
                <w:color w:val="auto"/>
                <w:szCs w:val="21"/>
                <w:highlight w:val="none"/>
                <w:lang w:val="en-US" w:eastAsia="zh-CN"/>
              </w:rPr>
              <w:t>润滑</w:t>
            </w:r>
            <w:r>
              <w:rPr>
                <w:rFonts w:hint="eastAsia" w:ascii="Times New Roman" w:hAnsi="Times New Roman" w:eastAsia="宋体" w:cs="Times New Roman"/>
                <w:color w:val="auto"/>
                <w:szCs w:val="21"/>
                <w:highlight w:val="none"/>
                <w:lang w:val="en-US" w:eastAsia="zh-CN"/>
              </w:rPr>
              <w:t>油</w:t>
            </w:r>
            <w:r>
              <w:rPr>
                <w:color w:val="auto"/>
                <w:szCs w:val="21"/>
                <w:highlight w:val="none"/>
              </w:rPr>
              <w:t>/t/a</w:t>
            </w:r>
          </w:p>
        </w:tc>
        <w:tc>
          <w:tcPr>
            <w:tcW w:w="1701" w:type="dxa"/>
            <w:noWrap w:val="0"/>
            <w:vAlign w:val="center"/>
          </w:tcPr>
          <w:p>
            <w:pPr>
              <w:widowControl/>
              <w:adjustRightInd w:val="0"/>
              <w:snapToGrid w:val="0"/>
              <w:contextualSpacing/>
              <w:jc w:val="center"/>
              <w:rPr>
                <w:color w:val="auto"/>
                <w:szCs w:val="21"/>
                <w:highlight w:val="none"/>
              </w:rPr>
            </w:pPr>
            <w:r>
              <w:rPr>
                <w:color w:val="auto"/>
                <w:szCs w:val="21"/>
                <w:highlight w:val="none"/>
              </w:rPr>
              <w:t>0</w:t>
            </w:r>
          </w:p>
        </w:tc>
        <w:tc>
          <w:tcPr>
            <w:tcW w:w="1276" w:type="dxa"/>
            <w:noWrap w:val="0"/>
            <w:vAlign w:val="center"/>
          </w:tcPr>
          <w:p>
            <w:pPr>
              <w:widowControl/>
              <w:adjustRightInd w:val="0"/>
              <w:snapToGrid w:val="0"/>
              <w:contextualSpacing/>
              <w:jc w:val="center"/>
              <w:rPr>
                <w:color w:val="auto"/>
                <w:szCs w:val="21"/>
                <w:highlight w:val="none"/>
              </w:rPr>
            </w:pPr>
            <w:r>
              <w:rPr>
                <w:color w:val="auto"/>
                <w:szCs w:val="21"/>
                <w:highlight w:val="none"/>
              </w:rPr>
              <w:t>0</w:t>
            </w:r>
          </w:p>
        </w:tc>
        <w:tc>
          <w:tcPr>
            <w:tcW w:w="1701" w:type="dxa"/>
            <w:noWrap w:val="0"/>
            <w:vAlign w:val="center"/>
          </w:tcPr>
          <w:p>
            <w:pPr>
              <w:widowControl/>
              <w:adjustRightInd w:val="0"/>
              <w:snapToGrid w:val="0"/>
              <w:contextualSpacing/>
              <w:jc w:val="center"/>
              <w:rPr>
                <w:color w:val="auto"/>
                <w:szCs w:val="21"/>
                <w:highlight w:val="none"/>
              </w:rPr>
            </w:pPr>
            <w:r>
              <w:rPr>
                <w:color w:val="auto"/>
                <w:szCs w:val="21"/>
                <w:highlight w:val="none"/>
              </w:rPr>
              <w:t>0</w:t>
            </w:r>
          </w:p>
        </w:tc>
        <w:tc>
          <w:tcPr>
            <w:tcW w:w="1559"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0.3</w:t>
            </w:r>
          </w:p>
        </w:tc>
        <w:tc>
          <w:tcPr>
            <w:tcW w:w="1761" w:type="dxa"/>
            <w:noWrap w:val="0"/>
            <w:vAlign w:val="center"/>
          </w:tcPr>
          <w:p>
            <w:pPr>
              <w:widowControl/>
              <w:adjustRightInd w:val="0"/>
              <w:snapToGrid w:val="0"/>
              <w:contextualSpacing/>
              <w:jc w:val="center"/>
              <w:rPr>
                <w:color w:val="auto"/>
                <w:szCs w:val="21"/>
                <w:highlight w:val="none"/>
              </w:rPr>
            </w:pPr>
            <w:r>
              <w:rPr>
                <w:color w:val="auto"/>
                <w:szCs w:val="21"/>
                <w:highlight w:val="none"/>
              </w:rPr>
              <w:t>0</w:t>
            </w:r>
          </w:p>
        </w:tc>
        <w:tc>
          <w:tcPr>
            <w:tcW w:w="1699" w:type="dxa"/>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0.3</w:t>
            </w:r>
          </w:p>
        </w:tc>
        <w:tc>
          <w:tcPr>
            <w:tcW w:w="1086" w:type="dxa"/>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2" w:type="dxa"/>
            <w:vMerge w:val="continue"/>
            <w:noWrap w:val="0"/>
            <w:vAlign w:val="center"/>
          </w:tcPr>
          <w:p>
            <w:pPr>
              <w:pStyle w:val="20"/>
              <w:spacing w:beforeLines="0" w:afterLines="0" w:line="240" w:lineRule="auto"/>
              <w:rPr>
                <w:rFonts w:hint="eastAsia" w:ascii="Times New Roman"/>
                <w:snapToGrid w:val="0"/>
                <w:color w:val="auto"/>
                <w:kern w:val="21"/>
                <w:szCs w:val="21"/>
                <w:highlight w:val="none"/>
                <w:lang w:val="en-US" w:eastAsia="zh-CN"/>
              </w:rPr>
            </w:pPr>
          </w:p>
        </w:tc>
        <w:tc>
          <w:tcPr>
            <w:tcW w:w="1683" w:type="dxa"/>
            <w:gridSpan w:val="2"/>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废</w:t>
            </w:r>
            <w:r>
              <w:rPr>
                <w:rFonts w:hint="eastAsia" w:cs="Times New Roman"/>
                <w:color w:val="auto"/>
                <w:szCs w:val="21"/>
                <w:highlight w:val="none"/>
                <w:lang w:val="en-US" w:eastAsia="zh-CN"/>
              </w:rPr>
              <w:t>润滑</w:t>
            </w:r>
            <w:r>
              <w:rPr>
                <w:rFonts w:hint="eastAsia" w:ascii="Times New Roman" w:hAnsi="Times New Roman" w:eastAsia="宋体" w:cs="Times New Roman"/>
                <w:color w:val="auto"/>
                <w:szCs w:val="21"/>
                <w:highlight w:val="none"/>
                <w:lang w:val="en-US" w:eastAsia="zh-CN"/>
              </w:rPr>
              <w:t>油</w:t>
            </w:r>
            <w:r>
              <w:rPr>
                <w:rFonts w:hint="eastAsia" w:cs="Times New Roman"/>
                <w:color w:val="auto"/>
                <w:szCs w:val="21"/>
                <w:highlight w:val="none"/>
                <w:lang w:val="en-US" w:eastAsia="zh-CN"/>
              </w:rPr>
              <w:t>桶</w:t>
            </w:r>
            <w:r>
              <w:rPr>
                <w:color w:val="auto"/>
                <w:szCs w:val="21"/>
                <w:highlight w:val="none"/>
              </w:rPr>
              <w:t>/t/a</w:t>
            </w:r>
          </w:p>
        </w:tc>
        <w:tc>
          <w:tcPr>
            <w:tcW w:w="1701" w:type="dxa"/>
            <w:noWrap w:val="0"/>
            <w:vAlign w:val="center"/>
          </w:tcPr>
          <w:p>
            <w:pPr>
              <w:widowControl/>
              <w:adjustRightInd w:val="0"/>
              <w:snapToGrid w:val="0"/>
              <w:contextualSpacing/>
              <w:jc w:val="center"/>
              <w:rPr>
                <w:color w:val="auto"/>
                <w:szCs w:val="21"/>
                <w:highlight w:val="none"/>
              </w:rPr>
            </w:pPr>
            <w:r>
              <w:rPr>
                <w:color w:val="auto"/>
                <w:szCs w:val="21"/>
                <w:highlight w:val="none"/>
              </w:rPr>
              <w:t>0</w:t>
            </w:r>
          </w:p>
        </w:tc>
        <w:tc>
          <w:tcPr>
            <w:tcW w:w="1276" w:type="dxa"/>
            <w:noWrap w:val="0"/>
            <w:vAlign w:val="center"/>
          </w:tcPr>
          <w:p>
            <w:pPr>
              <w:widowControl/>
              <w:adjustRightInd w:val="0"/>
              <w:snapToGrid w:val="0"/>
              <w:contextualSpacing/>
              <w:jc w:val="center"/>
              <w:rPr>
                <w:color w:val="auto"/>
                <w:szCs w:val="21"/>
                <w:highlight w:val="none"/>
              </w:rPr>
            </w:pPr>
            <w:r>
              <w:rPr>
                <w:color w:val="auto"/>
                <w:szCs w:val="21"/>
                <w:highlight w:val="none"/>
              </w:rPr>
              <w:t>0</w:t>
            </w:r>
          </w:p>
        </w:tc>
        <w:tc>
          <w:tcPr>
            <w:tcW w:w="1701" w:type="dxa"/>
            <w:noWrap w:val="0"/>
            <w:vAlign w:val="center"/>
          </w:tcPr>
          <w:p>
            <w:pPr>
              <w:widowControl/>
              <w:adjustRightInd w:val="0"/>
              <w:snapToGrid w:val="0"/>
              <w:contextualSpacing/>
              <w:jc w:val="center"/>
              <w:rPr>
                <w:color w:val="auto"/>
                <w:szCs w:val="21"/>
                <w:highlight w:val="none"/>
              </w:rPr>
            </w:pPr>
            <w:r>
              <w:rPr>
                <w:color w:val="auto"/>
                <w:szCs w:val="21"/>
                <w:highlight w:val="none"/>
              </w:rPr>
              <w:t>0</w:t>
            </w:r>
          </w:p>
        </w:tc>
        <w:tc>
          <w:tcPr>
            <w:tcW w:w="1559"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0.02</w:t>
            </w:r>
          </w:p>
        </w:tc>
        <w:tc>
          <w:tcPr>
            <w:tcW w:w="1761" w:type="dxa"/>
            <w:noWrap w:val="0"/>
            <w:vAlign w:val="center"/>
          </w:tcPr>
          <w:p>
            <w:pPr>
              <w:widowControl/>
              <w:adjustRightInd w:val="0"/>
              <w:snapToGrid w:val="0"/>
              <w:contextualSpacing/>
              <w:jc w:val="center"/>
              <w:rPr>
                <w:color w:val="auto"/>
                <w:szCs w:val="21"/>
                <w:highlight w:val="none"/>
              </w:rPr>
            </w:pPr>
            <w:r>
              <w:rPr>
                <w:color w:val="auto"/>
                <w:szCs w:val="21"/>
                <w:highlight w:val="none"/>
              </w:rPr>
              <w:t>0</w:t>
            </w:r>
          </w:p>
        </w:tc>
        <w:tc>
          <w:tcPr>
            <w:tcW w:w="1699" w:type="dxa"/>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0.02</w:t>
            </w:r>
          </w:p>
        </w:tc>
        <w:tc>
          <w:tcPr>
            <w:tcW w:w="1086" w:type="dxa"/>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2" w:type="dxa"/>
            <w:vMerge w:val="continue"/>
            <w:noWrap w:val="0"/>
            <w:vAlign w:val="center"/>
          </w:tcPr>
          <w:p>
            <w:pPr>
              <w:pStyle w:val="20"/>
              <w:spacing w:beforeLines="0" w:afterLines="0" w:line="240" w:lineRule="auto"/>
              <w:rPr>
                <w:rFonts w:hint="eastAsia" w:ascii="Times New Roman"/>
                <w:snapToGrid w:val="0"/>
                <w:color w:val="auto"/>
                <w:kern w:val="21"/>
                <w:szCs w:val="21"/>
                <w:highlight w:val="none"/>
                <w:lang w:val="en-US" w:eastAsia="zh-CN"/>
              </w:rPr>
            </w:pPr>
          </w:p>
        </w:tc>
        <w:tc>
          <w:tcPr>
            <w:tcW w:w="1683" w:type="dxa"/>
            <w:gridSpan w:val="2"/>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废过滤棉</w:t>
            </w:r>
            <w:r>
              <w:rPr>
                <w:color w:val="auto"/>
                <w:szCs w:val="21"/>
                <w:highlight w:val="none"/>
              </w:rPr>
              <w:t>/t/a</w:t>
            </w:r>
          </w:p>
        </w:tc>
        <w:tc>
          <w:tcPr>
            <w:tcW w:w="1701" w:type="dxa"/>
            <w:noWrap w:val="0"/>
            <w:vAlign w:val="center"/>
          </w:tcPr>
          <w:p>
            <w:pPr>
              <w:widowControl/>
              <w:adjustRightInd w:val="0"/>
              <w:snapToGrid w:val="0"/>
              <w:contextualSpacing/>
              <w:jc w:val="center"/>
              <w:rPr>
                <w:color w:val="auto"/>
                <w:szCs w:val="21"/>
                <w:highlight w:val="none"/>
              </w:rPr>
            </w:pPr>
            <w:r>
              <w:rPr>
                <w:color w:val="auto"/>
                <w:szCs w:val="21"/>
                <w:highlight w:val="none"/>
              </w:rPr>
              <w:t>0</w:t>
            </w:r>
          </w:p>
        </w:tc>
        <w:tc>
          <w:tcPr>
            <w:tcW w:w="1276" w:type="dxa"/>
            <w:noWrap w:val="0"/>
            <w:vAlign w:val="center"/>
          </w:tcPr>
          <w:p>
            <w:pPr>
              <w:widowControl/>
              <w:adjustRightInd w:val="0"/>
              <w:snapToGrid w:val="0"/>
              <w:contextualSpacing/>
              <w:jc w:val="center"/>
              <w:rPr>
                <w:color w:val="auto"/>
                <w:szCs w:val="21"/>
                <w:highlight w:val="none"/>
              </w:rPr>
            </w:pPr>
            <w:r>
              <w:rPr>
                <w:color w:val="auto"/>
                <w:szCs w:val="21"/>
                <w:highlight w:val="none"/>
              </w:rPr>
              <w:t>0</w:t>
            </w:r>
          </w:p>
        </w:tc>
        <w:tc>
          <w:tcPr>
            <w:tcW w:w="1701" w:type="dxa"/>
            <w:noWrap w:val="0"/>
            <w:vAlign w:val="center"/>
          </w:tcPr>
          <w:p>
            <w:pPr>
              <w:widowControl/>
              <w:adjustRightInd w:val="0"/>
              <w:snapToGrid w:val="0"/>
              <w:contextualSpacing/>
              <w:jc w:val="center"/>
              <w:rPr>
                <w:color w:val="auto"/>
                <w:szCs w:val="21"/>
                <w:highlight w:val="none"/>
              </w:rPr>
            </w:pPr>
            <w:r>
              <w:rPr>
                <w:color w:val="auto"/>
                <w:szCs w:val="21"/>
                <w:highlight w:val="none"/>
              </w:rPr>
              <w:t>0</w:t>
            </w:r>
          </w:p>
        </w:tc>
        <w:tc>
          <w:tcPr>
            <w:tcW w:w="1559"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1.2</w:t>
            </w:r>
          </w:p>
        </w:tc>
        <w:tc>
          <w:tcPr>
            <w:tcW w:w="1761" w:type="dxa"/>
            <w:noWrap w:val="0"/>
            <w:vAlign w:val="center"/>
          </w:tcPr>
          <w:p>
            <w:pPr>
              <w:widowControl/>
              <w:adjustRightInd w:val="0"/>
              <w:snapToGrid w:val="0"/>
              <w:contextualSpacing/>
              <w:jc w:val="center"/>
              <w:rPr>
                <w:color w:val="auto"/>
                <w:szCs w:val="21"/>
                <w:highlight w:val="none"/>
              </w:rPr>
            </w:pPr>
            <w:r>
              <w:rPr>
                <w:color w:val="auto"/>
                <w:szCs w:val="21"/>
                <w:highlight w:val="none"/>
              </w:rPr>
              <w:t>0</w:t>
            </w:r>
          </w:p>
        </w:tc>
        <w:tc>
          <w:tcPr>
            <w:tcW w:w="1699" w:type="dxa"/>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1.2</w:t>
            </w:r>
          </w:p>
        </w:tc>
        <w:tc>
          <w:tcPr>
            <w:tcW w:w="1086" w:type="dxa"/>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2" w:type="dxa"/>
            <w:vMerge w:val="continue"/>
            <w:noWrap w:val="0"/>
            <w:vAlign w:val="center"/>
          </w:tcPr>
          <w:p>
            <w:pPr>
              <w:pStyle w:val="20"/>
              <w:spacing w:beforeLines="0" w:afterLines="0" w:line="240" w:lineRule="auto"/>
              <w:rPr>
                <w:rFonts w:hint="eastAsia" w:ascii="Times New Roman"/>
                <w:snapToGrid w:val="0"/>
                <w:color w:val="auto"/>
                <w:kern w:val="21"/>
                <w:szCs w:val="21"/>
                <w:highlight w:val="none"/>
                <w:lang w:val="en-US" w:eastAsia="zh-CN"/>
              </w:rPr>
            </w:pPr>
          </w:p>
        </w:tc>
        <w:tc>
          <w:tcPr>
            <w:tcW w:w="1683" w:type="dxa"/>
            <w:gridSpan w:val="2"/>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废uv灯管</w:t>
            </w:r>
            <w:r>
              <w:rPr>
                <w:color w:val="auto"/>
                <w:szCs w:val="21"/>
                <w:highlight w:val="none"/>
              </w:rPr>
              <w:t>/t/a</w:t>
            </w:r>
          </w:p>
        </w:tc>
        <w:tc>
          <w:tcPr>
            <w:tcW w:w="1701" w:type="dxa"/>
            <w:noWrap w:val="0"/>
            <w:vAlign w:val="center"/>
          </w:tcPr>
          <w:p>
            <w:pPr>
              <w:widowControl/>
              <w:adjustRightInd w:val="0"/>
              <w:snapToGrid w:val="0"/>
              <w:contextualSpacing/>
              <w:jc w:val="center"/>
              <w:rPr>
                <w:color w:val="auto"/>
                <w:szCs w:val="21"/>
                <w:highlight w:val="none"/>
              </w:rPr>
            </w:pPr>
            <w:r>
              <w:rPr>
                <w:color w:val="auto"/>
                <w:szCs w:val="21"/>
                <w:highlight w:val="none"/>
              </w:rPr>
              <w:t>0</w:t>
            </w:r>
          </w:p>
        </w:tc>
        <w:tc>
          <w:tcPr>
            <w:tcW w:w="1276" w:type="dxa"/>
            <w:noWrap w:val="0"/>
            <w:vAlign w:val="center"/>
          </w:tcPr>
          <w:p>
            <w:pPr>
              <w:widowControl/>
              <w:adjustRightInd w:val="0"/>
              <w:snapToGrid w:val="0"/>
              <w:contextualSpacing/>
              <w:jc w:val="center"/>
              <w:rPr>
                <w:color w:val="auto"/>
                <w:szCs w:val="21"/>
                <w:highlight w:val="none"/>
              </w:rPr>
            </w:pPr>
            <w:r>
              <w:rPr>
                <w:color w:val="auto"/>
                <w:szCs w:val="21"/>
                <w:highlight w:val="none"/>
              </w:rPr>
              <w:t>0</w:t>
            </w:r>
          </w:p>
        </w:tc>
        <w:tc>
          <w:tcPr>
            <w:tcW w:w="1701" w:type="dxa"/>
            <w:noWrap w:val="0"/>
            <w:vAlign w:val="center"/>
          </w:tcPr>
          <w:p>
            <w:pPr>
              <w:widowControl/>
              <w:adjustRightInd w:val="0"/>
              <w:snapToGrid w:val="0"/>
              <w:contextualSpacing/>
              <w:jc w:val="center"/>
              <w:rPr>
                <w:color w:val="auto"/>
                <w:szCs w:val="21"/>
                <w:highlight w:val="none"/>
              </w:rPr>
            </w:pPr>
            <w:r>
              <w:rPr>
                <w:color w:val="auto"/>
                <w:szCs w:val="21"/>
                <w:highlight w:val="none"/>
              </w:rPr>
              <w:t>0</w:t>
            </w:r>
          </w:p>
        </w:tc>
        <w:tc>
          <w:tcPr>
            <w:tcW w:w="1559"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0.021</w:t>
            </w:r>
          </w:p>
        </w:tc>
        <w:tc>
          <w:tcPr>
            <w:tcW w:w="1761" w:type="dxa"/>
            <w:noWrap w:val="0"/>
            <w:vAlign w:val="center"/>
          </w:tcPr>
          <w:p>
            <w:pPr>
              <w:widowControl/>
              <w:adjustRightInd w:val="0"/>
              <w:snapToGrid w:val="0"/>
              <w:contextualSpacing/>
              <w:jc w:val="center"/>
              <w:rPr>
                <w:color w:val="auto"/>
                <w:szCs w:val="21"/>
                <w:highlight w:val="none"/>
              </w:rPr>
            </w:pPr>
            <w:r>
              <w:rPr>
                <w:color w:val="auto"/>
                <w:szCs w:val="21"/>
                <w:highlight w:val="none"/>
              </w:rPr>
              <w:t>0</w:t>
            </w:r>
          </w:p>
        </w:tc>
        <w:tc>
          <w:tcPr>
            <w:tcW w:w="1699" w:type="dxa"/>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0.021</w:t>
            </w:r>
          </w:p>
        </w:tc>
        <w:tc>
          <w:tcPr>
            <w:tcW w:w="1086" w:type="dxa"/>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2" w:type="dxa"/>
            <w:vMerge w:val="continue"/>
            <w:noWrap w:val="0"/>
            <w:vAlign w:val="center"/>
          </w:tcPr>
          <w:p>
            <w:pPr>
              <w:pStyle w:val="20"/>
              <w:spacing w:beforeLines="0" w:afterLines="0" w:line="240" w:lineRule="auto"/>
              <w:rPr>
                <w:rFonts w:hint="eastAsia" w:ascii="Times New Roman"/>
                <w:snapToGrid w:val="0"/>
                <w:color w:val="auto"/>
                <w:kern w:val="21"/>
                <w:szCs w:val="21"/>
                <w:highlight w:val="none"/>
                <w:lang w:val="en-US" w:eastAsia="zh-CN"/>
              </w:rPr>
            </w:pPr>
          </w:p>
        </w:tc>
        <w:tc>
          <w:tcPr>
            <w:tcW w:w="1683" w:type="dxa"/>
            <w:gridSpan w:val="2"/>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废活性炭</w:t>
            </w:r>
            <w:r>
              <w:rPr>
                <w:color w:val="auto"/>
                <w:szCs w:val="21"/>
                <w:highlight w:val="none"/>
              </w:rPr>
              <w:t>/t/a</w:t>
            </w:r>
          </w:p>
        </w:tc>
        <w:tc>
          <w:tcPr>
            <w:tcW w:w="1701" w:type="dxa"/>
            <w:noWrap w:val="0"/>
            <w:vAlign w:val="center"/>
          </w:tcPr>
          <w:p>
            <w:pPr>
              <w:widowControl/>
              <w:adjustRightInd w:val="0"/>
              <w:snapToGrid w:val="0"/>
              <w:contextualSpacing/>
              <w:jc w:val="center"/>
              <w:rPr>
                <w:color w:val="auto"/>
                <w:szCs w:val="21"/>
                <w:highlight w:val="none"/>
              </w:rPr>
            </w:pPr>
            <w:r>
              <w:rPr>
                <w:color w:val="auto"/>
                <w:szCs w:val="21"/>
                <w:highlight w:val="none"/>
              </w:rPr>
              <w:t>0</w:t>
            </w:r>
          </w:p>
        </w:tc>
        <w:tc>
          <w:tcPr>
            <w:tcW w:w="1276" w:type="dxa"/>
            <w:noWrap w:val="0"/>
            <w:vAlign w:val="center"/>
          </w:tcPr>
          <w:p>
            <w:pPr>
              <w:widowControl/>
              <w:adjustRightInd w:val="0"/>
              <w:snapToGrid w:val="0"/>
              <w:contextualSpacing/>
              <w:jc w:val="center"/>
              <w:rPr>
                <w:color w:val="auto"/>
                <w:szCs w:val="21"/>
                <w:highlight w:val="none"/>
              </w:rPr>
            </w:pPr>
            <w:r>
              <w:rPr>
                <w:color w:val="auto"/>
                <w:szCs w:val="21"/>
                <w:highlight w:val="none"/>
              </w:rPr>
              <w:t>0</w:t>
            </w:r>
          </w:p>
        </w:tc>
        <w:tc>
          <w:tcPr>
            <w:tcW w:w="1701" w:type="dxa"/>
            <w:noWrap w:val="0"/>
            <w:vAlign w:val="center"/>
          </w:tcPr>
          <w:p>
            <w:pPr>
              <w:widowControl/>
              <w:adjustRightInd w:val="0"/>
              <w:snapToGrid w:val="0"/>
              <w:contextualSpacing/>
              <w:jc w:val="center"/>
              <w:rPr>
                <w:color w:val="auto"/>
                <w:szCs w:val="21"/>
                <w:highlight w:val="none"/>
              </w:rPr>
            </w:pPr>
            <w:r>
              <w:rPr>
                <w:color w:val="auto"/>
                <w:szCs w:val="21"/>
                <w:highlight w:val="none"/>
              </w:rPr>
              <w:t>0</w:t>
            </w:r>
          </w:p>
        </w:tc>
        <w:tc>
          <w:tcPr>
            <w:tcW w:w="1559"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1.355</w:t>
            </w:r>
          </w:p>
        </w:tc>
        <w:tc>
          <w:tcPr>
            <w:tcW w:w="1761" w:type="dxa"/>
            <w:noWrap w:val="0"/>
            <w:vAlign w:val="center"/>
          </w:tcPr>
          <w:p>
            <w:pPr>
              <w:widowControl/>
              <w:adjustRightInd w:val="0"/>
              <w:snapToGrid w:val="0"/>
              <w:contextualSpacing/>
              <w:jc w:val="center"/>
              <w:rPr>
                <w:color w:val="auto"/>
                <w:szCs w:val="21"/>
                <w:highlight w:val="none"/>
              </w:rPr>
            </w:pPr>
            <w:r>
              <w:rPr>
                <w:color w:val="auto"/>
                <w:szCs w:val="21"/>
                <w:highlight w:val="none"/>
              </w:rPr>
              <w:t>0</w:t>
            </w:r>
          </w:p>
        </w:tc>
        <w:tc>
          <w:tcPr>
            <w:tcW w:w="1699" w:type="dxa"/>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1.355</w:t>
            </w:r>
          </w:p>
        </w:tc>
        <w:tc>
          <w:tcPr>
            <w:tcW w:w="1086" w:type="dxa"/>
            <w:noWrap w:val="0"/>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+1.355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2" w:type="dxa"/>
            <w:vMerge w:val="continue"/>
            <w:noWrap w:val="0"/>
            <w:vAlign w:val="center"/>
          </w:tcPr>
          <w:p>
            <w:pPr>
              <w:pStyle w:val="20"/>
              <w:spacing w:beforeLines="0" w:afterLines="0" w:line="240" w:lineRule="auto"/>
              <w:rPr>
                <w:rFonts w:hint="eastAsia" w:ascii="Times New Roman"/>
                <w:snapToGrid w:val="0"/>
                <w:color w:val="auto"/>
                <w:kern w:val="21"/>
                <w:szCs w:val="21"/>
                <w:highlight w:val="none"/>
                <w:lang w:val="en-US" w:eastAsia="zh-CN"/>
              </w:rPr>
            </w:pPr>
          </w:p>
        </w:tc>
        <w:tc>
          <w:tcPr>
            <w:tcW w:w="1683" w:type="dxa"/>
            <w:gridSpan w:val="2"/>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废含油棉纱手套</w:t>
            </w:r>
            <w:r>
              <w:rPr>
                <w:color w:val="auto"/>
                <w:szCs w:val="21"/>
                <w:highlight w:val="none"/>
              </w:rPr>
              <w:t>/t/a</w:t>
            </w:r>
          </w:p>
        </w:tc>
        <w:tc>
          <w:tcPr>
            <w:tcW w:w="1701" w:type="dxa"/>
            <w:noWrap w:val="0"/>
            <w:vAlign w:val="center"/>
          </w:tcPr>
          <w:p>
            <w:pPr>
              <w:widowControl/>
              <w:adjustRightInd w:val="0"/>
              <w:snapToGrid w:val="0"/>
              <w:contextualSpacing/>
              <w:jc w:val="center"/>
              <w:rPr>
                <w:color w:val="auto"/>
                <w:szCs w:val="21"/>
                <w:highlight w:val="none"/>
              </w:rPr>
            </w:pPr>
            <w:r>
              <w:rPr>
                <w:color w:val="auto"/>
                <w:szCs w:val="21"/>
                <w:highlight w:val="none"/>
              </w:rPr>
              <w:t>0</w:t>
            </w:r>
          </w:p>
        </w:tc>
        <w:tc>
          <w:tcPr>
            <w:tcW w:w="1276" w:type="dxa"/>
            <w:noWrap w:val="0"/>
            <w:vAlign w:val="center"/>
          </w:tcPr>
          <w:p>
            <w:pPr>
              <w:widowControl/>
              <w:adjustRightInd w:val="0"/>
              <w:snapToGrid w:val="0"/>
              <w:contextualSpacing/>
              <w:jc w:val="center"/>
              <w:rPr>
                <w:color w:val="auto"/>
                <w:szCs w:val="21"/>
                <w:highlight w:val="none"/>
              </w:rPr>
            </w:pPr>
            <w:r>
              <w:rPr>
                <w:color w:val="auto"/>
                <w:szCs w:val="21"/>
                <w:highlight w:val="none"/>
              </w:rPr>
              <w:t>0</w:t>
            </w:r>
          </w:p>
        </w:tc>
        <w:tc>
          <w:tcPr>
            <w:tcW w:w="1701" w:type="dxa"/>
            <w:noWrap w:val="0"/>
            <w:vAlign w:val="center"/>
          </w:tcPr>
          <w:p>
            <w:pPr>
              <w:widowControl/>
              <w:adjustRightInd w:val="0"/>
              <w:snapToGrid w:val="0"/>
              <w:contextualSpacing/>
              <w:jc w:val="center"/>
              <w:rPr>
                <w:color w:val="auto"/>
                <w:szCs w:val="21"/>
                <w:highlight w:val="none"/>
              </w:rPr>
            </w:pPr>
            <w:r>
              <w:rPr>
                <w:color w:val="auto"/>
                <w:szCs w:val="21"/>
                <w:highlight w:val="none"/>
              </w:rPr>
              <w:t>0</w:t>
            </w:r>
          </w:p>
        </w:tc>
        <w:tc>
          <w:tcPr>
            <w:tcW w:w="1559"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0.02</w:t>
            </w:r>
          </w:p>
        </w:tc>
        <w:tc>
          <w:tcPr>
            <w:tcW w:w="1761" w:type="dxa"/>
            <w:noWrap w:val="0"/>
            <w:vAlign w:val="center"/>
          </w:tcPr>
          <w:p>
            <w:pPr>
              <w:widowControl/>
              <w:adjustRightInd w:val="0"/>
              <w:snapToGrid w:val="0"/>
              <w:contextualSpacing/>
              <w:jc w:val="center"/>
              <w:rPr>
                <w:color w:val="auto"/>
                <w:szCs w:val="21"/>
                <w:highlight w:val="none"/>
              </w:rPr>
            </w:pPr>
            <w:r>
              <w:rPr>
                <w:color w:val="auto"/>
                <w:szCs w:val="21"/>
                <w:highlight w:val="none"/>
              </w:rPr>
              <w:t>0</w:t>
            </w:r>
          </w:p>
        </w:tc>
        <w:tc>
          <w:tcPr>
            <w:tcW w:w="1699"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0.02</w:t>
            </w:r>
          </w:p>
        </w:tc>
        <w:tc>
          <w:tcPr>
            <w:tcW w:w="1086"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05" w:type="dxa"/>
            <w:gridSpan w:val="3"/>
            <w:noWrap w:val="0"/>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生活垃圾</w:t>
            </w:r>
            <w:r>
              <w:rPr>
                <w:color w:val="auto"/>
                <w:szCs w:val="21"/>
                <w:highlight w:val="none"/>
              </w:rPr>
              <w:t>t/a</w:t>
            </w:r>
          </w:p>
        </w:tc>
        <w:tc>
          <w:tcPr>
            <w:tcW w:w="1701" w:type="dxa"/>
            <w:noWrap w:val="0"/>
            <w:vAlign w:val="center"/>
          </w:tcPr>
          <w:p>
            <w:pPr>
              <w:widowControl/>
              <w:adjustRightInd w:val="0"/>
              <w:snapToGrid w:val="0"/>
              <w:contextualSpacing/>
              <w:jc w:val="center"/>
              <w:rPr>
                <w:rFonts w:hint="eastAsia" w:eastAsia="宋体"/>
                <w:color w:val="auto"/>
                <w:szCs w:val="21"/>
                <w:highlight w:val="none"/>
                <w:lang w:val="en-US" w:eastAsia="zh-CN"/>
              </w:rPr>
            </w:pPr>
            <w:r>
              <w:rPr>
                <w:rFonts w:hint="eastAsia"/>
                <w:color w:val="auto"/>
                <w:szCs w:val="21"/>
                <w:highlight w:val="none"/>
                <w:lang w:val="en-US" w:eastAsia="zh-CN"/>
              </w:rPr>
              <w:t>0</w:t>
            </w:r>
          </w:p>
        </w:tc>
        <w:tc>
          <w:tcPr>
            <w:tcW w:w="1276" w:type="dxa"/>
            <w:noWrap w:val="0"/>
            <w:vAlign w:val="center"/>
          </w:tcPr>
          <w:p>
            <w:pPr>
              <w:widowControl/>
              <w:adjustRightInd w:val="0"/>
              <w:snapToGrid w:val="0"/>
              <w:contextualSpacing/>
              <w:jc w:val="center"/>
              <w:rPr>
                <w:rFonts w:hint="eastAsia" w:eastAsia="宋体"/>
                <w:color w:val="auto"/>
                <w:szCs w:val="21"/>
                <w:highlight w:val="none"/>
                <w:lang w:val="en-US" w:eastAsia="zh-CN"/>
              </w:rPr>
            </w:pPr>
            <w:r>
              <w:rPr>
                <w:rFonts w:hint="eastAsia"/>
                <w:color w:val="auto"/>
                <w:szCs w:val="21"/>
                <w:highlight w:val="none"/>
                <w:lang w:val="en-US" w:eastAsia="zh-CN"/>
              </w:rPr>
              <w:t>0</w:t>
            </w:r>
          </w:p>
        </w:tc>
        <w:tc>
          <w:tcPr>
            <w:tcW w:w="1701" w:type="dxa"/>
            <w:noWrap w:val="0"/>
            <w:vAlign w:val="center"/>
          </w:tcPr>
          <w:p>
            <w:pPr>
              <w:widowControl/>
              <w:adjustRightInd w:val="0"/>
              <w:snapToGrid w:val="0"/>
              <w:contextualSpacing/>
              <w:jc w:val="center"/>
              <w:rPr>
                <w:rFonts w:hint="eastAsia" w:eastAsia="宋体"/>
                <w:color w:val="auto"/>
                <w:szCs w:val="21"/>
                <w:highlight w:val="none"/>
                <w:lang w:val="en-US" w:eastAsia="zh-CN"/>
              </w:rPr>
            </w:pPr>
            <w:r>
              <w:rPr>
                <w:rFonts w:hint="eastAsia"/>
                <w:color w:val="auto"/>
                <w:szCs w:val="21"/>
                <w:highlight w:val="none"/>
                <w:lang w:val="en-US" w:eastAsia="zh-CN"/>
              </w:rPr>
              <w:t>0</w:t>
            </w:r>
          </w:p>
        </w:tc>
        <w:tc>
          <w:tcPr>
            <w:tcW w:w="1559" w:type="dxa"/>
            <w:noWrap w:val="0"/>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2.6</w:t>
            </w:r>
          </w:p>
        </w:tc>
        <w:tc>
          <w:tcPr>
            <w:tcW w:w="1761"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1699" w:type="dxa"/>
            <w:noWrap w:val="0"/>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2.6</w:t>
            </w:r>
          </w:p>
        </w:tc>
        <w:tc>
          <w:tcPr>
            <w:tcW w:w="1086" w:type="dxa"/>
            <w:noWrap w:val="0"/>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+2.6</w:t>
            </w:r>
          </w:p>
        </w:tc>
      </w:tr>
    </w:tbl>
    <w:p>
      <w:pPr>
        <w:rPr>
          <w:color w:val="auto"/>
          <w:highlight w:val="none"/>
        </w:rPr>
      </w:pPr>
      <w:r>
        <w:rPr>
          <w:rFonts w:ascii="Times New Roman"/>
          <w:snapToGrid w:val="0"/>
          <w:color w:val="auto"/>
          <w:kern w:val="21"/>
          <w:szCs w:val="21"/>
          <w:highlight w:val="none"/>
        </w:rPr>
        <w:t>注：</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 = 6 \* GB3 \* MERGEFORMAT </w:instrText>
      </w:r>
      <w:r>
        <w:rPr>
          <w:rFonts w:ascii="Times New Roman"/>
          <w:snapToGrid w:val="0"/>
          <w:color w:val="auto"/>
          <w:spacing w:val="-16"/>
          <w:kern w:val="21"/>
          <w:szCs w:val="21"/>
          <w:highlight w:val="none"/>
        </w:rPr>
        <w:fldChar w:fldCharType="separate"/>
      </w:r>
      <w:r>
        <w:rPr>
          <w:rFonts w:ascii="Times New Roman"/>
          <w:color w:val="auto"/>
          <w:szCs w:val="21"/>
          <w:highlight w:val="none"/>
        </w:rPr>
        <w:t>⑥</w:t>
      </w:r>
      <w:r>
        <w:rPr>
          <w:rFonts w:ascii="Times New Roman"/>
          <w:snapToGrid w:val="0"/>
          <w:color w:val="auto"/>
          <w:spacing w:val="-16"/>
          <w:kern w:val="21"/>
          <w:szCs w:val="21"/>
          <w:highlight w:val="none"/>
        </w:rPr>
        <w:fldChar w:fldCharType="end"/>
      </w:r>
      <w:r>
        <w:rPr>
          <w:rFonts w:ascii="Times New Roman"/>
          <w:snapToGrid w:val="0"/>
          <w:color w:val="auto"/>
          <w:spacing w:val="-1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1 \* GB3 \* MERGEFORMAT </w:instrText>
      </w:r>
      <w:r>
        <w:rPr>
          <w:rFonts w:ascii="Times New Roman"/>
          <w:snapToGrid w:val="0"/>
          <w:color w:val="auto"/>
          <w:spacing w:val="-6"/>
          <w:kern w:val="21"/>
          <w:szCs w:val="21"/>
          <w:highlight w:val="none"/>
        </w:rPr>
        <w:fldChar w:fldCharType="separate"/>
      </w:r>
      <w:r>
        <w:rPr>
          <w:rFonts w:ascii="Times New Roman"/>
          <w:color w:val="auto"/>
          <w:szCs w:val="21"/>
          <w:highlight w:val="none"/>
        </w:rPr>
        <w:t>①</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3 \* GB3 \* MERGEFORMAT </w:instrText>
      </w:r>
      <w:r>
        <w:rPr>
          <w:rFonts w:ascii="Times New Roman"/>
          <w:snapToGrid w:val="0"/>
          <w:color w:val="auto"/>
          <w:spacing w:val="-6"/>
          <w:kern w:val="21"/>
          <w:szCs w:val="21"/>
          <w:highlight w:val="none"/>
        </w:rPr>
        <w:fldChar w:fldCharType="separate"/>
      </w:r>
      <w:r>
        <w:rPr>
          <w:rFonts w:ascii="Times New Roman"/>
          <w:color w:val="auto"/>
          <w:szCs w:val="21"/>
          <w:highlight w:val="none"/>
        </w:rPr>
        <w:t>③</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4 \* GB3 \* MERGEFORMAT </w:instrText>
      </w:r>
      <w:r>
        <w:rPr>
          <w:rFonts w:ascii="Times New Roman"/>
          <w:snapToGrid w:val="0"/>
          <w:color w:val="auto"/>
          <w:spacing w:val="-6"/>
          <w:kern w:val="21"/>
          <w:szCs w:val="21"/>
          <w:highlight w:val="none"/>
        </w:rPr>
        <w:fldChar w:fldCharType="separate"/>
      </w:r>
      <w:r>
        <w:rPr>
          <w:rFonts w:ascii="Times New Roman"/>
          <w:color w:val="auto"/>
          <w:szCs w:val="21"/>
          <w:highlight w:val="none"/>
        </w:rPr>
        <w:t>④</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 = 5 \* GB3 \* MERGEFORMAT </w:instrText>
      </w:r>
      <w:r>
        <w:rPr>
          <w:rFonts w:ascii="Times New Roman"/>
          <w:snapToGrid w:val="0"/>
          <w:color w:val="auto"/>
          <w:spacing w:val="-16"/>
          <w:kern w:val="21"/>
          <w:szCs w:val="21"/>
          <w:highlight w:val="none"/>
        </w:rPr>
        <w:fldChar w:fldCharType="separate"/>
      </w:r>
      <w:r>
        <w:rPr>
          <w:rFonts w:ascii="Times New Roman"/>
          <w:color w:val="auto"/>
          <w:szCs w:val="21"/>
          <w:highlight w:val="none"/>
        </w:rPr>
        <w:t>⑤</w:t>
      </w:r>
      <w:r>
        <w:rPr>
          <w:rFonts w:ascii="Times New Roman"/>
          <w:snapToGrid w:val="0"/>
          <w:color w:val="auto"/>
          <w:spacing w:val="-16"/>
          <w:kern w:val="21"/>
          <w:szCs w:val="21"/>
          <w:highlight w:val="none"/>
        </w:rPr>
        <w:fldChar w:fldCharType="end"/>
      </w:r>
      <w:r>
        <w:rPr>
          <w:rFonts w:ascii="Times New Roman"/>
          <w:snapToGrid w:val="0"/>
          <w:color w:val="auto"/>
          <w:spacing w:val="-1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7 \* GB3 \* MERGEFORMAT </w:instrText>
      </w:r>
      <w:r>
        <w:rPr>
          <w:rFonts w:ascii="Times New Roman"/>
          <w:snapToGrid w:val="0"/>
          <w:color w:val="auto"/>
          <w:spacing w:val="-6"/>
          <w:kern w:val="21"/>
          <w:szCs w:val="21"/>
          <w:highlight w:val="none"/>
        </w:rPr>
        <w:fldChar w:fldCharType="separate"/>
      </w:r>
      <w:r>
        <w:rPr>
          <w:rFonts w:ascii="Times New Roman"/>
          <w:color w:val="auto"/>
          <w:szCs w:val="21"/>
          <w:highlight w:val="none"/>
        </w:rPr>
        <w:t>⑦</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 = 6 \* GB3 \* MERGEFORMAT </w:instrText>
      </w:r>
      <w:r>
        <w:rPr>
          <w:rFonts w:ascii="Times New Roman"/>
          <w:snapToGrid w:val="0"/>
          <w:color w:val="auto"/>
          <w:spacing w:val="-16"/>
          <w:kern w:val="21"/>
          <w:szCs w:val="21"/>
          <w:highlight w:val="none"/>
        </w:rPr>
        <w:fldChar w:fldCharType="separate"/>
      </w:r>
      <w:r>
        <w:rPr>
          <w:rFonts w:ascii="Times New Roman"/>
          <w:color w:val="auto"/>
          <w:szCs w:val="21"/>
          <w:highlight w:val="none"/>
        </w:rPr>
        <w:t>⑥</w:t>
      </w:r>
      <w:r>
        <w:rPr>
          <w:rFonts w:ascii="Times New Roman"/>
          <w:snapToGrid w:val="0"/>
          <w:color w:val="auto"/>
          <w:spacing w:val="-16"/>
          <w:kern w:val="21"/>
          <w:szCs w:val="21"/>
          <w:highlight w:val="none"/>
        </w:rPr>
        <w:fldChar w:fldCharType="end"/>
      </w:r>
      <w:r>
        <w:rPr>
          <w:rFonts w:ascii="Times New Roman"/>
          <w:snapToGrid w:val="0"/>
          <w:color w:val="auto"/>
          <w:spacing w:val="-1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1 \* GB3 \* MERGEFORMAT </w:instrText>
      </w:r>
      <w:r>
        <w:rPr>
          <w:rFonts w:ascii="Times New Roman"/>
          <w:snapToGrid w:val="0"/>
          <w:color w:val="auto"/>
          <w:spacing w:val="-6"/>
          <w:kern w:val="21"/>
          <w:szCs w:val="21"/>
          <w:highlight w:val="none"/>
        </w:rPr>
        <w:fldChar w:fldCharType="separate"/>
      </w:r>
      <w:r>
        <w:rPr>
          <w:rFonts w:ascii="Times New Roman"/>
          <w:color w:val="auto"/>
          <w:szCs w:val="21"/>
          <w:highlight w:val="none"/>
        </w:rPr>
        <w:t>①</w:t>
      </w:r>
      <w:r>
        <w:rPr>
          <w:rFonts w:ascii="Times New Roman"/>
          <w:snapToGrid w:val="0"/>
          <w:color w:val="auto"/>
          <w:spacing w:val="-6"/>
          <w:kern w:val="21"/>
          <w:szCs w:val="21"/>
          <w:highlight w:val="none"/>
        </w:rPr>
        <w:fldChar w:fldCharType="end"/>
      </w:r>
    </w:p>
    <w:p>
      <w:pPr>
        <w:pStyle w:val="5"/>
        <w:rPr>
          <w:color w:val="auto"/>
        </w:rPr>
      </w:pPr>
    </w:p>
    <w:p>
      <w:pPr>
        <w:rPr>
          <w:color w:val="auto"/>
        </w:rPr>
      </w:pPr>
    </w:p>
    <w:sectPr>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swiss"/>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24</w:t>
                    </w:r>
                    <w:r>
                      <w:fldChar w:fldCharType="end"/>
                    </w:r>
                    <w: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ZiMzBjMzcyYTc0ZTQ5ZDg5MDU4ZDU5MjkyNGRjNGQifQ=="/>
  </w:docVars>
  <w:rsids>
    <w:rsidRoot w:val="00172A27"/>
    <w:rsid w:val="013D547C"/>
    <w:rsid w:val="01FB40D3"/>
    <w:rsid w:val="040D58DA"/>
    <w:rsid w:val="04155920"/>
    <w:rsid w:val="049820AD"/>
    <w:rsid w:val="077C1812"/>
    <w:rsid w:val="08BC0A60"/>
    <w:rsid w:val="08C276F9"/>
    <w:rsid w:val="096A0BD2"/>
    <w:rsid w:val="0A283ED3"/>
    <w:rsid w:val="0A324CF5"/>
    <w:rsid w:val="0B674587"/>
    <w:rsid w:val="0CE3602F"/>
    <w:rsid w:val="0D961154"/>
    <w:rsid w:val="0F317386"/>
    <w:rsid w:val="0F8E0C05"/>
    <w:rsid w:val="0FDF5034"/>
    <w:rsid w:val="1034712E"/>
    <w:rsid w:val="10D0497D"/>
    <w:rsid w:val="140C2170"/>
    <w:rsid w:val="147866B1"/>
    <w:rsid w:val="149D7299"/>
    <w:rsid w:val="150D619F"/>
    <w:rsid w:val="17E256C1"/>
    <w:rsid w:val="182D65B9"/>
    <w:rsid w:val="189270E7"/>
    <w:rsid w:val="19810F0A"/>
    <w:rsid w:val="1A8C7B66"/>
    <w:rsid w:val="1AB23A71"/>
    <w:rsid w:val="1AEB0D31"/>
    <w:rsid w:val="1B2D7219"/>
    <w:rsid w:val="1B570174"/>
    <w:rsid w:val="1BDE0896"/>
    <w:rsid w:val="1C163B8C"/>
    <w:rsid w:val="1CBF06C7"/>
    <w:rsid w:val="1DDE06AA"/>
    <w:rsid w:val="1EEC32CA"/>
    <w:rsid w:val="1F617814"/>
    <w:rsid w:val="20087C8F"/>
    <w:rsid w:val="200A1C59"/>
    <w:rsid w:val="20146634"/>
    <w:rsid w:val="21134B3E"/>
    <w:rsid w:val="21A97250"/>
    <w:rsid w:val="237D25F5"/>
    <w:rsid w:val="23E80503"/>
    <w:rsid w:val="24EF141E"/>
    <w:rsid w:val="260809E9"/>
    <w:rsid w:val="26971D6D"/>
    <w:rsid w:val="270A69E3"/>
    <w:rsid w:val="28836A4D"/>
    <w:rsid w:val="294066EC"/>
    <w:rsid w:val="299D3B3E"/>
    <w:rsid w:val="29CE5AA6"/>
    <w:rsid w:val="2BFA161A"/>
    <w:rsid w:val="2C624BCB"/>
    <w:rsid w:val="2F1321AD"/>
    <w:rsid w:val="2F191DF7"/>
    <w:rsid w:val="2FA379D4"/>
    <w:rsid w:val="305667F5"/>
    <w:rsid w:val="33657FDB"/>
    <w:rsid w:val="341964B7"/>
    <w:rsid w:val="34342D7B"/>
    <w:rsid w:val="34AB5EAE"/>
    <w:rsid w:val="353B4F1C"/>
    <w:rsid w:val="354A69B0"/>
    <w:rsid w:val="361C5DEB"/>
    <w:rsid w:val="39673821"/>
    <w:rsid w:val="3B842468"/>
    <w:rsid w:val="3BC767F9"/>
    <w:rsid w:val="3BDD601C"/>
    <w:rsid w:val="3BE178BA"/>
    <w:rsid w:val="3F6820A1"/>
    <w:rsid w:val="3F93711E"/>
    <w:rsid w:val="41735459"/>
    <w:rsid w:val="42894808"/>
    <w:rsid w:val="442A3DC9"/>
    <w:rsid w:val="462A00B0"/>
    <w:rsid w:val="466F1F67"/>
    <w:rsid w:val="477F61D9"/>
    <w:rsid w:val="47887784"/>
    <w:rsid w:val="492434DC"/>
    <w:rsid w:val="49425710"/>
    <w:rsid w:val="49A85EBB"/>
    <w:rsid w:val="4A875AD1"/>
    <w:rsid w:val="4AF359FB"/>
    <w:rsid w:val="4B700C5B"/>
    <w:rsid w:val="4C215AB1"/>
    <w:rsid w:val="4C2A2BB8"/>
    <w:rsid w:val="4C4874E2"/>
    <w:rsid w:val="4DA4699A"/>
    <w:rsid w:val="509E3B74"/>
    <w:rsid w:val="517448D5"/>
    <w:rsid w:val="523A78CD"/>
    <w:rsid w:val="524E5126"/>
    <w:rsid w:val="52ED44F8"/>
    <w:rsid w:val="53694469"/>
    <w:rsid w:val="53F87A3F"/>
    <w:rsid w:val="5402441A"/>
    <w:rsid w:val="54E87AB4"/>
    <w:rsid w:val="55833339"/>
    <w:rsid w:val="570A3D11"/>
    <w:rsid w:val="57916D63"/>
    <w:rsid w:val="58A72553"/>
    <w:rsid w:val="58C779E0"/>
    <w:rsid w:val="5A146C55"/>
    <w:rsid w:val="5C655B6F"/>
    <w:rsid w:val="5CFD6DFC"/>
    <w:rsid w:val="5D570A36"/>
    <w:rsid w:val="5D5E0913"/>
    <w:rsid w:val="5D7719D5"/>
    <w:rsid w:val="5D83037A"/>
    <w:rsid w:val="5D9F3F35"/>
    <w:rsid w:val="5E7303EE"/>
    <w:rsid w:val="5FD749AD"/>
    <w:rsid w:val="602A2D2E"/>
    <w:rsid w:val="60C70EC5"/>
    <w:rsid w:val="63031BE9"/>
    <w:rsid w:val="638E3519"/>
    <w:rsid w:val="64E21E2A"/>
    <w:rsid w:val="64EF4547"/>
    <w:rsid w:val="650624A3"/>
    <w:rsid w:val="65C65032"/>
    <w:rsid w:val="66B75538"/>
    <w:rsid w:val="66C37A39"/>
    <w:rsid w:val="66F75934"/>
    <w:rsid w:val="688E4077"/>
    <w:rsid w:val="68CC6117"/>
    <w:rsid w:val="6922138F"/>
    <w:rsid w:val="6A8E035E"/>
    <w:rsid w:val="6AA67D9D"/>
    <w:rsid w:val="6B460C38"/>
    <w:rsid w:val="6B680BAF"/>
    <w:rsid w:val="6BC73B27"/>
    <w:rsid w:val="6C225202"/>
    <w:rsid w:val="6C2645BB"/>
    <w:rsid w:val="6CF941B4"/>
    <w:rsid w:val="6EE42C42"/>
    <w:rsid w:val="6EE669BA"/>
    <w:rsid w:val="6F767D3E"/>
    <w:rsid w:val="6F7B5355"/>
    <w:rsid w:val="6FBE3493"/>
    <w:rsid w:val="6FE729EA"/>
    <w:rsid w:val="70115CB9"/>
    <w:rsid w:val="71F413EE"/>
    <w:rsid w:val="730B69EF"/>
    <w:rsid w:val="73497518"/>
    <w:rsid w:val="739C3AEB"/>
    <w:rsid w:val="73E91857"/>
    <w:rsid w:val="74575C64"/>
    <w:rsid w:val="75D4756D"/>
    <w:rsid w:val="75EB48B6"/>
    <w:rsid w:val="76F67614"/>
    <w:rsid w:val="799F4335"/>
    <w:rsid w:val="7A8F1FF9"/>
    <w:rsid w:val="7AA45D9E"/>
    <w:rsid w:val="7B022DCE"/>
    <w:rsid w:val="7B034450"/>
    <w:rsid w:val="7BBF481B"/>
    <w:rsid w:val="7D913F95"/>
    <w:rsid w:val="7DE42847"/>
    <w:rsid w:val="7F6C6A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9"/>
    <w:qFormat/>
    <w:uiPriority w:val="9"/>
    <w:pPr>
      <w:keepNext/>
      <w:overflowPunct w:val="0"/>
      <w:snapToGrid w:val="0"/>
      <w:spacing w:before="60" w:after="60" w:line="360" w:lineRule="auto"/>
      <w:ind w:left="0" w:firstLine="0"/>
      <w:jc w:val="center"/>
      <w:outlineLvl w:val="0"/>
    </w:pPr>
    <w:rPr>
      <w:rFonts w:ascii="Times New Roman" w:hAnsi="Times New Roman" w:eastAsia="黑体"/>
      <w:bCs/>
      <w:color w:val="000000"/>
      <w:kern w:val="44"/>
      <w:sz w:val="30"/>
      <w:szCs w:val="30"/>
    </w:rPr>
  </w:style>
  <w:style w:type="paragraph" w:styleId="4">
    <w:name w:val="heading 3"/>
    <w:basedOn w:val="1"/>
    <w:next w:val="1"/>
    <w:qFormat/>
    <w:uiPriority w:val="9"/>
    <w:pPr>
      <w:keepNext/>
      <w:keepLines/>
      <w:spacing w:line="360" w:lineRule="auto"/>
      <w:jc w:val="left"/>
      <w:outlineLvl w:val="2"/>
    </w:pPr>
    <w:rPr>
      <w:rFonts w:eastAsia="黑体"/>
      <w:bCs/>
      <w:kern w:val="0"/>
      <w:sz w:val="24"/>
      <w:szCs w:val="32"/>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99"/>
    <w:pPr>
      <w:widowControl/>
      <w:snapToGrid w:val="0"/>
      <w:spacing w:before="60" w:after="160" w:line="259" w:lineRule="auto"/>
      <w:ind w:right="113"/>
    </w:pPr>
    <w:rPr>
      <w:kern w:val="0"/>
      <w:sz w:val="18"/>
      <w:szCs w:val="20"/>
    </w:rPr>
  </w:style>
  <w:style w:type="paragraph" w:styleId="5">
    <w:name w:val="List 3"/>
    <w:basedOn w:val="1"/>
    <w:next w:val="1"/>
    <w:qFormat/>
    <w:uiPriority w:val="0"/>
    <w:pPr>
      <w:autoSpaceDE w:val="0"/>
      <w:autoSpaceDN w:val="0"/>
      <w:adjustRightInd w:val="0"/>
      <w:spacing w:line="288" w:lineRule="auto"/>
      <w:ind w:left="1260" w:hanging="420"/>
      <w:jc w:val="left"/>
      <w:textAlignment w:val="baseline"/>
    </w:pPr>
    <w:rPr>
      <w:kern w:val="0"/>
      <w:sz w:val="24"/>
      <w:szCs w:val="20"/>
    </w:rPr>
  </w:style>
  <w:style w:type="paragraph" w:styleId="6">
    <w:name w:val="Normal Indent"/>
    <w:basedOn w:val="1"/>
    <w:next w:val="1"/>
    <w:qFormat/>
    <w:uiPriority w:val="0"/>
    <w:pPr>
      <w:spacing w:line="360" w:lineRule="auto"/>
      <w:ind w:firstLine="420"/>
    </w:pPr>
    <w:rPr>
      <w:rFonts w:ascii="仿宋_GB2312" w:hAnsi="Arial Black" w:eastAsia="仿宋_GB2312"/>
      <w:sz w:val="28"/>
      <w:szCs w:val="20"/>
    </w:rPr>
  </w:style>
  <w:style w:type="paragraph" w:styleId="7">
    <w:name w:val="Body Text Indent"/>
    <w:basedOn w:val="1"/>
    <w:next w:val="8"/>
    <w:qFormat/>
    <w:uiPriority w:val="0"/>
    <w:pPr>
      <w:spacing w:after="120"/>
      <w:ind w:left="420" w:leftChars="200"/>
    </w:pPr>
    <w:rPr>
      <w:rFonts w:ascii="Times New Roman" w:hAnsi="Times New Roman" w:cs="Times New Roman"/>
      <w:szCs w:val="20"/>
    </w:rPr>
  </w:style>
  <w:style w:type="paragraph" w:styleId="8">
    <w:name w:val="envelope return"/>
    <w:basedOn w:val="1"/>
    <w:qFormat/>
    <w:uiPriority w:val="99"/>
    <w:pPr>
      <w:widowControl/>
      <w:snapToGrid w:val="0"/>
      <w:spacing w:line="500" w:lineRule="exact"/>
      <w:ind w:firstLine="480" w:firstLineChars="200"/>
      <w:jc w:val="left"/>
    </w:pPr>
    <w:rPr>
      <w:rFonts w:ascii="Arial" w:hAnsi="Arial" w:cs="Arial"/>
      <w:sz w:val="28"/>
    </w:rPr>
  </w:style>
  <w:style w:type="paragraph" w:styleId="9">
    <w:name w:val="Plain Text"/>
    <w:basedOn w:val="1"/>
    <w:qFormat/>
    <w:uiPriority w:val="0"/>
    <w:rPr>
      <w:rFonts w:ascii="宋体" w:hAnsi="Courier New"/>
      <w:szCs w:val="20"/>
    </w:rPr>
  </w:style>
  <w:style w:type="paragraph" w:styleId="10">
    <w:name w:val="Body Text Indent 2"/>
    <w:basedOn w:val="1"/>
    <w:next w:val="1"/>
    <w:unhideWhenUsed/>
    <w:qFormat/>
    <w:uiPriority w:val="99"/>
    <w:pPr>
      <w:spacing w:after="120" w:line="480" w:lineRule="auto"/>
      <w:ind w:left="420" w:leftChars="200"/>
    </w:pPr>
    <w:rPr>
      <w:szCs w:val="22"/>
    </w:rPr>
  </w:style>
  <w:style w:type="paragraph" w:styleId="11">
    <w:name w:val="footer"/>
    <w:basedOn w:val="1"/>
    <w:qFormat/>
    <w:uiPriority w:val="99"/>
    <w:pPr>
      <w:tabs>
        <w:tab w:val="center" w:pos="4153"/>
        <w:tab w:val="right" w:pos="8306"/>
      </w:tabs>
      <w:snapToGrid w:val="0"/>
      <w:jc w:val="left"/>
    </w:pPr>
    <w:rPr>
      <w:kern w:val="0"/>
      <w:sz w:val="18"/>
      <w:szCs w:val="20"/>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4">
    <w:name w:val="Body Text First Indent 2"/>
    <w:basedOn w:val="7"/>
    <w:next w:val="1"/>
    <w:qFormat/>
    <w:uiPriority w:val="0"/>
    <w:pPr>
      <w:ind w:firstLine="420" w:firstLineChars="200"/>
    </w:pPr>
    <w:rPr>
      <w:rFonts w:ascii="宋体" w:hAnsi="宋体" w:cs="宋体"/>
      <w:szCs w:val="24"/>
      <w:lang w:val="en-US" w:eastAsia="zh-CN"/>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
    <w:name w:val="p0"/>
    <w:basedOn w:val="1"/>
    <w:qFormat/>
    <w:uiPriority w:val="0"/>
    <w:pPr>
      <w:widowControl/>
    </w:pPr>
    <w:rPr>
      <w:kern w:val="0"/>
      <w:szCs w:val="21"/>
    </w:rPr>
  </w:style>
  <w:style w:type="character" w:customStyle="1" w:styleId="19">
    <w:name w:val="标题 1 Char"/>
    <w:link w:val="3"/>
    <w:qFormat/>
    <w:uiPriority w:val="9"/>
    <w:rPr>
      <w:rFonts w:ascii="Times New Roman" w:hAnsi="Times New Roman" w:eastAsia="黑体"/>
      <w:bCs/>
      <w:color w:val="000000"/>
      <w:kern w:val="44"/>
      <w:sz w:val="30"/>
      <w:szCs w:val="30"/>
    </w:rPr>
  </w:style>
  <w:style w:type="paragraph" w:customStyle="1" w:styleId="20">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21">
    <w:name w:val="Default"/>
    <w:next w:val="5"/>
    <w:qFormat/>
    <w:uiPriority w:val="0"/>
    <w:pPr>
      <w:widowControl w:val="0"/>
      <w:autoSpaceDE w:val="0"/>
      <w:autoSpaceDN w:val="0"/>
      <w:adjustRightInd w:val="0"/>
    </w:pPr>
    <w:rPr>
      <w:rFonts w:ascii="仿宋" w:hAnsi="Times New Roman" w:eastAsia="仿宋" w:cs="仿宋"/>
      <w:color w:val="000000"/>
      <w:sz w:val="24"/>
      <w:szCs w:val="24"/>
      <w:lang w:val="en-US" w:eastAsia="zh-CN" w:bidi="ar-SA"/>
    </w:rPr>
  </w:style>
  <w:style w:type="paragraph" w:customStyle="1" w:styleId="22">
    <w:name w:val="表格内居中文字"/>
    <w:basedOn w:val="23"/>
    <w:qFormat/>
    <w:uiPriority w:val="0"/>
    <w:pPr>
      <w:jc w:val="center"/>
    </w:pPr>
    <w:rPr>
      <w:sz w:val="22"/>
      <w:szCs w:val="24"/>
    </w:rPr>
  </w:style>
  <w:style w:type="paragraph" w:customStyle="1" w:styleId="23">
    <w:name w:val="表格正文"/>
    <w:basedOn w:val="1"/>
    <w:qFormat/>
    <w:uiPriority w:val="0"/>
    <w:pPr>
      <w:adjustRightInd w:val="0"/>
      <w:snapToGrid w:val="0"/>
      <w:spacing w:line="320" w:lineRule="atLeast"/>
    </w:pPr>
    <w:rPr>
      <w:rFonts w:ascii="Times New Roman" w:hAnsi="Times New Roman" w:cs="Times New Roman"/>
      <w:snapToGrid w:val="0"/>
      <w:sz w:val="22"/>
    </w:rPr>
  </w:style>
  <w:style w:type="paragraph" w:customStyle="1" w:styleId="24">
    <w:name w:val="表文排版"/>
    <w:basedOn w:val="2"/>
    <w:qFormat/>
    <w:uiPriority w:val="0"/>
    <w:pPr>
      <w:adjustRightInd w:val="0"/>
      <w:snapToGrid w:val="0"/>
      <w:spacing w:after="0"/>
      <w:jc w:val="center"/>
    </w:pPr>
    <w:rPr>
      <w:sz w:val="22"/>
    </w:rPr>
  </w:style>
  <w:style w:type="paragraph" w:customStyle="1" w:styleId="25">
    <w:name w:val="表格文字"/>
    <w:basedOn w:val="9"/>
    <w:next w:val="1"/>
    <w:qFormat/>
    <w:uiPriority w:val="0"/>
    <w:pPr>
      <w:adjustRightInd w:val="0"/>
      <w:snapToGrid w:val="0"/>
      <w:jc w:val="center"/>
    </w:pPr>
    <w:rPr>
      <w:rFonts w:ascii="Times New Roman" w:hAnsi="Times New Roman"/>
      <w:bCs/>
    </w:rPr>
  </w:style>
  <w:style w:type="paragraph" w:customStyle="1" w:styleId="26">
    <w:name w:val="表内字1"/>
    <w:basedOn w:val="1"/>
    <w:qFormat/>
    <w:uiPriority w:val="0"/>
    <w:pPr>
      <w:adjustRightInd w:val="0"/>
      <w:snapToGrid w:val="0"/>
      <w:spacing w:line="300" w:lineRule="exact"/>
      <w:jc w:val="center"/>
    </w:pPr>
    <w:rPr>
      <w:color w:val="000000"/>
      <w:sz w:val="22"/>
      <w:szCs w:val="21"/>
    </w:rPr>
  </w:style>
  <w:style w:type="paragraph" w:customStyle="1" w:styleId="27">
    <w:name w:val="4小表"/>
    <w:basedOn w:val="1"/>
    <w:qFormat/>
    <w:uiPriority w:val="0"/>
    <w:pPr>
      <w:adjustRightInd w:val="0"/>
      <w:snapToGrid w:val="0"/>
      <w:spacing w:line="460" w:lineRule="exact"/>
      <w:jc w:val="center"/>
    </w:pPr>
    <w:rPr>
      <w:kern w:val="0"/>
      <w:sz w:val="20"/>
      <w:szCs w:val="21"/>
    </w:rPr>
  </w:style>
  <w:style w:type="paragraph" w:customStyle="1" w:styleId="28">
    <w:name w:val="环评正文"/>
    <w:basedOn w:val="1"/>
    <w:qFormat/>
    <w:uiPriority w:val="0"/>
    <w:pPr>
      <w:spacing w:line="360" w:lineRule="auto"/>
      <w:ind w:firstLine="562" w:firstLineChars="200"/>
    </w:pPr>
    <w:rPr>
      <w:rFonts w:cs="宋体"/>
      <w:sz w:val="24"/>
      <w:szCs w:val="20"/>
    </w:rPr>
  </w:style>
  <w:style w:type="paragraph" w:customStyle="1" w:styleId="29">
    <w:name w:val="样式 正文缩进正文缩进2正文缩进 Char Char正文缩进 Char Char Char Char正文缩进 Char ..."/>
    <w:basedOn w:val="6"/>
    <w:qFormat/>
    <w:uiPriority w:val="0"/>
    <w:pPr>
      <w:tabs>
        <w:tab w:val="left" w:pos="105"/>
        <w:tab w:val="left" w:pos="540"/>
        <w:tab w:val="left" w:pos="1080"/>
        <w:tab w:val="left" w:pos="1800"/>
      </w:tabs>
      <w:spacing w:line="360" w:lineRule="auto"/>
      <w:ind w:firstLine="200"/>
    </w:pPr>
    <w:rPr>
      <w:rFonts w:ascii="仿宋_GB2312" w:hAnsi="仿宋_GB2312" w:eastAsia="宋体" w:cs="宋体"/>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61</Pages>
  <Words>39025</Words>
  <Characters>44260</Characters>
  <Lines>0</Lines>
  <Paragraphs>0</Paragraphs>
  <TotalTime>1</TotalTime>
  <ScaleCrop>false</ScaleCrop>
  <LinksUpToDate>false</LinksUpToDate>
  <CharactersWithSpaces>44525</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2023-03-30T02:46:00Z</dcterms:created>
  <dc:creator>馒头妹</dc:creator>
  <cp:lastModifiedBy>Pikachu</cp:lastModifiedBy>
  <cp:lastPrinted>2023-04-11T07:22:00Z</cp:lastPrinted>
  <dcterms:modified xsi:type="dcterms:W3CDTF">2023-08-17T08:57:39Z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525A96BF25E341A69FC19DADB30B8DB9_13</vt:lpwstr>
  </property>
</Properties>
</file>