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snapToGrid w:val="0"/>
        <w:spacing w:before="156" w:beforeLines="50" w:after="156" w:afterLines="50" w:line="240" w:lineRule="auto"/>
        <w:rPr>
          <w:rFonts w:ascii="Times New Roman" w:hAnsi="Times New Roman" w:eastAsia="宋体" w:cs="Times New Roman"/>
          <w:b w:val="0"/>
          <w:bCs/>
          <w:color w:val="000000" w:themeColor="text1"/>
          <w:sz w:val="40"/>
          <w:szCs w:val="40"/>
          <w14:textFill>
            <w14:solidFill>
              <w14:schemeClr w14:val="tx1"/>
            </w14:solidFill>
          </w14:textFill>
        </w:rPr>
      </w:pPr>
      <w:r>
        <w:rPr>
          <w:rFonts w:hint="default" w:ascii="Times New Roman" w:hAnsi="Times New Roman" w:eastAsia="方正小标宋_GBK" w:cs="Times New Roman"/>
          <w:b w:val="0"/>
          <w:bCs/>
          <w:color w:val="auto"/>
          <w:sz w:val="40"/>
          <w:szCs w:val="40"/>
        </w:rPr>
        <w:t>重庆市建设项目环境影响评价文件审批申请表</w:t>
      </w:r>
    </w:p>
    <w:p>
      <w:pPr>
        <w:snapToGrid w:val="0"/>
        <w:jc w:val="center"/>
        <w:rPr>
          <w:rFonts w:eastAsia="宋体"/>
          <w:bCs/>
          <w:color w:val="000000" w:themeColor="text1"/>
          <w:sz w:val="24"/>
          <w14:textFill>
            <w14:solidFill>
              <w14:schemeClr w14:val="tx1"/>
            </w14:solidFill>
          </w14:textFill>
        </w:rPr>
      </w:pPr>
      <w:r>
        <w:rPr>
          <w:rFonts w:ascii="Times New Roman" w:hAnsi="Times New Roman" w:eastAsia="方正仿宋_GBK" w:cs="Times New Roman"/>
          <w:sz w:val="24"/>
          <w:lang w:bidi="ar"/>
        </w:rPr>
        <w:t>申请单位（盖章）：</w:t>
      </w:r>
      <w:r>
        <w:rPr>
          <w:rFonts w:hint="eastAsia" w:ascii="Times New Roman" w:hAnsi="Times New Roman" w:eastAsia="方正仿宋_GBK" w:cs="Times New Roman"/>
          <w:sz w:val="24"/>
          <w:lang w:bidi="ar"/>
        </w:rPr>
        <w:t xml:space="preserve">重庆杰诚精密机械有限公司 </w:t>
      </w:r>
      <w:r>
        <w:rPr>
          <w:rFonts w:ascii="Times New Roman" w:hAnsi="Times New Roman" w:eastAsia="方正仿宋_GBK" w:cs="Times New Roman"/>
          <w:sz w:val="24"/>
          <w:lang w:bidi="ar"/>
        </w:rPr>
        <w:t xml:space="preserve">       申请日期：202</w:t>
      </w:r>
      <w:r>
        <w:rPr>
          <w:rFonts w:hint="eastAsia" w:ascii="Times New Roman" w:hAnsi="Times New Roman" w:eastAsia="方正仿宋_GBK" w:cs="Times New Roman"/>
          <w:sz w:val="24"/>
          <w:lang w:bidi="ar"/>
        </w:rPr>
        <w:t>3</w:t>
      </w:r>
      <w:r>
        <w:rPr>
          <w:rFonts w:ascii="Times New Roman" w:hAnsi="Times New Roman" w:eastAsia="方正仿宋_GBK" w:cs="Times New Roman"/>
          <w:sz w:val="24"/>
          <w:lang w:bidi="ar"/>
        </w:rPr>
        <w:t>年   月   日</w:t>
      </w: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1152"/>
        <w:gridCol w:w="648"/>
        <w:gridCol w:w="425"/>
        <w:gridCol w:w="850"/>
        <w:gridCol w:w="284"/>
        <w:gridCol w:w="1409"/>
        <w:gridCol w:w="267"/>
        <w:gridCol w:w="86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审批方式</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 xml:space="preserve">☑告知承诺制              </w:t>
            </w:r>
            <w:r>
              <w:rPr>
                <w:rFonts w:hint="eastAsia" w:ascii="Times New Roman" w:hAnsi="Times New Roman" w:eastAsia="方正仿宋_GBK" w:cs="Times New Roman"/>
                <w:bCs/>
                <w:sz w:val="21"/>
                <w:szCs w:val="21"/>
                <w:lang w:bidi="ar"/>
              </w:rPr>
              <w:sym w:font="Wingdings 2" w:char="00A3"/>
            </w:r>
            <w:r>
              <w:rPr>
                <w:rFonts w:hint="eastAsia" w:ascii="Times New Roman" w:hAnsi="Times New Roman" w:eastAsia="方正仿宋_GBK" w:cs="Times New Roman"/>
                <w:bCs/>
                <w:sz w:val="21"/>
                <w:szCs w:val="21"/>
                <w:lang w:bidi="ar"/>
              </w:rPr>
              <w:t>常规审批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项目名称</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重庆杰诚精密机械有限公司年产1万套膨胀节生产项目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建设地址</w:t>
            </w:r>
          </w:p>
        </w:tc>
        <w:tc>
          <w:tcPr>
            <w:tcW w:w="307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重庆市铜梁区蒲吕街道办事处产业大道61号</w:t>
            </w:r>
          </w:p>
        </w:tc>
        <w:tc>
          <w:tcPr>
            <w:tcW w:w="169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项目代码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2302-500151-04-01-490468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建设性质</w:t>
            </w:r>
          </w:p>
        </w:tc>
        <w:tc>
          <w:tcPr>
            <w:tcW w:w="307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新建</w:t>
            </w:r>
          </w:p>
        </w:tc>
        <w:tc>
          <w:tcPr>
            <w:tcW w:w="169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项目申请类别</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首次申报项目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国民经济行业类型</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C3311金属结构制造</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环评文件</w:t>
            </w:r>
          </w:p>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类型</w:t>
            </w:r>
          </w:p>
        </w:tc>
        <w:tc>
          <w:tcPr>
            <w:tcW w:w="169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报告表</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是否未批先建</w:t>
            </w:r>
          </w:p>
        </w:tc>
        <w:tc>
          <w:tcPr>
            <w:tcW w:w="7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总投资（万元）</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bCs/>
                <w:sz w:val="21"/>
                <w:szCs w:val="21"/>
                <w:lang w:val="en-US" w:eastAsia="zh-CN" w:bidi="ar"/>
              </w:rPr>
            </w:pPr>
            <w:r>
              <w:rPr>
                <w:rFonts w:hint="eastAsia" w:eastAsia="方正仿宋_GBK" w:cs="Times New Roman"/>
                <w:bCs/>
                <w:sz w:val="21"/>
                <w:szCs w:val="21"/>
                <w:lang w:val="en-US" w:eastAsia="zh-CN" w:bidi="ar"/>
              </w:rPr>
              <w:t>1000</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环保投资</w:t>
            </w:r>
          </w:p>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（万元）</w:t>
            </w:r>
          </w:p>
        </w:tc>
        <w:tc>
          <w:tcPr>
            <w:tcW w:w="169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bCs/>
                <w:sz w:val="21"/>
                <w:szCs w:val="21"/>
                <w:lang w:val="en-US" w:eastAsia="zh-CN" w:bidi="ar"/>
              </w:rPr>
            </w:pPr>
            <w:r>
              <w:rPr>
                <w:rFonts w:hint="eastAsia" w:eastAsia="方正仿宋_GBK" w:cs="Times New Roman"/>
                <w:bCs/>
                <w:sz w:val="21"/>
                <w:szCs w:val="21"/>
                <w:lang w:val="en-US" w:eastAsia="zh-CN" w:bidi="ar"/>
              </w:rPr>
              <w:t>27</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所占比例（%）</w:t>
            </w:r>
          </w:p>
        </w:tc>
        <w:tc>
          <w:tcPr>
            <w:tcW w:w="7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方正仿宋_GBK" w:cs="Times New Roman"/>
                <w:bCs/>
                <w:sz w:val="21"/>
                <w:szCs w:val="21"/>
                <w:lang w:val="en-US" w:eastAsia="zh-CN" w:bidi="ar"/>
              </w:rPr>
            </w:pPr>
            <w:r>
              <w:rPr>
                <w:rFonts w:hint="eastAsia" w:eastAsia="方正仿宋_GBK" w:cs="Times New Roman"/>
                <w:bCs/>
                <w:sz w:val="21"/>
                <w:szCs w:val="21"/>
                <w:lang w:val="en-US"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建设单位名称</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重庆杰诚精密机械有限公司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法人代表</w:t>
            </w: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eastAsia="zh-CN" w:bidi="ar"/>
              </w:rPr>
            </w:pPr>
            <w:r>
              <w:rPr>
                <w:rFonts w:hint="eastAsia" w:eastAsia="方正仿宋_GBK" w:cs="Times New Roman"/>
                <w:bCs/>
                <w:sz w:val="21"/>
                <w:szCs w:val="21"/>
                <w:lang w:val="en-US" w:eastAsia="zh-CN" w:bidi="ar"/>
              </w:rPr>
              <w:t>何杰</w:t>
            </w:r>
          </w:p>
        </w:tc>
        <w:tc>
          <w:tcPr>
            <w:tcW w:w="107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联系人</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何杰</w:t>
            </w:r>
          </w:p>
        </w:tc>
        <w:tc>
          <w:tcPr>
            <w:tcW w:w="16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联系电话</w:t>
            </w:r>
          </w:p>
        </w:tc>
        <w:tc>
          <w:tcPr>
            <w:tcW w:w="15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18623527090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通讯地址</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重庆市铜梁区蒲吕街道办事处产业大道61号</w:t>
            </w:r>
          </w:p>
        </w:tc>
        <w:tc>
          <w:tcPr>
            <w:tcW w:w="16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统一社会信用代码（组织机构代码）</w:t>
            </w:r>
          </w:p>
        </w:tc>
        <w:tc>
          <w:tcPr>
            <w:tcW w:w="15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91500151MAABT6T716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环境影响评价单位名称</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重庆杰泰环保工程有限公司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通讯地址</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重庆市渝北区金渝大道89号线外城市花园13幢15楼</w:t>
            </w:r>
          </w:p>
        </w:tc>
        <w:tc>
          <w:tcPr>
            <w:tcW w:w="16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统一社会信用代码（组织机构代码）</w:t>
            </w:r>
          </w:p>
        </w:tc>
        <w:tc>
          <w:tcPr>
            <w:tcW w:w="15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91500112MA605T450D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环评文件项目负责人</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严万泽</w:t>
            </w:r>
          </w:p>
        </w:tc>
        <w:tc>
          <w:tcPr>
            <w:tcW w:w="167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联系电话</w:t>
            </w:r>
          </w:p>
        </w:tc>
        <w:tc>
          <w:tcPr>
            <w:tcW w:w="158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18996359346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6"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项目概况（含建设内容、规模、总投资、环保投资等）</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重庆杰诚精密机械有限公司（以下简称“建设单位”）拟投资1000万元在重庆市铜梁区蒲吕街道办事处产业大道61号（即铜梁高新区蒲吕片区）购买华雄·西部智慧产业园中已建标准厂房（建筑面积为1697.85m</w:t>
            </w:r>
            <w:r>
              <w:rPr>
                <w:rFonts w:hint="eastAsia" w:ascii="Times New Roman" w:hAnsi="Times New Roman" w:eastAsia="方正仿宋_GBK" w:cs="Times New Roman"/>
                <w:bCs/>
                <w:color w:val="auto"/>
                <w:sz w:val="21"/>
                <w:szCs w:val="21"/>
                <w:vertAlign w:val="superscript"/>
              </w:rPr>
              <w:t>2</w:t>
            </w:r>
            <w:r>
              <w:rPr>
                <w:rFonts w:hint="eastAsia" w:ascii="Times New Roman" w:hAnsi="Times New Roman" w:eastAsia="方正仿宋_GBK" w:cs="Times New Roman"/>
                <w:bCs/>
                <w:color w:val="auto"/>
                <w:sz w:val="21"/>
                <w:szCs w:val="21"/>
              </w:rPr>
              <w:t>）建设“重庆杰诚精密机械有限公司年产1万套膨胀节生产项目”（以下简称“本项目”），项目主要设有机加、焊接、涂装生产区，建成后将形成年产膨胀节1万套的生产能力。</w:t>
            </w:r>
          </w:p>
          <w:p>
            <w:pPr>
              <w:snapToGrid w:val="0"/>
              <w:ind w:firstLine="420" w:firstLineChars="200"/>
              <w:rPr>
                <w:rFonts w:hint="eastAsia" w:ascii="Times New Roman" w:hAnsi="Times New Roman" w:eastAsia="方正仿宋_GBK" w:cs="Times New Roman"/>
                <w:bCs/>
                <w:color w:val="FF0000"/>
                <w:sz w:val="21"/>
                <w:szCs w:val="21"/>
                <w:lang w:eastAsia="zh-CN"/>
              </w:rPr>
            </w:pPr>
            <w:r>
              <w:rPr>
                <w:rFonts w:hint="eastAsia" w:ascii="Times New Roman" w:hAnsi="Times New Roman" w:eastAsia="方正仿宋_GBK" w:cs="Times New Roman"/>
                <w:bCs/>
                <w:color w:val="auto"/>
                <w:sz w:val="21"/>
                <w:szCs w:val="21"/>
              </w:rPr>
              <w:t>项目共有员工</w:t>
            </w:r>
            <w:r>
              <w:rPr>
                <w:rFonts w:hint="eastAsia" w:eastAsia="方正仿宋_GBK" w:cs="Times New Roman"/>
                <w:bCs/>
                <w:color w:val="auto"/>
                <w:sz w:val="21"/>
                <w:szCs w:val="21"/>
                <w:lang w:val="en-US" w:eastAsia="zh-CN"/>
              </w:rPr>
              <w:t>1</w:t>
            </w:r>
            <w:r>
              <w:rPr>
                <w:rFonts w:hint="eastAsia" w:ascii="Times New Roman" w:hAnsi="Times New Roman" w:eastAsia="方正仿宋_GBK" w:cs="Times New Roman"/>
                <w:bCs/>
                <w:color w:val="auto"/>
                <w:sz w:val="21"/>
                <w:szCs w:val="21"/>
              </w:rPr>
              <w:t>0人，年生产</w:t>
            </w:r>
            <w:r>
              <w:rPr>
                <w:rFonts w:hint="eastAsia" w:eastAsia="方正仿宋_GBK" w:cs="Times New Roman"/>
                <w:bCs/>
                <w:color w:val="auto"/>
                <w:sz w:val="21"/>
                <w:szCs w:val="21"/>
                <w:lang w:val="en-US" w:eastAsia="zh-CN"/>
              </w:rPr>
              <w:t>320</w:t>
            </w:r>
            <w:r>
              <w:rPr>
                <w:rFonts w:hint="eastAsia" w:ascii="Times New Roman" w:hAnsi="Times New Roman" w:eastAsia="方正仿宋_GBK" w:cs="Times New Roman"/>
                <w:bCs/>
                <w:color w:val="auto"/>
                <w:sz w:val="21"/>
                <w:szCs w:val="21"/>
              </w:rPr>
              <w:t>天，每天1班制。项目设有倒班宿舍，不设食堂。项目总投资1000万元，环保投资27万元</w:t>
            </w:r>
            <w:r>
              <w:rPr>
                <w:rFonts w:hint="eastAsia" w:eastAsia="方正仿宋_GBK" w:cs="Times New Roman"/>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imes New Roman" w:hAnsi="Times New Roman" w:eastAsia="方正仿宋_GBK" w:cs="Times New Roman"/>
                <w:bCs/>
                <w:sz w:val="21"/>
                <w:szCs w:val="21"/>
                <w:lang w:bidi="ar"/>
              </w:rPr>
            </w:pPr>
            <w:r>
              <w:rPr>
                <w:rFonts w:hint="eastAsia" w:ascii="Times New Roman" w:hAnsi="Times New Roman" w:eastAsia="方正仿宋_GBK" w:cs="Times New Roman"/>
                <w:bCs/>
                <w:sz w:val="21"/>
                <w:szCs w:val="21"/>
                <w:lang w:bidi="ar"/>
              </w:rPr>
              <w:t>项目所在产业园区规划环评开展情况（是否开展，规划环评审查意见文号，审查机关及时间）</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已通过审查。</w:t>
            </w:r>
          </w:p>
          <w:p>
            <w:pPr>
              <w:snapToGrid w:val="0"/>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规划环评审查文件名称及文号：《重庆市生态环境局关于重庆铜梁高新区铜梁片区及全蒲片区规划环境影响跟踪评价报告书审查意见的函》（渝环函[2019]94号）；</w:t>
            </w:r>
          </w:p>
          <w:p>
            <w:pPr>
              <w:snapToGrid w:val="0"/>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审查机关：重庆市生态环境局；</w:t>
            </w:r>
          </w:p>
          <w:p>
            <w:pPr>
              <w:snapToGrid w:val="0"/>
              <w:ind w:firstLine="420" w:firstLineChars="200"/>
              <w:rPr>
                <w:rFonts w:hint="eastAsia" w:ascii="Times New Roman" w:hAnsi="Times New Roman" w:eastAsia="方正仿宋_GBK" w:cs="Times New Roman"/>
                <w:bCs/>
                <w:color w:val="FF0000"/>
                <w:sz w:val="21"/>
                <w:szCs w:val="21"/>
                <w:lang w:bidi="ar"/>
              </w:rPr>
            </w:pPr>
            <w:r>
              <w:rPr>
                <w:rFonts w:hint="eastAsia" w:ascii="Times New Roman" w:hAnsi="Times New Roman" w:eastAsia="方正仿宋_GBK" w:cs="Times New Roman"/>
                <w:bCs/>
                <w:color w:val="auto"/>
                <w:sz w:val="21"/>
                <w:szCs w:val="21"/>
              </w:rPr>
              <w:t>审查时间：2019年1月29日。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6"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方正仿宋_GBK" w:cs="Times New Roman"/>
                <w:bCs/>
                <w:sz w:val="21"/>
                <w:szCs w:val="21"/>
              </w:rPr>
            </w:pPr>
            <w:r>
              <w:rPr>
                <w:rFonts w:ascii="Times New Roman" w:hAnsi="Times New Roman" w:eastAsia="方正仿宋_GBK" w:cs="Times New Roman"/>
                <w:bCs/>
                <w:sz w:val="21"/>
                <w:szCs w:val="21"/>
              </w:rPr>
              <w:t>主要环境影响和环境保护对策与措施（分类列出影响和对应的措施）</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rPr>
              <w:t>1、废气</w:t>
            </w:r>
          </w:p>
          <w:p>
            <w:pPr>
              <w:snapToGrid w:val="0"/>
              <w:ind w:firstLine="420" w:firstLineChars="200"/>
              <w:rPr>
                <w:rFonts w:hint="eastAsia" w:ascii="Times New Roman" w:hAnsi="Times New Roman" w:eastAsia="方正仿宋_GBK" w:cs="Times New Roman"/>
                <w:bCs/>
                <w:color w:val="auto"/>
                <w:sz w:val="21"/>
                <w:szCs w:val="21"/>
                <w:lang w:eastAsia="zh-CN"/>
              </w:rPr>
            </w:pPr>
            <w:r>
              <w:rPr>
                <w:rFonts w:hint="eastAsia" w:ascii="Times New Roman" w:hAnsi="Times New Roman" w:eastAsia="方正仿宋_GBK" w:cs="Times New Roman"/>
                <w:bCs/>
                <w:color w:val="auto"/>
                <w:sz w:val="21"/>
                <w:szCs w:val="21"/>
              </w:rPr>
              <w:t>切割粉尘、打磨粉尘经移动式除尘器收集处理后无组织排放，焊接烟尘经移动式焊接烟尘净化器收集处理后无组织排放；涂装废气经负压收集后进入“干式过滤器+二级活性炭吸附”处理后，通过一根15m高排气筒（DA001）排放</w:t>
            </w:r>
            <w:r>
              <w:rPr>
                <w:rFonts w:hint="eastAsia" w:eastAsia="方正仿宋_GBK" w:cs="Times New Roman"/>
                <w:bCs/>
                <w:color w:val="auto"/>
                <w:sz w:val="21"/>
                <w:szCs w:val="21"/>
                <w:lang w:eastAsia="zh-CN"/>
              </w:rPr>
              <w:t>。</w:t>
            </w:r>
          </w:p>
          <w:p>
            <w:pPr>
              <w:snapToGrid w:val="0"/>
              <w:rPr>
                <w:rFonts w:hint="eastAsia"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rPr>
              <w:t>2、废水</w:t>
            </w:r>
          </w:p>
          <w:p>
            <w:pPr>
              <w:snapToGrid w:val="0"/>
              <w:spacing w:line="360" w:lineRule="exact"/>
              <w:ind w:firstLine="420" w:firstLineChars="200"/>
              <w:rPr>
                <w:rFonts w:hint="eastAsia" w:eastAsia="方正仿宋_GBK"/>
                <w:bCs/>
                <w:color w:val="auto"/>
                <w:sz w:val="24"/>
                <w:lang w:eastAsia="zh-CN"/>
              </w:rPr>
            </w:pPr>
            <w:r>
              <w:rPr>
                <w:rFonts w:hint="eastAsia" w:ascii="Times New Roman" w:hAnsi="Times New Roman" w:eastAsia="方正仿宋_GBK" w:cs="Times New Roman"/>
                <w:bCs/>
                <w:color w:val="auto"/>
                <w:sz w:val="21"/>
                <w:szCs w:val="21"/>
              </w:rPr>
              <w:t>生活污水依托华雄·西部智慧产业园中已建生化池（已验收）处理达《污水综合排放标准》（GB8978-1996）达三级标准后，通过市政污水管网进入蒲吕污水处理厂处理达《城镇污水处理厂污染物排放标准》（GB18919-2002）一级A排放标准后排入小安溪</w:t>
            </w:r>
            <w:r>
              <w:rPr>
                <w:rFonts w:hint="eastAsia" w:eastAsia="方正仿宋_GBK" w:cs="Times New Roman"/>
                <w:bCs/>
                <w:color w:val="auto"/>
                <w:sz w:val="21"/>
                <w:szCs w:val="21"/>
                <w:lang w:eastAsia="zh-CN"/>
              </w:rPr>
              <w:t>。</w:t>
            </w:r>
          </w:p>
          <w:p>
            <w:pPr>
              <w:snapToGrid w:val="0"/>
              <w:rPr>
                <w:rFonts w:hint="eastAsia"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rPr>
              <w:t>3、噪声</w:t>
            </w:r>
          </w:p>
          <w:p>
            <w:pPr>
              <w:snapToGrid w:val="0"/>
              <w:spacing w:line="360" w:lineRule="exact"/>
              <w:ind w:firstLine="420" w:firstLineChars="200"/>
              <w:rPr>
                <w:rFonts w:eastAsia="宋体"/>
                <w:bCs/>
                <w:color w:val="auto"/>
                <w:sz w:val="24"/>
              </w:rPr>
            </w:pPr>
            <w:r>
              <w:rPr>
                <w:rFonts w:hint="eastAsia" w:ascii="Times New Roman" w:hAnsi="Times New Roman" w:eastAsia="方正仿宋_GBK" w:cs="Times New Roman"/>
                <w:bCs/>
                <w:color w:val="auto"/>
                <w:sz w:val="21"/>
                <w:szCs w:val="21"/>
              </w:rPr>
              <w:t>选择低噪设备，合理布局，隔声减噪，加强设备维护。</w:t>
            </w:r>
          </w:p>
          <w:p>
            <w:pPr>
              <w:snapToGrid w:val="0"/>
              <w:rPr>
                <w:rFonts w:hint="eastAsia"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rPr>
              <w:t>4、固废</w:t>
            </w:r>
          </w:p>
          <w:p>
            <w:pPr>
              <w:snapToGrid w:val="0"/>
              <w:spacing w:line="360" w:lineRule="exact"/>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项目产生的生活垃圾交由环卫部门统一处理；</w:t>
            </w:r>
            <w:r>
              <w:rPr>
                <w:rFonts w:hint="eastAsia" w:eastAsia="方正仿宋_GBK" w:cs="Times New Roman"/>
                <w:bCs/>
                <w:color w:val="auto"/>
                <w:sz w:val="21"/>
                <w:szCs w:val="21"/>
                <w:lang w:val="en-US" w:eastAsia="zh-CN"/>
              </w:rPr>
              <w:t>一般固废交回收单位处理</w:t>
            </w:r>
            <w:r>
              <w:rPr>
                <w:rFonts w:hint="eastAsia" w:ascii="Times New Roman" w:hAnsi="Times New Roman" w:eastAsia="方正仿宋_GBK" w:cs="Times New Roman"/>
                <w:bCs/>
                <w:color w:val="auto"/>
                <w:sz w:val="21"/>
                <w:szCs w:val="21"/>
              </w:rPr>
              <w:t>；</w:t>
            </w:r>
            <w:r>
              <w:rPr>
                <w:rFonts w:hint="eastAsia" w:eastAsia="方正仿宋_GBK" w:cs="Times New Roman"/>
                <w:bCs/>
                <w:color w:val="auto"/>
                <w:sz w:val="21"/>
                <w:szCs w:val="21"/>
                <w:lang w:val="en-US" w:eastAsia="zh-CN"/>
              </w:rPr>
              <w:t>危险废物暂存于危废暂存间，定期交有危废处置资质的单位处置</w:t>
            </w:r>
            <w:r>
              <w:rPr>
                <w:rFonts w:hint="eastAsia" w:ascii="Times New Roman" w:hAnsi="Times New Roman" w:eastAsia="方正仿宋_GBK" w:cs="Times New Roman"/>
                <w:bCs/>
                <w:color w:val="auto"/>
                <w:sz w:val="21"/>
                <w:szCs w:val="21"/>
              </w:rPr>
              <w:t>。</w:t>
            </w:r>
          </w:p>
          <w:p>
            <w:pPr>
              <w:snapToGrid w:val="0"/>
              <w:rPr>
                <w:rFonts w:hint="eastAsia" w:ascii="Times New Roman" w:hAnsi="Times New Roman" w:eastAsia="方正仿宋_GBK" w:cs="Times New Roman"/>
                <w:b/>
                <w:bCs w:val="0"/>
                <w:color w:val="auto"/>
                <w:sz w:val="21"/>
                <w:szCs w:val="21"/>
              </w:rPr>
            </w:pPr>
            <w:r>
              <w:rPr>
                <w:rFonts w:hint="eastAsia" w:ascii="Times New Roman" w:hAnsi="Times New Roman" w:eastAsia="方正仿宋_GBK" w:cs="Times New Roman"/>
                <w:b/>
                <w:bCs w:val="0"/>
                <w:color w:val="auto"/>
                <w:sz w:val="21"/>
                <w:szCs w:val="21"/>
              </w:rPr>
              <w:t>5、风险</w:t>
            </w:r>
          </w:p>
          <w:p>
            <w:pPr>
              <w:snapToGrid w:val="0"/>
              <w:spacing w:line="360" w:lineRule="exact"/>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涂装车间、仓库-油料存放区、危废暂存间等做重点防渗，其防渗技术要求满足等效黏土防渗层Mb≥6.0m，K≤1×10</w:t>
            </w:r>
            <w:r>
              <w:rPr>
                <w:rFonts w:hint="eastAsia" w:ascii="Times New Roman" w:hAnsi="Times New Roman" w:eastAsia="方正仿宋_GBK" w:cs="Times New Roman"/>
                <w:bCs/>
                <w:color w:val="auto"/>
                <w:sz w:val="21"/>
                <w:szCs w:val="21"/>
                <w:vertAlign w:val="superscript"/>
              </w:rPr>
              <w:t>-7</w:t>
            </w:r>
            <w:r>
              <w:rPr>
                <w:rFonts w:hint="eastAsia" w:ascii="Times New Roman" w:hAnsi="Times New Roman" w:eastAsia="方正仿宋_GBK" w:cs="Times New Roman"/>
                <w:bCs/>
                <w:color w:val="auto"/>
                <w:sz w:val="21"/>
                <w:szCs w:val="21"/>
              </w:rPr>
              <w:t>cm/s，铺设双层高密度聚乙烯HDEP防渗膜，墙角涂刷环氧树脂漆，或参照GB18598执行；其他区域做简单防渗，地面硬化处理即可。厂区废机油、油料和液态原料采用密封桶收集，在密封桶下方设置高约15cm托盘，防止泄漏，并在各易燃物质储存周边张贴禁止火源的标志，四周禁止有火源。</w:t>
            </w:r>
          </w:p>
          <w:p>
            <w:pPr>
              <w:snapToGrid w:val="0"/>
              <w:spacing w:line="360" w:lineRule="exact"/>
              <w:ind w:firstLine="480" w:firstLineChars="200"/>
              <w:rPr>
                <w:rFonts w:eastAsia="宋体"/>
                <w:bCs/>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方正仿宋_GBK" w:cs="Times New Roman"/>
                <w:bCs/>
                <w:sz w:val="21"/>
                <w:szCs w:val="21"/>
              </w:rPr>
            </w:pPr>
            <w:r>
              <w:rPr>
                <w:rFonts w:ascii="Times New Roman" w:hAnsi="Times New Roman" w:eastAsia="方正仿宋_GBK" w:cs="Times New Roman"/>
                <w:bCs/>
                <w:sz w:val="21"/>
                <w:szCs w:val="21"/>
              </w:rPr>
              <w:t>新增重点污染物排放总量及指标来源</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hint="default" w:ascii="Times New Roman" w:hAnsi="Times New Roman" w:eastAsia="方正仿宋_GBK" w:cs="Times New Roman"/>
                <w:bCs/>
                <w:color w:val="auto"/>
                <w:sz w:val="21"/>
                <w:szCs w:val="21"/>
                <w:lang w:val="en-US" w:eastAsia="zh-CN"/>
              </w:rPr>
            </w:pPr>
            <w:r>
              <w:rPr>
                <w:rFonts w:hint="eastAsia" w:eastAsia="方正仿宋_GBK" w:cs="Times New Roman"/>
                <w:bCs/>
                <w:color w:val="auto"/>
                <w:sz w:val="21"/>
                <w:szCs w:val="21"/>
                <w:lang w:val="en-US" w:eastAsia="zh-CN"/>
              </w:rPr>
              <w:t>项目排入外环境的总量控制指标为：</w:t>
            </w:r>
          </w:p>
          <w:p>
            <w:pPr>
              <w:snapToGrid w:val="0"/>
              <w:spacing w:line="360" w:lineRule="exact"/>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 xml:space="preserve">废水：COD </w:t>
            </w:r>
            <w:r>
              <w:rPr>
                <w:rFonts w:hint="eastAsia" w:eastAsia="方正仿宋_GBK" w:cs="Times New Roman"/>
                <w:bCs/>
                <w:color w:val="auto"/>
                <w:sz w:val="21"/>
                <w:szCs w:val="21"/>
                <w:lang w:val="en-US" w:eastAsia="zh-CN"/>
              </w:rPr>
              <w:t>0.0216</w:t>
            </w:r>
            <w:r>
              <w:rPr>
                <w:rFonts w:hint="eastAsia" w:ascii="Times New Roman" w:hAnsi="Times New Roman" w:eastAsia="方正仿宋_GBK" w:cs="Times New Roman"/>
                <w:bCs/>
                <w:color w:val="auto"/>
                <w:sz w:val="21"/>
                <w:szCs w:val="21"/>
              </w:rPr>
              <w:t>t/a，NH</w:t>
            </w:r>
            <w:r>
              <w:rPr>
                <w:rFonts w:hint="eastAsia" w:ascii="Times New Roman" w:hAnsi="Times New Roman" w:eastAsia="方正仿宋_GBK" w:cs="Times New Roman"/>
                <w:bCs/>
                <w:color w:val="auto"/>
                <w:sz w:val="21"/>
                <w:szCs w:val="21"/>
                <w:vertAlign w:val="subscript"/>
              </w:rPr>
              <w:t>3</w:t>
            </w:r>
            <w:r>
              <w:rPr>
                <w:rFonts w:hint="eastAsia" w:ascii="Times New Roman" w:hAnsi="Times New Roman" w:eastAsia="方正仿宋_GBK" w:cs="Times New Roman"/>
                <w:bCs/>
                <w:color w:val="auto"/>
                <w:sz w:val="21"/>
                <w:szCs w:val="21"/>
              </w:rPr>
              <w:t xml:space="preserve">-N </w:t>
            </w:r>
            <w:r>
              <w:rPr>
                <w:rFonts w:hint="eastAsia" w:eastAsia="方正仿宋_GBK" w:cs="Times New Roman"/>
                <w:bCs/>
                <w:color w:val="auto"/>
                <w:sz w:val="21"/>
                <w:szCs w:val="21"/>
                <w:lang w:val="en-US" w:eastAsia="zh-CN"/>
              </w:rPr>
              <w:t>0.0022</w:t>
            </w:r>
            <w:r>
              <w:rPr>
                <w:rFonts w:hint="eastAsia" w:ascii="Times New Roman" w:hAnsi="Times New Roman" w:eastAsia="方正仿宋_GBK" w:cs="Times New Roman"/>
                <w:bCs/>
                <w:color w:val="auto"/>
                <w:sz w:val="21"/>
                <w:szCs w:val="21"/>
              </w:rPr>
              <w:t>t/a</w:t>
            </w:r>
          </w:p>
          <w:p>
            <w:pPr>
              <w:snapToGrid w:val="0"/>
              <w:spacing w:line="360" w:lineRule="exact"/>
              <w:ind w:firstLine="420" w:firstLineChars="200"/>
              <w:rPr>
                <w:rFonts w:eastAsia="宋体"/>
                <w:bCs/>
                <w:color w:val="FF0000"/>
                <w:sz w:val="24"/>
              </w:rPr>
            </w:pPr>
            <w:r>
              <w:rPr>
                <w:rFonts w:hint="eastAsia" w:ascii="Times New Roman" w:hAnsi="Times New Roman" w:eastAsia="方正仿宋_GBK" w:cs="Times New Roman"/>
                <w:bCs/>
                <w:color w:val="auto"/>
                <w:sz w:val="21"/>
                <w:szCs w:val="21"/>
              </w:rPr>
              <w:t>废气</w:t>
            </w:r>
            <w:r>
              <w:rPr>
                <w:rFonts w:hint="eastAsia" w:eastAsia="方正仿宋_GBK" w:cs="Times New Roman"/>
                <w:bCs/>
                <w:color w:val="auto"/>
                <w:sz w:val="21"/>
                <w:szCs w:val="21"/>
                <w:lang w:eastAsia="zh-CN"/>
              </w:rPr>
              <w:t>（</w:t>
            </w:r>
            <w:r>
              <w:rPr>
                <w:rFonts w:hint="eastAsia" w:eastAsia="方正仿宋_GBK" w:cs="Times New Roman"/>
                <w:bCs/>
                <w:color w:val="auto"/>
                <w:sz w:val="21"/>
                <w:szCs w:val="21"/>
                <w:lang w:val="en-US" w:eastAsia="zh-CN"/>
              </w:rPr>
              <w:t>有组织排放</w:t>
            </w:r>
            <w:r>
              <w:rPr>
                <w:rFonts w:hint="eastAsia" w:eastAsia="方正仿宋_GBK" w:cs="Times New Roman"/>
                <w:bCs/>
                <w:color w:val="auto"/>
                <w:sz w:val="21"/>
                <w:szCs w:val="21"/>
                <w:lang w:eastAsia="zh-CN"/>
              </w:rPr>
              <w:t>）</w:t>
            </w:r>
            <w:r>
              <w:rPr>
                <w:rFonts w:hint="eastAsia" w:ascii="Times New Roman" w:hAnsi="Times New Roman" w:eastAsia="方正仿宋_GBK" w:cs="Times New Roman"/>
                <w:bCs/>
                <w:color w:val="auto"/>
                <w:sz w:val="21"/>
                <w:szCs w:val="21"/>
              </w:rPr>
              <w:t>：非甲烷总烃</w:t>
            </w:r>
            <w:r>
              <w:rPr>
                <w:rFonts w:hint="eastAsia" w:eastAsia="方正仿宋_GBK" w:cs="Times New Roman"/>
                <w:bCs/>
                <w:color w:val="auto"/>
                <w:sz w:val="21"/>
                <w:szCs w:val="21"/>
                <w:lang w:val="en-US" w:eastAsia="zh-CN"/>
              </w:rPr>
              <w:t>0.034</w:t>
            </w:r>
            <w:r>
              <w:rPr>
                <w:rFonts w:hint="eastAsia" w:ascii="Times New Roman" w:hAnsi="Times New Roman" w:eastAsia="方正仿宋_GBK" w:cs="Times New Roman"/>
                <w:bCs/>
                <w:color w:val="auto"/>
                <w:sz w:val="21"/>
                <w:szCs w:val="21"/>
              </w:rPr>
              <w:t>t/a，颗粒物0.</w:t>
            </w:r>
            <w:r>
              <w:rPr>
                <w:rFonts w:hint="eastAsia" w:eastAsia="方正仿宋_GBK" w:cs="Times New Roman"/>
                <w:bCs/>
                <w:color w:val="auto"/>
                <w:sz w:val="21"/>
                <w:szCs w:val="21"/>
                <w:lang w:val="en-US" w:eastAsia="zh-CN"/>
              </w:rPr>
              <w:t>035</w:t>
            </w:r>
            <w:r>
              <w:rPr>
                <w:rFonts w:hint="eastAsia" w:ascii="Times New Roman" w:hAnsi="Times New Roman" w:eastAsia="方正仿宋_GBK" w:cs="Times New Roman"/>
                <w:bCs/>
                <w:color w:val="auto"/>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0" w:hRule="atLeast"/>
          <w:jc w:val="center"/>
        </w:trPr>
        <w:tc>
          <w:tcPr>
            <w:tcW w:w="2420" w:type="dxa"/>
            <w:tcBorders>
              <w:top w:val="single" w:color="auto" w:sz="4" w:space="0"/>
              <w:left w:val="single" w:color="auto" w:sz="4" w:space="0"/>
              <w:right w:val="single" w:color="auto" w:sz="4" w:space="0"/>
            </w:tcBorders>
            <w:vAlign w:val="center"/>
          </w:tcPr>
          <w:p>
            <w:pPr>
              <w:snapToGrid w:val="0"/>
              <w:rPr>
                <w:rFonts w:ascii="Times New Roman" w:hAnsi="Times New Roman" w:eastAsia="方正仿宋_GBK" w:cs="Times New Roman"/>
                <w:bCs/>
                <w:sz w:val="21"/>
                <w:szCs w:val="21"/>
              </w:rPr>
            </w:pPr>
            <w:r>
              <w:rPr>
                <w:rFonts w:ascii="Times New Roman" w:hAnsi="Times New Roman" w:eastAsia="方正仿宋_GBK" w:cs="Times New Roman"/>
                <w:bCs/>
                <w:sz w:val="21"/>
                <w:szCs w:val="21"/>
              </w:rPr>
              <w:t>污染物排放标准、辐射剂量控制限值</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1、废气：项目下料、打磨、焊接、涂装等相关工序产生的废气执行《大气污染物综合排放标准》（DB50/418-2016）；厂区内非甲烷总烃无组织排放执行《挥发性有机物无组织排放控制标准》（GB37822-2019）特别排放限值；臭气浓度执行《恶臭污染物排放标准》（GB14554-93）标准要求</w:t>
            </w:r>
            <w:r>
              <w:rPr>
                <w:rFonts w:hint="eastAsia" w:eastAsia="方正仿宋_GBK" w:cs="Times New Roman"/>
                <w:bCs/>
                <w:color w:val="auto"/>
                <w:sz w:val="21"/>
                <w:szCs w:val="21"/>
                <w:lang w:eastAsia="zh-CN"/>
              </w:rPr>
              <w:t>。</w:t>
            </w:r>
          </w:p>
          <w:p>
            <w:pPr>
              <w:numPr>
                <w:ilvl w:val="0"/>
                <w:numId w:val="2"/>
              </w:numPr>
              <w:snapToGrid w:val="0"/>
              <w:spacing w:line="360" w:lineRule="exact"/>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废水：生活污水依托华雄·西部智慧产业园中已建生化池（已验收）处理达《污水综合排放标准》（GB8978-1996）达三级标准后，通过市政污水管网进入蒲吕污水处理厂处理达《城镇污水处理厂污染物排放标准》（GB18919-2002）一级A排放标准后排入小安溪。</w:t>
            </w:r>
          </w:p>
          <w:p>
            <w:pPr>
              <w:snapToGrid w:val="0"/>
              <w:spacing w:line="360" w:lineRule="exact"/>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3、噪声：《工业企业厂界环境噪声排放标准》（GB12348-2008）3类</w:t>
            </w:r>
          </w:p>
          <w:p>
            <w:pPr>
              <w:snapToGrid w:val="0"/>
              <w:spacing w:line="360" w:lineRule="exact"/>
              <w:ind w:firstLine="420" w:firstLineChars="200"/>
              <w:rPr>
                <w:rFonts w:hint="eastAsia" w:ascii="Times New Roman" w:hAnsi="Times New Roman" w:eastAsia="方正仿宋_GBK" w:cs="Times New Roman"/>
                <w:bCs/>
                <w:color w:val="auto"/>
                <w:sz w:val="21"/>
                <w:szCs w:val="21"/>
              </w:rPr>
            </w:pPr>
            <w:r>
              <w:rPr>
                <w:rFonts w:hint="eastAsia" w:ascii="Times New Roman" w:hAnsi="Times New Roman" w:eastAsia="方正仿宋_GBK" w:cs="Times New Roman"/>
                <w:bCs/>
                <w:color w:val="auto"/>
                <w:sz w:val="21"/>
                <w:szCs w:val="21"/>
              </w:rPr>
              <w:t>4、固废：根据《一般工业固体废物贮存和填埋污染控制标准》（GB 18599-2020）中要求，采用库房、包装工具（罐、桶、包装袋等）贮存一般工业工体废物过程的污染控制，不适用GB 18599-2020标准，贮存过程中应满足相应的防渗漏、防雨淋、防扬尘等环境保护要求。</w:t>
            </w:r>
          </w:p>
          <w:p>
            <w:pPr>
              <w:snapToGrid w:val="0"/>
              <w:spacing w:line="360" w:lineRule="exact"/>
              <w:ind w:firstLine="420" w:firstLineChars="200"/>
              <w:rPr>
                <w:rFonts w:eastAsia="宋体"/>
                <w:bCs/>
                <w:color w:val="FF0000"/>
                <w:sz w:val="24"/>
              </w:rPr>
            </w:pPr>
            <w:r>
              <w:rPr>
                <w:rFonts w:hint="eastAsia" w:ascii="Times New Roman" w:hAnsi="Times New Roman" w:eastAsia="方正仿宋_GBK" w:cs="Times New Roman"/>
                <w:bCs/>
                <w:color w:val="auto"/>
                <w:sz w:val="21"/>
                <w:szCs w:val="21"/>
              </w:rPr>
              <w:t>危险废物执行《危险废物贮存污染控制标准》（GB 18597-2023）中有关规定。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0"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Times New Roman" w:hAnsi="Times New Roman" w:eastAsia="方正仿宋_GBK" w:cs="Times New Roman"/>
                <w:bCs/>
                <w:sz w:val="21"/>
                <w:szCs w:val="21"/>
              </w:rPr>
            </w:pPr>
            <w:r>
              <w:rPr>
                <w:rFonts w:ascii="Times New Roman" w:hAnsi="Times New Roman" w:eastAsia="方正仿宋_GBK" w:cs="Times New Roman"/>
                <w:bCs/>
                <w:sz w:val="21"/>
                <w:szCs w:val="21"/>
              </w:rPr>
              <w:t>环境影响评价主要结论</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hint="eastAsia" w:ascii="Times New Roman" w:hAnsi="Times New Roman" w:eastAsia="方正仿宋_GBK" w:cs="Times New Roman"/>
                <w:bCs/>
                <w:sz w:val="21"/>
                <w:szCs w:val="21"/>
              </w:rPr>
            </w:pPr>
            <w:r>
              <w:rPr>
                <w:rFonts w:hint="eastAsia" w:ascii="Times New Roman" w:hAnsi="Times New Roman" w:eastAsia="方正仿宋_GBK" w:cs="Times New Roman"/>
                <w:bCs/>
                <w:sz w:val="21"/>
                <w:szCs w:val="21"/>
              </w:rPr>
              <w:t>重庆杰诚精密机械有限公司年产1万套膨胀节生产项目符合国家产业政策、相关产业政策、环保政策，符合园区规划环评结论及其审查意见，符合见江北区“三线一单”及生态环境保护法律法规政策、生态环境保护规划。本项目所在地环境质量现状较好，项目建设无重大环境制约因素；项目建成投产后将产生废水、废气、噪声及固废，在严格按照本报告中所提出的污染防治对策后，并加强内部环境管理，严格执行"三同时”制度的前提下，能实现环境保护措施的有效运行，确保污染物达标排放，对环境影响较小，并能为环境所接受。</w:t>
            </w:r>
          </w:p>
          <w:p>
            <w:pPr>
              <w:snapToGrid w:val="0"/>
              <w:spacing w:line="360" w:lineRule="exact"/>
              <w:ind w:firstLine="420" w:firstLineChars="200"/>
              <w:rPr>
                <w:rFonts w:eastAsia="宋体"/>
                <w:bCs/>
                <w:color w:val="000000" w:themeColor="text1"/>
                <w:sz w:val="24"/>
                <w14:textFill>
                  <w14:solidFill>
                    <w14:schemeClr w14:val="tx1"/>
                  </w14:solidFill>
                </w14:textFill>
              </w:rPr>
            </w:pPr>
            <w:r>
              <w:rPr>
                <w:rFonts w:hint="eastAsia" w:ascii="Times New Roman" w:hAnsi="Times New Roman" w:eastAsia="方正仿宋_GBK" w:cs="Times New Roman"/>
                <w:bCs/>
                <w:sz w:val="21"/>
                <w:szCs w:val="21"/>
              </w:rPr>
              <w:t>从环境保护角度考虑，在建设方认真落实环评提出的环境保护措施后，本项目建设是可行的。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Times New Roman" w:hAnsi="Times New Roman" w:eastAsia="方正仿宋_GBK" w:cs="Times New Roman"/>
                <w:bCs/>
                <w:sz w:val="21"/>
                <w:szCs w:val="21"/>
              </w:rPr>
            </w:pPr>
            <w:r>
              <w:rPr>
                <w:rFonts w:ascii="Times New Roman" w:hAnsi="Times New Roman" w:eastAsia="方正仿宋_GBK" w:cs="Times New Roman"/>
                <w:bCs/>
                <w:sz w:val="21"/>
                <w:szCs w:val="21"/>
              </w:rPr>
              <w:t>建设单位开展的公众参与情况</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宋体"/>
                <w:bCs/>
                <w:color w:val="000000" w:themeColor="text1"/>
                <w:sz w:val="24"/>
                <w14:textFill>
                  <w14:solidFill>
                    <w14:schemeClr w14:val="tx1"/>
                  </w14:solidFill>
                </w14:textFill>
              </w:rPr>
            </w:pPr>
            <w:r>
              <w:rPr>
                <w:rFonts w:hint="eastAsia" w:eastAsia="宋体"/>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8"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宋体"/>
                <w:bCs/>
                <w:color w:val="000000" w:themeColor="text1"/>
                <w:sz w:val="24"/>
                <w14:textFill>
                  <w14:solidFill>
                    <w14:schemeClr w14:val="tx1"/>
                  </w14:solidFill>
                </w14:textFill>
              </w:rPr>
            </w:pPr>
            <w:r>
              <w:rPr>
                <w:rFonts w:ascii="Times New Roman" w:hAnsi="Times New Roman" w:eastAsia="方正仿宋_GBK" w:cs="Times New Roman"/>
                <w:bCs/>
                <w:sz w:val="21"/>
                <w:szCs w:val="21"/>
              </w:rPr>
              <w:t>环评机构承诺</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hint="eastAsia" w:ascii="Times New Roman" w:hAnsi="Times New Roman" w:eastAsia="方正仿宋_GBK" w:cs="Times New Roman"/>
                <w:bCs/>
                <w:sz w:val="21"/>
                <w:szCs w:val="21"/>
              </w:rPr>
            </w:pPr>
            <w:bookmarkStart w:id="0" w:name="_GoBack"/>
            <w:bookmarkEnd w:id="0"/>
            <w:r>
              <w:rPr>
                <w:rFonts w:hint="eastAsia" w:ascii="Times New Roman" w:hAnsi="Times New Roman" w:eastAsia="方正仿宋_GBK" w:cs="Times New Roman"/>
                <w:bCs/>
                <w:sz w:val="21"/>
                <w:szCs w:val="21"/>
              </w:rPr>
              <w:t>（一）本单位严格按照各项法律、法规和技术导则规定，接受建设单位委托，依法开展环境影响评价工作，并编制项目环评文件。</w:t>
            </w:r>
          </w:p>
          <w:p>
            <w:pPr>
              <w:snapToGrid w:val="0"/>
              <w:spacing w:line="360" w:lineRule="exact"/>
              <w:ind w:firstLine="420" w:firstLineChars="200"/>
              <w:rPr>
                <w:rFonts w:hint="eastAsia" w:ascii="Times New Roman" w:hAnsi="Times New Roman" w:eastAsia="方正仿宋_GBK" w:cs="Times New Roman"/>
                <w:bCs/>
                <w:sz w:val="21"/>
                <w:szCs w:val="21"/>
              </w:rPr>
            </w:pPr>
            <w:r>
              <w:rPr>
                <w:rFonts w:hint="eastAsia" w:ascii="Times New Roman" w:hAnsi="Times New Roman" w:eastAsia="方正仿宋_GBK" w:cs="Times New Roman"/>
                <w:bCs/>
                <w:sz w:val="21"/>
                <w:szCs w:val="21"/>
              </w:rPr>
              <w:t>（二）本单位基于独立、专业、客观、公正的工作原则，对建设项目可能造成的环境影响进行科学分析，并提出切实可行的环境保护对策和措施建议，对环评文件所得出的环境影响评价结论负责。</w:t>
            </w:r>
          </w:p>
          <w:p>
            <w:pPr>
              <w:snapToGrid w:val="0"/>
              <w:spacing w:line="360" w:lineRule="exact"/>
              <w:ind w:firstLine="420" w:firstLineChars="200"/>
              <w:rPr>
                <w:rFonts w:hint="eastAsia" w:ascii="Times New Roman" w:hAnsi="Times New Roman" w:eastAsia="方正仿宋_GBK" w:cs="Times New Roman"/>
                <w:bCs/>
                <w:sz w:val="21"/>
                <w:szCs w:val="21"/>
              </w:rPr>
            </w:pPr>
            <w:r>
              <w:rPr>
                <w:rFonts w:hint="eastAsia" w:ascii="Times New Roman" w:hAnsi="Times New Roman" w:eastAsia="方正仿宋_GBK" w:cs="Times New Roman"/>
                <w:bCs/>
                <w:sz w:val="21"/>
                <w:szCs w:val="21"/>
              </w:rPr>
              <w:t>（三）本单位对该环评文件负责，不存在复制、抄袭以及资质盗用、借用等行为，同意生态环境部门按照建设项目环境影响报告书（表）编制监督管理办法》（生态环境部令第9号）对本次环境影响评价工作进行监督，将该环评文件纳入社会信用考核范畴。若存在失信行为，依法接受信用惩戒。</w:t>
            </w:r>
          </w:p>
          <w:p>
            <w:pPr>
              <w:snapToGrid w:val="0"/>
              <w:spacing w:line="360" w:lineRule="exact"/>
              <w:ind w:firstLine="420" w:firstLineChars="200"/>
              <w:rPr>
                <w:rFonts w:hint="eastAsia" w:ascii="Times New Roman" w:hAnsi="Times New Roman" w:eastAsia="方正仿宋_GBK" w:cs="Times New Roman"/>
                <w:bCs/>
                <w:sz w:val="21"/>
                <w:szCs w:val="21"/>
              </w:rPr>
            </w:pPr>
          </w:p>
          <w:p>
            <w:pPr>
              <w:snapToGrid w:val="0"/>
              <w:spacing w:line="360" w:lineRule="exact"/>
              <w:ind w:firstLine="420" w:firstLineChars="200"/>
              <w:rPr>
                <w:rFonts w:hint="eastAsia" w:ascii="Times New Roman" w:hAnsi="Times New Roman" w:eastAsia="方正仿宋_GBK" w:cs="Times New Roman"/>
                <w:bCs/>
                <w:sz w:val="21"/>
                <w:szCs w:val="21"/>
              </w:rPr>
            </w:pPr>
          </w:p>
          <w:p>
            <w:pPr>
              <w:snapToGrid w:val="0"/>
              <w:spacing w:line="360" w:lineRule="exact"/>
              <w:ind w:firstLine="420" w:firstLineChars="200"/>
              <w:rPr>
                <w:rFonts w:hint="eastAsia" w:ascii="Times New Roman" w:hAnsi="Times New Roman" w:eastAsia="方正仿宋_GBK" w:cs="Times New Roman"/>
                <w:bCs/>
                <w:sz w:val="21"/>
                <w:szCs w:val="21"/>
              </w:rPr>
            </w:pPr>
          </w:p>
          <w:p>
            <w:pPr>
              <w:pStyle w:val="11"/>
              <w:rPr>
                <w:rFonts w:hint="eastAsia" w:ascii="Times New Roman" w:hAnsi="Times New Roman" w:eastAsia="方正仿宋_GBK" w:cs="Times New Roman"/>
                <w:bCs/>
                <w:sz w:val="21"/>
                <w:szCs w:val="21"/>
              </w:rPr>
            </w:pPr>
          </w:p>
          <w:p>
            <w:pPr>
              <w:rPr>
                <w:rFonts w:hint="eastAsia" w:ascii="Times New Roman" w:hAnsi="Times New Roman" w:eastAsia="方正仿宋_GBK" w:cs="Times New Roman"/>
                <w:bCs/>
                <w:sz w:val="21"/>
                <w:szCs w:val="21"/>
              </w:rPr>
            </w:pPr>
          </w:p>
          <w:p>
            <w:pPr>
              <w:pStyle w:val="11"/>
              <w:rPr>
                <w:rFonts w:hint="eastAsia" w:ascii="Times New Roman" w:hAnsi="Times New Roman" w:eastAsia="方正仿宋_GBK" w:cs="Times New Roman"/>
                <w:bCs/>
                <w:sz w:val="21"/>
                <w:szCs w:val="21"/>
              </w:rPr>
            </w:pPr>
          </w:p>
          <w:p>
            <w:pPr>
              <w:rPr>
                <w:rFonts w:hint="eastAsia" w:ascii="Times New Roman" w:hAnsi="Times New Roman" w:eastAsia="方正仿宋_GBK" w:cs="Times New Roman"/>
                <w:bCs/>
                <w:sz w:val="21"/>
                <w:szCs w:val="21"/>
              </w:rPr>
            </w:pPr>
          </w:p>
          <w:p>
            <w:pPr>
              <w:pStyle w:val="11"/>
              <w:rPr>
                <w:rFonts w:hint="eastAsia" w:ascii="Times New Roman" w:hAnsi="Times New Roman" w:eastAsia="方正仿宋_GBK" w:cs="Times New Roman"/>
                <w:bCs/>
                <w:sz w:val="21"/>
                <w:szCs w:val="21"/>
              </w:rPr>
            </w:pPr>
          </w:p>
          <w:p>
            <w:pPr>
              <w:rPr>
                <w:rFonts w:hint="eastAsia" w:ascii="Times New Roman" w:hAnsi="Times New Roman" w:eastAsia="方正仿宋_GBK" w:cs="Times New Roman"/>
                <w:bCs/>
                <w:sz w:val="21"/>
                <w:szCs w:val="21"/>
              </w:rPr>
            </w:pPr>
          </w:p>
          <w:p>
            <w:pPr>
              <w:pStyle w:val="11"/>
              <w:rPr>
                <w:rFonts w:hint="eastAsia" w:ascii="Times New Roman" w:hAnsi="Times New Roman" w:eastAsia="方正仿宋_GBK" w:cs="Times New Roman"/>
                <w:bCs/>
                <w:sz w:val="21"/>
                <w:szCs w:val="21"/>
              </w:rPr>
            </w:pPr>
          </w:p>
          <w:p>
            <w:pPr>
              <w:rPr>
                <w:rFonts w:hint="eastAsia" w:ascii="Times New Roman" w:hAnsi="Times New Roman" w:eastAsia="方正仿宋_GBK" w:cs="Times New Roman"/>
                <w:bCs/>
                <w:sz w:val="21"/>
                <w:szCs w:val="21"/>
              </w:rPr>
            </w:pPr>
          </w:p>
          <w:p>
            <w:pPr>
              <w:pStyle w:val="11"/>
              <w:rPr>
                <w:rFonts w:hint="eastAsia"/>
              </w:rPr>
            </w:pPr>
          </w:p>
          <w:p>
            <w:pPr>
              <w:snapToGrid w:val="0"/>
              <w:spacing w:line="360" w:lineRule="exact"/>
              <w:ind w:firstLine="420" w:firstLineChars="200"/>
              <w:rPr>
                <w:rFonts w:hint="eastAsia" w:ascii="Times New Roman" w:hAnsi="Times New Roman" w:eastAsia="方正仿宋_GBK" w:cs="Times New Roman"/>
                <w:bCs/>
                <w:sz w:val="21"/>
                <w:szCs w:val="21"/>
              </w:rPr>
            </w:pPr>
            <w:r>
              <w:rPr>
                <w:rFonts w:hint="eastAsia" w:ascii="Times New Roman" w:hAnsi="Times New Roman" w:eastAsia="方正仿宋_GBK" w:cs="Times New Roman"/>
                <w:bCs/>
                <w:sz w:val="21"/>
                <w:szCs w:val="21"/>
              </w:rPr>
              <w:t>环评机构（盖章）：         编制主持人（签字）：</w:t>
            </w:r>
          </w:p>
          <w:p>
            <w:pPr>
              <w:snapToGrid w:val="0"/>
              <w:spacing w:line="360" w:lineRule="exact"/>
              <w:ind w:firstLine="420" w:firstLineChars="200"/>
              <w:rPr>
                <w:rFonts w:hint="eastAsia" w:ascii="Times New Roman" w:hAnsi="Times New Roman" w:eastAsia="方正仿宋_GBK" w:cs="Times New Roman"/>
                <w:bCs/>
                <w:sz w:val="21"/>
                <w:szCs w:val="21"/>
              </w:rPr>
            </w:pPr>
            <w:r>
              <w:rPr>
                <w:rFonts w:hint="eastAsia" w:ascii="Times New Roman" w:hAnsi="Times New Roman" w:eastAsia="方正仿宋_GBK" w:cs="Times New Roman"/>
                <w:bCs/>
                <w:sz w:val="21"/>
                <w:szCs w:val="21"/>
              </w:rPr>
              <w:t xml:space="preserve"> </w:t>
            </w:r>
          </w:p>
          <w:p>
            <w:pPr>
              <w:snapToGrid w:val="0"/>
              <w:spacing w:line="360" w:lineRule="exact"/>
              <w:ind w:firstLine="420" w:firstLineChars="200"/>
              <w:rPr>
                <w:rFonts w:eastAsia="宋体"/>
                <w:bCs/>
                <w:color w:val="000000" w:themeColor="text1"/>
                <w:sz w:val="24"/>
                <w14:textFill>
                  <w14:solidFill>
                    <w14:schemeClr w14:val="tx1"/>
                  </w14:solidFill>
                </w14:textFill>
              </w:rPr>
            </w:pPr>
            <w:r>
              <w:rPr>
                <w:rFonts w:hint="eastAsia" w:ascii="Times New Roman" w:hAnsi="Times New Roman" w:eastAsia="方正仿宋_GBK" w:cs="Times New Roman"/>
                <w:bCs/>
                <w:sz w:val="21"/>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7"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both"/>
              <w:rPr>
                <w:rFonts w:hAnsi="宋体" w:eastAsia="宋体"/>
                <w:bCs/>
                <w:color w:val="000000" w:themeColor="text1"/>
                <w:sz w:val="24"/>
                <w14:textFill>
                  <w14:solidFill>
                    <w14:schemeClr w14:val="tx1"/>
                  </w14:solidFill>
                </w14:textFill>
              </w:rPr>
            </w:pPr>
            <w:r>
              <w:rPr>
                <w:rFonts w:hint="eastAsia" w:ascii="Times New Roman" w:hAnsi="Times New Roman" w:eastAsia="方正仿宋_GBK" w:cs="Times New Roman"/>
                <w:bCs/>
                <w:sz w:val="21"/>
                <w:szCs w:val="21"/>
                <w:lang w:val="en-US" w:eastAsia="zh-CN" w:bidi="ar"/>
              </w:rPr>
              <w:t>建设单位（申请人）承诺</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（一）已经知晓行政许可实施机关告知的全部内容；</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（二）保证申请资料和相关数据的合法性、真实性、准确性，保证电子文件和纸质资料的一致性；</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（三）自认满足行政许可实施机关告知的条件、标准和技术要求，本项目不存在“未批先建”等环境违法行为；</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（四）能够在约定期限内，提交行政许可实施机关告知的相关材料；</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五）严格遵守相关环保法律法规，自觉履行环境保护义务，承担环境保护主体责任，落实“三同时”制度，按照本项目环评文件载明的项目性质、规模、地点、采用的生产工艺以及拟采取的环境保护措施进行项目建设和生产经营。重信守诺，维护良好的信用记录，并主动接受政府、行业组织、社会公众、新闻舆论的监督，积极履行社会责任；</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（六）愿意承担不实承诺、违反承诺的法律责任及由此造成的损失；</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（七）本承诺书在“信用重庆”等网站上公开；</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八）本单位已对环评机构编制的环评文件进行审查，提交的环评文件公示版不涉及国家秘密、商业秘密等内容，并认可环评文件中的环境影响评价结论。因环评文件存在重大质量问题，导致行政许可被撤销的，本单位承担相关法律责任和经济损失；</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（九）（勾选“告知承诺制”的）本单位自愿选择告知承诺制审批，并知晓相关规定内容，承诺履行主体责任，承担未履行承诺或其他法律法规要求而产生的一切后果（包括撤销环评批复、恢复原状等）；</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十）本单位已知晓受理即领取的批准文书在法定公示期（10个工作日）结束后生效；本单位已知晓，公示期满如果收到反对意见，生态环境行政主管部门将组织开展反馈意见的甄别核实工作，5个工作日内核实不能批复，生态环境行政主管部门出具《不予行政许可决定书》，本单位承诺按要求退回批准文书，承担撤销环评批复产生的一切后果。在甄别核实意见期间，本单位承诺主动参与核实工作，不组织施工建设</w:t>
            </w: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（十一）上述陈述是申请人的真实意思表示。</w:t>
            </w:r>
          </w:p>
          <w:p>
            <w:pPr>
              <w:snapToGrid w:val="0"/>
              <w:spacing w:line="360" w:lineRule="exact"/>
              <w:jc w:val="both"/>
              <w:rPr>
                <w:rFonts w:hint="eastAsia" w:ascii="Times New Roman" w:hAnsi="Times New Roman" w:eastAsia="仿宋_GB2312" w:cs="Times New Roman"/>
                <w:kern w:val="0"/>
                <w:sz w:val="18"/>
                <w:szCs w:val="20"/>
                <w:lang w:val="en-US" w:eastAsia="zh-CN" w:bidi="ar-SA"/>
              </w:rPr>
            </w:pPr>
          </w:p>
          <w:p>
            <w:pPr>
              <w:snapToGrid w:val="0"/>
              <w:spacing w:line="360" w:lineRule="exact"/>
              <w:jc w:val="both"/>
              <w:rPr>
                <w:rFonts w:hint="eastAsia" w:ascii="Times New Roman" w:hAnsi="Times New Roman" w:eastAsia="仿宋_GB2312" w:cs="Times New Roman"/>
                <w:kern w:val="0"/>
                <w:sz w:val="18"/>
                <w:szCs w:val="20"/>
                <w:lang w:val="en-US" w:eastAsia="zh-CN" w:bidi="ar-SA"/>
              </w:rPr>
            </w:pPr>
          </w:p>
          <w:p>
            <w:pPr>
              <w:snapToGrid w:val="0"/>
              <w:spacing w:line="360" w:lineRule="exact"/>
              <w:jc w:val="both"/>
              <w:rPr>
                <w:rFonts w:hint="eastAsia" w:ascii="Times New Roman" w:hAnsi="Times New Roman" w:eastAsia="仿宋_GB2312" w:cs="Times New Roman"/>
                <w:kern w:val="0"/>
                <w:sz w:val="18"/>
                <w:szCs w:val="20"/>
                <w:lang w:val="en-US" w:eastAsia="zh-CN" w:bidi="ar-SA"/>
              </w:rPr>
            </w:pPr>
          </w:p>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建设单位（申请人）（盖章）：             日期：</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2420"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Times New Roman" w:hAnsi="宋体" w:eastAsia="宋体" w:cs="Times New Roman"/>
                <w:bCs/>
                <w:color w:val="000000" w:themeColor="text1"/>
                <w:sz w:val="24"/>
                <w14:textFill>
                  <w14:solidFill>
                    <w14:schemeClr w14:val="tx1"/>
                  </w14:solidFill>
                </w14:textFill>
              </w:rPr>
            </w:pPr>
            <w:r>
              <w:rPr>
                <w:rFonts w:hint="eastAsia" w:ascii="Times New Roman" w:hAnsi="Times New Roman" w:eastAsia="方正仿宋_GBK" w:cs="Times New Roman"/>
                <w:bCs/>
                <w:sz w:val="21"/>
                <w:szCs w:val="21"/>
                <w:lang w:val="en-US" w:eastAsia="zh-CN" w:bidi="ar"/>
              </w:rPr>
              <w:t>相关文书送达方式</w:t>
            </w:r>
          </w:p>
        </w:tc>
        <w:tc>
          <w:tcPr>
            <w:tcW w:w="661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hint="eastAsia" w:ascii="Times New Roman" w:hAnsi="Times New Roman" w:eastAsia="方正仿宋_GBK" w:cs="Times New Roman"/>
                <w:bCs/>
                <w:sz w:val="21"/>
                <w:szCs w:val="21"/>
                <w:lang w:val="en-US" w:eastAsia="zh-CN" w:bidi="ar"/>
              </w:rPr>
            </w:pPr>
            <w:r>
              <w:rPr>
                <w:rFonts w:hint="eastAsia" w:ascii="Times New Roman" w:hAnsi="Times New Roman" w:eastAsia="方正仿宋_GBK" w:cs="Times New Roman"/>
                <w:bCs/>
                <w:sz w:val="21"/>
                <w:szCs w:val="21"/>
                <w:lang w:val="en-US" w:eastAsia="zh-CN" w:bidi="ar"/>
              </w:rPr>
              <w:t>□快递送达，邮寄地址为：××</w:t>
            </w:r>
          </w:p>
          <w:p>
            <w:pPr>
              <w:snapToGrid w:val="0"/>
              <w:spacing w:line="340" w:lineRule="exact"/>
              <w:rPr>
                <w:rFonts w:ascii="Times New Roman" w:hAnsi="宋体" w:eastAsia="宋体" w:cs="Times New Roman"/>
                <w:bCs/>
                <w:color w:val="000000" w:themeColor="text1"/>
                <w:sz w:val="24"/>
                <w14:textFill>
                  <w14:solidFill>
                    <w14:schemeClr w14:val="tx1"/>
                  </w14:solidFill>
                </w14:textFill>
              </w:rPr>
            </w:pPr>
            <w:r>
              <w:rPr>
                <w:rFonts w:hint="eastAsia" w:ascii="Times New Roman" w:hAnsi="Times New Roman" w:eastAsia="方正仿宋_GBK" w:cs="Times New Roman"/>
                <w:bCs/>
                <w:sz w:val="21"/>
                <w:szCs w:val="21"/>
                <w:lang w:val="en-US" w:eastAsia="zh-CN" w:bidi="ar"/>
              </w:rPr>
              <w:t>□申请人自取</w:t>
            </w:r>
          </w:p>
        </w:tc>
      </w:tr>
    </w:tbl>
    <w:p>
      <w:pPr>
        <w:rPr>
          <w:rFonts w:eastAsia="宋体"/>
          <w:color w:val="FF0000"/>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328E9"/>
    <w:multiLevelType w:val="singleLevel"/>
    <w:tmpl w:val="F4F328E9"/>
    <w:lvl w:ilvl="0" w:tentative="0">
      <w:start w:val="2"/>
      <w:numFmt w:val="decimal"/>
      <w:suff w:val="nothing"/>
      <w:lvlText w:val="%1、"/>
      <w:lvlJc w:val="left"/>
    </w:lvl>
  </w:abstractNum>
  <w:abstractNum w:abstractNumId="1">
    <w:nsid w:val="2CA924AE"/>
    <w:multiLevelType w:val="singleLevel"/>
    <w:tmpl w:val="2CA924AE"/>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MzUzNmRhOGZmOWUwOWQwMTExNzBjMzcwOWQ4YWMifQ=="/>
  </w:docVars>
  <w:rsids>
    <w:rsidRoot w:val="00696F2D"/>
    <w:rsid w:val="00002165"/>
    <w:rsid w:val="00004164"/>
    <w:rsid w:val="00004A74"/>
    <w:rsid w:val="000751F3"/>
    <w:rsid w:val="00086B48"/>
    <w:rsid w:val="0009265E"/>
    <w:rsid w:val="000A5E48"/>
    <w:rsid w:val="000D3A32"/>
    <w:rsid w:val="000E55F2"/>
    <w:rsid w:val="000F4BC2"/>
    <w:rsid w:val="00127E27"/>
    <w:rsid w:val="00143795"/>
    <w:rsid w:val="00150EDE"/>
    <w:rsid w:val="00160378"/>
    <w:rsid w:val="00171D35"/>
    <w:rsid w:val="00174A5F"/>
    <w:rsid w:val="00195C34"/>
    <w:rsid w:val="001B0F74"/>
    <w:rsid w:val="001C71D4"/>
    <w:rsid w:val="001D40BA"/>
    <w:rsid w:val="001F4F9E"/>
    <w:rsid w:val="00200847"/>
    <w:rsid w:val="0021461D"/>
    <w:rsid w:val="00252CD1"/>
    <w:rsid w:val="00276640"/>
    <w:rsid w:val="002B2571"/>
    <w:rsid w:val="002D6FD1"/>
    <w:rsid w:val="002E4336"/>
    <w:rsid w:val="00321EF2"/>
    <w:rsid w:val="003233C3"/>
    <w:rsid w:val="003354D3"/>
    <w:rsid w:val="00336130"/>
    <w:rsid w:val="00346C93"/>
    <w:rsid w:val="00351AF9"/>
    <w:rsid w:val="00354CDF"/>
    <w:rsid w:val="003A4E4F"/>
    <w:rsid w:val="003B1A30"/>
    <w:rsid w:val="003B54C4"/>
    <w:rsid w:val="003D7B12"/>
    <w:rsid w:val="003E5597"/>
    <w:rsid w:val="004346B1"/>
    <w:rsid w:val="004430F0"/>
    <w:rsid w:val="004804BD"/>
    <w:rsid w:val="0048200A"/>
    <w:rsid w:val="00487813"/>
    <w:rsid w:val="004E3013"/>
    <w:rsid w:val="004E4FE2"/>
    <w:rsid w:val="00514E1E"/>
    <w:rsid w:val="00563951"/>
    <w:rsid w:val="00566FD7"/>
    <w:rsid w:val="00591B0E"/>
    <w:rsid w:val="005C0A92"/>
    <w:rsid w:val="005E1761"/>
    <w:rsid w:val="005E75F6"/>
    <w:rsid w:val="005F05C6"/>
    <w:rsid w:val="006007F0"/>
    <w:rsid w:val="00664AA1"/>
    <w:rsid w:val="00666CC6"/>
    <w:rsid w:val="00680713"/>
    <w:rsid w:val="00696F2D"/>
    <w:rsid w:val="006971E3"/>
    <w:rsid w:val="006A2EE5"/>
    <w:rsid w:val="006C5B29"/>
    <w:rsid w:val="006D0D78"/>
    <w:rsid w:val="006D3E84"/>
    <w:rsid w:val="006D7561"/>
    <w:rsid w:val="006E1DDB"/>
    <w:rsid w:val="00747E73"/>
    <w:rsid w:val="007654C9"/>
    <w:rsid w:val="007856E3"/>
    <w:rsid w:val="00792CA8"/>
    <w:rsid w:val="007A5035"/>
    <w:rsid w:val="007A6BDA"/>
    <w:rsid w:val="007B3D66"/>
    <w:rsid w:val="00841E7A"/>
    <w:rsid w:val="008741ED"/>
    <w:rsid w:val="00876304"/>
    <w:rsid w:val="008A4904"/>
    <w:rsid w:val="008A6677"/>
    <w:rsid w:val="008B408B"/>
    <w:rsid w:val="008B7819"/>
    <w:rsid w:val="00925095"/>
    <w:rsid w:val="00925830"/>
    <w:rsid w:val="00982CF2"/>
    <w:rsid w:val="00995F98"/>
    <w:rsid w:val="009A63FE"/>
    <w:rsid w:val="009D4D64"/>
    <w:rsid w:val="009D798A"/>
    <w:rsid w:val="009E170A"/>
    <w:rsid w:val="00A04A34"/>
    <w:rsid w:val="00A303C5"/>
    <w:rsid w:val="00A36D7E"/>
    <w:rsid w:val="00A40262"/>
    <w:rsid w:val="00A70ACC"/>
    <w:rsid w:val="00A731D9"/>
    <w:rsid w:val="00A952CC"/>
    <w:rsid w:val="00AB5810"/>
    <w:rsid w:val="00B104C7"/>
    <w:rsid w:val="00B41593"/>
    <w:rsid w:val="00B45F44"/>
    <w:rsid w:val="00B46F57"/>
    <w:rsid w:val="00B81B51"/>
    <w:rsid w:val="00B948FD"/>
    <w:rsid w:val="00BA6E04"/>
    <w:rsid w:val="00BA7FCE"/>
    <w:rsid w:val="00C2199F"/>
    <w:rsid w:val="00C543DD"/>
    <w:rsid w:val="00C76DB8"/>
    <w:rsid w:val="00CA0822"/>
    <w:rsid w:val="00CA4551"/>
    <w:rsid w:val="00CC3167"/>
    <w:rsid w:val="00CC6984"/>
    <w:rsid w:val="00D2260A"/>
    <w:rsid w:val="00D3127F"/>
    <w:rsid w:val="00D462EE"/>
    <w:rsid w:val="00D5273C"/>
    <w:rsid w:val="00D5457F"/>
    <w:rsid w:val="00D55B53"/>
    <w:rsid w:val="00D74BA9"/>
    <w:rsid w:val="00D85BD4"/>
    <w:rsid w:val="00DB4DA3"/>
    <w:rsid w:val="00DD40AE"/>
    <w:rsid w:val="00DF6387"/>
    <w:rsid w:val="00E01A3C"/>
    <w:rsid w:val="00E32D68"/>
    <w:rsid w:val="00E658A0"/>
    <w:rsid w:val="00E91FE1"/>
    <w:rsid w:val="00EB73C5"/>
    <w:rsid w:val="00EC5D9E"/>
    <w:rsid w:val="00F17E01"/>
    <w:rsid w:val="00F63709"/>
    <w:rsid w:val="00F71361"/>
    <w:rsid w:val="00FC27F5"/>
    <w:rsid w:val="01CD58D7"/>
    <w:rsid w:val="04854128"/>
    <w:rsid w:val="071F0CBB"/>
    <w:rsid w:val="12DE7825"/>
    <w:rsid w:val="1AA16D81"/>
    <w:rsid w:val="1C07374A"/>
    <w:rsid w:val="250540E5"/>
    <w:rsid w:val="264F55DA"/>
    <w:rsid w:val="2AA94E98"/>
    <w:rsid w:val="2B084FE7"/>
    <w:rsid w:val="2B2A1401"/>
    <w:rsid w:val="303444AB"/>
    <w:rsid w:val="340F3702"/>
    <w:rsid w:val="386833DC"/>
    <w:rsid w:val="471965A4"/>
    <w:rsid w:val="48E56438"/>
    <w:rsid w:val="4EDF66FE"/>
    <w:rsid w:val="57BB4D46"/>
    <w:rsid w:val="62B23BA2"/>
    <w:rsid w:val="65254216"/>
    <w:rsid w:val="688A5E40"/>
    <w:rsid w:val="6E1A49E5"/>
    <w:rsid w:val="7475750F"/>
    <w:rsid w:val="75A3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4"/>
    <w:qFormat/>
    <w:uiPriority w:val="0"/>
    <w:pPr>
      <w:keepNext/>
      <w:spacing w:line="240" w:lineRule="exact"/>
      <w:jc w:val="center"/>
      <w:outlineLvl w:val="0"/>
    </w:pPr>
    <w:rPr>
      <w:rFonts w:ascii="仿宋_GB2312" w:hAnsi="宋体" w:cs="宋体"/>
      <w:b/>
      <w:color w:val="000000"/>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firstLine="0" w:firstLineChars="0"/>
    </w:pPr>
    <w:rPr>
      <w:sz w:val="21"/>
      <w:szCs w:val="24"/>
    </w:rPr>
  </w:style>
  <w:style w:type="paragraph" w:styleId="4">
    <w:name w:val="Normal Indent"/>
    <w:basedOn w:val="1"/>
    <w:next w:val="5"/>
    <w:qFormat/>
    <w:uiPriority w:val="0"/>
    <w:pPr>
      <w:spacing w:line="360" w:lineRule="auto"/>
      <w:ind w:firstLine="420"/>
    </w:pPr>
    <w:rPr>
      <w:rFonts w:ascii="仿宋_GB2312" w:hAnsi="Arial Black" w:eastAsia="仿宋_GB2312"/>
      <w:sz w:val="28"/>
      <w:szCs w:val="20"/>
    </w:rPr>
  </w:style>
  <w:style w:type="paragraph" w:customStyle="1" w:styleId="5">
    <w:name w:val="表头"/>
    <w:basedOn w:val="6"/>
    <w:next w:val="1"/>
    <w:qFormat/>
    <w:uiPriority w:val="0"/>
    <w:pPr>
      <w:adjustRightInd w:val="0"/>
      <w:snapToGrid w:val="0"/>
      <w:spacing w:line="300" w:lineRule="atLeast"/>
      <w:textAlignment w:val="baseline"/>
    </w:pPr>
    <w:rPr>
      <w:rFonts w:ascii="宋体" w:hAnsi="宋体" w:eastAsia="黑体"/>
      <w:kern w:val="0"/>
      <w:szCs w:val="20"/>
    </w:rPr>
  </w:style>
  <w:style w:type="paragraph" w:styleId="6">
    <w:name w:val="List"/>
    <w:basedOn w:val="1"/>
    <w:qFormat/>
    <w:uiPriority w:val="99"/>
    <w:pPr>
      <w:ind w:left="200" w:hanging="200" w:hangingChars="200"/>
    </w:pPr>
    <w:rPr>
      <w:szCs w:val="21"/>
    </w:rPr>
  </w:style>
  <w:style w:type="paragraph" w:styleId="7">
    <w:name w:val="Body Text"/>
    <w:basedOn w:val="1"/>
    <w:next w:val="8"/>
    <w:qFormat/>
    <w:uiPriority w:val="0"/>
    <w:pPr>
      <w:widowControl/>
      <w:snapToGrid w:val="0"/>
      <w:spacing w:before="60" w:after="160" w:line="259" w:lineRule="auto"/>
      <w:ind w:right="113"/>
    </w:pPr>
    <w:rPr>
      <w:kern w:val="0"/>
      <w:sz w:val="18"/>
      <w:szCs w:val="20"/>
    </w:rPr>
  </w:style>
  <w:style w:type="paragraph" w:styleId="8">
    <w:name w:val="List Bullet 5"/>
    <w:basedOn w:val="1"/>
    <w:semiHidden/>
    <w:unhideWhenUsed/>
    <w:qFormat/>
    <w:uiPriority w:val="99"/>
    <w:pPr>
      <w:numPr>
        <w:ilvl w:val="0"/>
        <w:numId w:val="1"/>
      </w:numPr>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7"/>
    <w:next w:val="1"/>
    <w:qFormat/>
    <w:uiPriority w:val="0"/>
    <w:pPr>
      <w:ind w:firstLine="420" w:firstLineChars="100"/>
    </w:pPr>
  </w:style>
  <w:style w:type="character" w:customStyle="1" w:styleId="14">
    <w:name w:val="标题 1 Char"/>
    <w:basedOn w:val="13"/>
    <w:link w:val="3"/>
    <w:qFormat/>
    <w:uiPriority w:val="0"/>
    <w:rPr>
      <w:rFonts w:ascii="仿宋_GB2312" w:hAnsi="宋体" w:eastAsia="仿宋_GB2312" w:cs="宋体"/>
      <w:b/>
      <w:color w:val="000000"/>
      <w:sz w:val="24"/>
      <w:szCs w:val="24"/>
    </w:rPr>
  </w:style>
  <w:style w:type="paragraph" w:customStyle="1" w:styleId="15">
    <w:name w:val="_Style 2"/>
    <w:basedOn w:val="1"/>
    <w:qFormat/>
    <w:uiPriority w:val="0"/>
    <w:pPr>
      <w:widowControl/>
      <w:spacing w:after="160" w:line="240" w:lineRule="exact"/>
      <w:jc w:val="left"/>
    </w:pPr>
    <w:rPr>
      <w:rFonts w:ascii="Verdana" w:hAnsi="Verdana"/>
      <w:kern w:val="0"/>
      <w:sz w:val="24"/>
      <w:szCs w:val="20"/>
      <w:lang w:eastAsia="en-US"/>
    </w:rPr>
  </w:style>
  <w:style w:type="character" w:customStyle="1" w:styleId="16">
    <w:name w:val="页眉 Char"/>
    <w:basedOn w:val="13"/>
    <w:link w:val="10"/>
    <w:qFormat/>
    <w:uiPriority w:val="99"/>
    <w:rPr>
      <w:rFonts w:ascii="Times New Roman" w:hAnsi="Times New Roman" w:eastAsia="仿宋_GB2312" w:cs="Times New Roman"/>
      <w:kern w:val="2"/>
      <w:sz w:val="18"/>
      <w:szCs w:val="18"/>
    </w:rPr>
  </w:style>
  <w:style w:type="character" w:customStyle="1" w:styleId="17">
    <w:name w:val="页脚 Char"/>
    <w:basedOn w:val="13"/>
    <w:link w:val="9"/>
    <w:qFormat/>
    <w:uiPriority w:val="99"/>
    <w:rPr>
      <w:rFonts w:ascii="Times New Roman" w:hAnsi="Times New Roman" w:eastAsia="仿宋_GB2312" w:cs="Times New Roman"/>
      <w:kern w:val="2"/>
      <w:sz w:val="18"/>
      <w:szCs w:val="18"/>
    </w:rPr>
  </w:style>
  <w:style w:type="paragraph" w:customStyle="1" w:styleId="18">
    <w:name w:val="表内文本正文"/>
    <w:basedOn w:val="1"/>
    <w:qFormat/>
    <w:uiPriority w:val="0"/>
    <w:pPr>
      <w:spacing w:line="360" w:lineRule="auto"/>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5</Pages>
  <Words>3121</Words>
  <Characters>3427</Characters>
  <Lines>22</Lines>
  <Paragraphs>6</Paragraphs>
  <TotalTime>4</TotalTime>
  <ScaleCrop>false</ScaleCrop>
  <LinksUpToDate>false</LinksUpToDate>
  <CharactersWithSpaces>3514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2021-04-21T03:42:00Z</dcterms:created>
  <dc:creator>guo</dc:creator>
  <cp:lastModifiedBy>Yf</cp:lastModifiedBy>
  <cp:lastPrinted>2023-03-07T09:03:00Z</cp:lastPrinted>
  <dcterms:modified xsi:type="dcterms:W3CDTF">2023-04-26T07:01:36Z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B1B23EFBFC2949FBB95F09BB0F597F74</vt:lpwstr>
  </property>
</Properties>
</file>