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铜梁区同心桥水库征地移民补偿安置方案</w:t>
      </w:r>
    </w:p>
    <w:bookmarkEnd w:id="0"/>
    <w:p>
      <w:pPr>
        <w:ind w:firstLine="420" w:firstLineChars="200"/>
        <w:rPr>
          <w:rFonts w:ascii="方正仿宋_GBK" w:hAnsi="方正仿宋_GBK" w:cs="方正仿宋_GBK"/>
          <w:snapToGrid w:val="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为切实做好铜梁区同心桥水库征地移民补偿安置工作，依据《国务院关于修改〈大中型水利水电工程建设征地补偿和移民安置条例〉的决定》（国务院令第679号）、《重庆市人民政府关于贯彻大中型水利水电工程建设征地补偿和移民安置条例有关问题的补充通知》（渝府发〔2008〕128号）、《重庆市人民政府办公厅关于调整大中型水利水电工程建设征地补偿安置标准有关事项的通知》（渝府办发〔2014〕81号）和《重庆市人民政府关于铜梁区同心桥水库工程建设征地移民安置大纲的批复》（渝府〔2019〕5号），结合我区现行征地拆迁政策及有关规定，制订本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一、安置范围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福果镇、虎峰镇、石鱼镇共8个村43个村民小组（具体范围以现场勘界为准）。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二、安置补偿标准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楷体_GBK" w:hAnsi="方正楷体_GBK" w:eastAsia="方正楷体_GBK" w:cs="方正楷体_GBK"/>
          <w:snapToGrid w:val="0"/>
          <w:sz w:val="32"/>
          <w:szCs w:val="32"/>
        </w:rPr>
        <w:t>（一）土地补偿安置标准。</w:t>
      </w:r>
      <w:r>
        <w:rPr>
          <w:rFonts w:hint="eastAsia" w:ascii="方正仿宋_GBK" w:hAnsi="方正仿宋_GBK" w:eastAsia="方正仿宋_GBK" w:cs="方正仿宋_GBK"/>
          <w:snapToGrid w:val="0"/>
          <w:sz w:val="32"/>
          <w:szCs w:val="32"/>
        </w:rPr>
        <w:t>根据《铜梁县人民政府关于进一步调整征地补偿安置标准有关事项的通知》（铜府发〔2013〕7号），土地补偿费不分地类按被征收土地面积（即水平正投影面积）计算，补偿标准为每亩1.55万元，其中80%统筹用于征地人员安置对象参加城镇企业职工基本养老保险，其余20%支付给被征地农村集体经济组织，用于发展集体经济和安排集体经济组织成员的生产、生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楷体_GBK" w:hAnsi="方正楷体_GBK" w:eastAsia="方正楷体_GBK" w:cs="方正楷体_GBK"/>
          <w:snapToGrid w:val="0"/>
          <w:sz w:val="32"/>
          <w:szCs w:val="32"/>
        </w:rPr>
        <w:t>（二）安置补助费标准及安置对象确定方法。</w:t>
      </w:r>
      <w:r>
        <w:rPr>
          <w:rFonts w:hint="eastAsia" w:ascii="方正仿宋_GBK" w:hAnsi="方正仿宋_GBK" w:eastAsia="方正仿宋_GBK" w:cs="方正仿宋_GBK"/>
          <w:snapToGrid w:val="0"/>
          <w:sz w:val="32"/>
          <w:szCs w:val="32"/>
        </w:rPr>
        <w:t>对符合安置条件的征地人员安置对象给予安置补助费，安置补助费标准为每人3.6万元。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征地人员安置人数计算公式为：征地人员安置人数=（全组征收耕园地面积+0.5全组征收非耕园地面积）/（全组总耕园地面积/全组总农业人口）。具体人员安置对象由各镇人民政府和村民委员会组织被征地组按被征地的多少依次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16周岁以上（含16周岁）的征地人员安置对象，其个人按照有关规定应缴纳参加城镇企业职工基本养老保险费用总额的50%，从其应领的安置补助费中划拨到区劳动和社会保障部门，专项用于该征地人员安置对象的基本养老保险，安置补助费的其余部分支付给个人，用于安排其生产、生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楷体_GBK" w:hAnsi="方正楷体_GBK" w:eastAsia="方正楷体_GBK" w:cs="方正楷体_GBK"/>
          <w:snapToGrid w:val="0"/>
          <w:sz w:val="32"/>
          <w:szCs w:val="32"/>
        </w:rPr>
        <w:t>（三）青苗及地上构（附）</w:t>
      </w:r>
      <w:r>
        <w:rPr>
          <w:rFonts w:hint="eastAsia" w:ascii="楷体" w:hAnsi="楷体" w:eastAsia="楷体" w:cs="楷体"/>
          <w:snapToGrid w:val="0"/>
          <w:sz w:val="32"/>
          <w:szCs w:val="32"/>
        </w:rPr>
        <w:t>着</w:t>
      </w:r>
      <w:r>
        <w:rPr>
          <w:rFonts w:hint="eastAsia" w:ascii="方正楷体_GBK" w:hAnsi="方正楷体_GBK" w:eastAsia="方正楷体_GBK" w:cs="方正楷体_GBK"/>
          <w:snapToGrid w:val="0"/>
          <w:sz w:val="32"/>
          <w:szCs w:val="32"/>
        </w:rPr>
        <w:t>物补偿。</w:t>
      </w:r>
      <w:r>
        <w:rPr>
          <w:rFonts w:hint="eastAsia" w:ascii="方正仿宋_GBK" w:hAnsi="方正仿宋_GBK" w:eastAsia="方正仿宋_GBK" w:cs="方正仿宋_GBK"/>
          <w:snapToGrid w:val="0"/>
          <w:sz w:val="32"/>
          <w:szCs w:val="32"/>
        </w:rPr>
        <w:t>青苗和地上构（附）着物实行综合定额补偿，以征收土地面积扣除农村宅基地后的面积计算，每亩定额补偿标准为1.8万元。在结算青苗和地上构（附）着物补偿款时按总面积的20%暂定宅基地面积，最终以批文中宅基地面积进行结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（四）农村房屋及附属物补偿标准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1.农村合法产权的房屋补偿标准，按《铜梁县人民政府关于进一步调整征地补偿安置标准有关事项的通知》（铜府发〔2013〕7号）的附件1执行。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2.农村宅基地范围内的地上构（附）着物的补偿标准，按《铜梁县人民政府关于进一步调整征地补偿安置标准有关事项的通知》（铜府发〔2013〕7号）的附件2执行。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3.被拆迁户的闭路电视按每户310元的标准补偿，电话按每户158元的标准补偿，天然气、自来水按实际安装费用补偿。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楷体_GBK" w:hAnsi="方正楷体_GBK" w:eastAsia="方正楷体_GBK" w:cs="方正楷体_GBK"/>
          <w:snapToGrid w:val="0"/>
          <w:sz w:val="32"/>
          <w:szCs w:val="32"/>
        </w:rPr>
        <w:t>（五）住房安置。</w:t>
      </w:r>
      <w:r>
        <w:rPr>
          <w:rFonts w:hint="eastAsia" w:ascii="方正仿宋_GBK" w:hAnsi="方正仿宋_GBK" w:eastAsia="方正仿宋_GBK" w:cs="方正仿宋_GBK"/>
          <w:snapToGrid w:val="0"/>
          <w:sz w:val="32"/>
          <w:szCs w:val="32"/>
        </w:rPr>
        <w:t>征地公告发布之日前，持有房屋所有权证和集体土地建设用地使用权证的征地人员安置对象为住房安置对象，住房安置对象可选择货币化安置或者统建优惠购房安置方式，两者任选其一。未进行征地人员安置的农业人员，其房屋被拆迁后可申请宅基地建房，也可以以户为单位申请整户货币化安置或统建优惠购房安置。已选择货币化安置或统建优惠购房安置的人员，不能再申请宅基地建房。具体标准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1.货币安置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（1）凡选择货币化安置的，按3100元/平方米乘以住房安置建筑面积计算货币安置款，即住房安置对象货币安置款为93000元/人，特殊安置对象货币安置款为46500元/人。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（2）在规定时间内签订协议并拆迁的，给予1.2万元/人的奖励（以召开拆迁动员大会公布的拆迁期限为准）。若延迟一天拆除，则扣除奖励200元/人.天，直至奖励扣完为止。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（3）房屋拆迁搬家、搬迁补助费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搬家补助费：以户为单位一次性计发，3人及以下的每户300元，3人以上每增加1人增发100元。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搬迁补助费：以住房安置人数计算，按照500元/人的标准发放搬迁补助费，在签订协议时一次性计发。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2.统建优惠购房安置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（1）住房安置对象选择统建优惠购房安置方式的，按照砖墙预制盖补偿价格向福果镇或虎峰镇政府申请统建优惠购房。统建优惠安置房源由福果镇、虎峰镇政府提供。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（2）选择统建优惠购房方式的住房安置对象在规定时间内完成拆迁的，一次性奖励1000元/人。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（3）房屋拆迁搬家补助费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搬家补助费：以户为单位一次性计发，3人及以下的每户300元，3人以上每增加1人增发100元。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选择统建优惠购房方式的住房安置对象，其搬迁过渡期间按300元/月·人发给过渡期租房补助，搬迁过渡期为接房后2个月。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3.申请宅基地建房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重庆市人民政府审批宅基地农用地转用等相关费用由同心桥水库项目工程建设指挥部负责。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（1）规划选址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搬迁农户建房宅基地由区规划自然资源局、福果镇、虎峰镇与农户共同选址。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（2）住房自建的要求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①一户一宅。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②按户口簿农业户口人数计算，1至3人户，最多可申请宅基地90平方米；4人户最多可申请宅基地120平方米；5人及以上户最多可申请宅基地150平方米。每户的建筑面积按规划设计的面积确定。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③农户按规定自建住房。农户按审批规定进行建房，对房屋修建的质量和安全负责，并作好日常管理。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④申请农村宅基地自建住房安置的，在农房建设规定面积内的免交建设和办证的有关税费。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（3）申请宅基地建房的农业人员房屋拆迁的相关补偿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①房屋及宅基地范围内的地上构（附）着物的补偿。该户搬迁建房的农业人员所分摊的房屋拆迁补偿按照《铜梁县人民政府关于进一步调整征地补偿安置标准有关事项的通知》（铜府发〔2013〕7号）附件1的标准提高50%予以补偿。宅基地范围内的地上构（附）着物按照《铜梁县人民政府关于进一步调整征地补偿安置标准有关事项的通知》（铜府发〔2013〕7号）附件2的标准补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②按时搬迁奖励。在规定时间内签订协议并搬迁的，给予1.2万元/人的奖励（以拆迁动员大会公布的搬迁期限为准）。若延迟一天拆除，则扣除奖励200元/人·天，直至奖励扣完为止。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③对申请宅基地建房搬迁户的农业人员，按6000元/人的标准一次性支付建房补助费；按2000元/人的标准一次性支付宅基地补助费；按9000元/人的标准一次性支付建房基础设施补助费。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④每提前一天搬迁且腾空房屋交付福果镇或虎峰镇政府拆除的，给予该户搬迁建房的农业人员所分摊的房屋拆迁款的1%计发奖励，计奖时间最长不超过20天（以拆迁动员大会公布的提前搬迁期限为准）。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⑤对申请农村宅基地建房的农业人员，按18个月发给租房补助费，发放标准为每人每月300元。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⑥房屋搬迁搬家补助费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搬家补助费：以户为单位一次性计发，3人及以下的每户300元，3人以上每增加1人增发100元。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搬迁补助费：以住房安置人数计算，按照500元/人的标准发放搬迁补助费，在签订协议时一次性计发。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（六）国有土地上房屋的补偿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国有土地上房屋的补偿标准参照《重庆市铜梁区人民政府办公室关于印发铜梁区国有土地上房屋征收与补偿办法（暂行）的通知》（铜府办发〔2015〕17号）执行。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（七）集体土地企业搬迁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具有土地使用权证和其他合法权证的企业建（构）筑物，按重置价格计算补偿后，原建（构）筑物归国家所有，由区规划自然资源局负责处置。被搬迁企业的搬迁损失费（含设备搬迁损耗，停工损失及搬迁费），按所搬迁设备折旧后净值的15%至20%计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三、实施主体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同心桥水库项目工程建设指挥部将补偿款拨付福果镇、虎峰镇、石鱼镇拆迁专户，由福果镇、虎峰镇、石鱼镇负责实施，并分别支付补偿资金。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四、重大问题的处置及工作纪律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pPr>
      <w:r>
        <w:rPr>
          <w:rFonts w:hint="eastAsia" w:ascii="方正仿宋_GBK" w:hAnsi="方正仿宋_GBK" w:eastAsia="方正仿宋_GBK" w:cs="方正仿宋_GBK"/>
          <w:snapToGrid w:val="0"/>
          <w:sz w:val="32"/>
          <w:szCs w:val="32"/>
        </w:rPr>
        <w:t>在征地拆迁工作实施中，遇重大特殊问题需处置的，由同心桥水库项目征地拆迁攻坚行动指挥部统一组织集体研究处理。在工作中要严格遵守工作纪律，做到公平、公正、公开、廉洁。</w:t>
      </w:r>
    </w:p>
    <w:sectPr>
      <w:footerReference r:id="rId3" w:type="default"/>
      <w:pgSz w:w="11906" w:h="16838"/>
      <w:pgMar w:top="2098" w:right="1474" w:bottom="1984" w:left="1587" w:header="851" w:footer="147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C65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水利局收发员</cp:lastModifiedBy>
  <dcterms:modified xsi:type="dcterms:W3CDTF">2020-10-26T02:18:48Z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