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660" w:tblpY="1998"/>
        <w:tblOverlap w:val="never"/>
        <w:tblW w:w="8789" w:type="dxa"/>
        <w:tblInd w:w="0" w:type="dxa"/>
        <w:tblLayout w:type="fixed"/>
        <w:tblCellMar>
          <w:top w:w="0" w:type="dxa"/>
          <w:left w:w="108" w:type="dxa"/>
          <w:bottom w:w="0" w:type="dxa"/>
          <w:right w:w="108" w:type="dxa"/>
        </w:tblCellMar>
      </w:tblPr>
      <w:tblGrid>
        <w:gridCol w:w="8789"/>
      </w:tblGrid>
      <w:tr>
        <w:tblPrEx>
          <w:tblLayout w:type="fixed"/>
          <w:tblCellMar>
            <w:top w:w="0" w:type="dxa"/>
            <w:left w:w="108" w:type="dxa"/>
            <w:bottom w:w="0" w:type="dxa"/>
            <w:right w:w="108" w:type="dxa"/>
          </w:tblCellMar>
        </w:tblPrEx>
        <w:trPr>
          <w:trHeight w:val="1418" w:hRule="exact"/>
        </w:trPr>
        <w:tc>
          <w:tcPr>
            <w:tcW w:w="8789" w:type="dxa"/>
          </w:tcPr>
          <w:p>
            <w:pPr>
              <w:ind w:firstLine="684"/>
              <w:jc w:val="center"/>
              <w:rPr>
                <w:rFonts w:eastAsia="方正小标宋_GBK"/>
                <w:strike/>
                <w:color w:val="FF0000"/>
                <w:spacing w:val="11"/>
                <w:kern w:val="0"/>
                <w:szCs w:val="32"/>
              </w:rPr>
            </w:pPr>
          </w:p>
        </w:tc>
      </w:tr>
      <w:tr>
        <w:tblPrEx>
          <w:tblLayout w:type="fixed"/>
          <w:tblCellMar>
            <w:top w:w="0" w:type="dxa"/>
            <w:left w:w="108" w:type="dxa"/>
            <w:bottom w:w="0" w:type="dxa"/>
            <w:right w:w="108" w:type="dxa"/>
          </w:tblCellMar>
        </w:tblPrEx>
        <w:trPr>
          <w:trHeight w:val="973" w:hRule="atLeast"/>
        </w:trPr>
        <w:tc>
          <w:tcPr>
            <w:tcW w:w="8789" w:type="dxa"/>
          </w:tcPr>
          <w:p>
            <w:pPr>
              <w:spacing w:line="1300" w:lineRule="exact"/>
              <w:ind w:firstLine="0" w:firstLineChars="0"/>
              <w:jc w:val="right"/>
              <w:rPr>
                <w:rFonts w:eastAsia="方正小标宋_GBK"/>
                <w:color w:val="FF0000"/>
                <w:spacing w:val="11"/>
                <w:kern w:val="0"/>
                <w:sz w:val="120"/>
                <w:szCs w:val="120"/>
              </w:rPr>
            </w:pPr>
          </w:p>
        </w:tc>
      </w:tr>
      <w:tr>
        <w:tblPrEx>
          <w:tblLayout w:type="fixed"/>
          <w:tblCellMar>
            <w:top w:w="0" w:type="dxa"/>
            <w:left w:w="108" w:type="dxa"/>
            <w:bottom w:w="0" w:type="dxa"/>
            <w:right w:w="108" w:type="dxa"/>
          </w:tblCellMar>
        </w:tblPrEx>
        <w:trPr>
          <w:trHeight w:val="851" w:hRule="exact"/>
        </w:trPr>
        <w:tc>
          <w:tcPr>
            <w:tcW w:w="8789" w:type="dxa"/>
          </w:tcPr>
          <w:p>
            <w:pPr>
              <w:spacing w:line="1418" w:lineRule="exact"/>
              <w:ind w:firstLine="684"/>
              <w:jc w:val="center"/>
              <w:rPr>
                <w:rFonts w:eastAsia="方正小标宋_GBK"/>
                <w:color w:val="FF0000"/>
                <w:spacing w:val="11"/>
                <w:kern w:val="0"/>
                <w:szCs w:val="32"/>
              </w:rPr>
            </w:pPr>
          </w:p>
        </w:tc>
      </w:tr>
    </w:tbl>
    <w:p>
      <w:pPr>
        <w:ind w:firstLine="0" w:firstLineChars="0"/>
        <w:jc w:val="center"/>
      </w:pPr>
      <w:r>
        <w:t>铜人社发〔2025〕</w:t>
      </w:r>
      <w:r>
        <w:rPr>
          <w:rFonts w:hint="eastAsia"/>
        </w:rPr>
        <w:t>31</w:t>
      </w:r>
      <w:r>
        <w:t>号</w:t>
      </w:r>
    </w:p>
    <w:p>
      <w:pPr>
        <w:spacing w:line="560" w:lineRule="exact"/>
        <w:ind w:firstLine="1440"/>
        <w:rPr>
          <w:rFonts w:eastAsia="方正仿宋简体"/>
          <w:color w:val="FF0000"/>
          <w:sz w:val="72"/>
          <w:szCs w:val="72"/>
        </w:rPr>
      </w:pPr>
    </w:p>
    <w:p>
      <w:pPr>
        <w:ind w:firstLine="0" w:firstLineChars="0"/>
        <w:rPr>
          <w:rFonts w:eastAsia="方正小标宋简体"/>
          <w:sz w:val="44"/>
          <w:szCs w:val="44"/>
        </w:rPr>
      </w:pPr>
    </w:p>
    <w:p>
      <w:pPr>
        <w:pStyle w:val="8"/>
      </w:pPr>
      <w:r>
        <w:rPr>
          <w:rFonts w:hint="eastAsia"/>
        </w:rPr>
        <w:t>重庆市铜梁区人力资源和社会保障局</w:t>
      </w:r>
    </w:p>
    <w:p>
      <w:pPr>
        <w:pStyle w:val="8"/>
        <w:jc w:val="both"/>
        <w:rPr>
          <w:rFonts w:ascii="方正小标宋_GBK" w:hAnsi="方正小标宋_GBK" w:cs="方正小标宋_GBK"/>
          <w:spacing w:val="-20"/>
          <w:szCs w:val="44"/>
        </w:rPr>
      </w:pPr>
      <w:r>
        <w:rPr>
          <w:rFonts w:hint="eastAsia"/>
          <w:spacing w:val="-20"/>
          <w:szCs w:val="44"/>
        </w:rPr>
        <w:t>关于开展</w:t>
      </w:r>
      <w:r>
        <w:rPr>
          <w:spacing w:val="-20"/>
          <w:szCs w:val="44"/>
        </w:rPr>
        <w:t>202</w:t>
      </w:r>
      <w:r>
        <w:rPr>
          <w:rFonts w:hint="eastAsia"/>
          <w:spacing w:val="-20"/>
          <w:szCs w:val="44"/>
        </w:rPr>
        <w:t>5</w:t>
      </w:r>
      <w:r>
        <w:rPr>
          <w:rFonts w:hint="eastAsia" w:ascii="方正小标宋_GBK" w:hAnsi="方正小标宋_GBK" w:cs="方正小标宋_GBK"/>
          <w:spacing w:val="-20"/>
          <w:szCs w:val="44"/>
        </w:rPr>
        <w:t>年事业单位工作人员在岗培训的通知</w:t>
      </w:r>
    </w:p>
    <w:p>
      <w:pPr>
        <w:ind w:firstLine="640"/>
      </w:pPr>
    </w:p>
    <w:p>
      <w:pPr>
        <w:ind w:firstLine="0" w:firstLineChars="0"/>
        <w:rPr>
          <w:rFonts w:cs="方正仿宋_GBK"/>
        </w:rPr>
      </w:pPr>
      <w:r>
        <w:rPr>
          <w:rFonts w:hint="eastAsia"/>
        </w:rPr>
        <w:t>各镇人民政府、街道办事处，区级各部门，各企事业单位：</w:t>
      </w:r>
    </w:p>
    <w:p>
      <w:pPr>
        <w:ind w:firstLine="640"/>
      </w:pPr>
      <w:r>
        <w:rPr>
          <w:rFonts w:hint="eastAsia"/>
        </w:rPr>
        <w:t>为不断提升我区事业单位工作人员思想政治素质和专业能力，更新知识结构，提高工作能力，决定开展2025年事业单位工作人员在岗培训，现将相关事宜通知如下：</w:t>
      </w:r>
    </w:p>
    <w:p>
      <w:pPr>
        <w:pStyle w:val="4"/>
        <w:ind w:firstLine="640"/>
      </w:pPr>
      <w:r>
        <w:rPr>
          <w:rFonts w:hint="eastAsia"/>
        </w:rPr>
        <w:t>一、培训目的</w:t>
      </w:r>
    </w:p>
    <w:p>
      <w:pPr>
        <w:ind w:firstLine="640"/>
      </w:pPr>
      <w:r>
        <w:t>以习近平新时代中国特色社会主义思想为指导，深入贯彻党的</w:t>
      </w:r>
      <w:r>
        <w:rPr>
          <w:rFonts w:hint="eastAsia"/>
        </w:rPr>
        <w:t>二十大</w:t>
      </w:r>
      <w:r>
        <w:t>精神</w:t>
      </w:r>
      <w:r>
        <w:rPr>
          <w:rFonts w:hint="eastAsia"/>
        </w:rPr>
        <w:t>以及</w:t>
      </w:r>
      <w:r>
        <w:t>党的二十届二中、三中全会精神，</w:t>
      </w:r>
      <w:r>
        <w:rPr>
          <w:rFonts w:hint="eastAsia"/>
        </w:rPr>
        <w:t>全面落实中央人才工作会和市委人才工作会精神，</w:t>
      </w:r>
      <w:r>
        <w:t>围绕重庆高质量发展需要，以政治理论培训为基础，以提升业务能力为重点，全面提</w:t>
      </w:r>
      <w:r>
        <w:rPr>
          <w:rFonts w:hint="eastAsia"/>
        </w:rPr>
        <w:t>升</w:t>
      </w:r>
      <w:r>
        <w:t>事业单位</w:t>
      </w:r>
      <w:r>
        <w:rPr>
          <w:rFonts w:hint="eastAsia"/>
        </w:rPr>
        <w:t>工作人员</w:t>
      </w:r>
      <w:r>
        <w:t>教育培训质量和实效，培养造就一支忠诚、干净、担当的高素质</w:t>
      </w:r>
      <w:r>
        <w:rPr>
          <w:rFonts w:hint="eastAsia"/>
        </w:rPr>
        <w:t>专业化</w:t>
      </w:r>
      <w:r>
        <w:t>事业单位</w:t>
      </w:r>
      <w:r>
        <w:rPr>
          <w:rFonts w:hint="eastAsia"/>
        </w:rPr>
        <w:t>工作人员</w:t>
      </w:r>
      <w:r>
        <w:t>队伍，为推动重庆经济社会又快又好发展提供思想政治保证和智力支持</w:t>
      </w:r>
      <w:r>
        <w:rPr>
          <w:rFonts w:hint="eastAsia"/>
        </w:rPr>
        <w:t>。</w:t>
      </w:r>
    </w:p>
    <w:p>
      <w:pPr>
        <w:pStyle w:val="4"/>
        <w:ind w:firstLine="640"/>
      </w:pPr>
      <w:r>
        <w:rPr>
          <w:rFonts w:hint="eastAsia"/>
        </w:rPr>
        <w:t>二、培训对象</w:t>
      </w:r>
    </w:p>
    <w:p>
      <w:pPr>
        <w:ind w:firstLine="640"/>
        <w:rPr>
          <w:rFonts w:cs="方正仿宋_GBK"/>
          <w:szCs w:val="32"/>
        </w:rPr>
      </w:pPr>
      <w:r>
        <w:rPr>
          <w:rFonts w:hint="eastAsia"/>
        </w:rPr>
        <w:t>全区事业单位管理岗位和工勤技能岗位在编在岗工作人员。专业技术人员按照我市专业技术人员继续教育相关规定开展培训。鼓励事业单位组织非编人员参加培训</w:t>
      </w:r>
      <w:r>
        <w:rPr>
          <w:rFonts w:hint="eastAsia" w:cs="方正仿宋_GBK"/>
          <w:szCs w:val="32"/>
        </w:rPr>
        <w:t>。</w:t>
      </w:r>
    </w:p>
    <w:p>
      <w:pPr>
        <w:pStyle w:val="4"/>
        <w:ind w:firstLine="640"/>
      </w:pPr>
      <w:r>
        <w:rPr>
          <w:rFonts w:hint="eastAsia"/>
        </w:rPr>
        <w:t>三、培训内容</w:t>
      </w:r>
    </w:p>
    <w:p>
      <w:pPr>
        <w:ind w:firstLine="640"/>
      </w:pPr>
      <w:r>
        <w:rPr>
          <w:rFonts w:hint="eastAsia"/>
          <w:lang w:bidi="ar"/>
        </w:rPr>
        <w:t>事业单位工作人员在岗培训公共科目主要包括政治理论、法律法规、政策知识、行为规范、纪律要求等内容，本次主要学习习近平新时代中国特色社会主义思想、全面贯彻落实习近平总书记在新时代推动西部大开发座谈会和视察重庆的重要讲话重要指示精神、全国两会精神、中央八项规定精神、保密意识、国防教育、国家安全、安全生产、城市治理、乡村振兴、事业单位人事管理相关政策、新质生产力、低碳环保等</w:t>
      </w:r>
      <w:r>
        <w:rPr>
          <w:rFonts w:hint="eastAsia"/>
        </w:rPr>
        <w:t>。</w:t>
      </w:r>
    </w:p>
    <w:p>
      <w:pPr>
        <w:ind w:firstLine="640"/>
      </w:pPr>
      <w:r>
        <w:rPr>
          <w:rFonts w:hint="eastAsia"/>
        </w:rPr>
        <w:t>管理岗位工作人员专业科目主要包括公共管理、财务、资产、人事、安全、保密、信息化、外事、前沿科技及数字化等内容。工勤技能岗位工作人员专业科目主要包括行政事务、农业及种植、林业、畜牧业、医药护理保育、教育教学、驾驶及维修、机电机械、工程管理、行政管理、办公技能、前沿科技及数字化等内容。具体课程以学习平台展示为准（学习平台提供400余门课程，600多学时供学员自行选择学习）。</w:t>
      </w:r>
    </w:p>
    <w:p>
      <w:pPr>
        <w:pStyle w:val="4"/>
        <w:ind w:firstLine="640"/>
      </w:pPr>
      <w:r>
        <w:rPr>
          <w:rFonts w:hint="eastAsia"/>
        </w:rPr>
        <w:t>四、培训方式及流程</w:t>
      </w:r>
    </w:p>
    <w:p>
      <w:pPr>
        <w:pStyle w:val="2"/>
        <w:ind w:firstLine="640"/>
      </w:pPr>
      <w:r>
        <w:rPr>
          <w:rFonts w:hint="eastAsia"/>
        </w:rPr>
        <w:t>网络在线培训。学员登录重庆人社培训网www.cqrspx.cn，点击事业单位工作人员培训，</w:t>
      </w:r>
      <w:r>
        <w:t>选择在岗培训，进行</w:t>
      </w:r>
      <w:r>
        <w:rPr>
          <w:rFonts w:hint="eastAsia"/>
        </w:rPr>
        <w:t>注册、</w:t>
      </w:r>
      <w:bookmarkStart w:id="0" w:name="OLE_LINK3"/>
      <w:r>
        <w:rPr>
          <w:rFonts w:hint="eastAsia"/>
        </w:rPr>
        <w:t>登</w:t>
      </w:r>
      <w:bookmarkEnd w:id="0"/>
      <w:r>
        <w:rPr>
          <w:rFonts w:hint="eastAsia"/>
        </w:rPr>
        <w:t>录、选择培训项目、缴费、学习、</w:t>
      </w:r>
      <w:r>
        <w:t>打印证书</w:t>
      </w:r>
      <w:r>
        <w:rPr>
          <w:rFonts w:hint="eastAsia"/>
        </w:rPr>
        <w:t>、发</w:t>
      </w:r>
      <w:r>
        <w:t>票申请</w:t>
      </w:r>
      <w:r>
        <w:rPr>
          <w:rFonts w:hint="eastAsia"/>
        </w:rPr>
        <w:t>等</w:t>
      </w:r>
      <w:r>
        <w:t>流程</w:t>
      </w:r>
      <w:r>
        <w:rPr>
          <w:rFonts w:hint="eastAsia"/>
        </w:rPr>
        <w:t>（详</w:t>
      </w:r>
      <w:r>
        <w:t>见附件</w:t>
      </w:r>
      <w:r>
        <w:rPr>
          <w:rFonts w:hint="eastAsia"/>
        </w:rPr>
        <w:t>）。若在此网站上参加过其他学习项目，则用原账号进行登录。</w:t>
      </w:r>
    </w:p>
    <w:p>
      <w:pPr>
        <w:pStyle w:val="4"/>
        <w:ind w:firstLine="640"/>
      </w:pPr>
      <w:r>
        <w:rPr>
          <w:rFonts w:hint="eastAsia"/>
        </w:rPr>
        <w:t>五、培训项目及</w:t>
      </w:r>
      <w:r>
        <w:t>学时</w:t>
      </w:r>
    </w:p>
    <w:p>
      <w:pPr>
        <w:ind w:firstLine="640"/>
      </w:pPr>
      <w:r>
        <w:rPr>
          <w:rFonts w:hint="eastAsia"/>
        </w:rPr>
        <w:t>学习平台开设公共科目培训和专业科目培训。其中管理岗位设置公共科目50学时，专业科目40学时；工勤技能岗位设置公共科目30学时，专业科目60学时。</w:t>
      </w:r>
    </w:p>
    <w:p>
      <w:pPr>
        <w:pStyle w:val="4"/>
        <w:ind w:firstLine="640"/>
      </w:pPr>
      <w:r>
        <w:rPr>
          <w:rFonts w:hint="eastAsia"/>
        </w:rPr>
        <w:t>六、培训时间</w:t>
      </w:r>
    </w:p>
    <w:p>
      <w:pPr>
        <w:ind w:firstLine="640"/>
      </w:pPr>
      <w:r>
        <w:rPr>
          <w:rFonts w:hint="eastAsia"/>
        </w:rPr>
        <w:t>自通知下发之日起，至</w:t>
      </w:r>
      <w:r>
        <w:t>202</w:t>
      </w:r>
      <w:r>
        <w:rPr>
          <w:rFonts w:hint="eastAsia"/>
        </w:rPr>
        <w:t>5年12月31日止。</w:t>
      </w:r>
    </w:p>
    <w:p>
      <w:pPr>
        <w:pStyle w:val="4"/>
        <w:ind w:firstLine="640"/>
      </w:pPr>
      <w:r>
        <w:rPr>
          <w:rFonts w:hint="eastAsia"/>
        </w:rPr>
        <w:t>七、培训费用</w:t>
      </w:r>
    </w:p>
    <w:p>
      <w:pPr>
        <w:ind w:firstLine="640"/>
      </w:pPr>
      <w:r>
        <w:rPr>
          <w:rFonts w:hint="eastAsia"/>
        </w:rPr>
        <w:t>管理岗位公共科目培训费55元，专业科目培训费60元；工勤技能岗位公共科目培训费33元，专业科目培训费90元。费用包含在线学习和培训档案管理等。</w:t>
      </w:r>
    </w:p>
    <w:p>
      <w:pPr>
        <w:ind w:firstLine="640"/>
        <w:rPr>
          <w:bCs/>
        </w:rPr>
      </w:pPr>
      <w:r>
        <w:rPr>
          <w:rFonts w:hint="eastAsia"/>
        </w:rPr>
        <w:t>培训学员可个人缴费后，申请发票，在本</w:t>
      </w:r>
      <w:r>
        <w:rPr>
          <w:bCs/>
        </w:rPr>
        <w:t>单位</w:t>
      </w:r>
      <w:r>
        <w:rPr>
          <w:rFonts w:hint="eastAsia"/>
          <w:bCs/>
        </w:rPr>
        <w:t>按</w:t>
      </w:r>
      <w:r>
        <w:rPr>
          <w:bCs/>
        </w:rPr>
        <w:t>相关规定</w:t>
      </w:r>
      <w:r>
        <w:rPr>
          <w:rFonts w:hint="eastAsia"/>
          <w:bCs/>
        </w:rPr>
        <w:t>报销；也可单位统一缴费统一办理。</w:t>
      </w:r>
    </w:p>
    <w:p>
      <w:pPr>
        <w:pStyle w:val="4"/>
        <w:ind w:firstLine="640"/>
      </w:pPr>
      <w:r>
        <w:rPr>
          <w:rFonts w:hint="eastAsia"/>
        </w:rPr>
        <w:t>八、结果运用</w:t>
      </w:r>
    </w:p>
    <w:p>
      <w:pPr>
        <w:ind w:firstLine="640"/>
      </w:pPr>
      <w:r>
        <w:rPr>
          <w:lang w:bidi="ar"/>
        </w:rPr>
        <w:t>事业单位工作人员培训实行登记管理，事业单位应当建立和</w:t>
      </w:r>
      <w:r>
        <w:rPr>
          <w:rFonts w:hint="eastAsia"/>
          <w:lang w:bidi="ar"/>
        </w:rPr>
        <w:t>完善工作人员年度培训档案，对工作人员参加培训的种类、方案、内容、时间、结果等进行登记，及时完善“智慧人社·事业单位人事管理系统”培训管理模块数据，并将培训情况作为事业单位工作人员的考核内容和岗位聘用、等级晋升的重要依据之一。</w:t>
      </w:r>
    </w:p>
    <w:p>
      <w:pPr>
        <w:ind w:firstLine="640"/>
        <w:rPr>
          <w:rFonts w:eastAsia="黑体"/>
        </w:rPr>
      </w:pPr>
      <w:r>
        <w:rPr>
          <w:rFonts w:hint="eastAsia"/>
        </w:rPr>
        <w:t>通过重庆人社培训网学习平台完成培训的，学习平台将自动记录学时并推送到</w:t>
      </w:r>
      <w:r>
        <w:rPr>
          <w:rFonts w:hint="eastAsia"/>
          <w:lang w:bidi="ar"/>
        </w:rPr>
        <w:t>“智慧人社·事业单位人事管理系统”</w:t>
      </w:r>
      <w:r>
        <w:rPr>
          <w:rFonts w:hint="eastAsia"/>
        </w:rPr>
        <w:t>。各单位人事干部可通过人事信息系统查看本单位人员参训情况。</w:t>
      </w:r>
    </w:p>
    <w:p>
      <w:pPr>
        <w:pStyle w:val="6"/>
        <w:ind w:firstLine="640"/>
        <w:rPr>
          <w:sz w:val="32"/>
          <w:szCs w:val="32"/>
        </w:rPr>
      </w:pPr>
      <w:r>
        <w:rPr>
          <w:rFonts w:hint="eastAsia"/>
          <w:sz w:val="32"/>
          <w:szCs w:val="32"/>
        </w:rPr>
        <w:t>特此通知</w:t>
      </w:r>
    </w:p>
    <w:p>
      <w:pPr>
        <w:spacing w:line="640" w:lineRule="exact"/>
        <w:ind w:firstLine="640"/>
      </w:pPr>
    </w:p>
    <w:p>
      <w:pPr>
        <w:spacing w:line="640" w:lineRule="exact"/>
        <w:ind w:firstLine="640"/>
      </w:pPr>
      <w:r>
        <w:rPr>
          <w:rFonts w:hint="eastAsia"/>
        </w:rPr>
        <w:t>附件</w:t>
      </w:r>
      <w:r>
        <w:t>：</w:t>
      </w:r>
      <w:r>
        <w:rPr>
          <w:rFonts w:hint="eastAsia"/>
        </w:rPr>
        <w:t>1.在线学习</w:t>
      </w:r>
      <w:r>
        <w:t>流程及操作说明</w:t>
      </w:r>
    </w:p>
    <w:p>
      <w:pPr>
        <w:ind w:firstLine="1600" w:firstLineChars="500"/>
        <w:rPr>
          <w:szCs w:val="32"/>
        </w:rPr>
      </w:pPr>
      <w:r>
        <w:rPr>
          <w:rFonts w:hint="eastAsia"/>
        </w:rPr>
        <w:t>2.事业单位工作人员在岗培训团体注册名单</w:t>
      </w:r>
      <w:r>
        <w:rPr>
          <w:rFonts w:hint="eastAsia"/>
          <w:szCs w:val="32"/>
        </w:rPr>
        <w:t>表</w:t>
      </w:r>
    </w:p>
    <w:p>
      <w:pPr>
        <w:tabs>
          <w:tab w:val="center" w:pos="5670"/>
        </w:tabs>
        <w:ind w:firstLine="0" w:firstLineChars="0"/>
        <w:rPr>
          <w:szCs w:val="32"/>
        </w:rPr>
      </w:pPr>
    </w:p>
    <w:p>
      <w:pPr>
        <w:pStyle w:val="2"/>
        <w:ind w:firstLine="640"/>
      </w:pPr>
    </w:p>
    <w:p>
      <w:pPr>
        <w:pStyle w:val="2"/>
        <w:ind w:firstLine="640"/>
      </w:pPr>
    </w:p>
    <w:p>
      <w:pPr>
        <w:tabs>
          <w:tab w:val="center" w:pos="5670"/>
        </w:tabs>
        <w:ind w:firstLine="0" w:firstLineChars="0"/>
        <w:jc w:val="right"/>
      </w:pPr>
      <w:r>
        <w:rPr>
          <w:rFonts w:hint="eastAsia"/>
        </w:rPr>
        <w:tab/>
      </w:r>
      <w:r>
        <w:rPr>
          <w:rFonts w:hint="eastAsia"/>
        </w:rPr>
        <w:t>重庆市铜梁区人力资源和社会保障局</w:t>
      </w:r>
    </w:p>
    <w:p>
      <w:pPr>
        <w:tabs>
          <w:tab w:val="center" w:pos="5670"/>
        </w:tabs>
        <w:ind w:firstLine="0" w:firstLineChars="0"/>
      </w:pPr>
      <w:r>
        <w:rPr>
          <w:rFonts w:hint="eastAsia"/>
        </w:rPr>
        <w:tab/>
      </w:r>
      <w:r>
        <w:rPr>
          <w:rFonts w:hint="eastAsia"/>
        </w:rPr>
        <w:t xml:space="preserve">         2025年6月19</w:t>
      </w:r>
      <w:r>
        <w:rPr>
          <w:rFonts w:hint="eastAsia" w:cs="方正仿宋_GBK"/>
        </w:rPr>
        <w:t>日</w:t>
      </w:r>
    </w:p>
    <w:p>
      <w:pPr>
        <w:pStyle w:val="2"/>
        <w:ind w:firstLine="640"/>
      </w:pPr>
    </w:p>
    <w:p>
      <w:pPr>
        <w:pStyle w:val="3"/>
        <w:ind w:firstLine="640"/>
      </w:pPr>
    </w:p>
    <w:p>
      <w:pPr>
        <w:pStyle w:val="2"/>
        <w:ind w:firstLine="640"/>
      </w:pPr>
      <w:r>
        <w:rPr>
          <w:rFonts w:hint="eastAsia"/>
        </w:rPr>
        <w:t>（此件公开发布）</w:t>
      </w:r>
    </w:p>
    <w:p>
      <w:pPr>
        <w:pStyle w:val="3"/>
        <w:ind w:firstLine="640"/>
      </w:pPr>
    </w:p>
    <w:p>
      <w:pPr>
        <w:ind w:firstLine="640"/>
      </w:pPr>
      <w:bookmarkStart w:id="1" w:name="_GoBack"/>
      <w:bookmarkEnd w:id="1"/>
    </w:p>
    <w:sectPr>
      <w:footerReference r:id="rId3" w:type="default"/>
      <w:footerReference r:id="rId4" w:type="even"/>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00"/>
    <w:family w:val="script"/>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640"/>
                            <w:rPr>
                              <w:rFonts w:ascii="方正仿宋_GBK" w:hAnsi="方正仿宋_GBK" w:cs="方正仿宋_GBK"/>
                              <w:sz w:val="32"/>
                              <w:szCs w:val="32"/>
                            </w:rPr>
                          </w:pPr>
                          <w:r>
                            <w:rPr>
                              <w:rFonts w:hint="eastAsia" w:ascii="方正仿宋_GBK" w:hAnsi="方正仿宋_GBK" w:cs="方正仿宋_GBK"/>
                              <w:sz w:val="32"/>
                              <w:szCs w:val="32"/>
                            </w:rPr>
                            <w:t xml:space="preserve">— </w:t>
                          </w: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1</w:t>
                          </w:r>
                          <w:r>
                            <w:rPr>
                              <w:rFonts w:hint="eastAsia" w:ascii="方正仿宋_GBK" w:hAnsi="方正仿宋_GBK" w:cs="方正仿宋_GBK"/>
                              <w:sz w:val="32"/>
                              <w:szCs w:val="32"/>
                            </w:rPr>
                            <w:fldChar w:fldCharType="end"/>
                          </w:r>
                          <w:r>
                            <w:rPr>
                              <w:rFonts w:hint="eastAsia" w:ascii="方正仿宋_GBK" w:hAnsi="方正仿宋_GBK" w:cs="方正仿宋_GBK"/>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6"/>
                      <w:ind w:firstLine="640"/>
                      <w:rPr>
                        <w:rFonts w:ascii="方正仿宋_GBK" w:hAnsi="方正仿宋_GBK" w:cs="方正仿宋_GBK"/>
                        <w:sz w:val="32"/>
                        <w:szCs w:val="32"/>
                      </w:rPr>
                    </w:pPr>
                    <w:r>
                      <w:rPr>
                        <w:rFonts w:hint="eastAsia" w:ascii="方正仿宋_GBK" w:hAnsi="方正仿宋_GBK" w:cs="方正仿宋_GBK"/>
                        <w:sz w:val="32"/>
                        <w:szCs w:val="32"/>
                      </w:rPr>
                      <w:t xml:space="preserve">— </w:t>
                    </w: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1</w:t>
                    </w:r>
                    <w:r>
                      <w:rPr>
                        <w:rFonts w:hint="eastAsia" w:ascii="方正仿宋_GBK" w:hAnsi="方正仿宋_GBK" w:cs="方正仿宋_GBK"/>
                        <w:sz w:val="32"/>
                        <w:szCs w:val="32"/>
                      </w:rPr>
                      <w:fldChar w:fldCharType="end"/>
                    </w:r>
                    <w:r>
                      <w:rPr>
                        <w:rFonts w:hint="eastAsia" w:ascii="方正仿宋_GBK" w:hAnsi="方正仿宋_GBK" w:cs="方正仿宋_GBK"/>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rPr>
        <w:rFonts w:asciiTheme="minorEastAsia" w:hAnsiTheme="minorEastAsia" w:eastAsia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640"/>
                            <w:rPr>
                              <w:rFonts w:ascii="方正仿宋_GBK" w:hAnsi="方正仿宋_GBK" w:cs="方正仿宋_GBK"/>
                              <w:sz w:val="32"/>
                              <w:szCs w:val="32"/>
                            </w:rPr>
                          </w:pPr>
                          <w:r>
                            <w:rPr>
                              <w:rFonts w:hint="eastAsia" w:ascii="方正仿宋_GBK" w:hAnsi="方正仿宋_GBK" w:cs="方正仿宋_GBK"/>
                              <w:sz w:val="32"/>
                              <w:szCs w:val="32"/>
                            </w:rPr>
                            <w:t xml:space="preserve">— </w:t>
                          </w: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2</w:t>
                          </w:r>
                          <w:r>
                            <w:rPr>
                              <w:rFonts w:hint="eastAsia" w:ascii="方正仿宋_GBK" w:hAnsi="方正仿宋_GBK" w:cs="方正仿宋_GBK"/>
                              <w:sz w:val="32"/>
                              <w:szCs w:val="32"/>
                            </w:rPr>
                            <w:fldChar w:fldCharType="end"/>
                          </w:r>
                          <w:r>
                            <w:rPr>
                              <w:rFonts w:hint="eastAsia" w:ascii="方正仿宋_GBK" w:hAnsi="方正仿宋_GBK" w:cs="方正仿宋_GBK"/>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6"/>
                      <w:ind w:firstLine="640"/>
                      <w:rPr>
                        <w:rFonts w:ascii="方正仿宋_GBK" w:hAnsi="方正仿宋_GBK" w:cs="方正仿宋_GBK"/>
                        <w:sz w:val="32"/>
                        <w:szCs w:val="32"/>
                      </w:rPr>
                    </w:pPr>
                    <w:r>
                      <w:rPr>
                        <w:rFonts w:hint="eastAsia" w:ascii="方正仿宋_GBK" w:hAnsi="方正仿宋_GBK" w:cs="方正仿宋_GBK"/>
                        <w:sz w:val="32"/>
                        <w:szCs w:val="32"/>
                      </w:rPr>
                      <w:t xml:space="preserve">— </w:t>
                    </w: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2</w:t>
                    </w:r>
                    <w:r>
                      <w:rPr>
                        <w:rFonts w:hint="eastAsia" w:ascii="方正仿宋_GBK" w:hAnsi="方正仿宋_GBK" w:cs="方正仿宋_GBK"/>
                        <w:sz w:val="32"/>
                        <w:szCs w:val="32"/>
                      </w:rPr>
                      <w:fldChar w:fldCharType="end"/>
                    </w:r>
                    <w:r>
                      <w:rPr>
                        <w:rFonts w:hint="eastAsia" w:ascii="方正仿宋_GBK" w:hAnsi="方正仿宋_GBK" w:cs="方正仿宋_GBK"/>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74FDC"/>
    <w:rsid w:val="00007917"/>
    <w:rsid w:val="001A1AA7"/>
    <w:rsid w:val="00213239"/>
    <w:rsid w:val="002332E4"/>
    <w:rsid w:val="003453E4"/>
    <w:rsid w:val="00377076"/>
    <w:rsid w:val="004502F2"/>
    <w:rsid w:val="005924AA"/>
    <w:rsid w:val="00792CD2"/>
    <w:rsid w:val="007D4970"/>
    <w:rsid w:val="00904A94"/>
    <w:rsid w:val="00B03DF4"/>
    <w:rsid w:val="00C11720"/>
    <w:rsid w:val="00C63577"/>
    <w:rsid w:val="00D8500B"/>
    <w:rsid w:val="00F42DB1"/>
    <w:rsid w:val="07157B74"/>
    <w:rsid w:val="0F674FDC"/>
    <w:rsid w:val="1FDD28F6"/>
    <w:rsid w:val="3FF7C56D"/>
    <w:rsid w:val="5F0B5F5C"/>
    <w:rsid w:val="9B9F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14"/>
    <w:qFormat/>
    <w:uiPriority w:val="0"/>
    <w:pPr>
      <w:keepNext/>
      <w:keepLines/>
      <w:outlineLvl w:val="0"/>
    </w:pPr>
    <w:rPr>
      <w:rFonts w:eastAsia="方正黑体_GBK"/>
      <w:bCs/>
      <w:kern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6"/>
    <w:basedOn w:val="1"/>
    <w:next w:val="1"/>
    <w:qFormat/>
    <w:uiPriority w:val="0"/>
    <w:pPr>
      <w:ind w:left="2100"/>
    </w:pPr>
    <w:rPr>
      <w:rFonts w:ascii="Calibri" w:hAnsi="Calibri" w:eastAsia="宋体"/>
    </w:rPr>
  </w:style>
  <w:style w:type="paragraph" w:styleId="5">
    <w:name w:val="Balloon Text"/>
    <w:basedOn w:val="1"/>
    <w:link w:val="12"/>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widowControl/>
      <w:ind w:firstLine="0" w:firstLineChars="0"/>
      <w:jc w:val="center"/>
    </w:pPr>
    <w:rPr>
      <w:rFonts w:eastAsia="方正小标宋_GBK" w:cstheme="majorBidi"/>
      <w:bCs/>
      <w:sz w:val="44"/>
      <w:szCs w:val="32"/>
    </w:rPr>
  </w:style>
  <w:style w:type="character" w:customStyle="1" w:styleId="11">
    <w:name w:val="页眉 Char"/>
    <w:basedOn w:val="10"/>
    <w:link w:val="7"/>
    <w:qFormat/>
    <w:uiPriority w:val="0"/>
    <w:rPr>
      <w:rFonts w:ascii="Times New Roman" w:hAnsi="Times New Roman" w:eastAsia="方正仿宋_GBK" w:cs="Times New Roman"/>
      <w:kern w:val="2"/>
      <w:sz w:val="18"/>
      <w:szCs w:val="18"/>
    </w:rPr>
  </w:style>
  <w:style w:type="character" w:customStyle="1" w:styleId="12">
    <w:name w:val="批注框文本 Char"/>
    <w:basedOn w:val="10"/>
    <w:link w:val="5"/>
    <w:qFormat/>
    <w:uiPriority w:val="0"/>
    <w:rPr>
      <w:rFonts w:ascii="Times New Roman" w:hAnsi="Times New Roman" w:eastAsia="方正仿宋_GBK" w:cs="Times New Roman"/>
      <w:kern w:val="2"/>
      <w:sz w:val="18"/>
      <w:szCs w:val="18"/>
    </w:rPr>
  </w:style>
  <w:style w:type="character" w:customStyle="1" w:styleId="13">
    <w:name w:val="标题 Char"/>
    <w:basedOn w:val="10"/>
    <w:link w:val="8"/>
    <w:qFormat/>
    <w:uiPriority w:val="0"/>
    <w:rPr>
      <w:rFonts w:ascii="Times New Roman" w:hAnsi="Times New Roman" w:eastAsia="方正小标宋_GBK" w:cstheme="majorBidi"/>
      <w:bCs/>
      <w:kern w:val="2"/>
      <w:sz w:val="44"/>
      <w:szCs w:val="32"/>
    </w:rPr>
  </w:style>
  <w:style w:type="character" w:customStyle="1" w:styleId="14">
    <w:name w:val="标题 1 Char"/>
    <w:basedOn w:val="10"/>
    <w:link w:val="4"/>
    <w:qFormat/>
    <w:uiPriority w:val="0"/>
    <w:rPr>
      <w:rFonts w:ascii="Times New Roman" w:hAnsi="Times New Roman" w:eastAsia="方正黑体_GBK" w:cs="Times New Roman"/>
      <w:bCs/>
      <w:kern w:val="44"/>
      <w:sz w:val="32"/>
      <w:szCs w:val="44"/>
    </w:rPr>
  </w:style>
  <w:style w:type="character" w:customStyle="1" w:styleId="15">
    <w:name w:val="页脚 Char"/>
    <w:basedOn w:val="10"/>
    <w:link w:val="6"/>
    <w:qFormat/>
    <w:uiPriority w:val="99"/>
    <w:rPr>
      <w:rFonts w:ascii="Times New Roman" w:hAnsi="Times New Roman" w:eastAsia="方正仿宋_GBK"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1454</Words>
  <Characters>115</Characters>
  <Lines>1</Lines>
  <Paragraphs>3</Paragraphs>
  <TotalTime>2</TotalTime>
  <ScaleCrop>false</ScaleCrop>
  <LinksUpToDate>false</LinksUpToDate>
  <CharactersWithSpaces>1566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2025-06-23T03:28:00Z</dcterms:created>
  <dc:creator>admin</dc:creator>
  <cp:lastModifiedBy>Administrator</cp:lastModifiedBy>
  <cp:lastPrinted>2025-06-23T10:59:00Z</cp:lastPrinted>
  <dcterms:modified xsi:type="dcterms:W3CDTF">2025-06-24T01:44:42Z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53DB68C2D8B448C6A8938C9C40E2CF00_11</vt:lpwstr>
  </property>
  <property fmtid="{D5CDD505-2E9C-101B-9397-08002B2CF9AE}" pid="4" name="KSOTemplateDocerSaveRecord">
    <vt:lpwstr>eyJoZGlkIjoiNTZjNWM3MzgzYzdjMjM4ODgzNzJkMjExMGNiNGJiZWUiLCJ1c2VySWQiOiI0MjA2NjMzMDQifQ==</vt:lpwstr>
  </property>
</Properties>
</file>