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94" w:lineRule="atLeast"/>
        <w:ind w:left="0" w:right="0"/>
        <w:jc w:val="center"/>
      </w:pPr>
      <w:bookmarkStart w:id="0" w:name="_GoBack"/>
      <w:bookmarkEnd w:id="0"/>
      <w:r>
        <w:rPr>
          <w:rFonts w:hint="eastAsia" w:ascii="方正小标宋_GBK" w:hAnsi="方正小标宋_GBK" w:eastAsia="方正小标宋_GBK" w:cs="方正小标宋_GBK"/>
          <w:i w:val="0"/>
          <w:caps w:val="0"/>
          <w:color w:val="000000"/>
          <w:spacing w:val="0"/>
          <w:sz w:val="44"/>
          <w:szCs w:val="44"/>
        </w:rPr>
        <w:t>铜梁区农村宅基地分配资格权确定原则</w:t>
      </w:r>
    </w:p>
    <w:p>
      <w:pPr>
        <w:pStyle w:val="2"/>
        <w:keepNext w:val="0"/>
        <w:keepLines w:val="0"/>
        <w:widowControl/>
        <w:suppressLineNumbers w:val="0"/>
        <w:spacing w:before="0" w:beforeAutospacing="0" w:after="0" w:afterAutospacing="0" w:line="594" w:lineRule="atLeast"/>
        <w:ind w:left="0" w:right="0"/>
        <w:jc w:val="center"/>
      </w:pP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农村宅基地资格权以公安户籍登记信息为基础，具有本集体经济组织成员身份为前提，按照下列原则进行确定。</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一、资格权取得。符合下列情形之一的，享有宅基地资格权：</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（一）出生时，父母双方或一方为农村村民，且具有农村集体经济组织所在地户籍的。</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（二）因合法的婚姻、收养关系，在本集体经济组织所在地生产、生活，并将户籍迁入本集体经济组织所在地的。</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（三）因国防建设或者其他政策性原因，通过移民进入本集体经济组织所在地生产、生活，并将户籍迁入本集体经济组织所在地的。</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（四）其他将户籍依法迁入本集体经济组织所在地，并经村民会议三分之二以上成员或者三分之二以上村民代表同意的。</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（五）其他符合法律、法规或政策规定享有宅基地资格权的人员。</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二、资格权保留。</w:t>
      </w:r>
      <w:r>
        <w:rPr>
          <w:rFonts w:hint="eastAsia" w:ascii="方正仿宋_GBK" w:hAnsi="方正仿宋_GBK" w:eastAsia="方正仿宋_GBK" w:cs="方正仿宋_GBK"/>
          <w:i w:val="0"/>
          <w:caps w:val="0"/>
          <w:color w:val="000000"/>
          <w:spacing w:val="0"/>
          <w:sz w:val="32"/>
          <w:szCs w:val="32"/>
        </w:rPr>
        <w:t>原已取得本集体经济组织成员身份但因政策性原因将户籍迁出本集体经济组织，具有下列情形之一的，可保留农村宅基地资格权：</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（一）在校学生。</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（二）现役军人。</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（三）正在服刑人员。</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三、资格权丧失。</w:t>
      </w:r>
      <w:r>
        <w:rPr>
          <w:rFonts w:hint="eastAsia" w:ascii="方正仿宋_GBK" w:hAnsi="方正仿宋_GBK" w:eastAsia="方正仿宋_GBK" w:cs="方正仿宋_GBK"/>
          <w:i w:val="0"/>
          <w:caps w:val="0"/>
          <w:color w:val="000000"/>
          <w:spacing w:val="0"/>
          <w:sz w:val="32"/>
          <w:szCs w:val="32"/>
        </w:rPr>
        <w:t>有下列情形之一的，丧失农村宅基地资格权：</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（一）宅基地资格权人死亡的。</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（二）宅基地资格权人被招录为国家公务员、事业单位等正式编制工作人员的。</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（三）军人转干后享受房改或住房优惠政策等住房保障待遇的。</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（四）自愿放弃农村宅基地资格权的人员。</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（五）原有宅基地及住宅被征收，已依法进行补偿安置的。</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（六）其他法律、法规或政策规定丧失宅基地资格权的。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sans-serif">
    <w:altName w:val="汉仪仿宋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汉仪仿宋S">
    <w:panose1 w:val="00020600040101000101"/>
    <w:charset w:val="86"/>
    <w:family w:val="auto"/>
    <w:pitch w:val="default"/>
    <w:sig w:usb0="A00002BF" w:usb1="38C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FFF9E27"/>
    <w:rsid w:val="CFFE3C93"/>
    <w:rsid w:val="F7BF19B2"/>
    <w:rsid w:val="F9FF7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tlww</cp:lastModifiedBy>
  <dcterms:modified xsi:type="dcterms:W3CDTF">2024-04-03T16:33:27Z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