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  <w:t>铜梁区农业农村委员会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关于下达20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年产油大县奖励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资金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油菜加工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资金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各相关镇产业发展服务中心、业主单位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关于申报铜梁区2025年产油大县奖励资金油菜加工项目的通知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bookmarkStart w:id="0" w:name="OLE_LINK1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要求。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经过业主审报、镇街审核、预算审核、专家评审和公示程序，确定了项目实施业主和建设任务。按照铜梁区农业项目管理办法，现将2025年产油大县奖励资金油菜加工资金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建设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及补助计划下达给你们，请遵照实施。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一、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实施单位、地点、建设内容、资金及来源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"/>
        </w:rPr>
        <w:t>（详见附表1）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  <w:t>（一）平滩镇高平村榨油提炼项目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"/>
        </w:rPr>
        <w:t>实施</w:t>
      </w:r>
      <w:r>
        <w:rPr>
          <w:rFonts w:hint="default" w:ascii="Times New Roman" w:hAnsi="Times New Roman" w:cs="Times New Roman"/>
          <w:lang w:val="en-US" w:eastAsia="zh-CN"/>
        </w:rPr>
        <w:t>单位：重庆市铜梁区平滩镇高平村股份经济合作联合社。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"/>
        </w:rPr>
        <w:t>实施</w:t>
      </w:r>
      <w:r>
        <w:rPr>
          <w:rFonts w:hint="default" w:ascii="Times New Roman" w:hAnsi="Times New Roman" w:cs="Times New Roman"/>
          <w:lang w:val="en-US" w:eastAsia="zh-CN"/>
        </w:rPr>
        <w:t>地点：铜梁区平滩镇高平村。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资金</w:t>
      </w:r>
      <w:r>
        <w:rPr>
          <w:rFonts w:hint="default" w:ascii="Times New Roman" w:hAnsi="Times New Roman" w:cs="Times New Roman"/>
          <w:lang w:val="en-US" w:eastAsia="zh"/>
        </w:rPr>
        <w:t>及</w:t>
      </w:r>
      <w:r>
        <w:rPr>
          <w:rFonts w:hint="default" w:ascii="Times New Roman" w:hAnsi="Times New Roman" w:cs="Times New Roman"/>
          <w:lang w:val="en-US" w:eastAsia="zh-CN"/>
        </w:rPr>
        <w:t>来源：项目投资11.958万元，财政补助资金11.958万元。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"/>
        </w:rPr>
        <w:t>建设内容：油菜</w:t>
      </w:r>
      <w:r>
        <w:rPr>
          <w:rFonts w:hint="default" w:ascii="Times New Roman" w:hAnsi="Times New Roman" w:cs="Times New Roman"/>
          <w:lang w:val="en-US" w:eastAsia="zh-CN"/>
        </w:rPr>
        <w:t>籽</w:t>
      </w:r>
      <w:r>
        <w:rPr>
          <w:rFonts w:hint="default" w:ascii="Times New Roman" w:hAnsi="Times New Roman" w:cs="Times New Roman"/>
          <w:lang w:val="en-US" w:eastAsia="zh"/>
        </w:rPr>
        <w:t>榨油提炼</w:t>
      </w:r>
      <w:r>
        <w:rPr>
          <w:rFonts w:hint="default" w:ascii="Times New Roman" w:hAnsi="Times New Roman" w:cs="Times New Roman"/>
          <w:lang w:val="en-US" w:eastAsia="zh-CN"/>
        </w:rPr>
        <w:t>相关设施</w:t>
      </w:r>
      <w:r>
        <w:rPr>
          <w:rFonts w:hint="default" w:ascii="Times New Roman" w:hAnsi="Times New Roman" w:cs="Times New Roman"/>
          <w:lang w:val="en-US" w:eastAsia="zh"/>
        </w:rPr>
        <w:t>设备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  <w:t>（二）平滩镇洋海村精炼榨油加工坊</w:t>
      </w:r>
      <w:r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  <w:tab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实施单位：铜梁区平滩镇洋海村股份经济合作联合社。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实施地点：铜梁区平滩镇洋海村。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资金及来源：项目投资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12.758</w:t>
      </w:r>
      <w:r>
        <w:rPr>
          <w:rFonts w:hint="default" w:ascii="Times New Roman" w:hAnsi="Times New Roman" w:cs="Times New Roman"/>
          <w:lang w:val="en-US" w:eastAsia="zh-CN"/>
        </w:rPr>
        <w:t>万元，财政补助资金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12.758</w:t>
      </w:r>
      <w:r>
        <w:rPr>
          <w:rFonts w:hint="default" w:ascii="Times New Roman" w:hAnsi="Times New Roman" w:cs="Times New Roman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val="en-US" w:eastAsia="zh-CN"/>
        </w:rPr>
        <w:t>建设内容：油菜籽精炼榨油加工相关设施设备。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  <w:t>（三）虎峰镇前进村油菜加工项目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实施单位：铜梁区虎峰镇前进村股份经济合作联合社。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实施地点：铜梁区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val="en-US" w:eastAsia="zh-CN"/>
        </w:rPr>
        <w:t>虎峰镇前进村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资金及来源：项目投资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19.505</w:t>
      </w:r>
      <w:r>
        <w:rPr>
          <w:rFonts w:hint="default" w:ascii="Times New Roman" w:hAnsi="Times New Roman" w:cs="Times New Roman"/>
          <w:lang w:val="en-US" w:eastAsia="zh-CN"/>
        </w:rPr>
        <w:t>万元，财政补助资金19.505万元。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val="en-US" w:eastAsia="zh-CN"/>
        </w:rPr>
        <w:t>建设内容：油菜籽精炼榨油加工相关设施设备。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color w:val="auto"/>
          <w:sz w:val="32"/>
          <w:szCs w:val="32"/>
          <w:lang w:val="en-US" w:eastAsia="zh-CN"/>
        </w:rPr>
        <w:t>（四）铜梁区福果镇林宇村2025年产油大县奖励资金油菜加工项目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实施单位：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铜梁区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福果镇林宇村股份经济合作联合社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实施地点：铜梁区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val="en-US" w:eastAsia="zh-CN"/>
        </w:rPr>
        <w:t>福果镇林宇村</w:t>
      </w:r>
      <w:r>
        <w:rPr>
          <w:rFonts w:hint="default" w:ascii="Times New Roman" w:hAnsi="Times New Roman" w:cs="Times New Roman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资金及来源：项目投资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58.78</w:t>
      </w:r>
      <w:r>
        <w:rPr>
          <w:rFonts w:hint="default" w:ascii="Times New Roman" w:hAnsi="Times New Roman" w:cs="Times New Roman"/>
          <w:lang w:val="en-US" w:eastAsia="zh-CN"/>
        </w:rPr>
        <w:t>万元，财政补助资金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58.78</w:t>
      </w:r>
      <w:r>
        <w:rPr>
          <w:rFonts w:hint="default" w:ascii="Times New Roman" w:hAnsi="Times New Roman" w:cs="Times New Roman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val="en-US" w:eastAsia="zh-CN"/>
        </w:rPr>
        <w:t>建设内容：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highlight w:val="none"/>
          <w:lang w:val="en-US" w:eastAsia="zh-CN"/>
        </w:rPr>
        <w:t>油菜烘干及相关设施设备。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  <w:t>以上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highlight w:val="none"/>
          <w:lang w:val="en-US" w:eastAsia="zh-CN"/>
        </w:rPr>
        <w:t>总投资为103.001万元，财政补助资金103.001万元</w:t>
      </w:r>
      <w:r>
        <w:rPr>
          <w:rFonts w:hint="default" w:ascii="Times New Roman" w:hAnsi="Times New Roman" w:cs="Times New Roman"/>
          <w:b w:val="0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color w:val="auto"/>
          <w:sz w:val="32"/>
          <w:szCs w:val="32"/>
          <w:lang w:val="en-US" w:eastAsia="zh-CN"/>
        </w:rPr>
        <w:t>支持方式为“先建后补”。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二、项目建设时限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项目计划下达后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-2026年4月30日完成项目建设及镇街初步验收。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2026年4月30日-2026年5月30日完成项目区级验收及结算审核。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630" w:leftChars="0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三、项目报账要求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项目建设完成后由各项目实施单位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2026年4月15日前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向所在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  <w:highlight w:val="none"/>
          <w:lang w:eastAsia="zh-CN"/>
        </w:rPr>
        <w:t>镇</w:t>
      </w: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产业发展服务中心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提出验收申请，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提交项目竣工验收相关资料，包含但不限于：验收申请、合同协议、发票、影像资料、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资质单位出具的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项目结算审核报告、《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铜梁区财政支农资金报账申请书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》（附表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等。镇街在项目验收合格后于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2026年4月30日前向区农业农村委申请验收。区农业农村委按照项目管理办法组织专家验收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合格并委托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资质单位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结算审核后，按程序进行补助发放。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highlight w:val="none"/>
          <w:lang w:val="en-US" w:eastAsia="zh-CN"/>
        </w:rPr>
        <w:t>四、工作要求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4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要严格遵循有关建设程序，完善相关建设手续后方能施工，严禁违反耕地占用的相关规定。落实各项建设管理制度，加快项目开工建设进度，确保保质保量完成建设任务。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项目实施单位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要严格按照财务管理有关规定，切实加强项目建设资金管理工作，做到专款专用、专户存储、专账核算，严禁挤占、挪用项目资金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。开展项目建设工作中，要认真收集项目建设的各种建设资料，包括建设合同、施工记录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，建设前、建设中、建设后同角度、同背景的图片资料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等，建立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的完整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档案并妥善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保存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。项目建成后，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示范带动稻-油轮作粮油产业发展，促进冬闲田开发利用，增加农民收入。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28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  <w:lang w:eastAsia="zh-CN"/>
        </w:rPr>
        <w:t>各相关镇产业发展服务中心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要加强项目监督检查，加强项目实施管理，及时发现和解决项目实施过程中存在的问题，确保项目建设有效完成，确保项目资金规范使用。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1918" w:leftChars="304" w:right="0" w:rightChars="0" w:hanging="1280" w:hangingChars="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附表：1.铜梁区2025年产油大县奖励资金油菜加工项目建设内容及资金补助计划表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1600" w:firstLineChars="5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2.铜梁区财政支农资金报账申请书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1600" w:firstLine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3.项目主要人员与任务分工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重庆市铜梁区农业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94" w:lineRule="exact"/>
        <w:ind w:left="0" w:leftChars="0" w:right="0" w:rightChars="0" w:firstLine="1280" w:firstLineChars="4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1984" w:right="1446" w:bottom="1644" w:left="14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4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铜梁区2025年产油大县奖励资金油菜加工项目建设内容及资金补助计划表</w:t>
      </w:r>
    </w:p>
    <w:tbl>
      <w:tblPr>
        <w:tblStyle w:val="14"/>
        <w:tblpPr w:leftFromText="180" w:rightFromText="180" w:vertAnchor="text" w:horzAnchor="page" w:tblpXSpec="center" w:tblpY="1161"/>
        <w:tblOverlap w:val="never"/>
        <w:tblW w:w="1515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816"/>
        <w:gridCol w:w="780"/>
        <w:gridCol w:w="1050"/>
        <w:gridCol w:w="1320"/>
        <w:gridCol w:w="1230"/>
        <w:gridCol w:w="975"/>
        <w:gridCol w:w="3597"/>
        <w:gridCol w:w="3600"/>
        <w:gridCol w:w="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镇街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项目总投资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申请补助金额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359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财政支持环节和补助标准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  <w:jc w:val="center"/>
        </w:trPr>
        <w:tc>
          <w:tcPr>
            <w:tcW w:w="79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平滩</w:t>
            </w:r>
          </w:p>
        </w:tc>
        <w:tc>
          <w:tcPr>
            <w:tcW w:w="7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平滩镇高平村榨油提炼项目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铜梁区平滩镇高平村股份经济合作联合社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11.958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11.958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铜梁区平滩镇高平村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</w:t>
            </w:r>
          </w:p>
        </w:tc>
        <w:tc>
          <w:tcPr>
            <w:tcW w:w="35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安装一条包含清洗、烘干、破碎、蒸炒、压榨、过滤、精炼（脱胶、脱酸、脱色、脱臭）、灌装等工序的自动化生产线1条。主要设备包括：立式提升机1台，电炒料机1台，料仓1套，电脑提升机1台，榨油机1台，毛油震动筛1台，水化机1台，炼油机1台，毛油罐1台，浓香型小型炼油流水线1套，半自动罐压一体机1台，毛油桶带丝口1个，成品油罐1个，毛油泵3台，控制箱3个。</w:t>
            </w:r>
          </w:p>
        </w:tc>
        <w:tc>
          <w:tcPr>
            <w:tcW w:w="36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11.958万元（最终以结算审核为准），支持环节：购置安装一条包含清洗、烘干、破碎、蒸炒、压榨、过滤、精炼（脱胶、脱酸、脱色、脱臭）、灌装等工序的自动化生产线1条。主要设备包括：立式提升机1台，电炒料机1台，料仓1套，电脑提升机1台，榨油机1台，毛油震动筛1台，水化机1台，炼油机1台，毛油罐1台，浓香型小型炼油流水线1套，半自动罐压一体机1台，毛油桶带丝口1个，成品油罐1个，毛油泵3台，控制箱3个。</w:t>
            </w:r>
          </w:p>
        </w:tc>
        <w:tc>
          <w:tcPr>
            <w:tcW w:w="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平滩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平滩镇洋海村精炼榨油加工坊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铜梁区平滩镇洋海村股份经济合作联合社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12.758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12.758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铜梁区平滩镇洋海村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社（骑龙乾）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安装一条包含清洗、烘干、破碎、蒸炒、压榨、过滤、精炼（脱胶、脱酸、脱色、脱臭）、灌装等工序的自动化生产线1条。主要设备包括：立式提升机1台，电炒料机1台，料仓1套，电脑提升机1台，榨油机1台，毛油震动筛1台，水化机1台，炼油机1台，毛油罐1台，浓香型小型炼油流水线1套，半自动罐压一体机1台，毛油桶带丝口1个，成品油罐1个，毛油泵3台，控制箱3个，酸价过氧化检测仪1台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12.758万元（最终以结算审核为准），支持环节：购置安装一条包含清洗、烘干、破碎、蒸炒、压榨、过滤、精炼（脱胶、脱酸、脱色、脱臭）、灌装等工序的自动化生产线1条。主要设备包括：立式提升机1台，电炒料机1台，料仓1套，电脑提升机1台，榨油机1台，毛油震动筛1台，水化机1台，炼油机1台，毛油罐1台，浓香型小型炼油流水线1套，半自动罐压一体机1台，毛油桶带丝口1个，成品油罐1个，毛油泵3台，控制箱3个，酸价过氧化检测仪1台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0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虎峰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虎峰镇前进村油菜加工项目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铜梁区虎峰镇前进村股份经济合作联合社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铜梁区虎峰镇前进村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购置提料机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.购置新型重力环保筛（含支架）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.购置环保电炒锅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.购置斜提料机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.购置螺旋榨油机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.购置毛油桶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.购置水化离心一体机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.购置毛油暂存箱（含泵）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.购置毛油罐（含泵）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.购置精炼油设备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.购置清油罐（不含泵）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.购置全自动双头流量计灌装机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19.505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万元（最终以结算审核为准），支持环节：购置提料机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.购置新型重力环保筛（含支架）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.购置环保电炒锅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.购置斜提料机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.购置螺旋榨油机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.购置毛油桶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.购置水化离心一体机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.购置毛油暂存箱（含泵）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.购置毛油罐（含泵）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.购置精炼油设备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.购置清油罐（不含泵）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.购置全自动双头流量计灌装机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福果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铜梁区福果镇林宇村2025年产油大县奖励资金油菜加工项目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铜梁区福果镇林宇村股份经济合作联合社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铜梁区林宇村11、12、12组结合处烘干房内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批式循环混流油菜（粮食）干燥机（带电控系统）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油菜（粮食）输送线（含运粮小车）（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刮板机输送带（含配套卡槽）（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燃烧室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套。</w:t>
            </w:r>
          </w:p>
        </w:tc>
        <w:tc>
          <w:tcPr>
            <w:tcW w:w="3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财政补助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58.78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万元（最终以结算审核为准），支持环节：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批式循环混流油菜（粮食）干燥机（带电控系统）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油菜（粮食）输送线（含运粮小车）（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刮板机输送带（含配套卡槽）（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≥10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燃烧室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pStyle w:val="5"/>
        <w:rPr>
          <w:rFonts w:hint="default" w:ascii="Times New Roman" w:hAnsi="Times New Roman" w:eastAsia="方正仿宋_GBK" w:cs="Times New Roman"/>
          <w:sz w:val="32"/>
          <w:szCs w:val="32"/>
        </w:rPr>
        <w:sectPr>
          <w:pgSz w:w="16838" w:h="11906" w:orient="landscape"/>
          <w:pgMar w:top="1474" w:right="850" w:bottom="1446" w:left="85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20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>
      <w:pPr>
        <w:pStyle w:val="10"/>
        <w:jc w:val="center"/>
        <w:rPr>
          <w:rFonts w:hint="default" w:ascii="Times New Roman" w:hAnsi="Times New Roman" w:eastAsia="方正仿宋_GBK" w:cs="Times New Roman"/>
          <w:szCs w:val="32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lang w:bidi="ar"/>
        </w:rPr>
        <w:t>铜梁区财政支农资金报账申请书</w:t>
      </w:r>
    </w:p>
    <w:tbl>
      <w:tblPr>
        <w:tblStyle w:val="14"/>
        <w:tblW w:w="9200" w:type="dxa"/>
        <w:tblInd w:w="-6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43"/>
        <w:gridCol w:w="425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9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440" w:firstLineChars="200"/>
              <w:textAlignment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 xml:space="preserve">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val="en-US" w:eastAsia="zh-CN" w:bidi="ar"/>
              </w:rPr>
              <w:t xml:space="preserve">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lang w:bidi="ar"/>
              </w:rPr>
              <w:t xml:space="preserve">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9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业主单位：                                             工程地点：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项目名称：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项目计划文号：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上级资金文件号：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9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项目计划总投资：     万元，其中：财政补助     万元，自筹资金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万元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 w:bidi="ar"/>
              </w:rPr>
              <w:t>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20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财政补助累计已拨款：             万元， 大写：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本次申请拨款金额：               万元， 大写：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3" w:hRule="atLeast"/>
        </w:trPr>
        <w:tc>
          <w:tcPr>
            <w:tcW w:w="92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项目业主（实施单位）对项目工程质量、进度、资金使用等项目实施情况的意见：</w:t>
            </w: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  <w:sz w:val="32"/>
                <w:szCs w:val="24"/>
              </w:rPr>
            </w:pPr>
          </w:p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负责人签字（公章）：</w:t>
            </w:r>
          </w:p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2" w:hRule="atLeast"/>
        </w:trPr>
        <w:tc>
          <w:tcPr>
            <w:tcW w:w="9200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360" w:firstLineChars="200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镇街对项目工程质量、进度、资金使用等项目实施情况审核意见：</w:t>
            </w:r>
          </w:p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             </w:t>
            </w:r>
          </w:p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 w:bidi="ar"/>
              </w:rPr>
            </w:pPr>
          </w:p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 w:bidi="ar"/>
              </w:rPr>
              <w:t>业务科室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签字（公章）：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领导签字（公章）：</w:t>
            </w:r>
          </w:p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            </w:t>
            </w:r>
          </w:p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                    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00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360" w:firstLineChars="200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区级部门对项目补助资金使用的审查意见：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494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ind w:firstLine="420" w:firstLineChars="200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2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4943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eastAsia="zh-CN" w:bidi="ar"/>
              </w:rPr>
              <w:t>业务科室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签字（公章）：</w:t>
            </w:r>
          </w:p>
        </w:tc>
        <w:tc>
          <w:tcPr>
            <w:tcW w:w="425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720" w:firstLineChars="400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</w:pPr>
          </w:p>
          <w:p>
            <w:pPr>
              <w:widowControl/>
              <w:spacing w:line="300" w:lineRule="exact"/>
              <w:ind w:firstLine="720" w:firstLineChars="4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领导签字（公章）：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4943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          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</w:p>
        </w:tc>
        <w:tc>
          <w:tcPr>
            <w:tcW w:w="4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 xml:space="preserve">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20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ind w:firstLine="360" w:firstLineChars="200"/>
              <w:textAlignment w:val="center"/>
              <w:rPr>
                <w:rFonts w:hint="default" w:ascii="Times New Roman" w:hAnsi="Times New Roman" w:eastAsia="方正仿宋_GBK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18"/>
                <w:szCs w:val="18"/>
                <w:lang w:bidi="ar"/>
              </w:rPr>
              <w:t>说明：本表一式三份，并附相关资料，需监理的项目还需附监理单，项目完工拨款须附验收表（复印件）。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附表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项目主要人员与任务分工</w:t>
      </w:r>
    </w:p>
    <w:p>
      <w:pPr>
        <w:pStyle w:val="2"/>
        <w:jc w:val="center"/>
        <w:rPr>
          <w:rFonts w:hint="default" w:ascii="Times New Roman" w:hAnsi="Times New Roman" w:cs="Times New Roman"/>
        </w:rPr>
      </w:pPr>
    </w:p>
    <w:tbl>
      <w:tblPr>
        <w:tblStyle w:val="14"/>
        <w:tblW w:w="94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51"/>
        <w:gridCol w:w="752"/>
        <w:gridCol w:w="1304"/>
        <w:gridCol w:w="1733"/>
        <w:gridCol w:w="2861"/>
        <w:gridCol w:w="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姓名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性别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年龄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工作单位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职务/职称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项目任务分工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詹雪萍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农技中心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主持项目实施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曾希凤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农技中心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农艺师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主持项目实施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 w:bidi="ar"/>
              </w:rPr>
              <w:t>徐德春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 w:bidi="ar"/>
              </w:rPr>
              <w:t>女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农技中心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 w:bidi="ar"/>
              </w:rPr>
              <w:t>高级农艺师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主持项目实施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罗  静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农技中心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农艺师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主持项目实施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文  玲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农技中心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高级农艺师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主持项目实施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李  超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农技中心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农艺师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主持项目实施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罗灏然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农技中心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三级主任科员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lang w:val="en-US" w:eastAsia="zh-CN" w:bidi="ar"/>
              </w:rPr>
              <w:t>指导项目实施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何  晶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"/>
              </w:rPr>
              <w:t>农机推广站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项目技术指导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成福真</w:t>
            </w:r>
          </w:p>
        </w:tc>
        <w:tc>
          <w:tcPr>
            <w:tcW w:w="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女</w:t>
            </w:r>
          </w:p>
        </w:tc>
        <w:tc>
          <w:tcPr>
            <w:tcW w:w="7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0"/>
                <w:szCs w:val="20"/>
                <w:lang w:val="en-US" w:eastAsia="zh-CN" w:bidi="ar"/>
              </w:rPr>
              <w:t>农机推广站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农艺师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"/>
              </w:rPr>
              <w:t>项目技术指导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56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相关镇产业发展服务中心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负责人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参与项目实施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567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评审确定的相关实施业主</w:t>
            </w:r>
          </w:p>
        </w:tc>
        <w:tc>
          <w:tcPr>
            <w:tcW w:w="28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eastAsia="zh-CN"/>
              </w:rPr>
              <w:t>项目实施</w:t>
            </w:r>
          </w:p>
        </w:tc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</w:tbl>
    <w:p>
      <w:pPr>
        <w:pStyle w:val="11"/>
        <w:ind w:left="0"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footerReference r:id="rId4" w:type="default"/>
      <w:pgSz w:w="11906" w:h="16838"/>
      <w:pgMar w:top="1984" w:right="1446" w:bottom="1644" w:left="1446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360C"/>
    <w:rsid w:val="02777BFD"/>
    <w:rsid w:val="029A1B3E"/>
    <w:rsid w:val="037E02AE"/>
    <w:rsid w:val="067803E8"/>
    <w:rsid w:val="07C1191B"/>
    <w:rsid w:val="091A7535"/>
    <w:rsid w:val="099E7FC1"/>
    <w:rsid w:val="0AAE43D8"/>
    <w:rsid w:val="0CD81BE1"/>
    <w:rsid w:val="0EE7435D"/>
    <w:rsid w:val="0F0E3698"/>
    <w:rsid w:val="0F4B48EC"/>
    <w:rsid w:val="0FCE72CB"/>
    <w:rsid w:val="11740735"/>
    <w:rsid w:val="12F708E7"/>
    <w:rsid w:val="138C7281"/>
    <w:rsid w:val="13961EAE"/>
    <w:rsid w:val="14011A1D"/>
    <w:rsid w:val="15714980"/>
    <w:rsid w:val="15A5462A"/>
    <w:rsid w:val="15C65768"/>
    <w:rsid w:val="15DA7346"/>
    <w:rsid w:val="1618304E"/>
    <w:rsid w:val="173B5246"/>
    <w:rsid w:val="186E164B"/>
    <w:rsid w:val="18DA283C"/>
    <w:rsid w:val="18F51424"/>
    <w:rsid w:val="192F2B88"/>
    <w:rsid w:val="196565AA"/>
    <w:rsid w:val="1AE14356"/>
    <w:rsid w:val="1D7E5E8C"/>
    <w:rsid w:val="1E4C302A"/>
    <w:rsid w:val="1E57048B"/>
    <w:rsid w:val="1FE02E2E"/>
    <w:rsid w:val="1FFB74E5"/>
    <w:rsid w:val="20CE308D"/>
    <w:rsid w:val="20F453CA"/>
    <w:rsid w:val="2338088B"/>
    <w:rsid w:val="23E57D90"/>
    <w:rsid w:val="254C6870"/>
    <w:rsid w:val="26543C2E"/>
    <w:rsid w:val="26E256DE"/>
    <w:rsid w:val="272E26D1"/>
    <w:rsid w:val="2B473D61"/>
    <w:rsid w:val="2B481888"/>
    <w:rsid w:val="2BE912BD"/>
    <w:rsid w:val="2C0B2FE1"/>
    <w:rsid w:val="2C1F4CDE"/>
    <w:rsid w:val="2C526E62"/>
    <w:rsid w:val="2D1B36F8"/>
    <w:rsid w:val="2EBD258D"/>
    <w:rsid w:val="2FF774DC"/>
    <w:rsid w:val="30C74B52"/>
    <w:rsid w:val="30D065A7"/>
    <w:rsid w:val="32593B80"/>
    <w:rsid w:val="33633703"/>
    <w:rsid w:val="33727DEA"/>
    <w:rsid w:val="34D523DE"/>
    <w:rsid w:val="35F965A0"/>
    <w:rsid w:val="37C14E9C"/>
    <w:rsid w:val="38B6029F"/>
    <w:rsid w:val="38DD3F57"/>
    <w:rsid w:val="39A14D99"/>
    <w:rsid w:val="3CF3039D"/>
    <w:rsid w:val="3D9D25AA"/>
    <w:rsid w:val="3DE511B8"/>
    <w:rsid w:val="3EFB6EE5"/>
    <w:rsid w:val="3FDF6807"/>
    <w:rsid w:val="403F1053"/>
    <w:rsid w:val="40745FFF"/>
    <w:rsid w:val="40C97883"/>
    <w:rsid w:val="43677ACA"/>
    <w:rsid w:val="44557097"/>
    <w:rsid w:val="458A2D71"/>
    <w:rsid w:val="45E615FB"/>
    <w:rsid w:val="45E62C7E"/>
    <w:rsid w:val="47046B53"/>
    <w:rsid w:val="47FC5A7C"/>
    <w:rsid w:val="48036E0A"/>
    <w:rsid w:val="488717E9"/>
    <w:rsid w:val="4A7D4C52"/>
    <w:rsid w:val="4D002C5E"/>
    <w:rsid w:val="4D73058E"/>
    <w:rsid w:val="5055041F"/>
    <w:rsid w:val="52287B99"/>
    <w:rsid w:val="52320A18"/>
    <w:rsid w:val="544B5DC1"/>
    <w:rsid w:val="54660E4D"/>
    <w:rsid w:val="54882B71"/>
    <w:rsid w:val="549543EC"/>
    <w:rsid w:val="54EF0E42"/>
    <w:rsid w:val="557C1FAA"/>
    <w:rsid w:val="561346BC"/>
    <w:rsid w:val="563F3703"/>
    <w:rsid w:val="56EB388B"/>
    <w:rsid w:val="58284E5B"/>
    <w:rsid w:val="59480B21"/>
    <w:rsid w:val="59501C86"/>
    <w:rsid w:val="5A0233C6"/>
    <w:rsid w:val="5A625C12"/>
    <w:rsid w:val="5C8C51C9"/>
    <w:rsid w:val="5D734AAF"/>
    <w:rsid w:val="5DE11544"/>
    <w:rsid w:val="5E9F5687"/>
    <w:rsid w:val="5EA52572"/>
    <w:rsid w:val="5F230066"/>
    <w:rsid w:val="60B44CEE"/>
    <w:rsid w:val="60CC028A"/>
    <w:rsid w:val="63471E49"/>
    <w:rsid w:val="637A5D7B"/>
    <w:rsid w:val="64540CC2"/>
    <w:rsid w:val="64F8164D"/>
    <w:rsid w:val="66DB2FD4"/>
    <w:rsid w:val="6B5477F9"/>
    <w:rsid w:val="6BE04F47"/>
    <w:rsid w:val="6C5A2BED"/>
    <w:rsid w:val="6CA976D1"/>
    <w:rsid w:val="6CD52274"/>
    <w:rsid w:val="6D557FDE"/>
    <w:rsid w:val="6E4771A1"/>
    <w:rsid w:val="6E55366C"/>
    <w:rsid w:val="71461992"/>
    <w:rsid w:val="71FE04BF"/>
    <w:rsid w:val="724F0D1A"/>
    <w:rsid w:val="72AD1FAA"/>
    <w:rsid w:val="73634A7D"/>
    <w:rsid w:val="75436688"/>
    <w:rsid w:val="75706FDE"/>
    <w:rsid w:val="76A553AD"/>
    <w:rsid w:val="77B823B8"/>
    <w:rsid w:val="77E67A2B"/>
    <w:rsid w:val="792F00BF"/>
    <w:rsid w:val="797C23F5"/>
    <w:rsid w:val="79D7587D"/>
    <w:rsid w:val="79EE0E19"/>
    <w:rsid w:val="7BD52290"/>
    <w:rsid w:val="7DD86068"/>
    <w:rsid w:val="7DDB16B4"/>
    <w:rsid w:val="7F2826D7"/>
    <w:rsid w:val="7F486F9A"/>
    <w:rsid w:val="7F7E7966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styleId="4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5">
    <w:name w:val="Body Text"/>
    <w:basedOn w:val="1"/>
    <w:next w:val="6"/>
    <w:qFormat/>
    <w:uiPriority w:val="0"/>
  </w:style>
  <w:style w:type="paragraph" w:customStyle="1" w:styleId="6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next w:val="9"/>
    <w:qFormat/>
    <w:uiPriority w:val="0"/>
    <w:rPr>
      <w:rFonts w:ascii="宋体" w:hAnsi="Courier New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1">
    <w:name w:val="索引 51"/>
    <w:basedOn w:val="1"/>
    <w:next w:val="1"/>
    <w:qFormat/>
    <w:uiPriority w:val="0"/>
    <w:pPr>
      <w:ind w:left="1680"/>
    </w:pPr>
  </w:style>
  <w:style w:type="paragraph" w:styleId="12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3">
    <w:name w:val="Body Text First Indent"/>
    <w:basedOn w:val="5"/>
    <w:next w:val="1"/>
    <w:qFormat/>
    <w:uiPriority w:val="0"/>
    <w:pPr>
      <w:ind w:firstLine="420" w:firstLineChars="100"/>
    </w:pPr>
  </w:style>
  <w:style w:type="paragraph" w:customStyle="1" w:styleId="16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18">
    <w:name w:val="font31"/>
    <w:basedOn w:val="15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19">
    <w:name w:val="font41"/>
    <w:basedOn w:val="15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20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22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267</Words>
  <Characters>274</Characters>
  <Lines>0</Lines>
  <Paragraphs>0</Paragraphs>
  <TotalTime>4</TotalTime>
  <ScaleCrop>false</ScaleCrop>
  <LinksUpToDate>false</LinksUpToDate>
  <CharactersWithSpaces>298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2026-03-04T01:40:00Z</cp:lastPrinted>
  <dcterms:modified xsi:type="dcterms:W3CDTF">2026-03-09T03:00:40Z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eyJoZGlkIjoiNTQ1ZmU3MDcyZGRmNDU1NjRlMWYxMzZiNmZmZTIzNzEiLCJ1c2VySWQiOiIyNzM1MzcyOTQifQ==</vt:lpwstr>
  </property>
</Properties>
</file>