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default" w:ascii="Times New Roman" w:hAnsi="Times New Roman" w:eastAsia="仿宋_GB2312" w:cs="Times New Roman"/>
          <w:sz w:val="28"/>
          <w:szCs w:val="28"/>
        </w:rPr>
      </w:pPr>
    </w:p>
    <w:p>
      <w:pPr>
        <w:snapToGrid w:val="0"/>
        <w:spacing w:line="360" w:lineRule="auto"/>
        <w:jc w:val="center"/>
        <w:rPr>
          <w:rFonts w:hint="default" w:ascii="Times New Roman" w:hAnsi="Times New Roman" w:eastAsia="仿宋_GB2312" w:cs="Times New Roman"/>
          <w:sz w:val="28"/>
          <w:szCs w:val="28"/>
        </w:rPr>
      </w:pPr>
    </w:p>
    <w:p>
      <w:pPr>
        <w:snapToGrid w:val="0"/>
        <w:spacing w:line="360" w:lineRule="auto"/>
        <w:jc w:val="center"/>
        <w:rPr>
          <w:rFonts w:hint="default" w:ascii="Times New Roman" w:hAnsi="Times New Roman" w:eastAsia="仿宋_GB2312" w:cs="Times New Roman"/>
          <w:sz w:val="28"/>
          <w:szCs w:val="28"/>
        </w:rPr>
      </w:pPr>
    </w:p>
    <w:p>
      <w:pPr>
        <w:snapToGrid w:val="0"/>
        <w:spacing w:line="360" w:lineRule="auto"/>
        <w:jc w:val="center"/>
        <w:rPr>
          <w:rFonts w:hint="default" w:ascii="Times New Roman" w:hAnsi="Times New Roman" w:eastAsia="仿宋_GB2312" w:cs="Times New Roman"/>
          <w:sz w:val="32"/>
          <w:szCs w:val="32"/>
        </w:rPr>
      </w:pPr>
    </w:p>
    <w:p>
      <w:pPr>
        <w:snapToGrid w:val="0"/>
        <w:spacing w:line="360" w:lineRule="auto"/>
        <w:jc w:val="center"/>
        <w:rPr>
          <w:rFonts w:hint="default" w:ascii="Times New Roman" w:hAnsi="Times New Roman" w:eastAsia="仿宋_GB2312" w:cs="Times New Roman"/>
          <w:sz w:val="32"/>
          <w:szCs w:val="32"/>
        </w:rPr>
      </w:pPr>
    </w:p>
    <w:p>
      <w:pPr>
        <w:snapToGrid w:val="0"/>
        <w:spacing w:line="360" w:lineRule="auto"/>
        <w:jc w:val="center"/>
        <w:rPr>
          <w:rFonts w:hint="default" w:ascii="Times New Roman" w:hAnsi="Times New Roman" w:eastAsia="仿宋_GB2312" w:cs="Times New Roman"/>
          <w:sz w:val="32"/>
          <w:szCs w:val="32"/>
        </w:rPr>
      </w:pPr>
    </w:p>
    <w:p>
      <w:pPr>
        <w:snapToGrid w:val="0"/>
        <w:spacing w:line="360" w:lineRule="auto"/>
        <w:jc w:val="center"/>
        <w:rPr>
          <w:rFonts w:hint="default" w:ascii="Times New Roman" w:hAnsi="Times New Roman" w:eastAsia="仿宋_GB2312" w:cs="Times New Roman"/>
          <w:sz w:val="32"/>
          <w:szCs w:val="32"/>
        </w:rPr>
      </w:pPr>
    </w:p>
    <w:p>
      <w:pPr>
        <w:snapToGrid w:val="0"/>
        <w:jc w:val="center"/>
        <w:rPr>
          <w:rFonts w:hint="default" w:ascii="Times New Roman" w:hAnsi="Times New Roman" w:eastAsia="仿宋_GB2312" w:cs="Times New Roman"/>
          <w:sz w:val="28"/>
          <w:szCs w:val="28"/>
        </w:rPr>
      </w:pPr>
    </w:p>
    <w:p>
      <w:pPr>
        <w:snapToGrid w:val="0"/>
        <w:spacing w:line="578"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铜</w:t>
      </w:r>
      <w:r>
        <w:rPr>
          <w:rFonts w:hint="default" w:ascii="Times New Roman" w:hAnsi="Times New Roman" w:eastAsia="方正仿宋_GBK" w:cs="Times New Roman"/>
          <w:sz w:val="32"/>
          <w:szCs w:val="32"/>
        </w:rPr>
        <w:t>民</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〔2023〕</w:t>
      </w:r>
      <w:r>
        <w:rPr>
          <w:rFonts w:hint="default"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号</w:t>
      </w:r>
    </w:p>
    <w:p>
      <w:pPr>
        <w:snapToGrid w:val="0"/>
        <w:spacing w:line="578" w:lineRule="exact"/>
        <w:jc w:val="center"/>
        <w:rPr>
          <w:rFonts w:hint="default" w:ascii="Times New Roman" w:hAnsi="Times New Roman" w:eastAsia="仿宋_GB2312" w:cs="Times New Roman"/>
          <w:sz w:val="32"/>
          <w:szCs w:val="32"/>
        </w:rPr>
      </w:pPr>
    </w:p>
    <w:p>
      <w:pPr>
        <w:snapToGrid w:val="0"/>
        <w:spacing w:line="578" w:lineRule="exact"/>
        <w:jc w:val="center"/>
        <w:rPr>
          <w:rFonts w:hint="default" w:ascii="Times New Roman" w:hAnsi="Times New Roman" w:eastAsia="仿宋_GB2312" w:cs="Times New Roman"/>
          <w:sz w:val="32"/>
          <w:szCs w:val="32"/>
        </w:rPr>
      </w:pPr>
    </w:p>
    <w:p>
      <w:pPr>
        <w:overflowPunct w:val="0"/>
        <w:adjustRightInd w:val="0"/>
        <w:spacing w:line="55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w:t>
      </w:r>
      <w:r>
        <w:rPr>
          <w:rFonts w:hint="default" w:ascii="Times New Roman" w:hAnsi="Times New Roman" w:eastAsia="方正小标宋_GBK" w:cs="Times New Roman"/>
          <w:sz w:val="44"/>
          <w:szCs w:val="44"/>
          <w:lang w:eastAsia="zh-CN"/>
        </w:rPr>
        <w:t>铜梁区</w:t>
      </w:r>
      <w:r>
        <w:rPr>
          <w:rFonts w:hint="default" w:ascii="Times New Roman" w:hAnsi="Times New Roman" w:eastAsia="方正小标宋_GBK" w:cs="Times New Roman"/>
          <w:sz w:val="44"/>
          <w:szCs w:val="44"/>
        </w:rPr>
        <w:t>民政局</w:t>
      </w:r>
    </w:p>
    <w:p>
      <w:pPr>
        <w:pageBreakBefore w:val="0"/>
        <w:kinsoku/>
        <w:wordWrap/>
        <w:overflowPunct/>
        <w:topLinePunct w:val="0"/>
        <w:autoSpaceDE/>
        <w:autoSpaceDN/>
        <w:bidi w:val="0"/>
        <w:spacing w:line="594" w:lineRule="exact"/>
        <w:jc w:val="center"/>
        <w:textAlignment w:val="auto"/>
        <w:rPr>
          <w:rFonts w:hint="eastAsia" w:ascii="Times New Roman" w:hAnsi="Times New Roman" w:eastAsia="方正小标宋_GBK" w:cs="Times New Roman"/>
          <w:b w:val="0"/>
          <w:bCs w:val="0"/>
          <w:color w:val="000000" w:themeColor="text1"/>
          <w:kern w:val="0"/>
          <w:sz w:val="44"/>
          <w:szCs w:val="44"/>
          <w:lang w:val="en-US" w:eastAsia="zh-CN"/>
          <w14:textFill>
            <w14:solidFill>
              <w14:schemeClr w14:val="tx1"/>
            </w14:solidFill>
          </w14:textFill>
        </w:rPr>
      </w:pPr>
      <w:r>
        <w:rPr>
          <w:rFonts w:hint="default" w:ascii="Times New Roman" w:hAnsi="Times New Roman" w:eastAsia="方正小标宋_GBK" w:cs="Times New Roman"/>
          <w:b w:val="0"/>
          <w:bCs w:val="0"/>
          <w:color w:val="000000" w:themeColor="text1"/>
          <w:kern w:val="0"/>
          <w:sz w:val="44"/>
          <w:szCs w:val="44"/>
          <w:lang w:val="en-US" w:eastAsia="zh-CN"/>
          <w14:textFill>
            <w14:solidFill>
              <w14:schemeClr w14:val="tx1"/>
            </w14:solidFill>
          </w14:textFill>
        </w:rPr>
        <w:t>关于印发《铜梁区养老机构</w:t>
      </w:r>
      <w:r>
        <w:rPr>
          <w:rFonts w:hint="eastAsia" w:ascii="Times New Roman" w:hAnsi="Times New Roman" w:eastAsia="方正小标宋_GBK" w:cs="Times New Roman"/>
          <w:b w:val="0"/>
          <w:bCs w:val="0"/>
          <w:color w:val="000000" w:themeColor="text1"/>
          <w:kern w:val="0"/>
          <w:sz w:val="44"/>
          <w:szCs w:val="44"/>
          <w:lang w:val="en-US" w:eastAsia="zh-CN"/>
          <w14:textFill>
            <w14:solidFill>
              <w14:schemeClr w14:val="tx1"/>
            </w14:solidFill>
          </w14:textFill>
        </w:rPr>
        <w:t>安全管理</w:t>
      </w:r>
    </w:p>
    <w:p>
      <w:pPr>
        <w:pageBreakBefore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b w:val="0"/>
          <w:bCs w:val="0"/>
          <w:color w:val="000000" w:themeColor="text1"/>
          <w:kern w:val="0"/>
          <w:sz w:val="44"/>
          <w:szCs w:val="44"/>
          <w:lang w:val="en-US" w:eastAsia="zh-CN"/>
          <w14:textFill>
            <w14:solidFill>
              <w14:schemeClr w14:val="tx1"/>
            </w14:solidFill>
          </w14:textFill>
        </w:rPr>
      </w:pPr>
      <w:r>
        <w:rPr>
          <w:rFonts w:hint="eastAsia" w:ascii="Times New Roman" w:hAnsi="Times New Roman" w:eastAsia="方正小标宋_GBK" w:cs="Times New Roman"/>
          <w:b w:val="0"/>
          <w:bCs w:val="0"/>
          <w:color w:val="000000" w:themeColor="text1"/>
          <w:kern w:val="0"/>
          <w:sz w:val="44"/>
          <w:szCs w:val="44"/>
          <w:lang w:val="en-US" w:eastAsia="zh-CN"/>
          <w14:textFill>
            <w14:solidFill>
              <w14:schemeClr w14:val="tx1"/>
            </w14:solidFill>
          </w14:textFill>
        </w:rPr>
        <w:t>“三张清单”</w:t>
      </w:r>
      <w:r>
        <w:rPr>
          <w:rFonts w:hint="default" w:ascii="Times New Roman" w:hAnsi="Times New Roman" w:eastAsia="方正小标宋_GBK" w:cs="Times New Roman"/>
          <w:b w:val="0"/>
          <w:bCs w:val="0"/>
          <w:color w:val="000000" w:themeColor="text1"/>
          <w:kern w:val="0"/>
          <w:sz w:val="44"/>
          <w:szCs w:val="44"/>
          <w:lang w:val="en-US" w:eastAsia="zh-CN"/>
          <w14:textFill>
            <w14:solidFill>
              <w14:schemeClr w14:val="tx1"/>
            </w14:solidFill>
          </w14:textFill>
        </w:rPr>
        <w:t>》的通知</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rightChars="0"/>
        <w:jc w:val="both"/>
        <w:textAlignment w:val="auto"/>
        <w:rPr>
          <w:rFonts w:hint="default" w:ascii="Times New Roman" w:hAnsi="Times New Roman" w:eastAsia="方正仿宋_GBK"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各镇街民政和社会事务办：</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为促进全区养老机构规范管理，结合我区实际，经研究决定，拟制了《铜梁区养老机构</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安全管理“三张清单”</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》，现印发给你们，请遵照执行。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附件：1.</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铜梁区养老机构安全管理工作清单</w:t>
      </w: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jc w:val="both"/>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铜梁区养老机构安全管理</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职责</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清单</w:t>
      </w: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jc w:val="both"/>
        <w:textAlignment w:val="auto"/>
        <w:rPr>
          <w:rStyle w:val="20"/>
          <w:rFonts w:hint="default" w:ascii="Times New Roman" w:hAnsi="Times New Roman" w:eastAsia="方正小标宋_GBK" w:cs="Times New Roman"/>
          <w:b w:val="0"/>
          <w:bCs/>
          <w:i w:val="0"/>
          <w:caps w:val="0"/>
          <w:color w:val="000000"/>
          <w:spacing w:val="0"/>
          <w:sz w:val="44"/>
          <w:szCs w:val="44"/>
          <w:lang w:val="en-US" w:eastAsia="zh-CN"/>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铜梁区养老机构安全管理</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制度</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清单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重庆市铜梁区民政局</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2023年</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10</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月</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日</w:t>
      </w:r>
    </w:p>
    <w:p>
      <w:pPr>
        <w:pStyle w:val="2"/>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p>
    <w:p>
      <w:pPr>
        <w:pStyle w:val="2"/>
        <w:rPr>
          <w:rFonts w:hint="default"/>
          <w:lang w:val="en-US" w:eastAsia="zh-CN"/>
        </w:rPr>
        <w:sectPr>
          <w:pgSz w:w="11906" w:h="16838"/>
          <w:pgMar w:top="1984" w:right="1446" w:bottom="1644" w:left="1446" w:header="851" w:footer="992" w:gutter="0"/>
          <w:cols w:space="425" w:num="1"/>
          <w:docGrid w:type="lines" w:linePitch="312" w:charSpace="0"/>
        </w:sect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（此件公开发布</w:t>
      </w:r>
      <w:bookmarkStart w:id="0" w:name="_GoBack"/>
      <w:bookmarkEnd w:id="0"/>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b w:val="0"/>
          <w:bCs/>
          <w:sz w:val="44"/>
          <w:szCs w:val="44"/>
          <w:lang w:eastAsia="zh-CN"/>
        </w:rPr>
      </w:pPr>
      <w:r>
        <w:rPr>
          <w:rStyle w:val="20"/>
          <w:rFonts w:hint="default" w:ascii="Times New Roman" w:hAnsi="Times New Roman" w:eastAsia="方正小标宋_GBK" w:cs="Times New Roman"/>
          <w:b w:val="0"/>
          <w:bCs/>
          <w:i w:val="0"/>
          <w:caps w:val="0"/>
          <w:color w:val="000000"/>
          <w:spacing w:val="0"/>
          <w:sz w:val="44"/>
          <w:szCs w:val="44"/>
          <w:lang w:eastAsia="zh-CN"/>
        </w:rPr>
        <w:t>铜梁区</w:t>
      </w:r>
      <w:r>
        <w:rPr>
          <w:rStyle w:val="20"/>
          <w:rFonts w:hint="default" w:ascii="Times New Roman" w:hAnsi="Times New Roman" w:eastAsia="方正小标宋_GBK" w:cs="Times New Roman"/>
          <w:b w:val="0"/>
          <w:bCs/>
          <w:i w:val="0"/>
          <w:caps w:val="0"/>
          <w:color w:val="000000"/>
          <w:spacing w:val="0"/>
          <w:sz w:val="44"/>
          <w:szCs w:val="44"/>
        </w:rPr>
        <w:t>养老机构安全管理</w:t>
      </w:r>
      <w:r>
        <w:rPr>
          <w:rStyle w:val="20"/>
          <w:rFonts w:hint="default" w:ascii="Times New Roman" w:hAnsi="Times New Roman" w:eastAsia="方正小标宋_GBK" w:cs="Times New Roman"/>
          <w:b w:val="0"/>
          <w:bCs/>
          <w:i w:val="0"/>
          <w:caps w:val="0"/>
          <w:color w:val="000000"/>
          <w:spacing w:val="0"/>
          <w:sz w:val="44"/>
          <w:szCs w:val="44"/>
          <w:lang w:eastAsia="zh-CN"/>
        </w:rPr>
        <w:t>工作清单</w:t>
      </w:r>
    </w:p>
    <w:p>
      <w:pPr>
        <w:keepNext w:val="0"/>
        <w:keepLines w:val="0"/>
        <w:pageBreakBefore w:val="0"/>
        <w:kinsoku/>
        <w:wordWrap/>
        <w:overflowPunct/>
        <w:topLinePunct w:val="0"/>
        <w:autoSpaceDE/>
        <w:autoSpaceDN/>
        <w:bidi w:val="0"/>
        <w:adjustRightInd/>
        <w:snapToGrid/>
        <w:spacing w:line="594" w:lineRule="exact"/>
        <w:ind w:firstLine="620" w:firstLineChars="200"/>
        <w:jc w:val="both"/>
        <w:textAlignment w:val="auto"/>
        <w:rPr>
          <w:rFonts w:hint="default" w:ascii="Times New Roman" w:hAnsi="Times New Roman" w:eastAsia="方正仿宋_GBK" w:cs="Times New Roman"/>
          <w:i w:val="0"/>
          <w:caps w:val="0"/>
          <w:color w:val="333333"/>
          <w:spacing w:val="0"/>
          <w:sz w:val="31"/>
          <w:szCs w:val="31"/>
          <w:shd w:val="clear" w:fill="FFFFFF"/>
        </w:rPr>
      </w:pP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i w:val="0"/>
          <w:caps w:val="0"/>
          <w:color w:val="000000"/>
          <w:spacing w:val="0"/>
          <w:sz w:val="32"/>
          <w:szCs w:val="32"/>
          <w:lang w:val="en-US" w:eastAsia="zh-CN"/>
        </w:rPr>
      </w:pPr>
      <w:r>
        <w:rPr>
          <w:rFonts w:hint="eastAsia" w:ascii="方正黑体_GBK" w:hAnsi="方正黑体_GBK" w:eastAsia="方正黑体_GBK" w:cs="方正黑体_GBK"/>
          <w:b w:val="0"/>
          <w:bCs w:val="0"/>
          <w:sz w:val="32"/>
          <w:szCs w:val="32"/>
          <w:lang w:val="en-US" w:eastAsia="zh-CN"/>
        </w:rPr>
        <w:t>一、</w:t>
      </w:r>
      <w:r>
        <w:rPr>
          <w:rFonts w:hint="eastAsia" w:ascii="方正仿宋_GBK" w:hAnsi="方正仿宋_GBK" w:eastAsia="方正仿宋_GBK" w:cs="方正仿宋_GBK"/>
          <w:i w:val="0"/>
          <w:caps w:val="0"/>
          <w:color w:val="333333"/>
          <w:spacing w:val="0"/>
          <w:sz w:val="32"/>
          <w:szCs w:val="32"/>
          <w:shd w:val="clear" w:fill="FFFFFF"/>
        </w:rPr>
        <w:t>举办养老服务机构必须严格执行《老年人照料设施建筑设计标准》《养老机构管理办法》等标准和规定</w:t>
      </w:r>
      <w:r>
        <w:rPr>
          <w:rFonts w:hint="eastAsia" w:ascii="方正仿宋_GBK" w:hAnsi="方正仿宋_GBK" w:eastAsia="方正仿宋_GBK" w:cs="方正仿宋_GBK"/>
          <w:i w:val="0"/>
          <w:caps w:val="0"/>
          <w:color w:val="333333"/>
          <w:spacing w:val="0"/>
          <w:sz w:val="32"/>
          <w:szCs w:val="32"/>
          <w:shd w:val="clear" w:fill="FFFFFF"/>
          <w:lang w:eastAsia="zh-CN"/>
        </w:rPr>
        <w:t>，不得</w:t>
      </w:r>
      <w:r>
        <w:rPr>
          <w:rFonts w:hint="eastAsia" w:ascii="方正仿宋_GBK" w:hAnsi="方正仿宋_GBK" w:eastAsia="方正仿宋_GBK" w:cs="方正仿宋_GBK"/>
          <w:sz w:val="32"/>
          <w:szCs w:val="32"/>
          <w:lang w:val="en-US" w:eastAsia="zh-CN"/>
        </w:rPr>
        <w:t>设置在自然灾害易发、存在污染的地域</w:t>
      </w:r>
      <w:r>
        <w:rPr>
          <w:rFonts w:hint="eastAsia" w:ascii="方正仿宋_GBK" w:hAnsi="方正仿宋_GBK" w:eastAsia="方正仿宋_GBK" w:cs="方正仿宋_GBK"/>
          <w:i w:val="0"/>
          <w:caps w:val="0"/>
          <w:color w:val="333333"/>
          <w:spacing w:val="0"/>
          <w:sz w:val="32"/>
          <w:szCs w:val="32"/>
          <w:shd w:val="clear" w:fill="FFFFFF"/>
        </w:rPr>
        <w:t>。</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lang w:val="en-US" w:eastAsia="zh-CN"/>
        </w:rPr>
        <w:t>二、</w:t>
      </w:r>
      <w:r>
        <w:rPr>
          <w:rFonts w:hint="eastAsia" w:ascii="方正仿宋_GBK" w:hAnsi="方正仿宋_GBK" w:eastAsia="方正仿宋_GBK" w:cs="方正仿宋_GBK"/>
          <w:snapToGrid/>
          <w:color w:val="000000"/>
          <w:sz w:val="32"/>
          <w:szCs w:val="32"/>
          <w:shd w:val="clear" w:color="auto" w:fill="FFFFFF"/>
          <w:lang w:eastAsia="zh-CN"/>
        </w:rPr>
        <w:t>养老机构应当依法进行登记备案，</w:t>
      </w:r>
      <w:r>
        <w:rPr>
          <w:rFonts w:hint="eastAsia" w:ascii="方正仿宋_GBK" w:hAnsi="方正仿宋_GBK" w:eastAsia="方正仿宋_GBK" w:cs="方正仿宋_GBK"/>
          <w:sz w:val="32"/>
          <w:szCs w:val="32"/>
          <w:lang w:val="en-US" w:eastAsia="zh-CN"/>
        </w:rPr>
        <w:t>办理《食品经营许可证》，</w:t>
      </w:r>
      <w:r>
        <w:rPr>
          <w:rFonts w:hint="eastAsia" w:ascii="方正仿宋_GBK" w:hAnsi="方正仿宋_GBK" w:eastAsia="方正仿宋_GBK" w:cs="方正仿宋_GBK"/>
          <w:sz w:val="32"/>
          <w:szCs w:val="32"/>
        </w:rPr>
        <w:t>内设医疗机构</w:t>
      </w:r>
      <w:r>
        <w:rPr>
          <w:rFonts w:hint="eastAsia" w:ascii="方正仿宋_GBK" w:hAnsi="方正仿宋_GBK" w:eastAsia="方正仿宋_GBK" w:cs="方正仿宋_GBK"/>
          <w:sz w:val="32"/>
          <w:szCs w:val="32"/>
          <w:lang w:eastAsia="zh-CN"/>
        </w:rPr>
        <w:t>的还</w:t>
      </w:r>
      <w:r>
        <w:rPr>
          <w:rFonts w:hint="eastAsia" w:ascii="方正仿宋_GBK" w:hAnsi="方正仿宋_GBK" w:eastAsia="方正仿宋_GBK" w:cs="方正仿宋_GBK"/>
          <w:sz w:val="32"/>
          <w:szCs w:val="32"/>
        </w:rPr>
        <w:t>应取得医疗机构执业许可证。</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napToGrid/>
          <w:color w:val="000000"/>
          <w:kern w:val="2"/>
          <w:sz w:val="32"/>
          <w:szCs w:val="32"/>
          <w:shd w:val="clear" w:color="auto" w:fill="FFFFFF"/>
          <w:lang w:val="en-US" w:eastAsia="zh-CN" w:bidi="ar-SA"/>
        </w:rPr>
      </w:pPr>
      <w:r>
        <w:rPr>
          <w:rFonts w:hint="eastAsia" w:ascii="方正黑体_GBK" w:hAnsi="方正黑体_GBK" w:eastAsia="方正黑体_GBK" w:cs="方正黑体_GBK"/>
          <w:b w:val="0"/>
          <w:bCs w:val="0"/>
          <w:sz w:val="32"/>
          <w:szCs w:val="32"/>
          <w:lang w:val="en-US" w:eastAsia="zh-CN"/>
        </w:rPr>
        <w:t>三、</w:t>
      </w:r>
      <w:r>
        <w:rPr>
          <w:rFonts w:hint="eastAsia" w:ascii="方正仿宋_GBK" w:hAnsi="方正仿宋_GBK" w:eastAsia="方正仿宋_GBK" w:cs="方正仿宋_GBK"/>
          <w:snapToGrid/>
          <w:color w:val="000000"/>
          <w:kern w:val="2"/>
          <w:sz w:val="32"/>
          <w:szCs w:val="32"/>
          <w:shd w:val="clear" w:color="auto" w:fill="FFFFFF"/>
          <w:lang w:val="en-US" w:eastAsia="zh-CN" w:bidi="ar-SA"/>
        </w:rPr>
        <w:t>养老机构应依法建立安全管理部门，配备满足服务需要安全人员，明确安全管理人员职责及要求</w:t>
      </w:r>
      <w:r>
        <w:rPr>
          <w:rFonts w:hint="eastAsia" w:ascii="方正仿宋_GBK" w:hAnsi="方正仿宋_GBK" w:eastAsia="方正仿宋_GBK" w:cs="方正仿宋_GBK"/>
          <w:sz w:val="32"/>
          <w:szCs w:val="32"/>
          <w:lang w:val="en-US" w:eastAsia="zh-CN"/>
        </w:rPr>
        <w:t>；制定消防安全、特种设备设施安全、突发事件等相关管理制度、预警机制及应急预案</w:t>
      </w:r>
      <w:r>
        <w:rPr>
          <w:rFonts w:hint="eastAsia" w:ascii="方正仿宋_GBK" w:hAnsi="方正仿宋_GBK" w:eastAsia="方正仿宋_GBK" w:cs="方正仿宋_GBK"/>
          <w:snapToGrid/>
          <w:color w:val="000000"/>
          <w:kern w:val="2"/>
          <w:sz w:val="32"/>
          <w:szCs w:val="32"/>
          <w:shd w:val="clear" w:color="auto"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b w:val="0"/>
          <w:bCs w:val="0"/>
          <w:sz w:val="32"/>
          <w:szCs w:val="32"/>
          <w:lang w:val="en-US" w:eastAsia="zh-CN"/>
        </w:rPr>
        <w:t>四、</w:t>
      </w:r>
      <w:r>
        <w:rPr>
          <w:rFonts w:hint="eastAsia" w:ascii="方正仿宋_GBK" w:hAnsi="方正仿宋_GBK" w:eastAsia="方正仿宋_GBK" w:cs="方正仿宋_GBK"/>
          <w:i w:val="0"/>
          <w:caps w:val="0"/>
          <w:color w:val="333333"/>
          <w:spacing w:val="0"/>
          <w:sz w:val="32"/>
          <w:szCs w:val="32"/>
          <w:shd w:val="clear" w:fill="FFFFFF"/>
        </w:rPr>
        <w:t>养老机构应当定期组织开展</w:t>
      </w:r>
      <w:r>
        <w:rPr>
          <w:rFonts w:hint="eastAsia" w:ascii="方正仿宋_GBK" w:hAnsi="方正仿宋_GBK" w:eastAsia="方正仿宋_GBK" w:cs="方正仿宋_GBK"/>
          <w:i w:val="0"/>
          <w:caps w:val="0"/>
          <w:color w:val="333333"/>
          <w:spacing w:val="0"/>
          <w:sz w:val="32"/>
          <w:szCs w:val="32"/>
          <w:shd w:val="clear" w:fill="FFFFFF"/>
          <w:lang w:eastAsia="zh-CN"/>
        </w:rPr>
        <w:t>安全</w:t>
      </w:r>
      <w:r>
        <w:rPr>
          <w:rFonts w:hint="eastAsia" w:ascii="方正仿宋_GBK" w:hAnsi="方正仿宋_GBK" w:eastAsia="方正仿宋_GBK" w:cs="方正仿宋_GBK"/>
          <w:i w:val="0"/>
          <w:caps w:val="0"/>
          <w:color w:val="333333"/>
          <w:spacing w:val="0"/>
          <w:sz w:val="32"/>
          <w:szCs w:val="32"/>
          <w:shd w:val="clear" w:fill="FFFFFF"/>
        </w:rPr>
        <w:t>教育培训，</w:t>
      </w:r>
      <w:r>
        <w:rPr>
          <w:rFonts w:hint="eastAsia" w:ascii="方正仿宋_GBK" w:hAnsi="方正仿宋_GBK" w:eastAsia="方正仿宋_GBK" w:cs="方正仿宋_GBK"/>
          <w:snapToGrid/>
          <w:color w:val="000000"/>
          <w:kern w:val="2"/>
          <w:sz w:val="32"/>
          <w:szCs w:val="32"/>
          <w:shd w:val="clear" w:color="auto" w:fill="FFFFFF"/>
          <w:lang w:val="en-US" w:eastAsia="zh-CN" w:bidi="ar-SA"/>
        </w:rPr>
        <w:t>安全管理人员</w:t>
      </w:r>
      <w:r>
        <w:rPr>
          <w:rFonts w:hint="eastAsia" w:ascii="方正仿宋_GBK" w:hAnsi="方正仿宋_GBK" w:eastAsia="方正仿宋_GBK" w:cs="方正仿宋_GBK"/>
          <w:sz w:val="32"/>
          <w:szCs w:val="32"/>
        </w:rPr>
        <w:t>岗前</w:t>
      </w:r>
      <w:r>
        <w:rPr>
          <w:rFonts w:hint="eastAsia" w:ascii="方正仿宋_GBK" w:hAnsi="方正仿宋_GBK" w:eastAsia="方正仿宋_GBK" w:cs="方正仿宋_GBK"/>
          <w:sz w:val="32"/>
          <w:szCs w:val="32"/>
          <w:lang w:eastAsia="zh-CN"/>
        </w:rPr>
        <w:t>培训合格方可上岗；</w:t>
      </w:r>
      <w:r>
        <w:rPr>
          <w:rFonts w:hint="eastAsia" w:ascii="方正仿宋_GBK" w:hAnsi="方正仿宋_GBK" w:eastAsia="方正仿宋_GBK" w:cs="方正仿宋_GBK"/>
          <w:sz w:val="32"/>
          <w:szCs w:val="32"/>
          <w:lang w:val="en-US" w:eastAsia="zh-CN"/>
        </w:rPr>
        <w:t>在养老院内开展服务的医生、护士等依法需要持证上岗的专业技术人员应持有与其岗位相适应的专业资格证书或执业证书。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b w:val="0"/>
          <w:bCs w:val="0"/>
          <w:sz w:val="32"/>
          <w:szCs w:val="32"/>
          <w:lang w:val="en-US" w:eastAsia="zh-CN"/>
        </w:rPr>
        <w:t>五、</w:t>
      </w:r>
      <w:r>
        <w:rPr>
          <w:rFonts w:hint="eastAsia" w:ascii="方正仿宋_GBK" w:hAnsi="方正仿宋_GBK" w:eastAsia="方正仿宋_GBK" w:cs="方正仿宋_GBK"/>
          <w:sz w:val="32"/>
          <w:szCs w:val="32"/>
          <w:lang w:val="en-US" w:eastAsia="zh-CN"/>
        </w:rPr>
        <w:t>养老机构要加强入住老年人入院评估，并根据老年人需求特点提供照顾服务；落实24小时当班、值班要求，并做好记录和交接班；无虐老、欺老现象。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i w:val="0"/>
          <w:caps w:val="0"/>
          <w:color w:val="333333"/>
          <w:spacing w:val="0"/>
          <w:sz w:val="32"/>
          <w:szCs w:val="32"/>
          <w:shd w:val="clear" w:fill="FFFFFF"/>
        </w:rPr>
      </w:pPr>
      <w:r>
        <w:rPr>
          <w:rFonts w:hint="eastAsia" w:ascii="方正黑体_GBK" w:hAnsi="方正黑体_GBK" w:eastAsia="方正黑体_GBK" w:cs="方正黑体_GBK"/>
          <w:b w:val="0"/>
          <w:bCs w:val="0"/>
          <w:sz w:val="32"/>
          <w:szCs w:val="32"/>
          <w:lang w:val="en-US" w:eastAsia="zh-CN"/>
        </w:rPr>
        <w:t>六、</w:t>
      </w:r>
      <w:r>
        <w:rPr>
          <w:rFonts w:hint="eastAsia" w:ascii="方正仿宋_GBK" w:hAnsi="方正仿宋_GBK" w:eastAsia="方正仿宋_GBK" w:cs="方正仿宋_GBK"/>
          <w:sz w:val="32"/>
          <w:szCs w:val="32"/>
          <w:lang w:val="en-US" w:eastAsia="zh-CN"/>
        </w:rPr>
        <w:t>养老机构要严格落实老年人权益保障法及相关条例规定，积极防范和处置以“会员卡”“预付费”等养老服务为名的非法集资风险，切实保障服务对象合法权益。</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b w:val="0"/>
          <w:bCs w:val="0"/>
          <w:sz w:val="32"/>
          <w:szCs w:val="32"/>
          <w:lang w:val="en-US" w:eastAsia="zh-CN"/>
        </w:rPr>
        <w:t>七、</w:t>
      </w:r>
      <w:r>
        <w:rPr>
          <w:rFonts w:hint="eastAsia" w:ascii="方正仿宋_GBK" w:hAnsi="方正仿宋_GBK" w:eastAsia="方正仿宋_GBK" w:cs="方正仿宋_GBK"/>
          <w:sz w:val="32"/>
          <w:szCs w:val="32"/>
          <w:lang w:val="en-US" w:eastAsia="zh-CN"/>
        </w:rPr>
        <w:t>养老机构应当履行食品药品安全管理责任，食品药品管理应符合食品药品监督管理部门规定；院内医疗管理服务符合卫生健康部门规定，有传染病预防措施。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b w:val="0"/>
          <w:bCs w:val="0"/>
          <w:sz w:val="32"/>
          <w:szCs w:val="32"/>
          <w:lang w:val="en-US" w:eastAsia="zh-CN"/>
        </w:rPr>
        <w:t>八、</w:t>
      </w:r>
      <w:r>
        <w:rPr>
          <w:rFonts w:hint="eastAsia" w:ascii="方正仿宋_GBK" w:hAnsi="方正仿宋_GBK" w:eastAsia="方正仿宋_GBK" w:cs="方正仿宋_GBK"/>
          <w:sz w:val="32"/>
          <w:szCs w:val="32"/>
          <w:lang w:val="en-US" w:eastAsia="zh-CN"/>
        </w:rPr>
        <w:t>养老机构人员住宿和主要活动场所严禁使用易燃可燃装饰装修材料，严禁采用夹芯材料燃烧性能低于A级的彩钢板搭建有人居住或者活动的建筑；对不需要设置自动消防系统的建筑，应当加强物防、技防措施，在人员住宿和主要活动场所安装独立式感烟火灾探测报警器和简易喷淋装置，配备应急照明和灭火器材；保持安全出口、疏散通道、消防车通道畅通，应急照明、安全疏散指示标志完好；保证常闭式防火门处于关闭状态；设立吸烟室（处），人员住宿和公共场所禁止吸烟。</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b w:val="0"/>
          <w:bCs w:val="0"/>
          <w:sz w:val="32"/>
          <w:szCs w:val="32"/>
          <w:lang w:val="en-US" w:eastAsia="zh-CN"/>
        </w:rPr>
        <w:t>九、</w:t>
      </w:r>
      <w:r>
        <w:rPr>
          <w:rFonts w:hint="eastAsia" w:ascii="方正仿宋_GBK" w:hAnsi="方正仿宋_GBK" w:eastAsia="方正仿宋_GBK" w:cs="方正仿宋_GBK"/>
          <w:sz w:val="32"/>
          <w:szCs w:val="32"/>
          <w:lang w:val="en-US" w:eastAsia="zh-CN"/>
        </w:rPr>
        <w:t>养老机构必须制定消防演练、应急疏散和灭火预案，建立微型消防站或志愿消防队，每季度至少开展一次演练和消防安全教育培训活动，积极参加区域联防组织，实行联防联治联控；每月至少组织一次防火检查，每日防火巡查，夜间防火巡查不少于三次，并做好记录；加强消防设施设备运行和维护保养，每年至少全面检查一次；定期组织对电器产品及其线路、管路进行维护保养和检测，及时整改电气火灾隐患。</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b w:val="0"/>
          <w:bCs w:val="0"/>
          <w:sz w:val="32"/>
          <w:szCs w:val="32"/>
          <w:lang w:val="en-US" w:eastAsia="zh-CN"/>
        </w:rPr>
        <w:t>十、</w:t>
      </w:r>
      <w:r>
        <w:rPr>
          <w:rFonts w:hint="eastAsia" w:ascii="方正仿宋_GBK" w:hAnsi="方正仿宋_GBK" w:eastAsia="方正仿宋_GBK" w:cs="方正仿宋_GBK"/>
          <w:sz w:val="32"/>
          <w:szCs w:val="32"/>
          <w:lang w:val="en-US" w:eastAsia="zh-CN"/>
        </w:rPr>
        <w:t>养老机构燃气安全管理，应符合国家相关规定，设置可燃气体报警装置；燃气设施使用正确，无私自拆、移、改动燃气装置，无私自使用燃气热水器、取暖器和其他燃气器具等；定期维护保养燃气设施设备；燃气设施清洁干净卫生，周围无可燃物品和其他杂物堆放。</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b w:val="0"/>
          <w:bCs w:val="0"/>
          <w:sz w:val="32"/>
          <w:szCs w:val="32"/>
          <w:lang w:val="en-US" w:eastAsia="zh-CN"/>
        </w:rPr>
        <w:t>十一、</w:t>
      </w:r>
      <w:r>
        <w:rPr>
          <w:rFonts w:hint="eastAsia" w:ascii="方正仿宋_GBK" w:hAnsi="方正仿宋_GBK" w:eastAsia="方正仿宋_GBK" w:cs="方正仿宋_GBK"/>
          <w:sz w:val="32"/>
          <w:szCs w:val="32"/>
          <w:lang w:val="en-US" w:eastAsia="zh-CN"/>
        </w:rPr>
        <w:t>养老机构购置、使用和更换电梯、锅炉、压力容器（含气瓶）、压力管道等特种设备，应当符合相关规定。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lang w:val="en-US" w:eastAsia="zh-CN"/>
        </w:rPr>
        <w:t>十二、</w:t>
      </w:r>
      <w:r>
        <w:rPr>
          <w:rFonts w:hint="eastAsia" w:ascii="方正仿宋_GBK" w:hAnsi="方正仿宋_GBK" w:eastAsia="方正仿宋_GBK" w:cs="方正仿宋_GBK"/>
          <w:sz w:val="32"/>
          <w:szCs w:val="32"/>
          <w:lang w:val="en-US" w:eastAsia="zh-CN"/>
        </w:rPr>
        <w:t>养老机构要建立出入、探视、请销假等制度，防止老年人走失；应制定突发事件处理的应急预案，对自伤、伤人、跌倒、坠床、噎食、误吸、走失、烫伤、食物中毒等事件有明确应急处理流程和报告制度。</w:t>
      </w:r>
    </w:p>
    <w:p>
      <w:pPr>
        <w:pStyle w:val="2"/>
        <w:pageBreakBefore w:val="0"/>
        <w:kinsoku/>
        <w:wordWrap/>
        <w:overflowPunct/>
        <w:topLinePunct w:val="0"/>
        <w:autoSpaceDE/>
        <w:autoSpaceDN/>
        <w:bidi w:val="0"/>
        <w:spacing w:line="594" w:lineRule="exact"/>
        <w:textAlignment w:val="auto"/>
        <w:rPr>
          <w:rFonts w:hint="default"/>
          <w:lang w:val="en-US" w:eastAsia="zh-CN"/>
        </w:rPr>
      </w:pPr>
    </w:p>
    <w:p>
      <w:pPr>
        <w:pageBreakBefore w:val="0"/>
        <w:kinsoku/>
        <w:wordWrap/>
        <w:overflowPunct/>
        <w:topLinePunct w:val="0"/>
        <w:autoSpaceDE/>
        <w:autoSpaceDN/>
        <w:bidi w:val="0"/>
        <w:spacing w:line="594" w:lineRule="exact"/>
        <w:textAlignment w:val="auto"/>
        <w:rPr>
          <w:rFonts w:hint="default"/>
          <w:lang w:val="en-US" w:eastAsia="zh-CN"/>
        </w:rPr>
      </w:pPr>
    </w:p>
    <w:p>
      <w:pPr>
        <w:pStyle w:val="2"/>
        <w:pageBreakBefore w:val="0"/>
        <w:kinsoku/>
        <w:wordWrap/>
        <w:overflowPunct/>
        <w:topLinePunct w:val="0"/>
        <w:autoSpaceDE/>
        <w:autoSpaceDN/>
        <w:bidi w:val="0"/>
        <w:spacing w:line="594" w:lineRule="exact"/>
        <w:textAlignment w:val="auto"/>
        <w:rPr>
          <w:rFonts w:hint="default"/>
          <w:lang w:val="en-US" w:eastAsia="zh-CN"/>
        </w:rPr>
      </w:pPr>
    </w:p>
    <w:p>
      <w:pPr>
        <w:pageBreakBefore w:val="0"/>
        <w:kinsoku/>
        <w:wordWrap/>
        <w:overflowPunct/>
        <w:topLinePunct w:val="0"/>
        <w:autoSpaceDE/>
        <w:autoSpaceDN/>
        <w:bidi w:val="0"/>
        <w:spacing w:line="594" w:lineRule="exact"/>
        <w:textAlignment w:val="auto"/>
        <w:rPr>
          <w:rFonts w:hint="default"/>
          <w:lang w:val="en-US" w:eastAsia="zh-CN"/>
        </w:rPr>
      </w:pPr>
    </w:p>
    <w:p>
      <w:pPr>
        <w:pStyle w:val="2"/>
        <w:pageBreakBefore w:val="0"/>
        <w:kinsoku/>
        <w:wordWrap/>
        <w:overflowPunct/>
        <w:topLinePunct w:val="0"/>
        <w:autoSpaceDE/>
        <w:autoSpaceDN/>
        <w:bidi w:val="0"/>
        <w:spacing w:line="594" w:lineRule="exact"/>
        <w:textAlignment w:val="auto"/>
        <w:rPr>
          <w:rFonts w:hint="default"/>
          <w:lang w:val="en-US" w:eastAsia="zh-CN"/>
        </w:rPr>
      </w:pPr>
    </w:p>
    <w:p>
      <w:pPr>
        <w:pageBreakBefore w:val="0"/>
        <w:kinsoku/>
        <w:wordWrap/>
        <w:overflowPunct/>
        <w:topLinePunct w:val="0"/>
        <w:autoSpaceDE/>
        <w:autoSpaceDN/>
        <w:bidi w:val="0"/>
        <w:spacing w:line="594" w:lineRule="exact"/>
        <w:textAlignment w:val="auto"/>
        <w:rPr>
          <w:rFonts w:hint="default"/>
          <w:lang w:val="en-US" w:eastAsia="zh-CN"/>
        </w:rPr>
      </w:pPr>
    </w:p>
    <w:p>
      <w:pPr>
        <w:pStyle w:val="2"/>
        <w:pageBreakBefore w:val="0"/>
        <w:kinsoku/>
        <w:wordWrap/>
        <w:overflowPunct/>
        <w:topLinePunct w:val="0"/>
        <w:autoSpaceDE/>
        <w:autoSpaceDN/>
        <w:bidi w:val="0"/>
        <w:spacing w:line="594" w:lineRule="exact"/>
        <w:textAlignment w:val="auto"/>
        <w:rPr>
          <w:rFonts w:hint="default"/>
          <w:lang w:val="en-US" w:eastAsia="zh-CN"/>
        </w:rPr>
      </w:pPr>
    </w:p>
    <w:p>
      <w:pPr>
        <w:pageBreakBefore w:val="0"/>
        <w:kinsoku/>
        <w:wordWrap/>
        <w:overflowPunct/>
        <w:topLinePunct w:val="0"/>
        <w:autoSpaceDE/>
        <w:autoSpaceDN/>
        <w:bidi w:val="0"/>
        <w:spacing w:line="594" w:lineRule="exact"/>
        <w:textAlignment w:val="auto"/>
        <w:rPr>
          <w:rFonts w:hint="default"/>
          <w:lang w:val="en-US" w:eastAsia="zh-CN"/>
        </w:rPr>
      </w:pPr>
    </w:p>
    <w:p>
      <w:pPr>
        <w:pageBreakBefore w:val="0"/>
        <w:kinsoku/>
        <w:wordWrap/>
        <w:overflowPunct/>
        <w:topLinePunct w:val="0"/>
        <w:autoSpaceDE/>
        <w:autoSpaceDN/>
        <w:bidi w:val="0"/>
        <w:spacing w:line="594" w:lineRule="exact"/>
        <w:textAlignment w:val="auto"/>
        <w:rPr>
          <w:rFonts w:hint="eastAsia" w:ascii="方正黑体_GBK" w:hAnsi="方正黑体_GBK" w:eastAsia="方正黑体_GBK" w:cs="方正黑体_GBK"/>
          <w:sz w:val="32"/>
          <w:szCs w:val="32"/>
          <w:lang w:val="en-US" w:eastAsia="zh-CN"/>
        </w:rPr>
      </w:pPr>
    </w:p>
    <w:p>
      <w:pPr>
        <w:pageBreakBefore w:val="0"/>
        <w:kinsoku/>
        <w:wordWrap/>
        <w:overflowPunct/>
        <w:topLinePunct w:val="0"/>
        <w:autoSpaceDE/>
        <w:autoSpaceDN/>
        <w:bidi w:val="0"/>
        <w:spacing w:line="594" w:lineRule="exact"/>
        <w:textAlignment w:val="auto"/>
        <w:rPr>
          <w:rFonts w:hint="eastAsia" w:ascii="方正黑体_GBK" w:hAnsi="方正黑体_GBK" w:eastAsia="方正黑体_GBK" w:cs="方正黑体_GBK"/>
          <w:sz w:val="32"/>
          <w:szCs w:val="32"/>
          <w:lang w:val="en-US" w:eastAsia="zh-CN"/>
        </w:rPr>
      </w:pPr>
    </w:p>
    <w:p>
      <w:pPr>
        <w:pageBreakBefore w:val="0"/>
        <w:kinsoku/>
        <w:wordWrap/>
        <w:overflowPunct/>
        <w:topLinePunct w:val="0"/>
        <w:autoSpaceDE/>
        <w:autoSpaceDN/>
        <w:bidi w:val="0"/>
        <w:spacing w:line="594"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overflowPunct/>
        <w:topLinePunct w:val="0"/>
        <w:autoSpaceDE/>
        <w:autoSpaceDN/>
        <w:bidi w:val="0"/>
        <w:spacing w:line="594"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b w:val="0"/>
          <w:bCs/>
          <w:sz w:val="44"/>
          <w:szCs w:val="44"/>
          <w:lang w:eastAsia="zh-CN"/>
        </w:rPr>
      </w:pPr>
      <w:r>
        <w:rPr>
          <w:rStyle w:val="20"/>
          <w:rFonts w:hint="default" w:ascii="Times New Roman" w:hAnsi="Times New Roman" w:eastAsia="方正小标宋_GBK" w:cs="Times New Roman"/>
          <w:b w:val="0"/>
          <w:bCs/>
          <w:i w:val="0"/>
          <w:caps w:val="0"/>
          <w:color w:val="000000"/>
          <w:spacing w:val="0"/>
          <w:sz w:val="44"/>
          <w:szCs w:val="44"/>
          <w:lang w:eastAsia="zh-CN"/>
        </w:rPr>
        <w:t>铜梁区</w:t>
      </w:r>
      <w:r>
        <w:rPr>
          <w:rStyle w:val="20"/>
          <w:rFonts w:hint="default" w:ascii="Times New Roman" w:hAnsi="Times New Roman" w:eastAsia="方正小标宋_GBK" w:cs="Times New Roman"/>
          <w:b w:val="0"/>
          <w:bCs/>
          <w:i w:val="0"/>
          <w:caps w:val="0"/>
          <w:color w:val="000000"/>
          <w:spacing w:val="0"/>
          <w:sz w:val="44"/>
          <w:szCs w:val="44"/>
        </w:rPr>
        <w:t>养老机构安全管理</w:t>
      </w:r>
      <w:r>
        <w:rPr>
          <w:rStyle w:val="20"/>
          <w:rFonts w:hint="eastAsia" w:ascii="Times New Roman" w:hAnsi="Times New Roman" w:eastAsia="方正小标宋_GBK" w:cs="Times New Roman"/>
          <w:b w:val="0"/>
          <w:bCs/>
          <w:i w:val="0"/>
          <w:caps w:val="0"/>
          <w:color w:val="000000"/>
          <w:spacing w:val="0"/>
          <w:sz w:val="44"/>
          <w:szCs w:val="44"/>
          <w:lang w:eastAsia="zh-CN"/>
        </w:rPr>
        <w:t>职责</w:t>
      </w:r>
      <w:r>
        <w:rPr>
          <w:rStyle w:val="20"/>
          <w:rFonts w:hint="default" w:ascii="Times New Roman" w:hAnsi="Times New Roman" w:eastAsia="方正小标宋_GBK" w:cs="Times New Roman"/>
          <w:b w:val="0"/>
          <w:bCs/>
          <w:i w:val="0"/>
          <w:caps w:val="0"/>
          <w:color w:val="000000"/>
          <w:spacing w:val="0"/>
          <w:sz w:val="44"/>
          <w:szCs w:val="44"/>
          <w:lang w:eastAsia="zh-CN"/>
        </w:rPr>
        <w:t>清单</w:t>
      </w:r>
    </w:p>
    <w:p>
      <w:pPr>
        <w:pStyle w:val="31"/>
        <w:keepNext w:val="0"/>
        <w:keepLines w:val="0"/>
        <w:pageBreakBefore w:val="0"/>
        <w:widowControl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仿宋_GBK" w:cs="Times New Roman"/>
          <w:b/>
          <w:color w:val="000000"/>
          <w:sz w:val="32"/>
          <w:szCs w:val="32"/>
        </w:rPr>
      </w:pPr>
    </w:p>
    <w:p>
      <w:pPr>
        <w:pStyle w:val="31"/>
        <w:keepNext w:val="0"/>
        <w:keepLines w:val="0"/>
        <w:pageBreakBefore w:val="0"/>
        <w:widowControl w:val="0"/>
        <w:numPr>
          <w:ilvl w:val="0"/>
          <w:numId w:val="0"/>
        </w:numPr>
        <w:kinsoku/>
        <w:wordWrap/>
        <w:overflowPunct/>
        <w:topLinePunct w:val="0"/>
        <w:autoSpaceDE/>
        <w:autoSpaceDN/>
        <w:bidi w:val="0"/>
        <w:spacing w:line="594" w:lineRule="exact"/>
        <w:ind w:leftChars="0" w:firstLine="640" w:firstLineChars="200"/>
        <w:textAlignment w:val="auto"/>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一、行业主管部门职责清单</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0" w:afterAutospacing="0" w:line="594" w:lineRule="exact"/>
        <w:ind w:left="0" w:right="0" w:rightChars="0" w:firstLine="640" w:firstLineChars="200"/>
        <w:jc w:val="both"/>
        <w:textAlignment w:val="auto"/>
        <w:outlineLvl w:val="9"/>
        <w:rPr>
          <w:rFonts w:hint="eastAsia" w:ascii="方正仿宋_GBK" w:hAnsi="方正仿宋_GBK" w:eastAsia="方正仿宋_GBK" w:cs="方正仿宋_GBK"/>
          <w:b w:val="0"/>
          <w:bCs/>
          <w:color w:val="000000"/>
          <w:sz w:val="32"/>
          <w:szCs w:val="32"/>
          <w:lang w:eastAsia="zh-CN"/>
        </w:rPr>
      </w:pPr>
      <w:r>
        <w:rPr>
          <w:rFonts w:hint="eastAsia" w:ascii="方正楷体_GBK" w:hAnsi="方正楷体_GBK" w:eastAsia="方正楷体_GBK" w:cs="方正楷体_GBK"/>
          <w:b w:val="0"/>
          <w:bCs/>
          <w:color w:val="000000"/>
          <w:sz w:val="32"/>
          <w:szCs w:val="32"/>
          <w:lang w:eastAsia="zh-CN"/>
        </w:rPr>
        <w:t>（一）</w:t>
      </w:r>
      <w:r>
        <w:rPr>
          <w:rFonts w:hint="eastAsia" w:ascii="方正仿宋_GBK" w:hAnsi="方正仿宋_GBK" w:eastAsia="方正仿宋_GBK" w:cs="方正仿宋_GBK"/>
          <w:b w:val="0"/>
          <w:bCs/>
          <w:color w:val="000000"/>
          <w:sz w:val="32"/>
          <w:szCs w:val="32"/>
        </w:rPr>
        <w:t>区民政</w:t>
      </w:r>
      <w:r>
        <w:rPr>
          <w:rFonts w:hint="eastAsia" w:ascii="方正仿宋_GBK" w:hAnsi="方正仿宋_GBK" w:eastAsia="方正仿宋_GBK" w:cs="方正仿宋_GBK"/>
          <w:b w:val="0"/>
          <w:bCs/>
          <w:color w:val="000000"/>
          <w:sz w:val="32"/>
          <w:szCs w:val="32"/>
          <w:lang w:val="en-US" w:eastAsia="zh-CN"/>
        </w:rPr>
        <w:t>局</w:t>
      </w:r>
      <w:r>
        <w:rPr>
          <w:rFonts w:hint="eastAsia" w:ascii="方正仿宋_GBK" w:hAnsi="方正仿宋_GBK" w:eastAsia="方正仿宋_GBK" w:cs="方正仿宋_GBK"/>
          <w:b w:val="0"/>
          <w:bCs/>
          <w:color w:val="000000"/>
          <w:sz w:val="32"/>
          <w:szCs w:val="32"/>
        </w:rPr>
        <w:t>履行</w:t>
      </w:r>
      <w:r>
        <w:rPr>
          <w:rFonts w:hint="eastAsia" w:ascii="方正仿宋_GBK" w:hAnsi="方正仿宋_GBK" w:eastAsia="方正仿宋_GBK" w:cs="方正仿宋_GBK"/>
          <w:b w:val="0"/>
          <w:bCs/>
          <w:color w:val="000000"/>
          <w:sz w:val="32"/>
          <w:szCs w:val="32"/>
          <w:lang w:val="en-US" w:eastAsia="zh-CN"/>
        </w:rPr>
        <w:t>全区</w:t>
      </w:r>
      <w:r>
        <w:rPr>
          <w:rFonts w:hint="eastAsia" w:ascii="方正仿宋_GBK" w:hAnsi="方正仿宋_GBK" w:eastAsia="方正仿宋_GBK" w:cs="方正仿宋_GBK"/>
          <w:b w:val="0"/>
          <w:bCs/>
          <w:color w:val="000000"/>
          <w:sz w:val="32"/>
          <w:szCs w:val="32"/>
        </w:rPr>
        <w:t>养老行业主管部门职责</w:t>
      </w:r>
      <w:r>
        <w:rPr>
          <w:rFonts w:hint="eastAsia" w:ascii="方正仿宋_GBK" w:hAnsi="方正仿宋_GBK" w:eastAsia="方正仿宋_GBK" w:cs="方正仿宋_GBK"/>
          <w:b w:val="0"/>
          <w:bCs/>
          <w:color w:val="000000"/>
          <w:sz w:val="32"/>
          <w:szCs w:val="32"/>
          <w:lang w:eastAsia="zh-CN"/>
        </w:rPr>
        <w:t>；</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0" w:afterAutospacing="0" w:line="594" w:lineRule="exact"/>
        <w:ind w:left="0" w:right="0" w:rightChars="0" w:firstLine="640" w:firstLineChars="200"/>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楷体_GBK" w:hAnsi="方正楷体_GBK" w:eastAsia="方正楷体_GBK" w:cs="方正楷体_GBK"/>
          <w:b w:val="0"/>
          <w:bCs/>
          <w:color w:val="000000"/>
          <w:sz w:val="32"/>
          <w:szCs w:val="32"/>
          <w:lang w:eastAsia="zh-CN"/>
        </w:rPr>
        <w:t>（二）</w:t>
      </w:r>
      <w:r>
        <w:rPr>
          <w:rFonts w:hint="eastAsia" w:ascii="方正仿宋_GBK" w:hAnsi="方正仿宋_GBK" w:eastAsia="方正仿宋_GBK" w:cs="方正仿宋_GBK"/>
          <w:color w:val="000000"/>
          <w:sz w:val="32"/>
          <w:szCs w:val="32"/>
        </w:rPr>
        <w:t>及时掌握本辖区养老机构企业法人登记信息，</w:t>
      </w:r>
      <w:r>
        <w:rPr>
          <w:rFonts w:hint="eastAsia" w:ascii="方正仿宋_GBK" w:hAnsi="方正仿宋_GBK" w:eastAsia="方正仿宋_GBK" w:cs="方正仿宋_GBK"/>
          <w:b w:val="0"/>
          <w:bCs/>
          <w:color w:val="000000"/>
          <w:sz w:val="32"/>
          <w:szCs w:val="32"/>
        </w:rPr>
        <w:t>依法做好辖区内养老机构备</w:t>
      </w:r>
      <w:r>
        <w:rPr>
          <w:rFonts w:hint="eastAsia" w:ascii="方正仿宋_GBK" w:hAnsi="方正仿宋_GBK" w:eastAsia="方正仿宋_GBK" w:cs="方正仿宋_GBK"/>
          <w:color w:val="000000"/>
          <w:sz w:val="32"/>
          <w:szCs w:val="32"/>
        </w:rPr>
        <w:t>案登记工作</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0" w:afterAutospacing="0" w:line="594" w:lineRule="exact"/>
        <w:ind w:left="0" w:right="0" w:rightChars="0" w:firstLine="640" w:firstLineChars="200"/>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楷体_GBK" w:hAnsi="方正楷体_GBK" w:eastAsia="方正楷体_GBK" w:cs="方正楷体_GBK"/>
          <w:color w:val="000000"/>
          <w:sz w:val="32"/>
          <w:szCs w:val="32"/>
          <w:lang w:eastAsia="zh-CN"/>
        </w:rPr>
        <w:t>（三）</w:t>
      </w:r>
      <w:r>
        <w:rPr>
          <w:rFonts w:hint="eastAsia" w:ascii="方正仿宋_GBK" w:hAnsi="方正仿宋_GBK" w:eastAsia="方正仿宋_GBK" w:cs="方正仿宋_GBK"/>
          <w:color w:val="000000"/>
          <w:sz w:val="32"/>
          <w:szCs w:val="32"/>
        </w:rPr>
        <w:t>有计划地开展养老机构安全管理、宣传、培训和督查</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0" w:afterAutospacing="0" w:line="594" w:lineRule="exact"/>
        <w:ind w:left="0" w:right="0" w:rightChars="0" w:firstLine="640" w:firstLineChars="200"/>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楷体_GBK" w:hAnsi="方正楷体_GBK" w:eastAsia="方正楷体_GBK" w:cs="方正楷体_GBK"/>
          <w:color w:val="000000"/>
          <w:sz w:val="32"/>
          <w:szCs w:val="32"/>
          <w:lang w:eastAsia="zh-CN"/>
        </w:rPr>
        <w:t>（四）</w:t>
      </w:r>
      <w:r>
        <w:rPr>
          <w:rFonts w:hint="eastAsia" w:ascii="方正仿宋_GBK" w:hAnsi="方正仿宋_GBK" w:eastAsia="方正仿宋_GBK" w:cs="方正仿宋_GBK"/>
          <w:color w:val="000000"/>
          <w:sz w:val="32"/>
          <w:szCs w:val="32"/>
        </w:rPr>
        <w:t>督促</w:t>
      </w:r>
      <w:r>
        <w:rPr>
          <w:rFonts w:hint="eastAsia" w:ascii="方正仿宋_GBK" w:hAnsi="方正仿宋_GBK" w:eastAsia="方正仿宋_GBK" w:cs="方正仿宋_GBK"/>
          <w:color w:val="000000"/>
          <w:sz w:val="32"/>
          <w:szCs w:val="32"/>
          <w:lang w:val="en-US" w:eastAsia="zh-CN"/>
        </w:rPr>
        <w:t>各</w:t>
      </w:r>
      <w:r>
        <w:rPr>
          <w:rFonts w:hint="eastAsia" w:ascii="方正仿宋_GBK" w:hAnsi="方正仿宋_GBK" w:eastAsia="方正仿宋_GBK" w:cs="方正仿宋_GBK"/>
          <w:color w:val="000000"/>
          <w:sz w:val="32"/>
          <w:szCs w:val="32"/>
        </w:rPr>
        <w:t>镇人民政府（街道办事处）加强其辖区养老机构安全管理</w:t>
      </w:r>
      <w:r>
        <w:rPr>
          <w:rFonts w:hint="eastAsia" w:ascii="方正仿宋_GBK" w:hAnsi="方正仿宋_GBK" w:eastAsia="方正仿宋_GBK" w:cs="方正仿宋_GBK"/>
          <w:color w:val="000000"/>
          <w:sz w:val="32"/>
          <w:szCs w:val="32"/>
          <w:lang w:eastAsia="zh-CN"/>
        </w:rPr>
        <w:t>；</w:t>
      </w:r>
    </w:p>
    <w:p>
      <w:pPr>
        <w:pStyle w:val="31"/>
        <w:keepNext w:val="0"/>
        <w:keepLines w:val="0"/>
        <w:pageBreakBefore w:val="0"/>
        <w:widowControl w:val="0"/>
        <w:numPr>
          <w:ilvl w:val="0"/>
          <w:numId w:val="0"/>
        </w:numPr>
        <w:kinsoku/>
        <w:wordWrap/>
        <w:overflowPunct/>
        <w:topLinePunct w:val="0"/>
        <w:autoSpaceDE/>
        <w:autoSpaceDN/>
        <w:bidi w:val="0"/>
        <w:spacing w:line="594" w:lineRule="exact"/>
        <w:ind w:leftChars="0"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color w:val="000000"/>
          <w:kern w:val="2"/>
          <w:sz w:val="32"/>
          <w:szCs w:val="32"/>
          <w:lang w:val="en-US" w:eastAsia="zh-CN" w:bidi="ar-SA"/>
        </w:rPr>
        <w:t>（五）</w:t>
      </w:r>
      <w:r>
        <w:rPr>
          <w:rFonts w:hint="eastAsia" w:ascii="方正仿宋_GBK" w:hAnsi="方正仿宋_GBK" w:eastAsia="方正仿宋_GBK" w:cs="方正仿宋_GBK"/>
          <w:color w:val="000000"/>
          <w:sz w:val="32"/>
          <w:szCs w:val="32"/>
        </w:rPr>
        <w:t>会同区相关部门建立协同监管机制，加强养老机构联合监管。</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color w:val="000000"/>
          <w:kern w:val="2"/>
          <w:sz w:val="32"/>
          <w:szCs w:val="32"/>
          <w:lang w:val="en-US" w:eastAsia="zh-CN" w:bidi="ar-SA"/>
        </w:rPr>
        <w:t>（六）</w:t>
      </w:r>
      <w:r>
        <w:rPr>
          <w:rFonts w:hint="eastAsia" w:ascii="方正仿宋_GBK" w:hAnsi="方正仿宋_GBK" w:eastAsia="方正仿宋_GBK" w:cs="方正仿宋_GBK"/>
          <w:color w:val="auto"/>
          <w:kern w:val="2"/>
          <w:sz w:val="32"/>
          <w:szCs w:val="32"/>
          <w:lang w:val="en-US" w:eastAsia="zh-CN" w:bidi="ar-SA"/>
        </w:rPr>
        <w:t>统筹推进养老机构安全生产社会化服务体系建设、信息化建设、诚信体系建设。</w:t>
      </w:r>
    </w:p>
    <w:p>
      <w:pPr>
        <w:pStyle w:val="31"/>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textAlignment w:val="auto"/>
        <w:rPr>
          <w:rFonts w:hint="default"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二、</w:t>
      </w:r>
      <w:r>
        <w:rPr>
          <w:rFonts w:hint="default" w:ascii="方正黑体_GBK" w:hAnsi="方正黑体_GBK" w:eastAsia="方正黑体_GBK" w:cs="方正黑体_GBK"/>
          <w:b w:val="0"/>
          <w:bCs/>
          <w:color w:val="000000"/>
          <w:sz w:val="32"/>
          <w:szCs w:val="32"/>
          <w:lang w:eastAsia="zh-CN"/>
        </w:rPr>
        <w:t>相关职能部门职责</w:t>
      </w:r>
      <w:r>
        <w:rPr>
          <w:rFonts w:hint="eastAsia" w:ascii="方正黑体_GBK" w:hAnsi="方正黑体_GBK" w:eastAsia="方正黑体_GBK" w:cs="方正黑体_GBK"/>
          <w:b w:val="0"/>
          <w:bCs/>
          <w:color w:val="000000"/>
          <w:sz w:val="32"/>
          <w:szCs w:val="32"/>
          <w:lang w:eastAsia="zh-CN"/>
        </w:rPr>
        <w:t>清单</w:t>
      </w:r>
    </w:p>
    <w:p>
      <w:pPr>
        <w:pStyle w:val="31"/>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rPr>
          <w:rFonts w:hint="default" w:ascii="Times New Roman" w:hAnsi="Times New Roman" w:eastAsia="方正仿宋_GBK" w:cs="Times New Roman"/>
          <w:color w:val="000000"/>
          <w:sz w:val="32"/>
          <w:szCs w:val="32"/>
          <w:lang w:eastAsia="zh-CN"/>
        </w:rPr>
      </w:pPr>
      <w:r>
        <w:rPr>
          <w:rFonts w:hint="eastAsia" w:ascii="方正楷体_GBK" w:hAnsi="方正楷体_GBK" w:eastAsia="方正楷体_GBK" w:cs="方正楷体_GBK"/>
          <w:b w:val="0"/>
          <w:bCs/>
          <w:color w:val="000000"/>
          <w:sz w:val="32"/>
          <w:szCs w:val="32"/>
        </w:rPr>
        <w:t>区公安</w:t>
      </w:r>
      <w:r>
        <w:rPr>
          <w:rFonts w:hint="eastAsia" w:ascii="方正楷体_GBK" w:hAnsi="方正楷体_GBK" w:eastAsia="方正楷体_GBK" w:cs="方正楷体_GBK"/>
          <w:b w:val="0"/>
          <w:bCs/>
          <w:color w:val="000000"/>
          <w:sz w:val="32"/>
          <w:szCs w:val="32"/>
          <w:lang w:val="en-US" w:eastAsia="zh-CN"/>
        </w:rPr>
        <w:t>局：</w:t>
      </w:r>
      <w:r>
        <w:rPr>
          <w:rFonts w:hint="default" w:ascii="Times New Roman" w:hAnsi="Times New Roman" w:eastAsia="方正仿宋_GBK" w:cs="Times New Roman"/>
          <w:color w:val="auto"/>
          <w:sz w:val="32"/>
          <w:szCs w:val="32"/>
        </w:rPr>
        <w:t>负责加强养老机构内保制度建设，整治养老机构周边治安环境，</w:t>
      </w:r>
      <w:r>
        <w:rPr>
          <w:rFonts w:hint="default" w:ascii="Times New Roman" w:hAnsi="Times New Roman" w:eastAsia="方正仿宋_GBK" w:cs="Times New Roman"/>
          <w:color w:val="000000"/>
          <w:sz w:val="32"/>
          <w:szCs w:val="32"/>
        </w:rPr>
        <w:t>开展养老机构周边巡逻巡查，合理部署养老机构周边视频监控设备，组织有条件的养老机构将其视频系统、紧急报警装置接入公安机关报警平台，核查新入院人员信息，摸排可能危及养老机构安全稳定的违法犯罪线索</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依法打击非法入侵养老机构等违法犯罪行为。</w:t>
      </w:r>
    </w:p>
    <w:p>
      <w:pPr>
        <w:pStyle w:val="31"/>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方正楷体_GBK" w:hAnsi="方正楷体_GBK" w:eastAsia="方正楷体_GBK" w:cs="方正楷体_GBK"/>
          <w:b w:val="0"/>
          <w:bCs/>
          <w:color w:val="000000"/>
          <w:sz w:val="32"/>
          <w:szCs w:val="32"/>
        </w:rPr>
        <w:t>区财政</w:t>
      </w:r>
      <w:r>
        <w:rPr>
          <w:rFonts w:hint="default" w:ascii="方正楷体_GBK" w:hAnsi="方正楷体_GBK" w:eastAsia="方正楷体_GBK" w:cs="方正楷体_GBK"/>
          <w:b w:val="0"/>
          <w:bCs/>
          <w:color w:val="000000"/>
          <w:sz w:val="32"/>
          <w:szCs w:val="32"/>
          <w:lang w:val="en-US" w:eastAsia="zh-CN"/>
        </w:rPr>
        <w:t>局：</w:t>
      </w:r>
      <w:r>
        <w:rPr>
          <w:rFonts w:hint="default" w:ascii="Times New Roman" w:hAnsi="Times New Roman" w:eastAsia="方正仿宋_GBK" w:cs="Times New Roman"/>
          <w:color w:val="000000"/>
          <w:sz w:val="32"/>
          <w:szCs w:val="32"/>
        </w:rPr>
        <w:t>负责</w:t>
      </w:r>
      <w:r>
        <w:rPr>
          <w:rFonts w:hint="default" w:ascii="Times New Roman" w:hAnsi="Times New Roman" w:eastAsia="方正仿宋_GBK" w:cs="Times New Roman"/>
          <w:color w:val="auto"/>
          <w:sz w:val="32"/>
          <w:szCs w:val="32"/>
        </w:rPr>
        <w:t>将养老安全监管工作经费纳入财政预算，</w:t>
      </w:r>
      <w:r>
        <w:rPr>
          <w:rFonts w:hint="default" w:ascii="Times New Roman" w:hAnsi="Times New Roman" w:eastAsia="方正仿宋_GBK" w:cs="Times New Roman"/>
          <w:color w:val="000000"/>
          <w:sz w:val="32"/>
          <w:szCs w:val="32"/>
        </w:rPr>
        <w:t>参与拟定和落实促进养老机构综合监管的相关财政支持政策</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auto"/>
          <w:sz w:val="32"/>
          <w:szCs w:val="32"/>
        </w:rPr>
        <w:t>加强资金使用情况监管。</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color w:val="000000"/>
          <w:sz w:val="32"/>
          <w:szCs w:val="32"/>
        </w:rPr>
        <w:t>区住建</w:t>
      </w:r>
      <w:r>
        <w:rPr>
          <w:rFonts w:hint="default" w:ascii="方正楷体_GBK" w:hAnsi="方正楷体_GBK" w:eastAsia="方正楷体_GBK" w:cs="方正楷体_GBK"/>
          <w:b w:val="0"/>
          <w:bCs/>
          <w:color w:val="000000"/>
          <w:sz w:val="32"/>
          <w:szCs w:val="32"/>
          <w:lang w:val="en-US" w:eastAsia="zh-CN"/>
        </w:rPr>
        <w:t>委：</w:t>
      </w:r>
      <w:r>
        <w:rPr>
          <w:rFonts w:hint="default" w:ascii="Times New Roman" w:hAnsi="Times New Roman" w:eastAsia="方正仿宋_GBK" w:cs="Times New Roman"/>
          <w:color w:val="000000"/>
          <w:sz w:val="32"/>
          <w:szCs w:val="32"/>
        </w:rPr>
        <w:t>负责依法实施养老机构建设工程消防设计审核、消防验收和备案抽查。</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b w:val="0"/>
          <w:bCs/>
          <w:color w:val="000000"/>
          <w:kern w:val="2"/>
          <w:sz w:val="32"/>
          <w:szCs w:val="32"/>
          <w:lang w:val="zh-TW" w:eastAsia="zh-TW" w:bidi="zh-TW"/>
        </w:rPr>
        <w:t>区卫健</w:t>
      </w:r>
      <w:r>
        <w:rPr>
          <w:rFonts w:hint="default" w:ascii="方正楷体_GBK" w:hAnsi="方正楷体_GBK" w:eastAsia="方正楷体_GBK" w:cs="方正楷体_GBK"/>
          <w:b w:val="0"/>
          <w:bCs/>
          <w:color w:val="000000"/>
          <w:kern w:val="2"/>
          <w:sz w:val="32"/>
          <w:szCs w:val="32"/>
          <w:lang w:val="en-US" w:eastAsia="zh-CN" w:bidi="zh-TW"/>
        </w:rPr>
        <w:t>委：</w:t>
      </w:r>
      <w:r>
        <w:rPr>
          <w:rFonts w:hint="default" w:ascii="Times New Roman" w:hAnsi="Times New Roman" w:eastAsia="方正仿宋_GBK" w:cs="Times New Roman"/>
          <w:color w:val="000000"/>
          <w:sz w:val="32"/>
          <w:szCs w:val="32"/>
        </w:rPr>
        <w:t>负责加强养老机构公共卫生、内设医疗机构的事中事后监管，</w:t>
      </w:r>
      <w:r>
        <w:rPr>
          <w:rFonts w:hint="default" w:ascii="Times New Roman" w:hAnsi="Times New Roman" w:eastAsia="方正仿宋_GBK" w:cs="Times New Roman"/>
          <w:color w:val="000000"/>
          <w:sz w:val="32"/>
          <w:szCs w:val="32"/>
          <w:u w:val="none"/>
        </w:rPr>
        <w:t>依法对养老机构内设医疗机构进行现场督查，</w:t>
      </w:r>
      <w:r>
        <w:rPr>
          <w:rFonts w:hint="default" w:ascii="Times New Roman" w:hAnsi="Times New Roman" w:eastAsia="方正仿宋_GBK" w:cs="Times New Roman"/>
          <w:color w:val="000000"/>
          <w:sz w:val="32"/>
          <w:szCs w:val="32"/>
        </w:rPr>
        <w:t>加强养老机构内传染病防治的监督管理和突发公共事件的医疗卫生救援工作。</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color w:val="000000"/>
          <w:sz w:val="32"/>
          <w:szCs w:val="32"/>
        </w:rPr>
        <w:t>区应急</w:t>
      </w:r>
      <w:r>
        <w:rPr>
          <w:rFonts w:hint="default" w:ascii="方正楷体_GBK" w:hAnsi="方正楷体_GBK" w:eastAsia="方正楷体_GBK" w:cs="方正楷体_GBK"/>
          <w:b w:val="0"/>
          <w:bCs/>
          <w:color w:val="000000"/>
          <w:sz w:val="32"/>
          <w:szCs w:val="32"/>
          <w:lang w:val="en-US" w:eastAsia="zh-CN"/>
        </w:rPr>
        <w:t>局：</w:t>
      </w:r>
      <w:r>
        <w:rPr>
          <w:rFonts w:hint="default" w:ascii="Times New Roman" w:hAnsi="Times New Roman" w:eastAsia="方正仿宋_GBK" w:cs="Times New Roman"/>
          <w:b w:val="0"/>
          <w:bCs/>
          <w:color w:val="000000"/>
          <w:sz w:val="32"/>
          <w:szCs w:val="32"/>
          <w:lang w:val="en-US" w:eastAsia="zh-CN"/>
        </w:rPr>
        <w:t>牵头组织</w:t>
      </w:r>
      <w:r>
        <w:rPr>
          <w:rFonts w:hint="default" w:ascii="Times New Roman" w:hAnsi="Times New Roman" w:eastAsia="方正仿宋_GBK" w:cs="Times New Roman"/>
          <w:sz w:val="32"/>
          <w:szCs w:val="32"/>
        </w:rPr>
        <w:t>区有关部门、镇人民政府（街道办事处）履行养老机构安全生产目标管理责任</w:t>
      </w:r>
      <w:r>
        <w:rPr>
          <w:rFonts w:hint="default" w:ascii="Times New Roman" w:hAnsi="Times New Roman" w:eastAsia="方正仿宋_GBK" w:cs="Times New Roman"/>
          <w:sz w:val="32"/>
          <w:szCs w:val="32"/>
          <w:lang w:eastAsia="zh-CN"/>
        </w:rPr>
        <w:t>制的情况进行考核，</w:t>
      </w:r>
      <w:r>
        <w:rPr>
          <w:rFonts w:hint="default" w:ascii="Times New Roman" w:hAnsi="Times New Roman" w:eastAsia="方正仿宋_GBK" w:cs="Times New Roman"/>
          <w:color w:val="000000"/>
          <w:sz w:val="32"/>
          <w:szCs w:val="32"/>
        </w:rPr>
        <w:t>组织或参与安全生产事故的调查处理。</w:t>
      </w:r>
    </w:p>
    <w:p>
      <w:pPr>
        <w:pStyle w:val="31"/>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color w:val="000000"/>
          <w:sz w:val="32"/>
          <w:szCs w:val="32"/>
        </w:rPr>
        <w:t>区市场监管</w:t>
      </w:r>
      <w:r>
        <w:rPr>
          <w:rFonts w:hint="default" w:ascii="方正楷体_GBK" w:hAnsi="方正楷体_GBK" w:eastAsia="方正楷体_GBK" w:cs="方正楷体_GBK"/>
          <w:b w:val="0"/>
          <w:bCs/>
          <w:color w:val="000000"/>
          <w:sz w:val="32"/>
          <w:szCs w:val="32"/>
          <w:lang w:val="en-US" w:eastAsia="zh-CN"/>
        </w:rPr>
        <w:t>局</w:t>
      </w:r>
      <w:r>
        <w:rPr>
          <w:rFonts w:hint="default" w:ascii="方正楷体_GBK" w:hAnsi="方正楷体_GBK" w:eastAsia="方正楷体_GBK" w:cs="方正楷体_GBK"/>
          <w:b w:val="0"/>
          <w:bCs/>
          <w:color w:val="000000"/>
          <w:sz w:val="32"/>
          <w:szCs w:val="32"/>
          <w:lang w:eastAsia="zh-CN"/>
        </w:rPr>
        <w:t>：</w:t>
      </w:r>
      <w:r>
        <w:rPr>
          <w:rFonts w:hint="default" w:ascii="Times New Roman" w:hAnsi="Times New Roman" w:eastAsia="方正仿宋_GBK" w:cs="Times New Roman"/>
          <w:color w:val="000000"/>
          <w:sz w:val="32"/>
          <w:szCs w:val="32"/>
        </w:rPr>
        <w:t>做好经营性养老机构登记工作，及时推送本区经营性养老机构登记信息，针对</w:t>
      </w:r>
      <w:r>
        <w:rPr>
          <w:rFonts w:hint="default" w:ascii="Times New Roman" w:hAnsi="Times New Roman" w:eastAsia="方正仿宋_GBK" w:cs="Times New Roman"/>
          <w:color w:val="000000"/>
          <w:sz w:val="32"/>
          <w:szCs w:val="32"/>
          <w:lang w:val="en-US" w:eastAsia="zh-CN"/>
        </w:rPr>
        <w:t>区</w:t>
      </w:r>
      <w:r>
        <w:rPr>
          <w:rFonts w:hint="default" w:ascii="Times New Roman" w:hAnsi="Times New Roman" w:eastAsia="方正仿宋_GBK" w:cs="Times New Roman"/>
          <w:color w:val="000000"/>
          <w:sz w:val="32"/>
          <w:szCs w:val="32"/>
        </w:rPr>
        <w:t>民政</w:t>
      </w:r>
      <w:r>
        <w:rPr>
          <w:rFonts w:hint="default" w:ascii="Times New Roman" w:hAnsi="Times New Roman" w:eastAsia="方正仿宋_GBK" w:cs="Times New Roman"/>
          <w:color w:val="000000"/>
          <w:sz w:val="32"/>
          <w:szCs w:val="32"/>
          <w:lang w:val="en-US" w:eastAsia="zh-CN"/>
        </w:rPr>
        <w:t>局</w:t>
      </w:r>
      <w:r>
        <w:rPr>
          <w:rFonts w:hint="default" w:ascii="Times New Roman" w:hAnsi="Times New Roman" w:eastAsia="方正仿宋_GBK" w:cs="Times New Roman"/>
          <w:color w:val="000000"/>
          <w:sz w:val="32"/>
          <w:szCs w:val="32"/>
        </w:rPr>
        <w:t>抄告的养老机构存在可能危及人身健康和生命财产安全风险且情节严重的，依法予以行政处罚乃至吊销相关证照。加强对养老机构依法开展食品安全、特种设备监督抽查，会同民政部门做好养老机构食品安全、特种设备设施专项治理，开展老年人产品和服务消费领域侵权行为专项整治行动。</w:t>
      </w:r>
    </w:p>
    <w:p>
      <w:pPr>
        <w:keepNext w:val="0"/>
        <w:keepLines w:val="0"/>
        <w:pageBreakBefore w:val="0"/>
        <w:widowControl w:val="0"/>
        <w:kinsoku/>
        <w:wordWrap/>
        <w:overflowPunct/>
        <w:topLinePunct w:val="0"/>
        <w:autoSpaceDE/>
        <w:autoSpaceDN/>
        <w:bidi w:val="0"/>
        <w:adjustRightInd w:val="0"/>
        <w:snapToGrid w:val="0"/>
        <w:spacing w:line="594" w:lineRule="exact"/>
        <w:ind w:firstLine="640"/>
        <w:textAlignment w:val="auto"/>
        <w:rPr>
          <w:rFonts w:hint="default" w:ascii="Times New Roman" w:hAnsi="Times New Roman" w:eastAsia="方正仿宋_GBK" w:cs="Times New Roman"/>
          <w:bCs/>
          <w:color w:val="auto"/>
          <w:sz w:val="32"/>
          <w:szCs w:val="32"/>
        </w:rPr>
      </w:pPr>
      <w:r>
        <w:rPr>
          <w:rFonts w:hint="default" w:ascii="方正楷体_GBK" w:hAnsi="方正楷体_GBK" w:eastAsia="方正楷体_GBK" w:cs="方正楷体_GBK"/>
          <w:b w:val="0"/>
          <w:bCs/>
          <w:color w:val="000000"/>
          <w:kern w:val="2"/>
          <w:sz w:val="32"/>
          <w:szCs w:val="32"/>
          <w:lang w:val="zh-TW" w:eastAsia="zh-TW" w:bidi="zh-TW"/>
        </w:rPr>
        <w:t>区金融</w:t>
      </w:r>
      <w:r>
        <w:rPr>
          <w:rFonts w:hint="default" w:ascii="方正楷体_GBK" w:hAnsi="方正楷体_GBK" w:eastAsia="方正楷体_GBK" w:cs="方正楷体_GBK"/>
          <w:b w:val="0"/>
          <w:bCs/>
          <w:color w:val="000000"/>
          <w:kern w:val="2"/>
          <w:sz w:val="32"/>
          <w:szCs w:val="32"/>
          <w:lang w:val="zh-TW" w:eastAsia="zh-CN" w:bidi="zh-TW"/>
        </w:rPr>
        <w:t>发展中心：</w:t>
      </w:r>
      <w:r>
        <w:rPr>
          <w:rFonts w:hint="default" w:ascii="Times New Roman" w:hAnsi="Times New Roman" w:eastAsia="方正仿宋_GBK" w:cs="Times New Roman"/>
          <w:bCs/>
          <w:color w:val="auto"/>
          <w:sz w:val="32"/>
          <w:szCs w:val="32"/>
          <w:lang w:val="zh-TW" w:eastAsia="zh-CN"/>
        </w:rPr>
        <w:t>负责</w:t>
      </w:r>
      <w:r>
        <w:rPr>
          <w:rFonts w:hint="default" w:ascii="Times New Roman" w:hAnsi="Times New Roman" w:eastAsia="方正仿宋_GBK" w:cs="Times New Roman"/>
          <w:bCs/>
          <w:color w:val="auto"/>
          <w:sz w:val="32"/>
          <w:szCs w:val="32"/>
        </w:rPr>
        <w:t>依法打击向入住老年人非法集资行为，指导民政部门开展防范打击养老机构非法集资相关的宣传教育和风险排查工作，积极保护老年人合法金融消费权益</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color w:val="000000"/>
          <w:kern w:val="2"/>
          <w:sz w:val="32"/>
          <w:szCs w:val="32"/>
          <w:lang w:val="zh-TW" w:eastAsia="zh-CN" w:bidi="zh-TW"/>
        </w:rPr>
        <w:t>区消防救援支队：</w:t>
      </w:r>
      <w:r>
        <w:rPr>
          <w:rFonts w:hint="default" w:ascii="Times New Roman" w:hAnsi="Times New Roman" w:eastAsia="方正仿宋_GBK" w:cs="Times New Roman"/>
          <w:bCs/>
          <w:color w:val="auto"/>
          <w:sz w:val="32"/>
          <w:szCs w:val="32"/>
        </w:rPr>
        <w:t>负责</w:t>
      </w:r>
      <w:r>
        <w:rPr>
          <w:rFonts w:hint="default" w:ascii="Times New Roman" w:hAnsi="Times New Roman" w:eastAsia="方正仿宋_GBK" w:cs="Times New Roman"/>
          <w:color w:val="auto"/>
          <w:sz w:val="32"/>
          <w:szCs w:val="32"/>
        </w:rPr>
        <w:t>对养老机构依法开展消防监督抽查，会同民政部门做好养老机构消防安全专项治理，将依法申报并达到消防安全重点单位界定标准的养老机构列为重点监管对象，指导养老机构开展消防宣传教育培训和应急疏散演练。</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三、</w:t>
      </w:r>
      <w:r>
        <w:rPr>
          <w:rFonts w:hint="eastAsia" w:ascii="方正黑体_GBK" w:hAnsi="方正黑体_GBK" w:eastAsia="方正黑体_GBK" w:cs="方正黑体_GBK"/>
          <w:color w:val="000000"/>
          <w:sz w:val="32"/>
          <w:szCs w:val="32"/>
        </w:rPr>
        <w:t>镇人民政府（街道办事处）职责</w:t>
      </w:r>
      <w:r>
        <w:rPr>
          <w:rFonts w:hint="eastAsia" w:ascii="方正黑体_GBK" w:hAnsi="方正黑体_GBK" w:eastAsia="方正黑体_GBK" w:cs="方正黑体_GBK"/>
          <w:color w:val="000000"/>
          <w:sz w:val="32"/>
          <w:szCs w:val="32"/>
          <w:lang w:eastAsia="zh-CN"/>
        </w:rPr>
        <w:t>清单</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0" w:afterAutospacing="0" w:line="594" w:lineRule="exact"/>
        <w:ind w:left="0" w:right="0" w:rightChars="0"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（一）</w:t>
      </w:r>
      <w:r>
        <w:rPr>
          <w:rFonts w:hint="default" w:ascii="Times New Roman" w:hAnsi="Times New Roman" w:eastAsia="方正仿宋_GBK" w:cs="Times New Roman"/>
          <w:color w:val="auto"/>
          <w:kern w:val="2"/>
          <w:sz w:val="32"/>
          <w:szCs w:val="32"/>
          <w:lang w:val="en-US" w:eastAsia="zh-CN" w:bidi="ar-SA"/>
        </w:rPr>
        <w:t>镇人民政府（街道办事处）负责本辖区内养老机构日常安全生产监督管理工作，履行属地</w:t>
      </w:r>
      <w:r>
        <w:rPr>
          <w:rFonts w:hint="eastAsia" w:ascii="Times New Roman" w:hAnsi="Times New Roman" w:eastAsia="方正仿宋_GBK" w:cs="Times New Roman"/>
          <w:color w:val="auto"/>
          <w:kern w:val="2"/>
          <w:sz w:val="32"/>
          <w:szCs w:val="32"/>
          <w:lang w:val="en-US" w:eastAsia="zh-CN" w:bidi="ar-SA"/>
        </w:rPr>
        <w:t>安全</w:t>
      </w:r>
      <w:r>
        <w:rPr>
          <w:rFonts w:hint="default" w:ascii="Times New Roman" w:hAnsi="Times New Roman" w:eastAsia="方正仿宋_GBK" w:cs="Times New Roman"/>
          <w:color w:val="auto"/>
          <w:kern w:val="2"/>
          <w:sz w:val="32"/>
          <w:szCs w:val="32"/>
          <w:lang w:val="en-US" w:eastAsia="zh-CN" w:bidi="ar-SA"/>
        </w:rPr>
        <w:t>监管责任</w:t>
      </w:r>
      <w:r>
        <w:rPr>
          <w:rFonts w:hint="eastAsia" w:ascii="Times New Roman" w:hAnsi="Times New Roman" w:eastAsia="方正仿宋_GBK" w:cs="Times New Roman"/>
          <w:color w:val="auto"/>
          <w:kern w:val="2"/>
          <w:sz w:val="32"/>
          <w:szCs w:val="32"/>
          <w:lang w:val="en-US" w:eastAsia="zh-CN" w:bidi="ar-SA"/>
        </w:rPr>
        <w:t>；</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（二）</w:t>
      </w:r>
      <w:r>
        <w:rPr>
          <w:rFonts w:hint="default" w:ascii="Times New Roman" w:hAnsi="Times New Roman" w:eastAsia="方正仿宋_GBK" w:cs="Times New Roman"/>
          <w:color w:val="auto"/>
          <w:kern w:val="2"/>
          <w:sz w:val="32"/>
          <w:szCs w:val="32"/>
          <w:lang w:val="en-US" w:eastAsia="zh-CN" w:bidi="ar-SA"/>
        </w:rPr>
        <w:t>研究部署辖区内养老机构安全生产工作，协调解决重大问题</w:t>
      </w:r>
      <w:r>
        <w:rPr>
          <w:rFonts w:hint="eastAsia" w:ascii="Times New Roman" w:hAnsi="Times New Roman" w:eastAsia="方正仿宋_GBK" w:cs="Times New Roman"/>
          <w:color w:val="auto"/>
          <w:kern w:val="2"/>
          <w:sz w:val="32"/>
          <w:szCs w:val="32"/>
          <w:lang w:val="en-US" w:eastAsia="zh-CN" w:bidi="ar-SA"/>
        </w:rPr>
        <w:t>；</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（三）</w:t>
      </w:r>
      <w:r>
        <w:rPr>
          <w:rFonts w:hint="default" w:ascii="Times New Roman" w:hAnsi="Times New Roman" w:eastAsia="方正仿宋_GBK" w:cs="Times New Roman"/>
          <w:color w:val="auto"/>
          <w:kern w:val="2"/>
          <w:sz w:val="32"/>
          <w:szCs w:val="32"/>
          <w:lang w:val="en-US" w:eastAsia="zh-CN" w:bidi="ar-SA"/>
        </w:rPr>
        <w:t>对辖区内养老机构实施安全生产目标管理，敦促养老机构依法落实主体责任；</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（四）</w:t>
      </w:r>
      <w:r>
        <w:rPr>
          <w:rFonts w:hint="default" w:ascii="Times New Roman" w:hAnsi="Times New Roman" w:eastAsia="方正仿宋_GBK" w:cs="Times New Roman"/>
          <w:color w:val="auto"/>
          <w:kern w:val="2"/>
          <w:sz w:val="32"/>
          <w:szCs w:val="32"/>
          <w:lang w:val="en-US" w:eastAsia="zh-CN" w:bidi="ar-SA"/>
        </w:rPr>
        <w:t>经常性组织开展本辖区养老机构安全生产监督、检查、考核等工作，指导养老机构加强隐患排查治理预防工作机制建设，及时查处辖区内养老机构各类违法违规行为；</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（五）</w:t>
      </w:r>
      <w:r>
        <w:rPr>
          <w:rFonts w:hint="eastAsia" w:ascii="方正仿宋_GBK" w:hAnsi="方正仿宋_GBK" w:eastAsia="方正仿宋_GBK" w:cs="方正仿宋_GBK"/>
          <w:color w:val="auto"/>
          <w:kern w:val="2"/>
          <w:sz w:val="32"/>
          <w:szCs w:val="32"/>
          <w:lang w:val="en-US" w:eastAsia="zh-CN" w:bidi="ar-SA"/>
        </w:rPr>
        <w:t>加强辖区内养老机构安全生产应急救援体系建设，指导养老机构建立“微型消防站”和“微型消防队”建设；</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（六）</w:t>
      </w:r>
      <w:r>
        <w:rPr>
          <w:rFonts w:hint="default" w:ascii="Times New Roman" w:hAnsi="Times New Roman" w:eastAsia="方正仿宋_GBK" w:cs="Times New Roman"/>
          <w:color w:val="auto"/>
          <w:kern w:val="2"/>
          <w:sz w:val="32"/>
          <w:szCs w:val="32"/>
          <w:lang w:val="en-US" w:eastAsia="zh-CN" w:bidi="ar-SA"/>
        </w:rPr>
        <w:t>依法组织或者参与辖区内养老机构安全生产事故抢险救援和调查处理，及时妥善处置安全事故的善后工作</w:t>
      </w:r>
      <w:r>
        <w:rPr>
          <w:rFonts w:hint="eastAsia" w:ascii="Times New Roman" w:hAnsi="Times New Roman" w:eastAsia="方正仿宋_GBK" w:cs="Times New Roman"/>
          <w:color w:val="auto"/>
          <w:kern w:val="2"/>
          <w:sz w:val="32"/>
          <w:szCs w:val="32"/>
          <w:lang w:val="en-US" w:eastAsia="zh-CN" w:bidi="ar-SA"/>
        </w:rPr>
        <w:t>。</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四、</w:t>
      </w:r>
      <w:r>
        <w:rPr>
          <w:rFonts w:hint="eastAsia" w:ascii="方正黑体_GBK" w:hAnsi="方正黑体_GBK" w:eastAsia="方正黑体_GBK" w:cs="方正黑体_GBK"/>
          <w:color w:val="000000"/>
          <w:sz w:val="32"/>
          <w:szCs w:val="32"/>
        </w:rPr>
        <w:t>养老机构职责</w:t>
      </w:r>
      <w:r>
        <w:rPr>
          <w:rFonts w:hint="eastAsia" w:ascii="方正黑体_GBK" w:hAnsi="方正黑体_GBK" w:eastAsia="方正黑体_GBK" w:cs="方正黑体_GBK"/>
          <w:color w:val="000000"/>
          <w:sz w:val="32"/>
          <w:szCs w:val="32"/>
          <w:lang w:eastAsia="zh-CN"/>
        </w:rPr>
        <w:t>清单</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楷体_GBK" w:hAnsi="方正楷体_GBK" w:eastAsia="方正楷体_GBK" w:cs="方正楷体_GBK"/>
          <w:i w:val="0"/>
          <w:caps w:val="0"/>
          <w:color w:val="333333"/>
          <w:spacing w:val="0"/>
          <w:sz w:val="32"/>
          <w:szCs w:val="32"/>
          <w:shd w:val="clear" w:fill="FFFFFF"/>
          <w:lang w:eastAsia="zh-CN"/>
        </w:rPr>
      </w:pPr>
      <w:r>
        <w:rPr>
          <w:rFonts w:hint="eastAsia" w:ascii="方正楷体_GBK" w:hAnsi="方正楷体_GBK" w:eastAsia="方正楷体_GBK" w:cs="方正楷体_GBK"/>
          <w:i w:val="0"/>
          <w:caps w:val="0"/>
          <w:color w:val="333333"/>
          <w:spacing w:val="0"/>
          <w:sz w:val="32"/>
          <w:szCs w:val="32"/>
          <w:shd w:val="clear" w:fill="FFFFFF"/>
          <w:lang w:eastAsia="zh-CN"/>
        </w:rPr>
        <w:t>（一）</w:t>
      </w:r>
      <w:r>
        <w:rPr>
          <w:rFonts w:hint="eastAsia" w:ascii="方正楷体_GBK" w:hAnsi="方正楷体_GBK" w:eastAsia="方正楷体_GBK" w:cs="方正楷体_GBK"/>
          <w:i w:val="0"/>
          <w:caps w:val="0"/>
          <w:color w:val="333333"/>
          <w:spacing w:val="0"/>
          <w:sz w:val="32"/>
          <w:szCs w:val="32"/>
          <w:shd w:val="clear" w:fill="FFFFFF"/>
        </w:rPr>
        <w:t>严格落实第一责任人责任</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机构法定代表人和实际控制人是养老机构安全生产第一责任人，对本机构安全生产工作全面负责。</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1.制定安全生产规章制度和操作规程，实施安全生产教育和培训，编制应急救援预案，自查自纠安全生产工作，及时消除生产安全事故隐患。</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2.依法取得相关证照、许可或备案，服务运营符合法律法规、 国家和地方标准或者行业标准中的强制性规定及要求。</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w:t>
      </w:r>
      <w:r>
        <w:rPr>
          <w:rFonts w:hint="default" w:ascii="Times New Roman" w:hAnsi="Times New Roman" w:eastAsia="方正仿宋_GBK" w:cs="Times New Roman"/>
          <w:color w:val="auto"/>
          <w:kern w:val="2"/>
          <w:sz w:val="32"/>
          <w:szCs w:val="32"/>
          <w:lang w:val="en-US" w:eastAsia="zh-CN" w:bidi="ar-SA"/>
        </w:rPr>
        <w:t>建立安全管理部门，配备满足服务需要</w:t>
      </w:r>
      <w:r>
        <w:rPr>
          <w:rFonts w:hint="eastAsia" w:ascii="Times New Roman" w:hAnsi="Times New Roman" w:eastAsia="方正仿宋_GBK" w:cs="Times New Roman"/>
          <w:color w:val="auto"/>
          <w:kern w:val="2"/>
          <w:sz w:val="32"/>
          <w:szCs w:val="32"/>
          <w:lang w:val="en-US" w:eastAsia="zh-CN" w:bidi="ar-SA"/>
        </w:rPr>
        <w:t>专（兼）职安全生产管理人员。</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4.将安全生产投入纳入年度运营计划和财务预算，保障安全生产支出需求。</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5.落实强制性安全生产标准规范，开展以岗位达标、专业达标和标准化创建等为内容的安全生产标准化建设。</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楷体_GBK" w:hAnsi="方正楷体_GBK" w:eastAsia="方正楷体_GBK" w:cs="方正楷体_GBK"/>
          <w:i w:val="0"/>
          <w:caps w:val="0"/>
          <w:color w:val="333333"/>
          <w:spacing w:val="0"/>
          <w:sz w:val="32"/>
          <w:szCs w:val="32"/>
          <w:shd w:val="clear" w:fill="FFFFFF"/>
        </w:rPr>
      </w:pPr>
      <w:r>
        <w:rPr>
          <w:rFonts w:hint="eastAsia" w:ascii="方正楷体_GBK" w:hAnsi="方正楷体_GBK" w:eastAsia="方正楷体_GBK" w:cs="方正楷体_GBK"/>
          <w:i w:val="0"/>
          <w:caps w:val="0"/>
          <w:color w:val="333333"/>
          <w:spacing w:val="0"/>
          <w:sz w:val="32"/>
          <w:szCs w:val="32"/>
          <w:shd w:val="clear" w:fill="FFFFFF"/>
          <w:lang w:eastAsia="zh-CN"/>
        </w:rPr>
        <w:t>（二）</w:t>
      </w:r>
      <w:r>
        <w:rPr>
          <w:rFonts w:hint="eastAsia" w:ascii="方正楷体_GBK" w:hAnsi="方正楷体_GBK" w:eastAsia="方正楷体_GBK" w:cs="方正楷体_GBK"/>
          <w:i w:val="0"/>
          <w:caps w:val="0"/>
          <w:color w:val="333333"/>
          <w:spacing w:val="0"/>
          <w:sz w:val="32"/>
          <w:szCs w:val="32"/>
          <w:shd w:val="clear" w:fill="FFFFFF"/>
        </w:rPr>
        <w:t>严格落实全员岗位责任</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1.根据工作岗位的性质、特点和内容，明确各岗位的责任人员、 责任范围、责任清单，建立健全全员安全生产责任制。</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2.加强工作人员的安全生产理论教学与实践技能培训，熟悉安全生产规章制度和安全操作规程，掌握本岗位的安全操作技能。</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3.实施全员安全生产责任制落实情况考核，考核结果与员工收入、晋级等挂钩，激发全员参与安全生产的积极性和主动性，促进全员安全生产责任落实。</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楷体_GBK" w:hAnsi="方正楷体_GBK" w:eastAsia="方正楷体_GBK" w:cs="方正楷体_GBK"/>
          <w:i w:val="0"/>
          <w:caps w:val="0"/>
          <w:color w:val="333333"/>
          <w:spacing w:val="0"/>
          <w:sz w:val="32"/>
          <w:szCs w:val="32"/>
          <w:shd w:val="clear" w:fill="FFFFFF"/>
        </w:rPr>
      </w:pPr>
      <w:r>
        <w:rPr>
          <w:rFonts w:hint="eastAsia" w:ascii="方正楷体_GBK" w:hAnsi="方正楷体_GBK" w:eastAsia="方正楷体_GBK" w:cs="方正楷体_GBK"/>
          <w:i w:val="0"/>
          <w:caps w:val="0"/>
          <w:color w:val="333333"/>
          <w:spacing w:val="0"/>
          <w:sz w:val="32"/>
          <w:szCs w:val="32"/>
          <w:shd w:val="clear" w:fill="FFFFFF"/>
          <w:lang w:eastAsia="zh-CN"/>
        </w:rPr>
        <w:t>（三）</w:t>
      </w:r>
      <w:r>
        <w:rPr>
          <w:rFonts w:hint="eastAsia" w:ascii="方正楷体_GBK" w:hAnsi="方正楷体_GBK" w:eastAsia="方正楷体_GBK" w:cs="方正楷体_GBK"/>
          <w:i w:val="0"/>
          <w:caps w:val="0"/>
          <w:color w:val="333333"/>
          <w:spacing w:val="0"/>
          <w:sz w:val="32"/>
          <w:szCs w:val="32"/>
          <w:shd w:val="clear" w:fill="FFFFFF"/>
        </w:rPr>
        <w:t>严格落实安全防控责任</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1.严格落实安全风险分级管控和主动报告制度，定期排查、分析安全风险，制定安全管控措施，明确具体的责任部门、责任人，确保风险可控。</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 建立全员参与、全岗位覆盖、全过程街接的隐患排查机制，持续开展安全隐患排查治理；对动态排查出来以及属地镇街、业务主管部门通知整改的安全隐患，应逐条落实整改措施、责任、资金、 时限和事故应急预案。</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3.对各类危险源进行登记和建档，定期组织对安全设施设备进行体检式安全评估，制定应急预案，完善控制措施，确保始终设施设备处于安全可靠状态。</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4.加强危险作业的安全管理，制定危险作业安全管理制度措施，严格按操作规程进行操作，实施专人现场安全管理且不得擅离职守。</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楷体_GBK" w:hAnsi="方正楷体_GBK" w:eastAsia="方正楷体_GBK" w:cs="方正楷体_GBK"/>
          <w:i w:val="0"/>
          <w:caps w:val="0"/>
          <w:color w:val="333333"/>
          <w:spacing w:val="0"/>
          <w:sz w:val="32"/>
          <w:szCs w:val="32"/>
          <w:shd w:val="clear" w:fill="FFFFFF"/>
        </w:rPr>
      </w:pPr>
      <w:r>
        <w:rPr>
          <w:rFonts w:hint="eastAsia" w:ascii="方正楷体_GBK" w:hAnsi="方正楷体_GBK" w:eastAsia="方正楷体_GBK" w:cs="方正楷体_GBK"/>
          <w:i w:val="0"/>
          <w:caps w:val="0"/>
          <w:color w:val="333333"/>
          <w:spacing w:val="0"/>
          <w:sz w:val="32"/>
          <w:szCs w:val="32"/>
          <w:shd w:val="clear" w:fill="FFFFFF"/>
          <w:lang w:eastAsia="zh-CN"/>
        </w:rPr>
        <w:t>（四）</w:t>
      </w:r>
      <w:r>
        <w:rPr>
          <w:rFonts w:hint="eastAsia" w:ascii="方正楷体_GBK" w:hAnsi="方正楷体_GBK" w:eastAsia="方正楷体_GBK" w:cs="方正楷体_GBK"/>
          <w:i w:val="0"/>
          <w:caps w:val="0"/>
          <w:color w:val="333333"/>
          <w:spacing w:val="0"/>
          <w:sz w:val="32"/>
          <w:szCs w:val="32"/>
          <w:shd w:val="clear" w:fill="FFFFFF"/>
        </w:rPr>
        <w:t>严格落实基础管理责任</w:t>
      </w:r>
    </w:p>
    <w:p>
      <w:pPr>
        <w:pStyle w:val="31"/>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1.安全设施未经设计审查合格不得施工建设，未经验收合格不得投入生产和使用。</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2.按规定为工作人员开展身体健康检查，无偿提供并及时更新符合标准劳动防护用品，督促工作人员正确佩戴、使用。劳动防护用品不得以货币或者其他物品替代。</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将服务项目、场所、设备发包（出租）或委托其他具有专业资质的单位进行危险作业的，应与承包、承租和承建单位签订专门的安全生产管理协议，告知其存在的危险因素和防范措施，明确各自的安全生产职责。</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楷体_GBK" w:hAnsi="方正楷体_GBK" w:eastAsia="方正楷体_GBK" w:cs="方正楷体_GBK"/>
          <w:i w:val="0"/>
          <w:caps w:val="0"/>
          <w:color w:val="333333"/>
          <w:spacing w:val="0"/>
          <w:sz w:val="32"/>
          <w:szCs w:val="32"/>
          <w:shd w:val="clear" w:fill="FFFFFF"/>
        </w:rPr>
      </w:pPr>
      <w:r>
        <w:rPr>
          <w:rFonts w:hint="eastAsia" w:ascii="方正楷体_GBK" w:hAnsi="方正楷体_GBK" w:eastAsia="方正楷体_GBK" w:cs="方正楷体_GBK"/>
          <w:i w:val="0"/>
          <w:caps w:val="0"/>
          <w:color w:val="333333"/>
          <w:spacing w:val="0"/>
          <w:sz w:val="32"/>
          <w:szCs w:val="32"/>
          <w:shd w:val="clear" w:fill="FFFFFF"/>
          <w:lang w:eastAsia="zh-CN"/>
        </w:rPr>
        <w:t>（五）</w:t>
      </w:r>
      <w:r>
        <w:rPr>
          <w:rFonts w:hint="eastAsia" w:ascii="方正楷体_GBK" w:hAnsi="方正楷体_GBK" w:eastAsia="方正楷体_GBK" w:cs="方正楷体_GBK"/>
          <w:i w:val="0"/>
          <w:caps w:val="0"/>
          <w:color w:val="333333"/>
          <w:spacing w:val="0"/>
          <w:sz w:val="32"/>
          <w:szCs w:val="32"/>
          <w:shd w:val="clear" w:fill="FFFFFF"/>
        </w:rPr>
        <w:t>严格落实应急处置责任</w:t>
      </w:r>
    </w:p>
    <w:p>
      <w:pPr>
        <w:pStyle w:val="31"/>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针对本机构可能发生的生产安全事故特点及危害，应制定相应的应急救援预案，配备与本机构风险等级相适应的应急救援装备和物资，建立专（兼）职人员组成的应急救援队伍并明确岗位职责和应急处置要点，熟练操作应急救援装备器材，提高处置突发情况和自救互救能力。</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遇有安全事故，机构法定代表人和实际控制人必须第一时间到达事件现场，立即启动应急救援预案，采取有效措施组织抢救，防止事故扩大。并严格遵守事故报告有关规定，按照报告时限、内容、方式、对象等要求，及时、完整、客观地向所属镇街和业务主管部门报告，不得瞒报、漏报、谎报、迟报。</w:t>
      </w:r>
    </w:p>
    <w:p>
      <w:pPr>
        <w:pStyle w:val="31"/>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auto"/>
          <w:kern w:val="2"/>
          <w:sz w:val="32"/>
          <w:szCs w:val="32"/>
          <w:lang w:val="en-US" w:eastAsia="zh-CN" w:bidi="ar-SA"/>
        </w:rPr>
        <w:t>3.主动配合有关部门对责任事故的调查处理，妥善做好事故善后工作，深刻吸取事故教训，按照事故调查报告全面落实整改措施，并接受监督检查。重视加强对轻微事故、未遂事故的调查处理及原因分析，研究落实预防改进措施，防范人员伤亡和有较大财产损失的事故发生。</w:t>
      </w:r>
    </w:p>
    <w:p>
      <w:pPr>
        <w:keepNext w:val="0"/>
        <w:keepLines w:val="0"/>
        <w:pageBreakBefore w:val="0"/>
        <w:kinsoku/>
        <w:wordWrap/>
        <w:overflowPunct/>
        <w:topLinePunct w:val="0"/>
        <w:autoSpaceDE/>
        <w:autoSpaceDN/>
        <w:bidi w:val="0"/>
        <w:spacing w:line="594" w:lineRule="exact"/>
        <w:textAlignment w:val="auto"/>
      </w:pPr>
    </w:p>
    <w:p>
      <w:pPr>
        <w:pageBreakBefore w:val="0"/>
        <w:kinsoku/>
        <w:wordWrap/>
        <w:overflowPunct/>
        <w:topLinePunct w:val="0"/>
        <w:autoSpaceDE/>
        <w:autoSpaceDN/>
        <w:bidi w:val="0"/>
        <w:spacing w:line="594" w:lineRule="exact"/>
        <w:textAlignment w:val="auto"/>
      </w:pPr>
    </w:p>
    <w:p>
      <w:pPr>
        <w:pageBreakBefore w:val="0"/>
        <w:kinsoku/>
        <w:wordWrap/>
        <w:overflowPunct/>
        <w:topLinePunct w:val="0"/>
        <w:autoSpaceDE/>
        <w:autoSpaceDN/>
        <w:bidi w:val="0"/>
        <w:spacing w:line="594" w:lineRule="exact"/>
        <w:textAlignment w:val="auto"/>
        <w:rPr>
          <w:rFonts w:hint="default"/>
          <w:lang w:val="en-US" w:eastAsia="zh-CN"/>
        </w:rPr>
      </w:pPr>
    </w:p>
    <w:p>
      <w:pPr>
        <w:pStyle w:val="2"/>
        <w:pageBreakBefore w:val="0"/>
        <w:kinsoku/>
        <w:wordWrap/>
        <w:overflowPunct/>
        <w:topLinePunct w:val="0"/>
        <w:autoSpaceDE/>
        <w:autoSpaceDN/>
        <w:bidi w:val="0"/>
        <w:spacing w:line="594" w:lineRule="exact"/>
        <w:textAlignment w:val="auto"/>
        <w:rPr>
          <w:rFonts w:hint="default"/>
          <w:lang w:val="en-US" w:eastAsia="zh-CN"/>
        </w:rPr>
      </w:pPr>
    </w:p>
    <w:p>
      <w:pPr>
        <w:pageBreakBefore w:val="0"/>
        <w:kinsoku/>
        <w:wordWrap/>
        <w:overflowPunct/>
        <w:topLinePunct w:val="0"/>
        <w:autoSpaceDE/>
        <w:autoSpaceDN/>
        <w:bidi w:val="0"/>
        <w:spacing w:line="594" w:lineRule="exact"/>
        <w:textAlignment w:val="auto"/>
        <w:rPr>
          <w:rFonts w:hint="default"/>
          <w:lang w:val="en-US" w:eastAsia="zh-CN"/>
        </w:rPr>
      </w:pPr>
    </w:p>
    <w:p>
      <w:pPr>
        <w:pageBreakBefore w:val="0"/>
        <w:kinsoku/>
        <w:wordWrap/>
        <w:overflowPunct/>
        <w:topLinePunct w:val="0"/>
        <w:autoSpaceDE/>
        <w:autoSpaceDN/>
        <w:bidi w:val="0"/>
        <w:spacing w:line="594" w:lineRule="exact"/>
        <w:textAlignment w:val="auto"/>
        <w:rPr>
          <w:rFonts w:hint="default"/>
          <w:lang w:val="en-US" w:eastAsia="zh-CN"/>
        </w:rPr>
      </w:pPr>
    </w:p>
    <w:p>
      <w:pPr>
        <w:pStyle w:val="2"/>
        <w:pageBreakBefore w:val="0"/>
        <w:kinsoku/>
        <w:wordWrap/>
        <w:overflowPunct/>
        <w:topLinePunct w:val="0"/>
        <w:autoSpaceDE/>
        <w:autoSpaceDN/>
        <w:bidi w:val="0"/>
        <w:adjustRightInd/>
        <w:snapToGrid/>
        <w:spacing w:before="0" w:after="0" w:line="594" w:lineRule="exac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附件3</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b w:val="0"/>
          <w:bCs/>
          <w:sz w:val="44"/>
          <w:szCs w:val="44"/>
          <w:lang w:eastAsia="zh-CN"/>
        </w:rPr>
      </w:pPr>
      <w:r>
        <w:rPr>
          <w:rStyle w:val="20"/>
          <w:rFonts w:hint="default" w:ascii="Times New Roman" w:hAnsi="Times New Roman" w:eastAsia="方正小标宋_GBK" w:cs="Times New Roman"/>
          <w:b w:val="0"/>
          <w:bCs/>
          <w:i w:val="0"/>
          <w:caps w:val="0"/>
          <w:color w:val="000000"/>
          <w:spacing w:val="0"/>
          <w:sz w:val="44"/>
          <w:szCs w:val="44"/>
          <w:lang w:eastAsia="zh-CN"/>
        </w:rPr>
        <w:t>铜梁区</w:t>
      </w:r>
      <w:r>
        <w:rPr>
          <w:rStyle w:val="20"/>
          <w:rFonts w:hint="default" w:ascii="Times New Roman" w:hAnsi="Times New Roman" w:eastAsia="方正小标宋_GBK" w:cs="Times New Roman"/>
          <w:b w:val="0"/>
          <w:bCs/>
          <w:i w:val="0"/>
          <w:caps w:val="0"/>
          <w:color w:val="000000"/>
          <w:spacing w:val="0"/>
          <w:sz w:val="44"/>
          <w:szCs w:val="44"/>
        </w:rPr>
        <w:t>养老机构安全管理</w:t>
      </w:r>
      <w:r>
        <w:rPr>
          <w:rStyle w:val="20"/>
          <w:rFonts w:hint="eastAsia" w:ascii="Times New Roman" w:hAnsi="Times New Roman" w:eastAsia="方正小标宋_GBK" w:cs="Times New Roman"/>
          <w:b w:val="0"/>
          <w:bCs/>
          <w:i w:val="0"/>
          <w:caps w:val="0"/>
          <w:color w:val="000000"/>
          <w:spacing w:val="0"/>
          <w:sz w:val="44"/>
          <w:szCs w:val="44"/>
          <w:lang w:eastAsia="zh-CN"/>
        </w:rPr>
        <w:t>制度</w:t>
      </w:r>
      <w:r>
        <w:rPr>
          <w:rStyle w:val="20"/>
          <w:rFonts w:hint="default" w:ascii="Times New Roman" w:hAnsi="Times New Roman" w:eastAsia="方正小标宋_GBK" w:cs="Times New Roman"/>
          <w:b w:val="0"/>
          <w:bCs/>
          <w:i w:val="0"/>
          <w:caps w:val="0"/>
          <w:color w:val="000000"/>
          <w:spacing w:val="0"/>
          <w:sz w:val="44"/>
          <w:szCs w:val="44"/>
          <w:lang w:eastAsia="zh-CN"/>
        </w:rPr>
        <w:t>清单</w:t>
      </w:r>
    </w:p>
    <w:p>
      <w:pPr>
        <w:pStyle w:val="31"/>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b/>
          <w:color w:val="000000"/>
          <w:sz w:val="32"/>
          <w:szCs w:val="32"/>
        </w:rPr>
      </w:pPr>
    </w:p>
    <w:p>
      <w:pPr>
        <w:pStyle w:val="12"/>
        <w:pageBreakBefore w:val="0"/>
        <w:tabs>
          <w:tab w:val="right" w:leader="dot" w:pos="8845"/>
        </w:tabs>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val="en-US" w:eastAsia="zh-CN"/>
        </w:rPr>
        <w:t>一、组织管理制度清单</w:t>
      </w:r>
    </w:p>
    <w:p>
      <w:pPr>
        <w:pStyle w:val="13"/>
        <w:pageBreakBefore w:val="0"/>
        <w:tabs>
          <w:tab w:val="right" w:leader="dot" w:pos="8845"/>
        </w:tabs>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_Toc23816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院长目标责任制度、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_Toc15650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工作人员岗位责任制</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度、</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_Toc3762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院务管理委员会</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议制度、</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_Toc22684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膳食委员会</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议制度、</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_Toc8092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安全网格</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制度、</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_Toc9616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应急</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_Toc2690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安全领导制</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度、</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_Toc7974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安全检查</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制度。</w:t>
      </w:r>
    </w:p>
    <w:p>
      <w:pPr>
        <w:pStyle w:val="12"/>
        <w:pageBreakBefore w:val="0"/>
        <w:tabs>
          <w:tab w:val="right" w:leader="dot" w:pos="8845"/>
        </w:tabs>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fldChar w:fldCharType="begin"/>
      </w:r>
      <w:r>
        <w:rPr>
          <w:rFonts w:hint="eastAsia" w:ascii="方正黑体_GBK" w:hAnsi="方正黑体_GBK" w:eastAsia="方正黑体_GBK" w:cs="方正黑体_GBK"/>
          <w:sz w:val="32"/>
          <w:szCs w:val="32"/>
          <w:lang w:val="en-US" w:eastAsia="zh-CN"/>
        </w:rPr>
        <w:instrText xml:space="preserve"> HYPERLINK \l _Toc500 </w:instrText>
      </w:r>
      <w:r>
        <w:rPr>
          <w:rFonts w:hint="eastAsia" w:ascii="方正黑体_GBK" w:hAnsi="方正黑体_GBK" w:eastAsia="方正黑体_GBK" w:cs="方正黑体_GBK"/>
          <w:sz w:val="32"/>
          <w:szCs w:val="32"/>
          <w:lang w:val="en-US" w:eastAsia="zh-CN"/>
        </w:rPr>
        <w:fldChar w:fldCharType="separate"/>
      </w:r>
      <w:r>
        <w:rPr>
          <w:rFonts w:hint="eastAsia" w:ascii="方正黑体_GBK" w:hAnsi="方正黑体_GBK" w:eastAsia="方正黑体_GBK" w:cs="方正黑体_GBK"/>
          <w:sz w:val="32"/>
          <w:szCs w:val="32"/>
          <w:lang w:val="en-US" w:eastAsia="zh-CN"/>
        </w:rPr>
        <w:t>二、日常工作制度</w:t>
      </w:r>
      <w:r>
        <w:rPr>
          <w:rFonts w:hint="eastAsia" w:ascii="方正黑体_GBK" w:hAnsi="方正黑体_GBK" w:eastAsia="方正黑体_GBK" w:cs="方正黑体_GBK"/>
          <w:sz w:val="32"/>
          <w:szCs w:val="32"/>
          <w:lang w:val="en-US" w:eastAsia="zh-CN"/>
        </w:rPr>
        <w:fldChar w:fldCharType="end"/>
      </w:r>
      <w:r>
        <w:rPr>
          <w:rFonts w:hint="eastAsia" w:ascii="方正黑体_GBK" w:hAnsi="方正黑体_GBK" w:eastAsia="方正黑体_GBK" w:cs="方正黑体_GBK"/>
          <w:sz w:val="32"/>
          <w:szCs w:val="32"/>
          <w:lang w:val="en-US" w:eastAsia="zh-CN"/>
        </w:rPr>
        <w:t>清单</w:t>
      </w:r>
    </w:p>
    <w:p>
      <w:pPr>
        <w:pStyle w:val="3"/>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fldChar w:fldCharType="begin"/>
      </w:r>
      <w:r>
        <w:rPr>
          <w:rFonts w:hint="eastAsia" w:ascii="方正仿宋_GBK" w:hAnsi="方正仿宋_GBK" w:eastAsia="方正仿宋_GBK" w:cs="方正仿宋_GBK"/>
          <w:b w:val="0"/>
          <w:kern w:val="2"/>
          <w:sz w:val="32"/>
          <w:szCs w:val="32"/>
          <w:lang w:val="en-US" w:eastAsia="zh-CN" w:bidi="ar-SA"/>
        </w:rPr>
        <w:instrText xml:space="preserve"> HYPERLINK \l _Toc23434 </w:instrText>
      </w:r>
      <w:r>
        <w:rPr>
          <w:rFonts w:hint="eastAsia" w:ascii="方正仿宋_GBK" w:hAnsi="方正仿宋_GBK" w:eastAsia="方正仿宋_GBK" w:cs="方正仿宋_GBK"/>
          <w:b w:val="0"/>
          <w:kern w:val="2"/>
          <w:sz w:val="32"/>
          <w:szCs w:val="32"/>
          <w:lang w:val="en-US" w:eastAsia="zh-CN" w:bidi="ar-SA"/>
        </w:rPr>
        <w:fldChar w:fldCharType="separate"/>
      </w:r>
      <w:r>
        <w:rPr>
          <w:rFonts w:hint="eastAsia" w:ascii="方正仿宋_GBK" w:hAnsi="方正仿宋_GBK" w:eastAsia="方正仿宋_GBK" w:cs="方正仿宋_GBK"/>
          <w:b w:val="0"/>
          <w:kern w:val="2"/>
          <w:sz w:val="32"/>
          <w:szCs w:val="32"/>
          <w:lang w:val="en-US" w:eastAsia="zh-CN" w:bidi="ar-SA"/>
        </w:rPr>
        <w:t>值班带班制度</w:t>
      </w:r>
      <w:r>
        <w:rPr>
          <w:rFonts w:hint="eastAsia" w:ascii="方正仿宋_GBK" w:hAnsi="方正仿宋_GBK" w:eastAsia="方正仿宋_GBK" w:cs="方正仿宋_GBK"/>
          <w:b w:val="0"/>
          <w:kern w:val="2"/>
          <w:sz w:val="32"/>
          <w:szCs w:val="32"/>
          <w:lang w:val="en-US" w:eastAsia="zh-CN" w:bidi="ar-SA"/>
        </w:rPr>
        <w:fldChar w:fldCharType="end"/>
      </w:r>
      <w:r>
        <w:rPr>
          <w:rFonts w:hint="eastAsia" w:ascii="方正仿宋_GBK" w:hAnsi="方正仿宋_GBK" w:eastAsia="方正仿宋_GBK" w:cs="方正仿宋_GBK"/>
          <w:b w:val="0"/>
          <w:kern w:val="2"/>
          <w:sz w:val="32"/>
          <w:szCs w:val="32"/>
          <w:lang w:val="en-US" w:eastAsia="zh-CN" w:bidi="ar-SA"/>
        </w:rPr>
        <w:t>、安全保卫制度、经济财务制度、卫生保洁制度、分级护理制度、请销假制度、教育学习制度、</w:t>
      </w:r>
      <w:r>
        <w:rPr>
          <w:rFonts w:hint="eastAsia" w:ascii="方正仿宋_GBK" w:hAnsi="方正仿宋_GBK" w:eastAsia="方正仿宋_GBK" w:cs="方正仿宋_GBK"/>
          <w:b w:val="0"/>
          <w:kern w:val="2"/>
          <w:sz w:val="32"/>
          <w:szCs w:val="32"/>
          <w:lang w:val="en-US" w:eastAsia="zh-CN" w:bidi="ar-SA"/>
        </w:rPr>
        <w:fldChar w:fldCharType="begin"/>
      </w:r>
      <w:r>
        <w:rPr>
          <w:rFonts w:hint="eastAsia" w:ascii="方正仿宋_GBK" w:hAnsi="方正仿宋_GBK" w:eastAsia="方正仿宋_GBK" w:cs="方正仿宋_GBK"/>
          <w:b w:val="0"/>
          <w:kern w:val="2"/>
          <w:sz w:val="32"/>
          <w:szCs w:val="32"/>
          <w:lang w:val="en-US" w:eastAsia="zh-CN" w:bidi="ar-SA"/>
        </w:rPr>
        <w:instrText xml:space="preserve"> HYPERLINK \l _Toc29497 </w:instrText>
      </w:r>
      <w:r>
        <w:rPr>
          <w:rFonts w:hint="eastAsia" w:ascii="方正仿宋_GBK" w:hAnsi="方正仿宋_GBK" w:eastAsia="方正仿宋_GBK" w:cs="方正仿宋_GBK"/>
          <w:b w:val="0"/>
          <w:kern w:val="2"/>
          <w:sz w:val="32"/>
          <w:szCs w:val="32"/>
          <w:lang w:val="en-US" w:eastAsia="zh-CN" w:bidi="ar-SA"/>
        </w:rPr>
        <w:fldChar w:fldCharType="separate"/>
      </w:r>
      <w:r>
        <w:rPr>
          <w:rFonts w:hint="eastAsia" w:ascii="方正仿宋_GBK" w:hAnsi="方正仿宋_GBK" w:eastAsia="方正仿宋_GBK" w:cs="方正仿宋_GBK"/>
          <w:b w:val="0"/>
          <w:kern w:val="2"/>
          <w:sz w:val="32"/>
          <w:szCs w:val="32"/>
          <w:lang w:val="en-US" w:eastAsia="zh-CN" w:bidi="ar-SA"/>
        </w:rPr>
        <w:t>一日生活制度 </w:t>
      </w:r>
      <w:r>
        <w:rPr>
          <w:rFonts w:hint="eastAsia" w:ascii="方正仿宋_GBK" w:hAnsi="方正仿宋_GBK" w:eastAsia="方正仿宋_GBK" w:cs="方正仿宋_GBK"/>
          <w:b w:val="0"/>
          <w:kern w:val="2"/>
          <w:sz w:val="32"/>
          <w:szCs w:val="32"/>
          <w:lang w:val="en-US" w:eastAsia="zh-CN" w:bidi="ar-SA"/>
        </w:rPr>
        <w:fldChar w:fldCharType="end"/>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b w:val="0"/>
          <w:kern w:val="2"/>
          <w:sz w:val="32"/>
          <w:szCs w:val="32"/>
          <w:lang w:val="en-US" w:eastAsia="zh-CN" w:bidi="ar-SA"/>
        </w:rPr>
        <w:fldChar w:fldCharType="begin"/>
      </w:r>
      <w:r>
        <w:rPr>
          <w:rFonts w:hint="eastAsia" w:ascii="方正仿宋_GBK" w:hAnsi="方正仿宋_GBK" w:eastAsia="方正仿宋_GBK" w:cs="方正仿宋_GBK"/>
          <w:b w:val="0"/>
          <w:kern w:val="2"/>
          <w:sz w:val="32"/>
          <w:szCs w:val="32"/>
          <w:lang w:val="en-US" w:eastAsia="zh-CN" w:bidi="ar-SA"/>
        </w:rPr>
        <w:instrText xml:space="preserve"> HYPERLINK \l _Toc29756 </w:instrText>
      </w:r>
      <w:r>
        <w:rPr>
          <w:rFonts w:hint="eastAsia" w:ascii="方正仿宋_GBK" w:hAnsi="方正仿宋_GBK" w:eastAsia="方正仿宋_GBK" w:cs="方正仿宋_GBK"/>
          <w:b w:val="0"/>
          <w:kern w:val="2"/>
          <w:sz w:val="32"/>
          <w:szCs w:val="32"/>
          <w:lang w:val="en-US" w:eastAsia="zh-CN" w:bidi="ar-SA"/>
        </w:rPr>
        <w:fldChar w:fldCharType="separate"/>
      </w:r>
      <w:r>
        <w:rPr>
          <w:rFonts w:hint="eastAsia" w:ascii="方正仿宋_GBK" w:hAnsi="方正仿宋_GBK" w:eastAsia="方正仿宋_GBK" w:cs="方正仿宋_GBK"/>
          <w:b w:val="0"/>
          <w:kern w:val="2"/>
          <w:sz w:val="32"/>
          <w:szCs w:val="32"/>
          <w:lang w:val="en-US" w:eastAsia="zh-CN" w:bidi="ar-SA"/>
        </w:rPr>
        <w:t>五好老人评比制</w:t>
      </w:r>
      <w:r>
        <w:rPr>
          <w:rFonts w:hint="eastAsia" w:ascii="方正仿宋_GBK" w:hAnsi="方正仿宋_GBK" w:eastAsia="方正仿宋_GBK" w:cs="方正仿宋_GBK"/>
          <w:b w:val="0"/>
          <w:kern w:val="2"/>
          <w:sz w:val="32"/>
          <w:szCs w:val="32"/>
          <w:lang w:val="en-US" w:eastAsia="zh-CN" w:bidi="ar-SA"/>
        </w:rPr>
        <w:fldChar w:fldCharType="end"/>
      </w:r>
      <w:r>
        <w:rPr>
          <w:rFonts w:hint="eastAsia" w:ascii="方正仿宋_GBK" w:hAnsi="方正仿宋_GBK" w:eastAsia="方正仿宋_GBK" w:cs="方正仿宋_GBK"/>
          <w:b w:val="0"/>
          <w:kern w:val="2"/>
          <w:sz w:val="32"/>
          <w:szCs w:val="32"/>
          <w:lang w:val="en-US" w:eastAsia="zh-CN" w:bidi="ar-SA"/>
        </w:rPr>
        <w:t>度。</w:t>
      </w:r>
    </w:p>
    <w:p>
      <w:pPr>
        <w:pStyle w:val="12"/>
        <w:pageBreakBefore w:val="0"/>
        <w:tabs>
          <w:tab w:val="right" w:leader="dot" w:pos="8845"/>
        </w:tabs>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lang w:val="en-US" w:eastAsia="zh-CN"/>
        </w:rPr>
        <w:fldChar w:fldCharType="begin"/>
      </w:r>
      <w:r>
        <w:rPr>
          <w:rFonts w:hint="eastAsia" w:ascii="方正黑体_GBK" w:hAnsi="方正黑体_GBK" w:eastAsia="方正黑体_GBK" w:cs="方正黑体_GBK"/>
          <w:sz w:val="32"/>
          <w:szCs w:val="32"/>
          <w:lang w:val="en-US" w:eastAsia="zh-CN"/>
        </w:rPr>
        <w:instrText xml:space="preserve"> HYPERLINK \l _Toc22914 </w:instrText>
      </w:r>
      <w:r>
        <w:rPr>
          <w:rFonts w:hint="eastAsia" w:ascii="方正黑体_GBK" w:hAnsi="方正黑体_GBK" w:eastAsia="方正黑体_GBK" w:cs="方正黑体_GBK"/>
          <w:sz w:val="32"/>
          <w:szCs w:val="32"/>
          <w:lang w:val="en-US" w:eastAsia="zh-CN"/>
        </w:rPr>
        <w:fldChar w:fldCharType="separate"/>
      </w:r>
      <w:r>
        <w:rPr>
          <w:rFonts w:hint="eastAsia" w:ascii="方正黑体_GBK" w:hAnsi="方正黑体_GBK" w:eastAsia="方正黑体_GBK" w:cs="方正黑体_GBK"/>
          <w:sz w:val="32"/>
          <w:szCs w:val="32"/>
          <w:lang w:val="en-US" w:eastAsia="zh-CN"/>
        </w:rPr>
        <w:t>消防安全制度</w:t>
      </w:r>
      <w:r>
        <w:rPr>
          <w:rFonts w:hint="eastAsia" w:ascii="方正黑体_GBK" w:hAnsi="方正黑体_GBK" w:eastAsia="方正黑体_GBK" w:cs="方正黑体_GBK"/>
          <w:sz w:val="32"/>
          <w:szCs w:val="32"/>
          <w:lang w:val="en-US" w:eastAsia="zh-CN"/>
        </w:rPr>
        <w:fldChar w:fldCharType="end"/>
      </w:r>
      <w:r>
        <w:rPr>
          <w:rFonts w:hint="eastAsia" w:ascii="方正黑体_GBK" w:hAnsi="方正黑体_GBK" w:eastAsia="方正黑体_GBK" w:cs="方正黑体_GBK"/>
          <w:sz w:val="32"/>
          <w:szCs w:val="32"/>
          <w:lang w:val="en-US" w:eastAsia="zh-CN"/>
        </w:rPr>
        <w:t>清单</w:t>
      </w:r>
    </w:p>
    <w:p>
      <w:pPr>
        <w:pStyle w:val="9"/>
        <w:pageBreakBefore w:val="0"/>
        <w:tabs>
          <w:tab w:val="right" w:leader="dot" w:pos="8845"/>
        </w:tabs>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_Toc800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消防安全教育宣传培训制度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_Toc888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防火安全制度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_Toc517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应急疏散预案及演练制度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_Toc25107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消防日巡查制度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_Toc24443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疏散设施和消防器材定期检查维护保养制度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_Toc15484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燃气电器设备管理制度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_Toc23552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消防安全员</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制度、</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_Toc30538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消防安全工作例会制度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_Toc8091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火灾隐患整改制度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_Toc16654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消防安全工作奖惩制度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_Toc12974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消防值班制度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_Toc11346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专职和义务消防队的组织管理制度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_Toc8843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易燃易爆等化学危险物品管理制度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p>
    <w:p>
      <w:pPr>
        <w:pStyle w:val="12"/>
        <w:pageBreakBefore w:val="0"/>
        <w:tabs>
          <w:tab w:val="right" w:leader="dot" w:pos="8845"/>
        </w:tabs>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lang w:val="en-US" w:eastAsia="zh-CN"/>
        </w:rPr>
        <w:fldChar w:fldCharType="begin"/>
      </w:r>
      <w:r>
        <w:rPr>
          <w:rFonts w:hint="eastAsia" w:ascii="方正黑体_GBK" w:hAnsi="方正黑体_GBK" w:eastAsia="方正黑体_GBK" w:cs="方正黑体_GBK"/>
          <w:sz w:val="32"/>
          <w:szCs w:val="32"/>
          <w:lang w:val="en-US" w:eastAsia="zh-CN"/>
        </w:rPr>
        <w:instrText xml:space="preserve"> HYPERLINK \l _Toc27235 </w:instrText>
      </w:r>
      <w:r>
        <w:rPr>
          <w:rFonts w:hint="eastAsia" w:ascii="方正黑体_GBK" w:hAnsi="方正黑体_GBK" w:eastAsia="方正黑体_GBK" w:cs="方正黑体_GBK"/>
          <w:sz w:val="32"/>
          <w:szCs w:val="32"/>
          <w:lang w:val="en-US" w:eastAsia="zh-CN"/>
        </w:rPr>
        <w:fldChar w:fldCharType="separate"/>
      </w:r>
      <w:r>
        <w:rPr>
          <w:rFonts w:hint="eastAsia" w:ascii="方正黑体_GBK" w:hAnsi="方正黑体_GBK" w:eastAsia="方正黑体_GBK" w:cs="方正黑体_GBK"/>
          <w:sz w:val="32"/>
          <w:szCs w:val="32"/>
          <w:lang w:val="en-US" w:eastAsia="zh-CN"/>
        </w:rPr>
        <w:t>食品卫生制度</w:t>
      </w:r>
      <w:r>
        <w:rPr>
          <w:rFonts w:hint="eastAsia" w:ascii="方正黑体_GBK" w:hAnsi="方正黑体_GBK" w:eastAsia="方正黑体_GBK" w:cs="方正黑体_GBK"/>
          <w:sz w:val="32"/>
          <w:szCs w:val="32"/>
          <w:lang w:val="en-US" w:eastAsia="zh-CN"/>
        </w:rPr>
        <w:fldChar w:fldCharType="end"/>
      </w:r>
      <w:r>
        <w:rPr>
          <w:rFonts w:hint="eastAsia" w:ascii="方正黑体_GBK" w:hAnsi="方正黑体_GBK" w:eastAsia="方正黑体_GBK" w:cs="方正黑体_GBK"/>
          <w:sz w:val="32"/>
          <w:szCs w:val="32"/>
          <w:lang w:val="en-US" w:eastAsia="zh-CN"/>
        </w:rPr>
        <w:t>清单</w:t>
      </w:r>
    </w:p>
    <w:p>
      <w:pPr>
        <w:pStyle w:val="9"/>
        <w:pageBreakBefore w:val="0"/>
        <w:tabs>
          <w:tab w:val="right" w:leader="dot" w:pos="8845"/>
        </w:tabs>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_Toc22403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饮食卫生制度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_Toc13728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膳食服务制度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_Toc12078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食品安全自查管理制度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_Toc22638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食品进货查验制度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_Toc21300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食品索证索票制度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_Toc11271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食品粗加工管理制度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_Toc12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食品添加剂管理制度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_Toc31407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餐具消毒制度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_Toc12315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食品留样制度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_Toc17288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餐厨垃圾管理制度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_Toc17184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库存食品检查制度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_Toc23353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就餐管理制度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_Toc22253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从业人员健康管理和培训管理制度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_Toc20867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食品安全事故处置制</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度、</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_Toc15685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仓储管理制度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p>
    <w:p>
      <w:pPr>
        <w:pStyle w:val="9"/>
        <w:pageBreakBefore w:val="0"/>
        <w:tabs>
          <w:tab w:val="right" w:leader="dot" w:pos="8845"/>
        </w:tabs>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五、服务</w:t>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_Toc17818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管理制度</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lang w:eastAsia="zh-CN"/>
        </w:rPr>
        <w:t>清单</w:t>
      </w:r>
    </w:p>
    <w:p>
      <w:pPr>
        <w:pStyle w:val="9"/>
        <w:pageBreakBefore w:val="0"/>
        <w:tabs>
          <w:tab w:val="right" w:leader="dot" w:pos="8845"/>
        </w:tabs>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_Toc19996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出入院评估制度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_Toc12309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照护制度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_Toc6305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服务人员考核制度、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_Toc31106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服务投诉处理制度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_Toc30079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外来人员探视制度、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_Toc6940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社工服务制度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_Toc15673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临终关怀制度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_Toc16119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药品管理制度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_Toc24236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信息保密制度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_Toc14641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档案管理制度</w:t>
      </w:r>
      <w:r>
        <w:rPr>
          <w:rFonts w:hint="eastAsia" w:ascii="方正仿宋_GBK" w:hAnsi="方正仿宋_GBK" w:eastAsia="方正仿宋_GBK" w:cs="方正仿宋_GBK"/>
          <w:kern w:val="2"/>
          <w:sz w:val="32"/>
          <w:szCs w:val="32"/>
          <w:lang w:val="en-US" w:eastAsia="zh-CN" w:bidi="ar-SA"/>
        </w:rPr>
        <w:fldChar w:fldCharType="end"/>
      </w:r>
      <w:r>
        <w:rPr>
          <w:rFonts w:hint="eastAsia" w:ascii="方正仿宋_GBK" w:hAnsi="方正仿宋_GBK" w:eastAsia="方正仿宋_GBK" w:cs="方正仿宋_GBK"/>
          <w:kern w:val="2"/>
          <w:sz w:val="32"/>
          <w:szCs w:val="32"/>
          <w:lang w:val="en-US" w:eastAsia="zh-CN" w:bidi="ar-SA"/>
        </w:rPr>
        <w:t>。</w:t>
      </w:r>
    </w:p>
    <w:p>
      <w:pPr>
        <w:pageBreakBefore w:val="0"/>
        <w:kinsoku/>
        <w:wordWrap/>
        <w:overflowPunct/>
        <w:topLinePunct w:val="0"/>
        <w:autoSpaceDE/>
        <w:autoSpaceDN/>
        <w:bidi w:val="0"/>
        <w:spacing w:line="594" w:lineRule="exact"/>
        <w:jc w:val="both"/>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spacing w:line="594" w:lineRule="exact"/>
        <w:textAlignment w:val="auto"/>
        <w:rPr>
          <w:rFonts w:hint="default"/>
          <w:lang w:val="en-US" w:eastAsia="zh-CN"/>
        </w:rPr>
      </w:pPr>
    </w:p>
    <w:p>
      <w:pPr>
        <w:pageBreakBefore w:val="0"/>
        <w:kinsoku/>
        <w:wordWrap/>
        <w:overflowPunct/>
        <w:topLinePunct w:val="0"/>
        <w:autoSpaceDE/>
        <w:autoSpaceDN/>
        <w:bidi w:val="0"/>
        <w:spacing w:line="594" w:lineRule="exact"/>
        <w:textAlignment w:val="auto"/>
        <w:rPr>
          <w:rFonts w:hint="default"/>
          <w:lang w:val="en-US" w:eastAsia="zh-CN"/>
        </w:rPr>
      </w:pPr>
    </w:p>
    <w:p>
      <w:pPr>
        <w:pStyle w:val="22"/>
        <w:ind w:left="0" w:leftChars="0" w:firstLine="0" w:firstLineChars="0"/>
        <w:rPr>
          <w:rFonts w:hint="default" w:ascii="Times New Roman" w:hAnsi="Times New Roman" w:eastAsia="方正黑体_GBK" w:cs="Times New Roman"/>
          <w:color w:val="auto"/>
          <w:sz w:val="32"/>
          <w:szCs w:val="32"/>
          <w:lang w:val="en-US" w:eastAsia="zh-CN"/>
        </w:rPr>
      </w:pPr>
    </w:p>
    <w:p>
      <w:pPr>
        <w:pStyle w:val="22"/>
        <w:ind w:left="0" w:leftChars="0" w:firstLine="0" w:firstLineChars="0"/>
        <w:rPr>
          <w:rFonts w:hint="default" w:ascii="Times New Roman" w:hAnsi="Times New Roman" w:eastAsia="方正黑体_GBK" w:cs="Times New Roman"/>
          <w:color w:val="auto"/>
          <w:sz w:val="32"/>
          <w:szCs w:val="32"/>
          <w:lang w:val="en-US" w:eastAsia="zh-CN"/>
        </w:rPr>
      </w:pPr>
    </w:p>
    <w:p>
      <w:pPr>
        <w:pStyle w:val="22"/>
        <w:ind w:left="0" w:leftChars="0" w:firstLine="0" w:firstLineChars="0"/>
        <w:rPr>
          <w:rFonts w:hint="default" w:ascii="Times New Roman" w:hAnsi="Times New Roman" w:eastAsia="方正黑体_GBK" w:cs="Times New Roman"/>
          <w:color w:val="auto"/>
          <w:sz w:val="32"/>
          <w:szCs w:val="32"/>
          <w:lang w:val="en-US" w:eastAsia="zh-CN"/>
        </w:rPr>
      </w:pPr>
    </w:p>
    <w:p>
      <w:pPr>
        <w:pStyle w:val="22"/>
        <w:ind w:left="0" w:leftChars="0" w:firstLine="0" w:firstLineChars="0"/>
        <w:rPr>
          <w:rFonts w:hint="default" w:ascii="Times New Roman" w:hAnsi="Times New Roman" w:eastAsia="方正黑体_GBK" w:cs="Times New Roman"/>
          <w:color w:val="auto"/>
          <w:sz w:val="32"/>
          <w:szCs w:val="32"/>
          <w:lang w:val="en-US" w:eastAsia="zh-CN"/>
        </w:rPr>
      </w:pPr>
    </w:p>
    <w:p>
      <w:pPr>
        <w:pStyle w:val="22"/>
        <w:ind w:left="0" w:leftChars="0" w:firstLine="0" w:firstLineChars="0"/>
        <w:rPr>
          <w:rFonts w:hint="default" w:ascii="Times New Roman" w:hAnsi="Times New Roman" w:eastAsia="方正黑体_GBK" w:cs="Times New Roman"/>
          <w:color w:val="auto"/>
          <w:sz w:val="32"/>
          <w:szCs w:val="32"/>
          <w:lang w:val="en-US" w:eastAsia="zh-CN"/>
        </w:rPr>
      </w:pPr>
    </w:p>
    <w:p>
      <w:pPr>
        <w:pStyle w:val="22"/>
        <w:ind w:left="0" w:leftChars="0" w:firstLine="0" w:firstLineChars="0"/>
        <w:rPr>
          <w:rFonts w:hint="default" w:ascii="Times New Roman" w:hAnsi="Times New Roman" w:eastAsia="方正黑体_GBK" w:cs="Times New Roman"/>
          <w:color w:val="auto"/>
          <w:sz w:val="32"/>
          <w:szCs w:val="32"/>
          <w:lang w:val="en-US" w:eastAsia="zh-CN"/>
        </w:rPr>
      </w:pPr>
    </w:p>
    <w:p>
      <w:pPr>
        <w:pStyle w:val="22"/>
        <w:ind w:left="0" w:leftChars="0" w:firstLine="0" w:firstLineChars="0"/>
        <w:rPr>
          <w:rFonts w:hint="default" w:ascii="Times New Roman" w:hAnsi="Times New Roman" w:eastAsia="方正黑体_GBK" w:cs="Times New Roman"/>
          <w:color w:val="auto"/>
          <w:sz w:val="32"/>
          <w:szCs w:val="32"/>
          <w:lang w:val="en-US" w:eastAsia="zh-CN"/>
        </w:rPr>
      </w:pPr>
    </w:p>
    <w:p>
      <w:pPr>
        <w:pStyle w:val="22"/>
        <w:ind w:left="0" w:leftChars="0" w:firstLine="0" w:firstLineChars="0"/>
        <w:rPr>
          <w:rFonts w:hint="default" w:ascii="Times New Roman" w:hAnsi="Times New Roman" w:eastAsia="方正黑体_GBK" w:cs="Times New Roman"/>
          <w:color w:val="auto"/>
          <w:sz w:val="32"/>
          <w:szCs w:val="32"/>
          <w:lang w:val="en-US" w:eastAsia="zh-CN"/>
        </w:rPr>
      </w:pPr>
    </w:p>
    <w:p>
      <w:pPr>
        <w:pStyle w:val="22"/>
        <w:ind w:left="0" w:leftChars="0" w:firstLine="0" w:firstLineChars="0"/>
        <w:rPr>
          <w:rFonts w:hint="default" w:ascii="Times New Roman" w:hAnsi="Times New Roman" w:eastAsia="方正黑体_GBK" w:cs="Times New Roman"/>
          <w:color w:val="auto"/>
          <w:sz w:val="32"/>
          <w:szCs w:val="32"/>
          <w:lang w:val="en-US" w:eastAsia="zh-CN"/>
        </w:rPr>
      </w:pPr>
    </w:p>
    <w:p>
      <w:pPr>
        <w:pStyle w:val="22"/>
        <w:ind w:left="0" w:leftChars="0" w:firstLine="0" w:firstLineChars="0"/>
        <w:rPr>
          <w:rFonts w:hint="default" w:ascii="Times New Roman" w:hAnsi="Times New Roman" w:eastAsia="方正黑体_GBK" w:cs="Times New Roman"/>
          <w:color w:val="auto"/>
          <w:sz w:val="32"/>
          <w:szCs w:val="32"/>
          <w:lang w:val="en-US" w:eastAsia="zh-CN"/>
        </w:rPr>
      </w:pPr>
    </w:p>
    <w:p>
      <w:pPr>
        <w:pStyle w:val="22"/>
        <w:ind w:left="0" w:leftChars="0" w:firstLine="0" w:firstLineChars="0"/>
        <w:rPr>
          <w:rFonts w:hint="default" w:ascii="Times New Roman" w:hAnsi="Times New Roman" w:eastAsia="方正黑体_GBK" w:cs="Times New Roman"/>
          <w:color w:val="auto"/>
          <w:sz w:val="32"/>
          <w:szCs w:val="32"/>
          <w:lang w:val="en-US" w:eastAsia="zh-CN"/>
        </w:rPr>
      </w:pPr>
    </w:p>
    <w:sectPr>
      <w:footerReference r:id="rId3" w:type="default"/>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Helvetica">
    <w:altName w:val="汉仪君黑-35简"/>
    <w:panose1 w:val="020B0604020202020204"/>
    <w:charset w:val="00"/>
    <w:family w:val="swiss"/>
    <w:pitch w:val="default"/>
    <w:sig w:usb0="00000000" w:usb1="00000000" w:usb2="00000009" w:usb3="00000000" w:csb0="000001FF"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OHYJi0AQAAUgMAAA4AAABkcnMv&#10;ZTJvRG9jLnhtbK1TzW4TMRC+I/EOlu/Em0hF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44dgmLQBAABSAwAADgAAAAAAAAABACAAAAA0AQAAZHJzL2Uyb0Rv&#10;Yy54bWxQSwUGAAAAAAYABgBZAQAAWgUAAAAA&#10;">
              <v:fill on="f" focussize="0,0"/>
              <v:stroke on="f"/>
              <v:imagedata o:title=""/>
              <o:lock v:ext="edit" aspectratio="f"/>
              <v:textbox inset="0mm,0mm,0mm,0mm" style="mso-fit-shape-to-text:t;">
                <w:txbxContent>
                  <w:p>
                    <w:pPr>
                      <w:snapToGrid w:val="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26"/>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YTgwMGU1NzdkYTRjNDVhMWM1MTVlYmU3Mzc3YWYifQ=="/>
  </w:docVars>
  <w:rsids>
    <w:rsidRoot w:val="174621FF"/>
    <w:rsid w:val="01996782"/>
    <w:rsid w:val="01A86A17"/>
    <w:rsid w:val="026D18F5"/>
    <w:rsid w:val="049B69AA"/>
    <w:rsid w:val="04F35BEC"/>
    <w:rsid w:val="05176AEA"/>
    <w:rsid w:val="08236132"/>
    <w:rsid w:val="096215D6"/>
    <w:rsid w:val="09A817AA"/>
    <w:rsid w:val="0E72036A"/>
    <w:rsid w:val="117143B2"/>
    <w:rsid w:val="174621FF"/>
    <w:rsid w:val="18BF3598"/>
    <w:rsid w:val="1ABA3096"/>
    <w:rsid w:val="2099573B"/>
    <w:rsid w:val="25AB04A8"/>
    <w:rsid w:val="264344B0"/>
    <w:rsid w:val="2C76774F"/>
    <w:rsid w:val="311E517C"/>
    <w:rsid w:val="325F7311"/>
    <w:rsid w:val="332D7420"/>
    <w:rsid w:val="354B532A"/>
    <w:rsid w:val="3930188D"/>
    <w:rsid w:val="3A657D27"/>
    <w:rsid w:val="3E677A5B"/>
    <w:rsid w:val="3EE876BF"/>
    <w:rsid w:val="3F047A2B"/>
    <w:rsid w:val="3F520ACF"/>
    <w:rsid w:val="42332E3A"/>
    <w:rsid w:val="45CB456F"/>
    <w:rsid w:val="48552DC1"/>
    <w:rsid w:val="4C174DB2"/>
    <w:rsid w:val="58B201A0"/>
    <w:rsid w:val="5A553282"/>
    <w:rsid w:val="5F804808"/>
    <w:rsid w:val="624B73ED"/>
    <w:rsid w:val="683043D2"/>
    <w:rsid w:val="68CA77A4"/>
    <w:rsid w:val="70CA52C6"/>
    <w:rsid w:val="71586FA4"/>
    <w:rsid w:val="77764AA4"/>
    <w:rsid w:val="7A2D1941"/>
    <w:rsid w:val="7A631492"/>
    <w:rsid w:val="7B9B97DF"/>
    <w:rsid w:val="7F6832A4"/>
    <w:rsid w:val="7FEF0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line="372" w:lineRule="auto"/>
      <w:outlineLvl w:val="3"/>
    </w:pPr>
    <w:rPr>
      <w:rFonts w:ascii="Arial" w:hAnsi="Arial"/>
      <w:b/>
      <w:sz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Body Text"/>
    <w:basedOn w:val="1"/>
    <w:next w:val="6"/>
    <w:qFormat/>
    <w:uiPriority w:val="99"/>
    <w:pPr>
      <w:spacing w:before="100" w:beforeAutospacing="1" w:after="100" w:afterAutospacing="1"/>
      <w:ind w:left="100" w:leftChars="100" w:right="100" w:rightChars="100"/>
    </w:pPr>
  </w:style>
  <w:style w:type="paragraph" w:customStyle="1" w:styleId="6">
    <w:name w:val="默认"/>
    <w:qFormat/>
    <w:uiPriority w:val="99"/>
    <w:rPr>
      <w:rFonts w:ascii="Helvetica" w:hAnsi="Helvetica" w:eastAsia="宋体" w:cs="Helvetica"/>
      <w:color w:val="000000"/>
      <w:sz w:val="22"/>
      <w:szCs w:val="22"/>
      <w:lang w:val="en-US" w:eastAsia="zh-CN" w:bidi="ar-SA"/>
    </w:rPr>
  </w:style>
  <w:style w:type="paragraph" w:styleId="7">
    <w:name w:val="Body Text Indent"/>
    <w:basedOn w:val="1"/>
    <w:qFormat/>
    <w:uiPriority w:val="0"/>
    <w:pPr>
      <w:spacing w:after="120"/>
      <w:ind w:left="420" w:leftChars="200"/>
    </w:pPr>
  </w:style>
  <w:style w:type="paragraph" w:styleId="8">
    <w:name w:val="toc 5"/>
    <w:basedOn w:val="1"/>
    <w:next w:val="1"/>
    <w:qFormat/>
    <w:uiPriority w:val="99"/>
    <w:rPr>
      <w:rFonts w:ascii="Times New Roman" w:hAnsi="Times New Roman" w:eastAsia="方正仿宋_GBK"/>
      <w:sz w:val="32"/>
      <w:szCs w:val="32"/>
    </w:rPr>
  </w:style>
  <w:style w:type="paragraph" w:styleId="9">
    <w:name w:val="toc 3"/>
    <w:basedOn w:val="1"/>
    <w:next w:val="1"/>
    <w:qFormat/>
    <w:uiPriority w:val="39"/>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jc w:val="center"/>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qFormat/>
    <w:uiPriority w:val="10"/>
    <w:pPr>
      <w:spacing w:before="240" w:after="60" w:line="640" w:lineRule="exact"/>
      <w:jc w:val="center"/>
      <w:outlineLvl w:val="0"/>
    </w:pPr>
    <w:rPr>
      <w:rFonts w:ascii="Cambria" w:hAnsi="Cambria" w:eastAsia="方正小标宋简体"/>
      <w:sz w:val="44"/>
      <w:szCs w:val="44"/>
    </w:rPr>
  </w:style>
  <w:style w:type="paragraph" w:styleId="16">
    <w:name w:val="Body Text First Indent 2"/>
    <w:basedOn w:val="7"/>
    <w:qFormat/>
    <w:uiPriority w:val="0"/>
    <w:pPr>
      <w:spacing w:after="0"/>
      <w:ind w:left="200" w:leftChars="0" w:firstLine="420" w:firstLineChars="200"/>
    </w:pPr>
    <w:rPr>
      <w:rFonts w:ascii="仿宋_GB2312" w:hAnsi="Calibri" w:eastAsia="仿宋_GB2312"/>
      <w:sz w:val="2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索引 51"/>
    <w:basedOn w:val="1"/>
    <w:next w:val="1"/>
    <w:qFormat/>
    <w:uiPriority w:val="0"/>
    <w:pPr>
      <w:ind w:left="1680"/>
    </w:pPr>
    <w:rPr>
      <w:rFonts w:ascii="Times New Roman" w:hAnsi="Times New Roman" w:eastAsia="宋体" w:cs="Times New Roman"/>
    </w:rPr>
  </w:style>
  <w:style w:type="paragraph" w:customStyle="1" w:styleId="22">
    <w:name w:val="Body Text First Indent 2"/>
    <w:basedOn w:val="23"/>
    <w:qFormat/>
    <w:uiPriority w:val="0"/>
    <w:pPr>
      <w:ind w:firstLine="420" w:firstLineChars="200"/>
    </w:pPr>
  </w:style>
  <w:style w:type="paragraph" w:customStyle="1" w:styleId="23">
    <w:name w:val="Body Text Indent"/>
    <w:basedOn w:val="1"/>
    <w:qFormat/>
    <w:uiPriority w:val="0"/>
    <w:pPr>
      <w:ind w:left="420" w:leftChars="200"/>
    </w:pPr>
  </w:style>
  <w:style w:type="paragraph" w:customStyle="1" w:styleId="24">
    <w:name w:val="Default"/>
    <w:next w:val="4"/>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character" w:customStyle="1" w:styleId="25">
    <w:name w:val="font41"/>
    <w:basedOn w:val="19"/>
    <w:qFormat/>
    <w:uiPriority w:val="0"/>
    <w:rPr>
      <w:rFonts w:hint="default" w:ascii="Times New Roman" w:hAnsi="Times New Roman" w:cs="Times New Roman"/>
      <w:color w:val="000000"/>
      <w:sz w:val="28"/>
      <w:szCs w:val="28"/>
      <w:u w:val="none"/>
    </w:rPr>
  </w:style>
  <w:style w:type="paragraph" w:customStyle="1" w:styleId="26">
    <w:name w:val="首行缩进"/>
    <w:basedOn w:val="1"/>
    <w:qFormat/>
    <w:uiPriority w:val="0"/>
    <w:pPr>
      <w:widowControl/>
      <w:numPr>
        <w:ilvl w:val="6"/>
        <w:numId w:val="1"/>
      </w:numPr>
      <w:tabs>
        <w:tab w:val="left" w:pos="822"/>
      </w:tabs>
      <w:snapToGrid w:val="0"/>
      <w:spacing w:line="300" w:lineRule="atLeast"/>
    </w:pPr>
    <w:rPr>
      <w:rFonts w:ascii="Arial" w:hAnsi="Arial"/>
      <w:szCs w:val="20"/>
    </w:rPr>
  </w:style>
  <w:style w:type="character" w:customStyle="1" w:styleId="27">
    <w:name w:val="NormalCharacter"/>
    <w:semiHidden/>
    <w:qFormat/>
    <w:uiPriority w:val="0"/>
  </w:style>
  <w:style w:type="paragraph" w:customStyle="1" w:styleId="28">
    <w:name w:val="常用样式（方正仿宋简）"/>
    <w:basedOn w:val="1"/>
    <w:qFormat/>
    <w:uiPriority w:val="0"/>
    <w:pPr>
      <w:spacing w:line="560" w:lineRule="exact"/>
      <w:ind w:firstLine="640" w:firstLineChars="200"/>
    </w:pPr>
    <w:rPr>
      <w:rFonts w:eastAsia="方正仿宋简体" w:asciiTheme="minorHAnsi" w:hAnsiTheme="minorHAnsi" w:cstheme="minorBidi"/>
      <w:sz w:val="32"/>
    </w:rPr>
  </w:style>
  <w:style w:type="character" w:customStyle="1" w:styleId="29">
    <w:name w:val="font61"/>
    <w:basedOn w:val="19"/>
    <w:qFormat/>
    <w:uiPriority w:val="0"/>
    <w:rPr>
      <w:rFonts w:hint="eastAsia" w:ascii="宋体" w:hAnsi="宋体" w:eastAsia="宋体" w:cs="宋体"/>
      <w:color w:val="000000"/>
      <w:sz w:val="20"/>
      <w:szCs w:val="20"/>
      <w:u w:val="none"/>
    </w:rPr>
  </w:style>
  <w:style w:type="character" w:customStyle="1" w:styleId="30">
    <w:name w:val="font51"/>
    <w:basedOn w:val="19"/>
    <w:qFormat/>
    <w:uiPriority w:val="0"/>
    <w:rPr>
      <w:rFonts w:hint="default" w:ascii="Times New Roman" w:hAnsi="Times New Roman" w:cs="Times New Roman"/>
      <w:color w:val="000000"/>
      <w:sz w:val="20"/>
      <w:szCs w:val="20"/>
      <w:u w:val="none"/>
    </w:rPr>
  </w:style>
  <w:style w:type="paragraph" w:customStyle="1" w:styleId="31">
    <w:name w:val="Body text|1"/>
    <w:basedOn w:val="1"/>
    <w:qFormat/>
    <w:uiPriority w:val="0"/>
    <w:pPr>
      <w:spacing w:line="422" w:lineRule="auto"/>
      <w:ind w:firstLine="400"/>
    </w:pPr>
    <w:rPr>
      <w:rFonts w:ascii="宋体" w:hAnsi="宋体" w:eastAsia="宋体" w:cs="宋体"/>
      <w:sz w:val="18"/>
      <w:szCs w:val="1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2023-08-17T23:08:00Z</dcterms:created>
  <dc:creator>芝麻</dc:creator>
  <cp:lastModifiedBy>tlww</cp:lastModifiedBy>
  <cp:lastPrinted>2023-10-09T19:20:00Z</cp:lastPrinted>
  <dcterms:modified xsi:type="dcterms:W3CDTF">2023-12-28T17:06:54Z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9C7A63C49EAF4FEBB7EC601D44C61083_13</vt:lpwstr>
  </property>
</Properties>
</file>