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right" w:leader="dot" w:pos="9412"/>
        </w:tabs>
        <w:ind w:left="560"/>
        <w:jc w:val="center"/>
        <w:rPr>
          <w:rFonts w:hint="default" w:ascii="Times New Roman" w:hAnsi="Times New Roman" w:eastAsia="仿宋" w:cs="Times New Roman"/>
          <w:b/>
          <w:color w:val="000000"/>
          <w:szCs w:val="30"/>
        </w:rPr>
      </w:pPr>
      <w:r>
        <w:rPr>
          <w:rFonts w:hint="default" w:ascii="Times New Roman" w:hAnsi="Times New Roman" w:eastAsia="仿宋" w:cs="Times New Roman"/>
          <w:b/>
          <w:color w:val="000000"/>
          <w:sz w:val="36"/>
          <w:szCs w:val="30"/>
        </w:rPr>
        <w:t>采购邀请书</w:t>
      </w:r>
    </w:p>
    <w:p>
      <w:pPr>
        <w:pageBreakBefore w:val="0"/>
        <w:kinsoku/>
        <w:wordWrap/>
        <w:overflowPunct/>
        <w:topLinePunct w:val="0"/>
        <w:bidi w:val="0"/>
        <w:snapToGrid w:val="0"/>
        <w:spacing w:line="400" w:lineRule="exact"/>
        <w:ind w:firstLine="480" w:firstLineChars="20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eastAsia="zh-CN"/>
        </w:rPr>
        <w:t>重庆金谦建设工程咨询有限公司</w:t>
      </w:r>
      <w:r>
        <w:rPr>
          <w:rFonts w:hint="default" w:ascii="Times New Roman" w:hAnsi="Times New Roman" w:eastAsia="仿宋" w:cs="Times New Roman"/>
          <w:color w:val="000000"/>
          <w:sz w:val="24"/>
          <w:szCs w:val="24"/>
        </w:rPr>
        <w:t>（以下简称：采购代理机构）接受</w:t>
      </w:r>
      <w:r>
        <w:rPr>
          <w:rFonts w:hint="default" w:ascii="Times New Roman" w:hAnsi="Times New Roman" w:eastAsia="仿宋" w:cs="Times New Roman"/>
          <w:color w:val="000000"/>
          <w:sz w:val="24"/>
          <w:szCs w:val="24"/>
          <w:lang w:eastAsia="zh-CN"/>
        </w:rPr>
        <w:t>重庆市铜梁区科学技术局</w:t>
      </w:r>
      <w:r>
        <w:rPr>
          <w:rFonts w:hint="default" w:ascii="Times New Roman" w:hAnsi="Times New Roman" w:eastAsia="仿宋" w:cs="Times New Roman"/>
          <w:color w:val="000000"/>
          <w:sz w:val="24"/>
          <w:szCs w:val="24"/>
        </w:rPr>
        <w:t>（以下简称：采购人）的委托</w:t>
      </w:r>
      <w:bookmarkStart w:id="97" w:name="_GoBack"/>
      <w:bookmarkEnd w:id="97"/>
      <w:r>
        <w:rPr>
          <w:rFonts w:hint="default" w:ascii="Times New Roman" w:hAnsi="Times New Roman" w:eastAsia="仿宋" w:cs="Times New Roman"/>
          <w:color w:val="000000"/>
          <w:sz w:val="24"/>
          <w:szCs w:val="24"/>
        </w:rPr>
        <w:t>，对</w:t>
      </w:r>
      <w:r>
        <w:rPr>
          <w:rFonts w:hint="default" w:ascii="Times New Roman" w:hAnsi="Times New Roman" w:eastAsia="仿宋" w:cs="Times New Roman"/>
          <w:color w:val="000000"/>
          <w:sz w:val="24"/>
          <w:szCs w:val="24"/>
          <w:lang w:eastAsia="zh-CN"/>
        </w:rPr>
        <w:t>重庆市铜梁区科技型企业科技管理水平提升辅导服务项目</w:t>
      </w:r>
      <w:r>
        <w:rPr>
          <w:rFonts w:hint="default" w:ascii="Times New Roman" w:hAnsi="Times New Roman" w:eastAsia="仿宋" w:cs="Times New Roman"/>
          <w:color w:val="000000"/>
          <w:sz w:val="24"/>
          <w:szCs w:val="24"/>
        </w:rPr>
        <w:t>进行竞争性磋商采购。欢迎有资格的供应商前来参与磋商。</w:t>
      </w:r>
    </w:p>
    <w:p>
      <w:pPr>
        <w:pStyle w:val="3"/>
        <w:pageBreakBefore w:val="0"/>
        <w:kinsoku/>
        <w:wordWrap/>
        <w:overflowPunct/>
        <w:topLinePunct w:val="0"/>
        <w:bidi w:val="0"/>
        <w:adjustRightInd w:val="0"/>
        <w:snapToGrid w:val="0"/>
        <w:spacing w:before="0" w:after="0" w:line="400" w:lineRule="exact"/>
        <w:ind w:firstLine="482" w:firstLineChars="200"/>
        <w:textAlignment w:val="auto"/>
        <w:rPr>
          <w:rFonts w:hint="default" w:ascii="Times New Roman" w:hAnsi="Times New Roman" w:eastAsia="仿宋" w:cs="Times New Roman"/>
          <w:color w:val="000000"/>
          <w:sz w:val="24"/>
        </w:rPr>
      </w:pPr>
      <w:bookmarkStart w:id="0" w:name="_Toc7176"/>
      <w:bookmarkStart w:id="1" w:name="_Toc18838"/>
      <w:bookmarkStart w:id="2" w:name="_Toc8118"/>
      <w:bookmarkStart w:id="3" w:name="_Toc6774"/>
      <w:bookmarkStart w:id="4" w:name="_Toc7878"/>
      <w:bookmarkStart w:id="5" w:name="_Toc2778"/>
      <w:bookmarkStart w:id="6" w:name="_Toc10433"/>
      <w:bookmarkStart w:id="7" w:name="_Toc25344"/>
      <w:bookmarkStart w:id="8" w:name="_Toc4508"/>
      <w:bookmarkStart w:id="9" w:name="_Toc5209"/>
      <w:bookmarkStart w:id="10" w:name="_Toc13615"/>
      <w:bookmarkStart w:id="11" w:name="_Toc24704"/>
      <w:bookmarkStart w:id="12" w:name="_Toc22845"/>
      <w:bookmarkStart w:id="13" w:name="_Toc30795"/>
      <w:r>
        <w:rPr>
          <w:rFonts w:hint="default" w:ascii="Times New Roman" w:hAnsi="Times New Roman" w:eastAsia="仿宋" w:cs="Times New Roman"/>
          <w:color w:val="000000"/>
          <w:sz w:val="24"/>
        </w:rPr>
        <w:t>一、竞争性磋商内容</w:t>
      </w:r>
      <w:bookmarkEnd w:id="0"/>
      <w:bookmarkEnd w:id="1"/>
      <w:bookmarkEnd w:id="2"/>
      <w:bookmarkEnd w:id="3"/>
      <w:bookmarkEnd w:id="4"/>
      <w:bookmarkEnd w:id="5"/>
      <w:bookmarkEnd w:id="6"/>
      <w:bookmarkEnd w:id="7"/>
      <w:bookmarkEnd w:id="8"/>
      <w:bookmarkEnd w:id="9"/>
      <w:bookmarkEnd w:id="10"/>
      <w:bookmarkEnd w:id="11"/>
      <w:bookmarkEnd w:id="12"/>
      <w:bookmarkEnd w:id="13"/>
    </w:p>
    <w:tbl>
      <w:tblPr>
        <w:tblStyle w:val="6"/>
        <w:tblW w:w="8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7"/>
        <w:gridCol w:w="1701"/>
        <w:gridCol w:w="137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3427"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bidi w:val="0"/>
              <w:spacing w:line="400" w:lineRule="exact"/>
              <w:jc w:val="center"/>
              <w:textAlignment w:val="auto"/>
              <w:rPr>
                <w:rFonts w:hint="default" w:ascii="Times New Roman" w:hAnsi="Times New Roman" w:eastAsia="仿宋" w:cs="Times New Roman"/>
                <w:b/>
                <w:bCs/>
                <w:color w:val="auto"/>
                <w:kern w:val="0"/>
                <w:sz w:val="21"/>
                <w:szCs w:val="24"/>
                <w:highlight w:val="none"/>
              </w:rPr>
            </w:pPr>
            <w:bookmarkStart w:id="14" w:name="_Toc30831"/>
            <w:bookmarkStart w:id="15" w:name="_Toc9429"/>
            <w:bookmarkStart w:id="16" w:name="_Toc10481"/>
            <w:bookmarkStart w:id="17" w:name="_Toc18825"/>
            <w:bookmarkStart w:id="18" w:name="_Toc5084"/>
            <w:bookmarkStart w:id="19" w:name="_Toc25056"/>
            <w:bookmarkStart w:id="20" w:name="_Toc3271"/>
            <w:bookmarkStart w:id="21" w:name="_Toc25746"/>
            <w:r>
              <w:rPr>
                <w:rFonts w:hint="default" w:ascii="Times New Roman" w:hAnsi="Times New Roman" w:eastAsia="仿宋" w:cs="Times New Roman"/>
                <w:b/>
                <w:bCs/>
                <w:color w:val="auto"/>
                <w:kern w:val="0"/>
                <w:sz w:val="21"/>
                <w:szCs w:val="24"/>
                <w:highlight w:val="none"/>
              </w:rPr>
              <w:t>包号及名称</w:t>
            </w:r>
          </w:p>
        </w:tc>
        <w:tc>
          <w:tcPr>
            <w:tcW w:w="1701"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pacing w:line="400" w:lineRule="exact"/>
              <w:jc w:val="center"/>
              <w:textAlignment w:val="auto"/>
              <w:rPr>
                <w:rFonts w:hint="default" w:ascii="Times New Roman" w:hAnsi="Times New Roman" w:eastAsia="仿宋" w:cs="Times New Roman"/>
                <w:b/>
                <w:bCs/>
                <w:color w:val="auto"/>
                <w:kern w:val="0"/>
                <w:sz w:val="21"/>
                <w:szCs w:val="24"/>
                <w:highlight w:val="none"/>
              </w:rPr>
            </w:pPr>
            <w:r>
              <w:rPr>
                <w:rFonts w:hint="default" w:ascii="Times New Roman" w:hAnsi="Times New Roman" w:eastAsia="仿宋" w:cs="Times New Roman"/>
                <w:b/>
                <w:bCs/>
                <w:color w:val="auto"/>
                <w:kern w:val="0"/>
                <w:sz w:val="21"/>
                <w:szCs w:val="24"/>
                <w:highlight w:val="none"/>
              </w:rPr>
              <w:t>最高限价（万元）</w:t>
            </w:r>
          </w:p>
        </w:tc>
        <w:tc>
          <w:tcPr>
            <w:tcW w:w="1375"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pacing w:line="400" w:lineRule="exact"/>
              <w:jc w:val="center"/>
              <w:textAlignment w:val="auto"/>
              <w:rPr>
                <w:rFonts w:hint="default" w:ascii="Times New Roman" w:hAnsi="Times New Roman" w:eastAsia="仿宋" w:cs="Times New Roman"/>
                <w:b/>
                <w:bCs/>
                <w:color w:val="auto"/>
                <w:kern w:val="0"/>
                <w:sz w:val="21"/>
                <w:szCs w:val="24"/>
                <w:highlight w:val="none"/>
                <w:lang w:eastAsia="zh-CN"/>
              </w:rPr>
            </w:pPr>
            <w:r>
              <w:rPr>
                <w:rFonts w:hint="default" w:ascii="Times New Roman" w:hAnsi="Times New Roman" w:eastAsia="仿宋" w:cs="Times New Roman"/>
                <w:b/>
                <w:bCs/>
                <w:color w:val="auto"/>
                <w:kern w:val="0"/>
                <w:sz w:val="21"/>
                <w:szCs w:val="24"/>
                <w:highlight w:val="none"/>
                <w:lang w:eastAsia="zh-CN"/>
              </w:rPr>
              <w:t>投标保证金（万元）</w:t>
            </w:r>
          </w:p>
        </w:tc>
        <w:tc>
          <w:tcPr>
            <w:tcW w:w="1703"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bidi w:val="0"/>
              <w:spacing w:line="400" w:lineRule="exact"/>
              <w:jc w:val="center"/>
              <w:textAlignment w:val="auto"/>
              <w:rPr>
                <w:rFonts w:hint="default" w:ascii="Times New Roman" w:hAnsi="Times New Roman" w:eastAsia="仿宋" w:cs="Times New Roman"/>
                <w:b/>
                <w:bCs/>
                <w:color w:val="auto"/>
                <w:kern w:val="0"/>
                <w:sz w:val="21"/>
                <w:szCs w:val="24"/>
                <w:highlight w:val="none"/>
              </w:rPr>
            </w:pPr>
            <w:r>
              <w:rPr>
                <w:rFonts w:hint="default" w:ascii="Times New Roman" w:hAnsi="Times New Roman" w:eastAsia="仿宋" w:cs="Times New Roman"/>
                <w:b/>
                <w:bCs/>
                <w:color w:val="auto"/>
                <w:kern w:val="0"/>
                <w:sz w:val="21"/>
                <w:szCs w:val="24"/>
                <w:highlight w:val="none"/>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3427"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bidi w:val="0"/>
              <w:spacing w:line="400" w:lineRule="exact"/>
              <w:jc w:val="center"/>
              <w:textAlignment w:val="auto"/>
              <w:rPr>
                <w:rFonts w:hint="default" w:ascii="Times New Roman" w:hAnsi="Times New Roman" w:eastAsia="仿宋" w:cs="Times New Roman"/>
                <w:color w:val="auto"/>
                <w:kern w:val="2"/>
                <w:sz w:val="24"/>
                <w:szCs w:val="24"/>
                <w:highlight w:val="none"/>
              </w:rPr>
            </w:pPr>
            <w:r>
              <w:rPr>
                <w:rFonts w:hint="default" w:ascii="Times New Roman" w:hAnsi="Times New Roman" w:eastAsia="仿宋" w:cs="Times New Roman"/>
                <w:color w:val="auto"/>
                <w:sz w:val="24"/>
                <w:szCs w:val="24"/>
                <w:lang w:eastAsia="zh-CN"/>
              </w:rPr>
              <w:t>重庆市铜梁区科技型企业科技管理水平提升辅导服务项目</w:t>
            </w:r>
          </w:p>
        </w:tc>
        <w:tc>
          <w:tcPr>
            <w:tcW w:w="1701"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bidi w:val="0"/>
              <w:spacing w:line="400" w:lineRule="exact"/>
              <w:jc w:val="center"/>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kern w:val="2"/>
                <w:sz w:val="24"/>
                <w:szCs w:val="24"/>
                <w:highlight w:val="none"/>
                <w:lang w:val="en-US" w:eastAsia="zh-CN"/>
              </w:rPr>
              <w:t>23.15</w:t>
            </w:r>
          </w:p>
        </w:tc>
        <w:tc>
          <w:tcPr>
            <w:tcW w:w="1375"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bidi w:val="0"/>
              <w:spacing w:line="400" w:lineRule="exact"/>
              <w:jc w:val="center"/>
              <w:textAlignment w:val="auto"/>
              <w:rPr>
                <w:rFonts w:hint="default" w:ascii="Times New Roman" w:hAnsi="Times New Roman" w:eastAsia="仿宋" w:cs="Times New Roman"/>
                <w:color w:val="auto"/>
                <w:kern w:val="2"/>
                <w:sz w:val="24"/>
                <w:szCs w:val="24"/>
                <w:highlight w:val="none"/>
                <w:lang w:val="en-US" w:eastAsia="zh-CN"/>
              </w:rPr>
            </w:pPr>
            <w:r>
              <w:rPr>
                <w:rFonts w:hint="default" w:ascii="Times New Roman" w:hAnsi="Times New Roman" w:eastAsia="仿宋" w:cs="Times New Roman"/>
                <w:color w:val="auto"/>
                <w:kern w:val="2"/>
                <w:sz w:val="24"/>
                <w:szCs w:val="24"/>
                <w:highlight w:val="none"/>
                <w:lang w:val="en-US" w:eastAsia="zh-CN"/>
              </w:rPr>
              <w:t>0.4</w:t>
            </w:r>
          </w:p>
        </w:tc>
        <w:tc>
          <w:tcPr>
            <w:tcW w:w="1703"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bidi w:val="0"/>
              <w:spacing w:line="400" w:lineRule="exact"/>
              <w:jc w:val="center"/>
              <w:textAlignment w:val="auto"/>
              <w:rPr>
                <w:rFonts w:hint="default" w:ascii="Times New Roman" w:hAnsi="Times New Roman" w:eastAsia="仿宋" w:cs="Times New Roman"/>
                <w:color w:val="auto"/>
                <w:kern w:val="2"/>
                <w:sz w:val="24"/>
                <w:szCs w:val="24"/>
                <w:highlight w:val="none"/>
                <w:lang w:val="en-US" w:eastAsia="zh-CN"/>
              </w:rPr>
            </w:pPr>
            <w:r>
              <w:rPr>
                <w:rFonts w:hint="default" w:ascii="Times New Roman" w:hAnsi="Times New Roman" w:eastAsia="仿宋" w:cs="Times New Roman"/>
                <w:color w:val="auto"/>
                <w:kern w:val="2"/>
                <w:sz w:val="24"/>
                <w:szCs w:val="24"/>
                <w:highlight w:val="none"/>
                <w:lang w:val="en-US" w:eastAsia="zh-CN"/>
              </w:rPr>
              <w:t>1</w:t>
            </w:r>
          </w:p>
        </w:tc>
      </w:tr>
    </w:tbl>
    <w:p>
      <w:pPr>
        <w:pStyle w:val="3"/>
        <w:pageBreakBefore w:val="0"/>
        <w:kinsoku/>
        <w:wordWrap/>
        <w:overflowPunct/>
        <w:topLinePunct w:val="0"/>
        <w:bidi w:val="0"/>
        <w:adjustRightInd w:val="0"/>
        <w:snapToGrid w:val="0"/>
        <w:spacing w:before="0" w:after="0" w:line="400" w:lineRule="exact"/>
        <w:ind w:firstLine="482" w:firstLineChars="200"/>
        <w:textAlignment w:val="auto"/>
        <w:rPr>
          <w:rFonts w:hint="default" w:ascii="Times New Roman" w:hAnsi="Times New Roman" w:eastAsia="仿宋" w:cs="Times New Roman"/>
          <w:color w:val="auto"/>
          <w:sz w:val="24"/>
        </w:rPr>
      </w:pPr>
      <w:bookmarkStart w:id="22" w:name="_Toc21747"/>
      <w:bookmarkStart w:id="23" w:name="_Toc11377"/>
      <w:bookmarkStart w:id="24" w:name="_Toc9580"/>
      <w:bookmarkStart w:id="25" w:name="_Toc32434"/>
      <w:bookmarkStart w:id="26" w:name="_Toc16934"/>
      <w:bookmarkStart w:id="27" w:name="_Toc19388"/>
      <w:r>
        <w:rPr>
          <w:rFonts w:hint="default" w:ascii="Times New Roman" w:hAnsi="Times New Roman" w:eastAsia="仿宋" w:cs="Times New Roman"/>
          <w:color w:val="auto"/>
          <w:sz w:val="24"/>
        </w:rPr>
        <w:t>二、资金来源</w:t>
      </w:r>
      <w:bookmarkEnd w:id="14"/>
      <w:bookmarkEnd w:id="15"/>
      <w:bookmarkEnd w:id="16"/>
      <w:bookmarkEnd w:id="17"/>
      <w:bookmarkEnd w:id="18"/>
      <w:bookmarkEnd w:id="19"/>
      <w:bookmarkEnd w:id="20"/>
      <w:bookmarkEnd w:id="21"/>
      <w:bookmarkEnd w:id="22"/>
      <w:bookmarkEnd w:id="23"/>
      <w:bookmarkEnd w:id="24"/>
      <w:bookmarkEnd w:id="25"/>
      <w:bookmarkEnd w:id="26"/>
      <w:bookmarkEnd w:id="27"/>
    </w:p>
    <w:p>
      <w:pPr>
        <w:pageBreakBefore w:val="0"/>
        <w:kinsoku/>
        <w:wordWrap/>
        <w:overflowPunct/>
        <w:topLinePunct w:val="0"/>
        <w:bidi w:val="0"/>
        <w:spacing w:line="400" w:lineRule="exact"/>
        <w:ind w:firstLine="480" w:firstLineChars="20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lang w:val="en-US" w:eastAsia="zh-CN"/>
        </w:rPr>
        <w:t>财政资金</w:t>
      </w:r>
      <w:r>
        <w:rPr>
          <w:rFonts w:hint="default" w:ascii="Times New Roman" w:hAnsi="Times New Roman" w:eastAsia="仿宋" w:cs="Times New Roman"/>
          <w:i w:val="0"/>
          <w:iCs w:val="0"/>
          <w:color w:val="000000"/>
          <w:sz w:val="24"/>
          <w:szCs w:val="24"/>
        </w:rPr>
        <w:t>，预算金额为</w:t>
      </w:r>
      <w:r>
        <w:rPr>
          <w:rFonts w:hint="default" w:ascii="Times New Roman" w:hAnsi="Times New Roman" w:eastAsia="仿宋" w:cs="Times New Roman"/>
          <w:i w:val="0"/>
          <w:iCs w:val="0"/>
          <w:color w:val="000000"/>
          <w:sz w:val="24"/>
          <w:szCs w:val="24"/>
          <w:lang w:val="en-US" w:eastAsia="zh-CN"/>
        </w:rPr>
        <w:t>23.15</w:t>
      </w:r>
      <w:r>
        <w:rPr>
          <w:rFonts w:hint="default" w:ascii="Times New Roman" w:hAnsi="Times New Roman" w:eastAsia="仿宋" w:cs="Times New Roman"/>
          <w:i w:val="0"/>
          <w:iCs w:val="0"/>
          <w:color w:val="000000"/>
          <w:sz w:val="24"/>
          <w:szCs w:val="24"/>
        </w:rPr>
        <w:t>万元</w:t>
      </w:r>
      <w:r>
        <w:rPr>
          <w:rFonts w:hint="default" w:ascii="Times New Roman" w:hAnsi="Times New Roman" w:eastAsia="仿宋" w:cs="Times New Roman"/>
          <w:color w:val="000000"/>
          <w:sz w:val="24"/>
          <w:szCs w:val="24"/>
        </w:rPr>
        <w:t>。</w:t>
      </w:r>
    </w:p>
    <w:p>
      <w:pPr>
        <w:pStyle w:val="3"/>
        <w:pageBreakBefore w:val="0"/>
        <w:kinsoku/>
        <w:wordWrap/>
        <w:overflowPunct/>
        <w:topLinePunct w:val="0"/>
        <w:bidi w:val="0"/>
        <w:adjustRightInd w:val="0"/>
        <w:snapToGrid w:val="0"/>
        <w:spacing w:before="0" w:after="0" w:line="400" w:lineRule="exact"/>
        <w:ind w:firstLine="482" w:firstLineChars="200"/>
        <w:textAlignment w:val="auto"/>
        <w:rPr>
          <w:rFonts w:hint="default" w:ascii="Times New Roman" w:hAnsi="Times New Roman" w:eastAsia="仿宋" w:cs="Times New Roman"/>
          <w:color w:val="000000"/>
          <w:sz w:val="24"/>
        </w:rPr>
      </w:pPr>
      <w:bookmarkStart w:id="28" w:name="_Toc24111"/>
      <w:bookmarkStart w:id="29" w:name="_Toc18596"/>
      <w:bookmarkStart w:id="30" w:name="_Toc16832"/>
      <w:bookmarkStart w:id="31" w:name="_Toc9271"/>
      <w:bookmarkStart w:id="32" w:name="_Toc22124"/>
      <w:bookmarkStart w:id="33" w:name="_Toc2743"/>
      <w:bookmarkStart w:id="34" w:name="_Toc10231"/>
      <w:bookmarkStart w:id="35" w:name="_Toc30199"/>
      <w:bookmarkStart w:id="36" w:name="_Toc28362"/>
      <w:bookmarkStart w:id="37" w:name="_Toc11745"/>
      <w:bookmarkStart w:id="38" w:name="_Toc7086"/>
      <w:bookmarkStart w:id="39" w:name="_Toc17003"/>
      <w:bookmarkStart w:id="40" w:name="_Toc21945"/>
      <w:bookmarkStart w:id="41" w:name="_Toc10851"/>
      <w:r>
        <w:rPr>
          <w:rFonts w:hint="default" w:ascii="Times New Roman" w:hAnsi="Times New Roman" w:eastAsia="仿宋" w:cs="Times New Roman"/>
          <w:color w:val="000000"/>
          <w:sz w:val="24"/>
        </w:rPr>
        <w:t>三、供应商资格条件</w:t>
      </w:r>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ageBreakBefore w:val="0"/>
        <w:kinsoku/>
        <w:wordWrap/>
        <w:overflowPunct/>
        <w:topLinePunct w:val="0"/>
        <w:bidi w:val="0"/>
        <w:spacing w:line="400" w:lineRule="exact"/>
        <w:ind w:firstLine="480" w:firstLineChars="20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（一）满足《中华人民</w:t>
      </w:r>
      <w:bookmarkStart w:id="42" w:name="_Toc7183"/>
      <w:bookmarkStart w:id="43" w:name="_Toc76462317"/>
      <w:bookmarkStart w:id="44" w:name="_Toc313893526"/>
      <w:bookmarkStart w:id="45" w:name="_Toc106030871"/>
      <w:bookmarkStart w:id="46" w:name="_Toc8848"/>
      <w:bookmarkStart w:id="47" w:name="_Toc317775175"/>
      <w:r>
        <w:rPr>
          <w:rFonts w:hint="default" w:ascii="Times New Roman" w:hAnsi="Times New Roman" w:eastAsia="仿宋" w:cs="Times New Roman"/>
          <w:color w:val="000000"/>
          <w:sz w:val="24"/>
          <w:szCs w:val="24"/>
        </w:rPr>
        <w:t>共和国政府采购法》</w:t>
      </w:r>
      <w:bookmarkEnd w:id="42"/>
      <w:bookmarkEnd w:id="43"/>
      <w:bookmarkEnd w:id="44"/>
      <w:bookmarkEnd w:id="45"/>
      <w:bookmarkEnd w:id="46"/>
      <w:bookmarkEnd w:id="47"/>
      <w:r>
        <w:rPr>
          <w:rFonts w:hint="default" w:ascii="Times New Roman" w:hAnsi="Times New Roman" w:eastAsia="仿宋" w:cs="Times New Roman"/>
          <w:color w:val="000000"/>
          <w:sz w:val="24"/>
          <w:szCs w:val="24"/>
        </w:rPr>
        <w:t>第二十二条规定；</w:t>
      </w:r>
    </w:p>
    <w:p>
      <w:pPr>
        <w:pageBreakBefore w:val="0"/>
        <w:kinsoku/>
        <w:wordWrap/>
        <w:overflowPunct/>
        <w:topLinePunct w:val="0"/>
        <w:bidi w:val="0"/>
        <w:spacing w:line="400" w:lineRule="exact"/>
        <w:ind w:firstLine="480" w:firstLineChars="200"/>
        <w:textAlignment w:val="auto"/>
        <w:rPr>
          <w:rFonts w:hint="default" w:ascii="Times New Roman" w:hAnsi="Times New Roman" w:eastAsia="仿宋" w:cs="Times New Roman"/>
          <w:color w:val="000000"/>
          <w:sz w:val="24"/>
          <w:szCs w:val="24"/>
        </w:rPr>
      </w:pPr>
      <w:bookmarkStart w:id="48" w:name="_Hlk344477914"/>
      <w:r>
        <w:rPr>
          <w:rFonts w:hint="default" w:ascii="Times New Roman" w:hAnsi="Times New Roman" w:eastAsia="仿宋" w:cs="Times New Roman"/>
          <w:color w:val="000000"/>
          <w:sz w:val="24"/>
          <w:szCs w:val="24"/>
        </w:rPr>
        <w:t>（</w:t>
      </w:r>
      <w:r>
        <w:rPr>
          <w:rFonts w:hint="default" w:ascii="Times New Roman" w:hAnsi="Times New Roman" w:eastAsia="仿宋" w:cs="Times New Roman"/>
          <w:color w:val="000000"/>
          <w:sz w:val="24"/>
          <w:szCs w:val="24"/>
          <w:lang w:eastAsia="zh-CN"/>
        </w:rPr>
        <w:t>二</w:t>
      </w:r>
      <w:r>
        <w:rPr>
          <w:rFonts w:hint="default" w:ascii="Times New Roman" w:hAnsi="Times New Roman" w:eastAsia="仿宋" w:cs="Times New Roman"/>
          <w:color w:val="000000"/>
          <w:sz w:val="24"/>
          <w:szCs w:val="24"/>
        </w:rPr>
        <w:t>）本项目的特定资格要求：无。</w:t>
      </w:r>
    </w:p>
    <w:p>
      <w:pPr>
        <w:pStyle w:val="3"/>
        <w:pageBreakBefore w:val="0"/>
        <w:kinsoku/>
        <w:wordWrap/>
        <w:overflowPunct/>
        <w:topLinePunct w:val="0"/>
        <w:bidi w:val="0"/>
        <w:adjustRightInd w:val="0"/>
        <w:snapToGrid w:val="0"/>
        <w:spacing w:before="0" w:after="0" w:line="400" w:lineRule="exact"/>
        <w:ind w:firstLine="482" w:firstLineChars="200"/>
        <w:textAlignment w:val="auto"/>
        <w:rPr>
          <w:rFonts w:hint="default" w:ascii="Times New Roman" w:hAnsi="Times New Roman" w:eastAsia="仿宋" w:cs="Times New Roman"/>
          <w:color w:val="000000"/>
          <w:sz w:val="24"/>
        </w:rPr>
      </w:pPr>
      <w:bookmarkStart w:id="49" w:name="_Toc9108"/>
      <w:bookmarkStart w:id="50" w:name="_Toc23636"/>
      <w:bookmarkStart w:id="51" w:name="_Toc8001"/>
      <w:bookmarkStart w:id="52" w:name="_Toc31480"/>
      <w:bookmarkStart w:id="53" w:name="_Toc4068"/>
      <w:bookmarkStart w:id="54" w:name="_Toc3630"/>
      <w:bookmarkStart w:id="55" w:name="_Toc8059"/>
      <w:bookmarkStart w:id="56" w:name="_Toc29189"/>
      <w:bookmarkStart w:id="57" w:name="_Toc27705"/>
      <w:bookmarkStart w:id="58" w:name="_Toc10746"/>
      <w:bookmarkStart w:id="59" w:name="_Toc6497"/>
      <w:bookmarkStart w:id="60" w:name="_Toc29287"/>
      <w:bookmarkStart w:id="61" w:name="_Toc14523"/>
      <w:bookmarkStart w:id="62" w:name="_Toc6699"/>
      <w:r>
        <w:rPr>
          <w:rFonts w:hint="default" w:ascii="Times New Roman" w:hAnsi="Times New Roman" w:eastAsia="仿宋" w:cs="Times New Roman"/>
          <w:color w:val="000000"/>
          <w:sz w:val="24"/>
        </w:rPr>
        <w:t>四、磋商有关说明</w:t>
      </w:r>
      <w:bookmarkEnd w:id="49"/>
      <w:bookmarkEnd w:id="50"/>
      <w:bookmarkEnd w:id="51"/>
      <w:bookmarkEnd w:id="52"/>
      <w:bookmarkEnd w:id="53"/>
      <w:bookmarkEnd w:id="54"/>
      <w:bookmarkEnd w:id="55"/>
      <w:bookmarkEnd w:id="56"/>
      <w:bookmarkEnd w:id="57"/>
      <w:bookmarkEnd w:id="58"/>
      <w:bookmarkEnd w:id="59"/>
      <w:bookmarkEnd w:id="60"/>
      <w:bookmarkEnd w:id="61"/>
      <w:bookmarkEnd w:id="62"/>
    </w:p>
    <w:bookmarkEnd w:id="48"/>
    <w:p>
      <w:pPr>
        <w:pageBreakBefore w:val="0"/>
        <w:kinsoku/>
        <w:wordWrap/>
        <w:overflowPunct/>
        <w:topLinePunct w:val="0"/>
        <w:bidi w:val="0"/>
        <w:spacing w:line="400" w:lineRule="exact"/>
        <w:ind w:firstLine="480" w:firstLineChars="200"/>
        <w:textAlignment w:val="auto"/>
        <w:rPr>
          <w:rFonts w:hint="default" w:ascii="Times New Roman" w:hAnsi="Times New Roman" w:eastAsia="仿宋" w:cs="Times New Roman"/>
          <w:color w:val="auto"/>
          <w:sz w:val="24"/>
          <w:szCs w:val="24"/>
        </w:rPr>
      </w:pPr>
      <w:bookmarkStart w:id="63" w:name="_Toc76462318"/>
      <w:bookmarkStart w:id="64" w:name="_Toc106030872"/>
      <w:bookmarkStart w:id="65" w:name="_Toc1704"/>
      <w:bookmarkStart w:id="66" w:name="_Toc373860293"/>
      <w:bookmarkStart w:id="67" w:name="_Toc31701"/>
      <w:bookmarkStart w:id="68" w:name="_Toc317775178"/>
      <w:r>
        <w:rPr>
          <w:rFonts w:hint="default" w:ascii="Times New Roman" w:hAnsi="Times New Roman" w:eastAsia="仿宋" w:cs="Times New Roman"/>
          <w:sz w:val="24"/>
          <w:szCs w:val="24"/>
        </w:rPr>
        <w:t>（一）</w:t>
      </w:r>
      <w:r>
        <w:rPr>
          <w:rFonts w:hint="default" w:ascii="Times New Roman" w:hAnsi="Times New Roman" w:eastAsia="仿宋" w:cs="Times New Roman"/>
          <w:sz w:val="24"/>
          <w:szCs w:val="24"/>
          <w:lang w:eastAsia="zh-CN"/>
        </w:rPr>
        <w:t>竞争性磋商</w:t>
      </w:r>
      <w:r>
        <w:rPr>
          <w:rFonts w:hint="default" w:ascii="Times New Roman" w:hAnsi="Times New Roman" w:eastAsia="仿宋" w:cs="Times New Roman"/>
          <w:sz w:val="24"/>
          <w:szCs w:val="24"/>
        </w:rPr>
        <w:t>邀请书期限：自采购公告发布之</w:t>
      </w:r>
      <w:r>
        <w:rPr>
          <w:rFonts w:hint="default" w:ascii="Times New Roman" w:hAnsi="Times New Roman" w:eastAsia="仿宋" w:cs="Times New Roman"/>
          <w:color w:val="auto"/>
          <w:sz w:val="24"/>
          <w:szCs w:val="24"/>
        </w:rPr>
        <w:t>日起</w:t>
      </w:r>
      <w:r>
        <w:rPr>
          <w:rFonts w:hint="default" w:ascii="Times New Roman" w:hAnsi="Times New Roman" w:eastAsia="仿宋" w:cs="Times New Roman"/>
          <w:color w:val="auto"/>
          <w:sz w:val="24"/>
          <w:szCs w:val="24"/>
          <w:lang w:eastAsia="zh-CN"/>
        </w:rPr>
        <w:t>三个工作日</w:t>
      </w:r>
      <w:r>
        <w:rPr>
          <w:rFonts w:hint="default" w:ascii="Times New Roman" w:hAnsi="Times New Roman" w:eastAsia="仿宋" w:cs="Times New Roman"/>
          <w:color w:val="auto"/>
          <w:sz w:val="24"/>
          <w:szCs w:val="24"/>
        </w:rPr>
        <w:t>。</w:t>
      </w:r>
    </w:p>
    <w:p>
      <w:pPr>
        <w:pageBreakBefore w:val="0"/>
        <w:kinsoku/>
        <w:wordWrap/>
        <w:overflowPunct/>
        <w:topLinePunct w:val="0"/>
        <w:bidi w:val="0"/>
        <w:spacing w:line="400" w:lineRule="exact"/>
        <w:ind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（二）获取</w:t>
      </w:r>
      <w:r>
        <w:rPr>
          <w:rFonts w:hint="default" w:ascii="Times New Roman" w:hAnsi="Times New Roman" w:eastAsia="仿宋" w:cs="Times New Roman"/>
          <w:color w:val="auto"/>
          <w:sz w:val="24"/>
          <w:szCs w:val="24"/>
          <w:lang w:eastAsia="zh-CN"/>
        </w:rPr>
        <w:t>竞争性磋商</w:t>
      </w:r>
      <w:r>
        <w:rPr>
          <w:rFonts w:hint="default" w:ascii="Times New Roman" w:hAnsi="Times New Roman" w:eastAsia="仿宋" w:cs="Times New Roman"/>
          <w:color w:val="auto"/>
          <w:sz w:val="24"/>
          <w:szCs w:val="24"/>
        </w:rPr>
        <w:t>文件期限：</w:t>
      </w:r>
    </w:p>
    <w:p>
      <w:pPr>
        <w:pageBreakBefore w:val="0"/>
        <w:tabs>
          <w:tab w:val="left" w:pos="3840"/>
          <w:tab w:val="left" w:pos="5300"/>
        </w:tabs>
        <w:kinsoku/>
        <w:wordWrap/>
        <w:overflowPunct/>
        <w:topLinePunct w:val="0"/>
        <w:autoSpaceDE w:val="0"/>
        <w:autoSpaceDN w:val="0"/>
        <w:bidi w:val="0"/>
        <w:adjustRightInd w:val="0"/>
        <w:snapToGrid w:val="0"/>
        <w:spacing w:line="400" w:lineRule="exact"/>
        <w:ind w:firstLine="480" w:firstLineChars="200"/>
        <w:jc w:val="left"/>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1.</w:t>
      </w:r>
      <w:r>
        <w:rPr>
          <w:rFonts w:hint="default" w:ascii="Times New Roman" w:hAnsi="Times New Roman" w:eastAsia="仿宋" w:cs="Times New Roman"/>
          <w:color w:val="auto"/>
          <w:sz w:val="24"/>
          <w:szCs w:val="24"/>
          <w:lang w:eastAsia="zh-CN"/>
        </w:rPr>
        <w:t>竞争性磋商</w:t>
      </w:r>
      <w:r>
        <w:rPr>
          <w:rFonts w:hint="default" w:ascii="Times New Roman" w:hAnsi="Times New Roman" w:eastAsia="仿宋" w:cs="Times New Roman"/>
          <w:color w:val="auto"/>
          <w:sz w:val="24"/>
          <w:szCs w:val="24"/>
        </w:rPr>
        <w:t>文件提供期限：</w:t>
      </w:r>
      <w:r>
        <w:rPr>
          <w:rFonts w:hint="default" w:ascii="Times New Roman" w:hAnsi="Times New Roman" w:eastAsia="仿宋" w:cs="Times New Roman"/>
          <w:color w:val="auto"/>
          <w:sz w:val="24"/>
          <w:szCs w:val="24"/>
          <w:lang w:val="en-US" w:eastAsia="zh-CN"/>
        </w:rPr>
        <w:t>凡有意参加投标的投标人，202</w:t>
      </w:r>
      <w:r>
        <w:rPr>
          <w:rFonts w:hint="default" w:ascii="Times New Roman" w:hAnsi="Times New Roman" w:eastAsia="仿宋" w:cs="Times New Roman"/>
          <w:color w:val="auto"/>
          <w:sz w:val="24"/>
          <w:szCs w:val="24"/>
          <w:lang w:val="en-US" w:eastAsia="zh-CN"/>
        </w:rPr>
        <w:t>6</w:t>
      </w:r>
      <w:r>
        <w:rPr>
          <w:rFonts w:hint="default" w:ascii="Times New Roman" w:hAnsi="Times New Roman" w:eastAsia="仿宋" w:cs="Times New Roman"/>
          <w:color w:val="auto"/>
          <w:sz w:val="24"/>
          <w:szCs w:val="24"/>
          <w:lang w:val="en-US" w:eastAsia="zh-CN"/>
        </w:rPr>
        <w:t>年</w:t>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lang w:val="en-US" w:eastAsia="zh-CN"/>
        </w:rPr>
        <w:t>月</w:t>
      </w:r>
      <w:r>
        <w:rPr>
          <w:rFonts w:hint="default"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lang w:val="en-US" w:eastAsia="zh-CN"/>
        </w:rPr>
        <w:t>日至202</w:t>
      </w:r>
      <w:r>
        <w:rPr>
          <w:rFonts w:hint="default" w:ascii="Times New Roman" w:hAnsi="Times New Roman" w:eastAsia="仿宋" w:cs="Times New Roman"/>
          <w:color w:val="auto"/>
          <w:sz w:val="24"/>
          <w:szCs w:val="24"/>
          <w:lang w:val="en-US" w:eastAsia="zh-CN"/>
        </w:rPr>
        <w:t>6</w:t>
      </w:r>
      <w:r>
        <w:rPr>
          <w:rFonts w:hint="default" w:ascii="Times New Roman" w:hAnsi="Times New Roman" w:eastAsia="仿宋" w:cs="Times New Roman"/>
          <w:color w:val="auto"/>
          <w:sz w:val="24"/>
          <w:szCs w:val="24"/>
          <w:lang w:val="en-US" w:eastAsia="zh-CN"/>
        </w:rPr>
        <w:t>年</w:t>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lang w:val="en-US" w:eastAsia="zh-CN"/>
        </w:rPr>
        <w:t>月</w:t>
      </w:r>
      <w:r>
        <w:rPr>
          <w:rFonts w:hint="default" w:ascii="Times New Roman" w:hAnsi="Times New Roman" w:eastAsia="仿宋" w:cs="Times New Roman"/>
          <w:color w:val="auto"/>
          <w:sz w:val="24"/>
          <w:szCs w:val="24"/>
          <w:lang w:val="en-US" w:eastAsia="zh-CN"/>
        </w:rPr>
        <w:t>8</w:t>
      </w:r>
      <w:r>
        <w:rPr>
          <w:rFonts w:hint="default" w:ascii="Times New Roman" w:hAnsi="Times New Roman" w:eastAsia="仿宋" w:cs="Times New Roman"/>
          <w:color w:val="auto"/>
          <w:sz w:val="24"/>
          <w:szCs w:val="24"/>
          <w:lang w:val="en-US" w:eastAsia="zh-CN"/>
        </w:rPr>
        <w:t>日投标前在重庆市铜梁区人民政府网上下载或到比选代理机构处领取本项目采购文件、补遗文件等开标前公布的所有项目资料。</w:t>
      </w:r>
    </w:p>
    <w:p>
      <w:pPr>
        <w:pageBreakBefore w:val="0"/>
        <w:tabs>
          <w:tab w:val="left" w:pos="3840"/>
          <w:tab w:val="left" w:pos="5300"/>
        </w:tabs>
        <w:kinsoku/>
        <w:wordWrap/>
        <w:overflowPunct/>
        <w:topLinePunct w:val="0"/>
        <w:autoSpaceDE w:val="0"/>
        <w:autoSpaceDN w:val="0"/>
        <w:bidi w:val="0"/>
        <w:adjustRightInd w:val="0"/>
        <w:snapToGrid w:val="0"/>
        <w:spacing w:line="400" w:lineRule="exact"/>
        <w:ind w:firstLine="480" w:firstLineChars="200"/>
        <w:jc w:val="lef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2.</w:t>
      </w:r>
      <w:r>
        <w:rPr>
          <w:rFonts w:hint="default" w:ascii="Times New Roman" w:hAnsi="Times New Roman" w:eastAsia="仿宋" w:cs="Times New Roman"/>
          <w:color w:val="auto"/>
          <w:sz w:val="24"/>
          <w:szCs w:val="24"/>
          <w:lang w:val="en-US" w:eastAsia="zh-CN"/>
        </w:rPr>
        <w:t>本公告开始发布至投标截止时间止，各投标人应随时关注重庆市铜梁区人民政府网上关于本比选项目相关修改或补充内容。</w:t>
      </w:r>
    </w:p>
    <w:p>
      <w:pPr>
        <w:pageBreakBefore w:val="0"/>
        <w:kinsoku/>
        <w:wordWrap/>
        <w:overflowPunct/>
        <w:topLinePunct w:val="0"/>
        <w:bidi w:val="0"/>
        <w:spacing w:line="400" w:lineRule="exact"/>
        <w:ind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（三）递交响应文件地点：</w:t>
      </w:r>
      <w:r>
        <w:rPr>
          <w:rFonts w:hint="default" w:ascii="Times New Roman" w:hAnsi="Times New Roman" w:eastAsia="仿宋" w:cs="Times New Roman"/>
          <w:color w:val="auto"/>
          <w:sz w:val="24"/>
          <w:szCs w:val="24"/>
          <w:lang w:eastAsia="zh-CN"/>
        </w:rPr>
        <w:t>重庆市铜梁区科学技术局</w:t>
      </w:r>
      <w:r>
        <w:rPr>
          <w:rFonts w:hint="default" w:ascii="Times New Roman" w:hAnsi="Times New Roman" w:eastAsia="仿宋" w:cs="Times New Roman"/>
          <w:color w:val="auto"/>
          <w:sz w:val="24"/>
          <w:szCs w:val="24"/>
        </w:rPr>
        <w:t>会议室</w:t>
      </w:r>
    </w:p>
    <w:p>
      <w:pPr>
        <w:pageBreakBefore w:val="0"/>
        <w:kinsoku/>
        <w:wordWrap/>
        <w:overflowPunct/>
        <w:topLinePunct w:val="0"/>
        <w:bidi w:val="0"/>
        <w:spacing w:line="400" w:lineRule="exact"/>
        <w:ind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（四）提交响应文件截止时间：202</w:t>
      </w:r>
      <w:r>
        <w:rPr>
          <w:rFonts w:hint="default" w:ascii="Times New Roman" w:hAnsi="Times New Roman" w:eastAsia="仿宋" w:cs="Times New Roman"/>
          <w:color w:val="auto"/>
          <w:sz w:val="24"/>
          <w:szCs w:val="24"/>
          <w:lang w:val="en-US" w:eastAsia="zh-CN"/>
        </w:rPr>
        <w:t>6</w:t>
      </w:r>
      <w:r>
        <w:rPr>
          <w:rFonts w:hint="default" w:ascii="Times New Roman" w:hAnsi="Times New Roman" w:eastAsia="仿宋" w:cs="Times New Roman"/>
          <w:color w:val="auto"/>
          <w:sz w:val="24"/>
          <w:szCs w:val="24"/>
        </w:rPr>
        <w:t>年</w:t>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t>月</w:t>
      </w:r>
      <w:r>
        <w:rPr>
          <w:rFonts w:hint="default" w:ascii="Times New Roman" w:hAnsi="Times New Roman" w:eastAsia="仿宋" w:cs="Times New Roman"/>
          <w:color w:val="auto"/>
          <w:sz w:val="24"/>
          <w:szCs w:val="24"/>
          <w:lang w:val="en-US" w:eastAsia="zh-CN"/>
        </w:rPr>
        <w:t>9</w:t>
      </w:r>
      <w:r>
        <w:rPr>
          <w:rFonts w:hint="default" w:ascii="Times New Roman" w:hAnsi="Times New Roman" w:eastAsia="仿宋" w:cs="Times New Roman"/>
          <w:color w:val="auto"/>
          <w:sz w:val="24"/>
          <w:szCs w:val="24"/>
        </w:rPr>
        <w:t>日北京时间</w:t>
      </w:r>
      <w:r>
        <w:rPr>
          <w:rFonts w:hint="default" w:ascii="Times New Roman" w:hAnsi="Times New Roman" w:eastAsia="仿宋" w:cs="Times New Roman"/>
          <w:color w:val="auto"/>
          <w:sz w:val="24"/>
          <w:szCs w:val="24"/>
          <w:lang w:val="en-US" w:eastAsia="zh-CN"/>
        </w:rPr>
        <w:t>9</w:t>
      </w:r>
      <w:r>
        <w:rPr>
          <w:rFonts w:hint="default" w:ascii="Times New Roman" w:hAnsi="Times New Roman" w:eastAsia="仿宋" w:cs="Times New Roman"/>
          <w:color w:val="auto"/>
          <w:sz w:val="24"/>
          <w:szCs w:val="24"/>
        </w:rPr>
        <w:t>:30至1</w:t>
      </w:r>
      <w:r>
        <w:rPr>
          <w:rFonts w:hint="default" w:ascii="Times New Roman" w:hAnsi="Times New Roman" w:eastAsia="仿宋" w:cs="Times New Roman"/>
          <w:color w:val="auto"/>
          <w:sz w:val="24"/>
          <w:szCs w:val="24"/>
          <w:lang w:val="en-US" w:eastAsia="zh-CN"/>
        </w:rPr>
        <w:t>0</w:t>
      </w:r>
      <w:r>
        <w:rPr>
          <w:rFonts w:hint="default" w:ascii="Times New Roman" w:hAnsi="Times New Roman" w:eastAsia="仿宋" w:cs="Times New Roman"/>
          <w:color w:val="auto"/>
          <w:sz w:val="24"/>
          <w:szCs w:val="24"/>
        </w:rPr>
        <w:t>:00</w:t>
      </w:r>
    </w:p>
    <w:p>
      <w:pPr>
        <w:pageBreakBefore w:val="0"/>
        <w:kinsoku/>
        <w:wordWrap/>
        <w:overflowPunct/>
        <w:topLinePunct w:val="0"/>
        <w:bidi w:val="0"/>
        <w:spacing w:line="400" w:lineRule="exact"/>
        <w:ind w:firstLine="480" w:firstLineChars="20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（五）评审开始时间：202</w:t>
      </w:r>
      <w:r>
        <w:rPr>
          <w:rFonts w:hint="default" w:ascii="Times New Roman" w:hAnsi="Times New Roman" w:eastAsia="仿宋" w:cs="Times New Roman"/>
          <w:color w:val="auto"/>
          <w:sz w:val="24"/>
          <w:szCs w:val="24"/>
          <w:lang w:val="en-US" w:eastAsia="zh-CN"/>
        </w:rPr>
        <w:t>6</w:t>
      </w:r>
      <w:r>
        <w:rPr>
          <w:rFonts w:hint="default" w:ascii="Times New Roman" w:hAnsi="Times New Roman" w:eastAsia="仿宋" w:cs="Times New Roman"/>
          <w:color w:val="auto"/>
          <w:sz w:val="24"/>
          <w:szCs w:val="24"/>
        </w:rPr>
        <w:t>年</w:t>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t>月</w:t>
      </w:r>
      <w:r>
        <w:rPr>
          <w:rFonts w:hint="default" w:ascii="Times New Roman" w:hAnsi="Times New Roman" w:eastAsia="仿宋" w:cs="Times New Roman"/>
          <w:color w:val="auto"/>
          <w:sz w:val="24"/>
          <w:szCs w:val="24"/>
          <w:lang w:val="en-US" w:eastAsia="zh-CN"/>
        </w:rPr>
        <w:t>9</w:t>
      </w:r>
      <w:r>
        <w:rPr>
          <w:rFonts w:hint="default" w:ascii="Times New Roman" w:hAnsi="Times New Roman" w:eastAsia="仿宋" w:cs="Times New Roman"/>
          <w:color w:val="auto"/>
          <w:sz w:val="24"/>
          <w:szCs w:val="24"/>
        </w:rPr>
        <w:t>日北京时间1</w:t>
      </w:r>
      <w:r>
        <w:rPr>
          <w:rFonts w:hint="default" w:ascii="Times New Roman" w:hAnsi="Times New Roman" w:eastAsia="仿宋" w:cs="Times New Roman"/>
          <w:color w:val="auto"/>
          <w:sz w:val="24"/>
          <w:szCs w:val="24"/>
          <w:lang w:val="en-US" w:eastAsia="zh-CN"/>
        </w:rPr>
        <w:t>0</w:t>
      </w:r>
      <w:r>
        <w:rPr>
          <w:rFonts w:hint="default" w:ascii="Times New Roman" w:hAnsi="Times New Roman" w:eastAsia="仿宋" w:cs="Times New Roman"/>
          <w:color w:val="auto"/>
          <w:sz w:val="24"/>
          <w:szCs w:val="24"/>
        </w:rPr>
        <w:t>:00</w:t>
      </w:r>
      <w:bookmarkEnd w:id="63"/>
      <w:bookmarkEnd w:id="64"/>
      <w:bookmarkEnd w:id="65"/>
      <w:bookmarkEnd w:id="66"/>
      <w:bookmarkEnd w:id="67"/>
    </w:p>
    <w:p>
      <w:pPr>
        <w:pageBreakBefore w:val="0"/>
        <w:kinsoku/>
        <w:wordWrap/>
        <w:overflowPunct/>
        <w:topLinePunct w:val="0"/>
        <w:bidi w:val="0"/>
        <w:spacing w:line="400" w:lineRule="exact"/>
        <w:ind w:firstLine="482" w:firstLineChars="200"/>
        <w:textAlignment w:val="auto"/>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五、投标保证金</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（一）磋商保证金递交</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投标人须按本项目规定的磋商保证金金额进行缴纳（保证金金额详见本篇，一、竞争性磋商内容），磋商保证金必须以转账方式从投标人基本账户转账支付至以下账户，磋商保证金的到账截止时间为20</w:t>
      </w:r>
      <w:r>
        <w:rPr>
          <w:rFonts w:hint="default" w:ascii="Times New Roman" w:hAnsi="Times New Roman" w:eastAsia="仿宋" w:cs="Times New Roman"/>
          <w:color w:val="auto"/>
          <w:sz w:val="24"/>
          <w:szCs w:val="24"/>
          <w:lang w:val="en-US" w:eastAsia="zh-CN"/>
        </w:rPr>
        <w:t>26</w:t>
      </w:r>
      <w:r>
        <w:rPr>
          <w:rFonts w:hint="default" w:ascii="Times New Roman" w:hAnsi="Times New Roman" w:eastAsia="仿宋" w:cs="Times New Roman"/>
          <w:color w:val="auto"/>
          <w:sz w:val="24"/>
          <w:szCs w:val="24"/>
        </w:rPr>
        <w:t>年</w:t>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t>月</w:t>
      </w:r>
      <w:r>
        <w:rPr>
          <w:rFonts w:hint="default" w:ascii="Times New Roman" w:hAnsi="Times New Roman" w:eastAsia="仿宋" w:cs="Times New Roman"/>
          <w:color w:val="auto"/>
          <w:sz w:val="24"/>
          <w:szCs w:val="24"/>
          <w:lang w:val="en-US" w:eastAsia="zh-CN"/>
        </w:rPr>
        <w:t>9</w:t>
      </w:r>
      <w:r>
        <w:rPr>
          <w:rFonts w:hint="default" w:ascii="Times New Roman" w:hAnsi="Times New Roman" w:eastAsia="仿宋" w:cs="Times New Roman"/>
          <w:color w:val="auto"/>
          <w:sz w:val="24"/>
          <w:szCs w:val="24"/>
        </w:rPr>
        <w:t>日</w:t>
      </w:r>
      <w:r>
        <w:rPr>
          <w:rFonts w:hint="default" w:ascii="Times New Roman" w:hAnsi="Times New Roman" w:eastAsia="仿宋" w:cs="Times New Roman"/>
          <w:color w:val="auto"/>
          <w:sz w:val="24"/>
          <w:szCs w:val="24"/>
          <w:lang w:val="en-US" w:eastAsia="zh-CN"/>
        </w:rPr>
        <w:t>09</w:t>
      </w:r>
      <w:r>
        <w:rPr>
          <w:rFonts w:hint="default" w:ascii="Times New Roman" w:hAnsi="Times New Roman" w:eastAsia="仿宋" w:cs="Times New Roman"/>
          <w:color w:val="auto"/>
          <w:sz w:val="24"/>
          <w:szCs w:val="24"/>
        </w:rPr>
        <w:t>时</w:t>
      </w:r>
      <w:r>
        <w:rPr>
          <w:rFonts w:hint="default" w:ascii="Times New Roman" w:hAnsi="Times New Roman" w:eastAsia="仿宋" w:cs="Times New Roman"/>
          <w:color w:val="auto"/>
          <w:sz w:val="24"/>
          <w:szCs w:val="24"/>
          <w:lang w:val="en-US" w:eastAsia="zh-CN"/>
        </w:rPr>
        <w:t>30</w:t>
      </w:r>
      <w:r>
        <w:rPr>
          <w:rFonts w:hint="default" w:ascii="Times New Roman" w:hAnsi="Times New Roman" w:eastAsia="仿宋" w:cs="Times New Roman"/>
          <w:color w:val="auto"/>
          <w:sz w:val="24"/>
          <w:szCs w:val="24"/>
        </w:rPr>
        <w:t>分。</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磋商保证金账户：</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户名：重庆金谦建设工程咨询有限公司</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开户行：</w:t>
      </w:r>
      <w:r>
        <w:rPr>
          <w:rFonts w:hint="default" w:ascii="Times New Roman" w:hAnsi="Times New Roman" w:eastAsia="仿宋" w:cs="Times New Roman"/>
          <w:color w:val="auto"/>
          <w:sz w:val="24"/>
          <w:szCs w:val="24"/>
          <w:lang w:eastAsia="zh-CN"/>
        </w:rPr>
        <w:t>工行铜梁龙城支行</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auto"/>
          <w:sz w:val="24"/>
          <w:szCs w:val="24"/>
        </w:rPr>
        <w:t>账号：3100095109200150079</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请务必在银行进账单备注上注明：重庆市铜梁区科技型企业科技管理水平提升辅导服务项目。</w:t>
      </w:r>
      <w:r>
        <w:rPr>
          <w:rFonts w:hint="default" w:ascii="Times New Roman" w:hAnsi="Times New Roman" w:eastAsia="仿宋" w:cs="Times New Roman"/>
          <w:color w:val="000000"/>
          <w:sz w:val="24"/>
          <w:szCs w:val="24"/>
          <w:lang w:eastAsia="zh-CN"/>
        </w:rPr>
        <w:t>（可简称：</w:t>
      </w:r>
      <w:r>
        <w:rPr>
          <w:rFonts w:hint="default" w:ascii="Times New Roman" w:hAnsi="Times New Roman" w:eastAsia="仿宋" w:cs="Times New Roman"/>
          <w:color w:val="000000"/>
          <w:sz w:val="24"/>
          <w:szCs w:val="24"/>
          <w:lang w:val="en-US" w:eastAsia="zh-CN"/>
        </w:rPr>
        <w:t>重庆市.......辅导服务项目）</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1.各投标人在银行转账（电汇）时，须充分考虑银行转账（电汇）的时间差风险，如同城转账、异地转账或汇款、跨行转账或电汇的时间要求。</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2.各投标人在递交磋商保证金时，到款账户为上述指定的磋商保证金专用账户。</w:t>
      </w:r>
      <w:bookmarkEnd w:id="68"/>
    </w:p>
    <w:p>
      <w:pPr>
        <w:pStyle w:val="3"/>
        <w:pageBreakBefore w:val="0"/>
        <w:kinsoku/>
        <w:wordWrap/>
        <w:overflowPunct/>
        <w:topLinePunct w:val="0"/>
        <w:bidi w:val="0"/>
        <w:adjustRightInd w:val="0"/>
        <w:snapToGrid w:val="0"/>
        <w:spacing w:before="0" w:after="0" w:line="400" w:lineRule="exact"/>
        <w:ind w:firstLine="482" w:firstLineChars="200"/>
        <w:textAlignment w:val="auto"/>
        <w:rPr>
          <w:rFonts w:hint="default" w:ascii="Times New Roman" w:hAnsi="Times New Roman" w:eastAsia="仿宋" w:cs="Times New Roman"/>
          <w:color w:val="000000"/>
          <w:sz w:val="24"/>
        </w:rPr>
      </w:pPr>
      <w:bookmarkStart w:id="69" w:name="_Toc30229"/>
      <w:bookmarkStart w:id="70" w:name="_Toc27698"/>
      <w:bookmarkStart w:id="71" w:name="_Toc18387"/>
      <w:bookmarkStart w:id="72" w:name="_Toc11861"/>
      <w:bookmarkStart w:id="73" w:name="_Toc26666"/>
      <w:bookmarkStart w:id="74" w:name="_Toc27484"/>
      <w:bookmarkStart w:id="75" w:name="_Toc9380"/>
      <w:bookmarkStart w:id="76" w:name="_Toc21619"/>
      <w:bookmarkStart w:id="77" w:name="_Toc14908"/>
      <w:bookmarkStart w:id="78" w:name="_Toc29718"/>
      <w:bookmarkStart w:id="79" w:name="_Toc23849"/>
      <w:bookmarkStart w:id="80" w:name="_Toc21648"/>
      <w:bookmarkStart w:id="81" w:name="_Toc20046"/>
      <w:bookmarkStart w:id="82" w:name="_Toc31137"/>
      <w:r>
        <w:rPr>
          <w:rFonts w:hint="default" w:ascii="Times New Roman" w:hAnsi="Times New Roman" w:eastAsia="仿宋" w:cs="Times New Roman"/>
          <w:color w:val="000000"/>
          <w:sz w:val="24"/>
          <w:lang w:eastAsia="zh-CN"/>
        </w:rPr>
        <w:t>六</w:t>
      </w:r>
      <w:r>
        <w:rPr>
          <w:rFonts w:hint="default" w:ascii="Times New Roman" w:hAnsi="Times New Roman" w:eastAsia="仿宋" w:cs="Times New Roman"/>
          <w:color w:val="000000"/>
          <w:sz w:val="24"/>
        </w:rPr>
        <w:t>、其它有关规定</w:t>
      </w:r>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（一）单位负责人为同一人或者存在直接控股、管理关系的不同供应商，不得参加同一合同项（包）下的政府采购活动，否则均为无效响应。</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（二）为采购项目提供整体设计、规范编制或者项目管理、监理、检测等服务的供应商，不得再参加该采购项目的其他采购活动。</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（三）本项目的澄清文件（如果有）一律在</w:t>
      </w:r>
      <w:r>
        <w:rPr>
          <w:rFonts w:hint="default" w:ascii="Times New Roman" w:hAnsi="Times New Roman" w:eastAsia="仿宋" w:cs="Times New Roman"/>
          <w:color w:val="000000"/>
          <w:sz w:val="24"/>
          <w:szCs w:val="24"/>
          <w:lang w:eastAsia="zh-CN"/>
        </w:rPr>
        <w:t>重庆市铜梁区人民政府网（https://www.cqstl.gov.cn/）</w:t>
      </w:r>
      <w:r>
        <w:rPr>
          <w:rFonts w:hint="default" w:ascii="Times New Roman" w:hAnsi="Times New Roman" w:eastAsia="仿宋" w:cs="Times New Roman"/>
          <w:color w:val="000000"/>
          <w:sz w:val="24"/>
          <w:szCs w:val="24"/>
        </w:rPr>
        <w:t>上发布，请各供应商注意下载或到采购代理机构处领取；无论供应商下载或领取与否，均视同供应商已知晓本项目澄清文件（如果有）的内容。</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（四）超过响应文件截止时间递交的响应文件，恕不接收。</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（五）磋商费用：无论磋商结果如何，供应商参与本项目磋商的所有费用均应由供应商自行承担。</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b/>
          <w:color w:val="000000"/>
          <w:sz w:val="24"/>
          <w:szCs w:val="24"/>
        </w:rPr>
      </w:pPr>
      <w:r>
        <w:rPr>
          <w:rFonts w:hint="default" w:ascii="Times New Roman" w:hAnsi="Times New Roman" w:eastAsia="仿宋" w:cs="Times New Roman"/>
          <w:color w:val="000000"/>
          <w:sz w:val="24"/>
          <w:szCs w:val="24"/>
        </w:rPr>
        <w:t>（</w:t>
      </w:r>
      <w:r>
        <w:rPr>
          <w:rFonts w:hint="default" w:ascii="Times New Roman" w:hAnsi="Times New Roman" w:eastAsia="仿宋" w:cs="Times New Roman"/>
          <w:color w:val="000000"/>
          <w:sz w:val="24"/>
          <w:szCs w:val="24"/>
          <w:lang w:eastAsia="zh-CN"/>
        </w:rPr>
        <w:t>六</w:t>
      </w:r>
      <w:r>
        <w:rPr>
          <w:rFonts w:hint="default" w:ascii="Times New Roman" w:hAnsi="Times New Roman" w:eastAsia="仿宋" w:cs="Times New Roman"/>
          <w:color w:val="000000"/>
          <w:sz w:val="24"/>
          <w:szCs w:val="24"/>
        </w:rPr>
        <w:t>）</w:t>
      </w:r>
      <w:r>
        <w:rPr>
          <w:rFonts w:hint="default" w:ascii="Times New Roman" w:hAnsi="Times New Roman" w:eastAsia="仿宋" w:cs="Times New Roman"/>
          <w:b/>
          <w:color w:val="000000"/>
          <w:sz w:val="24"/>
          <w:szCs w:val="24"/>
        </w:rPr>
        <w:t>本项目不接受联合体参与磋商。</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w:t>
      </w:r>
      <w:r>
        <w:rPr>
          <w:rFonts w:hint="default" w:ascii="Times New Roman" w:hAnsi="Times New Roman" w:eastAsia="仿宋" w:cs="Times New Roman"/>
          <w:color w:val="000000"/>
          <w:sz w:val="24"/>
          <w:szCs w:val="24"/>
          <w:lang w:eastAsia="zh-CN"/>
        </w:rPr>
        <w:t>七</w:t>
      </w:r>
      <w:r>
        <w:rPr>
          <w:rFonts w:hint="default" w:ascii="Times New Roman" w:hAnsi="Times New Roman" w:eastAsia="仿宋" w:cs="Times New Roman"/>
          <w:color w:val="000000"/>
          <w:sz w:val="24"/>
          <w:szCs w:val="24"/>
        </w:rPr>
        <w:t>）</w:t>
      </w:r>
      <w:r>
        <w:rPr>
          <w:rFonts w:hint="default" w:ascii="Times New Roman" w:hAnsi="Times New Roman" w:eastAsia="仿宋" w:cs="Times New Roman"/>
          <w:b/>
          <w:color w:val="000000"/>
          <w:sz w:val="24"/>
          <w:szCs w:val="24"/>
        </w:rPr>
        <w:t>本项目不接受合同分包。</w:t>
      </w:r>
    </w:p>
    <w:p>
      <w:pPr>
        <w:pageBreakBefore w:val="0"/>
        <w:kinsoku/>
        <w:wordWrap/>
        <w:overflowPunct/>
        <w:topLinePunct w:val="0"/>
        <w:bidi w:val="0"/>
        <w:snapToGrid w:val="0"/>
        <w:spacing w:line="400" w:lineRule="exact"/>
        <w:ind w:firstLine="360" w:firstLineChars="150"/>
        <w:textAlignment w:val="auto"/>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rPr>
        <w:t>（</w:t>
      </w:r>
      <w:r>
        <w:rPr>
          <w:rFonts w:hint="default" w:ascii="Times New Roman" w:hAnsi="Times New Roman" w:eastAsia="仿宋" w:cs="Times New Roman"/>
          <w:color w:val="000000"/>
          <w:sz w:val="24"/>
          <w:szCs w:val="24"/>
          <w:lang w:eastAsia="zh-CN"/>
        </w:rPr>
        <w:t>八</w:t>
      </w:r>
      <w:r>
        <w:rPr>
          <w:rFonts w:hint="default" w:ascii="Times New Roman" w:hAnsi="Times New Roman" w:eastAsia="仿宋"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3"/>
        <w:pageBreakBefore w:val="0"/>
        <w:kinsoku/>
        <w:wordWrap/>
        <w:overflowPunct/>
        <w:topLinePunct w:val="0"/>
        <w:bidi w:val="0"/>
        <w:adjustRightInd w:val="0"/>
        <w:snapToGrid w:val="0"/>
        <w:spacing w:before="0" w:after="0" w:line="400" w:lineRule="exact"/>
        <w:ind w:firstLine="482" w:firstLineChars="200"/>
        <w:textAlignment w:val="auto"/>
        <w:rPr>
          <w:rFonts w:hint="default" w:ascii="Times New Roman" w:hAnsi="Times New Roman" w:eastAsia="仿宋" w:cs="Times New Roman"/>
          <w:color w:val="000000"/>
          <w:sz w:val="24"/>
        </w:rPr>
      </w:pPr>
      <w:bookmarkStart w:id="83" w:name="_Toc31514"/>
      <w:bookmarkStart w:id="84" w:name="_Toc5793"/>
      <w:bookmarkStart w:id="85" w:name="_Toc5263"/>
      <w:bookmarkStart w:id="86" w:name="_Toc5163"/>
      <w:bookmarkStart w:id="87" w:name="_Toc23172"/>
      <w:bookmarkStart w:id="88" w:name="_Toc16207"/>
      <w:bookmarkStart w:id="89" w:name="_Toc19072"/>
      <w:bookmarkStart w:id="90" w:name="_Toc21108"/>
      <w:bookmarkStart w:id="91" w:name="_Toc1502"/>
      <w:bookmarkStart w:id="92" w:name="_Toc28253"/>
      <w:bookmarkStart w:id="93" w:name="_Toc9242"/>
      <w:bookmarkStart w:id="94" w:name="_Toc23896"/>
      <w:bookmarkStart w:id="95" w:name="_Toc30433"/>
      <w:bookmarkStart w:id="96" w:name="_Toc12665"/>
      <w:r>
        <w:rPr>
          <w:rFonts w:hint="default" w:ascii="Times New Roman" w:hAnsi="Times New Roman" w:eastAsia="仿宋" w:cs="Times New Roman"/>
          <w:color w:val="000000"/>
          <w:sz w:val="24"/>
          <w:lang w:eastAsia="zh-CN"/>
        </w:rPr>
        <w:t>七</w:t>
      </w:r>
      <w:r>
        <w:rPr>
          <w:rFonts w:hint="default" w:ascii="Times New Roman" w:hAnsi="Times New Roman" w:eastAsia="仿宋" w:cs="Times New Roman"/>
          <w:color w:val="000000"/>
          <w:sz w:val="24"/>
        </w:rPr>
        <w:t>、联系方式</w:t>
      </w:r>
      <w:bookmarkEnd w:id="83"/>
      <w:bookmarkEnd w:id="84"/>
      <w:bookmarkEnd w:id="85"/>
      <w:bookmarkEnd w:id="86"/>
      <w:bookmarkEnd w:id="87"/>
      <w:bookmarkEnd w:id="88"/>
      <w:bookmarkEnd w:id="89"/>
      <w:bookmarkEnd w:id="90"/>
      <w:bookmarkEnd w:id="91"/>
      <w:bookmarkEnd w:id="92"/>
      <w:bookmarkEnd w:id="93"/>
      <w:bookmarkEnd w:id="94"/>
      <w:bookmarkEnd w:id="95"/>
      <w:bookmarkEnd w:id="96"/>
    </w:p>
    <w:p>
      <w:pPr>
        <w:pageBreakBefore w:val="0"/>
        <w:kinsoku/>
        <w:wordWrap/>
        <w:overflowPunct/>
        <w:topLinePunct w:val="0"/>
        <w:bidi w:val="0"/>
        <w:snapToGrid w:val="0"/>
        <w:spacing w:line="400" w:lineRule="exact"/>
        <w:ind w:firstLine="480" w:firstLineChars="200"/>
        <w:textAlignment w:val="auto"/>
        <w:outlineLvl w:val="9"/>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rPr>
        <w:t>（一）采购人：</w:t>
      </w:r>
      <w:r>
        <w:rPr>
          <w:rFonts w:hint="default" w:ascii="Times New Roman" w:hAnsi="Times New Roman" w:eastAsia="仿宋" w:cs="Times New Roman"/>
          <w:color w:val="000000"/>
          <w:sz w:val="24"/>
          <w:szCs w:val="24"/>
          <w:lang w:eastAsia="zh-CN"/>
        </w:rPr>
        <w:t>重庆市铜梁区科学技术局</w:t>
      </w:r>
    </w:p>
    <w:p>
      <w:pPr>
        <w:pageBreakBefore w:val="0"/>
        <w:kinsoku/>
        <w:wordWrap/>
        <w:overflowPunct/>
        <w:topLinePunct w:val="0"/>
        <w:bidi w:val="0"/>
        <w:snapToGrid w:val="0"/>
        <w:spacing w:line="400" w:lineRule="exact"/>
        <w:ind w:firstLine="480" w:firstLineChars="200"/>
        <w:textAlignment w:val="auto"/>
        <w:outlineLvl w:val="9"/>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rPr>
        <w:t>联系人：彭老师</w:t>
      </w:r>
    </w:p>
    <w:p>
      <w:pPr>
        <w:pageBreakBefore w:val="0"/>
        <w:kinsoku/>
        <w:wordWrap/>
        <w:overflowPunct/>
        <w:topLinePunct w:val="0"/>
        <w:bidi w:val="0"/>
        <w:snapToGrid w:val="0"/>
        <w:spacing w:line="400" w:lineRule="exact"/>
        <w:ind w:firstLine="480" w:firstLineChars="200"/>
        <w:textAlignment w:val="auto"/>
        <w:outlineLvl w:val="9"/>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sz w:val="24"/>
          <w:szCs w:val="24"/>
        </w:rPr>
        <w:t>电  话：13647640029</w:t>
      </w:r>
    </w:p>
    <w:p>
      <w:pPr>
        <w:pageBreakBefore w:val="0"/>
        <w:kinsoku/>
        <w:wordWrap/>
        <w:overflowPunct/>
        <w:topLinePunct w:val="0"/>
        <w:bidi w:val="0"/>
        <w:snapToGrid w:val="0"/>
        <w:spacing w:line="400" w:lineRule="exact"/>
        <w:ind w:firstLine="480" w:firstLineChars="200"/>
        <w:textAlignment w:val="auto"/>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地  址：重庆市铜梁区</w:t>
      </w:r>
      <w:r>
        <w:rPr>
          <w:rFonts w:hint="default" w:ascii="Times New Roman" w:hAnsi="Times New Roman" w:eastAsia="仿宋" w:cs="Times New Roman"/>
          <w:color w:val="000000"/>
          <w:sz w:val="24"/>
          <w:szCs w:val="24"/>
          <w:lang w:eastAsia="zh-CN"/>
        </w:rPr>
        <w:t>龙安大道</w:t>
      </w:r>
      <w:r>
        <w:rPr>
          <w:rFonts w:hint="default" w:ascii="Times New Roman" w:hAnsi="Times New Roman" w:eastAsia="仿宋" w:cs="Times New Roman"/>
          <w:color w:val="000000"/>
          <w:sz w:val="24"/>
          <w:szCs w:val="24"/>
          <w:lang w:val="en-US" w:eastAsia="zh-CN"/>
        </w:rPr>
        <w:t>24号科创中心424号</w:t>
      </w:r>
    </w:p>
    <w:p>
      <w:pPr>
        <w:pageBreakBefore w:val="0"/>
        <w:kinsoku/>
        <w:wordWrap/>
        <w:overflowPunct/>
        <w:topLinePunct w:val="0"/>
        <w:bidi w:val="0"/>
        <w:snapToGrid w:val="0"/>
        <w:spacing w:line="400" w:lineRule="exact"/>
        <w:ind w:firstLine="480" w:firstLineChars="200"/>
        <w:textAlignment w:val="auto"/>
        <w:outlineLvl w:val="9"/>
        <w:rPr>
          <w:rFonts w:hint="default" w:ascii="Times New Roman" w:hAnsi="Times New Roman" w:eastAsia="仿宋" w:cs="Times New Roman"/>
          <w:color w:val="000000"/>
          <w:sz w:val="24"/>
          <w:szCs w:val="24"/>
          <w:lang w:eastAsia="zh-CN"/>
        </w:rPr>
      </w:pPr>
      <w:r>
        <w:rPr>
          <w:rFonts w:hint="default" w:ascii="Times New Roman" w:hAnsi="Times New Roman" w:eastAsia="仿宋" w:cs="Times New Roman"/>
          <w:color w:val="000000"/>
          <w:sz w:val="24"/>
          <w:szCs w:val="24"/>
        </w:rPr>
        <w:t>（二）采购代理机构：</w:t>
      </w:r>
      <w:r>
        <w:rPr>
          <w:rFonts w:hint="default" w:ascii="Times New Roman" w:hAnsi="Times New Roman" w:eastAsia="仿宋" w:cs="Times New Roman"/>
          <w:color w:val="000000"/>
          <w:sz w:val="24"/>
          <w:szCs w:val="24"/>
          <w:vertAlign w:val="baseline"/>
          <w:lang w:val="en-US" w:eastAsia="zh-CN"/>
        </w:rPr>
        <w:t>重庆金谦建设工程咨询有限公司</w:t>
      </w:r>
    </w:p>
    <w:p>
      <w:pPr>
        <w:pageBreakBefore w:val="0"/>
        <w:kinsoku/>
        <w:wordWrap/>
        <w:overflowPunct/>
        <w:topLinePunct w:val="0"/>
        <w:bidi w:val="0"/>
        <w:snapToGrid w:val="0"/>
        <w:spacing w:line="400" w:lineRule="exact"/>
        <w:ind w:firstLine="480" w:firstLineChars="200"/>
        <w:textAlignment w:val="auto"/>
        <w:outlineLvl w:val="9"/>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联系人：</w:t>
      </w:r>
      <w:r>
        <w:rPr>
          <w:rFonts w:hint="default" w:ascii="Times New Roman" w:hAnsi="Times New Roman" w:eastAsia="仿宋" w:cs="Times New Roman"/>
          <w:color w:val="000000"/>
          <w:sz w:val="24"/>
          <w:szCs w:val="24"/>
          <w:lang w:val="en-US" w:eastAsia="zh-CN"/>
        </w:rPr>
        <w:t>陈</w:t>
      </w:r>
      <w:r>
        <w:rPr>
          <w:rFonts w:hint="default" w:ascii="Times New Roman" w:hAnsi="Times New Roman" w:eastAsia="仿宋" w:cs="Times New Roman"/>
          <w:color w:val="000000"/>
          <w:sz w:val="24"/>
          <w:szCs w:val="24"/>
          <w:lang w:eastAsia="zh-CN"/>
        </w:rPr>
        <w:t>老师</w:t>
      </w:r>
      <w:r>
        <w:rPr>
          <w:rFonts w:hint="default" w:ascii="Times New Roman" w:hAnsi="Times New Roman" w:eastAsia="仿宋" w:cs="Times New Roman"/>
          <w:color w:val="000000"/>
          <w:sz w:val="24"/>
          <w:szCs w:val="24"/>
        </w:rPr>
        <w:t xml:space="preserve"> </w:t>
      </w:r>
    </w:p>
    <w:p>
      <w:pPr>
        <w:pageBreakBefore w:val="0"/>
        <w:kinsoku/>
        <w:wordWrap/>
        <w:overflowPunct/>
        <w:topLinePunct w:val="0"/>
        <w:bidi w:val="0"/>
        <w:snapToGrid w:val="0"/>
        <w:spacing w:line="400" w:lineRule="exact"/>
        <w:ind w:firstLine="480" w:firstLineChars="200"/>
        <w:textAlignment w:val="auto"/>
        <w:outlineLvl w:val="9"/>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rPr>
        <w:t>电  话：</w:t>
      </w:r>
      <w:r>
        <w:rPr>
          <w:rFonts w:hint="default" w:ascii="Times New Roman" w:hAnsi="Times New Roman" w:eastAsia="仿宋" w:cs="Times New Roman"/>
          <w:color w:val="000000"/>
          <w:sz w:val="24"/>
          <w:szCs w:val="24"/>
          <w:lang w:val="en-US" w:eastAsia="zh-CN"/>
        </w:rPr>
        <w:t>17772442677</w:t>
      </w:r>
    </w:p>
    <w:p>
      <w:pPr>
        <w:pageBreakBefore w:val="0"/>
        <w:kinsoku/>
        <w:wordWrap/>
        <w:overflowPunct/>
        <w:topLinePunct w:val="0"/>
        <w:bidi w:val="0"/>
        <w:snapToGrid w:val="0"/>
        <w:spacing w:line="400" w:lineRule="exact"/>
        <w:ind w:firstLine="480" w:firstLineChars="200"/>
        <w:textAlignment w:val="auto"/>
        <w:outlineLvl w:val="9"/>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sz w:val="24"/>
          <w:szCs w:val="24"/>
          <w:lang w:val="en-US" w:eastAsia="zh-CN"/>
        </w:rPr>
        <w:t>地  址:重庆市铜梁区</w:t>
      </w:r>
      <w:r>
        <w:rPr>
          <w:rFonts w:hint="eastAsia" w:ascii="Times New Roman" w:hAnsi="Times New Roman" w:eastAsia="仿宋" w:cs="Times New Roman"/>
          <w:color w:val="000000"/>
          <w:sz w:val="24"/>
          <w:szCs w:val="24"/>
          <w:lang w:val="en-US" w:eastAsia="zh-CN"/>
        </w:rPr>
        <w:t>旺龙路119号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74228"/>
    <w:rsid w:val="05BF5CB7"/>
    <w:rsid w:val="19F814A4"/>
    <w:rsid w:val="3DD50206"/>
    <w:rsid w:val="421938ED"/>
    <w:rsid w:val="44F21096"/>
    <w:rsid w:val="5207079B"/>
    <w:rsid w:val="5B2E58F9"/>
    <w:rsid w:val="681B5454"/>
    <w:rsid w:val="78882957"/>
    <w:rsid w:val="78932BCE"/>
    <w:rsid w:val="79256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4">
    <w:name w:val="toc 2"/>
    <w:basedOn w:val="1"/>
    <w:next w:val="1"/>
    <w:qFormat/>
    <w:uiPriority w:val="39"/>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2026-01-04T03:13:00Z</dcterms:created>
  <dc:creator>Administrator</dc:creator>
  <cp:lastModifiedBy>噔哩个铛</cp:lastModifiedBy>
  <dcterms:modified xsi:type="dcterms:W3CDTF">2026-01-04T08:46:37Z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eyJoZGlkIjoiNDMwNWJmMTlmMDI3NjQ3NzQwNjUxZmZkZTBiNGZjMDciLCJ1c2VySWQiOiI0OTUxOTY5MTUifQ==</vt:lpwstr>
  </property>
  <property fmtid="{D5CDD505-2E9C-101B-9397-08002B2CF9AE}" pid="4" name="ICV">
    <vt:lpwstr>B4C33A77F467401E9C10284C1C9B79BE_12</vt:lpwstr>
  </property>
</Properties>
</file>