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_GBK"/>
          <w:b/>
          <w:bCs/>
          <w:sz w:val="32"/>
          <w:szCs w:val="32"/>
          <w:lang w:eastAsia="zh-CN"/>
        </w:rPr>
      </w:pPr>
      <w:bookmarkStart w:id="0" w:name="_GoBack"/>
      <w:r>
        <w:rPr>
          <w:rFonts w:hint="eastAsia" w:eastAsia="方正小标宋_GBK"/>
          <w:b/>
          <w:bCs/>
          <w:sz w:val="32"/>
          <w:szCs w:val="32"/>
        </w:rPr>
        <w:t>重庆市铜梁区科技型企业科技管理水平提升辅导服务项目</w:t>
      </w:r>
    </w:p>
    <w:p>
      <w:pPr>
        <w:jc w:val="center"/>
        <w:rPr>
          <w:rFonts w:hint="eastAsia" w:eastAsia="方正小标宋_GBK"/>
          <w:b/>
          <w:bCs/>
          <w:sz w:val="32"/>
          <w:szCs w:val="32"/>
          <w:lang w:val="en-US" w:eastAsia="zh-CN"/>
        </w:rPr>
      </w:pPr>
      <w:r>
        <w:rPr>
          <w:rFonts w:hint="eastAsia" w:eastAsia="方正小标宋_GBK"/>
          <w:b/>
          <w:bCs/>
          <w:sz w:val="32"/>
          <w:szCs w:val="32"/>
          <w:lang w:val="en-US" w:eastAsia="zh-CN"/>
        </w:rPr>
        <w:t>补遗</w:t>
      </w:r>
    </w:p>
    <w:p>
      <w:pPr>
        <w:jc w:val="center"/>
        <w:rPr>
          <w:rFonts w:hint="eastAsia" w:eastAsia="方正小标宋_GBK"/>
          <w:b/>
          <w:bCs/>
          <w:sz w:val="32"/>
          <w:szCs w:val="32"/>
          <w:lang w:val="en-US" w:eastAsia="zh-CN"/>
        </w:rPr>
      </w:pPr>
    </w:p>
    <w:p>
      <w:pPr>
        <w:rPr>
          <w:rFonts w:hint="eastAsia" w:ascii="Times New Roman" w:hAnsi="Times New Roman" w:eastAsia="微软雅黑" w:cs="Times New Roman"/>
          <w:sz w:val="24"/>
          <w:szCs w:val="24"/>
          <w:lang w:val="en-US" w:eastAsia="zh-CN"/>
        </w:rPr>
      </w:pPr>
      <w:r>
        <w:rPr>
          <w:rFonts w:hint="eastAsia" w:ascii="Times New Roman" w:hAnsi="Times New Roman" w:eastAsia="微软雅黑" w:cs="Times New Roman"/>
          <w:sz w:val="24"/>
          <w:szCs w:val="24"/>
          <w:lang w:val="en-US" w:eastAsia="zh-CN"/>
        </w:rPr>
        <w:t xml:space="preserve">各潜在投标人： </w:t>
      </w:r>
    </w:p>
    <w:p>
      <w:pPr>
        <w:ind w:firstLine="480" w:firstLineChars="200"/>
        <w:rPr>
          <w:rFonts w:hint="eastAsia" w:ascii="Times New Roman" w:hAnsi="Times New Roman" w:eastAsia="微软雅黑" w:cs="Times New Roman"/>
          <w:sz w:val="24"/>
          <w:szCs w:val="24"/>
          <w:lang w:val="en-US" w:eastAsia="zh-CN"/>
        </w:rPr>
      </w:pPr>
      <w:r>
        <w:rPr>
          <w:rFonts w:hint="eastAsia" w:ascii="Times New Roman" w:hAnsi="Times New Roman" w:eastAsia="微软雅黑" w:cs="Times New Roman"/>
          <w:sz w:val="24"/>
          <w:szCs w:val="24"/>
          <w:lang w:val="en-US" w:eastAsia="zh-CN"/>
        </w:rPr>
        <w:t>现对重庆市铜梁区科技型企业科技管理水平提升辅导服务项目补遗如下：</w:t>
      </w:r>
    </w:p>
    <w:p>
      <w:pPr>
        <w:numPr>
          <w:ilvl w:val="0"/>
          <w:numId w:val="0"/>
        </w:numPr>
        <w:rPr>
          <w:rFonts w:hint="eastAsia" w:ascii="Times New Roman" w:hAnsi="Times New Roman" w:eastAsia="微软雅黑" w:cs="Times New Roman"/>
          <w:b/>
          <w:bCs/>
          <w:sz w:val="24"/>
          <w:szCs w:val="24"/>
          <w:lang w:val="en-US" w:eastAsia="zh-CN"/>
        </w:rPr>
      </w:pPr>
      <w:r>
        <w:rPr>
          <w:rFonts w:hint="eastAsia" w:ascii="Times New Roman" w:hAnsi="Times New Roman" w:eastAsia="微软雅黑" w:cs="Times New Roman"/>
          <w:b/>
          <w:bCs/>
          <w:sz w:val="24"/>
          <w:szCs w:val="24"/>
          <w:lang w:val="en-US" w:eastAsia="zh-CN"/>
        </w:rPr>
        <w:t>“四、磋商有关说明”整体修改为：</w:t>
      </w:r>
    </w:p>
    <w:p>
      <w:pPr>
        <w:ind w:firstLine="480" w:firstLineChars="200"/>
        <w:rPr>
          <w:rFonts w:eastAsia="微软雅黑"/>
          <w:color w:val="auto"/>
          <w:sz w:val="24"/>
          <w:szCs w:val="24"/>
        </w:rPr>
      </w:pPr>
      <w:r>
        <w:rPr>
          <w:rFonts w:hint="eastAsia" w:eastAsia="微软雅黑"/>
          <w:color w:val="auto"/>
          <w:sz w:val="24"/>
          <w:szCs w:val="24"/>
          <w:lang w:eastAsia="zh-CN"/>
        </w:rPr>
        <w:t>“</w:t>
      </w:r>
      <w:r>
        <w:rPr>
          <w:rFonts w:hint="eastAsia" w:eastAsia="微软雅黑"/>
          <w:color w:val="auto"/>
          <w:sz w:val="24"/>
          <w:szCs w:val="24"/>
        </w:rPr>
        <w:t>（一）</w:t>
      </w:r>
      <w:r>
        <w:rPr>
          <w:rFonts w:hint="eastAsia" w:ascii="Times New Roman" w:hAnsi="Times New Roman" w:eastAsia="微软雅黑" w:cs="Times New Roman"/>
          <w:sz w:val="24"/>
          <w:szCs w:val="24"/>
          <w:lang w:val="en-US" w:eastAsia="zh-CN"/>
        </w:rPr>
        <w:t>凡有意参加投标的投标人，请于公告发布之日（2022年10月18日）起至报名截止时间(2022年10月27日17时00分)止，在重庆市诺捷工程咨询有限公司（重庆市铜梁区岳阳社区旺龙路97号附6号）获取采购文件等其他相关技术资料及报名，报名时请持法定代表人（负责人）身份证明书或法定代表人（负责人）授权委托书（原件）,</w:t>
      </w:r>
      <w:r>
        <w:rPr>
          <w:rFonts w:hint="eastAsia" w:eastAsia="微软雅黑"/>
          <w:color w:val="auto"/>
          <w:sz w:val="24"/>
          <w:szCs w:val="24"/>
        </w:rPr>
        <w:t>投标人在递交投标文件时</w:t>
      </w:r>
      <w:r>
        <w:rPr>
          <w:rFonts w:hint="eastAsia" w:eastAsia="微软雅黑"/>
          <w:color w:val="auto"/>
          <w:sz w:val="24"/>
          <w:szCs w:val="24"/>
          <w:lang w:eastAsia="zh-CN"/>
        </w:rPr>
        <w:t>由采购代理机构确认投标人是否在规定时间报名，</w:t>
      </w:r>
      <w:r>
        <w:rPr>
          <w:rFonts w:hint="eastAsia" w:eastAsia="微软雅黑"/>
          <w:color w:val="auto"/>
          <w:sz w:val="24"/>
          <w:szCs w:val="24"/>
        </w:rPr>
        <w:t>否则采购人和采购代理机构将不予接收其投标文件。</w:t>
      </w:r>
    </w:p>
    <w:p>
      <w:pPr>
        <w:ind w:firstLine="480" w:firstLineChars="200"/>
        <w:rPr>
          <w:rFonts w:eastAsia="微软雅黑"/>
          <w:color w:val="auto"/>
          <w:sz w:val="24"/>
          <w:szCs w:val="24"/>
        </w:rPr>
      </w:pPr>
      <w:r>
        <w:rPr>
          <w:rFonts w:hint="eastAsia" w:eastAsia="微软雅黑"/>
          <w:color w:val="auto"/>
          <w:sz w:val="24"/>
          <w:szCs w:val="24"/>
        </w:rPr>
        <w:t>（二）递交响应文件开始时间：202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时00分（北京时间）。</w:t>
      </w:r>
    </w:p>
    <w:p>
      <w:pPr>
        <w:ind w:firstLine="480" w:firstLineChars="200"/>
        <w:rPr>
          <w:rFonts w:eastAsia="微软雅黑"/>
          <w:color w:val="auto"/>
          <w:sz w:val="24"/>
          <w:szCs w:val="24"/>
        </w:rPr>
      </w:pPr>
      <w:r>
        <w:rPr>
          <w:rFonts w:hint="eastAsia" w:eastAsia="微软雅黑"/>
          <w:color w:val="auto"/>
          <w:sz w:val="24"/>
          <w:szCs w:val="24"/>
        </w:rPr>
        <w:t>（三）递交响应文件截止时间：202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时30分（北京时间）。</w:t>
      </w:r>
    </w:p>
    <w:p>
      <w:pPr>
        <w:ind w:firstLine="480" w:firstLineChars="200"/>
        <w:rPr>
          <w:rFonts w:eastAsia="微软雅黑"/>
          <w:sz w:val="24"/>
          <w:szCs w:val="24"/>
        </w:rPr>
      </w:pPr>
      <w:r>
        <w:rPr>
          <w:rFonts w:hint="eastAsia" w:eastAsia="微软雅黑"/>
          <w:color w:val="auto"/>
          <w:sz w:val="24"/>
          <w:szCs w:val="24"/>
        </w:rPr>
        <w:t>（四）磋商开始时间：202</w:t>
      </w:r>
      <w:r>
        <w:rPr>
          <w:rFonts w:hint="eastAsia" w:eastAsia="微软雅黑"/>
          <w:color w:val="auto"/>
          <w:sz w:val="24"/>
          <w:szCs w:val="24"/>
          <w:lang w:val="en-US" w:eastAsia="zh-CN"/>
        </w:rPr>
        <w:t>2</w:t>
      </w:r>
      <w:r>
        <w:rPr>
          <w:rFonts w:hint="eastAsia" w:eastAsia="微软雅黑"/>
          <w:color w:val="auto"/>
          <w:sz w:val="24"/>
          <w:szCs w:val="24"/>
        </w:rPr>
        <w:t>年</w:t>
      </w:r>
      <w:r>
        <w:rPr>
          <w:rFonts w:hint="eastAsia" w:eastAsia="微软雅黑"/>
          <w:color w:val="auto"/>
          <w:sz w:val="24"/>
          <w:szCs w:val="24"/>
          <w:lang w:val="en-US" w:eastAsia="zh-CN"/>
        </w:rPr>
        <w:t>10</w:t>
      </w:r>
      <w:r>
        <w:rPr>
          <w:rFonts w:hint="eastAsia" w:eastAsia="微软雅黑"/>
          <w:color w:val="auto"/>
          <w:sz w:val="24"/>
          <w:szCs w:val="24"/>
        </w:rPr>
        <w:t>月</w:t>
      </w:r>
      <w:r>
        <w:rPr>
          <w:rFonts w:hint="eastAsia" w:eastAsia="微软雅黑"/>
          <w:color w:val="auto"/>
          <w:sz w:val="24"/>
          <w:szCs w:val="24"/>
          <w:lang w:val="en-US" w:eastAsia="zh-CN"/>
        </w:rPr>
        <w:t>28</w:t>
      </w:r>
      <w:r>
        <w:rPr>
          <w:rFonts w:hint="eastAsia" w:eastAsia="微软雅黑"/>
          <w:color w:val="auto"/>
          <w:sz w:val="24"/>
          <w:szCs w:val="24"/>
        </w:rPr>
        <w:t>日</w:t>
      </w:r>
      <w:r>
        <w:rPr>
          <w:rFonts w:hint="eastAsia" w:eastAsia="微软雅黑"/>
          <w:color w:val="auto"/>
          <w:sz w:val="24"/>
          <w:szCs w:val="24"/>
          <w:lang w:val="en-US" w:eastAsia="zh-CN"/>
        </w:rPr>
        <w:t>09</w:t>
      </w:r>
      <w:r>
        <w:rPr>
          <w:rFonts w:hint="eastAsia" w:eastAsia="微软雅黑"/>
          <w:color w:val="auto"/>
          <w:sz w:val="24"/>
          <w:szCs w:val="24"/>
        </w:rPr>
        <w:t>时30分</w:t>
      </w:r>
      <w:r>
        <w:rPr>
          <w:rFonts w:hint="eastAsia" w:eastAsia="微软雅黑"/>
          <w:sz w:val="24"/>
          <w:szCs w:val="24"/>
        </w:rPr>
        <w:t>（北京时间）。</w:t>
      </w:r>
    </w:p>
    <w:p>
      <w:pPr>
        <w:ind w:firstLine="480" w:firstLineChars="200"/>
        <w:rPr>
          <w:rFonts w:eastAsia="微软雅黑"/>
          <w:sz w:val="24"/>
          <w:szCs w:val="24"/>
        </w:rPr>
      </w:pPr>
      <w:r>
        <w:rPr>
          <w:rFonts w:hint="eastAsia" w:eastAsia="微软雅黑"/>
          <w:sz w:val="24"/>
          <w:szCs w:val="24"/>
        </w:rPr>
        <w:t>（五）递交响应文件地点：重庆市铜梁区科学技术局会议室。</w:t>
      </w:r>
    </w:p>
    <w:p>
      <w:pPr>
        <w:ind w:firstLine="480" w:firstLineChars="200"/>
        <w:rPr>
          <w:rFonts w:hint="eastAsia" w:eastAsia="微软雅黑"/>
          <w:sz w:val="24"/>
          <w:szCs w:val="24"/>
          <w:lang w:eastAsia="zh-CN"/>
        </w:rPr>
      </w:pPr>
      <w:r>
        <w:rPr>
          <w:rFonts w:hint="eastAsia" w:eastAsia="微软雅黑"/>
          <w:sz w:val="24"/>
          <w:szCs w:val="24"/>
        </w:rPr>
        <w:t>（六）磋商地点：同递交响应文件地点。</w:t>
      </w:r>
      <w:r>
        <w:rPr>
          <w:rFonts w:hint="eastAsia" w:eastAsia="微软雅黑"/>
          <w:sz w:val="24"/>
          <w:szCs w:val="24"/>
          <w:lang w:eastAsia="zh-CN"/>
        </w:rPr>
        <w:t>”</w:t>
      </w:r>
    </w:p>
    <w:p>
      <w:pPr>
        <w:rPr>
          <w:rFonts w:hint="eastAsia" w:ascii="Times New Roman" w:hAnsi="Times New Roman" w:eastAsia="微软雅黑" w:cs="Times New Roman"/>
          <w:b/>
          <w:bCs/>
          <w:sz w:val="24"/>
          <w:szCs w:val="24"/>
          <w:lang w:val="en-US" w:eastAsia="zh-CN"/>
        </w:rPr>
      </w:pPr>
      <w:r>
        <w:rPr>
          <w:rFonts w:hint="eastAsia" w:ascii="Times New Roman" w:hAnsi="Times New Roman" w:eastAsia="微软雅黑" w:cs="Times New Roman"/>
          <w:b/>
          <w:bCs/>
          <w:sz w:val="24"/>
          <w:szCs w:val="24"/>
          <w:lang w:val="en-US" w:eastAsia="zh-CN"/>
        </w:rPr>
        <w:t>“五、磋商保证金”整体修改为：</w:t>
      </w:r>
    </w:p>
    <w:p>
      <w:pPr>
        <w:ind w:firstLine="480" w:firstLineChars="200"/>
        <w:rPr>
          <w:rFonts w:hint="eastAsia" w:ascii="Times New Roman" w:hAnsi="Times New Roman" w:eastAsia="微软雅黑" w:cs="Times New Roman"/>
          <w:color w:val="auto"/>
          <w:sz w:val="24"/>
          <w:szCs w:val="24"/>
        </w:rPr>
      </w:pPr>
      <w:r>
        <w:rPr>
          <w:rFonts w:hint="eastAsia" w:ascii="Times New Roman" w:hAnsi="Times New Roman" w:eastAsia="微软雅黑" w:cs="Times New Roman"/>
          <w:color w:val="auto"/>
          <w:sz w:val="24"/>
          <w:szCs w:val="24"/>
        </w:rPr>
        <w:t>（一）磋商保证金递交</w:t>
      </w:r>
    </w:p>
    <w:p>
      <w:pPr>
        <w:ind w:firstLine="480" w:firstLineChars="200"/>
        <w:rPr>
          <w:rFonts w:hint="eastAsia" w:ascii="Times New Roman" w:hAnsi="Times New Roman" w:eastAsia="微软雅黑" w:cs="Times New Roman"/>
          <w:color w:val="auto"/>
          <w:sz w:val="24"/>
          <w:szCs w:val="24"/>
        </w:rPr>
      </w:pPr>
      <w:r>
        <w:rPr>
          <w:rFonts w:hint="eastAsia" w:ascii="Times New Roman" w:hAnsi="Times New Roman" w:eastAsia="微软雅黑" w:cs="Times New Roman"/>
          <w:color w:val="auto"/>
          <w:sz w:val="24"/>
          <w:szCs w:val="24"/>
          <w:lang w:eastAsia="zh-CN"/>
        </w:rPr>
        <w:t>“</w:t>
      </w:r>
      <w:r>
        <w:rPr>
          <w:rFonts w:hint="eastAsia" w:ascii="Times New Roman" w:hAnsi="Times New Roman" w:eastAsia="微软雅黑" w:cs="Times New Roman"/>
          <w:color w:val="auto"/>
          <w:sz w:val="24"/>
          <w:szCs w:val="24"/>
        </w:rPr>
        <w:t>投标人须按本项目规定的磋商保证金金额进行缴纳（保证金金额详见本篇，一、竞争性磋商内容），磋商保证金必须以转账方式从投标人基本账户转账支付至以下账户，磋商保证金的到账截止时间为20</w:t>
      </w:r>
      <w:r>
        <w:rPr>
          <w:rFonts w:hint="eastAsia" w:ascii="Times New Roman" w:hAnsi="Times New Roman" w:eastAsia="微软雅黑" w:cs="Times New Roman"/>
          <w:color w:val="auto"/>
          <w:sz w:val="24"/>
          <w:szCs w:val="24"/>
          <w:lang w:val="en-US" w:eastAsia="zh-CN"/>
        </w:rPr>
        <w:t>2</w:t>
      </w:r>
      <w:r>
        <w:rPr>
          <w:rFonts w:hint="eastAsia" w:eastAsia="微软雅黑" w:cs="Times New Roman"/>
          <w:color w:val="auto"/>
          <w:sz w:val="24"/>
          <w:szCs w:val="24"/>
          <w:lang w:val="en-US" w:eastAsia="zh-CN"/>
        </w:rPr>
        <w:t>2</w:t>
      </w:r>
      <w:r>
        <w:rPr>
          <w:rFonts w:hint="eastAsia" w:ascii="Times New Roman" w:hAnsi="Times New Roman" w:eastAsia="微软雅黑" w:cs="Times New Roman"/>
          <w:color w:val="auto"/>
          <w:sz w:val="24"/>
          <w:szCs w:val="24"/>
        </w:rPr>
        <w:t>年</w:t>
      </w:r>
      <w:r>
        <w:rPr>
          <w:rFonts w:hint="eastAsia" w:eastAsia="微软雅黑" w:cs="Times New Roman"/>
          <w:color w:val="auto"/>
          <w:sz w:val="24"/>
          <w:szCs w:val="24"/>
          <w:lang w:val="en-US" w:eastAsia="zh-CN"/>
        </w:rPr>
        <w:t>4</w:t>
      </w:r>
      <w:r>
        <w:rPr>
          <w:rFonts w:hint="eastAsia" w:ascii="Times New Roman" w:hAnsi="Times New Roman" w:eastAsia="微软雅黑" w:cs="Times New Roman"/>
          <w:color w:val="auto"/>
          <w:sz w:val="24"/>
          <w:szCs w:val="24"/>
        </w:rPr>
        <w:t>月</w:t>
      </w:r>
      <w:r>
        <w:rPr>
          <w:rFonts w:hint="eastAsia" w:eastAsia="微软雅黑" w:cs="Times New Roman"/>
          <w:color w:val="auto"/>
          <w:sz w:val="24"/>
          <w:szCs w:val="24"/>
          <w:lang w:val="en-US" w:eastAsia="zh-CN"/>
        </w:rPr>
        <w:t>28</w:t>
      </w:r>
      <w:r>
        <w:rPr>
          <w:rFonts w:hint="eastAsia" w:ascii="Times New Roman" w:hAnsi="Times New Roman" w:eastAsia="微软雅黑" w:cs="Times New Roman"/>
          <w:color w:val="auto"/>
          <w:sz w:val="24"/>
          <w:szCs w:val="24"/>
        </w:rPr>
        <w:t>日17时00分。</w:t>
      </w:r>
    </w:p>
    <w:p>
      <w:pPr>
        <w:ind w:firstLine="480" w:firstLineChars="200"/>
        <w:rPr>
          <w:rFonts w:hint="eastAsia" w:ascii="Times New Roman" w:hAnsi="Times New Roman" w:eastAsia="微软雅黑" w:cs="Times New Roman"/>
          <w:color w:val="auto"/>
          <w:sz w:val="24"/>
          <w:szCs w:val="24"/>
        </w:rPr>
      </w:pPr>
      <w:r>
        <w:rPr>
          <w:rFonts w:hint="eastAsia" w:ascii="Times New Roman" w:hAnsi="Times New Roman" w:eastAsia="微软雅黑" w:cs="Times New Roman"/>
          <w:color w:val="auto"/>
          <w:sz w:val="24"/>
          <w:szCs w:val="24"/>
        </w:rPr>
        <w:t>磋商保证金账户：</w:t>
      </w:r>
    </w:p>
    <w:p>
      <w:pPr>
        <w:ind w:firstLine="480" w:firstLineChars="200"/>
        <w:rPr>
          <w:rFonts w:hint="eastAsia" w:ascii="Times New Roman" w:hAnsi="Times New Roman" w:eastAsia="微软雅黑" w:cs="Times New Roman"/>
          <w:sz w:val="24"/>
          <w:szCs w:val="24"/>
          <w:lang w:eastAsia="zh-CN"/>
        </w:rPr>
      </w:pPr>
      <w:r>
        <w:rPr>
          <w:rFonts w:hint="eastAsia" w:ascii="Times New Roman" w:hAnsi="Times New Roman" w:eastAsia="微软雅黑" w:cs="Times New Roman"/>
          <w:sz w:val="24"/>
          <w:szCs w:val="24"/>
        </w:rPr>
        <w:t>户名：</w:t>
      </w:r>
      <w:r>
        <w:rPr>
          <w:rFonts w:hint="eastAsia" w:ascii="Times New Roman" w:hAnsi="Times New Roman" w:eastAsia="微软雅黑" w:cs="Times New Roman"/>
          <w:sz w:val="24"/>
          <w:szCs w:val="24"/>
          <w:lang w:eastAsia="zh-CN"/>
        </w:rPr>
        <w:t>重庆市诺捷工程咨询管理有限公司</w:t>
      </w:r>
    </w:p>
    <w:p>
      <w:pPr>
        <w:ind w:firstLine="480" w:firstLineChars="200"/>
        <w:rPr>
          <w:rFonts w:hint="eastAsia" w:ascii="Times New Roman" w:hAnsi="Times New Roman" w:eastAsia="微软雅黑" w:cs="Times New Roman"/>
          <w:sz w:val="24"/>
          <w:szCs w:val="24"/>
          <w:lang w:eastAsia="zh-CN"/>
        </w:rPr>
      </w:pPr>
      <w:r>
        <w:rPr>
          <w:rFonts w:hint="eastAsia" w:ascii="Times New Roman" w:hAnsi="Times New Roman" w:eastAsia="微软雅黑" w:cs="Times New Roman"/>
          <w:sz w:val="24"/>
          <w:szCs w:val="24"/>
        </w:rPr>
        <w:t>开户行：</w:t>
      </w:r>
      <w:r>
        <w:rPr>
          <w:rFonts w:hint="eastAsia" w:ascii="Times New Roman" w:hAnsi="Times New Roman" w:eastAsia="微软雅黑" w:cs="Times New Roman"/>
          <w:sz w:val="24"/>
          <w:szCs w:val="24"/>
          <w:lang w:eastAsia="zh-CN"/>
        </w:rPr>
        <w:t>中国工商银行股份有限公司重庆铜梁龙城支行</w:t>
      </w:r>
    </w:p>
    <w:p>
      <w:pPr>
        <w:ind w:firstLine="480" w:firstLineChars="200"/>
        <w:rPr>
          <w:rFonts w:hint="default" w:ascii="Times New Roman" w:hAnsi="Times New Roman" w:eastAsia="微软雅黑" w:cs="Times New Roman"/>
          <w:sz w:val="24"/>
          <w:szCs w:val="24"/>
          <w:lang w:val="en-US" w:eastAsia="zh-CN"/>
        </w:rPr>
      </w:pPr>
      <w:r>
        <w:rPr>
          <w:rFonts w:hint="eastAsia" w:ascii="Times New Roman" w:hAnsi="Times New Roman" w:eastAsia="微软雅黑" w:cs="Times New Roman"/>
          <w:sz w:val="24"/>
          <w:szCs w:val="24"/>
        </w:rPr>
        <w:t>账号：</w:t>
      </w:r>
      <w:r>
        <w:rPr>
          <w:rFonts w:hint="eastAsia" w:ascii="Times New Roman" w:hAnsi="Times New Roman" w:eastAsia="微软雅黑" w:cs="Times New Roman"/>
          <w:sz w:val="24"/>
          <w:szCs w:val="24"/>
          <w:lang w:val="en-US" w:eastAsia="zh-CN"/>
        </w:rPr>
        <w:t>3100095109200147684</w:t>
      </w:r>
    </w:p>
    <w:p>
      <w:pPr>
        <w:ind w:firstLine="480" w:firstLineChars="200"/>
        <w:rPr>
          <w:rFonts w:hint="eastAsia" w:ascii="Times New Roman" w:hAnsi="Times New Roman" w:eastAsia="微软雅黑" w:cs="Times New Roman"/>
          <w:sz w:val="24"/>
          <w:szCs w:val="24"/>
        </w:rPr>
      </w:pPr>
      <w:r>
        <w:rPr>
          <w:rFonts w:hint="eastAsia" w:ascii="Times New Roman" w:hAnsi="Times New Roman" w:eastAsia="微软雅黑" w:cs="Times New Roman"/>
          <w:sz w:val="24"/>
          <w:szCs w:val="24"/>
        </w:rPr>
        <w:t>请务必在银行进账单备注上注明：</w:t>
      </w:r>
      <w:r>
        <w:rPr>
          <w:rFonts w:hint="eastAsia" w:ascii="Times New Roman" w:hAnsi="Times New Roman" w:eastAsia="微软雅黑" w:cs="Times New Roman"/>
          <w:sz w:val="24"/>
          <w:szCs w:val="24"/>
          <w:lang w:val="en-US" w:eastAsia="zh-CN"/>
        </w:rPr>
        <w:t>重庆市铜梁区科技型企业科技管理水平提升辅导服务项目</w:t>
      </w:r>
      <w:r>
        <w:rPr>
          <w:rFonts w:hint="eastAsia" w:ascii="Times New Roman" w:hAnsi="Times New Roman" w:eastAsia="微软雅黑" w:cs="Times New Roman"/>
          <w:sz w:val="24"/>
          <w:szCs w:val="24"/>
        </w:rPr>
        <w:t>。</w:t>
      </w:r>
      <w:r>
        <w:rPr>
          <w:rFonts w:hint="eastAsia" w:eastAsia="微软雅黑" w:cs="Times New Roman"/>
          <w:sz w:val="24"/>
          <w:szCs w:val="24"/>
          <w:lang w:eastAsia="zh-CN"/>
        </w:rPr>
        <w:t>（可简称：</w:t>
      </w:r>
      <w:r>
        <w:rPr>
          <w:rFonts w:hint="eastAsia" w:eastAsia="微软雅黑" w:cs="Times New Roman"/>
          <w:sz w:val="24"/>
          <w:szCs w:val="24"/>
          <w:lang w:val="en-US" w:eastAsia="zh-CN"/>
        </w:rPr>
        <w:t>重庆市.......辅导服务项目）</w:t>
      </w:r>
    </w:p>
    <w:p>
      <w:pPr>
        <w:ind w:firstLine="480" w:firstLineChars="200"/>
        <w:rPr>
          <w:rFonts w:hint="eastAsia" w:ascii="Times New Roman" w:hAnsi="Times New Roman" w:eastAsia="微软雅黑" w:cs="Times New Roman"/>
          <w:sz w:val="24"/>
          <w:szCs w:val="24"/>
        </w:rPr>
      </w:pPr>
      <w:r>
        <w:rPr>
          <w:rFonts w:hint="eastAsia" w:ascii="Times New Roman" w:hAnsi="Times New Roman" w:eastAsia="微软雅黑" w:cs="Times New Roman"/>
          <w:sz w:val="24"/>
          <w:szCs w:val="24"/>
        </w:rPr>
        <w:t>1.各投标人在银行转账（电汇）时，须充分考虑银行转账（电汇）的时间差风险，如同城转账、异地转账或汇款、跨行转账或电汇的时间要求。</w:t>
      </w:r>
    </w:p>
    <w:p>
      <w:pPr>
        <w:pStyle w:val="2"/>
        <w:rPr>
          <w:rFonts w:hint="eastAsia" w:eastAsia="微软雅黑"/>
          <w:lang w:val="en-US" w:eastAsia="zh-CN"/>
        </w:rPr>
      </w:pPr>
      <w:r>
        <w:rPr>
          <w:rFonts w:hint="eastAsia" w:ascii="Times New Roman" w:hAnsi="Times New Roman" w:eastAsia="微软雅黑" w:cs="Times New Roman"/>
          <w:sz w:val="24"/>
          <w:szCs w:val="24"/>
        </w:rPr>
        <w:t>2.各投标人在递交磋商保证金时，到款账户为上述指定的磋商保证金专用账户。</w:t>
      </w:r>
      <w:r>
        <w:rPr>
          <w:rFonts w:hint="eastAsia" w:ascii="Times New Roman" w:hAnsi="Times New Roman" w:eastAsia="微软雅黑" w:cs="Times New Roman"/>
          <w:sz w:val="24"/>
          <w:szCs w:val="24"/>
          <w:lang w:eastAsia="zh-CN"/>
        </w:rPr>
        <w:t>”</w:t>
      </w:r>
    </w:p>
    <w:p>
      <w:pPr>
        <w:pStyle w:val="2"/>
        <w:numPr>
          <w:ilvl w:val="0"/>
          <w:numId w:val="0"/>
        </w:numPr>
        <w:rPr>
          <w:rFonts w:hint="default"/>
          <w:lang w:val="en-US" w:eastAsia="zh-CN"/>
        </w:rPr>
      </w:pPr>
    </w:p>
    <w:p>
      <w:pPr>
        <w:numPr>
          <w:ilvl w:val="0"/>
          <w:numId w:val="0"/>
        </w:numPr>
        <w:rPr>
          <w:rFonts w:hint="eastAsia" w:ascii="Times New Roman" w:hAnsi="Times New Roman" w:eastAsia="微软雅黑" w:cs="Times New Roman"/>
          <w:b/>
          <w:bCs/>
          <w:sz w:val="24"/>
          <w:szCs w:val="24"/>
          <w:lang w:val="en-US" w:eastAsia="zh-CN"/>
        </w:rPr>
      </w:pPr>
      <w:r>
        <w:rPr>
          <w:rFonts w:hint="eastAsia" w:ascii="Times New Roman" w:hAnsi="Times New Roman" w:eastAsia="微软雅黑" w:cs="Times New Roman"/>
          <w:b/>
          <w:bCs/>
          <w:sz w:val="24"/>
          <w:szCs w:val="24"/>
          <w:lang w:val="en-US" w:eastAsia="zh-CN"/>
        </w:rPr>
        <w:t>本项目以本次发布的竞争性磋商文件为准。</w:t>
      </w:r>
    </w:p>
    <w:p>
      <w:pPr>
        <w:pStyle w:val="5"/>
        <w:rPr>
          <w:rFonts w:hint="eastAsia" w:ascii="Times New Roman" w:hAnsi="Times New Roman" w:eastAsia="微软雅黑" w:cs="Times New Roman"/>
          <w:b/>
          <w:bCs/>
          <w:sz w:val="24"/>
          <w:szCs w:val="24"/>
          <w:lang w:val="en-US" w:eastAsia="zh-CN"/>
        </w:rPr>
      </w:pPr>
    </w:p>
    <w:p>
      <w:pPr>
        <w:pStyle w:val="5"/>
        <w:rPr>
          <w:rFonts w:hint="eastAsia" w:ascii="Times New Roman" w:hAnsi="Times New Roman" w:eastAsia="微软雅黑" w:cs="Times New Roman"/>
          <w:b/>
          <w:bCs/>
          <w:sz w:val="24"/>
          <w:szCs w:val="24"/>
          <w:lang w:val="en-US" w:eastAsia="zh-CN"/>
        </w:rPr>
      </w:pPr>
    </w:p>
    <w:p>
      <w:pPr>
        <w:ind w:firstLine="480" w:firstLineChars="200"/>
        <w:rPr>
          <w:rFonts w:eastAsia="微软雅黑"/>
          <w:sz w:val="24"/>
          <w:szCs w:val="24"/>
        </w:rPr>
      </w:pPr>
      <w:r>
        <w:rPr>
          <w:rFonts w:hint="eastAsia" w:ascii="Times New Roman" w:hAnsi="Times New Roman" w:eastAsia="微软雅黑" w:cs="Times New Roman"/>
          <w:b/>
          <w:bCs/>
          <w:sz w:val="24"/>
          <w:szCs w:val="24"/>
          <w:lang w:val="en-US" w:eastAsia="zh-CN"/>
        </w:rPr>
        <w:t xml:space="preserve">                                        </w:t>
      </w:r>
      <w:r>
        <w:rPr>
          <w:rFonts w:hint="eastAsia" w:eastAsia="微软雅黑"/>
          <w:sz w:val="24"/>
          <w:szCs w:val="24"/>
        </w:rPr>
        <w:t>重庆市铜梁区科学技术局</w:t>
      </w:r>
    </w:p>
    <w:p>
      <w:pPr>
        <w:ind w:firstLine="5040" w:firstLineChars="2100"/>
        <w:rPr>
          <w:rFonts w:hint="eastAsia" w:eastAsia="微软雅黑"/>
          <w:sz w:val="24"/>
          <w:szCs w:val="24"/>
        </w:rPr>
      </w:pPr>
      <w:r>
        <w:rPr>
          <w:rFonts w:hint="eastAsia" w:eastAsia="微软雅黑"/>
          <w:sz w:val="24"/>
          <w:szCs w:val="24"/>
        </w:rPr>
        <w:t>重庆市诺捷工程咨询有限公司</w:t>
      </w:r>
    </w:p>
    <w:p>
      <w:pPr>
        <w:pStyle w:val="2"/>
        <w:rPr>
          <w:rFonts w:hint="default" w:eastAsia="微软雅黑"/>
          <w:lang w:val="en-US" w:eastAsia="zh-CN"/>
        </w:rPr>
      </w:pPr>
      <w:r>
        <w:rPr>
          <w:rFonts w:hint="eastAsia" w:eastAsia="微软雅黑"/>
          <w:sz w:val="24"/>
          <w:szCs w:val="24"/>
          <w:lang w:val="en-US" w:eastAsia="zh-CN"/>
        </w:rPr>
        <w:t xml:space="preserve">                                            2022年10月19日</w:t>
      </w:r>
    </w:p>
    <w:p>
      <w:pPr>
        <w:pStyle w:val="5"/>
        <w:rPr>
          <w:rFonts w:hint="default" w:ascii="Times New Roman" w:hAnsi="Times New Roman" w:eastAsia="微软雅黑" w:cs="Times New Roman"/>
          <w:b/>
          <w:bCs/>
          <w:sz w:val="24"/>
          <w:szCs w:val="24"/>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WRhMTgzMTdiNjczMzk0NjAyYjRkMmQ2NWU0ZDIifQ=="/>
  </w:docVars>
  <w:rsids>
    <w:rsidRoot w:val="00000000"/>
    <w:rsid w:val="0085197D"/>
    <w:rsid w:val="4E084F37"/>
    <w:rsid w:val="6188387A"/>
    <w:rsid w:val="7596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after="0" w:line="275" w:lineRule="atLeast"/>
      <w:ind w:firstLine="420"/>
      <w:textAlignment w:val="baseline"/>
    </w:pPr>
    <w:rPr>
      <w:rFonts w:ascii="宋体" w:eastAsia="楷体_GB2312"/>
      <w:sz w:val="24"/>
      <w:szCs w:val="20"/>
    </w:rPr>
  </w:style>
  <w:style w:type="paragraph" w:styleId="3">
    <w:name w:val="Body Text"/>
    <w:basedOn w:val="1"/>
    <w:next w:val="4"/>
    <w:qFormat/>
    <w:uiPriority w:val="0"/>
    <w:pPr>
      <w:spacing w:before="60" w:after="60" w:line="360" w:lineRule="auto"/>
      <w:ind w:firstLine="200"/>
    </w:pPr>
    <w:rPr>
      <w:rFonts w:eastAsia="仿宋_GB2312" w:asciiTheme="minorHAnsi" w:hAnsiTheme="minorHAnsi" w:cstheme="minorBidi"/>
      <w:sz w:val="32"/>
      <w:szCs w:val="24"/>
    </w:rPr>
  </w:style>
  <w:style w:type="paragraph" w:customStyle="1" w:styleId="4">
    <w:name w:val="目录 53"/>
    <w:next w:val="1"/>
    <w:qFormat/>
    <w:uiPriority w:val="0"/>
    <w:pPr>
      <w:wordWrap w:val="0"/>
      <w:ind w:left="1275"/>
      <w:jc w:val="both"/>
    </w:pPr>
    <w:rPr>
      <w:rFonts w:ascii="Times New Roman" w:hAnsi="Times New Roman" w:eastAsia="宋体" w:cs="Times New Roman"/>
      <w:sz w:val="21"/>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791</Words>
  <Characters>863</Characters>
  <Lines>0</Lines>
  <Paragraphs>0</Paragraphs>
  <TotalTime>4</TotalTime>
  <ScaleCrop>false</ScaleCrop>
  <LinksUpToDate>false</LinksUpToDate>
  <CharactersWithSpaces>948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2022-10-19T07:23:00Z</dcterms:created>
  <dc:creator>Administrator</dc:creator>
  <cp:lastModifiedBy>科技局收发员</cp:lastModifiedBy>
  <dcterms:modified xsi:type="dcterms:W3CDTF">2022-10-19T08:40:55Z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3ACBD4836F554AD1BF19D2D35ACFE221</vt:lpwstr>
  </property>
</Properties>
</file>