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jc w:val="both"/>
        <w:textAlignment w:val="auto"/>
        <w:outlineLvl w:val="0"/>
        <w:rPr>
          <w:rFonts w:hint="default" w:ascii="Times New Roman" w:hAnsi="Times New Roman" w:eastAsia="方正仿宋_GBK" w:cs="Times New Roman"/>
          <w:bCs/>
          <w:color w:val="000000"/>
          <w:spacing w:val="-20"/>
          <w:kern w:val="36"/>
          <w:sz w:val="32"/>
          <w:szCs w:val="32"/>
          <w:lang w:val="en-US" w:eastAsia="zh-CN"/>
        </w:rPr>
      </w:pPr>
    </w:p>
    <w:tbl>
      <w:tblPr>
        <w:tblStyle w:val="8"/>
        <w:tblpPr w:leftFromText="180" w:rightFromText="180" w:vertAnchor="page" w:horzAnchor="page" w:tblpXSpec="center" w:tblpY="3153"/>
        <w:tblOverlap w:val="never"/>
        <w:tblW w:w="9343" w:type="dxa"/>
        <w:jc w:val="center"/>
        <w:tblInd w:w="0" w:type="dxa"/>
        <w:tblLayout w:type="fixed"/>
        <w:tblCellMar>
          <w:top w:w="0" w:type="dxa"/>
          <w:left w:w="108" w:type="dxa"/>
          <w:bottom w:w="0" w:type="dxa"/>
          <w:right w:w="108" w:type="dxa"/>
        </w:tblCellMar>
      </w:tblPr>
      <w:tblGrid>
        <w:gridCol w:w="7757"/>
        <w:gridCol w:w="1586"/>
      </w:tblGrid>
      <w:tr>
        <w:tblPrEx>
          <w:tblLayout w:type="fixed"/>
          <w:tblCellMar>
            <w:top w:w="0" w:type="dxa"/>
            <w:left w:w="108" w:type="dxa"/>
            <w:bottom w:w="0" w:type="dxa"/>
            <w:right w:w="108" w:type="dxa"/>
          </w:tblCellMar>
        </w:tblPrEx>
        <w:trPr>
          <w:trHeight w:val="2367" w:hRule="atLeast"/>
          <w:jc w:val="center"/>
        </w:trPr>
        <w:tc>
          <w:tcPr>
            <w:tcW w:w="7757" w:type="dxa"/>
            <w:noWrap w:val="0"/>
            <w:vAlign w:val="top"/>
          </w:tcPr>
          <w:p>
            <w:pPr>
              <w:keepNext w:val="0"/>
              <w:keepLines w:val="0"/>
              <w:pageBreakBefore w:val="0"/>
              <w:widowControl w:val="0"/>
              <w:kinsoku/>
              <w:wordWrap/>
              <w:overflowPunct/>
              <w:topLinePunct w:val="0"/>
              <w:autoSpaceDE/>
              <w:autoSpaceDN/>
              <w:bidi w:val="0"/>
              <w:adjustRightInd w:val="0"/>
              <w:snapToGrid/>
              <w:spacing w:line="800" w:lineRule="exact"/>
              <w:jc w:val="distribute"/>
              <w:textAlignment w:val="auto"/>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pPr>
            <w:r>
              <w:rPr>
                <w:rFonts w:ascii="Times New Roman" w:hAnsi="Times New Roman" w:eastAsia="方正小标宋_GBK" w:cs="Times New Roman"/>
                <w:b w:val="0"/>
                <w:bCs/>
                <w:snapToGrid/>
                <w:color w:val="FF0000"/>
                <w:spacing w:val="-20"/>
                <w:w w:val="66"/>
                <w:kern w:val="2"/>
                <w:sz w:val="72"/>
                <w:szCs w:val="72"/>
                <w:highlight w:val="none"/>
                <w:shd w:val="clear" w:color="auto" w:fill="auto"/>
              </w:rPr>
              <w:t>重庆市</w:t>
            </w:r>
            <w:r>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t>铜梁区</w:t>
            </w:r>
            <w:r>
              <w:rPr>
                <w:rFonts w:ascii="Times New Roman" w:hAnsi="Times New Roman" w:eastAsia="方正小标宋_GBK" w:cs="Times New Roman"/>
                <w:b w:val="0"/>
                <w:bCs/>
                <w:snapToGrid/>
                <w:color w:val="FF0000"/>
                <w:spacing w:val="-20"/>
                <w:w w:val="66"/>
                <w:kern w:val="2"/>
                <w:sz w:val="72"/>
                <w:szCs w:val="72"/>
                <w:highlight w:val="none"/>
                <w:shd w:val="clear" w:color="auto" w:fill="auto"/>
              </w:rPr>
              <w:t>经济和信息化委员会</w:t>
            </w:r>
          </w:p>
          <w:p>
            <w:pPr>
              <w:pStyle w:val="2"/>
              <w:keepNext w:val="0"/>
              <w:keepLines w:val="0"/>
              <w:pageBreakBefore w:val="0"/>
              <w:widowControl w:val="0"/>
              <w:kinsoku/>
              <w:wordWrap/>
              <w:overflowPunct/>
              <w:topLinePunct w:val="0"/>
              <w:autoSpaceDE/>
              <w:autoSpaceDN/>
              <w:bidi w:val="0"/>
              <w:snapToGrid/>
              <w:spacing w:line="800" w:lineRule="exact"/>
              <w:jc w:val="distribute"/>
              <w:textAlignment w:val="auto"/>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pPr>
            <w:r>
              <w:rPr>
                <w:rFonts w:ascii="Times New Roman" w:hAnsi="Times New Roman" w:eastAsia="方正小标宋_GBK" w:cs="Times New Roman"/>
                <w:b w:val="0"/>
                <w:bCs/>
                <w:snapToGrid/>
                <w:color w:val="FF0000"/>
                <w:spacing w:val="-20"/>
                <w:w w:val="66"/>
                <w:kern w:val="2"/>
                <w:sz w:val="72"/>
                <w:szCs w:val="72"/>
                <w:highlight w:val="none"/>
                <w:shd w:val="clear" w:color="auto" w:fill="auto"/>
              </w:rPr>
              <w:t>重庆市</w:t>
            </w:r>
            <w:r>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t>铜梁区公安局</w:t>
            </w:r>
          </w:p>
          <w:p>
            <w:pPr>
              <w:pStyle w:val="3"/>
              <w:keepNext w:val="0"/>
              <w:keepLines w:val="0"/>
              <w:pageBreakBefore w:val="0"/>
              <w:widowControl w:val="0"/>
              <w:kinsoku/>
              <w:wordWrap/>
              <w:overflowPunct/>
              <w:topLinePunct w:val="0"/>
              <w:autoSpaceDE/>
              <w:autoSpaceDN/>
              <w:bidi w:val="0"/>
              <w:snapToGrid/>
              <w:spacing w:line="800" w:lineRule="exact"/>
              <w:ind w:left="0" w:leftChars="0" w:firstLine="0" w:firstLineChars="0"/>
              <w:jc w:val="distribute"/>
              <w:textAlignment w:val="auto"/>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pPr>
            <w:r>
              <w:rPr>
                <w:rFonts w:ascii="Times New Roman" w:hAnsi="Times New Roman" w:eastAsia="方正小标宋_GBK" w:cs="Times New Roman"/>
                <w:b w:val="0"/>
                <w:bCs/>
                <w:snapToGrid/>
                <w:color w:val="FF0000"/>
                <w:spacing w:val="-20"/>
                <w:w w:val="66"/>
                <w:kern w:val="2"/>
                <w:sz w:val="72"/>
                <w:szCs w:val="72"/>
                <w:highlight w:val="none"/>
                <w:shd w:val="clear" w:color="auto" w:fill="auto"/>
              </w:rPr>
              <w:t>重庆市</w:t>
            </w:r>
            <w:r>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t>铜梁区交通局</w:t>
            </w:r>
          </w:p>
          <w:p>
            <w:pPr>
              <w:keepNext w:val="0"/>
              <w:keepLines w:val="0"/>
              <w:pageBreakBefore w:val="0"/>
              <w:widowControl w:val="0"/>
              <w:kinsoku/>
              <w:wordWrap/>
              <w:overflowPunct/>
              <w:topLinePunct w:val="0"/>
              <w:autoSpaceDE/>
              <w:autoSpaceDN/>
              <w:bidi w:val="0"/>
              <w:snapToGrid/>
              <w:spacing w:line="800" w:lineRule="exact"/>
              <w:jc w:val="distribute"/>
              <w:textAlignment w:val="auto"/>
              <w:rPr>
                <w:rFonts w:hint="eastAsia"/>
                <w:lang w:eastAsia="zh-CN"/>
              </w:rPr>
            </w:pPr>
            <w:r>
              <w:rPr>
                <w:rFonts w:ascii="Times New Roman" w:hAnsi="Times New Roman" w:eastAsia="方正小标宋_GBK" w:cs="Times New Roman"/>
                <w:b w:val="0"/>
                <w:bCs/>
                <w:snapToGrid/>
                <w:color w:val="FF0000"/>
                <w:spacing w:val="-20"/>
                <w:w w:val="66"/>
                <w:kern w:val="2"/>
                <w:sz w:val="72"/>
                <w:szCs w:val="72"/>
                <w:highlight w:val="none"/>
                <w:shd w:val="clear" w:color="auto" w:fill="auto"/>
              </w:rPr>
              <w:t>重庆市</w:t>
            </w:r>
            <w:r>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t>铜梁区应急管理局</w:t>
            </w:r>
          </w:p>
          <w:p>
            <w:pPr>
              <w:keepNext w:val="0"/>
              <w:keepLines w:val="0"/>
              <w:pageBreakBefore w:val="0"/>
              <w:widowControl w:val="0"/>
              <w:kinsoku/>
              <w:wordWrap/>
              <w:overflowPunct/>
              <w:topLinePunct w:val="0"/>
              <w:autoSpaceDE/>
              <w:autoSpaceDN/>
              <w:bidi w:val="0"/>
              <w:snapToGrid/>
              <w:spacing w:line="800" w:lineRule="exact"/>
              <w:jc w:val="distribute"/>
              <w:textAlignment w:val="auto"/>
              <w:rPr>
                <w:rFonts w:hint="eastAsia"/>
                <w:lang w:eastAsia="zh-CN"/>
              </w:rPr>
            </w:pPr>
            <w:r>
              <w:rPr>
                <w:rFonts w:ascii="Times New Roman" w:hAnsi="Times New Roman" w:eastAsia="方正小标宋_GBK" w:cs="Times New Roman"/>
                <w:b w:val="0"/>
                <w:bCs/>
                <w:snapToGrid/>
                <w:color w:val="FF0000"/>
                <w:spacing w:val="-20"/>
                <w:w w:val="66"/>
                <w:kern w:val="2"/>
                <w:sz w:val="72"/>
                <w:szCs w:val="72"/>
                <w:highlight w:val="none"/>
                <w:shd w:val="clear" w:color="auto" w:fill="auto"/>
              </w:rPr>
              <w:t>重庆市</w:t>
            </w:r>
            <w:r>
              <w:rPr>
                <w:rFonts w:hint="eastAsia" w:ascii="Times New Roman" w:hAnsi="Times New Roman" w:eastAsia="方正小标宋_GBK" w:cs="Times New Roman"/>
                <w:b w:val="0"/>
                <w:bCs/>
                <w:snapToGrid/>
                <w:color w:val="FF0000"/>
                <w:spacing w:val="-20"/>
                <w:w w:val="66"/>
                <w:kern w:val="2"/>
                <w:sz w:val="72"/>
                <w:szCs w:val="72"/>
                <w:highlight w:val="none"/>
                <w:shd w:val="clear" w:color="auto" w:fill="auto"/>
                <w:lang w:eastAsia="zh-CN"/>
              </w:rPr>
              <w:t>铜梁区市场监督管理局</w:t>
            </w:r>
          </w:p>
          <w:p>
            <w:pPr>
              <w:rPr>
                <w:rFonts w:hint="default"/>
                <w:lang w:eastAsia="zh-CN"/>
              </w:rPr>
            </w:pPr>
          </w:p>
        </w:tc>
        <w:tc>
          <w:tcPr>
            <w:tcW w:w="1586" w:type="dxa"/>
            <w:noWrap w:val="0"/>
            <w:vAlign w:val="center"/>
          </w:tcPr>
          <w:p>
            <w:pPr>
              <w:adjustRightInd w:val="0"/>
              <w:spacing w:line="1400" w:lineRule="exact"/>
              <w:jc w:val="center"/>
              <w:rPr>
                <w:rFonts w:hint="default" w:ascii="Times New Roman" w:hAnsi="Times New Roman" w:eastAsia="方正仿宋_GBK" w:cs="Times New Roman"/>
                <w:b w:val="0"/>
                <w:bCs/>
                <w:sz w:val="32"/>
                <w:szCs w:val="32"/>
                <w:highlight w:val="none"/>
              </w:rPr>
            </w:pPr>
            <w:r>
              <w:rPr>
                <w:rFonts w:hint="default" w:ascii="Times New Roman" w:hAnsi="Times New Roman" w:eastAsia="方正小标宋_GBK" w:cs="Times New Roman"/>
                <w:b w:val="0"/>
                <w:bCs/>
                <w:color w:val="FF0000"/>
                <w:w w:val="50"/>
                <w:sz w:val="120"/>
                <w:szCs w:val="120"/>
                <w:highlight w:val="none"/>
              </w:rPr>
              <w:t>文件</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p>
    <w:p>
      <w:pPr>
        <w:pStyle w:val="2"/>
        <w:keepNext w:val="0"/>
        <w:keepLines w:val="0"/>
        <w:pageBreakBefore w:val="0"/>
        <w:widowControl w:val="0"/>
        <w:pBdr>
          <w:top w:val="single" w:color="FF0000" w:sz="18"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after="0" w:line="600" w:lineRule="atLeas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cs="宋体"/>
          <w:kern w:val="0"/>
          <w:sz w:val="44"/>
          <w:szCs w:val="44"/>
          <w:lang w:val="en-US" w:eastAsia="zh-CN"/>
        </w:rPr>
      </w:pPr>
      <w:r>
        <w:rPr>
          <w:rFonts w:hint="eastAsia" w:ascii="方正小标宋_GBK" w:hAnsi="宋体" w:eastAsia="方正小标宋_GBK" w:cs="宋体"/>
          <w:kern w:val="0"/>
          <w:sz w:val="44"/>
          <w:szCs w:val="44"/>
          <w:lang w:val="en-US" w:eastAsia="zh-CN"/>
        </w:rPr>
        <w:t>关于建立健全液化石油气质量监管工作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napToGrid w:val="0"/>
          <w:color w:val="000000"/>
          <w:spacing w:val="16"/>
          <w:kern w:val="0"/>
          <w:position w:val="19"/>
          <w:sz w:val="31"/>
          <w:szCs w:val="31"/>
        </w:rPr>
      </w:pPr>
      <w:r>
        <w:rPr>
          <w:rFonts w:hint="eastAsia" w:ascii="方正小标宋_GBK" w:hAnsi="宋体" w:eastAsia="方正小标宋_GBK" w:cs="宋体"/>
          <w:kern w:val="0"/>
          <w:sz w:val="44"/>
          <w:szCs w:val="44"/>
          <w:lang w:val="en-US" w:eastAsia="zh-CN"/>
        </w:rPr>
        <w:t>长效机制的通知</w:t>
      </w:r>
    </w:p>
    <w:p>
      <w:pPr>
        <w:pStyle w:val="2"/>
        <w:bidi w:val="0"/>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区经信委、区公安局、区交通局、区应急局、区市场监管局，各有关企业：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为防范和杜绝液化石油气掺混二甲醚，严厉打击不法分子掺假售假行为，根据有关法律法规和</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政府的统一安排，按照“除险清患、惠民有感”工作导向，加强液化石油气</w:t>
      </w:r>
      <w:r>
        <w:rPr>
          <w:rFonts w:hint="eastAsia" w:ascii="方正仿宋_GBK" w:hAnsi="方正仿宋_GBK" w:eastAsia="方正仿宋_GBK" w:cs="方正仿宋_GBK"/>
          <w:sz w:val="32"/>
          <w:szCs w:val="32"/>
          <w:lang w:eastAsia="zh-CN"/>
        </w:rPr>
        <w:t>（二甲醚）（</w:t>
      </w:r>
      <w:r>
        <w:rPr>
          <w:rFonts w:hint="eastAsia" w:ascii="方正仿宋_GBK" w:hAnsi="方正仿宋_GBK" w:eastAsia="方正仿宋_GBK" w:cs="方正仿宋_GBK"/>
          <w:sz w:val="32"/>
          <w:szCs w:val="32"/>
        </w:rPr>
        <w:t>简称液化气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产品质量全链条管控，切实保护广大消费者合法权益，现就建立健全我</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液化气质量监管工作长效机制有关事项通知如下：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贯彻落实党的二十大精神，坚持以人民为中心的发展理念，全面加强液化石油气质量监管，按照生产、运输、充装、销售全链条全环节落实各项制度的总体思路，坚持目标导向和问题导向，压实各方责任，严把产品质量关，切实维护人民群众的合法权益，推动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液化气行业规范有序发展。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工作重点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（一）建立健全液化气质量日常监察机制。</w:t>
      </w:r>
      <w:r>
        <w:rPr>
          <w:rFonts w:hint="eastAsia" w:ascii="方正仿宋_GBK" w:hAnsi="方正仿宋_GBK" w:eastAsia="方正仿宋_GBK" w:cs="方正仿宋_GBK"/>
          <w:sz w:val="32"/>
          <w:szCs w:val="32"/>
        </w:rPr>
        <w:t>完善日常安全检查内容，将气质查验纳入年度安全检查事项。通过对场站监控视频、气源验收台账和进销清单等方面检查，及时发现企业存在的违法违规行为，加大对场站混充、零售经营点私自倒混气等掺假售假行为的处罚力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（二）建立健全液化气质量年度抽测机制。</w:t>
      </w:r>
      <w:r>
        <w:rPr>
          <w:rFonts w:hint="eastAsia" w:ascii="方正仿宋_GBK" w:hAnsi="方正仿宋_GBK" w:eastAsia="方正仿宋_GBK" w:cs="方正仿宋_GBK"/>
          <w:sz w:val="32"/>
          <w:szCs w:val="32"/>
        </w:rPr>
        <w:t>强化监督抽查任务协调工作，用好市级液化石油气质量监督抽查任务，加强对铜梁辖区范围内储配站及零售经营点产品质量年度抽查力度，严格监督抽查不合格后处置，严厉打击违法违规行为。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（三）建立健全液化气购买资质核查机制。</w:t>
      </w:r>
      <w:r>
        <w:rPr>
          <w:rFonts w:hint="eastAsia" w:ascii="方正仿宋_GBK" w:hAnsi="方正仿宋_GBK" w:eastAsia="方正仿宋_GBK" w:cs="方正仿宋_GBK"/>
          <w:sz w:val="32"/>
          <w:szCs w:val="32"/>
        </w:rPr>
        <w:t>生产企业建立购买企业资质审查制度，留存买方燃气经营资质证明。同时，利用数字应急平台对二甲醚生产企业安全生产情况进行智能化监管，定期督导检查生产企业购买企业资质审查的落实情况。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（四）建立健全液化气运输车辆监管机制。</w:t>
      </w:r>
      <w:r>
        <w:rPr>
          <w:rFonts w:hint="eastAsia" w:ascii="方正仿宋_GBK" w:hAnsi="方正仿宋_GBK" w:eastAsia="方正仿宋_GBK" w:cs="方正仿宋_GBK"/>
          <w:sz w:val="32"/>
          <w:szCs w:val="32"/>
        </w:rPr>
        <w:t>深化电子运单应用，充分利用车辆动态监控平台，对各危险品运输车辆轨迹完整率、车辆动态数据合格率等数据进行监测。对危货电子运单运行情况进行分析，通过与联网联控系统进行比对，严肃查处未使用电子运单等违法违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（五）建立健全液化气进站检测验收机制。</w:t>
      </w:r>
      <w:r>
        <w:rPr>
          <w:rFonts w:hint="eastAsia" w:ascii="方正仿宋_GBK" w:hAnsi="方正仿宋_GBK" w:eastAsia="方正仿宋_GBK" w:cs="方正仿宋_GBK"/>
          <w:sz w:val="32"/>
          <w:szCs w:val="32"/>
        </w:rPr>
        <w:t>液化气经营企业利用便携式气质检测仪对进站气源进行化验检测，建立气质验收台账。同时重点查验气源供应厂家资质、气源出厂资料、车辆电子运单和运行轨迹等信息。各经营企业必须采购合法企业生产的液化气气源，签订购气协议时必须查验生产企业的有效资质，严禁采购厂家资质不全、质量不合格气源进行销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（六）建立健全液化气质量投诉举报机制。</w:t>
      </w:r>
      <w:r>
        <w:rPr>
          <w:rFonts w:hint="eastAsia" w:ascii="方正仿宋_GBK" w:hAnsi="方正仿宋_GBK" w:eastAsia="方正仿宋_GBK" w:cs="方正仿宋_GBK"/>
          <w:sz w:val="32"/>
          <w:szCs w:val="32"/>
        </w:rPr>
        <w:t>进一步完善社会监督体系机制，畅通投诉举报渠道，发挥社会监督作用。鼓励群众通过“</w:t>
      </w:r>
      <w:r>
        <w:rPr>
          <w:rFonts w:hint="default" w:ascii="Times New Roman" w:hAnsi="Times New Roman" w:eastAsia="方正仿宋_GBK" w:cs="Times New Roman"/>
          <w:sz w:val="32"/>
          <w:szCs w:val="32"/>
        </w:rPr>
        <w:t>12345</w:t>
      </w:r>
      <w:r>
        <w:rPr>
          <w:rFonts w:hint="eastAsia" w:ascii="方正仿宋_GBK" w:hAnsi="方正仿宋_GBK" w:eastAsia="方正仿宋_GBK" w:cs="方正仿宋_GBK"/>
          <w:sz w:val="32"/>
          <w:szCs w:val="32"/>
        </w:rPr>
        <w:t>”举报电话或者其它已公布的渠道举报液化气行业的制假售假违法违规行为，大力拓宽案件线索来源，持续保持严打高压态势，确保专项整治成效得以巩固。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三、工作职责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（一）经济信息部门。</w:t>
      </w:r>
      <w:r>
        <w:rPr>
          <w:rFonts w:hint="eastAsia" w:ascii="方正仿宋_GBK" w:hAnsi="方正仿宋_GBK" w:eastAsia="方正仿宋_GBK" w:cs="方正仿宋_GBK"/>
          <w:sz w:val="32"/>
          <w:szCs w:val="32"/>
        </w:rPr>
        <w:t>负责对全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液化气经营活动监督，维持行业正常经营秩序，加强液化气质量日常监察，督促企业建立气质管理制度和销售台账制度，强化日常安全检查和隐患排查治理，协调开展联合执法。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（二）市场监管部门。</w:t>
      </w:r>
      <w:r>
        <w:rPr>
          <w:rFonts w:hint="eastAsia" w:ascii="方正仿宋_GBK" w:hAnsi="方正仿宋_GBK" w:eastAsia="方正仿宋_GBK" w:cs="方正仿宋_GBK"/>
          <w:sz w:val="32"/>
          <w:szCs w:val="32"/>
        </w:rPr>
        <w:t>负责液化气生产销售环节产品质量监督管理，核查储配站充装行为的合规性；依法开展产品质量和合规充装行政执法。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（三）应急管理部门。</w:t>
      </w:r>
      <w:r>
        <w:rPr>
          <w:rFonts w:hint="eastAsia" w:ascii="方正仿宋_GBK" w:hAnsi="方正仿宋_GBK" w:eastAsia="方正仿宋_GBK" w:cs="方正仿宋_GBK"/>
          <w:sz w:val="32"/>
          <w:szCs w:val="32"/>
        </w:rPr>
        <w:t>负责对二甲醚生产过程实施安全监督管理，督促二甲醚生产企业建立二甲醚购买资质审核制度。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（四）交通运输部门。</w:t>
      </w:r>
      <w:r>
        <w:rPr>
          <w:rFonts w:hint="eastAsia" w:ascii="方正仿宋_GBK" w:hAnsi="方正仿宋_GBK" w:eastAsia="方正仿宋_GBK" w:cs="方正仿宋_GBK"/>
          <w:sz w:val="32"/>
          <w:szCs w:val="32"/>
        </w:rPr>
        <w:t>负责对</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内注册的从事运输液化气的运输企业和车辆开展动态监管，核查电子运单，打击使用载货汽车非法从事道路运输行为。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（五）公安部门。</w:t>
      </w:r>
      <w:r>
        <w:rPr>
          <w:rFonts w:hint="eastAsia" w:ascii="方正仿宋_GBK" w:hAnsi="方正仿宋_GBK" w:eastAsia="方正仿宋_GBK" w:cs="方正仿宋_GBK"/>
          <w:sz w:val="32"/>
          <w:szCs w:val="32"/>
        </w:rPr>
        <w:t>负责配合有关部门开展瓶装液化气气质整治，对构成犯罪的，依法追究刑事责任。各部门之间分工协作，形成监管合力，及时沟通信息，研究解决液化气气质监管重大问题。加强部门联合执法，严厉打击非法经营、违规充装、掺混二甲醚等违法违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（一）加强组织领导。</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有关部门要进</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步提高加强液化气质量管理工作的认识，将液化气质量管理纳入行业管理的重要内容，明确责任分工、细化目标任务，加强统筹协调，确保工作实效。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（二）强化协作配合。</w:t>
      </w:r>
      <w:r>
        <w:rPr>
          <w:rFonts w:hint="eastAsia" w:ascii="方正仿宋_GBK" w:hAnsi="方正仿宋_GBK" w:eastAsia="方正仿宋_GBK" w:cs="方正仿宋_GBK"/>
          <w:sz w:val="32"/>
          <w:szCs w:val="32"/>
          <w:lang w:eastAsia="zh-CN"/>
        </w:rPr>
        <w:t>各镇街</w:t>
      </w:r>
      <w:r>
        <w:rPr>
          <w:rFonts w:hint="eastAsia" w:ascii="方正仿宋_GBK" w:hAnsi="方正仿宋_GBK" w:eastAsia="方正仿宋_GBK" w:cs="方正仿宋_GBK"/>
          <w:sz w:val="32"/>
          <w:szCs w:val="32"/>
        </w:rPr>
        <w:t>有关部门间既各司其职，也要协同配合，在检查时发现的违规行为，涉及其它部门管理职责的及时向职能部门通报，并开展联合执法，形成合力强化惩戒，涉嫌犯罪的及时移送公安机关。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（三）深化数字监管。</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有关部门要全面使用安全监管信息系统，严格落实用户实名制购气和配送服务制度。各液化气经营企业应全面使用信息监管系统，充分发挥智慧监管作用，提升监管效能，确保全链条信息可追溯，杜绝质量不合格产品进入流通领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（四）注重宣传引导。</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有关部门要及时总结专项整治的成果，推广典型经验和做法，充分利用各类媒体进行宣传，凝聚社会共识，引导企业加强质量管理，主动接受社会和用户监督。对查出的不合格充装企业和经营点，由行业协会及时向社会公布，形成震慑力，营造强化液化气质量管理的氛围。</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pStyle w:val="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重庆市铜梁区经济和信息化委          重庆市铜梁区公安局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pStyle w:val="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重庆市铜梁区交通局               重庆市铜梁区应急管理局</w:t>
      </w:r>
    </w:p>
    <w:p>
      <w:pPr>
        <w:pStyle w:val="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重庆市铜梁区市场监督管理局</w:t>
      </w:r>
    </w:p>
    <w:p>
      <w:pPr>
        <w:pStyle w:val="2"/>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2023年8月28日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（此件主动公开）</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（联系人：蒋德银；联系电话：</w:t>
      </w:r>
      <w:r>
        <w:rPr>
          <w:rFonts w:hint="default" w:ascii="Times New Roman" w:hAnsi="Times New Roman" w:eastAsia="方正仿宋_GBK" w:cs="Times New Roman"/>
          <w:sz w:val="32"/>
          <w:szCs w:val="32"/>
          <w:lang w:val="en-US" w:eastAsia="zh-CN"/>
        </w:rPr>
        <w:t>13635429660</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45684701</w:t>
      </w:r>
      <w:r>
        <w:rPr>
          <w:rFonts w:hint="eastAsia" w:ascii="方正仿宋_GBK" w:hAnsi="方正仿宋_GBK" w:eastAsia="方正仿宋_GBK" w:cs="方正仿宋_GBK"/>
          <w:sz w:val="32"/>
          <w:szCs w:val="32"/>
          <w:lang w:val="en-US" w:eastAsia="zh-CN"/>
        </w:rPr>
        <w:t>）</w:t>
      </w:r>
    </w:p>
    <w:p>
      <w:pPr>
        <w:pStyle w:val="2"/>
        <w:bidi w:val="0"/>
        <w:rPr>
          <w:rFonts w:hint="eastAsia" w:ascii="方正仿宋_GBK" w:hAnsi="方正仿宋_GBK" w:eastAsia="方正仿宋_GBK" w:cs="方正仿宋_GBK"/>
          <w:sz w:val="32"/>
          <w:szCs w:val="32"/>
          <w:lang w:val="en-US" w:eastAsia="zh-CN"/>
        </w:rPr>
      </w:pPr>
    </w:p>
    <w:p>
      <w:pPr>
        <w:pStyle w:val="2"/>
        <w:bidi w:val="0"/>
        <w:rPr>
          <w:rFonts w:hint="eastAsia" w:ascii="方正仿宋_GBK" w:hAnsi="方正仿宋_GBK" w:eastAsia="方正仿宋_GBK" w:cs="方正仿宋_GBK"/>
          <w:lang w:val="en-US" w:eastAsia="zh-CN"/>
        </w:rPr>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bookmarkStart w:id="0" w:name="_GoBack"/>
      <w:bookmarkEnd w:id="0"/>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bidi w:val="0"/>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eastAsia="zh-CN"/>
        </w:rPr>
      </w:pPr>
      <w:r>
        <w:rPr>
          <w:rFonts w:hint="eastAsia" w:ascii="方正仿宋_GBK" w:hAnsi="方正仿宋_GBK" w:eastAsia="方正仿宋_GBK" w:cs="方正仿宋_GBK"/>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48895</wp:posOffset>
                </wp:positionV>
                <wp:extent cx="5638800" cy="0"/>
                <wp:effectExtent l="0" t="4445" r="0" b="5080"/>
                <wp:wrapNone/>
                <wp:docPr id="6" name="直接连接符 6"/>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59264;mso-width-relative:page;mso-height-relative:page;" filled="f" stroked="t" coordsize="21600,21600" o:gfxdata="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3w9/fSAAAABQEAAA8AAAAAAAAAAQAgAAAAIgAAAGRycy9k&#10;b3ducmV2LnhtbFBLAQIUABQAAAAIAIdO4kC3jB8lzwEAAGUDAAAOAAAAAAAAAAEAIAAAACEBAABk&#10;cnMvZTJvRG9jLnhtbFBLBQYAAAAABgAGAFkBAABi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391795</wp:posOffset>
                </wp:positionV>
                <wp:extent cx="5676900" cy="0"/>
                <wp:effectExtent l="0" t="4445" r="0" b="5080"/>
                <wp:wrapNone/>
                <wp:docPr id="5" name="直接连接符 5"/>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60288;mso-width-relative:page;mso-height-relative:page;" filled="f" stroked="t" coordsize="21600,21600" o:gfxdata="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xflytIAAAAGAQAADwAAAAAAAAABACAAAAAiAAAAZHJzL2Rv&#10;d25yZXYueG1sUEsBAhQAFAAAAAgAh07iQKlTHffOAQAAZQMAAA4AAAAAAAAAAQAgAAAAIQEAAGRy&#10;cy9lMm9Eb2MueG1sUEsFBgAAAAAGAAYAWQEAAGE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lang w:val="en-US" w:eastAsia="zh-CN"/>
        </w:rPr>
        <w:t xml:space="preserve">重庆市铜梁区经济和信息化委员会办公室    </w:t>
      </w:r>
      <w:r>
        <w:rPr>
          <w:rFonts w:hint="default" w:ascii="Times New Roman" w:hAnsi="Times New Roman" w:eastAsia="方正仿宋_GBK" w:cs="Times New Roman"/>
          <w:lang w:val="en-US" w:eastAsia="zh-CN"/>
        </w:rPr>
        <w:t>2023年8月28日</w:t>
      </w:r>
      <w:r>
        <w:rPr>
          <w:rFonts w:hint="eastAsia" w:ascii="方正仿宋_GBK" w:hAnsi="方正仿宋_GBK" w:eastAsia="方正仿宋_GBK" w:cs="方正仿宋_GBK"/>
          <w:lang w:val="en-US" w:eastAsia="zh-CN"/>
        </w:rPr>
        <w:t>印发</w:t>
      </w:r>
    </w:p>
    <w:sectPr>
      <w:footerReference r:id="rId3" w:type="default"/>
      <w:pgSz w:w="11906" w:h="16838"/>
      <w:pgMar w:top="1984" w:right="1474" w:bottom="1644" w:left="147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1NDU3OGIwZTc0MTBlODcyNDU1YTAxNTdiMWIyZjcifQ=="/>
  </w:docVars>
  <w:rsids>
    <w:rsidRoot w:val="00000000"/>
    <w:rsid w:val="04203A81"/>
    <w:rsid w:val="08A367AC"/>
    <w:rsid w:val="0BC042F4"/>
    <w:rsid w:val="17A50911"/>
    <w:rsid w:val="334344F7"/>
    <w:rsid w:val="3C5C5193"/>
    <w:rsid w:val="43312798"/>
    <w:rsid w:val="48451BE1"/>
    <w:rsid w:val="55D60F1B"/>
    <w:rsid w:val="59985C42"/>
    <w:rsid w:val="620E53C3"/>
    <w:rsid w:val="780E0A5A"/>
    <w:rsid w:val="7BE860A4"/>
    <w:rsid w:val="DBD6C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rPr>
      <w:sz w:val="30"/>
    </w:rPr>
  </w:style>
  <w:style w:type="paragraph" w:styleId="3">
    <w:name w:val="index 7"/>
    <w:basedOn w:val="1"/>
    <w:next w:val="1"/>
    <w:qFormat/>
    <w:uiPriority w:val="0"/>
    <w:pPr>
      <w:ind w:left="2520"/>
    </w:pPr>
  </w:style>
  <w:style w:type="paragraph" w:styleId="4">
    <w:name w:val="Body Text First Indent"/>
    <w:basedOn w:val="2"/>
    <w:unhideWhenUsed/>
    <w:qFormat/>
    <w:uiPriority w:val="99"/>
    <w:pPr>
      <w:ind w:firstLine="420" w:firstLineChars="1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首行缩进 21"/>
    <w:basedOn w:val="10"/>
    <w:qFormat/>
    <w:uiPriority w:val="0"/>
    <w:pPr>
      <w:ind w:firstLine="200" w:firstLineChars="200"/>
    </w:pPr>
  </w:style>
  <w:style w:type="paragraph" w:customStyle="1" w:styleId="10">
    <w:name w:val="正文文本缩进1"/>
    <w:basedOn w:val="1"/>
    <w:qFormat/>
    <w:uiPriority w:val="0"/>
    <w:pPr>
      <w:spacing w:after="120"/>
      <w:ind w:left="200" w:leftChars="200"/>
    </w:pPr>
    <w:rPr>
      <w:rFonts w:eastAsia="仿宋_GB2312"/>
      <w:sz w:val="32"/>
    </w:rPr>
  </w:style>
  <w:style w:type="paragraph" w:customStyle="1" w:styleId="11">
    <w:name w:val="正文-公1"/>
    <w:basedOn w:val="1"/>
    <w:qFormat/>
    <w:uiPriority w:val="0"/>
    <w:pPr>
      <w:ind w:firstLine="200" w:firstLineChars="200"/>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1930</Words>
  <Characters>1935</Characters>
  <Lines>0</Lines>
  <Paragraphs>0</Paragraphs>
  <TotalTime>11</TotalTime>
  <ScaleCrop>false</ScaleCrop>
  <LinksUpToDate>false</LinksUpToDate>
  <CharactersWithSpaces>1935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2023-08-17T09:30:00Z</dcterms:created>
  <dc:creator>213LiuQiang</dc:creator>
  <cp:lastModifiedBy>铜梁-李琳</cp:lastModifiedBy>
  <cp:lastPrinted>2023-08-28T08:17:29Z</cp:lastPrinted>
  <dcterms:modified xsi:type="dcterms:W3CDTF">2023-08-28T08:18:44Z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A10D42D2E3A34E8EBC61FB420D844C6C_12</vt:lpwstr>
  </property>
</Properties>
</file>