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bCs/>
          <w:color w:val="000000"/>
          <w:spacing w:val="-20"/>
          <w:kern w:val="36"/>
          <w:sz w:val="44"/>
          <w:szCs w:val="44"/>
        </w:rPr>
      </w:pPr>
      <w:bookmarkStart w:id="0" w:name="_Toc508279013"/>
      <w:bookmarkStart w:id="1" w:name="_Toc381859363"/>
      <w:bookmarkStart w:id="2" w:name="_Toc471324723"/>
      <w:bookmarkStart w:id="3" w:name="_Toc508197144"/>
      <w:bookmarkStart w:id="4" w:name="_Toc508277242"/>
      <w:bookmarkStart w:id="5" w:name="_Toc468886510"/>
    </w:p>
    <w:p>
      <w:pPr>
        <w:keepNext w:val="0"/>
        <w:keepLines w:val="0"/>
        <w:pageBreakBefore w:val="0"/>
        <w:widowControl/>
        <w:kinsoku/>
        <w:wordWrap/>
        <w:overflowPunct/>
        <w:topLinePunct w:val="0"/>
        <w:autoSpaceDE/>
        <w:autoSpaceDN/>
        <w:bidi w:val="0"/>
        <w:adjustRightInd/>
        <w:snapToGrid/>
        <w:spacing w:line="620" w:lineRule="exact"/>
        <w:jc w:val="right"/>
        <w:textAlignment w:val="auto"/>
        <w:outlineLvl w:val="0"/>
        <w:rPr>
          <w:rFonts w:hint="default" w:ascii="Times New Roman" w:hAnsi="Times New Roman" w:eastAsia="方正仿宋_GBK" w:cs="Times New Roman"/>
          <w:bCs/>
          <w:color w:val="000000"/>
          <w:spacing w:val="-20"/>
          <w:kern w:val="36"/>
          <w:sz w:val="32"/>
          <w:szCs w:val="32"/>
          <w:lang w:val="en-US" w:eastAsia="zh-CN"/>
        </w:rPr>
      </w:pPr>
    </w:p>
    <w:p>
      <w:pPr>
        <w:keepNext w:val="0"/>
        <w:keepLines w:val="0"/>
        <w:pageBreakBefore w:val="0"/>
        <w:widowControl/>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bCs/>
          <w:color w:val="000000"/>
          <w:spacing w:val="-20"/>
          <w:kern w:val="36"/>
          <w:sz w:val="44"/>
          <w:szCs w:val="44"/>
        </w:rPr>
      </w:pPr>
    </w:p>
    <w:p>
      <w:pPr>
        <w:keepNext w:val="0"/>
        <w:keepLines w:val="0"/>
        <w:pageBreakBefore w:val="0"/>
        <w:widowControl/>
        <w:kinsoku/>
        <w:wordWrap/>
        <w:overflowPunct/>
        <w:topLinePunct w:val="0"/>
        <w:autoSpaceDE/>
        <w:autoSpaceDN/>
        <w:bidi w:val="0"/>
        <w:adjustRightInd/>
        <w:snapToGrid/>
        <w:spacing w:line="620" w:lineRule="exact"/>
        <w:jc w:val="center"/>
        <w:textAlignment w:val="auto"/>
        <w:outlineLvl w:val="0"/>
        <w:rPr>
          <w:rFonts w:hint="default" w:ascii="Times New Roman" w:hAnsi="Times New Roman" w:eastAsia="方正小标宋_GBK" w:cs="Times New Roman"/>
          <w:bCs/>
          <w:color w:val="000000"/>
          <w:spacing w:val="-20"/>
          <w:kern w:val="36"/>
          <w:sz w:val="44"/>
          <w:szCs w:val="44"/>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default" w:ascii="Times New Roman" w:hAnsi="Times New Roman" w:eastAsia="方正仿宋_GBK" w:cs="Times New Roman"/>
          <w:color w:val="000000"/>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default" w:ascii="Times New Roman" w:hAnsi="Times New Roman" w:eastAsia="方正仿宋_GBK" w:cs="Times New Roman"/>
          <w:color w:val="000000"/>
          <w:spacing w:val="10"/>
          <w:sz w:val="32"/>
          <w:szCs w:val="32"/>
          <w:lang w:val="en-US" w:eastAsia="zh-CN"/>
        </w:rPr>
      </w:pPr>
    </w:p>
    <w:p>
      <w:pPr>
        <w:pStyle w:val="8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pacing w:val="10"/>
          <w:sz w:val="32"/>
          <w:szCs w:val="32"/>
          <w:lang w:val="en-US" w:eastAsia="zh-CN"/>
        </w:rPr>
        <w:t>铜经信发</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w:t>
      </w:r>
      <w:r>
        <w:rPr>
          <w:rFonts w:hint="eastAsia" w:ascii="Times New Roman" w:hAnsi="Times New Roman" w:cs="Times New Roman"/>
          <w:sz w:val="32"/>
          <w:szCs w:val="32"/>
          <w:lang w:val="en-US" w:eastAsia="zh-CN"/>
        </w:rPr>
        <w:t>3</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w:t>
      </w:r>
      <w:r>
        <w:rPr>
          <w:rFonts w:hint="eastAsia" w:eastAsia="方正仿宋_GBK" w:cs="Times New Roman"/>
          <w:sz w:val="32"/>
          <w:szCs w:val="32"/>
          <w:lang w:val="en-US" w:eastAsia="zh-CN"/>
        </w:rPr>
        <w:t>3</w:t>
      </w:r>
      <w:r>
        <w:rPr>
          <w:rFonts w:hint="default" w:ascii="Times New Roman" w:hAnsi="Times New Roman" w:eastAsia="方正仿宋_GBK" w:cs="Times New Roman"/>
          <w:sz w:val="32"/>
          <w:szCs w:val="32"/>
        </w:rPr>
        <w:t>号</w:t>
      </w:r>
    </w:p>
    <w:p>
      <w:pPr>
        <w:pStyle w:val="84"/>
        <w:keepNext w:val="0"/>
        <w:keepLines w:val="0"/>
        <w:pageBreakBefore w:val="0"/>
        <w:kinsoku/>
        <w:wordWrap/>
        <w:overflowPunct/>
        <w:topLinePunct w:val="0"/>
        <w:autoSpaceDE/>
        <w:autoSpaceDN/>
        <w:bidi w:val="0"/>
        <w:spacing w:line="574"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both"/>
        <w:textAlignment w:val="auto"/>
        <w:outlineLvl w:val="9"/>
        <w:rPr>
          <w:rFonts w:hint="eastAsia" w:ascii="Times New Roman" w:hAnsi="Times New Roman" w:eastAsia="方正小标宋_GBK"/>
          <w:color w:val="000000"/>
          <w:sz w:val="44"/>
          <w:szCs w:val="44"/>
        </w:rPr>
      </w:pPr>
    </w:p>
    <w:tbl>
      <w:tblPr>
        <w:tblStyle w:val="18"/>
        <w:tblW w:w="6919" w:type="dxa"/>
        <w:tblInd w:w="1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9" w:type="dxa"/>
            <w:tcBorders>
              <w:top w:val="nil"/>
              <w:left w:val="nil"/>
              <w:bottom w:val="nil"/>
              <w:right w:val="nil"/>
            </w:tcBorders>
            <w:noWrap w:val="0"/>
            <w:vAlign w:val="top"/>
          </w:tcPr>
          <w:p>
            <w:pPr>
              <w:keepNext w:val="0"/>
              <w:keepLines w:val="0"/>
              <w:pageBreakBefore w:val="0"/>
              <w:tabs>
                <w:tab w:val="left" w:pos="8295"/>
              </w:tabs>
              <w:kinsoku/>
              <w:wordWrap/>
              <w:overflowPunct/>
              <w:topLinePunct w:val="0"/>
              <w:autoSpaceDE/>
              <w:bidi w:val="0"/>
              <w:spacing w:line="592" w:lineRule="exact"/>
              <w:ind w:right="0"/>
              <w:jc w:val="center"/>
              <w:textAlignment w:val="auto"/>
              <w:rPr>
                <w:rFonts w:hint="eastAsia" w:ascii="方正小标宋_GBK" w:hAnsi="方正小标宋_GBK" w:eastAsia="方正小标宋_GBK" w:cs="方正小标宋_GBK"/>
                <w:sz w:val="44"/>
                <w:szCs w:val="44"/>
                <w:vertAlign w:val="baseline"/>
                <w:lang w:eastAsia="zh-CN"/>
              </w:rPr>
            </w:pPr>
            <w:r>
              <w:rPr>
                <w:rFonts w:hint="eastAsia" w:ascii="方正小标宋_GBK" w:hAnsi="方正小标宋_GBK" w:eastAsia="方正小标宋_GBK" w:cs="方正小标宋_GBK"/>
                <w:sz w:val="44"/>
                <w:szCs w:val="44"/>
                <w:lang w:eastAsia="zh-CN"/>
              </w:rPr>
              <w:t>重庆市铜梁区经济和信息化委员会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9" w:type="dxa"/>
            <w:tcBorders>
              <w:top w:val="nil"/>
              <w:left w:val="nil"/>
              <w:bottom w:val="nil"/>
              <w:right w:val="nil"/>
            </w:tcBorders>
            <w:noWrap w:val="0"/>
            <w:vAlign w:val="top"/>
          </w:tcPr>
          <w:p>
            <w:pPr>
              <w:keepNext w:val="0"/>
              <w:keepLines w:val="0"/>
              <w:pageBreakBefore w:val="0"/>
              <w:tabs>
                <w:tab w:val="left" w:pos="8295"/>
              </w:tabs>
              <w:kinsoku/>
              <w:wordWrap/>
              <w:overflowPunct/>
              <w:topLinePunct w:val="0"/>
              <w:autoSpaceDE/>
              <w:bidi w:val="0"/>
              <w:spacing w:line="592" w:lineRule="exact"/>
              <w:ind w:right="0"/>
              <w:jc w:val="distribute"/>
              <w:textAlignment w:val="auto"/>
              <w:rPr>
                <w:rFonts w:hint="eastAsia" w:ascii="方正小标宋_GBK" w:hAnsi="方正小标宋_GBK" w:eastAsia="方正小标宋_GBK" w:cs="方正小标宋_GBK"/>
                <w:sz w:val="44"/>
                <w:szCs w:val="44"/>
                <w:vertAlign w:val="baseline"/>
                <w:lang w:eastAsia="zh-CN"/>
              </w:rPr>
            </w:pPr>
            <w:r>
              <w:rPr>
                <w:rFonts w:hint="eastAsia" w:ascii="Times New Roman" w:hAnsi="Times New Roman" w:eastAsia="方正小标宋_GBK"/>
                <w:color w:val="000000"/>
                <w:sz w:val="44"/>
                <w:szCs w:val="44"/>
                <w:lang w:eastAsia="zh-CN"/>
              </w:rPr>
              <w:t>重庆市铜梁区发展和改革委员会</w:t>
            </w:r>
          </w:p>
        </w:tc>
      </w:tr>
    </w:tbl>
    <w:p>
      <w:pPr>
        <w:keepNext w:val="0"/>
        <w:keepLines w:val="0"/>
        <w:pageBreakBefore w:val="0"/>
        <w:widowControl w:val="0"/>
        <w:kinsoku/>
        <w:wordWrap/>
        <w:overflowPunct/>
        <w:topLinePunct w:val="0"/>
        <w:bidi w:val="0"/>
        <w:adjustRightInd w:val="0"/>
        <w:snapToGrid w:val="0"/>
        <w:spacing w:line="592" w:lineRule="exact"/>
        <w:jc w:val="center"/>
        <w:textAlignment w:val="auto"/>
        <w:outlineLvl w:val="9"/>
        <w:rPr>
          <w:rFonts w:ascii="Times New Roman" w:hAnsi="Times New Roman" w:eastAsia="方正小标宋_GBK"/>
          <w:color w:val="000000"/>
          <w:sz w:val="44"/>
          <w:szCs w:val="44"/>
        </w:rPr>
      </w:pPr>
      <w:r>
        <w:rPr>
          <w:rFonts w:hint="eastAsia" w:ascii="Times New Roman" w:hAnsi="Times New Roman" w:eastAsia="方正小标宋_GBK"/>
          <w:color w:val="000000"/>
          <w:sz w:val="44"/>
          <w:szCs w:val="44"/>
        </w:rPr>
        <w:t>关于印发</w:t>
      </w:r>
      <w:r>
        <w:rPr>
          <w:rFonts w:hint="eastAsia" w:ascii="Times New Roman" w:hAnsi="Times New Roman" w:eastAsia="方正小标宋_GBK"/>
          <w:color w:val="000000"/>
          <w:sz w:val="44"/>
          <w:szCs w:val="44"/>
          <w:lang w:eastAsia="zh-CN"/>
        </w:rPr>
        <w:t>《重庆市铜梁区电动汽车“光储”充换电站专项规划（</w:t>
      </w:r>
      <w:r>
        <w:rPr>
          <w:rFonts w:hint="eastAsia" w:ascii="Times New Roman" w:hAnsi="Times New Roman" w:eastAsia="方正小标宋_GBK"/>
          <w:color w:val="000000"/>
          <w:sz w:val="44"/>
          <w:szCs w:val="44"/>
          <w:lang w:val="en-US" w:eastAsia="zh-CN"/>
        </w:rPr>
        <w:t>2023-2035</w:t>
      </w:r>
      <w:r>
        <w:rPr>
          <w:rFonts w:hint="eastAsia" w:ascii="Times New Roman" w:hAnsi="Times New Roman" w:eastAsia="方正小标宋_GBK"/>
          <w:color w:val="000000"/>
          <w:sz w:val="44"/>
          <w:szCs w:val="44"/>
          <w:lang w:eastAsia="zh-CN"/>
        </w:rPr>
        <w:t>）》</w:t>
      </w:r>
      <w:r>
        <w:rPr>
          <w:rFonts w:ascii="Times New Roman" w:hAnsi="Times New Roman" w:eastAsia="方正小标宋_GBK"/>
          <w:color w:val="000000"/>
          <w:sz w:val="44"/>
          <w:szCs w:val="44"/>
        </w:rPr>
        <w:t>的通知</w:t>
      </w:r>
    </w:p>
    <w:p>
      <w:pPr>
        <w:keepNext w:val="0"/>
        <w:keepLines w:val="0"/>
        <w:pageBreakBefore w:val="0"/>
        <w:widowControl w:val="0"/>
        <w:kinsoku/>
        <w:wordWrap/>
        <w:overflowPunct/>
        <w:topLinePunct w:val="0"/>
        <w:bidi w:val="0"/>
        <w:adjustRightInd w:val="0"/>
        <w:snapToGrid w:val="0"/>
        <w:spacing w:line="592" w:lineRule="exact"/>
        <w:textAlignment w:val="auto"/>
        <w:outlineLvl w:val="9"/>
        <w:rPr>
          <w:rFonts w:ascii="Times New Roman" w:hAnsi="Times New Roman" w:eastAsia="方正仿宋_GBK"/>
          <w:color w:val="000000"/>
          <w:sz w:val="32"/>
          <w:szCs w:val="32"/>
        </w:rPr>
      </w:pPr>
    </w:p>
    <w:p>
      <w:pPr>
        <w:keepNext w:val="0"/>
        <w:keepLines w:val="0"/>
        <w:pageBreakBefore w:val="0"/>
        <w:widowControl w:val="0"/>
        <w:kinsoku/>
        <w:wordWrap/>
        <w:overflowPunct/>
        <w:topLinePunct w:val="0"/>
        <w:bidi w:val="0"/>
        <w:adjustRightInd w:val="0"/>
        <w:snapToGrid w:val="0"/>
        <w:spacing w:line="594" w:lineRule="exact"/>
        <w:textAlignment w:val="auto"/>
        <w:outlineLvl w:val="9"/>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各</w:t>
      </w:r>
      <w:r>
        <w:rPr>
          <w:rFonts w:ascii="Times New Roman" w:hAnsi="Times New Roman" w:eastAsia="方正仿宋_GBK"/>
          <w:color w:val="000000"/>
          <w:sz w:val="32"/>
          <w:szCs w:val="32"/>
        </w:rPr>
        <w:t>有关单位</w:t>
      </w:r>
      <w:r>
        <w:rPr>
          <w:rFonts w:hint="eastAsia" w:ascii="Times New Roman" w:hAnsi="Times New Roman" w:eastAsia="方正仿宋_GBK"/>
          <w:color w:val="000000"/>
          <w:sz w:val="32"/>
          <w:szCs w:val="32"/>
          <w:lang w:eastAsia="zh-CN"/>
        </w:rPr>
        <w:t>、镇街</w:t>
      </w:r>
      <w:r>
        <w:rPr>
          <w:rFonts w:ascii="Times New Roman" w:hAnsi="Times New Roman" w:eastAsia="方正仿宋_GBK"/>
          <w:color w:val="000000"/>
          <w:sz w:val="32"/>
          <w:szCs w:val="32"/>
        </w:rPr>
        <w:t>：</w:t>
      </w:r>
    </w:p>
    <w:p>
      <w:pPr>
        <w:keepNext w:val="0"/>
        <w:keepLines w:val="0"/>
        <w:pageBreakBefore w:val="0"/>
        <w:widowControl w:val="0"/>
        <w:kinsoku/>
        <w:wordWrap/>
        <w:overflowPunct/>
        <w:topLinePunct w:val="0"/>
        <w:bidi w:val="0"/>
        <w:adjustRightInd w:val="0"/>
        <w:snapToGrid w:val="0"/>
        <w:spacing w:line="594" w:lineRule="exact"/>
        <w:ind w:firstLine="640" w:firstLineChars="200"/>
        <w:textAlignment w:val="auto"/>
        <w:outlineLvl w:val="9"/>
        <w:rPr>
          <w:rFonts w:hint="eastAsia" w:ascii="Times New Roman" w:hAnsi="Times New Roman" w:eastAsia="方正仿宋_GBK"/>
          <w:sz w:val="32"/>
          <w:szCs w:val="32"/>
        </w:rPr>
      </w:pPr>
      <w:r>
        <w:rPr>
          <w:rFonts w:hint="eastAsia" w:ascii="Times New Roman" w:hAnsi="Times New Roman" w:eastAsia="方正仿宋_GBK"/>
          <w:sz w:val="32"/>
          <w:szCs w:val="32"/>
        </w:rPr>
        <w:t>为全面贯彻落实《关于印发新能源汽车产业发展规划（2021-2025年）的通知》（国办发【2020】39号）、《关于进一步提升电动汽车充电基础设施服务保障能力的实施意见》（发改能源规【2022】53号）、《关于印发重庆市充电基础设施“十四五”发展规划（2021-2025年）的通知》（渝发改能源【2022】648号）等文件精神</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经</w:t>
      </w:r>
      <w:r>
        <w:rPr>
          <w:rFonts w:hint="eastAsia" w:ascii="Times New Roman" w:hAnsi="Times New Roman" w:eastAsia="方正仿宋_GBK"/>
          <w:sz w:val="32"/>
          <w:szCs w:val="32"/>
          <w:lang w:eastAsia="zh-CN"/>
        </w:rPr>
        <w:t>区</w:t>
      </w:r>
      <w:r>
        <w:rPr>
          <w:rFonts w:hint="eastAsia" w:ascii="Times New Roman" w:hAnsi="Times New Roman" w:eastAsia="方正仿宋_GBK"/>
          <w:sz w:val="32"/>
          <w:szCs w:val="32"/>
        </w:rPr>
        <w:t>政府同意，现将</w:t>
      </w:r>
      <w:r>
        <w:rPr>
          <w:rFonts w:hint="eastAsia" w:ascii="Times New Roman" w:hAnsi="Times New Roman" w:eastAsia="方正仿宋_GBK" w:cs="Times New Roman"/>
          <w:sz w:val="32"/>
          <w:szCs w:val="32"/>
          <w:lang w:eastAsia="zh-CN"/>
        </w:rPr>
        <w:t>《重庆市铜梁区电动汽车“光储”充换电站专项规划（</w:t>
      </w:r>
      <w:r>
        <w:rPr>
          <w:rFonts w:hint="eastAsia" w:ascii="Times New Roman" w:hAnsi="Times New Roman" w:eastAsia="方正仿宋_GBK" w:cs="Times New Roman"/>
          <w:sz w:val="32"/>
          <w:szCs w:val="32"/>
          <w:lang w:val="en-US" w:eastAsia="zh-CN"/>
        </w:rPr>
        <w:t>2023-2035</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sz w:val="32"/>
          <w:szCs w:val="32"/>
        </w:rPr>
        <w:t>印发给你们，请认真贯彻执行。</w:t>
      </w:r>
    </w:p>
    <w:p>
      <w:pPr>
        <w:keepNext w:val="0"/>
        <w:keepLines w:val="0"/>
        <w:pageBreakBefore w:val="0"/>
        <w:widowControl w:val="0"/>
        <w:kinsoku/>
        <w:wordWrap/>
        <w:overflowPunct/>
        <w:topLinePunct w:val="0"/>
        <w:bidi w:val="0"/>
        <w:adjustRightInd w:val="0"/>
        <w:snapToGrid w:val="0"/>
        <w:spacing w:line="594" w:lineRule="exact"/>
        <w:textAlignment w:val="auto"/>
        <w:outlineLvl w:val="9"/>
        <w:rPr>
          <w:rFonts w:hint="eastAsia" w:ascii="Times New Roman" w:hAnsi="Times New Roman" w:eastAsia="方正仿宋_GBK"/>
          <w:sz w:val="32"/>
          <w:szCs w:val="32"/>
          <w:lang w:eastAsia="zh-CN"/>
        </w:rPr>
      </w:pPr>
    </w:p>
    <w:p>
      <w:pPr>
        <w:keepNext w:val="0"/>
        <w:keepLines w:val="0"/>
        <w:pageBreakBefore w:val="0"/>
        <w:widowControl w:val="0"/>
        <w:kinsoku/>
        <w:wordWrap/>
        <w:overflowPunct/>
        <w:topLinePunct w:val="0"/>
        <w:bidi w:val="0"/>
        <w:adjustRightInd w:val="0"/>
        <w:snapToGrid w:val="0"/>
        <w:spacing w:line="594" w:lineRule="exact"/>
        <w:ind w:left="1918" w:leftChars="304" w:hanging="1280" w:hangingChars="400"/>
        <w:textAlignment w:val="auto"/>
        <w:outlineLvl w:val="9"/>
        <w:rPr>
          <w:rFonts w:eastAsia="黑体"/>
          <w:sz w:val="52"/>
          <w:szCs w:val="22"/>
        </w:rPr>
      </w:pPr>
      <w:r>
        <w:rPr>
          <w:rFonts w:hint="eastAsia" w:ascii="Times New Roman" w:hAnsi="Times New Roman" w:eastAsia="方正仿宋_GBK"/>
          <w:sz w:val="32"/>
          <w:szCs w:val="32"/>
          <w:lang w:eastAsia="zh-CN"/>
        </w:rPr>
        <w:t>附件：《重庆市铜梁区电动汽车“光储”充换电站专项规划（2023-2035）》</w:t>
      </w:r>
    </w:p>
    <w:p>
      <w:pPr>
        <w:keepNext w:val="0"/>
        <w:keepLines w:val="0"/>
        <w:pageBreakBefore w:val="0"/>
        <w:widowControl w:val="0"/>
        <w:kinsoku/>
        <w:wordWrap/>
        <w:overflowPunct/>
        <w:topLinePunct w:val="0"/>
        <w:bidi w:val="0"/>
        <w:adjustRightInd w:val="0"/>
        <w:snapToGrid w:val="0"/>
        <w:spacing w:line="594" w:lineRule="exact"/>
        <w:ind w:firstLine="420" w:firstLineChars="200"/>
        <w:textAlignment w:val="auto"/>
        <w:outlineLvl w:val="9"/>
        <w:rPr>
          <w:rFonts w:hint="eastAsia"/>
          <w:lang w:val="en-US" w:eastAsia="zh-CN"/>
        </w:rPr>
      </w:pPr>
    </w:p>
    <w:p>
      <w:pPr>
        <w:pStyle w:val="83"/>
        <w:keepNext w:val="0"/>
        <w:keepLines w:val="0"/>
        <w:pageBreakBefore w:val="0"/>
        <w:widowControl w:val="0"/>
        <w:kinsoku/>
        <w:wordWrap/>
        <w:overflowPunct/>
        <w:topLinePunct w:val="0"/>
        <w:autoSpaceDE w:val="0"/>
        <w:autoSpaceDN w:val="0"/>
        <w:bidi w:val="0"/>
        <w:adjustRightInd w:val="0"/>
        <w:snapToGrid w:val="0"/>
        <w:spacing w:line="594" w:lineRule="exact"/>
        <w:textAlignment w:val="auto"/>
        <w:outlineLvl w:val="9"/>
        <w:rPr>
          <w:rFonts w:hint="eastAsia" w:ascii="Times New Roman" w:hAnsi="Times New Roman" w:eastAsia="方正仿宋_GBK" w:cs="Times New Roman"/>
          <w:sz w:val="32"/>
          <w:szCs w:val="32"/>
          <w:lang w:eastAsia="zh-CN"/>
        </w:rPr>
      </w:pPr>
    </w:p>
    <w:p>
      <w:pPr>
        <w:pageBreakBefore w:val="0"/>
        <w:widowControl w:val="0"/>
        <w:kinsoku/>
        <w:overflowPunct/>
        <w:topLinePunct w:val="0"/>
        <w:bidi w:val="0"/>
        <w:spacing w:line="594" w:lineRule="exact"/>
        <w:textAlignment w:val="auto"/>
        <w:rPr>
          <w:rFonts w:hint="eastAsia"/>
          <w:lang w:eastAsia="zh-CN"/>
        </w:rPr>
      </w:pPr>
    </w:p>
    <w:p>
      <w:pPr>
        <w:pStyle w:val="83"/>
        <w:keepNext w:val="0"/>
        <w:keepLines w:val="0"/>
        <w:pageBreakBefore w:val="0"/>
        <w:widowControl w:val="0"/>
        <w:kinsoku/>
        <w:wordWrap/>
        <w:overflowPunct/>
        <w:topLinePunct w:val="0"/>
        <w:autoSpaceDE w:val="0"/>
        <w:autoSpaceDN w:val="0"/>
        <w:bidi w:val="0"/>
        <w:adjustRightInd w:val="0"/>
        <w:snapToGrid w:val="0"/>
        <w:spacing w:line="594" w:lineRule="exact"/>
        <w:ind w:left="0" w:leftChars="0"/>
        <w:textAlignment w:val="auto"/>
        <w:outlineLvl w:val="9"/>
        <w:rPr>
          <w:rFonts w:hint="eastAsia" w:ascii="Times New Roman" w:hAnsi="Times New Roman" w:eastAsia="方正仿宋_GBK" w:cs="Times New Roman"/>
          <w:w w:val="90"/>
          <w:sz w:val="32"/>
          <w:szCs w:val="32"/>
          <w:lang w:eastAsia="zh-CN"/>
        </w:rPr>
      </w:pPr>
      <w:r>
        <w:rPr>
          <w:rFonts w:hint="eastAsia" w:ascii="Times New Roman" w:hAnsi="Times New Roman" w:eastAsia="方正仿宋_GBK" w:cs="Times New Roman"/>
          <w:w w:val="95"/>
          <w:sz w:val="32"/>
          <w:szCs w:val="32"/>
          <w:lang w:eastAsia="zh-CN"/>
        </w:rPr>
        <w:t>重庆市铜梁区</w:t>
      </w:r>
      <w:r>
        <w:rPr>
          <w:rFonts w:hint="default" w:ascii="Times New Roman" w:hAnsi="Times New Roman" w:eastAsia="方正仿宋_GBK" w:cs="Times New Roman"/>
          <w:w w:val="95"/>
          <w:sz w:val="32"/>
          <w:szCs w:val="32"/>
        </w:rPr>
        <w:t>经济和信息化委员会</w:t>
      </w:r>
      <w:r>
        <w:rPr>
          <w:rFonts w:hint="eastAsia" w:ascii="Times New Roman" w:hAnsi="Times New Roman" w:eastAsia="方正仿宋_GBK" w:cs="Times New Roman"/>
          <w:w w:val="90"/>
          <w:sz w:val="32"/>
          <w:szCs w:val="32"/>
          <w:lang w:val="en-US" w:eastAsia="zh-CN"/>
        </w:rPr>
        <w:t xml:space="preserve">   </w:t>
      </w:r>
      <w:r>
        <w:rPr>
          <w:rFonts w:hint="eastAsia" w:ascii="Times New Roman" w:hAnsi="Times New Roman" w:eastAsia="方正仿宋_GBK" w:cs="Times New Roman"/>
          <w:w w:val="90"/>
          <w:sz w:val="32"/>
          <w:szCs w:val="32"/>
          <w:lang w:eastAsia="zh-CN"/>
        </w:rPr>
        <w:t>重庆市铜梁区发展和改革委员会</w:t>
      </w:r>
    </w:p>
    <w:p>
      <w:pPr>
        <w:keepNext w:val="0"/>
        <w:keepLines w:val="0"/>
        <w:pageBreakBefore w:val="0"/>
        <w:widowControl w:val="0"/>
        <w:kinsoku/>
        <w:wordWrap w:val="0"/>
        <w:overflowPunct/>
        <w:topLinePunct w:val="0"/>
        <w:autoSpaceDE/>
        <w:autoSpaceDN/>
        <w:bidi w:val="0"/>
        <w:adjustRightInd w:val="0"/>
        <w:snapToGrid w:val="0"/>
        <w:spacing w:line="594" w:lineRule="exact"/>
        <w:ind w:firstLine="3840" w:firstLineChars="1200"/>
        <w:jc w:val="both"/>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 xml:space="preserve">   </w:t>
      </w:r>
      <w:r>
        <w:rPr>
          <w:rFonts w:hint="eastAsia"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3</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2</w:t>
      </w:r>
      <w:r>
        <w:rPr>
          <w:rFonts w:hint="eastAsia" w:eastAsia="方正仿宋_GBK" w:cs="Times New Roman"/>
          <w:sz w:val="32"/>
          <w:szCs w:val="32"/>
          <w:lang w:val="en-US" w:eastAsia="zh-CN"/>
        </w:rPr>
        <w:t>0</w:t>
      </w:r>
      <w:r>
        <w:rPr>
          <w:rFonts w:hint="default" w:ascii="Times New Roman" w:hAnsi="Times New Roman" w:eastAsia="方正仿宋_GBK" w:cs="Times New Roman"/>
          <w:sz w:val="32"/>
          <w:szCs w:val="32"/>
        </w:rPr>
        <w:t>日</w:t>
      </w:r>
      <w:r>
        <w:rPr>
          <w:rFonts w:hint="eastAsia" w:ascii="Times New Roman" w:hAnsi="Times New Roman" w:eastAsia="方正仿宋_GBK" w:cs="Times New Roman"/>
          <w:sz w:val="32"/>
          <w:szCs w:val="32"/>
          <w:lang w:val="en-US" w:eastAsia="zh-CN"/>
        </w:rPr>
        <w:t xml:space="preserve"> </w:t>
      </w:r>
    </w:p>
    <w:p>
      <w:pPr>
        <w:pStyle w:val="4"/>
        <w:pageBreakBefore w:val="0"/>
        <w:widowControl w:val="0"/>
        <w:kinsoku/>
        <w:overflowPunct/>
        <w:topLinePunct w:val="0"/>
        <w:bidi w:val="0"/>
        <w:spacing w:line="594" w:lineRule="exact"/>
        <w:textAlignment w:val="auto"/>
        <w:rPr>
          <w:rFonts w:hint="eastAsia" w:ascii="Times New Roman" w:hAnsi="Times New Roman" w:eastAsia="方正仿宋_GBK" w:cs="Times New Roman"/>
          <w:b w:val="0"/>
          <w:bCs w:val="0"/>
          <w:kern w:val="2"/>
          <w:sz w:val="32"/>
          <w:szCs w:val="32"/>
          <w:lang w:val="en-US" w:eastAsia="zh-CN" w:bidi="ar-SA"/>
        </w:rPr>
      </w:pPr>
    </w:p>
    <w:p>
      <w:pPr>
        <w:keepNext w:val="0"/>
        <w:keepLines w:val="0"/>
        <w:pageBreakBefore w:val="0"/>
        <w:widowControl w:val="0"/>
        <w:kinsoku/>
        <w:wordWrap/>
        <w:overflowPunct/>
        <w:topLinePunct w:val="0"/>
        <w:bidi w:val="0"/>
        <w:adjustRightInd w:val="0"/>
        <w:snapToGrid w:val="0"/>
        <w:spacing w:line="594" w:lineRule="exact"/>
        <w:ind w:firstLine="640" w:firstLineChars="200"/>
        <w:textAlignment w:val="auto"/>
        <w:outlineLvl w:val="9"/>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（联系人：</w:t>
      </w:r>
      <w:r>
        <w:rPr>
          <w:rFonts w:hint="eastAsia" w:ascii="Times New Roman" w:hAnsi="Times New Roman" w:eastAsia="方正仿宋_GBK" w:cs="Times New Roman"/>
          <w:b w:val="0"/>
          <w:bCs w:val="0"/>
          <w:kern w:val="2"/>
          <w:sz w:val="32"/>
          <w:szCs w:val="32"/>
          <w:lang w:val="en-US" w:eastAsia="zh-CN" w:bidi="ar-SA"/>
        </w:rPr>
        <w:t>刘建功</w:t>
      </w:r>
      <w:r>
        <w:rPr>
          <w:rFonts w:hint="default" w:ascii="Times New Roman" w:hAnsi="Times New Roman" w:eastAsia="方正仿宋_GBK" w:cs="Times New Roman"/>
          <w:b w:val="0"/>
          <w:bCs w:val="0"/>
          <w:kern w:val="2"/>
          <w:sz w:val="32"/>
          <w:szCs w:val="32"/>
          <w:lang w:val="en-US" w:eastAsia="zh-CN" w:bidi="ar-SA"/>
        </w:rPr>
        <w:t>，</w:t>
      </w:r>
      <w:r>
        <w:rPr>
          <w:rFonts w:hint="eastAsia" w:ascii="Times New Roman" w:hAnsi="Times New Roman" w:eastAsia="方正仿宋_GBK" w:cs="Times New Roman"/>
          <w:b w:val="0"/>
          <w:bCs w:val="0"/>
          <w:kern w:val="2"/>
          <w:sz w:val="32"/>
          <w:szCs w:val="32"/>
          <w:lang w:val="en-US" w:eastAsia="zh-CN" w:bidi="ar-SA"/>
        </w:rPr>
        <w:t>联系</w:t>
      </w:r>
      <w:r>
        <w:rPr>
          <w:rFonts w:hint="default" w:ascii="Times New Roman" w:hAnsi="Times New Roman" w:eastAsia="方正仿宋_GBK" w:cs="Times New Roman"/>
          <w:b w:val="0"/>
          <w:bCs w:val="0"/>
          <w:kern w:val="2"/>
          <w:sz w:val="32"/>
          <w:szCs w:val="32"/>
          <w:lang w:val="en-US" w:eastAsia="zh-CN" w:bidi="ar-SA"/>
        </w:rPr>
        <w:t>电话：</w:t>
      </w:r>
      <w:r>
        <w:rPr>
          <w:rFonts w:hint="eastAsia" w:ascii="Times New Roman" w:hAnsi="Times New Roman" w:eastAsia="方正仿宋_GBK" w:cs="Times New Roman"/>
          <w:b w:val="0"/>
          <w:bCs w:val="0"/>
          <w:kern w:val="2"/>
          <w:sz w:val="32"/>
          <w:szCs w:val="32"/>
          <w:lang w:val="en-US" w:eastAsia="zh-CN" w:bidi="ar-SA"/>
        </w:rPr>
        <w:t>45341815</w:t>
      </w:r>
      <w:r>
        <w:rPr>
          <w:rFonts w:hint="default" w:ascii="Times New Roman" w:hAnsi="Times New Roman" w:eastAsia="方正仿宋_GBK" w:cs="Times New Roman"/>
          <w:b w:val="0"/>
          <w:bCs w:val="0"/>
          <w:kern w:val="2"/>
          <w:sz w:val="32"/>
          <w:szCs w:val="32"/>
          <w:lang w:val="en-US" w:eastAsia="zh-CN" w:bidi="ar-SA"/>
        </w:rPr>
        <w:t>）</w:t>
      </w:r>
    </w:p>
    <w:p>
      <w:pPr>
        <w:pStyle w:val="83"/>
        <w:keepNext w:val="0"/>
        <w:keepLines w:val="0"/>
        <w:pageBreakBefore w:val="0"/>
        <w:widowControl w:val="0"/>
        <w:kinsoku/>
        <w:wordWrap/>
        <w:overflowPunct/>
        <w:topLinePunct w:val="0"/>
        <w:autoSpaceDE w:val="0"/>
        <w:autoSpaceDN w:val="0"/>
        <w:bidi w:val="0"/>
        <w:adjustRightInd w:val="0"/>
        <w:snapToGrid/>
        <w:spacing w:line="594" w:lineRule="exact"/>
        <w:ind w:firstLine="640" w:firstLineChars="200"/>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（此件</w:t>
      </w:r>
      <w:r>
        <w:rPr>
          <w:rFonts w:hint="eastAsia" w:ascii="Times New Roman" w:hAnsi="Times New Roman" w:eastAsia="方正仿宋_GBK" w:cs="Times New Roman"/>
          <w:b w:val="0"/>
          <w:bCs w:val="0"/>
          <w:kern w:val="2"/>
          <w:sz w:val="32"/>
          <w:szCs w:val="32"/>
          <w:lang w:val="en-US" w:eastAsia="zh-CN" w:bidi="ar-SA"/>
        </w:rPr>
        <w:t>主动</w:t>
      </w:r>
      <w:r>
        <w:rPr>
          <w:rFonts w:hint="default" w:ascii="Times New Roman" w:hAnsi="Times New Roman" w:eastAsia="方正仿宋_GBK" w:cs="Times New Roman"/>
          <w:b w:val="0"/>
          <w:bCs w:val="0"/>
          <w:kern w:val="2"/>
          <w:sz w:val="32"/>
          <w:szCs w:val="32"/>
          <w:lang w:val="en-US" w:eastAsia="zh-CN" w:bidi="ar-SA"/>
        </w:rPr>
        <w:t>公开）</w:t>
      </w:r>
    </w:p>
    <w:p>
      <w:pPr>
        <w:pStyle w:val="83"/>
        <w:keepNext w:val="0"/>
        <w:keepLines w:val="0"/>
        <w:pageBreakBefore w:val="0"/>
        <w:widowControl w:val="0"/>
        <w:kinsoku/>
        <w:wordWrap/>
        <w:overflowPunct/>
        <w:topLinePunct w:val="0"/>
        <w:autoSpaceDE w:val="0"/>
        <w:autoSpaceDN w:val="0"/>
        <w:bidi w:val="0"/>
        <w:adjustRightInd w:val="0"/>
        <w:snapToGrid/>
        <w:spacing w:line="674" w:lineRule="exact"/>
        <w:textAlignment w:val="auto"/>
        <w:rPr>
          <w:rFonts w:hint="default" w:ascii="Times New Roman" w:hAnsi="Times New Roman" w:eastAsia="方正仿宋_GBK" w:cs="Times New Roman"/>
          <w:b w:val="0"/>
          <w:bCs w:val="0"/>
          <w:kern w:val="2"/>
          <w:sz w:val="32"/>
          <w:szCs w:val="32"/>
          <w:lang w:val="en-US" w:eastAsia="zh-CN" w:bidi="ar-SA"/>
        </w:rPr>
      </w:pPr>
    </w:p>
    <w:p>
      <w:pPr>
        <w:pStyle w:val="83"/>
        <w:keepNext w:val="0"/>
        <w:keepLines w:val="0"/>
        <w:pageBreakBefore w:val="0"/>
        <w:widowControl w:val="0"/>
        <w:kinsoku/>
        <w:wordWrap/>
        <w:overflowPunct/>
        <w:topLinePunct w:val="0"/>
        <w:autoSpaceDE w:val="0"/>
        <w:autoSpaceDN w:val="0"/>
        <w:bidi w:val="0"/>
        <w:adjustRightInd w:val="0"/>
        <w:snapToGrid/>
        <w:spacing w:line="674" w:lineRule="exact"/>
        <w:textAlignment w:val="auto"/>
        <w:rPr>
          <w:rFonts w:hint="default" w:ascii="Times New Roman" w:hAnsi="Times New Roman" w:eastAsia="方正仿宋_GBK" w:cs="Times New Roman"/>
          <w:b w:val="0"/>
          <w:bCs w:val="0"/>
          <w:kern w:val="2"/>
          <w:sz w:val="32"/>
          <w:szCs w:val="32"/>
          <w:lang w:val="en-US" w:eastAsia="zh-CN" w:bidi="ar-SA"/>
        </w:rPr>
      </w:pPr>
    </w:p>
    <w:p>
      <w:pPr>
        <w:pStyle w:val="83"/>
        <w:keepNext w:val="0"/>
        <w:keepLines w:val="0"/>
        <w:pageBreakBefore w:val="0"/>
        <w:widowControl w:val="0"/>
        <w:kinsoku/>
        <w:wordWrap/>
        <w:overflowPunct/>
        <w:topLinePunct w:val="0"/>
        <w:autoSpaceDE w:val="0"/>
        <w:autoSpaceDN w:val="0"/>
        <w:bidi w:val="0"/>
        <w:adjustRightInd w:val="0"/>
        <w:snapToGrid/>
        <w:spacing w:line="674" w:lineRule="exact"/>
        <w:textAlignment w:val="auto"/>
        <w:rPr>
          <w:rFonts w:hint="default" w:ascii="Times New Roman" w:hAnsi="Times New Roman" w:eastAsia="方正仿宋_GBK" w:cs="Times New Roman"/>
          <w:b w:val="0"/>
          <w:bCs w:val="0"/>
          <w:kern w:val="2"/>
          <w:sz w:val="32"/>
          <w:szCs w:val="32"/>
          <w:lang w:val="en-US" w:eastAsia="zh-CN" w:bidi="ar-SA"/>
        </w:rPr>
      </w:pPr>
    </w:p>
    <w:p>
      <w:pPr>
        <w:pStyle w:val="83"/>
        <w:keepNext w:val="0"/>
        <w:keepLines w:val="0"/>
        <w:pageBreakBefore w:val="0"/>
        <w:widowControl w:val="0"/>
        <w:kinsoku/>
        <w:wordWrap/>
        <w:overflowPunct/>
        <w:topLinePunct w:val="0"/>
        <w:autoSpaceDE w:val="0"/>
        <w:autoSpaceDN w:val="0"/>
        <w:bidi w:val="0"/>
        <w:adjustRightInd w:val="0"/>
        <w:snapToGrid/>
        <w:spacing w:line="674" w:lineRule="exact"/>
        <w:textAlignment w:val="auto"/>
        <w:rPr>
          <w:rFonts w:hint="default" w:ascii="Times New Roman" w:hAnsi="Times New Roman" w:eastAsia="方正仿宋_GBK" w:cs="Times New Roman"/>
          <w:b w:val="0"/>
          <w:bCs w:val="0"/>
          <w:kern w:val="2"/>
          <w:sz w:val="32"/>
          <w:szCs w:val="32"/>
          <w:lang w:val="en-US" w:eastAsia="zh-CN" w:bidi="ar-SA"/>
        </w:rPr>
      </w:pPr>
    </w:p>
    <w:p>
      <w:pPr>
        <w:pStyle w:val="83"/>
        <w:keepNext w:val="0"/>
        <w:keepLines w:val="0"/>
        <w:pageBreakBefore w:val="0"/>
        <w:widowControl w:val="0"/>
        <w:kinsoku/>
        <w:wordWrap/>
        <w:overflowPunct/>
        <w:topLinePunct w:val="0"/>
        <w:autoSpaceDE w:val="0"/>
        <w:autoSpaceDN w:val="0"/>
        <w:bidi w:val="0"/>
        <w:adjustRightInd w:val="0"/>
        <w:snapToGrid/>
        <w:spacing w:line="674" w:lineRule="exact"/>
        <w:textAlignment w:val="auto"/>
        <w:rPr>
          <w:rFonts w:hint="default" w:ascii="Times New Roman" w:hAnsi="Times New Roman" w:eastAsia="方正仿宋_GBK" w:cs="Times New Roman"/>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仿宋_GBK" w:hAnsi="方正仿宋_GBK" w:eastAsia="方正仿宋_GBK" w:cs="方正仿宋_GBK"/>
          <w:color w:val="000000"/>
          <w:sz w:val="28"/>
          <w:szCs w:val="28"/>
          <w:lang w:val="en-US" w:eastAsia="zh-CN"/>
        </w:rPr>
      </w:pPr>
      <w:r>
        <w:rPr>
          <w:rFonts w:hint="default" w:ascii="Times New Roman" w:hAnsi="Times New Roman" w:cs="Times New Roman"/>
          <w:sz w:val="30"/>
          <w:szCs w:val="30"/>
        </w:rPr>
        <mc:AlternateContent>
          <mc:Choice Requires="wps">
            <w:drawing>
              <wp:anchor distT="0" distB="0" distL="114300" distR="114300" simplePos="0" relativeHeight="251668480" behindDoc="0" locked="0" layoutInCell="1" allowOverlap="1">
                <wp:simplePos x="0" y="0"/>
                <wp:positionH relativeFrom="column">
                  <wp:posOffset>20320</wp:posOffset>
                </wp:positionH>
                <wp:positionV relativeFrom="paragraph">
                  <wp:posOffset>48895</wp:posOffset>
                </wp:positionV>
                <wp:extent cx="5638800" cy="0"/>
                <wp:effectExtent l="0" t="0" r="0" b="0"/>
                <wp:wrapNone/>
                <wp:docPr id="16" name="直接连接符 16"/>
                <wp:cNvGraphicFramePr/>
                <a:graphic xmlns:a="http://schemas.openxmlformats.org/drawingml/2006/main">
                  <a:graphicData uri="http://schemas.microsoft.com/office/word/2010/wordprocessingShape">
                    <wps:wsp>
                      <wps:cNvCnPr/>
                      <wps:spPr>
                        <a:xfrm>
                          <a:off x="975360" y="9328785"/>
                          <a:ext cx="5638800"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6pt;margin-top:3.85pt;height:0pt;width:444pt;z-index:251668480;mso-width-relative:page;mso-height-relative:page;" filled="f" stroked="t" coordsize="21600,21600" o:gfxdata="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N8Pf30gAA&#10;AAUBAAAPAAAAAAAAAAEAIAAAACIAAABkcnMvZG93bnJldi54bWxQSwECFAAUAAAACACHTuJAMDIO&#10;HusBAAC1AwAADgAAAAAAAAABACAAAAAhAQAAZHJzL2Uyb0RvYy54bWxQSwUGAAAAAAYABgBZAQAA&#10;fgUAAAAA&#10;">
                <v:fill on="f" focussize="0,0"/>
                <v:stroke color="#000000" joinstyle="round"/>
                <v:imagedata o:title=""/>
                <o:lock v:ext="edit" aspectratio="f"/>
              </v:line>
            </w:pict>
          </mc:Fallback>
        </mc:AlternateContent>
      </w:r>
      <w:r>
        <w:rPr>
          <w:rFonts w:hint="default" w:ascii="Times New Roman" w:hAnsi="Times New Roman" w:cs="Times New Roman"/>
          <w:sz w:val="30"/>
        </w:rP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ragraph">
                  <wp:posOffset>391795</wp:posOffset>
                </wp:positionV>
                <wp:extent cx="5676900" cy="0"/>
                <wp:effectExtent l="0" t="0" r="0" b="0"/>
                <wp:wrapNone/>
                <wp:docPr id="12" name="直接连接符 12"/>
                <wp:cNvGraphicFramePr/>
                <a:graphic xmlns:a="http://schemas.openxmlformats.org/drawingml/2006/main">
                  <a:graphicData uri="http://schemas.microsoft.com/office/word/2010/wordprocessingShape">
                    <wps:wsp>
                      <wps:cNvCnPr/>
                      <wps:spPr>
                        <a:xfrm>
                          <a:off x="937260" y="9652635"/>
                          <a:ext cx="5676900"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0.1pt;margin-top:30.85pt;height:0pt;width:447pt;z-index:251669504;mso-width-relative:page;mso-height-relative:page;" filled="f" stroked="t" coordsize="21600,21600" o:gfxdata="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F+XK0gAA&#10;AAYBAAAPAAAAAAAAAAEAIAAAACIAAABkcnMvZG93bnJldi54bWxQSwECFAAUAAAACACHTuJAqn61&#10;R+sBAAC1AwAADgAAAAAAAAABACAAAAAhAQAAZHJzL2Uyb0RvYy54bWxQSwUGAAAAAAYABgBZAQAA&#10;fgUAAAAA&#10;">
                <v:fill on="f" focussize="0,0"/>
                <v:stroke color="#000000" joinstyle="round"/>
                <v:imagedata o:title=""/>
                <o:lock v:ext="edit" aspectratio="f"/>
              </v:line>
            </w:pict>
          </mc:Fallback>
        </mc:AlternateContent>
      </w:r>
      <w:r>
        <w:rPr>
          <w:rFonts w:hint="default" w:ascii="Times New Roman" w:hAnsi="Times New Roman" w:eastAsia="方正仿宋_GBK" w:cs="Times New Roman"/>
          <w:sz w:val="30"/>
          <w:szCs w:val="30"/>
          <w:lang w:val="en-US" w:eastAsia="zh-CN"/>
        </w:rPr>
        <w:t xml:space="preserve">重庆市铜梁区经济和信息化委员会办公室   </w:t>
      </w:r>
      <w:r>
        <w:rPr>
          <w:rFonts w:hint="eastAsia"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lang w:val="en-US" w:eastAsia="zh-CN"/>
        </w:rPr>
        <w:t>202</w:t>
      </w:r>
      <w:r>
        <w:rPr>
          <w:rFonts w:hint="eastAsia"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lang w:val="en-US" w:eastAsia="zh-CN"/>
        </w:rPr>
        <w:t>年</w:t>
      </w:r>
      <w:r>
        <w:rPr>
          <w:rFonts w:hint="eastAsia"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lang w:val="en-US" w:eastAsia="zh-CN"/>
        </w:rPr>
        <w:t>月</w:t>
      </w:r>
      <w:r>
        <w:rPr>
          <w:rFonts w:hint="eastAsia" w:ascii="Times New Roman" w:hAnsi="Times New Roman" w:eastAsia="方正仿宋_GBK" w:cs="Times New Roman"/>
          <w:sz w:val="30"/>
          <w:szCs w:val="30"/>
          <w:lang w:val="en-US" w:eastAsia="zh-CN"/>
        </w:rPr>
        <w:t>20</w:t>
      </w:r>
      <w:r>
        <w:rPr>
          <w:rFonts w:hint="default" w:ascii="Times New Roman" w:hAnsi="Times New Roman" w:eastAsia="方正仿宋_GBK" w:cs="Times New Roman"/>
          <w:sz w:val="30"/>
          <w:szCs w:val="30"/>
          <w:lang w:val="en-US" w:eastAsia="zh-CN"/>
        </w:rPr>
        <w:t>日印发</w:t>
      </w:r>
    </w:p>
    <w:p>
      <w:pPr>
        <w:keepNext w:val="0"/>
        <w:keepLines w:val="0"/>
        <w:pageBreakBefore w:val="0"/>
        <w:widowControl w:val="0"/>
        <w:kinsoku/>
        <w:wordWrap/>
        <w:overflowPunct/>
        <w:topLinePunct w:val="0"/>
        <w:bidi w:val="0"/>
        <w:adjustRightInd w:val="0"/>
        <w:snapToGrid w:val="0"/>
        <w:spacing w:line="594" w:lineRule="exact"/>
        <w:ind w:firstLine="640" w:firstLineChars="200"/>
        <w:textAlignment w:val="auto"/>
        <w:outlineLvl w:val="9"/>
        <w:rPr>
          <w:rFonts w:hint="default" w:ascii="Times New Roman" w:hAnsi="Times New Roman" w:eastAsia="方正仿宋_GBK" w:cs="Times New Roman"/>
          <w:b w:val="0"/>
          <w:bCs w:val="0"/>
          <w:kern w:val="2"/>
          <w:sz w:val="32"/>
          <w:szCs w:val="32"/>
          <w:lang w:val="en-US" w:eastAsia="zh-CN" w:bidi="ar-SA"/>
        </w:rPr>
        <w:sectPr>
          <w:footerReference r:id="rId3" w:type="default"/>
          <w:pgSz w:w="11906" w:h="16838"/>
          <w:pgMar w:top="1984" w:right="1446" w:bottom="1644" w:left="1446" w:header="850" w:footer="1587" w:gutter="0"/>
          <w:pgBorders>
            <w:top w:val="none" w:sz="0" w:space="0"/>
            <w:left w:val="none" w:sz="0" w:space="0"/>
            <w:bottom w:val="none" w:sz="0" w:space="0"/>
            <w:right w:val="none" w:sz="0" w:space="0"/>
          </w:pgBorders>
          <w:pgNumType w:fmt="numberInDash"/>
          <w:cols w:space="720" w:num="1"/>
          <w:rtlGutter w:val="0"/>
          <w:docGrid w:type="lines" w:linePitch="440" w:charSpace="0"/>
        </w:sectPr>
      </w:pPr>
    </w:p>
    <w:p>
      <w:pPr>
        <w:spacing w:line="360" w:lineRule="auto"/>
        <w:ind w:right="420" w:rightChars="200"/>
        <w:jc w:val="center"/>
        <w:rPr>
          <w:rFonts w:eastAsia="黑体"/>
          <w:sz w:val="52"/>
          <w:szCs w:val="22"/>
        </w:rPr>
      </w:pPr>
    </w:p>
    <w:p>
      <w:pPr>
        <w:spacing w:line="360" w:lineRule="auto"/>
        <w:ind w:right="420" w:rightChars="200"/>
        <w:jc w:val="center"/>
        <w:rPr>
          <w:rFonts w:eastAsia="黑体"/>
          <w:sz w:val="52"/>
          <w:szCs w:val="22"/>
        </w:rPr>
      </w:pPr>
    </w:p>
    <w:p>
      <w:pPr>
        <w:spacing w:line="360" w:lineRule="auto"/>
        <w:ind w:right="420" w:rightChars="200"/>
        <w:jc w:val="center"/>
        <w:rPr>
          <w:rFonts w:eastAsia="黑体"/>
          <w:sz w:val="52"/>
          <w:szCs w:val="22"/>
        </w:rPr>
      </w:pPr>
    </w:p>
    <w:p>
      <w:pPr>
        <w:spacing w:line="360" w:lineRule="auto"/>
        <w:ind w:right="420" w:rightChars="200"/>
        <w:jc w:val="center"/>
        <w:rPr>
          <w:rFonts w:hint="eastAsia" w:ascii="方正黑体_GBK" w:hAnsi="方正黑体_GBK" w:eastAsia="方正黑体_GBK" w:cs="方正黑体_GBK"/>
          <w:b/>
          <w:bCs/>
          <w:sz w:val="52"/>
          <w:szCs w:val="22"/>
          <w:lang w:eastAsia="zh-CN"/>
        </w:rPr>
      </w:pPr>
      <w:r>
        <w:rPr>
          <w:rFonts w:hint="eastAsia" w:ascii="方正黑体_GBK" w:hAnsi="方正黑体_GBK" w:eastAsia="方正黑体_GBK" w:cs="方正黑体_GBK"/>
          <w:b/>
          <w:bCs/>
          <w:sz w:val="52"/>
          <w:szCs w:val="22"/>
        </w:rPr>
        <w:t>重庆市铜梁区</w:t>
      </w:r>
      <w:r>
        <w:rPr>
          <w:rFonts w:hint="eastAsia" w:ascii="方正黑体_GBK" w:hAnsi="方正黑体_GBK" w:eastAsia="方正黑体_GBK" w:cs="方正黑体_GBK"/>
          <w:b/>
          <w:bCs/>
          <w:sz w:val="52"/>
          <w:szCs w:val="22"/>
          <w:lang w:eastAsia="zh-CN"/>
        </w:rPr>
        <w:t>公共充电基础设施</w:t>
      </w:r>
    </w:p>
    <w:p>
      <w:pPr>
        <w:spacing w:line="360" w:lineRule="auto"/>
        <w:ind w:right="420" w:rightChars="200"/>
        <w:jc w:val="center"/>
        <w:rPr>
          <w:rFonts w:hint="eastAsia" w:ascii="方正黑体_GBK" w:hAnsi="方正黑体_GBK" w:eastAsia="方正黑体_GBK" w:cs="方正黑体_GBK"/>
          <w:b/>
          <w:bCs/>
          <w:sz w:val="52"/>
          <w:szCs w:val="22"/>
        </w:rPr>
      </w:pPr>
      <w:r>
        <w:rPr>
          <w:rFonts w:hint="eastAsia" w:ascii="方正黑体_GBK" w:hAnsi="方正黑体_GBK" w:eastAsia="方正黑体_GBK" w:cs="方正黑体_GBK"/>
          <w:b/>
          <w:bCs/>
          <w:sz w:val="52"/>
          <w:szCs w:val="22"/>
          <w:lang w:eastAsia="zh-CN"/>
        </w:rPr>
        <w:t>发展</w:t>
      </w:r>
      <w:r>
        <w:rPr>
          <w:rFonts w:hint="eastAsia" w:ascii="方正黑体_GBK" w:hAnsi="方正黑体_GBK" w:eastAsia="方正黑体_GBK" w:cs="方正黑体_GBK"/>
          <w:b/>
          <w:bCs/>
          <w:sz w:val="52"/>
          <w:szCs w:val="22"/>
        </w:rPr>
        <w:t>规划</w:t>
      </w:r>
    </w:p>
    <w:p>
      <w:pPr>
        <w:spacing w:line="360" w:lineRule="auto"/>
        <w:ind w:right="420" w:rightChars="200"/>
        <w:jc w:val="center"/>
        <w:rPr>
          <w:rFonts w:eastAsia="黑体"/>
          <w:sz w:val="52"/>
          <w:szCs w:val="22"/>
        </w:rPr>
      </w:pPr>
      <w:r>
        <w:rPr>
          <w:rFonts w:eastAsia="黑体"/>
          <w:sz w:val="52"/>
          <w:szCs w:val="22"/>
        </w:rPr>
        <w:t>（202</w:t>
      </w:r>
      <w:r>
        <w:rPr>
          <w:rFonts w:hint="eastAsia" w:eastAsia="黑体"/>
          <w:sz w:val="52"/>
          <w:szCs w:val="22"/>
          <w:lang w:val="en-US" w:eastAsia="zh-CN"/>
        </w:rPr>
        <w:t>3</w:t>
      </w:r>
      <w:r>
        <w:rPr>
          <w:rFonts w:eastAsia="黑体"/>
          <w:sz w:val="52"/>
          <w:szCs w:val="22"/>
        </w:rPr>
        <w:t>-20</w:t>
      </w:r>
      <w:r>
        <w:rPr>
          <w:rFonts w:hint="eastAsia" w:eastAsia="黑体"/>
          <w:sz w:val="52"/>
          <w:szCs w:val="22"/>
          <w:lang w:val="en-US" w:eastAsia="zh-CN"/>
        </w:rPr>
        <w:t>3</w:t>
      </w:r>
      <w:r>
        <w:rPr>
          <w:rFonts w:eastAsia="黑体"/>
          <w:sz w:val="52"/>
          <w:szCs w:val="22"/>
        </w:rPr>
        <w:t>5）</w:t>
      </w:r>
    </w:p>
    <w:p>
      <w:pPr>
        <w:spacing w:line="360" w:lineRule="auto"/>
        <w:ind w:right="420" w:rightChars="200"/>
        <w:jc w:val="center"/>
        <w:rPr>
          <w:rFonts w:eastAsia="黑体"/>
          <w:sz w:val="52"/>
          <w:szCs w:val="22"/>
        </w:rPr>
      </w:pPr>
    </w:p>
    <w:p>
      <w:pPr>
        <w:spacing w:line="360" w:lineRule="auto"/>
        <w:ind w:left="420" w:leftChars="200" w:right="420" w:rightChars="200"/>
        <w:jc w:val="center"/>
        <w:rPr>
          <w:rFonts w:eastAsia="黑体"/>
          <w:sz w:val="52"/>
        </w:rPr>
      </w:pPr>
    </w:p>
    <w:p>
      <w:pPr>
        <w:spacing w:line="360" w:lineRule="auto"/>
        <w:jc w:val="center"/>
        <w:rPr>
          <w:sz w:val="44"/>
        </w:rPr>
      </w:pPr>
    </w:p>
    <w:p>
      <w:pPr>
        <w:spacing w:line="360" w:lineRule="auto"/>
        <w:jc w:val="center"/>
        <w:rPr>
          <w:sz w:val="44"/>
        </w:rPr>
      </w:pPr>
    </w:p>
    <w:p>
      <w:pPr>
        <w:spacing w:line="360" w:lineRule="auto"/>
        <w:rPr>
          <w:sz w:val="44"/>
        </w:rPr>
      </w:pPr>
    </w:p>
    <w:p>
      <w:pPr>
        <w:spacing w:line="360" w:lineRule="auto"/>
        <w:jc w:val="center"/>
        <w:rPr>
          <w:rFonts w:hint="eastAsia"/>
          <w:sz w:val="32"/>
          <w:szCs w:val="32"/>
          <w:lang w:eastAsia="zh-CN"/>
        </w:rPr>
      </w:pPr>
    </w:p>
    <w:p>
      <w:pPr>
        <w:spacing w:line="360" w:lineRule="auto"/>
        <w:jc w:val="center"/>
        <w:rPr>
          <w:rFonts w:hint="eastAsia"/>
          <w:sz w:val="32"/>
          <w:szCs w:val="32"/>
          <w:lang w:eastAsia="zh-CN"/>
        </w:rPr>
      </w:pPr>
    </w:p>
    <w:p>
      <w:pPr>
        <w:spacing w:line="360" w:lineRule="auto"/>
        <w:jc w:val="center"/>
        <w:rPr>
          <w:rFonts w:hint="eastAsia"/>
          <w:sz w:val="32"/>
          <w:szCs w:val="32"/>
          <w:lang w:eastAsia="zh-CN"/>
        </w:rPr>
      </w:pPr>
      <w:r>
        <w:rPr>
          <w:rFonts w:hint="eastAsia"/>
          <w:sz w:val="32"/>
          <w:szCs w:val="32"/>
          <w:lang w:eastAsia="zh-CN"/>
        </w:rPr>
        <w:t>重庆市铜梁区经济和信息化委员会</w:t>
      </w:r>
    </w:p>
    <w:p>
      <w:pPr>
        <w:spacing w:line="360" w:lineRule="auto"/>
        <w:jc w:val="center"/>
        <w:rPr>
          <w:rFonts w:hint="eastAsia"/>
          <w:sz w:val="32"/>
          <w:szCs w:val="32"/>
          <w:lang w:eastAsia="zh-CN"/>
        </w:rPr>
      </w:pPr>
      <w:r>
        <w:rPr>
          <w:rFonts w:hint="eastAsia"/>
          <w:sz w:val="32"/>
          <w:szCs w:val="32"/>
          <w:lang w:eastAsia="zh-CN"/>
        </w:rPr>
        <w:t>重庆市铜梁区发展和改革委员会</w:t>
      </w:r>
    </w:p>
    <w:p>
      <w:pPr>
        <w:spacing w:line="360" w:lineRule="auto"/>
        <w:jc w:val="center"/>
        <w:rPr>
          <w:sz w:val="32"/>
        </w:rPr>
      </w:pPr>
    </w:p>
    <w:p>
      <w:pPr>
        <w:spacing w:line="360" w:lineRule="auto"/>
        <w:jc w:val="center"/>
        <w:rPr>
          <w:sz w:val="52"/>
        </w:rPr>
      </w:pPr>
      <w:r>
        <w:rPr>
          <w:sz w:val="32"/>
        </w:rPr>
        <w:t>二〇二</w:t>
      </w:r>
      <w:r>
        <w:rPr>
          <w:rFonts w:hint="eastAsia"/>
          <w:sz w:val="32"/>
          <w:lang w:eastAsia="zh-CN"/>
        </w:rPr>
        <w:t>三</w:t>
      </w:r>
      <w:r>
        <w:rPr>
          <w:sz w:val="32"/>
        </w:rPr>
        <w:t>年</w:t>
      </w:r>
      <w:r>
        <w:rPr>
          <w:rFonts w:hint="eastAsia"/>
          <w:sz w:val="32"/>
          <w:lang w:eastAsia="zh-CN"/>
        </w:rPr>
        <w:t>二</w:t>
      </w:r>
      <w:r>
        <w:rPr>
          <w:sz w:val="32"/>
        </w:rPr>
        <w:t>月</w:t>
      </w:r>
    </w:p>
    <w:p>
      <w:pPr>
        <w:spacing w:line="360" w:lineRule="auto"/>
        <w:jc w:val="center"/>
        <w:rPr>
          <w:sz w:val="32"/>
        </w:rPr>
        <w:sectPr>
          <w:footerReference r:id="rId4" w:type="default"/>
          <w:pgSz w:w="11907" w:h="16840"/>
          <w:pgMar w:top="1440" w:right="1701" w:bottom="1440" w:left="1701" w:header="851" w:footer="992" w:gutter="0"/>
          <w:pgNumType w:start="1"/>
          <w:cols w:space="720" w:num="1"/>
          <w:docGrid w:linePitch="312" w:charSpace="0"/>
        </w:sectPr>
      </w:pPr>
    </w:p>
    <w:p>
      <w:pPr>
        <w:spacing w:line="360" w:lineRule="auto"/>
        <w:jc w:val="center"/>
        <w:rPr>
          <w:sz w:val="32"/>
        </w:rPr>
      </w:pPr>
      <w:r>
        <w:rPr>
          <w:sz w:val="32"/>
        </w:rPr>
        <w:t xml:space="preserve"> </w:t>
      </w:r>
    </w:p>
    <w:sdt>
      <w:sdtPr>
        <w:rPr>
          <w:rFonts w:ascii="Times New Roman" w:hAnsi="Times New Roman" w:eastAsia="宋体" w:cs="Times New Roman"/>
          <w:color w:val="auto"/>
          <w:kern w:val="2"/>
          <w:sz w:val="21"/>
          <w:szCs w:val="20"/>
          <w:highlight w:val="red"/>
          <w:lang w:val="zh-CN"/>
        </w:rPr>
        <w:id w:val="1551499472"/>
        <w:docPartObj>
          <w:docPartGallery w:val="Table of Contents"/>
          <w:docPartUnique/>
        </w:docPartObj>
      </w:sdtPr>
      <w:sdtEndPr>
        <w:rPr>
          <w:rFonts w:ascii="Times New Roman" w:hAnsi="Times New Roman" w:eastAsia="黑体" w:cs="Times New Roman"/>
          <w:color w:val="auto"/>
          <w:kern w:val="2"/>
          <w:sz w:val="21"/>
          <w:szCs w:val="20"/>
          <w:highlight w:val="red"/>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rPr>
            <w:fldChar w:fldCharType="begin"/>
          </w:r>
          <w:r>
            <w:rPr>
              <w:rFonts w:ascii="宋体" w:hAnsi="宋体"/>
            </w:rPr>
            <w:instrText xml:space="preserve"> TOC \o "1-3" \h \z \u </w:instrText>
          </w:r>
          <w:r>
            <w:rPr>
              <w:rFonts w:ascii="宋体" w:hAnsi="宋体"/>
            </w:rPr>
            <w:fldChar w:fldCharType="separate"/>
          </w:r>
          <w:r>
            <w:rPr>
              <w:rFonts w:ascii="宋体" w:hAnsi="宋体"/>
            </w:rPr>
            <w:fldChar w:fldCharType="begin"/>
          </w:r>
          <w:r>
            <w:rPr>
              <w:rFonts w:ascii="宋体" w:hAnsi="宋体"/>
            </w:rPr>
            <w:instrText xml:space="preserve"> HYPERLINK \l _Toc25393 </w:instrText>
          </w:r>
          <w:r>
            <w:rPr>
              <w:rFonts w:ascii="宋体" w:hAnsi="宋体"/>
            </w:rPr>
            <w:fldChar w:fldCharType="separate"/>
          </w:r>
          <w:r>
            <w:rPr>
              <w:rFonts w:hint="eastAsia" w:ascii="Times New Roman" w:hAnsi="Times New Roman" w:eastAsia="黑体" w:cs="Times New Roman"/>
              <w:kern w:val="2"/>
              <w:szCs w:val="36"/>
              <w:lang w:eastAsia="zh-CN"/>
            </w:rPr>
            <w:t>一</w:t>
          </w:r>
          <w:r>
            <w:rPr>
              <w:rFonts w:ascii="Times New Roman" w:hAnsi="Times New Roman" w:eastAsia="黑体" w:cs="Times New Roman"/>
              <w:kern w:val="2"/>
              <w:szCs w:val="36"/>
            </w:rPr>
            <w:t xml:space="preserve"> 发展基础</w:t>
          </w:r>
          <w:r>
            <w:tab/>
          </w:r>
          <w:r>
            <w:fldChar w:fldCharType="begin"/>
          </w:r>
          <w:r>
            <w:instrText xml:space="preserve"> PAGEREF _Toc25393 \h </w:instrText>
          </w:r>
          <w:r>
            <w:fldChar w:fldCharType="separate"/>
          </w:r>
          <w:r>
            <w:t>1</w:t>
          </w:r>
          <w:r>
            <w:fldChar w:fldCharType="end"/>
          </w:r>
          <w:r>
            <w:rPr>
              <w:rFonts w:ascii="宋体" w:hAnsi="宋体"/>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_Toc15872 </w:instrText>
          </w:r>
          <w:r>
            <w:rPr>
              <w:rFonts w:ascii="宋体" w:hAnsi="宋体"/>
              <w:lang w:val="zh-CN"/>
            </w:rPr>
            <w:fldChar w:fldCharType="separate"/>
          </w:r>
          <w:r>
            <w:rPr>
              <w:rFonts w:ascii="Times New Roman" w:hAnsi="Times New Roman" w:eastAsia="宋体" w:cs="Times New Roman"/>
              <w:szCs w:val="30"/>
            </w:rPr>
            <w:t>（一）</w:t>
          </w:r>
          <w:r>
            <w:rPr>
              <w:rFonts w:hint="eastAsia" w:ascii="Times New Roman" w:hAnsi="Times New Roman" w:eastAsia="宋体" w:cs="Times New Roman"/>
              <w:szCs w:val="30"/>
              <w:lang w:eastAsia="zh-CN"/>
            </w:rPr>
            <w:t>区位情况</w:t>
          </w:r>
          <w:r>
            <w:tab/>
          </w:r>
          <w:r>
            <w:fldChar w:fldCharType="begin"/>
          </w:r>
          <w:r>
            <w:instrText xml:space="preserve"> PAGEREF _Toc15872 \h </w:instrText>
          </w:r>
          <w:r>
            <w:fldChar w:fldCharType="separate"/>
          </w:r>
          <w:r>
            <w:t>1</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_Toc24877 </w:instrText>
          </w:r>
          <w:r>
            <w:rPr>
              <w:rFonts w:ascii="宋体" w:hAnsi="宋体"/>
              <w:lang w:val="zh-CN"/>
            </w:rPr>
            <w:fldChar w:fldCharType="separate"/>
          </w:r>
          <w:r>
            <w:rPr>
              <w:rFonts w:ascii="Times New Roman" w:hAnsi="Times New Roman" w:eastAsia="宋体" w:cs="Times New Roman"/>
              <w:szCs w:val="30"/>
            </w:rPr>
            <w:t>（二）发展现状</w:t>
          </w:r>
          <w:r>
            <w:tab/>
          </w:r>
          <w:r>
            <w:fldChar w:fldCharType="begin"/>
          </w:r>
          <w:r>
            <w:instrText xml:space="preserve"> PAGEREF _Toc24877 \h </w:instrText>
          </w:r>
          <w:r>
            <w:fldChar w:fldCharType="separate"/>
          </w:r>
          <w:r>
            <w:t>2</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_Toc1238 </w:instrText>
          </w:r>
          <w:r>
            <w:rPr>
              <w:rFonts w:ascii="宋体" w:hAnsi="宋体"/>
              <w:lang w:val="zh-CN"/>
            </w:rPr>
            <w:fldChar w:fldCharType="separate"/>
          </w:r>
          <w:r>
            <w:rPr>
              <w:rFonts w:ascii="Times New Roman" w:hAnsi="Times New Roman" w:eastAsia="宋体" w:cs="Times New Roman"/>
              <w:szCs w:val="30"/>
            </w:rPr>
            <w:t>（</w:t>
          </w:r>
          <w:r>
            <w:rPr>
              <w:rFonts w:hint="eastAsia" w:ascii="Times New Roman" w:hAnsi="Times New Roman" w:eastAsia="宋体" w:cs="Times New Roman"/>
              <w:szCs w:val="30"/>
              <w:lang w:eastAsia="zh-CN"/>
            </w:rPr>
            <w:t>三</w:t>
          </w:r>
          <w:r>
            <w:rPr>
              <w:rFonts w:ascii="Times New Roman" w:hAnsi="Times New Roman" w:eastAsia="宋体" w:cs="Times New Roman"/>
              <w:szCs w:val="30"/>
            </w:rPr>
            <w:t>）</w:t>
          </w:r>
          <w:r>
            <w:rPr>
              <w:rFonts w:hint="eastAsia" w:ascii="Times New Roman" w:hAnsi="Times New Roman" w:eastAsia="宋体" w:cs="Times New Roman"/>
              <w:szCs w:val="30"/>
              <w:lang w:eastAsia="zh-CN"/>
            </w:rPr>
            <w:t>存在问题</w:t>
          </w:r>
          <w:r>
            <w:tab/>
          </w:r>
          <w:r>
            <w:fldChar w:fldCharType="begin"/>
          </w:r>
          <w:r>
            <w:instrText xml:space="preserve"> PAGEREF _Toc1238 \h </w:instrText>
          </w:r>
          <w:r>
            <w:fldChar w:fldCharType="separate"/>
          </w:r>
          <w:r>
            <w:t>5</w:t>
          </w:r>
          <w:r>
            <w:fldChar w:fldCharType="end"/>
          </w:r>
          <w:r>
            <w:rPr>
              <w:rFonts w:ascii="宋体" w:hAnsi="宋体"/>
              <w:lang w:val="zh-CN"/>
            </w:rPr>
            <w:fldChar w:fldCharType="end"/>
          </w:r>
        </w:p>
        <w:p>
          <w:pPr>
            <w:pStyle w:val="15"/>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_Toc6111 </w:instrText>
          </w:r>
          <w:r>
            <w:rPr>
              <w:rFonts w:ascii="宋体" w:hAnsi="宋体"/>
              <w:lang w:val="zh-CN"/>
            </w:rPr>
            <w:fldChar w:fldCharType="separate"/>
          </w:r>
          <w:r>
            <w:rPr>
              <w:rFonts w:hint="eastAsia" w:ascii="Times New Roman" w:hAnsi="Times New Roman" w:eastAsia="黑体" w:cs="Times New Roman"/>
              <w:kern w:val="2"/>
              <w:szCs w:val="36"/>
              <w:lang w:eastAsia="zh-CN"/>
            </w:rPr>
            <w:t>二</w:t>
          </w:r>
          <w:r>
            <w:rPr>
              <w:rFonts w:ascii="Times New Roman" w:hAnsi="Times New Roman" w:eastAsia="黑体" w:cs="Times New Roman"/>
              <w:kern w:val="2"/>
              <w:szCs w:val="36"/>
            </w:rPr>
            <w:t xml:space="preserve"> </w:t>
          </w:r>
          <w:r>
            <w:rPr>
              <w:rFonts w:hint="eastAsia" w:ascii="Times New Roman" w:hAnsi="Times New Roman" w:eastAsia="黑体" w:cs="Times New Roman"/>
              <w:kern w:val="2"/>
              <w:szCs w:val="36"/>
              <w:lang w:eastAsia="zh-CN"/>
            </w:rPr>
            <w:t>总体要求</w:t>
          </w:r>
          <w:r>
            <w:tab/>
          </w:r>
          <w:r>
            <w:fldChar w:fldCharType="begin"/>
          </w:r>
          <w:r>
            <w:instrText xml:space="preserve"> PAGEREF _Toc6111 \h </w:instrText>
          </w:r>
          <w:r>
            <w:fldChar w:fldCharType="separate"/>
          </w:r>
          <w:r>
            <w:t>7</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_Toc19577 </w:instrText>
          </w:r>
          <w:r>
            <w:rPr>
              <w:rFonts w:ascii="宋体" w:hAnsi="宋体"/>
              <w:lang w:val="zh-CN"/>
            </w:rPr>
            <w:fldChar w:fldCharType="separate"/>
          </w:r>
          <w:r>
            <w:rPr>
              <w:rFonts w:ascii="Times New Roman" w:hAnsi="Times New Roman" w:eastAsia="宋体" w:cs="Times New Roman"/>
              <w:szCs w:val="30"/>
            </w:rPr>
            <w:t>（一）指导思想</w:t>
          </w:r>
          <w:r>
            <w:tab/>
          </w:r>
          <w:r>
            <w:fldChar w:fldCharType="begin"/>
          </w:r>
          <w:r>
            <w:instrText xml:space="preserve"> PAGEREF _Toc19577 \h </w:instrText>
          </w:r>
          <w:r>
            <w:fldChar w:fldCharType="separate"/>
          </w:r>
          <w:r>
            <w:t>7</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_Toc24413 </w:instrText>
          </w:r>
          <w:r>
            <w:rPr>
              <w:rFonts w:ascii="宋体" w:hAnsi="宋体"/>
              <w:lang w:val="zh-CN"/>
            </w:rPr>
            <w:fldChar w:fldCharType="separate"/>
          </w:r>
          <w:r>
            <w:rPr>
              <w:rFonts w:ascii="Times New Roman" w:hAnsi="Times New Roman" w:eastAsia="宋体" w:cs="Times New Roman"/>
              <w:szCs w:val="30"/>
            </w:rPr>
            <w:t>（二）基本原则</w:t>
          </w:r>
          <w:r>
            <w:tab/>
          </w:r>
          <w:r>
            <w:fldChar w:fldCharType="begin"/>
          </w:r>
          <w:r>
            <w:instrText xml:space="preserve"> PAGEREF _Toc24413 \h </w:instrText>
          </w:r>
          <w:r>
            <w:fldChar w:fldCharType="separate"/>
          </w:r>
          <w:r>
            <w:t>7</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_Toc30407 </w:instrText>
          </w:r>
          <w:r>
            <w:rPr>
              <w:rFonts w:ascii="宋体" w:hAnsi="宋体"/>
              <w:lang w:val="zh-CN"/>
            </w:rPr>
            <w:fldChar w:fldCharType="separate"/>
          </w:r>
          <w:r>
            <w:rPr>
              <w:rFonts w:ascii="Times New Roman" w:hAnsi="Times New Roman" w:eastAsia="宋体" w:cs="Times New Roman"/>
              <w:szCs w:val="30"/>
            </w:rPr>
            <w:t>（</w:t>
          </w:r>
          <w:r>
            <w:rPr>
              <w:rFonts w:hint="eastAsia" w:ascii="Times New Roman" w:hAnsi="Times New Roman" w:eastAsia="宋体" w:cs="Times New Roman"/>
              <w:szCs w:val="30"/>
              <w:lang w:eastAsia="zh-CN"/>
            </w:rPr>
            <w:t>三</w:t>
          </w:r>
          <w:r>
            <w:rPr>
              <w:rFonts w:ascii="Times New Roman" w:hAnsi="Times New Roman" w:eastAsia="宋体" w:cs="Times New Roman"/>
              <w:szCs w:val="30"/>
            </w:rPr>
            <w:t>）</w:t>
          </w:r>
          <w:r>
            <w:rPr>
              <w:rFonts w:hint="eastAsia" w:ascii="Times New Roman" w:hAnsi="Times New Roman" w:eastAsia="宋体" w:cs="Times New Roman"/>
              <w:szCs w:val="30"/>
              <w:lang w:eastAsia="zh-CN"/>
            </w:rPr>
            <w:t>发展目标</w:t>
          </w:r>
          <w:r>
            <w:tab/>
          </w:r>
          <w:r>
            <w:fldChar w:fldCharType="begin"/>
          </w:r>
          <w:r>
            <w:instrText xml:space="preserve"> PAGEREF _Toc30407 \h </w:instrText>
          </w:r>
          <w:r>
            <w:fldChar w:fldCharType="separate"/>
          </w:r>
          <w:r>
            <w:t>8</w:t>
          </w:r>
          <w:r>
            <w:fldChar w:fldCharType="end"/>
          </w:r>
          <w:r>
            <w:rPr>
              <w:rFonts w:ascii="宋体" w:hAnsi="宋体"/>
              <w:lang w:val="zh-CN"/>
            </w:rPr>
            <w:fldChar w:fldCharType="end"/>
          </w:r>
        </w:p>
        <w:p>
          <w:pPr>
            <w:pStyle w:val="15"/>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_Toc10603 </w:instrText>
          </w:r>
          <w:r>
            <w:rPr>
              <w:rFonts w:ascii="宋体" w:hAnsi="宋体"/>
              <w:lang w:val="zh-CN"/>
            </w:rPr>
            <w:fldChar w:fldCharType="separate"/>
          </w:r>
          <w:r>
            <w:rPr>
              <w:rFonts w:hint="eastAsia" w:ascii="Times New Roman" w:hAnsi="Times New Roman" w:eastAsia="黑体" w:cs="Times New Roman"/>
              <w:kern w:val="2"/>
              <w:szCs w:val="36"/>
              <w:lang w:eastAsia="zh-CN"/>
            </w:rPr>
            <w:t>三</w:t>
          </w:r>
          <w:r>
            <w:rPr>
              <w:rFonts w:ascii="Times New Roman" w:hAnsi="Times New Roman" w:eastAsia="黑体" w:cs="Times New Roman"/>
              <w:kern w:val="2"/>
              <w:szCs w:val="36"/>
            </w:rPr>
            <w:t xml:space="preserve"> </w:t>
          </w:r>
          <w:r>
            <w:rPr>
              <w:rFonts w:hint="eastAsia" w:ascii="Times New Roman" w:hAnsi="Times New Roman" w:eastAsia="黑体" w:cs="Times New Roman"/>
              <w:kern w:val="2"/>
              <w:szCs w:val="36"/>
              <w:lang w:eastAsia="zh-CN"/>
            </w:rPr>
            <w:t>主要</w:t>
          </w:r>
          <w:r>
            <w:rPr>
              <w:rFonts w:ascii="Times New Roman" w:hAnsi="Times New Roman" w:eastAsia="黑体" w:cs="Times New Roman"/>
              <w:kern w:val="2"/>
              <w:szCs w:val="36"/>
            </w:rPr>
            <w:t>任务</w:t>
          </w:r>
          <w:r>
            <w:tab/>
          </w:r>
          <w:r>
            <w:fldChar w:fldCharType="begin"/>
          </w:r>
          <w:r>
            <w:instrText xml:space="preserve"> PAGEREF _Toc10603 \h </w:instrText>
          </w:r>
          <w:r>
            <w:fldChar w:fldCharType="separate"/>
          </w:r>
          <w:r>
            <w:t>11</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_Toc2639 </w:instrText>
          </w:r>
          <w:r>
            <w:rPr>
              <w:rFonts w:ascii="宋体" w:hAnsi="宋体"/>
              <w:lang w:val="zh-CN"/>
            </w:rPr>
            <w:fldChar w:fldCharType="separate"/>
          </w:r>
          <w:r>
            <w:rPr>
              <w:rFonts w:hint="eastAsia" w:ascii="宋体" w:hAnsi="宋体" w:eastAsia="宋体" w:cs="宋体"/>
              <w:szCs w:val="28"/>
            </w:rPr>
            <w:t>（一）优化充电设施建设布局</w:t>
          </w:r>
          <w:r>
            <w:tab/>
          </w:r>
          <w:r>
            <w:fldChar w:fldCharType="begin"/>
          </w:r>
          <w:r>
            <w:instrText xml:space="preserve"> PAGEREF _Toc2639 \h </w:instrText>
          </w:r>
          <w:r>
            <w:fldChar w:fldCharType="separate"/>
          </w:r>
          <w:r>
            <w:t>11</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_Toc23293 </w:instrText>
          </w:r>
          <w:r>
            <w:rPr>
              <w:rFonts w:ascii="宋体" w:hAnsi="宋体"/>
              <w:lang w:val="zh-CN"/>
            </w:rPr>
            <w:fldChar w:fldCharType="separate"/>
          </w:r>
          <w:r>
            <w:rPr>
              <w:rFonts w:ascii="Times New Roman" w:hAnsi="Times New Roman" w:eastAsia="宋体" w:cs="Times New Roman"/>
              <w:szCs w:val="30"/>
            </w:rPr>
            <w:t>（</w:t>
          </w:r>
          <w:r>
            <w:rPr>
              <w:rFonts w:hint="eastAsia" w:ascii="Times New Roman" w:hAnsi="Times New Roman" w:eastAsia="宋体" w:cs="Times New Roman"/>
              <w:szCs w:val="30"/>
            </w:rPr>
            <w:t>二</w:t>
          </w:r>
          <w:r>
            <w:rPr>
              <w:rFonts w:ascii="Times New Roman" w:hAnsi="Times New Roman" w:eastAsia="宋体" w:cs="Times New Roman"/>
              <w:szCs w:val="30"/>
            </w:rPr>
            <w:t>）</w:t>
          </w:r>
          <w:r>
            <w:rPr>
              <w:rFonts w:hint="eastAsia" w:ascii="Times New Roman" w:hAnsi="Times New Roman" w:eastAsia="宋体" w:cs="Times New Roman"/>
              <w:szCs w:val="30"/>
            </w:rPr>
            <w:t>加快推进</w:t>
          </w:r>
          <w:r>
            <w:rPr>
              <w:rFonts w:ascii="Times New Roman" w:hAnsi="Times New Roman" w:eastAsia="宋体" w:cs="Times New Roman"/>
              <w:szCs w:val="30"/>
            </w:rPr>
            <w:t>重点</w:t>
          </w:r>
          <w:r>
            <w:rPr>
              <w:rFonts w:hint="eastAsia" w:ascii="Times New Roman" w:hAnsi="Times New Roman" w:eastAsia="宋体" w:cs="Times New Roman"/>
              <w:szCs w:val="30"/>
            </w:rPr>
            <w:t>示范</w:t>
          </w:r>
          <w:r>
            <w:rPr>
              <w:rFonts w:ascii="Times New Roman" w:hAnsi="Times New Roman" w:eastAsia="宋体" w:cs="Times New Roman"/>
              <w:szCs w:val="30"/>
            </w:rPr>
            <w:t>项目</w:t>
          </w:r>
          <w:r>
            <w:tab/>
          </w:r>
          <w:r>
            <w:fldChar w:fldCharType="begin"/>
          </w:r>
          <w:r>
            <w:instrText xml:space="preserve"> PAGEREF _Toc23293 \h </w:instrText>
          </w:r>
          <w:r>
            <w:fldChar w:fldCharType="separate"/>
          </w:r>
          <w:r>
            <w:t>11</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_Toc32464 </w:instrText>
          </w:r>
          <w:r>
            <w:rPr>
              <w:rFonts w:ascii="宋体" w:hAnsi="宋体"/>
              <w:lang w:val="zh-CN"/>
            </w:rPr>
            <w:fldChar w:fldCharType="separate"/>
          </w:r>
          <w:r>
            <w:rPr>
              <w:rFonts w:hint="eastAsia" w:ascii="宋体" w:hAnsi="宋体"/>
              <w:lang w:val="zh-CN"/>
            </w:rPr>
            <w:t>（三）</w:t>
          </w:r>
          <w:r>
            <w:rPr>
              <w:rFonts w:ascii="宋体" w:hAnsi="宋体"/>
              <w:lang w:val="zh-CN"/>
            </w:rPr>
            <w:t>推进居民自用充电设施建设</w:t>
          </w:r>
          <w:r>
            <w:rPr>
              <w:rFonts w:ascii="宋体" w:hAnsi="宋体"/>
              <w:lang w:val="zh-CN"/>
            </w:rPr>
            <w:tab/>
          </w:r>
          <w:r>
            <w:rPr>
              <w:rFonts w:ascii="宋体" w:hAnsi="宋体"/>
              <w:lang w:val="zh-CN"/>
            </w:rPr>
            <w:fldChar w:fldCharType="begin"/>
          </w:r>
          <w:r>
            <w:rPr>
              <w:rFonts w:ascii="宋体" w:hAnsi="宋体"/>
              <w:lang w:val="zh-CN"/>
            </w:rPr>
            <w:instrText xml:space="preserve"> PAGEREF _Toc32464 \h </w:instrText>
          </w:r>
          <w:r>
            <w:rPr>
              <w:rFonts w:ascii="宋体" w:hAnsi="宋体"/>
              <w:lang w:val="zh-CN"/>
            </w:rPr>
            <w:fldChar w:fldCharType="separate"/>
          </w:r>
          <w:r>
            <w:rPr>
              <w:rFonts w:ascii="宋体" w:hAnsi="宋体"/>
              <w:lang w:val="zh-CN"/>
            </w:rPr>
            <w:t>16</w:t>
          </w:r>
          <w:r>
            <w:rPr>
              <w:rFonts w:ascii="宋体" w:hAnsi="宋体"/>
              <w:lang w:val="zh-CN"/>
            </w:rP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_Toc16876 </w:instrText>
          </w:r>
          <w:r>
            <w:rPr>
              <w:rFonts w:ascii="宋体" w:hAnsi="宋体"/>
              <w:lang w:val="zh-CN"/>
            </w:rPr>
            <w:fldChar w:fldCharType="separate"/>
          </w:r>
          <w:r>
            <w:rPr>
              <w:rFonts w:hint="eastAsia" w:ascii="宋体" w:hAnsi="宋体"/>
              <w:lang w:val="zh-CN"/>
            </w:rPr>
            <w:t>（四）加强充电设施运维和网络服务</w:t>
          </w:r>
          <w:r>
            <w:rPr>
              <w:rFonts w:ascii="宋体" w:hAnsi="宋体"/>
              <w:lang w:val="zh-CN"/>
            </w:rPr>
            <w:tab/>
          </w:r>
          <w:r>
            <w:rPr>
              <w:rFonts w:ascii="宋体" w:hAnsi="宋体"/>
              <w:lang w:val="zh-CN"/>
            </w:rPr>
            <w:fldChar w:fldCharType="begin"/>
          </w:r>
          <w:r>
            <w:rPr>
              <w:rFonts w:ascii="宋体" w:hAnsi="宋体"/>
              <w:lang w:val="zh-CN"/>
            </w:rPr>
            <w:instrText xml:space="preserve"> PAGEREF _Toc16876 \h </w:instrText>
          </w:r>
          <w:r>
            <w:rPr>
              <w:rFonts w:ascii="宋体" w:hAnsi="宋体"/>
              <w:lang w:val="zh-CN"/>
            </w:rPr>
            <w:fldChar w:fldCharType="separate"/>
          </w:r>
          <w:r>
            <w:rPr>
              <w:rFonts w:ascii="宋体" w:hAnsi="宋体"/>
              <w:lang w:val="zh-CN"/>
            </w:rPr>
            <w:t>16</w:t>
          </w:r>
          <w:r>
            <w:rPr>
              <w:rFonts w:ascii="宋体" w:hAnsi="宋体"/>
              <w:lang w:val="zh-CN"/>
            </w:rPr>
            <w:fldChar w:fldCharType="end"/>
          </w:r>
          <w:r>
            <w:rPr>
              <w:rFonts w:ascii="宋体" w:hAnsi="宋体"/>
              <w:lang w:val="zh-CN"/>
            </w:rPr>
            <w:fldChar w:fldCharType="end"/>
          </w:r>
        </w:p>
        <w:p>
          <w:pPr>
            <w:pStyle w:val="15"/>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_Toc23625 </w:instrText>
          </w:r>
          <w:r>
            <w:rPr>
              <w:rFonts w:ascii="宋体" w:hAnsi="宋体"/>
              <w:lang w:val="zh-CN"/>
            </w:rPr>
            <w:fldChar w:fldCharType="separate"/>
          </w:r>
          <w:r>
            <w:rPr>
              <w:rFonts w:hint="eastAsia" w:ascii="Times New Roman" w:hAnsi="Times New Roman" w:eastAsia="黑体" w:cs="Times New Roman"/>
              <w:kern w:val="2"/>
              <w:szCs w:val="36"/>
              <w:lang w:eastAsia="zh-CN"/>
            </w:rPr>
            <w:t>四</w:t>
          </w:r>
          <w:r>
            <w:rPr>
              <w:rFonts w:hint="eastAsia" w:ascii="Times New Roman" w:hAnsi="Times New Roman" w:eastAsia="黑体" w:cs="Times New Roman"/>
              <w:kern w:val="2"/>
              <w:szCs w:val="36"/>
            </w:rPr>
            <w:t xml:space="preserve"> 安全规范</w:t>
          </w:r>
          <w:r>
            <w:tab/>
          </w:r>
          <w:r>
            <w:fldChar w:fldCharType="begin"/>
          </w:r>
          <w:r>
            <w:instrText xml:space="preserve"> PAGEREF _Toc23625 \h </w:instrText>
          </w:r>
          <w:r>
            <w:fldChar w:fldCharType="separate"/>
          </w:r>
          <w:r>
            <w:t>18</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_Toc21457 </w:instrText>
          </w:r>
          <w:r>
            <w:rPr>
              <w:rFonts w:ascii="宋体" w:hAnsi="宋体"/>
              <w:lang w:val="zh-CN"/>
            </w:rPr>
            <w:fldChar w:fldCharType="separate"/>
          </w:r>
          <w:r>
            <w:rPr>
              <w:rFonts w:hint="eastAsia" w:ascii="宋体" w:hAnsi="宋体"/>
              <w:lang w:val="zh-CN"/>
            </w:rPr>
            <w:t>（</w:t>
          </w:r>
          <w:r>
            <w:rPr>
              <w:rFonts w:hint="eastAsia" w:ascii="宋体" w:hAnsi="宋体"/>
              <w:lang w:val="zh-CN" w:eastAsia="zh-CN"/>
            </w:rPr>
            <w:t>一</w:t>
          </w:r>
          <w:r>
            <w:rPr>
              <w:rFonts w:hint="eastAsia" w:ascii="宋体" w:hAnsi="宋体"/>
              <w:lang w:val="zh-CN"/>
            </w:rPr>
            <w:t>）充电站站址选择</w:t>
          </w:r>
          <w:r>
            <w:rPr>
              <w:rFonts w:ascii="宋体" w:hAnsi="宋体"/>
              <w:lang w:val="zh-CN"/>
            </w:rPr>
            <w:tab/>
          </w:r>
          <w:r>
            <w:rPr>
              <w:rFonts w:ascii="宋体" w:hAnsi="宋体"/>
              <w:lang w:val="zh-CN"/>
            </w:rPr>
            <w:fldChar w:fldCharType="begin"/>
          </w:r>
          <w:r>
            <w:rPr>
              <w:rFonts w:ascii="宋体" w:hAnsi="宋体"/>
              <w:lang w:val="zh-CN"/>
            </w:rPr>
            <w:instrText xml:space="preserve"> PAGEREF _Toc21457 \h </w:instrText>
          </w:r>
          <w:r>
            <w:rPr>
              <w:rFonts w:ascii="宋体" w:hAnsi="宋体"/>
              <w:lang w:val="zh-CN"/>
            </w:rPr>
            <w:fldChar w:fldCharType="separate"/>
          </w:r>
          <w:r>
            <w:rPr>
              <w:rFonts w:ascii="宋体" w:hAnsi="宋体"/>
              <w:lang w:val="zh-CN"/>
            </w:rPr>
            <w:t>18</w:t>
          </w:r>
          <w:r>
            <w:rPr>
              <w:rFonts w:ascii="宋体" w:hAnsi="宋体"/>
              <w:lang w:val="zh-CN"/>
            </w:rP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_Toc1103 </w:instrText>
          </w:r>
          <w:r>
            <w:rPr>
              <w:rFonts w:ascii="宋体" w:hAnsi="宋体"/>
              <w:lang w:val="zh-CN"/>
            </w:rPr>
            <w:fldChar w:fldCharType="separate"/>
          </w:r>
          <w:r>
            <w:rPr>
              <w:rFonts w:hint="eastAsia" w:ascii="宋体" w:hAnsi="宋体"/>
              <w:lang w:val="zh-CN"/>
            </w:rPr>
            <w:t>（</w:t>
          </w:r>
          <w:r>
            <w:rPr>
              <w:rFonts w:hint="eastAsia" w:ascii="宋体" w:hAnsi="宋体"/>
              <w:lang w:val="zh-CN" w:eastAsia="zh-CN"/>
            </w:rPr>
            <w:t>二</w:t>
          </w:r>
          <w:r>
            <w:rPr>
              <w:rFonts w:hint="eastAsia" w:ascii="宋体" w:hAnsi="宋体"/>
              <w:lang w:val="zh-CN"/>
            </w:rPr>
            <w:t>）充电站建设平面布置规定</w:t>
          </w:r>
          <w:r>
            <w:rPr>
              <w:rFonts w:ascii="宋体" w:hAnsi="宋体"/>
              <w:lang w:val="zh-CN"/>
            </w:rPr>
            <w:tab/>
          </w:r>
          <w:r>
            <w:rPr>
              <w:rFonts w:ascii="宋体" w:hAnsi="宋体"/>
              <w:lang w:val="zh-CN"/>
            </w:rPr>
            <w:fldChar w:fldCharType="begin"/>
          </w:r>
          <w:r>
            <w:rPr>
              <w:rFonts w:ascii="宋体" w:hAnsi="宋体"/>
              <w:lang w:val="zh-CN"/>
            </w:rPr>
            <w:instrText xml:space="preserve"> PAGEREF _Toc1103 \h </w:instrText>
          </w:r>
          <w:r>
            <w:rPr>
              <w:rFonts w:ascii="宋体" w:hAnsi="宋体"/>
              <w:lang w:val="zh-CN"/>
            </w:rPr>
            <w:fldChar w:fldCharType="separate"/>
          </w:r>
          <w:r>
            <w:rPr>
              <w:rFonts w:ascii="宋体" w:hAnsi="宋体"/>
              <w:lang w:val="zh-CN"/>
            </w:rPr>
            <w:t>19</w:t>
          </w:r>
          <w:r>
            <w:rPr>
              <w:rFonts w:ascii="宋体" w:hAnsi="宋体"/>
              <w:lang w:val="zh-CN"/>
            </w:rP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_Toc11458 </w:instrText>
          </w:r>
          <w:r>
            <w:rPr>
              <w:rFonts w:ascii="宋体" w:hAnsi="宋体"/>
              <w:lang w:val="zh-CN"/>
            </w:rPr>
            <w:fldChar w:fldCharType="separate"/>
          </w:r>
          <w:r>
            <w:rPr>
              <w:rFonts w:hint="eastAsia" w:ascii="宋体" w:hAnsi="宋体"/>
              <w:lang w:val="zh-CN"/>
            </w:rPr>
            <w:t>（</w:t>
          </w:r>
          <w:r>
            <w:rPr>
              <w:rFonts w:hint="eastAsia" w:ascii="宋体" w:hAnsi="宋体"/>
              <w:lang w:val="zh-CN" w:eastAsia="zh-CN"/>
            </w:rPr>
            <w:t>三</w:t>
          </w:r>
          <w:r>
            <w:rPr>
              <w:rFonts w:hint="eastAsia" w:ascii="宋体" w:hAnsi="宋体"/>
              <w:lang w:val="zh-CN"/>
            </w:rPr>
            <w:t>）充电桩及建筑布置相关规定</w:t>
          </w:r>
          <w:r>
            <w:rPr>
              <w:rFonts w:ascii="宋体" w:hAnsi="宋体"/>
              <w:lang w:val="zh-CN"/>
            </w:rPr>
            <w:tab/>
          </w:r>
          <w:r>
            <w:rPr>
              <w:rFonts w:ascii="宋体" w:hAnsi="宋体"/>
              <w:lang w:val="zh-CN"/>
            </w:rPr>
            <w:fldChar w:fldCharType="begin"/>
          </w:r>
          <w:r>
            <w:rPr>
              <w:rFonts w:ascii="宋体" w:hAnsi="宋体"/>
              <w:lang w:val="zh-CN"/>
            </w:rPr>
            <w:instrText xml:space="preserve"> PAGEREF _Toc11458 \h </w:instrText>
          </w:r>
          <w:r>
            <w:rPr>
              <w:rFonts w:ascii="宋体" w:hAnsi="宋体"/>
              <w:lang w:val="zh-CN"/>
            </w:rPr>
            <w:fldChar w:fldCharType="separate"/>
          </w:r>
          <w:r>
            <w:rPr>
              <w:rFonts w:ascii="宋体" w:hAnsi="宋体"/>
              <w:lang w:val="zh-CN"/>
            </w:rPr>
            <w:t>19</w:t>
          </w:r>
          <w:r>
            <w:rPr>
              <w:rFonts w:ascii="宋体" w:hAnsi="宋体"/>
              <w:lang w:val="zh-CN"/>
            </w:rP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_Toc18449 </w:instrText>
          </w:r>
          <w:r>
            <w:rPr>
              <w:rFonts w:ascii="宋体" w:hAnsi="宋体"/>
              <w:lang w:val="zh-CN"/>
            </w:rPr>
            <w:fldChar w:fldCharType="separate"/>
          </w:r>
          <w:r>
            <w:rPr>
              <w:rFonts w:hint="eastAsia" w:ascii="宋体" w:hAnsi="宋体"/>
              <w:lang w:val="zh-CN"/>
            </w:rPr>
            <w:t>（</w:t>
          </w:r>
          <w:r>
            <w:rPr>
              <w:rFonts w:hint="eastAsia" w:ascii="宋体" w:hAnsi="宋体"/>
              <w:lang w:val="zh-CN" w:eastAsia="zh-CN"/>
            </w:rPr>
            <w:t>四</w:t>
          </w:r>
          <w:r>
            <w:rPr>
              <w:rFonts w:hint="eastAsia" w:ascii="宋体" w:hAnsi="宋体"/>
              <w:lang w:val="zh-CN"/>
            </w:rPr>
            <w:t>）道路相关规范</w:t>
          </w:r>
          <w:r>
            <w:rPr>
              <w:rFonts w:ascii="宋体" w:hAnsi="宋体"/>
              <w:lang w:val="zh-CN"/>
            </w:rPr>
            <w:tab/>
          </w:r>
          <w:r>
            <w:rPr>
              <w:rFonts w:ascii="宋体" w:hAnsi="宋体"/>
              <w:lang w:val="zh-CN"/>
            </w:rPr>
            <w:fldChar w:fldCharType="begin"/>
          </w:r>
          <w:r>
            <w:rPr>
              <w:rFonts w:ascii="宋体" w:hAnsi="宋体"/>
              <w:lang w:val="zh-CN"/>
            </w:rPr>
            <w:instrText xml:space="preserve"> PAGEREF _Toc18449 \h </w:instrText>
          </w:r>
          <w:r>
            <w:rPr>
              <w:rFonts w:ascii="宋体" w:hAnsi="宋体"/>
              <w:lang w:val="zh-CN"/>
            </w:rPr>
            <w:fldChar w:fldCharType="separate"/>
          </w:r>
          <w:r>
            <w:rPr>
              <w:rFonts w:ascii="宋体" w:hAnsi="宋体"/>
              <w:lang w:val="zh-CN"/>
            </w:rPr>
            <w:t>20</w:t>
          </w:r>
          <w:r>
            <w:rPr>
              <w:rFonts w:ascii="宋体" w:hAnsi="宋体"/>
              <w:lang w:val="zh-CN"/>
            </w:rP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_Toc12511 </w:instrText>
          </w:r>
          <w:r>
            <w:rPr>
              <w:rFonts w:ascii="宋体" w:hAnsi="宋体"/>
              <w:lang w:val="zh-CN"/>
            </w:rPr>
            <w:fldChar w:fldCharType="separate"/>
          </w:r>
          <w:r>
            <w:rPr>
              <w:rFonts w:hint="eastAsia" w:ascii="宋体" w:hAnsi="宋体"/>
              <w:lang w:val="zh-CN"/>
            </w:rPr>
            <w:t>（</w:t>
          </w:r>
          <w:r>
            <w:rPr>
              <w:rFonts w:hint="eastAsia" w:ascii="宋体" w:hAnsi="宋体"/>
              <w:lang w:val="zh-CN" w:eastAsia="zh-CN"/>
            </w:rPr>
            <w:t>五</w:t>
          </w:r>
          <w:r>
            <w:rPr>
              <w:rFonts w:hint="eastAsia" w:ascii="宋体" w:hAnsi="宋体"/>
              <w:lang w:val="zh-CN"/>
            </w:rPr>
            <w:t>）供配电系统</w:t>
          </w:r>
          <w:r>
            <w:rPr>
              <w:rFonts w:ascii="宋体" w:hAnsi="宋体"/>
              <w:lang w:val="zh-CN"/>
            </w:rPr>
            <w:tab/>
          </w:r>
          <w:r>
            <w:rPr>
              <w:rFonts w:ascii="宋体" w:hAnsi="宋体"/>
              <w:lang w:val="zh-CN"/>
            </w:rPr>
            <w:fldChar w:fldCharType="begin"/>
          </w:r>
          <w:r>
            <w:rPr>
              <w:rFonts w:ascii="宋体" w:hAnsi="宋体"/>
              <w:lang w:val="zh-CN"/>
            </w:rPr>
            <w:instrText xml:space="preserve"> PAGEREF _Toc12511 \h </w:instrText>
          </w:r>
          <w:r>
            <w:rPr>
              <w:rFonts w:ascii="宋体" w:hAnsi="宋体"/>
              <w:lang w:val="zh-CN"/>
            </w:rPr>
            <w:fldChar w:fldCharType="separate"/>
          </w:r>
          <w:r>
            <w:rPr>
              <w:rFonts w:ascii="宋体" w:hAnsi="宋体"/>
              <w:lang w:val="zh-CN"/>
            </w:rPr>
            <w:t>21</w:t>
          </w:r>
          <w:r>
            <w:rPr>
              <w:rFonts w:ascii="宋体" w:hAnsi="宋体"/>
              <w:lang w:val="zh-CN"/>
            </w:rP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rPr>
              <w:rFonts w:ascii="宋体" w:hAnsi="宋体"/>
              <w:lang w:val="zh-CN"/>
            </w:rPr>
          </w:pPr>
          <w:r>
            <w:rPr>
              <w:rFonts w:ascii="宋体" w:hAnsi="宋体"/>
              <w:lang w:val="zh-CN"/>
            </w:rPr>
            <w:fldChar w:fldCharType="begin"/>
          </w:r>
          <w:r>
            <w:rPr>
              <w:rFonts w:ascii="宋体" w:hAnsi="宋体"/>
              <w:lang w:val="zh-CN"/>
            </w:rPr>
            <w:instrText xml:space="preserve"> HYPERLINK \l _Toc7216 </w:instrText>
          </w:r>
          <w:r>
            <w:rPr>
              <w:rFonts w:ascii="宋体" w:hAnsi="宋体"/>
              <w:lang w:val="zh-CN"/>
            </w:rPr>
            <w:fldChar w:fldCharType="separate"/>
          </w:r>
          <w:r>
            <w:rPr>
              <w:rFonts w:hint="eastAsia" w:ascii="宋体" w:hAnsi="宋体"/>
              <w:lang w:val="zh-CN"/>
            </w:rPr>
            <w:t>（</w:t>
          </w:r>
          <w:r>
            <w:rPr>
              <w:rFonts w:hint="eastAsia" w:ascii="宋体" w:hAnsi="宋体"/>
              <w:lang w:val="zh-CN" w:eastAsia="zh-CN"/>
            </w:rPr>
            <w:t>六</w:t>
          </w:r>
          <w:r>
            <w:rPr>
              <w:rFonts w:hint="eastAsia" w:ascii="宋体" w:hAnsi="宋体"/>
              <w:lang w:val="zh-CN"/>
            </w:rPr>
            <w:t>）消防给水和灭火设施</w:t>
          </w:r>
          <w:r>
            <w:rPr>
              <w:rFonts w:ascii="宋体" w:hAnsi="宋体"/>
              <w:lang w:val="zh-CN"/>
            </w:rPr>
            <w:tab/>
          </w:r>
          <w:r>
            <w:rPr>
              <w:rFonts w:ascii="宋体" w:hAnsi="宋体"/>
              <w:lang w:val="zh-CN"/>
            </w:rPr>
            <w:fldChar w:fldCharType="begin"/>
          </w:r>
          <w:r>
            <w:rPr>
              <w:rFonts w:ascii="宋体" w:hAnsi="宋体"/>
              <w:lang w:val="zh-CN"/>
            </w:rPr>
            <w:instrText xml:space="preserve"> PAGEREF _Toc7216 \h </w:instrText>
          </w:r>
          <w:r>
            <w:rPr>
              <w:rFonts w:ascii="宋体" w:hAnsi="宋体"/>
              <w:lang w:val="zh-CN"/>
            </w:rPr>
            <w:fldChar w:fldCharType="separate"/>
          </w:r>
          <w:r>
            <w:rPr>
              <w:rFonts w:ascii="宋体" w:hAnsi="宋体"/>
              <w:lang w:val="zh-CN"/>
            </w:rPr>
            <w:t>22</w:t>
          </w:r>
          <w:r>
            <w:rPr>
              <w:rFonts w:ascii="宋体" w:hAnsi="宋体"/>
              <w:lang w:val="zh-CN"/>
            </w:rPr>
            <w:fldChar w:fldCharType="end"/>
          </w:r>
          <w:r>
            <w:rPr>
              <w:rFonts w:ascii="宋体" w:hAnsi="宋体"/>
              <w:lang w:val="zh-CN"/>
            </w:rPr>
            <w:fldChar w:fldCharType="end"/>
          </w:r>
        </w:p>
        <w:p>
          <w:pPr>
            <w:pStyle w:val="15"/>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_Toc10048 </w:instrText>
          </w:r>
          <w:r>
            <w:rPr>
              <w:rFonts w:ascii="宋体" w:hAnsi="宋体"/>
              <w:lang w:val="zh-CN"/>
            </w:rPr>
            <w:fldChar w:fldCharType="separate"/>
          </w:r>
          <w:r>
            <w:rPr>
              <w:rFonts w:hint="eastAsia" w:ascii="Times New Roman" w:hAnsi="Times New Roman" w:eastAsia="黑体" w:cs="Times New Roman"/>
              <w:kern w:val="2"/>
              <w:szCs w:val="36"/>
              <w:lang w:eastAsia="zh-CN"/>
            </w:rPr>
            <w:t>五</w:t>
          </w:r>
          <w:r>
            <w:rPr>
              <w:rFonts w:ascii="Times New Roman" w:hAnsi="Times New Roman" w:eastAsia="黑体" w:cs="Times New Roman"/>
              <w:kern w:val="2"/>
              <w:szCs w:val="36"/>
            </w:rPr>
            <w:t xml:space="preserve"> 保障措施</w:t>
          </w:r>
          <w:r>
            <w:tab/>
          </w:r>
          <w:r>
            <w:fldChar w:fldCharType="begin"/>
          </w:r>
          <w:r>
            <w:instrText xml:space="preserve"> PAGEREF _Toc10048 \h </w:instrText>
          </w:r>
          <w:r>
            <w:fldChar w:fldCharType="separate"/>
          </w:r>
          <w:r>
            <w:t>24</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_Toc9336 </w:instrText>
          </w:r>
          <w:r>
            <w:rPr>
              <w:rFonts w:ascii="宋体" w:hAnsi="宋体"/>
              <w:lang w:val="zh-CN"/>
            </w:rPr>
            <w:fldChar w:fldCharType="separate"/>
          </w:r>
          <w:r>
            <w:rPr>
              <w:rFonts w:ascii="Times New Roman" w:hAnsi="Times New Roman" w:eastAsia="宋体" w:cs="Times New Roman"/>
              <w:szCs w:val="30"/>
            </w:rPr>
            <w:t>（一）加强规划落地</w:t>
          </w:r>
          <w:r>
            <w:tab/>
          </w:r>
          <w:r>
            <w:fldChar w:fldCharType="begin"/>
          </w:r>
          <w:r>
            <w:instrText xml:space="preserve"> PAGEREF _Toc9336 \h </w:instrText>
          </w:r>
          <w:r>
            <w:fldChar w:fldCharType="separate"/>
          </w:r>
          <w:r>
            <w:t>24</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_Toc329 </w:instrText>
          </w:r>
          <w:r>
            <w:rPr>
              <w:rFonts w:ascii="宋体" w:hAnsi="宋体"/>
              <w:lang w:val="zh-CN"/>
            </w:rPr>
            <w:fldChar w:fldCharType="separate"/>
          </w:r>
          <w:r>
            <w:rPr>
              <w:rFonts w:ascii="Times New Roman" w:hAnsi="Times New Roman" w:eastAsia="宋体" w:cs="Times New Roman"/>
              <w:szCs w:val="30"/>
            </w:rPr>
            <w:t>（二）加大用地支持力度</w:t>
          </w:r>
          <w:r>
            <w:tab/>
          </w:r>
          <w:r>
            <w:fldChar w:fldCharType="begin"/>
          </w:r>
          <w:r>
            <w:instrText xml:space="preserve"> PAGEREF _Toc329 \h </w:instrText>
          </w:r>
          <w:r>
            <w:fldChar w:fldCharType="separate"/>
          </w:r>
          <w:r>
            <w:t>24</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_Toc7774 </w:instrText>
          </w:r>
          <w:r>
            <w:rPr>
              <w:rFonts w:ascii="宋体" w:hAnsi="宋体"/>
              <w:lang w:val="zh-CN"/>
            </w:rPr>
            <w:fldChar w:fldCharType="separate"/>
          </w:r>
          <w:r>
            <w:rPr>
              <w:rFonts w:ascii="Times New Roman" w:hAnsi="Times New Roman" w:eastAsia="宋体" w:cs="Times New Roman"/>
              <w:szCs w:val="30"/>
            </w:rPr>
            <w:t>（三）简化规划审批</w:t>
          </w:r>
          <w:r>
            <w:tab/>
          </w:r>
          <w:r>
            <w:fldChar w:fldCharType="begin"/>
          </w:r>
          <w:r>
            <w:instrText xml:space="preserve"> PAGEREF _Toc7774 \h </w:instrText>
          </w:r>
          <w:r>
            <w:fldChar w:fldCharType="separate"/>
          </w:r>
          <w:r>
            <w:t>24</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_Toc22961 </w:instrText>
          </w:r>
          <w:r>
            <w:rPr>
              <w:rFonts w:ascii="宋体" w:hAnsi="宋体"/>
              <w:lang w:val="zh-CN"/>
            </w:rPr>
            <w:fldChar w:fldCharType="separate"/>
          </w:r>
          <w:r>
            <w:rPr>
              <w:rFonts w:ascii="Times New Roman" w:hAnsi="Times New Roman" w:eastAsia="宋体" w:cs="Times New Roman"/>
              <w:szCs w:val="30"/>
            </w:rPr>
            <w:t>（四）完善财政价格政策</w:t>
          </w:r>
          <w:r>
            <w:tab/>
          </w:r>
          <w:r>
            <w:fldChar w:fldCharType="begin"/>
          </w:r>
          <w:r>
            <w:instrText xml:space="preserve"> PAGEREF _Toc22961 \h </w:instrText>
          </w:r>
          <w:r>
            <w:fldChar w:fldCharType="separate"/>
          </w:r>
          <w:r>
            <w:t>25</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_Toc10350 </w:instrText>
          </w:r>
          <w:r>
            <w:rPr>
              <w:rFonts w:ascii="宋体" w:hAnsi="宋体"/>
              <w:lang w:val="zh-CN"/>
            </w:rPr>
            <w:fldChar w:fldCharType="separate"/>
          </w:r>
          <w:r>
            <w:rPr>
              <w:rFonts w:ascii="Times New Roman" w:hAnsi="Times New Roman" w:eastAsia="宋体" w:cs="Times New Roman"/>
              <w:szCs w:val="30"/>
            </w:rPr>
            <w:t>（五）强化金融服务支持</w:t>
          </w:r>
          <w:r>
            <w:tab/>
          </w:r>
          <w:r>
            <w:fldChar w:fldCharType="begin"/>
          </w:r>
          <w:r>
            <w:instrText xml:space="preserve"> PAGEREF _Toc10350 \h </w:instrText>
          </w:r>
          <w:r>
            <w:fldChar w:fldCharType="separate"/>
          </w:r>
          <w:r>
            <w:t>25</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_Toc20678 </w:instrText>
          </w:r>
          <w:r>
            <w:rPr>
              <w:rFonts w:ascii="宋体" w:hAnsi="宋体"/>
              <w:lang w:val="zh-CN"/>
            </w:rPr>
            <w:fldChar w:fldCharType="separate"/>
          </w:r>
          <w:r>
            <w:rPr>
              <w:rFonts w:ascii="Times New Roman" w:hAnsi="Times New Roman" w:eastAsia="宋体" w:cs="Times New Roman"/>
              <w:szCs w:val="30"/>
            </w:rPr>
            <w:t>（六）强化安全管理</w:t>
          </w:r>
          <w:r>
            <w:tab/>
          </w:r>
          <w:r>
            <w:fldChar w:fldCharType="begin"/>
          </w:r>
          <w:r>
            <w:instrText xml:space="preserve"> PAGEREF _Toc20678 \h </w:instrText>
          </w:r>
          <w:r>
            <w:fldChar w:fldCharType="separate"/>
          </w:r>
          <w:r>
            <w:t>25</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_Toc5637 </w:instrText>
          </w:r>
          <w:r>
            <w:rPr>
              <w:rFonts w:ascii="宋体" w:hAnsi="宋体"/>
              <w:lang w:val="zh-CN"/>
            </w:rPr>
            <w:fldChar w:fldCharType="separate"/>
          </w:r>
          <w:r>
            <w:rPr>
              <w:rFonts w:ascii="Times New Roman" w:hAnsi="Times New Roman" w:eastAsia="宋体" w:cs="Times New Roman"/>
              <w:szCs w:val="30"/>
            </w:rPr>
            <w:t>（七）加大物业协调力度</w:t>
          </w:r>
          <w:r>
            <w:tab/>
          </w:r>
          <w:r>
            <w:fldChar w:fldCharType="begin"/>
          </w:r>
          <w:r>
            <w:instrText xml:space="preserve"> PAGEREF _Toc5637 \h </w:instrText>
          </w:r>
          <w:r>
            <w:fldChar w:fldCharType="separate"/>
          </w:r>
          <w:r>
            <w:t>26</w:t>
          </w:r>
          <w:r>
            <w:fldChar w:fldCharType="end"/>
          </w:r>
          <w:r>
            <w:rPr>
              <w:rFonts w:ascii="宋体" w:hAnsi="宋体"/>
              <w:lang w:val="zh-CN"/>
            </w:rPr>
            <w:fldChar w:fldCharType="end"/>
          </w:r>
        </w:p>
        <w:p>
          <w:pPr>
            <w:pStyle w:val="16"/>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_Toc22439 </w:instrText>
          </w:r>
          <w:r>
            <w:rPr>
              <w:rFonts w:ascii="宋体" w:hAnsi="宋体"/>
              <w:lang w:val="zh-CN"/>
            </w:rPr>
            <w:fldChar w:fldCharType="separate"/>
          </w:r>
          <w:r>
            <w:rPr>
              <w:rFonts w:ascii="Times New Roman" w:hAnsi="Times New Roman" w:eastAsia="宋体" w:cs="Times New Roman"/>
              <w:szCs w:val="30"/>
            </w:rPr>
            <w:t>（八）营造良好的舆论环境</w:t>
          </w:r>
          <w:r>
            <w:tab/>
          </w:r>
          <w:r>
            <w:fldChar w:fldCharType="begin"/>
          </w:r>
          <w:r>
            <w:instrText xml:space="preserve"> PAGEREF _Toc22439 \h </w:instrText>
          </w:r>
          <w:r>
            <w:fldChar w:fldCharType="separate"/>
          </w:r>
          <w:r>
            <w:t>26</w:t>
          </w:r>
          <w:r>
            <w:fldChar w:fldCharType="end"/>
          </w:r>
          <w:r>
            <w:rPr>
              <w:rFonts w:ascii="宋体" w:hAnsi="宋体"/>
              <w:lang w:val="zh-CN"/>
            </w:rPr>
            <w:fldChar w:fldCharType="end"/>
          </w:r>
        </w:p>
        <w:p>
          <w:pPr>
            <w:pStyle w:val="15"/>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_Toc14864 </w:instrText>
          </w:r>
          <w:r>
            <w:rPr>
              <w:rFonts w:ascii="宋体" w:hAnsi="宋体"/>
              <w:lang w:val="zh-CN"/>
            </w:rPr>
            <w:fldChar w:fldCharType="separate"/>
          </w:r>
          <w:r>
            <w:rPr>
              <w:rFonts w:hint="eastAsia" w:ascii="Times New Roman" w:hAnsi="Times New Roman" w:eastAsia="宋体" w:cs="Times New Roman"/>
              <w:szCs w:val="30"/>
              <w:lang w:eastAsia="zh-CN"/>
            </w:rPr>
            <w:t>附表</w:t>
          </w:r>
          <w:r>
            <w:rPr>
              <w:rFonts w:hint="eastAsia" w:ascii="Times New Roman" w:hAnsi="Times New Roman" w:eastAsia="宋体" w:cs="Times New Roman"/>
              <w:szCs w:val="30"/>
              <w:lang w:val="en-US" w:eastAsia="zh-CN"/>
            </w:rPr>
            <w:t xml:space="preserve">1 </w:t>
          </w:r>
          <w:r>
            <w:rPr>
              <w:rFonts w:hint="eastAsia" w:cs="Times New Roman"/>
              <w:szCs w:val="30"/>
              <w:lang w:val="en-US" w:eastAsia="zh-CN"/>
            </w:rPr>
            <w:t>2023-2035年</w:t>
          </w:r>
          <w:r>
            <w:rPr>
              <w:rFonts w:hint="eastAsia" w:ascii="Times New Roman" w:hAnsi="Times New Roman" w:eastAsia="宋体" w:cs="Times New Roman"/>
              <w:szCs w:val="30"/>
            </w:rPr>
            <w:t>充电项目</w:t>
          </w:r>
          <w:r>
            <w:rPr>
              <w:rFonts w:hint="eastAsia" w:ascii="Times New Roman" w:hAnsi="Times New Roman" w:eastAsia="宋体" w:cs="Times New Roman"/>
              <w:szCs w:val="30"/>
              <w:lang w:eastAsia="zh-CN"/>
            </w:rPr>
            <w:t>规划表</w:t>
          </w:r>
          <w:r>
            <w:tab/>
          </w:r>
          <w:r>
            <w:fldChar w:fldCharType="begin"/>
          </w:r>
          <w:r>
            <w:instrText xml:space="preserve"> PAGEREF _Toc14864 \h </w:instrText>
          </w:r>
          <w:r>
            <w:fldChar w:fldCharType="separate"/>
          </w:r>
          <w:r>
            <w:t>27</w:t>
          </w:r>
          <w:r>
            <w:fldChar w:fldCharType="end"/>
          </w:r>
          <w:r>
            <w:rPr>
              <w:rFonts w:ascii="宋体" w:hAnsi="宋体"/>
              <w:lang w:val="zh-CN"/>
            </w:rPr>
            <w:fldChar w:fldCharType="end"/>
          </w:r>
        </w:p>
        <w:p>
          <w:pPr>
            <w:pStyle w:val="15"/>
            <w:keepNext w:val="0"/>
            <w:keepLines w:val="0"/>
            <w:pageBreakBefore w:val="0"/>
            <w:widowControl w:val="0"/>
            <w:tabs>
              <w:tab w:val="right" w:leader="dot" w:pos="8505"/>
            </w:tabs>
            <w:kinsoku/>
            <w:wordWrap/>
            <w:overflowPunct/>
            <w:topLinePunct w:val="0"/>
            <w:autoSpaceDE/>
            <w:autoSpaceDN/>
            <w:bidi w:val="0"/>
            <w:adjustRightInd/>
            <w:snapToGrid/>
            <w:spacing w:line="360" w:lineRule="auto"/>
            <w:textAlignment w:val="auto"/>
          </w:pPr>
          <w:r>
            <w:rPr>
              <w:rFonts w:ascii="宋体" w:hAnsi="宋体"/>
              <w:lang w:val="zh-CN"/>
            </w:rPr>
            <w:fldChar w:fldCharType="begin"/>
          </w:r>
          <w:r>
            <w:rPr>
              <w:rFonts w:ascii="宋体" w:hAnsi="宋体"/>
              <w:lang w:val="zh-CN"/>
            </w:rPr>
            <w:instrText xml:space="preserve"> HYPERLINK \l _Toc19095 </w:instrText>
          </w:r>
          <w:r>
            <w:rPr>
              <w:rFonts w:ascii="宋体" w:hAnsi="宋体"/>
              <w:lang w:val="zh-CN"/>
            </w:rPr>
            <w:fldChar w:fldCharType="separate"/>
          </w:r>
          <w:r>
            <w:rPr>
              <w:rFonts w:hint="eastAsia" w:ascii="Times New Roman" w:hAnsi="Times New Roman" w:eastAsia="宋体" w:cs="Times New Roman"/>
              <w:szCs w:val="30"/>
              <w:lang w:eastAsia="zh-CN"/>
            </w:rPr>
            <w:t>附表</w:t>
          </w:r>
          <w:r>
            <w:rPr>
              <w:rFonts w:hint="eastAsia" w:ascii="Times New Roman" w:hAnsi="Times New Roman" w:eastAsia="宋体" w:cs="Times New Roman"/>
              <w:szCs w:val="30"/>
              <w:lang w:val="en-US" w:eastAsia="zh-CN"/>
            </w:rPr>
            <w:t xml:space="preserve">2 </w:t>
          </w:r>
          <w:r>
            <w:rPr>
              <w:rFonts w:ascii="Times New Roman" w:hAnsi="Times New Roman" w:eastAsia="宋体" w:cs="Times New Roman"/>
              <w:szCs w:val="30"/>
            </w:rPr>
            <w:t>编制依据</w:t>
          </w:r>
          <w:r>
            <w:tab/>
          </w:r>
          <w:r>
            <w:fldChar w:fldCharType="begin"/>
          </w:r>
          <w:r>
            <w:instrText xml:space="preserve"> PAGEREF _Toc19095 \h </w:instrText>
          </w:r>
          <w:r>
            <w:fldChar w:fldCharType="separate"/>
          </w:r>
          <w:r>
            <w:t>37</w:t>
          </w:r>
          <w:r>
            <w:fldChar w:fldCharType="end"/>
          </w:r>
          <w:r>
            <w:rPr>
              <w:rFonts w:ascii="宋体" w:hAnsi="宋体"/>
              <w:lang w:val="zh-CN"/>
            </w:rPr>
            <w:fldChar w:fldCharType="end"/>
          </w:r>
        </w:p>
        <w:p>
          <w:pPr>
            <w:spacing w:line="360" w:lineRule="auto"/>
            <w:rPr>
              <w:rFonts w:eastAsia="黑体"/>
              <w:lang w:val="zh-CN"/>
            </w:rPr>
          </w:pPr>
          <w:r>
            <w:rPr>
              <w:rFonts w:ascii="宋体" w:hAnsi="宋体"/>
              <w:lang w:val="zh-CN"/>
            </w:rPr>
            <w:fldChar w:fldCharType="end"/>
          </w:r>
        </w:p>
      </w:sdtContent>
    </w:sdt>
    <w:p>
      <w:pPr>
        <w:spacing w:before="120" w:after="120" w:line="360" w:lineRule="auto"/>
        <w:rPr>
          <w:rFonts w:eastAsia="黑体"/>
        </w:rPr>
        <w:sectPr>
          <w:footerReference r:id="rId5" w:type="default"/>
          <w:pgSz w:w="11907" w:h="16840"/>
          <w:pgMar w:top="1440" w:right="1701" w:bottom="1440" w:left="1701" w:header="851" w:footer="992" w:gutter="0"/>
          <w:pgNumType w:fmt="upperRoman" w:start="1"/>
          <w:cols w:space="720" w:num="1"/>
          <w:docGrid w:linePitch="312" w:charSpace="0"/>
        </w:sectPr>
      </w:pPr>
      <w:bookmarkStart w:id="6" w:name="_Toc26043"/>
    </w:p>
    <w:bookmarkEnd w:id="6"/>
    <w:p>
      <w:pPr>
        <w:pStyle w:val="4"/>
        <w:tabs>
          <w:tab w:val="left" w:pos="567"/>
        </w:tabs>
        <w:spacing w:before="0" w:after="0" w:line="360" w:lineRule="auto"/>
        <w:rPr>
          <w:rFonts w:ascii="Times New Roman" w:hAnsi="Times New Roman" w:eastAsia="黑体" w:cs="Times New Roman"/>
          <w:kern w:val="2"/>
          <w:sz w:val="36"/>
          <w:szCs w:val="36"/>
        </w:rPr>
      </w:pPr>
      <w:bookmarkStart w:id="7" w:name="_Toc25393"/>
      <w:bookmarkStart w:id="8" w:name="_Toc253594476"/>
      <w:bookmarkStart w:id="9" w:name="_Toc252935338"/>
      <w:bookmarkStart w:id="10" w:name="_Toc18050"/>
      <w:bookmarkStart w:id="11" w:name="_Toc307053907"/>
      <w:bookmarkStart w:id="12" w:name="_Toc306956197"/>
      <w:bookmarkStart w:id="13" w:name="_Toc253584908"/>
      <w:bookmarkStart w:id="14" w:name="_Toc306780057"/>
      <w:bookmarkStart w:id="15" w:name="_Toc306766266"/>
      <w:bookmarkStart w:id="16" w:name="_Toc253743964"/>
      <w:r>
        <w:rPr>
          <w:rFonts w:hint="eastAsia" w:ascii="Times New Roman" w:hAnsi="Times New Roman" w:eastAsia="黑体" w:cs="Times New Roman"/>
          <w:kern w:val="2"/>
          <w:sz w:val="36"/>
          <w:szCs w:val="36"/>
          <w:lang w:eastAsia="zh-CN"/>
        </w:rPr>
        <w:t>一</w:t>
      </w:r>
      <w:r>
        <w:rPr>
          <w:rFonts w:ascii="Times New Roman" w:hAnsi="Times New Roman" w:eastAsia="黑体" w:cs="Times New Roman"/>
          <w:kern w:val="2"/>
          <w:sz w:val="36"/>
          <w:szCs w:val="36"/>
        </w:rPr>
        <w:t xml:space="preserve"> 发展基础</w:t>
      </w:r>
      <w:bookmarkEnd w:id="7"/>
    </w:p>
    <w:p>
      <w:pPr>
        <w:pStyle w:val="5"/>
        <w:spacing w:before="0" w:after="0" w:line="520" w:lineRule="exact"/>
        <w:rPr>
          <w:rFonts w:hint="eastAsia" w:ascii="Times New Roman" w:hAnsi="Times New Roman" w:eastAsia="宋体" w:cs="Times New Roman"/>
          <w:sz w:val="30"/>
          <w:szCs w:val="30"/>
          <w:lang w:eastAsia="zh-CN"/>
        </w:rPr>
      </w:pPr>
      <w:bookmarkStart w:id="17" w:name="_Toc15872"/>
      <w:r>
        <w:rPr>
          <w:rFonts w:ascii="Times New Roman" w:hAnsi="Times New Roman" w:eastAsia="宋体" w:cs="Times New Roman"/>
          <w:sz w:val="30"/>
          <w:szCs w:val="30"/>
        </w:rPr>
        <w:t>（一）</w:t>
      </w:r>
      <w:r>
        <w:rPr>
          <w:rFonts w:hint="eastAsia" w:ascii="Times New Roman" w:hAnsi="Times New Roman" w:eastAsia="宋体" w:cs="Times New Roman"/>
          <w:sz w:val="30"/>
          <w:szCs w:val="30"/>
          <w:lang w:eastAsia="zh-CN"/>
        </w:rPr>
        <w:t>区位情况</w:t>
      </w:r>
      <w:bookmarkEnd w:id="17"/>
    </w:p>
    <w:p>
      <w:pPr>
        <w:adjustRightInd w:val="0"/>
        <w:snapToGrid w:val="0"/>
        <w:spacing w:line="520" w:lineRule="exact"/>
        <w:ind w:firstLine="562" w:firstLineChars="200"/>
        <w:rPr>
          <w:sz w:val="28"/>
        </w:rPr>
      </w:pPr>
      <w:r>
        <w:rPr>
          <w:b/>
          <w:bCs/>
          <w:sz w:val="28"/>
        </w:rPr>
        <w:t>铜梁区基本情况：</w:t>
      </w:r>
      <w:r>
        <w:rPr>
          <w:sz w:val="28"/>
        </w:rPr>
        <w:t>铜梁区地处重庆西北部，西南靠大足区，东北连合川区，南接永川区，西北邻潼南区，东南毗邻璧山区</w:t>
      </w:r>
      <w:r>
        <w:rPr>
          <w:rFonts w:hint="eastAsia"/>
          <w:sz w:val="28"/>
        </w:rPr>
        <w:t>；</w:t>
      </w:r>
      <w:r>
        <w:rPr>
          <w:sz w:val="28"/>
        </w:rPr>
        <w:t>幅员面积1340平方公里，辖23个镇、5个街道办事处</w:t>
      </w:r>
      <w:r>
        <w:rPr>
          <w:rFonts w:hint="eastAsia"/>
          <w:sz w:val="28"/>
        </w:rPr>
        <w:t>；</w:t>
      </w:r>
      <w:r>
        <w:rPr>
          <w:sz w:val="28"/>
        </w:rPr>
        <w:t>全区总人口85万人</w:t>
      </w:r>
      <w:r>
        <w:rPr>
          <w:rFonts w:hint="eastAsia"/>
          <w:sz w:val="28"/>
        </w:rPr>
        <w:t>；</w:t>
      </w:r>
      <w:r>
        <w:rPr>
          <w:sz w:val="28"/>
        </w:rPr>
        <w:t>是重庆市城市发展新区重要组成部分，</w:t>
      </w:r>
      <w:r>
        <w:rPr>
          <w:rFonts w:hint="eastAsia"/>
          <w:sz w:val="28"/>
        </w:rPr>
        <w:t>享有</w:t>
      </w:r>
      <w:r>
        <w:rPr>
          <w:sz w:val="28"/>
        </w:rPr>
        <w:t>中国人居环境范例城市、国家园林区、国家卫生城市、中国特色魅力百强区、中国最佳绿色生态区</w:t>
      </w:r>
      <w:r>
        <w:rPr>
          <w:rFonts w:hint="eastAsia"/>
          <w:sz w:val="28"/>
        </w:rPr>
        <w:t>等称号</w:t>
      </w:r>
      <w:r>
        <w:rPr>
          <w:sz w:val="28"/>
        </w:rPr>
        <w:t>。</w:t>
      </w:r>
      <w:r>
        <w:rPr>
          <w:b/>
          <w:bCs/>
          <w:sz w:val="28"/>
        </w:rPr>
        <w:t>区位优势突出。</w:t>
      </w:r>
      <w:r>
        <w:rPr>
          <w:sz w:val="28"/>
        </w:rPr>
        <w:t>地处成渝地区双城经济圈中轴线上关键节点，是重庆主城都市区桥头堡城市。距中心城区40公里，境内有渝遂、渝蓉等6条高速公路</w:t>
      </w:r>
      <w:r>
        <w:rPr>
          <w:rFonts w:hint="eastAsia"/>
          <w:sz w:val="28"/>
        </w:rPr>
        <w:t>、</w:t>
      </w:r>
      <w:r>
        <w:rPr>
          <w:sz w:val="28"/>
        </w:rPr>
        <w:t>17个互通口</w:t>
      </w:r>
      <w:r>
        <w:rPr>
          <w:rFonts w:hint="eastAsia"/>
          <w:sz w:val="28"/>
        </w:rPr>
        <w:t>。</w:t>
      </w:r>
      <w:r>
        <w:rPr>
          <w:sz w:val="28"/>
        </w:rPr>
        <w:t>成渝中线高铁在铜设站，城轨快线壁铜线2024年建成通车。</w:t>
      </w:r>
      <w:r>
        <w:rPr>
          <w:b/>
          <w:bCs/>
          <w:sz w:val="28"/>
        </w:rPr>
        <w:t>能源保障充足。</w:t>
      </w:r>
      <w:r>
        <w:rPr>
          <w:rFonts w:hint="eastAsia"/>
          <w:sz w:val="28"/>
        </w:rPr>
        <w:t>属于</w:t>
      </w:r>
      <w:r>
        <w:rPr>
          <w:sz w:val="28"/>
        </w:rPr>
        <w:t>国家电力、天然气、供水等领域重大节点项目所在地。</w:t>
      </w:r>
      <w:r>
        <w:rPr>
          <w:rFonts w:hint="eastAsia"/>
          <w:sz w:val="28"/>
        </w:rPr>
        <w:t>辖区内坐落有</w:t>
      </w:r>
      <w:r>
        <w:rPr>
          <w:sz w:val="28"/>
        </w:rPr>
        <w:t>500千伏变电站1座，110、220千伏变电站13座，正规划建设1000千伏特高压变电站。</w:t>
      </w:r>
    </w:p>
    <w:p>
      <w:pPr>
        <w:adjustRightInd w:val="0"/>
        <w:snapToGrid w:val="0"/>
        <w:spacing w:line="360" w:lineRule="auto"/>
        <w:ind w:firstLine="560" w:firstLineChars="200"/>
        <w:jc w:val="center"/>
        <w:rPr>
          <w:sz w:val="28"/>
        </w:rPr>
      </w:pPr>
      <w:r>
        <w:rPr>
          <w:rFonts w:eastAsia="仿宋"/>
          <w:sz w:val="28"/>
        </w:rPr>
        <w:drawing>
          <wp:inline distT="0" distB="0" distL="0" distR="0">
            <wp:extent cx="3538855" cy="3796665"/>
            <wp:effectExtent l="0" t="0" r="444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45701" cy="3803824"/>
                    </a:xfrm>
                    <a:prstGeom prst="rect">
                      <a:avLst/>
                    </a:prstGeom>
                    <a:noFill/>
                  </pic:spPr>
                </pic:pic>
              </a:graphicData>
            </a:graphic>
          </wp:inline>
        </w:drawing>
      </w:r>
    </w:p>
    <w:p>
      <w:pPr>
        <w:adjustRightInd w:val="0"/>
        <w:snapToGrid w:val="0"/>
        <w:spacing w:line="360" w:lineRule="auto"/>
        <w:jc w:val="center"/>
        <w:rPr>
          <w:kern w:val="0"/>
        </w:rPr>
      </w:pPr>
      <w:r>
        <w:rPr>
          <w:kern w:val="0"/>
        </w:rPr>
        <w:t>铜梁区行政区域示意图</w:t>
      </w:r>
    </w:p>
    <w:p>
      <w:pPr>
        <w:adjustRightInd w:val="0"/>
        <w:snapToGrid w:val="0"/>
        <w:spacing w:line="360" w:lineRule="auto"/>
        <w:ind w:firstLine="560" w:firstLineChars="200"/>
        <w:rPr>
          <w:sz w:val="28"/>
        </w:rPr>
      </w:pPr>
      <w:r>
        <w:rPr>
          <w:sz w:val="28"/>
        </w:rPr>
        <w:t>铜梁区坚持首抓工业、重抓制造业，以高新区为工业经济发展主战场，</w:t>
      </w:r>
      <w:r>
        <w:rPr>
          <w:rFonts w:hint="eastAsia"/>
          <w:sz w:val="28"/>
        </w:rPr>
        <w:t>正</w:t>
      </w:r>
      <w:r>
        <w:rPr>
          <w:sz w:val="28"/>
        </w:rPr>
        <w:t>加快建设</w:t>
      </w:r>
      <w:r>
        <w:rPr>
          <w:rFonts w:hint="eastAsia"/>
          <w:sz w:val="28"/>
        </w:rPr>
        <w:t>成为</w:t>
      </w:r>
      <w:r>
        <w:rPr>
          <w:sz w:val="28"/>
        </w:rPr>
        <w:t>成渝地区重要高新技术产业基地、创新成果转化基地、现代制造业基地。2022 年，全区生产总值 535.02亿元，增长9.9%</w:t>
      </w:r>
      <w:r>
        <w:rPr>
          <w:rFonts w:hint="eastAsia"/>
          <w:sz w:val="28"/>
        </w:rPr>
        <w:t>；</w:t>
      </w:r>
      <w:r>
        <w:rPr>
          <w:sz w:val="28"/>
        </w:rPr>
        <w:t>累计工业投资128.98亿元，同比增长6.3%；累计工业用电量12,7亿千瓦时，增长8.6%；居民人均可支配收入21591元，增长4.4%。</w:t>
      </w:r>
    </w:p>
    <w:p>
      <w:pPr>
        <w:pStyle w:val="5"/>
        <w:spacing w:before="120" w:after="120" w:line="360" w:lineRule="auto"/>
        <w:rPr>
          <w:rFonts w:ascii="Times New Roman" w:hAnsi="Times New Roman" w:eastAsia="宋体" w:cs="Times New Roman"/>
          <w:sz w:val="30"/>
          <w:szCs w:val="30"/>
        </w:rPr>
      </w:pPr>
      <w:bookmarkStart w:id="18" w:name="_Toc18434"/>
      <w:bookmarkStart w:id="19" w:name="_Toc24877"/>
      <w:bookmarkStart w:id="20" w:name="_Toc19745"/>
      <w:r>
        <w:rPr>
          <w:rFonts w:ascii="Times New Roman" w:hAnsi="Times New Roman" w:eastAsia="宋体" w:cs="Times New Roman"/>
          <w:sz w:val="30"/>
          <w:szCs w:val="30"/>
        </w:rPr>
        <w:t>（二）</w:t>
      </w:r>
      <w:bookmarkEnd w:id="18"/>
      <w:r>
        <w:rPr>
          <w:rFonts w:ascii="Times New Roman" w:hAnsi="Times New Roman" w:eastAsia="宋体" w:cs="Times New Roman"/>
          <w:sz w:val="30"/>
          <w:szCs w:val="30"/>
        </w:rPr>
        <w:t>发展现状</w:t>
      </w:r>
      <w:bookmarkEnd w:id="19"/>
    </w:p>
    <w:p>
      <w:pPr>
        <w:spacing w:before="120" w:after="120" w:line="360" w:lineRule="auto"/>
        <w:ind w:firstLine="562" w:firstLineChars="200"/>
        <w:outlineLvl w:val="2"/>
        <w:rPr>
          <w:rFonts w:eastAsia="黑体"/>
          <w:b/>
          <w:sz w:val="28"/>
          <w:szCs w:val="28"/>
          <w:shd w:val="clear" w:color="auto" w:fill="FFFFFF"/>
        </w:rPr>
      </w:pPr>
      <w:bookmarkStart w:id="21" w:name="_Toc31630"/>
      <w:r>
        <w:rPr>
          <w:rFonts w:eastAsia="黑体"/>
          <w:b/>
          <w:sz w:val="28"/>
          <w:szCs w:val="28"/>
          <w:shd w:val="clear" w:color="auto" w:fill="FFFFFF"/>
        </w:rPr>
        <w:t>1.重庆市充电设施建设情况</w:t>
      </w:r>
      <w:bookmarkEnd w:id="21"/>
    </w:p>
    <w:p>
      <w:pPr>
        <w:pStyle w:val="78"/>
        <w:spacing w:line="360" w:lineRule="auto"/>
        <w:ind w:firstLine="560" w:firstLineChars="200"/>
        <w:rPr>
          <w:rFonts w:ascii="Times New Roman" w:hAnsi="Times New Roman" w:cs="Times New Roman"/>
          <w:highlight w:val="red"/>
        </w:rPr>
      </w:pPr>
      <w:r>
        <w:rPr>
          <w:rFonts w:ascii="Times New Roman" w:hAnsi="Times New Roman" w:cs="Times New Roman"/>
        </w:rPr>
        <w:drawing>
          <wp:anchor distT="0" distB="0" distL="114300" distR="114300" simplePos="0" relativeHeight="251667456" behindDoc="0" locked="0" layoutInCell="1" allowOverlap="1">
            <wp:simplePos x="0" y="0"/>
            <wp:positionH relativeFrom="margin">
              <wp:posOffset>281940</wp:posOffset>
            </wp:positionH>
            <wp:positionV relativeFrom="paragraph">
              <wp:posOffset>1981835</wp:posOffset>
            </wp:positionV>
            <wp:extent cx="4693920" cy="2334895"/>
            <wp:effectExtent l="0" t="0" r="11430" b="8255"/>
            <wp:wrapNone/>
            <wp:docPr id="15" name="Picutre 15"/>
            <wp:cNvGraphicFramePr/>
            <a:graphic xmlns:a="http://schemas.openxmlformats.org/drawingml/2006/main">
              <a:graphicData uri="http://schemas.openxmlformats.org/drawingml/2006/picture">
                <pic:pic xmlns:pic="http://schemas.openxmlformats.org/drawingml/2006/picture">
                  <pic:nvPicPr>
                    <pic:cNvPr id="15" name="Picutre 15"/>
                    <pic:cNvPicPr/>
                  </pic:nvPicPr>
                  <pic:blipFill>
                    <a:blip r:embed="rId10"/>
                    <a:stretch>
                      <a:fillRect/>
                    </a:stretch>
                  </pic:blipFill>
                  <pic:spPr>
                    <a:xfrm>
                      <a:off x="0" y="0"/>
                      <a:ext cx="4693920" cy="2334895"/>
                    </a:xfrm>
                    <a:prstGeom prst="rect">
                      <a:avLst/>
                    </a:prstGeom>
                  </pic:spPr>
                </pic:pic>
              </a:graphicData>
            </a:graphic>
          </wp:anchor>
        </w:drawing>
      </w:r>
      <w:r>
        <w:rPr>
          <w:rFonts w:ascii="Times New Roman" w:hAnsi="Times New Roman" w:cs="Times New Roman"/>
          <w:color w:val="000000"/>
        </w:rPr>
        <w:t>近年来，重庆市电动汽车快速增长</w:t>
      </w:r>
      <w:r>
        <w:rPr>
          <w:rFonts w:hint="eastAsia" w:ascii="Times New Roman" w:hAnsi="Times New Roman" w:cs="Times New Roman"/>
          <w:color w:val="000000"/>
        </w:rPr>
        <w:t>，</w:t>
      </w:r>
      <w:r>
        <w:rPr>
          <w:rFonts w:hint="eastAsia" w:ascii="Times New Roman" w:hAnsi="Times New Roman" w:cs="Times New Roman"/>
        </w:rPr>
        <w:t>已</w:t>
      </w:r>
      <w:r>
        <w:rPr>
          <w:rFonts w:ascii="Times New Roman" w:hAnsi="Times New Roman" w:cs="Times New Roman"/>
        </w:rPr>
        <w:t>实现</w:t>
      </w:r>
      <w:r>
        <w:rPr>
          <w:rFonts w:ascii="Times New Roman" w:hAnsi="Times New Roman" w:cs="Times New Roman"/>
          <w:color w:val="000000"/>
        </w:rPr>
        <w:t>38个区县全覆盖</w:t>
      </w:r>
      <w:r>
        <w:rPr>
          <w:rFonts w:hint="eastAsia" w:ascii="Times New Roman" w:hAnsi="Times New Roman" w:cs="Times New Roman"/>
          <w:color w:val="000000"/>
        </w:rPr>
        <w:t>，</w:t>
      </w:r>
      <w:r>
        <w:rPr>
          <w:rFonts w:ascii="Times New Roman" w:hAnsi="Times New Roman" w:cs="Times New Roman"/>
          <w:color w:val="000000"/>
        </w:rPr>
        <w:t>建成“一环十射”高速公路快充网络。截至202</w:t>
      </w:r>
      <w:r>
        <w:rPr>
          <w:rFonts w:hint="eastAsia" w:ascii="Times New Roman" w:hAnsi="Times New Roman" w:cs="Times New Roman"/>
          <w:color w:val="000000"/>
        </w:rPr>
        <w:t>2</w:t>
      </w:r>
      <w:r>
        <w:rPr>
          <w:rFonts w:ascii="Times New Roman" w:hAnsi="Times New Roman" w:cs="Times New Roman"/>
          <w:color w:val="000000"/>
        </w:rPr>
        <w:t>年</w:t>
      </w:r>
      <w:r>
        <w:rPr>
          <w:rFonts w:hint="eastAsia" w:ascii="Times New Roman" w:hAnsi="Times New Roman" w:cs="Times New Roman"/>
          <w:color w:val="000000"/>
        </w:rPr>
        <w:t>底</w:t>
      </w:r>
      <w:r>
        <w:rPr>
          <w:rFonts w:ascii="Times New Roman" w:hAnsi="Times New Roman" w:cs="Times New Roman"/>
          <w:color w:val="000000"/>
        </w:rPr>
        <w:t>，全市电动汽车保有量</w:t>
      </w:r>
      <w:r>
        <w:rPr>
          <w:rFonts w:hint="eastAsia" w:ascii="Times New Roman" w:hAnsi="Times New Roman" w:cs="Times New Roman"/>
          <w:color w:val="000000"/>
        </w:rPr>
        <w:t>27.53</w:t>
      </w:r>
      <w:r>
        <w:rPr>
          <w:rFonts w:ascii="Times New Roman" w:hAnsi="Times New Roman" w:cs="Times New Roman"/>
          <w:color w:val="000000"/>
        </w:rPr>
        <w:t>万辆，占全市</w:t>
      </w:r>
      <w:r>
        <w:rPr>
          <w:rFonts w:ascii="Times New Roman" w:hAnsi="Times New Roman" w:cs="Times New Roman"/>
          <w:color w:val="000000"/>
          <w:highlight w:val="none"/>
        </w:rPr>
        <w:t>机动车总量的</w:t>
      </w:r>
      <w:r>
        <w:rPr>
          <w:rFonts w:hint="eastAsia" w:ascii="Times New Roman" w:hAnsi="Times New Roman" w:cs="Times New Roman"/>
          <w:color w:val="000000"/>
          <w:highlight w:val="none"/>
          <w:lang w:val="en-US" w:eastAsia="zh-CN"/>
        </w:rPr>
        <w:t>5.13</w:t>
      </w:r>
      <w:r>
        <w:rPr>
          <w:rFonts w:ascii="Times New Roman" w:hAnsi="Times New Roman" w:cs="Times New Roman"/>
          <w:color w:val="000000"/>
          <w:highlight w:val="none"/>
        </w:rPr>
        <w:t>%。与此同</w:t>
      </w:r>
      <w:r>
        <w:rPr>
          <w:rFonts w:ascii="Times New Roman" w:hAnsi="Times New Roman" w:cs="Times New Roman"/>
          <w:color w:val="000000"/>
        </w:rPr>
        <w:t>时，全市充电基础设施发展迅速。截至202</w:t>
      </w:r>
      <w:r>
        <w:rPr>
          <w:rFonts w:hint="eastAsia" w:ascii="Times New Roman" w:hAnsi="Times New Roman" w:cs="Times New Roman"/>
          <w:color w:val="000000"/>
        </w:rPr>
        <w:t>2</w:t>
      </w:r>
      <w:r>
        <w:rPr>
          <w:rFonts w:ascii="Times New Roman" w:hAnsi="Times New Roman" w:cs="Times New Roman"/>
          <w:color w:val="000000"/>
        </w:rPr>
        <w:t>年</w:t>
      </w:r>
      <w:r>
        <w:rPr>
          <w:rFonts w:hint="eastAsia" w:ascii="Times New Roman" w:hAnsi="Times New Roman" w:cs="Times New Roman"/>
          <w:color w:val="000000"/>
        </w:rPr>
        <w:t>底</w:t>
      </w:r>
      <w:r>
        <w:rPr>
          <w:rFonts w:ascii="Times New Roman" w:hAnsi="Times New Roman" w:cs="Times New Roman"/>
          <w:color w:val="000000"/>
        </w:rPr>
        <w:t>，全市建成</w:t>
      </w:r>
      <w:r>
        <w:rPr>
          <w:rFonts w:hint="eastAsia" w:ascii="Times New Roman" w:hAnsi="Times New Roman" w:cs="Times New Roman"/>
          <w:color w:val="000000"/>
        </w:rPr>
        <w:t>各类</w:t>
      </w:r>
      <w:r>
        <w:rPr>
          <w:rFonts w:ascii="Times New Roman" w:hAnsi="Times New Roman" w:cs="Times New Roman"/>
          <w:color w:val="000000"/>
        </w:rPr>
        <w:t>充</w:t>
      </w:r>
      <w:r>
        <w:rPr>
          <w:rFonts w:hint="eastAsia" w:ascii="Times New Roman" w:hAnsi="Times New Roman" w:cs="Times New Roman"/>
          <w:color w:val="000000"/>
        </w:rPr>
        <w:t>换</w:t>
      </w:r>
      <w:r>
        <w:rPr>
          <w:rFonts w:ascii="Times New Roman" w:hAnsi="Times New Roman" w:cs="Times New Roman"/>
          <w:color w:val="000000"/>
        </w:rPr>
        <w:t>电</w:t>
      </w:r>
      <w:r>
        <w:rPr>
          <w:rFonts w:hint="eastAsia" w:ascii="Times New Roman" w:hAnsi="Times New Roman" w:cs="Times New Roman"/>
          <w:color w:val="000000"/>
        </w:rPr>
        <w:t>桩12.04万</w:t>
      </w:r>
      <w:r>
        <w:rPr>
          <w:rFonts w:ascii="Times New Roman" w:hAnsi="Times New Roman" w:cs="Times New Roman"/>
          <w:color w:val="000000"/>
        </w:rPr>
        <w:t>个，</w:t>
      </w:r>
      <w:r>
        <w:rPr>
          <w:rFonts w:hint="eastAsia" w:ascii="Times New Roman" w:hAnsi="Times New Roman" w:cs="Times New Roman"/>
          <w:color w:val="000000"/>
        </w:rPr>
        <w:t>其中私有桩9.25万个、公用桩2.79万个。扣除私有充电桩后，</w:t>
      </w:r>
      <w:r>
        <w:rPr>
          <w:rFonts w:ascii="Times New Roman" w:hAnsi="Times New Roman" w:cs="Times New Roman"/>
          <w:color w:val="000000"/>
        </w:rPr>
        <w:t>全市车桩比达到</w:t>
      </w:r>
      <w:r>
        <w:rPr>
          <w:rFonts w:hint="eastAsia" w:ascii="Times New Roman" w:hAnsi="Times New Roman" w:cs="Times New Roman"/>
        </w:rPr>
        <w:t>6.55</w:t>
      </w:r>
      <w:r>
        <w:rPr>
          <w:rFonts w:ascii="Times New Roman" w:hAnsi="Times New Roman" w:cs="Times New Roman"/>
        </w:rPr>
        <w:t>:1</w:t>
      </w:r>
      <w:r>
        <w:rPr>
          <w:rFonts w:hint="eastAsia" w:ascii="Times New Roman" w:hAnsi="Times New Roman" w:cs="Times New Roman"/>
        </w:rPr>
        <w:t>。</w:t>
      </w:r>
    </w:p>
    <w:p>
      <w:pPr>
        <w:pStyle w:val="78"/>
        <w:spacing w:line="360" w:lineRule="auto"/>
        <w:ind w:firstLine="560" w:firstLineChars="200"/>
        <w:rPr>
          <w:rFonts w:ascii="Times New Roman" w:hAnsi="Times New Roman" w:cs="Times New Roman"/>
        </w:rPr>
      </w:pPr>
    </w:p>
    <w:p>
      <w:pPr>
        <w:pStyle w:val="78"/>
        <w:spacing w:line="360" w:lineRule="auto"/>
        <w:ind w:firstLine="560" w:firstLineChars="200"/>
        <w:rPr>
          <w:rFonts w:ascii="Times New Roman" w:hAnsi="Times New Roman" w:cs="Times New Roman"/>
        </w:rPr>
      </w:pPr>
    </w:p>
    <w:p>
      <w:pPr>
        <w:pStyle w:val="78"/>
        <w:spacing w:line="360" w:lineRule="auto"/>
        <w:ind w:firstLine="560" w:firstLineChars="200"/>
        <w:rPr>
          <w:rFonts w:ascii="Times New Roman" w:hAnsi="Times New Roman" w:cs="Times New Roman"/>
        </w:rPr>
      </w:pPr>
    </w:p>
    <w:p>
      <w:pPr>
        <w:pStyle w:val="78"/>
        <w:spacing w:line="360" w:lineRule="auto"/>
        <w:ind w:firstLine="560" w:firstLineChars="200"/>
        <w:rPr>
          <w:rFonts w:ascii="Times New Roman" w:hAnsi="Times New Roman" w:cs="Times New Roman"/>
        </w:rPr>
      </w:pPr>
    </w:p>
    <w:p>
      <w:pPr>
        <w:pStyle w:val="78"/>
        <w:spacing w:line="360" w:lineRule="auto"/>
        <w:ind w:firstLine="560" w:firstLineChars="200"/>
        <w:rPr>
          <w:rFonts w:ascii="Times New Roman" w:hAnsi="Times New Roman" w:cs="Times New Roman"/>
        </w:rPr>
      </w:pPr>
    </w:p>
    <w:p>
      <w:pPr>
        <w:pStyle w:val="78"/>
        <w:spacing w:line="360" w:lineRule="auto"/>
        <w:ind w:firstLine="0"/>
        <w:rPr>
          <w:rFonts w:ascii="Times New Roman" w:hAnsi="Times New Roman" w:cs="Times New Roman"/>
        </w:rPr>
      </w:pPr>
    </w:p>
    <w:p>
      <w:pPr>
        <w:pStyle w:val="78"/>
        <w:spacing w:line="360" w:lineRule="auto"/>
        <w:ind w:firstLine="0"/>
        <w:rPr>
          <w:rFonts w:ascii="Times New Roman" w:hAnsi="Times New Roman" w:cs="Times New Roman"/>
        </w:rPr>
      </w:pPr>
    </w:p>
    <w:p>
      <w:pPr>
        <w:pStyle w:val="78"/>
        <w:spacing w:line="360" w:lineRule="auto"/>
        <w:ind w:firstLine="0"/>
        <w:rPr>
          <w:rFonts w:ascii="Times New Roman" w:hAnsi="Times New Roman" w:cs="Times New Roman"/>
        </w:rPr>
      </w:pPr>
    </w:p>
    <w:p>
      <w:pPr>
        <w:pStyle w:val="79"/>
        <w:spacing w:line="360" w:lineRule="auto"/>
        <w:rPr>
          <w:rFonts w:ascii="Times New Roman" w:hAnsi="Times New Roman" w:eastAsia="宋体" w:cs="Times New Roman"/>
          <w:sz w:val="24"/>
          <w:szCs w:val="24"/>
        </w:rPr>
      </w:pPr>
      <w:r>
        <w:rPr>
          <w:rFonts w:ascii="Times New Roman" w:hAnsi="Times New Roman" w:eastAsia="宋体" w:cs="Times New Roman"/>
          <w:color w:val="000000"/>
          <w:sz w:val="24"/>
          <w:szCs w:val="24"/>
        </w:rPr>
        <w:t>重庆市充电设施保有量走势图及同比增速</w:t>
      </w:r>
    </w:p>
    <w:p>
      <w:pPr>
        <w:pStyle w:val="78"/>
        <w:tabs>
          <w:tab w:val="left" w:pos="1085"/>
        </w:tabs>
        <w:spacing w:line="360" w:lineRule="auto"/>
        <w:ind w:firstLine="560" w:firstLineChars="200"/>
        <w:rPr>
          <w:rFonts w:ascii="Times New Roman" w:hAnsi="Times New Roman" w:eastAsia="黑体" w:cs="Times New Roman"/>
          <w:b/>
          <w:bCs/>
        </w:rPr>
      </w:pPr>
      <w:r>
        <w:rPr>
          <w:rFonts w:ascii="Times New Roman" w:hAnsi="Times New Roman" w:cs="Times New Roman"/>
          <w:color w:val="000000"/>
        </w:rPr>
        <w:t>在充电设施建设运营财政支持政策的引导下，</w:t>
      </w:r>
      <w:r>
        <w:rPr>
          <w:rFonts w:hint="eastAsia" w:ascii="Times New Roman" w:hAnsi="Times New Roman" w:cs="Times New Roman"/>
          <w:color w:val="000000"/>
          <w:lang w:eastAsia="zh-CN"/>
        </w:rPr>
        <w:t>重庆市目前共有</w:t>
      </w:r>
      <w:r>
        <w:rPr>
          <w:rFonts w:ascii="Times New Roman" w:hAnsi="Times New Roman" w:cs="Times New Roman"/>
          <w:b/>
          <w:bCs/>
          <w:color w:val="000000"/>
        </w:rPr>
        <w:t>174</w:t>
      </w:r>
      <w:r>
        <w:rPr>
          <w:rFonts w:ascii="Times New Roman" w:hAnsi="Times New Roman" w:cs="Times New Roman"/>
          <w:color w:val="000000"/>
        </w:rPr>
        <w:t>家充电设施运营企业参与建设运营。</w:t>
      </w:r>
    </w:p>
    <w:p>
      <w:pPr>
        <w:spacing w:before="120" w:after="120" w:line="360" w:lineRule="auto"/>
        <w:ind w:firstLine="562" w:firstLineChars="200"/>
        <w:outlineLvl w:val="2"/>
        <w:rPr>
          <w:rFonts w:eastAsia="黑体"/>
          <w:b/>
          <w:sz w:val="28"/>
          <w:szCs w:val="28"/>
          <w:shd w:val="clear" w:color="auto" w:fill="FFFFFF"/>
        </w:rPr>
      </w:pPr>
      <w:bookmarkStart w:id="22" w:name="_Toc1186"/>
      <w:r>
        <w:rPr>
          <w:rFonts w:hint="eastAsia" w:eastAsia="黑体"/>
          <w:b/>
          <w:sz w:val="28"/>
          <w:szCs w:val="28"/>
          <w:shd w:val="clear" w:color="auto" w:fill="FFFFFF"/>
        </w:rPr>
        <w:t>2.重庆市充电设施补贴政策</w:t>
      </w:r>
      <w:bookmarkEnd w:id="22"/>
    </w:p>
    <w:p>
      <w:pPr>
        <w:pStyle w:val="52"/>
        <w:spacing w:line="360" w:lineRule="auto"/>
        <w:ind w:firstLine="560" w:firstLineChars="200"/>
        <w:rPr>
          <w:color w:val="000000"/>
          <w:sz w:val="28"/>
          <w:szCs w:val="28"/>
        </w:rPr>
      </w:pPr>
      <w:r>
        <w:rPr>
          <w:color w:val="000000"/>
          <w:sz w:val="28"/>
          <w:szCs w:val="28"/>
        </w:rPr>
        <w:t>重庆市财政局、市经济信息委发布《关于重庆市2022年度新能源汽车与充换电基础设施财政补贴政策的通知》（渝财规〔2022〕3号）（以下简称通知），围绕车、桩、站、宣传等环节，明确四项补贴政策。其中提到，换电站建设补贴，单站补贴最高不超过80万元。</w:t>
      </w:r>
    </w:p>
    <w:p>
      <w:pPr>
        <w:pStyle w:val="52"/>
        <w:spacing w:line="360" w:lineRule="auto"/>
        <w:ind w:firstLine="560" w:firstLineChars="200"/>
        <w:rPr>
          <w:color w:val="000000"/>
          <w:sz w:val="28"/>
          <w:szCs w:val="28"/>
        </w:rPr>
      </w:pPr>
      <w:r>
        <w:rPr>
          <w:color w:val="000000"/>
          <w:sz w:val="28"/>
          <w:szCs w:val="28"/>
        </w:rPr>
        <w:t>为加大我市充电基础设施建设力度，支持充电桩企业建设大功率、高利用率的充电桩，《通知》提到，将通过差异化补贴引导企业在中心城区以外地区和高速公路服务区等我市充电桩布局“短板”地区加大建设力度。其中，在中心城区和中心城区以外地区新建直流充电桩分别给予150元/千瓦、200元/千瓦的一次性建设补贴；在市内高速公路服务区新建直流充电桩给予300元/千瓦的一次性建设补贴；在市内新建单桩功率不低于350千瓦的超高压充电桩，给予400元/千瓦的一次性建设补贴。同时，对在党政机关、企事业单位、社会组织、民营企业、园区等内部停车位建设，以及本市居民小区“统建统营”的交流充电桩及小功率直流充电桩，给予50元/千瓦的一次性建设补贴。</w:t>
      </w:r>
    </w:p>
    <w:p>
      <w:pPr>
        <w:spacing w:before="120" w:beforeLines="50" w:line="360" w:lineRule="auto"/>
        <w:jc w:val="center"/>
        <w:rPr>
          <w:bCs/>
          <w:kern w:val="0"/>
          <w:szCs w:val="21"/>
          <w:lang w:val="zh-CN"/>
        </w:rPr>
      </w:pPr>
      <w:r>
        <w:rPr>
          <w:bCs/>
          <w:kern w:val="0"/>
          <w:szCs w:val="21"/>
          <w:lang w:val="zh-CN"/>
        </w:rPr>
        <w:t>表3-2重庆市充电基础设施相关政策支持</w:t>
      </w:r>
    </w:p>
    <w:tbl>
      <w:tblPr>
        <w:tblStyle w:val="17"/>
        <w:tblW w:w="8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2126"/>
        <w:gridCol w:w="1701"/>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004" w:type="dxa"/>
            <w:shd w:val="clear" w:color="auto" w:fill="auto"/>
            <w:vAlign w:val="center"/>
          </w:tcPr>
          <w:p>
            <w:pPr>
              <w:widowControl/>
              <w:adjustRightInd w:val="0"/>
              <w:snapToGrid w:val="0"/>
              <w:jc w:val="center"/>
              <w:rPr>
                <w:b/>
                <w:bCs/>
                <w:kern w:val="0"/>
                <w:sz w:val="18"/>
                <w:szCs w:val="18"/>
              </w:rPr>
            </w:pPr>
            <w:r>
              <w:rPr>
                <w:b/>
                <w:bCs/>
                <w:kern w:val="0"/>
                <w:sz w:val="18"/>
                <w:szCs w:val="18"/>
              </w:rPr>
              <w:t>时间</w:t>
            </w:r>
          </w:p>
        </w:tc>
        <w:tc>
          <w:tcPr>
            <w:tcW w:w="2126" w:type="dxa"/>
            <w:shd w:val="clear" w:color="auto" w:fill="auto"/>
            <w:vAlign w:val="center"/>
          </w:tcPr>
          <w:p>
            <w:pPr>
              <w:widowControl/>
              <w:adjustRightInd w:val="0"/>
              <w:snapToGrid w:val="0"/>
              <w:jc w:val="center"/>
              <w:rPr>
                <w:b/>
                <w:bCs/>
                <w:kern w:val="0"/>
                <w:sz w:val="18"/>
                <w:szCs w:val="18"/>
              </w:rPr>
            </w:pPr>
            <w:r>
              <w:rPr>
                <w:b/>
                <w:bCs/>
                <w:kern w:val="0"/>
                <w:sz w:val="18"/>
                <w:szCs w:val="18"/>
              </w:rPr>
              <w:t>政策名称</w:t>
            </w:r>
          </w:p>
        </w:tc>
        <w:tc>
          <w:tcPr>
            <w:tcW w:w="1701" w:type="dxa"/>
            <w:shd w:val="clear" w:color="auto" w:fill="auto"/>
            <w:vAlign w:val="center"/>
          </w:tcPr>
          <w:p>
            <w:pPr>
              <w:widowControl/>
              <w:adjustRightInd w:val="0"/>
              <w:snapToGrid w:val="0"/>
              <w:jc w:val="center"/>
              <w:rPr>
                <w:b/>
                <w:bCs/>
                <w:kern w:val="0"/>
                <w:sz w:val="18"/>
                <w:szCs w:val="18"/>
              </w:rPr>
            </w:pPr>
            <w:r>
              <w:rPr>
                <w:b/>
                <w:bCs/>
                <w:kern w:val="0"/>
                <w:sz w:val="18"/>
                <w:szCs w:val="18"/>
              </w:rPr>
              <w:t>发布部门</w:t>
            </w:r>
          </w:p>
        </w:tc>
        <w:tc>
          <w:tcPr>
            <w:tcW w:w="3395" w:type="dxa"/>
            <w:shd w:val="clear" w:color="auto" w:fill="auto"/>
            <w:vAlign w:val="center"/>
          </w:tcPr>
          <w:p>
            <w:pPr>
              <w:widowControl/>
              <w:adjustRightInd w:val="0"/>
              <w:snapToGrid w:val="0"/>
              <w:jc w:val="center"/>
              <w:rPr>
                <w:b/>
                <w:bCs/>
                <w:kern w:val="0"/>
                <w:sz w:val="18"/>
                <w:szCs w:val="18"/>
              </w:rPr>
            </w:pPr>
            <w:r>
              <w:rPr>
                <w:b/>
                <w:bCs/>
                <w:kern w:val="0"/>
                <w:sz w:val="18"/>
                <w:szCs w:val="18"/>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4" w:type="dxa"/>
            <w:shd w:val="clear" w:color="auto" w:fill="auto"/>
            <w:vAlign w:val="center"/>
          </w:tcPr>
          <w:p>
            <w:pPr>
              <w:widowControl/>
              <w:adjustRightInd w:val="0"/>
              <w:snapToGrid w:val="0"/>
              <w:jc w:val="center"/>
              <w:rPr>
                <w:kern w:val="0"/>
                <w:sz w:val="18"/>
                <w:szCs w:val="18"/>
              </w:rPr>
            </w:pPr>
            <w:r>
              <w:rPr>
                <w:kern w:val="0"/>
                <w:sz w:val="18"/>
                <w:szCs w:val="18"/>
              </w:rPr>
              <w:t>2022.05</w:t>
            </w:r>
          </w:p>
        </w:tc>
        <w:tc>
          <w:tcPr>
            <w:tcW w:w="2126" w:type="dxa"/>
            <w:shd w:val="clear" w:color="auto" w:fill="auto"/>
            <w:vAlign w:val="center"/>
          </w:tcPr>
          <w:p>
            <w:pPr>
              <w:widowControl/>
              <w:adjustRightInd w:val="0"/>
              <w:snapToGrid w:val="0"/>
              <w:jc w:val="center"/>
              <w:rPr>
                <w:kern w:val="0"/>
                <w:sz w:val="18"/>
                <w:szCs w:val="18"/>
              </w:rPr>
            </w:pPr>
            <w:r>
              <w:rPr>
                <w:kern w:val="0"/>
                <w:sz w:val="18"/>
                <w:szCs w:val="18"/>
              </w:rPr>
              <w:t>关于印发重庆市充电基础设施“十四五”发展规划（2021—2025年）的通知</w:t>
            </w:r>
          </w:p>
        </w:tc>
        <w:tc>
          <w:tcPr>
            <w:tcW w:w="1701" w:type="dxa"/>
            <w:shd w:val="clear" w:color="auto" w:fill="auto"/>
            <w:vAlign w:val="center"/>
          </w:tcPr>
          <w:p>
            <w:pPr>
              <w:widowControl/>
              <w:adjustRightInd w:val="0"/>
              <w:snapToGrid w:val="0"/>
              <w:jc w:val="center"/>
              <w:rPr>
                <w:kern w:val="0"/>
                <w:sz w:val="18"/>
                <w:szCs w:val="18"/>
              </w:rPr>
            </w:pPr>
            <w:r>
              <w:rPr>
                <w:kern w:val="0"/>
                <w:sz w:val="18"/>
                <w:szCs w:val="18"/>
              </w:rPr>
              <w:t>重庆市市发展改革委</w:t>
            </w:r>
          </w:p>
        </w:tc>
        <w:tc>
          <w:tcPr>
            <w:tcW w:w="3395" w:type="dxa"/>
            <w:shd w:val="clear" w:color="auto" w:fill="auto"/>
            <w:vAlign w:val="center"/>
          </w:tcPr>
          <w:p>
            <w:pPr>
              <w:widowControl/>
              <w:adjustRightInd w:val="0"/>
              <w:snapToGrid w:val="0"/>
              <w:jc w:val="center"/>
              <w:rPr>
                <w:kern w:val="0"/>
                <w:sz w:val="18"/>
                <w:szCs w:val="18"/>
              </w:rPr>
            </w:pPr>
            <w:r>
              <w:rPr>
                <w:kern w:val="0"/>
                <w:sz w:val="18"/>
                <w:szCs w:val="18"/>
              </w:rPr>
              <w:t>指导我市“十四五”时期建设形成适度超前、布局均衡、智能高效的电动汽车充电基础设施体系，提升电动汽车充电保障能力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4" w:type="dxa"/>
            <w:shd w:val="clear" w:color="auto" w:fill="auto"/>
            <w:vAlign w:val="center"/>
          </w:tcPr>
          <w:p>
            <w:pPr>
              <w:widowControl/>
              <w:adjustRightInd w:val="0"/>
              <w:snapToGrid w:val="0"/>
              <w:jc w:val="center"/>
              <w:rPr>
                <w:kern w:val="0"/>
                <w:sz w:val="18"/>
                <w:szCs w:val="18"/>
              </w:rPr>
            </w:pPr>
            <w:r>
              <w:rPr>
                <w:kern w:val="0"/>
                <w:sz w:val="18"/>
                <w:szCs w:val="18"/>
              </w:rPr>
              <w:t>2022.07</w:t>
            </w:r>
          </w:p>
        </w:tc>
        <w:tc>
          <w:tcPr>
            <w:tcW w:w="2126" w:type="dxa"/>
            <w:shd w:val="clear" w:color="auto" w:fill="auto"/>
            <w:vAlign w:val="center"/>
          </w:tcPr>
          <w:p>
            <w:pPr>
              <w:widowControl/>
              <w:adjustRightInd w:val="0"/>
              <w:snapToGrid w:val="0"/>
              <w:jc w:val="center"/>
              <w:rPr>
                <w:kern w:val="0"/>
                <w:sz w:val="18"/>
                <w:szCs w:val="18"/>
              </w:rPr>
            </w:pPr>
            <w:r>
              <w:rPr>
                <w:kern w:val="0"/>
                <w:sz w:val="18"/>
                <w:szCs w:val="18"/>
              </w:rPr>
              <w:t>关于印发全市加快建设充换电基础设施工作方案的通知</w:t>
            </w:r>
          </w:p>
        </w:tc>
        <w:tc>
          <w:tcPr>
            <w:tcW w:w="1701" w:type="dxa"/>
            <w:shd w:val="clear" w:color="auto" w:fill="auto"/>
            <w:vAlign w:val="center"/>
          </w:tcPr>
          <w:p>
            <w:pPr>
              <w:widowControl/>
              <w:adjustRightInd w:val="0"/>
              <w:snapToGrid w:val="0"/>
              <w:jc w:val="center"/>
              <w:rPr>
                <w:kern w:val="0"/>
                <w:sz w:val="18"/>
                <w:szCs w:val="18"/>
              </w:rPr>
            </w:pPr>
            <w:r>
              <w:rPr>
                <w:kern w:val="0"/>
                <w:sz w:val="18"/>
                <w:szCs w:val="18"/>
              </w:rPr>
              <w:t>重庆市经济信息委</w:t>
            </w:r>
          </w:p>
        </w:tc>
        <w:tc>
          <w:tcPr>
            <w:tcW w:w="3395" w:type="dxa"/>
            <w:shd w:val="clear" w:color="auto" w:fill="auto"/>
            <w:vAlign w:val="center"/>
          </w:tcPr>
          <w:p>
            <w:pPr>
              <w:widowControl/>
              <w:adjustRightInd w:val="0"/>
              <w:snapToGrid w:val="0"/>
              <w:jc w:val="center"/>
              <w:rPr>
                <w:kern w:val="0"/>
                <w:sz w:val="18"/>
                <w:szCs w:val="18"/>
              </w:rPr>
            </w:pPr>
            <w:r>
              <w:rPr>
                <w:kern w:val="0"/>
                <w:sz w:val="18"/>
                <w:szCs w:val="18"/>
              </w:rPr>
              <w:t>到2025年底，全市建成充电桩超过24万个，其中公共快充桩3万个，建成换电站200座，形成适度超前、布局均衡、智能高效的充换电基础设施服务体系。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4" w:type="dxa"/>
            <w:shd w:val="clear" w:color="auto" w:fill="auto"/>
            <w:vAlign w:val="center"/>
          </w:tcPr>
          <w:p>
            <w:pPr>
              <w:widowControl/>
              <w:adjustRightInd w:val="0"/>
              <w:snapToGrid w:val="0"/>
              <w:jc w:val="center"/>
              <w:rPr>
                <w:kern w:val="0"/>
                <w:sz w:val="18"/>
                <w:szCs w:val="18"/>
              </w:rPr>
            </w:pPr>
            <w:r>
              <w:rPr>
                <w:kern w:val="0"/>
                <w:sz w:val="18"/>
                <w:szCs w:val="18"/>
              </w:rPr>
              <w:t>2018.12</w:t>
            </w:r>
          </w:p>
        </w:tc>
        <w:tc>
          <w:tcPr>
            <w:tcW w:w="2126" w:type="dxa"/>
            <w:shd w:val="clear" w:color="auto" w:fill="auto"/>
            <w:vAlign w:val="center"/>
          </w:tcPr>
          <w:p>
            <w:pPr>
              <w:widowControl/>
              <w:adjustRightInd w:val="0"/>
              <w:snapToGrid w:val="0"/>
              <w:jc w:val="center"/>
              <w:rPr>
                <w:kern w:val="0"/>
                <w:sz w:val="18"/>
                <w:szCs w:val="18"/>
              </w:rPr>
            </w:pPr>
            <w:r>
              <w:rPr>
                <w:kern w:val="0"/>
                <w:sz w:val="18"/>
                <w:szCs w:val="18"/>
              </w:rPr>
              <w:t>重庆市人民政府办公厅关于印发重庆市支持新能源汽车推广应用政策措施（2018—2022年）的通知</w:t>
            </w:r>
          </w:p>
        </w:tc>
        <w:tc>
          <w:tcPr>
            <w:tcW w:w="1701" w:type="dxa"/>
            <w:shd w:val="clear" w:color="auto" w:fill="auto"/>
            <w:vAlign w:val="center"/>
          </w:tcPr>
          <w:p>
            <w:pPr>
              <w:widowControl/>
              <w:adjustRightInd w:val="0"/>
              <w:snapToGrid w:val="0"/>
              <w:jc w:val="center"/>
              <w:rPr>
                <w:kern w:val="0"/>
                <w:sz w:val="18"/>
                <w:szCs w:val="18"/>
              </w:rPr>
            </w:pPr>
            <w:r>
              <w:rPr>
                <w:kern w:val="0"/>
                <w:sz w:val="18"/>
                <w:szCs w:val="18"/>
              </w:rPr>
              <w:t>重庆市人民政府</w:t>
            </w:r>
          </w:p>
        </w:tc>
        <w:tc>
          <w:tcPr>
            <w:tcW w:w="3395" w:type="dxa"/>
            <w:shd w:val="clear" w:color="auto" w:fill="auto"/>
            <w:vAlign w:val="center"/>
          </w:tcPr>
          <w:p>
            <w:pPr>
              <w:widowControl/>
              <w:adjustRightInd w:val="0"/>
              <w:snapToGrid w:val="0"/>
              <w:jc w:val="center"/>
              <w:rPr>
                <w:kern w:val="0"/>
                <w:sz w:val="18"/>
                <w:szCs w:val="18"/>
              </w:rPr>
            </w:pPr>
            <w:r>
              <w:rPr>
                <w:kern w:val="0"/>
                <w:sz w:val="18"/>
                <w:szCs w:val="18"/>
              </w:rPr>
              <w:t>明确了加快充电基础设施建设、优化使用环境、推动公共领域率先应用、落实推广应用地方配套补助政策、加强考核评估等方面的内容。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4" w:type="dxa"/>
            <w:shd w:val="clear" w:color="auto" w:fill="auto"/>
            <w:vAlign w:val="center"/>
          </w:tcPr>
          <w:p>
            <w:pPr>
              <w:widowControl/>
              <w:adjustRightInd w:val="0"/>
              <w:snapToGrid w:val="0"/>
              <w:jc w:val="center"/>
              <w:rPr>
                <w:kern w:val="0"/>
                <w:sz w:val="18"/>
                <w:szCs w:val="18"/>
              </w:rPr>
            </w:pPr>
            <w:r>
              <w:rPr>
                <w:kern w:val="0"/>
                <w:sz w:val="18"/>
                <w:szCs w:val="18"/>
              </w:rPr>
              <w:t>2019.5</w:t>
            </w:r>
          </w:p>
        </w:tc>
        <w:tc>
          <w:tcPr>
            <w:tcW w:w="2126" w:type="dxa"/>
            <w:shd w:val="clear" w:color="auto" w:fill="auto"/>
            <w:vAlign w:val="center"/>
          </w:tcPr>
          <w:p>
            <w:pPr>
              <w:widowControl/>
              <w:adjustRightInd w:val="0"/>
              <w:snapToGrid w:val="0"/>
              <w:jc w:val="center"/>
              <w:rPr>
                <w:kern w:val="0"/>
                <w:sz w:val="18"/>
                <w:szCs w:val="18"/>
              </w:rPr>
            </w:pPr>
            <w:r>
              <w:rPr>
                <w:kern w:val="0"/>
                <w:sz w:val="18"/>
                <w:szCs w:val="18"/>
              </w:rPr>
              <w:t>关于重庆市自用充电桩建设使用政策问答的通知</w:t>
            </w:r>
          </w:p>
        </w:tc>
        <w:tc>
          <w:tcPr>
            <w:tcW w:w="1701" w:type="dxa"/>
            <w:shd w:val="clear" w:color="auto" w:fill="auto"/>
            <w:vAlign w:val="center"/>
          </w:tcPr>
          <w:p>
            <w:pPr>
              <w:widowControl/>
              <w:adjustRightInd w:val="0"/>
              <w:snapToGrid w:val="0"/>
              <w:jc w:val="center"/>
              <w:rPr>
                <w:kern w:val="0"/>
                <w:sz w:val="18"/>
                <w:szCs w:val="18"/>
              </w:rPr>
            </w:pPr>
            <w:r>
              <w:rPr>
                <w:kern w:val="0"/>
                <w:sz w:val="18"/>
                <w:szCs w:val="18"/>
              </w:rPr>
              <w:t>重庆市能源局、重庆市住房和城乡建设委员会</w:t>
            </w:r>
          </w:p>
        </w:tc>
        <w:tc>
          <w:tcPr>
            <w:tcW w:w="3395" w:type="dxa"/>
            <w:shd w:val="clear" w:color="auto" w:fill="auto"/>
            <w:vAlign w:val="center"/>
          </w:tcPr>
          <w:p>
            <w:pPr>
              <w:widowControl/>
              <w:adjustRightInd w:val="0"/>
              <w:snapToGrid w:val="0"/>
              <w:jc w:val="center"/>
              <w:rPr>
                <w:kern w:val="0"/>
                <w:sz w:val="18"/>
                <w:szCs w:val="18"/>
              </w:rPr>
            </w:pPr>
            <w:r>
              <w:rPr>
                <w:kern w:val="0"/>
                <w:sz w:val="18"/>
                <w:szCs w:val="18"/>
              </w:rPr>
              <w:t>为市民们建设和使用自用充电桩进行充分全面的指导，针对当前我市自用充电桩建设和使用过程中的热点、难点问题做了详细的分析和解答。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4" w:type="dxa"/>
            <w:shd w:val="clear" w:color="auto" w:fill="auto"/>
            <w:vAlign w:val="center"/>
          </w:tcPr>
          <w:p>
            <w:pPr>
              <w:widowControl/>
              <w:adjustRightInd w:val="0"/>
              <w:snapToGrid w:val="0"/>
              <w:jc w:val="center"/>
              <w:rPr>
                <w:kern w:val="0"/>
                <w:sz w:val="18"/>
                <w:szCs w:val="18"/>
              </w:rPr>
            </w:pPr>
            <w:r>
              <w:rPr>
                <w:kern w:val="0"/>
                <w:sz w:val="18"/>
                <w:szCs w:val="18"/>
              </w:rPr>
              <w:t>2021.5</w:t>
            </w:r>
          </w:p>
        </w:tc>
        <w:tc>
          <w:tcPr>
            <w:tcW w:w="2126" w:type="dxa"/>
            <w:shd w:val="clear" w:color="auto" w:fill="auto"/>
            <w:vAlign w:val="center"/>
          </w:tcPr>
          <w:p>
            <w:pPr>
              <w:widowControl/>
              <w:adjustRightInd w:val="0"/>
              <w:snapToGrid w:val="0"/>
              <w:jc w:val="center"/>
              <w:rPr>
                <w:kern w:val="0"/>
                <w:sz w:val="18"/>
                <w:szCs w:val="18"/>
              </w:rPr>
            </w:pPr>
            <w:r>
              <w:rPr>
                <w:kern w:val="0"/>
                <w:sz w:val="18"/>
                <w:szCs w:val="18"/>
              </w:rPr>
              <w:t>关于印发重庆市2021年度新能源汽车推广应用财政补贴政策的通知</w:t>
            </w:r>
          </w:p>
        </w:tc>
        <w:tc>
          <w:tcPr>
            <w:tcW w:w="1701" w:type="dxa"/>
            <w:shd w:val="clear" w:color="auto" w:fill="auto"/>
            <w:vAlign w:val="center"/>
          </w:tcPr>
          <w:p>
            <w:pPr>
              <w:widowControl/>
              <w:adjustRightInd w:val="0"/>
              <w:snapToGrid w:val="0"/>
              <w:jc w:val="center"/>
              <w:rPr>
                <w:kern w:val="0"/>
                <w:sz w:val="18"/>
                <w:szCs w:val="18"/>
              </w:rPr>
            </w:pPr>
            <w:r>
              <w:rPr>
                <w:kern w:val="0"/>
                <w:sz w:val="18"/>
                <w:szCs w:val="18"/>
              </w:rPr>
              <w:t>重庆市财政局、重庆市经济和信息化委员会</w:t>
            </w:r>
          </w:p>
        </w:tc>
        <w:tc>
          <w:tcPr>
            <w:tcW w:w="3395" w:type="dxa"/>
            <w:shd w:val="clear" w:color="auto" w:fill="auto"/>
            <w:vAlign w:val="center"/>
          </w:tcPr>
          <w:p>
            <w:pPr>
              <w:widowControl/>
              <w:adjustRightInd w:val="0"/>
              <w:snapToGrid w:val="0"/>
              <w:jc w:val="center"/>
              <w:rPr>
                <w:kern w:val="0"/>
                <w:sz w:val="18"/>
                <w:szCs w:val="18"/>
              </w:rPr>
            </w:pPr>
            <w:r>
              <w:rPr>
                <w:kern w:val="0"/>
                <w:sz w:val="18"/>
                <w:szCs w:val="18"/>
              </w:rPr>
              <w:t>积极支持和推动全市充电设施，特别是公共出行领域的充电设施建设布点。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04" w:type="dxa"/>
            <w:shd w:val="clear" w:color="auto" w:fill="auto"/>
            <w:vAlign w:val="center"/>
          </w:tcPr>
          <w:p>
            <w:pPr>
              <w:widowControl/>
              <w:adjustRightInd w:val="0"/>
              <w:snapToGrid w:val="0"/>
              <w:jc w:val="center"/>
              <w:rPr>
                <w:kern w:val="0"/>
                <w:sz w:val="18"/>
                <w:szCs w:val="18"/>
              </w:rPr>
            </w:pPr>
            <w:r>
              <w:rPr>
                <w:kern w:val="0"/>
                <w:sz w:val="18"/>
                <w:szCs w:val="18"/>
              </w:rPr>
              <w:t>2021.8</w:t>
            </w:r>
          </w:p>
        </w:tc>
        <w:tc>
          <w:tcPr>
            <w:tcW w:w="2126" w:type="dxa"/>
            <w:shd w:val="clear" w:color="auto" w:fill="auto"/>
            <w:vAlign w:val="center"/>
          </w:tcPr>
          <w:p>
            <w:pPr>
              <w:widowControl/>
              <w:adjustRightInd w:val="0"/>
              <w:snapToGrid w:val="0"/>
              <w:jc w:val="center"/>
              <w:rPr>
                <w:kern w:val="0"/>
                <w:sz w:val="18"/>
                <w:szCs w:val="18"/>
              </w:rPr>
            </w:pPr>
            <w:r>
              <w:rPr>
                <w:kern w:val="0"/>
                <w:sz w:val="18"/>
                <w:szCs w:val="18"/>
              </w:rPr>
              <w:t>重庆市2021年度新能源汽车推广应用工作方案</w:t>
            </w:r>
          </w:p>
        </w:tc>
        <w:tc>
          <w:tcPr>
            <w:tcW w:w="1701" w:type="dxa"/>
            <w:shd w:val="clear" w:color="auto" w:fill="auto"/>
            <w:vAlign w:val="center"/>
          </w:tcPr>
          <w:p>
            <w:pPr>
              <w:widowControl/>
              <w:adjustRightInd w:val="0"/>
              <w:snapToGrid w:val="0"/>
              <w:jc w:val="center"/>
              <w:rPr>
                <w:kern w:val="0"/>
                <w:sz w:val="18"/>
                <w:szCs w:val="18"/>
              </w:rPr>
            </w:pPr>
            <w:r>
              <w:rPr>
                <w:kern w:val="0"/>
                <w:sz w:val="18"/>
                <w:szCs w:val="18"/>
              </w:rPr>
              <w:t>重庆市人民政府</w:t>
            </w:r>
          </w:p>
        </w:tc>
        <w:tc>
          <w:tcPr>
            <w:tcW w:w="3395" w:type="dxa"/>
            <w:shd w:val="clear" w:color="auto" w:fill="auto"/>
            <w:vAlign w:val="center"/>
          </w:tcPr>
          <w:p>
            <w:pPr>
              <w:widowControl/>
              <w:adjustRightInd w:val="0"/>
              <w:snapToGrid w:val="0"/>
              <w:jc w:val="center"/>
              <w:rPr>
                <w:kern w:val="0"/>
                <w:sz w:val="18"/>
                <w:szCs w:val="18"/>
              </w:rPr>
            </w:pPr>
            <w:r>
              <w:rPr>
                <w:kern w:val="0"/>
                <w:sz w:val="18"/>
                <w:szCs w:val="18"/>
              </w:rPr>
              <w:t>2021年，全市力争推广应用新能源汽车1万辆以上。</w:t>
            </w:r>
          </w:p>
        </w:tc>
      </w:tr>
    </w:tbl>
    <w:p>
      <w:pPr>
        <w:spacing w:before="120" w:after="120" w:line="360" w:lineRule="auto"/>
        <w:ind w:firstLine="562" w:firstLineChars="200"/>
        <w:outlineLvl w:val="2"/>
        <w:rPr>
          <w:rFonts w:eastAsia="黑体"/>
          <w:b/>
          <w:sz w:val="28"/>
          <w:szCs w:val="28"/>
          <w:shd w:val="clear" w:color="auto" w:fill="FFFFFF"/>
        </w:rPr>
      </w:pPr>
      <w:bookmarkStart w:id="23" w:name="_Toc29936"/>
      <w:r>
        <w:rPr>
          <w:rFonts w:hint="eastAsia" w:eastAsia="黑体"/>
          <w:b/>
          <w:sz w:val="28"/>
          <w:szCs w:val="28"/>
          <w:shd w:val="clear" w:color="auto" w:fill="FFFFFF"/>
        </w:rPr>
        <w:t>3</w:t>
      </w:r>
      <w:r>
        <w:rPr>
          <w:rFonts w:eastAsia="黑体"/>
          <w:b/>
          <w:sz w:val="28"/>
          <w:szCs w:val="28"/>
          <w:shd w:val="clear" w:color="auto" w:fill="FFFFFF"/>
        </w:rPr>
        <w:t>.铜梁区充电设施建设情况</w:t>
      </w:r>
      <w:bookmarkEnd w:id="23"/>
    </w:p>
    <w:p>
      <w:pPr>
        <w:adjustRightInd w:val="0"/>
        <w:snapToGrid w:val="0"/>
        <w:spacing w:line="360" w:lineRule="auto"/>
        <w:ind w:firstLine="562" w:firstLineChars="200"/>
        <w:rPr>
          <w:color w:val="auto"/>
          <w:sz w:val="28"/>
          <w:highlight w:val="red"/>
        </w:rPr>
      </w:pPr>
      <w:r>
        <w:rPr>
          <w:b/>
          <w:bCs/>
          <w:color w:val="auto"/>
          <w:sz w:val="28"/>
        </w:rPr>
        <w:t>（1）电动汽车现状</w:t>
      </w:r>
      <w:r>
        <w:rPr>
          <w:color w:val="auto"/>
          <w:sz w:val="28"/>
        </w:rPr>
        <w:t>：截至2022年为3049辆</w:t>
      </w:r>
      <w:r>
        <w:rPr>
          <w:rFonts w:hint="eastAsia"/>
          <w:color w:val="auto"/>
          <w:sz w:val="28"/>
        </w:rPr>
        <w:t>，其中</w:t>
      </w:r>
      <w:r>
        <w:rPr>
          <w:color w:val="auto"/>
          <w:sz w:val="28"/>
        </w:rPr>
        <w:t>私人电动车保有量为2902辆，占比达95%；电动物流车保有量为60辆，电动公交车保有量为43辆，电动网约车保有量为139辆，其他12辆。20</w:t>
      </w:r>
      <w:r>
        <w:rPr>
          <w:rFonts w:hint="eastAsia"/>
          <w:color w:val="auto"/>
          <w:sz w:val="28"/>
        </w:rPr>
        <w:t>20</w:t>
      </w:r>
      <w:r>
        <w:rPr>
          <w:color w:val="auto"/>
          <w:sz w:val="28"/>
        </w:rPr>
        <w:t>年至202</w:t>
      </w:r>
      <w:r>
        <w:rPr>
          <w:rFonts w:hint="eastAsia"/>
          <w:color w:val="auto"/>
          <w:sz w:val="28"/>
        </w:rPr>
        <w:t>2</w:t>
      </w:r>
      <w:r>
        <w:rPr>
          <w:color w:val="auto"/>
          <w:sz w:val="28"/>
        </w:rPr>
        <w:t>年</w:t>
      </w:r>
      <w:r>
        <w:rPr>
          <w:rFonts w:hint="eastAsia"/>
          <w:color w:val="auto"/>
          <w:sz w:val="28"/>
        </w:rPr>
        <w:t>电动汽车数量平均增长率为</w:t>
      </w:r>
      <w:r>
        <w:rPr>
          <w:color w:val="auto"/>
          <w:sz w:val="28"/>
        </w:rPr>
        <w:t>191.83%</w:t>
      </w:r>
      <w:r>
        <w:rPr>
          <w:rFonts w:hint="eastAsia"/>
          <w:color w:val="auto"/>
          <w:sz w:val="28"/>
        </w:rPr>
        <w:t>，具体</w:t>
      </w:r>
      <w:r>
        <w:rPr>
          <w:color w:val="auto"/>
          <w:sz w:val="28"/>
        </w:rPr>
        <w:t>明细如下表所示</w:t>
      </w:r>
      <w:r>
        <w:rPr>
          <w:rFonts w:hint="eastAsia"/>
          <w:color w:val="auto"/>
          <w:sz w:val="28"/>
        </w:rPr>
        <w:t>。</w:t>
      </w:r>
    </w:p>
    <w:p>
      <w:pPr>
        <w:widowControl/>
        <w:spacing w:line="360" w:lineRule="auto"/>
        <w:jc w:val="center"/>
        <w:rPr>
          <w:color w:val="auto"/>
          <w:sz w:val="18"/>
          <w:szCs w:val="18"/>
        </w:rPr>
      </w:pPr>
      <w:r>
        <w:rPr>
          <w:color w:val="auto"/>
          <w:lang w:val="zh-CN"/>
        </w:rPr>
        <w:t>铜梁</w:t>
      </w:r>
      <w:r>
        <w:rPr>
          <w:rFonts w:hint="eastAsia"/>
          <w:color w:val="auto"/>
        </w:rPr>
        <w:t>区2020-2022年各</w:t>
      </w:r>
      <w:r>
        <w:rPr>
          <w:color w:val="auto"/>
          <w:lang w:val="zh-CN"/>
        </w:rPr>
        <w:t>类</w:t>
      </w:r>
      <w:r>
        <w:rPr>
          <w:rFonts w:hint="eastAsia"/>
          <w:color w:val="auto"/>
          <w:lang w:val="zh-CN"/>
        </w:rPr>
        <w:t>电动</w:t>
      </w:r>
      <w:r>
        <w:rPr>
          <w:color w:val="auto"/>
          <w:lang w:val="zh-CN"/>
        </w:rPr>
        <w:t>汽车保有量</w:t>
      </w:r>
    </w:p>
    <w:tbl>
      <w:tblPr>
        <w:tblStyle w:val="17"/>
        <w:tblW w:w="8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34"/>
        <w:gridCol w:w="1134"/>
        <w:gridCol w:w="1134"/>
        <w:gridCol w:w="1250"/>
        <w:gridCol w:w="1160"/>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88" w:type="dxa"/>
            <w:shd w:val="clear" w:color="000000" w:fill="auto"/>
            <w:vAlign w:val="center"/>
          </w:tcPr>
          <w:p>
            <w:pPr>
              <w:widowControl/>
              <w:spacing w:line="360" w:lineRule="auto"/>
              <w:jc w:val="center"/>
              <w:rPr>
                <w:color w:val="auto"/>
                <w:kern w:val="0"/>
                <w:sz w:val="18"/>
                <w:szCs w:val="18"/>
              </w:rPr>
            </w:pPr>
            <w:r>
              <w:rPr>
                <w:color w:val="auto"/>
                <w:sz w:val="18"/>
                <w:szCs w:val="18"/>
              </w:rPr>
              <w:t>年份</w:t>
            </w:r>
          </w:p>
        </w:tc>
        <w:tc>
          <w:tcPr>
            <w:tcW w:w="1134" w:type="dxa"/>
            <w:shd w:val="clear" w:color="000000" w:fill="auto"/>
            <w:vAlign w:val="center"/>
          </w:tcPr>
          <w:p>
            <w:pPr>
              <w:widowControl/>
              <w:spacing w:line="360" w:lineRule="auto"/>
              <w:jc w:val="center"/>
              <w:rPr>
                <w:color w:val="auto"/>
                <w:sz w:val="18"/>
                <w:szCs w:val="18"/>
              </w:rPr>
            </w:pPr>
            <w:r>
              <w:rPr>
                <w:color w:val="auto"/>
                <w:sz w:val="18"/>
                <w:szCs w:val="18"/>
              </w:rPr>
              <w:t>公交车</w:t>
            </w:r>
          </w:p>
        </w:tc>
        <w:tc>
          <w:tcPr>
            <w:tcW w:w="1134" w:type="dxa"/>
            <w:shd w:val="clear" w:color="000000" w:fill="auto"/>
            <w:vAlign w:val="center"/>
          </w:tcPr>
          <w:p>
            <w:pPr>
              <w:widowControl/>
              <w:spacing w:line="360" w:lineRule="auto"/>
              <w:jc w:val="center"/>
              <w:rPr>
                <w:color w:val="auto"/>
                <w:sz w:val="18"/>
                <w:szCs w:val="18"/>
              </w:rPr>
            </w:pPr>
            <w:r>
              <w:rPr>
                <w:color w:val="auto"/>
                <w:sz w:val="18"/>
                <w:szCs w:val="18"/>
              </w:rPr>
              <w:t>出租车</w:t>
            </w:r>
          </w:p>
        </w:tc>
        <w:tc>
          <w:tcPr>
            <w:tcW w:w="1134" w:type="dxa"/>
            <w:shd w:val="clear" w:color="000000" w:fill="auto"/>
            <w:vAlign w:val="center"/>
          </w:tcPr>
          <w:p>
            <w:pPr>
              <w:widowControl/>
              <w:spacing w:line="360" w:lineRule="auto"/>
              <w:jc w:val="center"/>
              <w:rPr>
                <w:color w:val="auto"/>
                <w:kern w:val="0"/>
                <w:sz w:val="18"/>
                <w:szCs w:val="18"/>
              </w:rPr>
            </w:pPr>
            <w:r>
              <w:rPr>
                <w:color w:val="auto"/>
                <w:sz w:val="18"/>
                <w:szCs w:val="18"/>
              </w:rPr>
              <w:t>物流、环卫车</w:t>
            </w:r>
          </w:p>
        </w:tc>
        <w:tc>
          <w:tcPr>
            <w:tcW w:w="1250" w:type="dxa"/>
            <w:shd w:val="clear" w:color="000000" w:fill="auto"/>
            <w:vAlign w:val="center"/>
          </w:tcPr>
          <w:p>
            <w:pPr>
              <w:widowControl/>
              <w:spacing w:line="360" w:lineRule="auto"/>
              <w:jc w:val="center"/>
              <w:rPr>
                <w:color w:val="auto"/>
                <w:kern w:val="0"/>
                <w:sz w:val="18"/>
                <w:szCs w:val="18"/>
              </w:rPr>
            </w:pPr>
            <w:r>
              <w:rPr>
                <w:color w:val="auto"/>
                <w:sz w:val="18"/>
                <w:szCs w:val="18"/>
              </w:rPr>
              <w:t>私人乘用车</w:t>
            </w:r>
          </w:p>
        </w:tc>
        <w:tc>
          <w:tcPr>
            <w:tcW w:w="1160" w:type="dxa"/>
            <w:shd w:val="clear" w:color="000000" w:fill="auto"/>
            <w:vAlign w:val="center"/>
          </w:tcPr>
          <w:p>
            <w:pPr>
              <w:widowControl/>
              <w:spacing w:line="360" w:lineRule="auto"/>
              <w:jc w:val="center"/>
              <w:rPr>
                <w:color w:val="auto"/>
                <w:kern w:val="0"/>
                <w:sz w:val="18"/>
                <w:szCs w:val="18"/>
              </w:rPr>
            </w:pPr>
            <w:r>
              <w:rPr>
                <w:color w:val="auto"/>
                <w:sz w:val="18"/>
                <w:szCs w:val="18"/>
              </w:rPr>
              <w:t>其他</w:t>
            </w:r>
          </w:p>
        </w:tc>
        <w:tc>
          <w:tcPr>
            <w:tcW w:w="1371" w:type="dxa"/>
            <w:shd w:val="clear" w:color="000000" w:fill="auto"/>
            <w:vAlign w:val="center"/>
          </w:tcPr>
          <w:p>
            <w:pPr>
              <w:widowControl/>
              <w:spacing w:line="360" w:lineRule="auto"/>
              <w:jc w:val="center"/>
              <w:rPr>
                <w:color w:val="auto"/>
                <w:kern w:val="0"/>
                <w:sz w:val="18"/>
                <w:szCs w:val="18"/>
              </w:rPr>
            </w:pPr>
            <w:r>
              <w:rPr>
                <w:color w:val="auto"/>
                <w:sz w:val="18"/>
                <w:szCs w:val="1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shd w:val="clear" w:color="auto" w:fill="auto"/>
            <w:vAlign w:val="center"/>
          </w:tcPr>
          <w:p>
            <w:pPr>
              <w:widowControl/>
              <w:spacing w:line="360" w:lineRule="auto"/>
              <w:jc w:val="center"/>
              <w:rPr>
                <w:color w:val="auto"/>
                <w:sz w:val="18"/>
                <w:szCs w:val="18"/>
              </w:rPr>
            </w:pPr>
            <w:r>
              <w:rPr>
                <w:color w:val="auto"/>
                <w:sz w:val="18"/>
                <w:szCs w:val="18"/>
              </w:rPr>
              <w:t>20</w:t>
            </w:r>
            <w:r>
              <w:rPr>
                <w:rFonts w:hint="eastAsia"/>
                <w:color w:val="auto"/>
                <w:sz w:val="18"/>
                <w:szCs w:val="18"/>
              </w:rPr>
              <w:t>20</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24</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0</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20</w:t>
            </w:r>
          </w:p>
        </w:tc>
        <w:tc>
          <w:tcPr>
            <w:tcW w:w="1250" w:type="dxa"/>
            <w:shd w:val="clear" w:color="auto" w:fill="FFFFFF"/>
            <w:vAlign w:val="center"/>
          </w:tcPr>
          <w:p>
            <w:pPr>
              <w:widowControl/>
              <w:spacing w:line="360" w:lineRule="auto"/>
              <w:jc w:val="center"/>
              <w:rPr>
                <w:color w:val="auto"/>
                <w:sz w:val="18"/>
                <w:szCs w:val="18"/>
              </w:rPr>
            </w:pPr>
            <w:r>
              <w:rPr>
                <w:rFonts w:hint="eastAsia"/>
                <w:color w:val="auto"/>
                <w:sz w:val="18"/>
                <w:szCs w:val="18"/>
              </w:rPr>
              <w:t>303</w:t>
            </w:r>
          </w:p>
        </w:tc>
        <w:tc>
          <w:tcPr>
            <w:tcW w:w="1160" w:type="dxa"/>
            <w:shd w:val="clear" w:color="auto" w:fill="FFFFFF"/>
            <w:vAlign w:val="center"/>
          </w:tcPr>
          <w:p>
            <w:pPr>
              <w:widowControl/>
              <w:spacing w:line="360" w:lineRule="auto"/>
              <w:jc w:val="center"/>
              <w:rPr>
                <w:color w:val="auto"/>
                <w:sz w:val="18"/>
                <w:szCs w:val="18"/>
              </w:rPr>
            </w:pPr>
            <w:r>
              <w:rPr>
                <w:rFonts w:hint="eastAsia"/>
                <w:color w:val="auto"/>
                <w:sz w:val="18"/>
                <w:szCs w:val="18"/>
              </w:rPr>
              <w:t>11</w:t>
            </w:r>
          </w:p>
        </w:tc>
        <w:tc>
          <w:tcPr>
            <w:tcW w:w="1371" w:type="dxa"/>
            <w:shd w:val="clear" w:color="auto" w:fill="FFFFFF"/>
            <w:vAlign w:val="center"/>
          </w:tcPr>
          <w:p>
            <w:pPr>
              <w:widowControl/>
              <w:spacing w:line="360" w:lineRule="auto"/>
              <w:jc w:val="center"/>
              <w:rPr>
                <w:color w:val="auto"/>
                <w:sz w:val="18"/>
                <w:szCs w:val="18"/>
              </w:rPr>
            </w:pPr>
            <w:r>
              <w:rPr>
                <w:rFonts w:hint="eastAsia"/>
                <w:color w:val="auto"/>
                <w:sz w:val="18"/>
                <w:szCs w:val="18"/>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shd w:val="clear" w:color="auto" w:fill="auto"/>
            <w:vAlign w:val="center"/>
          </w:tcPr>
          <w:p>
            <w:pPr>
              <w:widowControl/>
              <w:spacing w:line="360" w:lineRule="auto"/>
              <w:jc w:val="center"/>
              <w:rPr>
                <w:color w:val="auto"/>
                <w:sz w:val="18"/>
                <w:szCs w:val="18"/>
              </w:rPr>
            </w:pPr>
            <w:r>
              <w:rPr>
                <w:color w:val="auto"/>
                <w:sz w:val="18"/>
                <w:szCs w:val="18"/>
              </w:rPr>
              <w:t>20</w:t>
            </w:r>
            <w:r>
              <w:rPr>
                <w:rFonts w:hint="eastAsia"/>
                <w:color w:val="auto"/>
                <w:sz w:val="18"/>
                <w:szCs w:val="18"/>
              </w:rPr>
              <w:t>21</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13</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0</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33</w:t>
            </w:r>
          </w:p>
        </w:tc>
        <w:tc>
          <w:tcPr>
            <w:tcW w:w="1250" w:type="dxa"/>
            <w:shd w:val="clear" w:color="auto" w:fill="FFFFFF"/>
            <w:vAlign w:val="center"/>
          </w:tcPr>
          <w:p>
            <w:pPr>
              <w:widowControl/>
              <w:spacing w:line="360" w:lineRule="auto"/>
              <w:jc w:val="center"/>
              <w:rPr>
                <w:color w:val="auto"/>
                <w:sz w:val="18"/>
                <w:szCs w:val="18"/>
              </w:rPr>
            </w:pPr>
            <w:r>
              <w:rPr>
                <w:rFonts w:hint="eastAsia"/>
                <w:color w:val="auto"/>
                <w:sz w:val="18"/>
                <w:szCs w:val="18"/>
              </w:rPr>
              <w:t>835</w:t>
            </w:r>
          </w:p>
        </w:tc>
        <w:tc>
          <w:tcPr>
            <w:tcW w:w="1160" w:type="dxa"/>
            <w:shd w:val="clear" w:color="auto" w:fill="FFFFFF"/>
            <w:vAlign w:val="center"/>
          </w:tcPr>
          <w:p>
            <w:pPr>
              <w:widowControl/>
              <w:spacing w:line="360" w:lineRule="auto"/>
              <w:jc w:val="center"/>
              <w:rPr>
                <w:color w:val="auto"/>
                <w:sz w:val="18"/>
                <w:szCs w:val="18"/>
              </w:rPr>
            </w:pPr>
            <w:r>
              <w:rPr>
                <w:rFonts w:hint="eastAsia"/>
                <w:color w:val="auto"/>
                <w:sz w:val="18"/>
                <w:szCs w:val="18"/>
              </w:rPr>
              <w:t>123</w:t>
            </w:r>
          </w:p>
        </w:tc>
        <w:tc>
          <w:tcPr>
            <w:tcW w:w="1371" w:type="dxa"/>
            <w:shd w:val="clear" w:color="auto" w:fill="FFFFFF"/>
            <w:vAlign w:val="center"/>
          </w:tcPr>
          <w:p>
            <w:pPr>
              <w:widowControl/>
              <w:spacing w:line="360" w:lineRule="auto"/>
              <w:jc w:val="center"/>
              <w:rPr>
                <w:color w:val="auto"/>
                <w:sz w:val="18"/>
                <w:szCs w:val="18"/>
              </w:rPr>
            </w:pPr>
            <w:r>
              <w:rPr>
                <w:rFonts w:hint="eastAsia"/>
                <w:color w:val="auto"/>
                <w:sz w:val="18"/>
                <w:szCs w:val="18"/>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88" w:type="dxa"/>
            <w:shd w:val="clear" w:color="auto" w:fill="auto"/>
            <w:vAlign w:val="center"/>
          </w:tcPr>
          <w:p>
            <w:pPr>
              <w:widowControl/>
              <w:spacing w:line="360" w:lineRule="auto"/>
              <w:jc w:val="center"/>
              <w:rPr>
                <w:color w:val="auto"/>
                <w:sz w:val="18"/>
                <w:szCs w:val="18"/>
              </w:rPr>
            </w:pPr>
            <w:r>
              <w:rPr>
                <w:color w:val="auto"/>
                <w:sz w:val="18"/>
                <w:szCs w:val="18"/>
              </w:rPr>
              <w:t>20</w:t>
            </w:r>
            <w:r>
              <w:rPr>
                <w:rFonts w:hint="eastAsia"/>
                <w:color w:val="auto"/>
                <w:sz w:val="18"/>
                <w:szCs w:val="18"/>
              </w:rPr>
              <w:t>22</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72</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0</w:t>
            </w:r>
          </w:p>
        </w:tc>
        <w:tc>
          <w:tcPr>
            <w:tcW w:w="1134" w:type="dxa"/>
            <w:shd w:val="clear" w:color="auto" w:fill="FFFFFF"/>
            <w:vAlign w:val="center"/>
          </w:tcPr>
          <w:p>
            <w:pPr>
              <w:widowControl/>
              <w:spacing w:line="360" w:lineRule="auto"/>
              <w:jc w:val="center"/>
              <w:rPr>
                <w:color w:val="auto"/>
                <w:sz w:val="18"/>
                <w:szCs w:val="18"/>
              </w:rPr>
            </w:pPr>
            <w:r>
              <w:rPr>
                <w:rFonts w:hint="eastAsia"/>
                <w:color w:val="auto"/>
                <w:sz w:val="18"/>
                <w:szCs w:val="18"/>
              </w:rPr>
              <w:t>60</w:t>
            </w:r>
          </w:p>
        </w:tc>
        <w:tc>
          <w:tcPr>
            <w:tcW w:w="1250" w:type="dxa"/>
            <w:shd w:val="clear" w:color="auto" w:fill="FFFFFF"/>
            <w:vAlign w:val="center"/>
          </w:tcPr>
          <w:p>
            <w:pPr>
              <w:widowControl/>
              <w:spacing w:line="360" w:lineRule="auto"/>
              <w:jc w:val="center"/>
              <w:rPr>
                <w:color w:val="auto"/>
                <w:sz w:val="18"/>
                <w:szCs w:val="18"/>
              </w:rPr>
            </w:pPr>
            <w:r>
              <w:rPr>
                <w:rFonts w:hint="eastAsia"/>
                <w:color w:val="auto"/>
                <w:sz w:val="18"/>
                <w:szCs w:val="18"/>
              </w:rPr>
              <w:t>2902</w:t>
            </w:r>
          </w:p>
        </w:tc>
        <w:tc>
          <w:tcPr>
            <w:tcW w:w="1160" w:type="dxa"/>
            <w:shd w:val="clear" w:color="auto" w:fill="FFFFFF"/>
            <w:vAlign w:val="center"/>
          </w:tcPr>
          <w:p>
            <w:pPr>
              <w:widowControl/>
              <w:spacing w:line="360" w:lineRule="auto"/>
              <w:jc w:val="center"/>
              <w:rPr>
                <w:color w:val="auto"/>
                <w:sz w:val="18"/>
                <w:szCs w:val="18"/>
              </w:rPr>
            </w:pPr>
            <w:r>
              <w:rPr>
                <w:rFonts w:hint="eastAsia"/>
                <w:color w:val="auto"/>
                <w:sz w:val="18"/>
                <w:szCs w:val="18"/>
              </w:rPr>
              <w:t>15</w:t>
            </w:r>
          </w:p>
        </w:tc>
        <w:tc>
          <w:tcPr>
            <w:tcW w:w="1371" w:type="dxa"/>
            <w:shd w:val="clear" w:color="auto" w:fill="FFFFFF"/>
            <w:vAlign w:val="center"/>
          </w:tcPr>
          <w:p>
            <w:pPr>
              <w:widowControl/>
              <w:spacing w:line="360" w:lineRule="auto"/>
              <w:jc w:val="center"/>
              <w:rPr>
                <w:color w:val="auto"/>
                <w:sz w:val="18"/>
                <w:szCs w:val="18"/>
              </w:rPr>
            </w:pPr>
            <w:r>
              <w:rPr>
                <w:rFonts w:hint="eastAsia"/>
                <w:color w:val="auto"/>
                <w:sz w:val="18"/>
                <w:szCs w:val="18"/>
              </w:rPr>
              <w:t>3049</w:t>
            </w:r>
          </w:p>
        </w:tc>
      </w:tr>
    </w:tbl>
    <w:p>
      <w:pPr>
        <w:adjustRightInd w:val="0"/>
        <w:snapToGrid w:val="0"/>
        <w:spacing w:line="360" w:lineRule="auto"/>
        <w:rPr>
          <w:bCs/>
          <w:color w:val="auto"/>
          <w:sz w:val="28"/>
        </w:rPr>
      </w:pPr>
    </w:p>
    <w:p>
      <w:pPr>
        <w:pStyle w:val="52"/>
        <w:spacing w:line="360" w:lineRule="auto"/>
        <w:ind w:firstLine="281" w:firstLineChars="100"/>
        <w:rPr>
          <w:color w:val="auto"/>
          <w:sz w:val="28"/>
          <w:szCs w:val="20"/>
        </w:rPr>
      </w:pPr>
      <w:bookmarkStart w:id="24" w:name="_Toc236"/>
      <w:r>
        <w:rPr>
          <w:b/>
          <w:bCs/>
          <w:color w:val="auto"/>
          <w:sz w:val="28"/>
          <w:szCs w:val="20"/>
        </w:rPr>
        <w:t>（2）充电桩建设情况</w:t>
      </w:r>
      <w:bookmarkEnd w:id="24"/>
      <w:r>
        <w:rPr>
          <w:color w:val="auto"/>
          <w:sz w:val="28"/>
          <w:szCs w:val="20"/>
        </w:rPr>
        <w:t>：截至2022年，铜梁区有充电站22座，公共直流充电桩106个</w:t>
      </w:r>
      <w:r>
        <w:rPr>
          <w:rFonts w:hint="eastAsia"/>
          <w:color w:val="auto"/>
          <w:sz w:val="28"/>
          <w:szCs w:val="20"/>
        </w:rPr>
        <w:t>、</w:t>
      </w:r>
      <w:r>
        <w:rPr>
          <w:color w:val="auto"/>
          <w:sz w:val="28"/>
          <w:szCs w:val="20"/>
        </w:rPr>
        <w:t>私人充电桩937个</w:t>
      </w:r>
      <w:r>
        <w:rPr>
          <w:rFonts w:hint="eastAsia"/>
          <w:color w:val="auto"/>
          <w:sz w:val="28"/>
          <w:szCs w:val="20"/>
        </w:rPr>
        <w:t>。</w:t>
      </w:r>
      <w:r>
        <w:rPr>
          <w:color w:val="auto"/>
          <w:sz w:val="28"/>
          <w:szCs w:val="20"/>
        </w:rPr>
        <w:t>铜梁区公共车桩比</w:t>
      </w:r>
      <w:r>
        <w:rPr>
          <w:rFonts w:hint="eastAsia"/>
          <w:color w:val="auto"/>
          <w:sz w:val="28"/>
          <w:szCs w:val="20"/>
        </w:rPr>
        <w:t>约</w:t>
      </w:r>
      <w:r>
        <w:rPr>
          <w:color w:val="auto"/>
          <w:sz w:val="28"/>
          <w:szCs w:val="20"/>
        </w:rPr>
        <w:t>为1</w:t>
      </w:r>
      <w:r>
        <w:rPr>
          <w:rFonts w:hint="eastAsia"/>
          <w:color w:val="auto"/>
          <w:sz w:val="28"/>
          <w:szCs w:val="20"/>
        </w:rPr>
        <w:t>9.92:1，较全市车桩比（6.55:1）低13个百分点</w:t>
      </w:r>
      <w:r>
        <w:rPr>
          <w:color w:val="auto"/>
          <w:sz w:val="28"/>
          <w:szCs w:val="20"/>
        </w:rPr>
        <w:t>。</w:t>
      </w:r>
    </w:p>
    <w:p>
      <w:pPr>
        <w:jc w:val="center"/>
        <w:rPr>
          <w:rFonts w:eastAsia="方正仿宋_GBK"/>
          <w:color w:val="000000"/>
          <w:sz w:val="28"/>
          <w:szCs w:val="28"/>
          <w:lang w:val="zh-CN"/>
        </w:rPr>
      </w:pPr>
      <w:r>
        <w:rPr>
          <w:rFonts w:eastAsia="方正仿宋_GBK"/>
          <w:color w:val="000000"/>
          <w:sz w:val="28"/>
          <w:szCs w:val="28"/>
          <w:lang w:val="zh-CN"/>
        </w:rPr>
        <w:t xml:space="preserve"> </w:t>
      </w:r>
      <w:r>
        <w:rPr>
          <w:rFonts w:eastAsia="方正仿宋_GBK"/>
          <w:color w:val="000000"/>
          <w:sz w:val="24"/>
          <w:szCs w:val="24"/>
        </w:rPr>
        <w:t>铜梁区公共</w:t>
      </w:r>
      <w:r>
        <w:rPr>
          <w:rFonts w:eastAsia="方正仿宋_GBK"/>
          <w:color w:val="000000"/>
          <w:sz w:val="24"/>
          <w:szCs w:val="24"/>
          <w:lang w:val="zh-CN"/>
        </w:rPr>
        <w:t>充换电设施明细表</w:t>
      </w:r>
    </w:p>
    <w:tbl>
      <w:tblPr>
        <w:tblStyle w:val="17"/>
        <w:tblpPr w:leftFromText="180" w:rightFromText="180" w:vertAnchor="text" w:horzAnchor="page" w:tblpX="1316" w:tblpY="284"/>
        <w:tblOverlap w:val="never"/>
        <w:tblW w:w="9791" w:type="dxa"/>
        <w:tblInd w:w="0" w:type="dxa"/>
        <w:tblLayout w:type="fixed"/>
        <w:tblCellMar>
          <w:top w:w="0" w:type="dxa"/>
          <w:left w:w="108" w:type="dxa"/>
          <w:bottom w:w="0" w:type="dxa"/>
          <w:right w:w="108" w:type="dxa"/>
        </w:tblCellMar>
      </w:tblPr>
      <w:tblGrid>
        <w:gridCol w:w="881"/>
        <w:gridCol w:w="2642"/>
        <w:gridCol w:w="2043"/>
        <w:gridCol w:w="2297"/>
        <w:gridCol w:w="991"/>
        <w:gridCol w:w="937"/>
      </w:tblGrid>
      <w:tr>
        <w:tblPrEx>
          <w:tblCellMar>
            <w:top w:w="0" w:type="dxa"/>
            <w:left w:w="108" w:type="dxa"/>
            <w:bottom w:w="0" w:type="dxa"/>
            <w:right w:w="108" w:type="dxa"/>
          </w:tblCellMar>
        </w:tblPrEx>
        <w:trPr>
          <w:trHeight w:val="590" w:hRule="atLeast"/>
          <w:tblHeader/>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bCs/>
                <w:color w:val="000000"/>
                <w:szCs w:val="21"/>
              </w:rPr>
            </w:pPr>
            <w:r>
              <w:rPr>
                <w:b/>
                <w:bCs/>
                <w:color w:val="000000"/>
                <w:kern w:val="0"/>
                <w:szCs w:val="21"/>
                <w:lang w:bidi="ar"/>
              </w:rPr>
              <w:t>序号</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ind w:firstLine="422" w:firstLineChars="200"/>
              <w:jc w:val="center"/>
              <w:textAlignment w:val="center"/>
              <w:rPr>
                <w:b/>
                <w:bCs/>
                <w:color w:val="000000"/>
                <w:szCs w:val="21"/>
              </w:rPr>
            </w:pPr>
            <w:r>
              <w:rPr>
                <w:b/>
                <w:bCs/>
                <w:color w:val="000000"/>
                <w:kern w:val="0"/>
                <w:szCs w:val="21"/>
                <w:lang w:bidi="ar"/>
              </w:rPr>
              <w:t>充电站名称</w:t>
            </w:r>
          </w:p>
        </w:tc>
        <w:tc>
          <w:tcPr>
            <w:tcW w:w="2043" w:type="dxa"/>
            <w:tcBorders>
              <w:top w:val="single" w:color="000000" w:sz="4" w:space="0"/>
              <w:left w:val="single" w:color="000000" w:sz="4" w:space="0"/>
              <w:right w:val="single" w:color="000000" w:sz="4" w:space="0"/>
            </w:tcBorders>
            <w:vAlign w:val="center"/>
          </w:tcPr>
          <w:p>
            <w:pPr>
              <w:widowControl/>
              <w:ind w:firstLine="422" w:firstLineChars="200"/>
              <w:jc w:val="center"/>
              <w:textAlignment w:val="center"/>
              <w:rPr>
                <w:b/>
                <w:bCs/>
                <w:color w:val="000000"/>
                <w:kern w:val="0"/>
                <w:szCs w:val="21"/>
                <w:lang w:bidi="ar"/>
              </w:rPr>
            </w:pPr>
            <w:r>
              <w:rPr>
                <w:b/>
                <w:bCs/>
                <w:color w:val="000000"/>
                <w:kern w:val="0"/>
                <w:szCs w:val="21"/>
                <w:lang w:bidi="ar"/>
              </w:rPr>
              <w:t>地址</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ind w:firstLine="422" w:firstLineChars="200"/>
              <w:jc w:val="center"/>
              <w:textAlignment w:val="center"/>
              <w:rPr>
                <w:b/>
                <w:bCs/>
                <w:color w:val="000000"/>
                <w:kern w:val="0"/>
                <w:szCs w:val="21"/>
                <w:lang w:bidi="ar"/>
              </w:rPr>
            </w:pPr>
            <w:r>
              <w:rPr>
                <w:b/>
                <w:bCs/>
                <w:color w:val="000000"/>
                <w:kern w:val="0"/>
                <w:szCs w:val="21"/>
                <w:lang w:bidi="ar"/>
              </w:rPr>
              <w:t>产权方</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bCs/>
                <w:color w:val="000000"/>
                <w:kern w:val="0"/>
                <w:szCs w:val="21"/>
                <w:lang w:bidi="ar"/>
              </w:rPr>
            </w:pPr>
            <w:r>
              <w:rPr>
                <w:b/>
                <w:bCs/>
                <w:color w:val="000000"/>
                <w:kern w:val="0"/>
                <w:szCs w:val="21"/>
                <w:lang w:bidi="ar"/>
              </w:rPr>
              <w:t>快充数量（个）</w:t>
            </w:r>
          </w:p>
        </w:tc>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b/>
                <w:bCs/>
                <w:color w:val="000000"/>
                <w:kern w:val="0"/>
                <w:szCs w:val="21"/>
                <w:lang w:bidi="ar"/>
              </w:rPr>
            </w:pPr>
            <w:r>
              <w:rPr>
                <w:b/>
                <w:bCs/>
                <w:color w:val="000000"/>
                <w:kern w:val="0"/>
                <w:szCs w:val="21"/>
                <w:lang w:bidi="ar"/>
              </w:rPr>
              <w:t>慢充数量（个）</w:t>
            </w: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szCs w:val="21"/>
              </w:rPr>
            </w:pPr>
            <w:r>
              <w:rPr>
                <w:color w:val="000000"/>
                <w:kern w:val="0"/>
                <w:szCs w:val="21"/>
                <w:lang w:bidi="ar"/>
              </w:rPr>
              <w:t>1</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szCs w:val="21"/>
              </w:rPr>
            </w:pPr>
            <w:r>
              <w:rPr>
                <w:color w:val="000000"/>
                <w:kern w:val="0"/>
                <w:szCs w:val="21"/>
                <w:lang w:bidi="ar"/>
              </w:rPr>
              <w:t>龙华运输有限公司公交分公司新能源公交车充电站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兴农东街</w:t>
            </w:r>
            <w:r>
              <w:rPr>
                <w:color w:val="000000"/>
                <w:szCs w:val="21"/>
                <w:lang w:bidi="ar"/>
              </w:rPr>
              <w:t>42号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龙华运输公交分公司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14</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铜梁玉泉光储充检换一体站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东城街道金川大道支路</w:t>
            </w:r>
            <w:r>
              <w:rPr>
                <w:color w:val="000000"/>
                <w:szCs w:val="21"/>
                <w:lang w:bidi="ar"/>
              </w:rPr>
              <w:t>2号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3</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龙都时代广场特来电充电站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szCs w:val="21"/>
                <w:lang w:bidi="ar"/>
              </w:rPr>
              <w:t>龙都时代广场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重庆立友彩商贸有限公司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4</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成渝环线铜梁（重庆方向）充电站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铜梁服务区（重庆方向）</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8</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5</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铜梁供电公司办公楼充电站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金龙大道</w:t>
            </w:r>
            <w:r>
              <w:rPr>
                <w:color w:val="000000"/>
                <w:szCs w:val="21"/>
                <w:lang w:bidi="ar"/>
              </w:rPr>
              <w:t>606号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8</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6</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金龙城投万达广场公共充电站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重庆市重庆万达广场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金龙城市建设公司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6</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highlight w:val="yellow"/>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7</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铜梁北站广场充电站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北站</w:t>
            </w:r>
            <w:r>
              <w:rPr>
                <w:color w:val="000000"/>
                <w:szCs w:val="21"/>
                <w:lang w:bidi="ar"/>
              </w:rPr>
              <w:t>9号楼前广场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重庆星充新能源科技</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6</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8</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铜梁高新区供电服务中心站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蒲吕供电营业厅</w:t>
            </w:r>
            <w:r>
              <w:rPr>
                <w:color w:val="000000"/>
                <w:szCs w:val="21"/>
                <w:lang w:bidi="ar"/>
              </w:rPr>
              <w:t>(铜梁区)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5</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9</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kern w:val="0"/>
                <w:szCs w:val="21"/>
                <w:lang w:bidi="ar"/>
              </w:rPr>
            </w:pPr>
            <w:r>
              <w:rPr>
                <w:color w:val="000000"/>
                <w:kern w:val="0"/>
                <w:szCs w:val="21"/>
                <w:lang w:bidi="ar"/>
              </w:rPr>
              <w:t>铜梁益佳充电站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kern w:val="0"/>
                <w:szCs w:val="21"/>
                <w:lang w:bidi="ar"/>
              </w:rPr>
            </w:pPr>
            <w:r>
              <w:rPr>
                <w:color w:val="000000"/>
                <w:kern w:val="0"/>
                <w:szCs w:val="21"/>
                <w:lang w:bidi="ar"/>
              </w:rPr>
              <w:t>南城街道金龙大道</w:t>
            </w:r>
            <w:r>
              <w:rPr>
                <w:color w:val="000000"/>
                <w:szCs w:val="21"/>
                <w:lang w:bidi="ar"/>
              </w:rPr>
              <w:t>34号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4</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10</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成渝环线高速铜梁服务区充电站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铜梁服务区（成都方向）</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4</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11</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渝蓉高速围龙服务区充电站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围龙服务区</w:t>
            </w:r>
            <w:r>
              <w:rPr>
                <w:color w:val="000000"/>
                <w:szCs w:val="21"/>
                <w:lang w:bidi="ar"/>
              </w:rPr>
              <w:t>(成都方向）</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4</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12</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渝蓉高速围龙服务区充电站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围龙服务区（重庆方向）</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4</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13</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铜梁德心汽贸城充电站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东城街道铜梁汽车客运北站</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重庆星充新能源科技</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3</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14</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二号可移动充电站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围龙服务区（成都方向）</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15</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一号可移动充电站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围龙服务区（重庆方向）</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16</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铜梁益佳汽车站充电站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南城街道金龙大道</w:t>
            </w:r>
            <w:r>
              <w:rPr>
                <w:color w:val="000000"/>
                <w:szCs w:val="21"/>
                <w:lang w:bidi="ar"/>
              </w:rPr>
              <w:t>34号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17</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人民公园停车场充电站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人民公园停车场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18</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重庆传媒学院充电站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科技园区学府大道</w:t>
            </w:r>
            <w:r>
              <w:rPr>
                <w:color w:val="000000"/>
                <w:szCs w:val="21"/>
                <w:lang w:bidi="ar"/>
              </w:rPr>
              <w:t>302号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重庆两江特来电</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r>
              <w:rPr>
                <w:color w:val="000000"/>
                <w:kern w:val="0"/>
                <w:szCs w:val="21"/>
                <w:lang w:bidi="ar"/>
              </w:rPr>
              <w:t>8</w:t>
            </w: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19</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重庆铜梁新七天酒店充电站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学府大道学府雅苑</w:t>
            </w:r>
            <w:r>
              <w:rPr>
                <w:color w:val="000000"/>
                <w:szCs w:val="21"/>
                <w:lang w:bidi="ar"/>
              </w:rPr>
              <w:t>81号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重庆两江特来电</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r>
              <w:rPr>
                <w:color w:val="000000"/>
                <w:kern w:val="0"/>
                <w:szCs w:val="21"/>
                <w:lang w:bidi="ar"/>
              </w:rPr>
              <w:t>5</w:t>
            </w: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20</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玉皇充电站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巴川玉黄街道停车场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国网重庆市电力公司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21</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重庆铜梁左寨充电站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重庆市市辖区铜梁区民营街</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重庆特来电新能源</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r>
              <w:rPr>
                <w:color w:val="000000"/>
                <w:kern w:val="0"/>
                <w:szCs w:val="21"/>
                <w:lang w:bidi="ar"/>
              </w:rPr>
              <w:t>1</w:t>
            </w: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22</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铜梁北站物流充电站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东城街道金川大道</w:t>
            </w:r>
            <w:r>
              <w:rPr>
                <w:color w:val="000000"/>
                <w:szCs w:val="21"/>
                <w:lang w:bidi="ar"/>
              </w:rPr>
              <w:t>1号</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重庆星充新能源</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23</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中央公园充电站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中央公园生态停车场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金龙城市建设公司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6</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24</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罗睺寺公园充电站</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罗睺寺公园生态停车场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金龙城市建设公司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8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25</w:t>
            </w:r>
          </w:p>
        </w:tc>
        <w:tc>
          <w:tcPr>
            <w:tcW w:w="264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人民医院停车场</w:t>
            </w:r>
          </w:p>
        </w:tc>
        <w:tc>
          <w:tcPr>
            <w:tcW w:w="2043"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color w:val="000000"/>
                <w:kern w:val="0"/>
                <w:szCs w:val="21"/>
                <w:lang w:bidi="ar"/>
              </w:rPr>
            </w:pPr>
            <w:r>
              <w:rPr>
                <w:color w:val="000000"/>
                <w:kern w:val="0"/>
                <w:szCs w:val="21"/>
                <w:lang w:bidi="ar"/>
              </w:rPr>
              <w:t>人民医院停车场</w:t>
            </w:r>
          </w:p>
        </w:tc>
        <w:tc>
          <w:tcPr>
            <w:tcW w:w="22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金龙城市建设公司</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12</w:t>
            </w:r>
          </w:p>
        </w:tc>
        <w:tc>
          <w:tcPr>
            <w:tcW w:w="937" w:type="dxa"/>
            <w:tcBorders>
              <w:top w:val="single" w:color="000000" w:sz="4" w:space="0"/>
              <w:left w:val="single" w:color="000000" w:sz="4" w:space="0"/>
              <w:bottom w:val="single" w:color="000000" w:sz="4" w:space="0"/>
              <w:right w:val="single" w:color="000000" w:sz="4" w:space="0"/>
            </w:tcBorders>
          </w:tcPr>
          <w:p>
            <w:pPr>
              <w:widowControl/>
              <w:spacing w:before="180" w:beforeLines="75"/>
              <w:jc w:val="center"/>
              <w:textAlignment w:val="center"/>
              <w:rPr>
                <w:color w:val="000000"/>
                <w:kern w:val="0"/>
                <w:szCs w:val="21"/>
                <w:lang w:bidi="ar"/>
              </w:rPr>
            </w:pPr>
          </w:p>
        </w:tc>
      </w:tr>
      <w:tr>
        <w:tblPrEx>
          <w:tblCellMar>
            <w:top w:w="0" w:type="dxa"/>
            <w:left w:w="108" w:type="dxa"/>
            <w:bottom w:w="0" w:type="dxa"/>
            <w:right w:w="108" w:type="dxa"/>
          </w:tblCellMar>
        </w:tblPrEx>
        <w:trPr>
          <w:trHeight w:val="288" w:hRule="atLeast"/>
        </w:trPr>
        <w:tc>
          <w:tcPr>
            <w:tcW w:w="7863"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jc w:val="center"/>
              <w:textAlignment w:val="center"/>
              <w:rPr>
                <w:color w:val="000000"/>
                <w:kern w:val="0"/>
                <w:szCs w:val="21"/>
                <w:lang w:bidi="ar"/>
              </w:rPr>
            </w:pPr>
            <w:r>
              <w:rPr>
                <w:color w:val="000000"/>
                <w:kern w:val="0"/>
                <w:szCs w:val="21"/>
                <w:lang w:bidi="ar"/>
              </w:rPr>
              <w:t>合计数量</w:t>
            </w:r>
          </w:p>
        </w:tc>
        <w:tc>
          <w:tcPr>
            <w:tcW w:w="9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kern w:val="0"/>
                <w:szCs w:val="21"/>
                <w:lang w:bidi="ar"/>
              </w:rPr>
            </w:pPr>
            <w:r>
              <w:rPr>
                <w:color w:val="000000"/>
                <w:kern w:val="0"/>
                <w:szCs w:val="21"/>
                <w:lang w:bidi="ar"/>
              </w:rPr>
              <w:t>106</w:t>
            </w:r>
          </w:p>
        </w:tc>
        <w:tc>
          <w:tcPr>
            <w:tcW w:w="93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color w:val="000000"/>
                <w:kern w:val="0"/>
                <w:szCs w:val="21"/>
                <w:lang w:bidi="ar"/>
              </w:rPr>
            </w:pPr>
            <w:r>
              <w:rPr>
                <w:color w:val="000000"/>
                <w:kern w:val="0"/>
                <w:szCs w:val="21"/>
                <w:lang w:bidi="ar"/>
              </w:rPr>
              <w:t>14</w:t>
            </w:r>
          </w:p>
        </w:tc>
      </w:tr>
      <w:bookmarkEnd w:id="20"/>
    </w:tbl>
    <w:p>
      <w:pPr>
        <w:pStyle w:val="52"/>
        <w:spacing w:line="360" w:lineRule="auto"/>
        <w:ind w:firstLine="562" w:firstLineChars="200"/>
        <w:rPr>
          <w:sz w:val="28"/>
          <w:szCs w:val="20"/>
        </w:rPr>
      </w:pPr>
      <w:bookmarkStart w:id="25" w:name="_Toc80885307"/>
      <w:bookmarkStart w:id="26" w:name="_Toc21869"/>
      <w:r>
        <w:rPr>
          <w:b/>
          <w:bCs/>
          <w:sz w:val="28"/>
          <w:szCs w:val="20"/>
        </w:rPr>
        <w:t>（3）运营商情况</w:t>
      </w:r>
      <w:r>
        <w:rPr>
          <w:sz w:val="28"/>
          <w:szCs w:val="20"/>
        </w:rPr>
        <w:t>：目前，铜梁区内充电站主要由国网公司、金龙城投、特来电、星星充电等企业参与充电设施建设及运营，以上公司均建立自有服务平台。</w:t>
      </w:r>
    </w:p>
    <w:bookmarkEnd w:id="25"/>
    <w:bookmarkEnd w:id="26"/>
    <w:p>
      <w:pPr>
        <w:pStyle w:val="5"/>
        <w:spacing w:before="120" w:after="120" w:line="360" w:lineRule="auto"/>
        <w:rPr>
          <w:rFonts w:hint="eastAsia" w:ascii="Times New Roman" w:hAnsi="Times New Roman" w:eastAsia="宋体" w:cs="Times New Roman"/>
          <w:sz w:val="30"/>
          <w:szCs w:val="30"/>
          <w:lang w:eastAsia="zh-CN"/>
        </w:rPr>
      </w:pPr>
      <w:bookmarkStart w:id="27" w:name="_Toc1238"/>
      <w:r>
        <w:rPr>
          <w:rFonts w:ascii="Times New Roman" w:hAnsi="Times New Roman" w:eastAsia="宋体" w:cs="Times New Roman"/>
          <w:sz w:val="30"/>
          <w:szCs w:val="30"/>
        </w:rPr>
        <w:t>（</w:t>
      </w:r>
      <w:r>
        <w:rPr>
          <w:rFonts w:hint="eastAsia" w:ascii="Times New Roman" w:hAnsi="Times New Roman" w:eastAsia="宋体" w:cs="Times New Roman"/>
          <w:sz w:val="30"/>
          <w:szCs w:val="30"/>
          <w:lang w:eastAsia="zh-CN"/>
        </w:rPr>
        <w:t>三</w:t>
      </w:r>
      <w:r>
        <w:rPr>
          <w:rFonts w:ascii="Times New Roman" w:hAnsi="Times New Roman" w:eastAsia="宋体" w:cs="Times New Roman"/>
          <w:sz w:val="30"/>
          <w:szCs w:val="30"/>
        </w:rPr>
        <w:t>）</w:t>
      </w:r>
      <w:r>
        <w:rPr>
          <w:rFonts w:hint="eastAsia" w:ascii="Times New Roman" w:hAnsi="Times New Roman" w:eastAsia="宋体" w:cs="Times New Roman"/>
          <w:sz w:val="30"/>
          <w:szCs w:val="30"/>
          <w:lang w:eastAsia="zh-CN"/>
        </w:rPr>
        <w:t>存在问题</w:t>
      </w:r>
      <w:bookmarkEnd w:id="27"/>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b/>
          <w:bCs/>
          <w:sz w:val="28"/>
        </w:rPr>
      </w:pPr>
      <w:bookmarkStart w:id="28" w:name="_Toc26721"/>
      <w:r>
        <w:rPr>
          <w:rFonts w:hint="eastAsia"/>
          <w:b/>
          <w:bCs/>
          <w:sz w:val="28"/>
          <w:lang w:val="en-US" w:eastAsia="zh-CN"/>
        </w:rPr>
        <w:t>1.</w:t>
      </w:r>
      <w:r>
        <w:rPr>
          <w:b/>
          <w:bCs/>
          <w:sz w:val="28"/>
        </w:rPr>
        <w:t>充电设施网络布局不均衡</w:t>
      </w:r>
      <w:bookmarkEnd w:id="28"/>
    </w:p>
    <w:p>
      <w:pPr>
        <w:adjustRightInd w:val="0"/>
        <w:snapToGrid w:val="0"/>
        <w:spacing w:line="360" w:lineRule="auto"/>
        <w:ind w:firstLine="560" w:firstLineChars="200"/>
        <w:rPr>
          <w:sz w:val="28"/>
        </w:rPr>
      </w:pPr>
      <w:r>
        <w:rPr>
          <w:sz w:val="28"/>
        </w:rPr>
        <w:t>一是全区公用快充设施建设缺乏总体布局规划</w:t>
      </w:r>
      <w:r>
        <w:rPr>
          <w:rFonts w:hint="eastAsia"/>
          <w:sz w:val="28"/>
        </w:rPr>
        <w:t>。</w:t>
      </w:r>
      <w:r>
        <w:rPr>
          <w:sz w:val="28"/>
        </w:rPr>
        <w:t>《重庆市城市规划管理技术规定》尚未明确充电基础设施用地，充电设施建设进度</w:t>
      </w:r>
      <w:r>
        <w:rPr>
          <w:rFonts w:hint="eastAsia"/>
          <w:sz w:val="28"/>
        </w:rPr>
        <w:t>受</w:t>
      </w:r>
      <w:r>
        <w:rPr>
          <w:sz w:val="28"/>
        </w:rPr>
        <w:t>用地政策不完善</w:t>
      </w:r>
      <w:r>
        <w:rPr>
          <w:rFonts w:hint="eastAsia"/>
          <w:sz w:val="28"/>
        </w:rPr>
        <w:t>因素制约较大。</w:t>
      </w:r>
    </w:p>
    <w:p>
      <w:pPr>
        <w:adjustRightInd w:val="0"/>
        <w:snapToGrid w:val="0"/>
        <w:spacing w:line="360" w:lineRule="auto"/>
        <w:ind w:firstLine="560" w:firstLineChars="200"/>
        <w:rPr>
          <w:sz w:val="28"/>
        </w:rPr>
      </w:pPr>
      <w:r>
        <w:rPr>
          <w:sz w:val="28"/>
        </w:rPr>
        <w:t>二是部分充电桩</w:t>
      </w:r>
      <w:r>
        <w:rPr>
          <w:rFonts w:hint="eastAsia"/>
          <w:sz w:val="28"/>
        </w:rPr>
        <w:t>（</w:t>
      </w:r>
      <w:r>
        <w:rPr>
          <w:sz w:val="28"/>
        </w:rPr>
        <w:t>站</w:t>
      </w:r>
      <w:r>
        <w:rPr>
          <w:rFonts w:hint="eastAsia"/>
          <w:sz w:val="28"/>
        </w:rPr>
        <w:t>）</w:t>
      </w:r>
      <w:r>
        <w:rPr>
          <w:sz w:val="28"/>
        </w:rPr>
        <w:t>存在选址不合理</w:t>
      </w:r>
      <w:r>
        <w:rPr>
          <w:rFonts w:hint="eastAsia"/>
          <w:sz w:val="28"/>
        </w:rPr>
        <w:t>，</w:t>
      </w:r>
      <w:r>
        <w:rPr>
          <w:sz w:val="28"/>
        </w:rPr>
        <w:t>缺乏充电设施标志标识指引、充电车位被燃油车占用</w:t>
      </w:r>
      <w:r>
        <w:rPr>
          <w:rFonts w:hint="eastAsia"/>
          <w:sz w:val="28"/>
        </w:rPr>
        <w:t>等问题</w:t>
      </w:r>
      <w:r>
        <w:rPr>
          <w:sz w:val="28"/>
        </w:rPr>
        <w:t>，充电桩利用率</w:t>
      </w:r>
      <w:r>
        <w:rPr>
          <w:rFonts w:hint="eastAsia"/>
          <w:sz w:val="28"/>
        </w:rPr>
        <w:t>较</w:t>
      </w:r>
      <w:r>
        <w:rPr>
          <w:sz w:val="28"/>
        </w:rPr>
        <w:t>低。</w:t>
      </w:r>
    </w:p>
    <w:p>
      <w:pPr>
        <w:adjustRightInd w:val="0"/>
        <w:snapToGrid w:val="0"/>
        <w:spacing w:line="360" w:lineRule="auto"/>
        <w:ind w:firstLine="560" w:firstLineChars="200"/>
        <w:rPr>
          <w:sz w:val="28"/>
        </w:rPr>
      </w:pPr>
      <w:r>
        <w:rPr>
          <w:sz w:val="28"/>
        </w:rPr>
        <w:t>三是部分老旧小区存在电力设施老旧、配电容量小、停车位数量较少、道路窄、空间狭小等问题，配建充电桩难度较大。</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b/>
          <w:bCs/>
          <w:sz w:val="28"/>
        </w:rPr>
      </w:pPr>
      <w:bookmarkStart w:id="29" w:name="_Toc8958"/>
      <w:r>
        <w:rPr>
          <w:rFonts w:hint="eastAsia"/>
          <w:b/>
          <w:bCs/>
          <w:sz w:val="28"/>
          <w:lang w:val="en-US" w:eastAsia="zh-CN"/>
        </w:rPr>
        <w:t>2.</w:t>
      </w:r>
      <w:r>
        <w:rPr>
          <w:b/>
          <w:bCs/>
          <w:sz w:val="28"/>
        </w:rPr>
        <w:t>建设运维标准不</w:t>
      </w:r>
      <w:r>
        <w:rPr>
          <w:rFonts w:hint="eastAsia"/>
          <w:b/>
          <w:bCs/>
          <w:sz w:val="28"/>
        </w:rPr>
        <w:t>明晰</w:t>
      </w:r>
      <w:bookmarkEnd w:id="29"/>
    </w:p>
    <w:p>
      <w:pPr>
        <w:adjustRightInd w:val="0"/>
        <w:snapToGrid w:val="0"/>
        <w:spacing w:line="360" w:lineRule="auto"/>
        <w:ind w:firstLine="560" w:firstLineChars="200"/>
        <w:rPr>
          <w:sz w:val="28"/>
        </w:rPr>
      </w:pPr>
      <w:r>
        <w:rPr>
          <w:sz w:val="28"/>
        </w:rPr>
        <w:t>充电设施建设缺乏统一</w:t>
      </w:r>
      <w:r>
        <w:rPr>
          <w:rFonts w:hint="eastAsia"/>
          <w:sz w:val="28"/>
        </w:rPr>
        <w:t>、</w:t>
      </w:r>
      <w:r>
        <w:rPr>
          <w:sz w:val="28"/>
        </w:rPr>
        <w:t>规范的基础设备建设标准，不同运营商</w:t>
      </w:r>
      <w:r>
        <w:rPr>
          <w:rFonts w:hint="eastAsia"/>
          <w:sz w:val="28"/>
        </w:rPr>
        <w:t>所采用</w:t>
      </w:r>
      <w:r>
        <w:rPr>
          <w:sz w:val="28"/>
        </w:rPr>
        <w:t>充电接口</w:t>
      </w:r>
      <w:r>
        <w:rPr>
          <w:rFonts w:hint="eastAsia"/>
          <w:sz w:val="28"/>
        </w:rPr>
        <w:t>、</w:t>
      </w:r>
      <w:r>
        <w:rPr>
          <w:sz w:val="28"/>
        </w:rPr>
        <w:t>收费标准</w:t>
      </w:r>
      <w:r>
        <w:rPr>
          <w:rFonts w:hint="eastAsia"/>
          <w:sz w:val="28"/>
        </w:rPr>
        <w:t>差异较大</w:t>
      </w:r>
      <w:r>
        <w:rPr>
          <w:sz w:val="28"/>
        </w:rPr>
        <w:t>。充电设施行业有序发展</w:t>
      </w:r>
      <w:r>
        <w:rPr>
          <w:rFonts w:hint="eastAsia"/>
          <w:sz w:val="28"/>
        </w:rPr>
        <w:t>迫切需要</w:t>
      </w:r>
      <w:r>
        <w:rPr>
          <w:sz w:val="28"/>
        </w:rPr>
        <w:t>法规支撑、标准化操作以及规范化流程</w:t>
      </w:r>
      <w:r>
        <w:rPr>
          <w:rFonts w:hint="eastAsia"/>
          <w:sz w:val="28"/>
        </w:rPr>
        <w:t>作为支撑。</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outlineLvl w:val="2"/>
        <w:rPr>
          <w:b/>
          <w:bCs/>
          <w:sz w:val="28"/>
        </w:rPr>
      </w:pPr>
      <w:bookmarkStart w:id="30" w:name="_Toc9882"/>
      <w:r>
        <w:rPr>
          <w:rFonts w:hint="eastAsia"/>
          <w:b/>
          <w:bCs/>
          <w:sz w:val="28"/>
          <w:lang w:val="en-US" w:eastAsia="zh-CN"/>
        </w:rPr>
        <w:t>3.</w:t>
      </w:r>
      <w:r>
        <w:rPr>
          <w:b/>
          <w:bCs/>
          <w:sz w:val="28"/>
        </w:rPr>
        <w:t>充电设施运营服务体系待完善</w:t>
      </w:r>
      <w:bookmarkEnd w:id="30"/>
    </w:p>
    <w:p>
      <w:pPr>
        <w:spacing w:line="360" w:lineRule="auto"/>
        <w:ind w:firstLine="560" w:firstLineChars="200"/>
        <w:rPr>
          <w:sz w:val="28"/>
        </w:rPr>
      </w:pPr>
      <w:r>
        <w:rPr>
          <w:rFonts w:hint="eastAsia"/>
          <w:sz w:val="28"/>
        </w:rPr>
        <w:t>目前铜梁充电桩基础设施建设投资方较多，大部分投资企业重一次建设，但运维管理方面因不愿追加投资导致充电桩故障率高，新能源车主充电体验感较差，服务水平有待进一步提升。</w:t>
      </w:r>
    </w:p>
    <w:p>
      <w:pPr>
        <w:pStyle w:val="4"/>
        <w:tabs>
          <w:tab w:val="left" w:pos="567"/>
        </w:tabs>
        <w:spacing w:before="120" w:after="120" w:line="360" w:lineRule="auto"/>
        <w:rPr>
          <w:rFonts w:ascii="Times New Roman" w:hAnsi="Times New Roman" w:eastAsia="黑体" w:cs="Times New Roman"/>
          <w:kern w:val="2"/>
          <w:sz w:val="36"/>
          <w:szCs w:val="36"/>
        </w:rPr>
        <w:sectPr>
          <w:footerReference r:id="rId6" w:type="default"/>
          <w:pgSz w:w="11907" w:h="16840"/>
          <w:pgMar w:top="1440" w:right="1701" w:bottom="1440" w:left="1701" w:header="851" w:footer="992" w:gutter="0"/>
          <w:pgNumType w:start="1"/>
          <w:cols w:space="720" w:num="1"/>
          <w:docGrid w:linePitch="312" w:charSpace="0"/>
        </w:sectPr>
      </w:pPr>
    </w:p>
    <w:p>
      <w:pPr>
        <w:pStyle w:val="4"/>
        <w:tabs>
          <w:tab w:val="left" w:pos="567"/>
        </w:tabs>
        <w:spacing w:before="120" w:after="120" w:line="360" w:lineRule="auto"/>
        <w:rPr>
          <w:rFonts w:hint="eastAsia" w:ascii="Times New Roman" w:hAnsi="Times New Roman" w:eastAsia="黑体" w:cs="Times New Roman"/>
          <w:kern w:val="2"/>
          <w:sz w:val="36"/>
          <w:szCs w:val="36"/>
          <w:lang w:eastAsia="zh-CN"/>
        </w:rPr>
      </w:pPr>
      <w:bookmarkStart w:id="31" w:name="_Toc6111"/>
      <w:r>
        <w:rPr>
          <w:rFonts w:hint="eastAsia" w:ascii="Times New Roman" w:hAnsi="Times New Roman" w:eastAsia="黑体" w:cs="Times New Roman"/>
          <w:kern w:val="2"/>
          <w:sz w:val="36"/>
          <w:szCs w:val="36"/>
          <w:lang w:eastAsia="zh-CN"/>
        </w:rPr>
        <w:t>二</w:t>
      </w:r>
      <w:r>
        <w:rPr>
          <w:rFonts w:ascii="Times New Roman" w:hAnsi="Times New Roman" w:eastAsia="黑体" w:cs="Times New Roman"/>
          <w:kern w:val="2"/>
          <w:sz w:val="36"/>
          <w:szCs w:val="36"/>
        </w:rPr>
        <w:t xml:space="preserve"> </w:t>
      </w:r>
      <w:bookmarkEnd w:id="8"/>
      <w:bookmarkEnd w:id="9"/>
      <w:bookmarkEnd w:id="10"/>
      <w:bookmarkEnd w:id="11"/>
      <w:bookmarkEnd w:id="12"/>
      <w:bookmarkEnd w:id="13"/>
      <w:bookmarkEnd w:id="14"/>
      <w:bookmarkEnd w:id="15"/>
      <w:bookmarkEnd w:id="16"/>
      <w:bookmarkStart w:id="32" w:name="_Toc306780058"/>
      <w:bookmarkStart w:id="33" w:name="_Toc252935339"/>
      <w:bookmarkStart w:id="34" w:name="_Toc306766267"/>
      <w:bookmarkStart w:id="35" w:name="_Toc307053908"/>
      <w:bookmarkStart w:id="36" w:name="_Toc253584909"/>
      <w:bookmarkStart w:id="37" w:name="_Toc253594477"/>
      <w:bookmarkStart w:id="38" w:name="_Toc306956198"/>
      <w:bookmarkStart w:id="39" w:name="_Toc253743965"/>
      <w:bookmarkStart w:id="40" w:name="_Toc20024"/>
      <w:r>
        <w:rPr>
          <w:rFonts w:hint="eastAsia" w:ascii="Times New Roman" w:hAnsi="Times New Roman" w:eastAsia="黑体" w:cs="Times New Roman"/>
          <w:kern w:val="2"/>
          <w:sz w:val="36"/>
          <w:szCs w:val="36"/>
          <w:lang w:eastAsia="zh-CN"/>
        </w:rPr>
        <w:t>总体要求</w:t>
      </w:r>
      <w:bookmarkEnd w:id="31"/>
    </w:p>
    <w:bookmarkEnd w:id="32"/>
    <w:bookmarkEnd w:id="33"/>
    <w:bookmarkEnd w:id="34"/>
    <w:bookmarkEnd w:id="35"/>
    <w:bookmarkEnd w:id="36"/>
    <w:bookmarkEnd w:id="37"/>
    <w:bookmarkEnd w:id="38"/>
    <w:bookmarkEnd w:id="39"/>
    <w:bookmarkEnd w:id="40"/>
    <w:p>
      <w:pPr>
        <w:pStyle w:val="78"/>
        <w:spacing w:line="560" w:lineRule="exact"/>
        <w:ind w:firstLine="640"/>
      </w:pPr>
      <w:bookmarkStart w:id="41" w:name="_Toc28483"/>
      <w:r>
        <w:t>充电基础设施作为新能源汽车的重要配套设施，是国家“新基建”重点领域之一。为全面贯彻落实《关于印发新能源汽车产业发展规划（2021-2025年）的通知》（国办发【2020】39号）、《关于进一步提升电动汽车充电基础设施服务保障能力的实施意见》（发改能源规【2022】53号）</w:t>
      </w:r>
      <w:r>
        <w:rPr>
          <w:rFonts w:hint="eastAsia"/>
        </w:rPr>
        <w:t>、</w:t>
      </w:r>
      <w:r>
        <w:t>《关于印发重庆市充电基础设施“十四五”发展规划（2021-2025年）的通知》（渝发改能源【2022】648号）</w:t>
      </w:r>
      <w:r>
        <w:rPr>
          <w:rFonts w:hint="eastAsia"/>
        </w:rPr>
        <w:t>等文件</w:t>
      </w:r>
      <w:r>
        <w:t>精神，指导铜梁区“十四五”</w:t>
      </w:r>
      <w:r>
        <w:rPr>
          <w:color w:val="000000"/>
        </w:rPr>
        <w:t>时期建设形成适度超前、布局均衡、智能高效的电动汽车充电基础设施体系，提升电动汽车充电保障能力，特制定本规划。本规划所称充电基础设施是指充电站、换电站、充电桩及其接入上级电源的相关设施。</w:t>
      </w:r>
    </w:p>
    <w:p>
      <w:pPr>
        <w:pStyle w:val="5"/>
        <w:spacing w:before="120" w:after="120" w:line="560" w:lineRule="exact"/>
        <w:rPr>
          <w:rFonts w:ascii="Times New Roman" w:hAnsi="Times New Roman" w:eastAsia="宋体" w:cs="Times New Roman"/>
          <w:sz w:val="30"/>
          <w:szCs w:val="30"/>
        </w:rPr>
      </w:pPr>
      <w:bookmarkStart w:id="42" w:name="_Toc19577"/>
      <w:r>
        <w:rPr>
          <w:rFonts w:ascii="Times New Roman" w:hAnsi="Times New Roman" w:eastAsia="宋体" w:cs="Times New Roman"/>
          <w:sz w:val="30"/>
          <w:szCs w:val="30"/>
        </w:rPr>
        <w:t>（一）指导思想</w:t>
      </w:r>
      <w:bookmarkEnd w:id="41"/>
      <w:bookmarkEnd w:id="42"/>
    </w:p>
    <w:p>
      <w:pPr>
        <w:pStyle w:val="78"/>
        <w:spacing w:line="560" w:lineRule="exact"/>
        <w:ind w:firstLine="560" w:firstLineChars="200"/>
      </w:pPr>
      <w:r>
        <w:t>以习近平新时代中国特色社会主义思想为指导，深入贯彻党的二十大精神</w:t>
      </w:r>
      <w:r>
        <w:rPr>
          <w:rFonts w:hint="eastAsia"/>
        </w:rPr>
        <w:t>，</w:t>
      </w:r>
      <w:r>
        <w:t>坚持“两点” 定位</w:t>
      </w:r>
      <w:r>
        <w:rPr>
          <w:rFonts w:hint="eastAsia"/>
        </w:rPr>
        <w:t>，聚焦</w:t>
      </w:r>
      <w:r>
        <w:t>“两地”“两高”目标，抢抓成渝地区双城经济圈建设和重庆主城都市区发展重大机遇，以推动高质量发展为主题，以满足经济社会发展和人民日益增长的美好生活需要为根本目的，加快构建清洁低碳、安全高效的现代能源体系，为开启全面建设社会主义现代化</w:t>
      </w:r>
      <w:r>
        <w:rPr>
          <w:rFonts w:hint="eastAsia"/>
          <w:lang w:eastAsia="zh-CN"/>
        </w:rPr>
        <w:t>国家</w:t>
      </w:r>
      <w:r>
        <w:t>新征程提供坚实的汽车基础能源能源保障。</w:t>
      </w:r>
    </w:p>
    <w:p>
      <w:pPr>
        <w:pStyle w:val="5"/>
        <w:spacing w:before="120" w:after="120" w:line="360" w:lineRule="auto"/>
        <w:rPr>
          <w:sz w:val="28"/>
        </w:rPr>
      </w:pPr>
      <w:bookmarkStart w:id="43" w:name="_Toc80885298"/>
      <w:bookmarkStart w:id="44" w:name="_Toc24413"/>
      <w:r>
        <w:rPr>
          <w:rFonts w:ascii="Times New Roman" w:hAnsi="Times New Roman" w:eastAsia="宋体" w:cs="Times New Roman"/>
          <w:sz w:val="30"/>
          <w:szCs w:val="30"/>
        </w:rPr>
        <w:t>（二）基本原则</w:t>
      </w:r>
      <w:bookmarkEnd w:id="43"/>
      <w:bookmarkEnd w:id="44"/>
    </w:p>
    <w:p>
      <w:pPr>
        <w:pStyle w:val="78"/>
        <w:spacing w:line="360" w:lineRule="auto"/>
        <w:ind w:firstLine="660"/>
        <w:rPr>
          <w:rFonts w:ascii="Times New Roman" w:hAnsi="Times New Roman" w:cs="Times New Roman"/>
        </w:rPr>
      </w:pPr>
      <w:r>
        <w:rPr>
          <w:rFonts w:ascii="Times New Roman" w:hAnsi="Times New Roman" w:cs="Times New Roman"/>
          <w:b/>
          <w:bCs/>
        </w:rPr>
        <w:t>坚持统筹规划：</w:t>
      </w:r>
      <w:r>
        <w:rPr>
          <w:rFonts w:ascii="Times New Roman" w:hAnsi="Times New Roman" w:cs="Times New Roman"/>
          <w:color w:val="000000"/>
        </w:rPr>
        <w:t>坚持系统思维，加强综合设计，按照“桩站先行、客观实际、因地制宜、经济合理”</w:t>
      </w:r>
      <w:r>
        <w:rPr>
          <w:rFonts w:hint="eastAsia" w:ascii="Times New Roman" w:hAnsi="Times New Roman" w:cs="Times New Roman"/>
          <w:color w:val="000000"/>
        </w:rPr>
        <w:t>原则</w:t>
      </w:r>
      <w:r>
        <w:rPr>
          <w:rFonts w:ascii="Times New Roman" w:hAnsi="Times New Roman" w:cs="Times New Roman"/>
          <w:color w:val="000000"/>
        </w:rPr>
        <w:t>，科学确定空间布局和建设时序，形成较为完善的充电基础设施体系，引领带动新能源汽车产业发展。</w:t>
      </w:r>
    </w:p>
    <w:p>
      <w:pPr>
        <w:adjustRightInd w:val="0"/>
        <w:snapToGrid w:val="0"/>
        <w:spacing w:line="360" w:lineRule="auto"/>
        <w:ind w:firstLine="562" w:firstLineChars="200"/>
        <w:rPr>
          <w:b/>
          <w:bCs/>
          <w:sz w:val="28"/>
          <w:highlight w:val="red"/>
        </w:rPr>
      </w:pPr>
      <w:r>
        <w:rPr>
          <w:b/>
          <w:bCs/>
          <w:sz w:val="28"/>
        </w:rPr>
        <w:t>坚持政府引领：</w:t>
      </w:r>
      <w:r>
        <w:rPr>
          <w:sz w:val="28"/>
        </w:rPr>
        <w:t>充分发挥政府在战略规划引导、标准法规制定、质量安全监管、市场秩序维护、绿色消费引导等方面作用，为电动汽车产业发展营造良好环境。</w:t>
      </w:r>
    </w:p>
    <w:p>
      <w:pPr>
        <w:adjustRightInd w:val="0"/>
        <w:snapToGrid w:val="0"/>
        <w:spacing w:line="360" w:lineRule="auto"/>
        <w:ind w:firstLine="562" w:firstLineChars="200"/>
        <w:rPr>
          <w:sz w:val="28"/>
        </w:rPr>
      </w:pPr>
      <w:r>
        <w:rPr>
          <w:b/>
          <w:bCs/>
          <w:sz w:val="28"/>
        </w:rPr>
        <w:t>坚持因地制宜：</w:t>
      </w:r>
      <w:r>
        <w:rPr>
          <w:sz w:val="28"/>
        </w:rPr>
        <w:t>充分考虑铜梁区新能源汽车推广实际，科学预测电动汽车推广规模及充电需求，遵循“快慢互济、充换并举”导向，因地制宜、分类有序推进区内充电基础设施发展。</w:t>
      </w:r>
    </w:p>
    <w:p>
      <w:pPr>
        <w:adjustRightInd w:val="0"/>
        <w:snapToGrid w:val="0"/>
        <w:spacing w:line="360" w:lineRule="auto"/>
        <w:ind w:firstLine="562" w:firstLineChars="200"/>
        <w:rPr>
          <w:color w:val="000000"/>
          <w:sz w:val="28"/>
          <w:szCs w:val="28"/>
        </w:rPr>
      </w:pPr>
      <w:r>
        <w:rPr>
          <w:b/>
          <w:bCs/>
          <w:sz w:val="28"/>
        </w:rPr>
        <w:t>坚持共享融合：</w:t>
      </w:r>
      <w:r>
        <w:rPr>
          <w:color w:val="000000"/>
          <w:sz w:val="28"/>
          <w:szCs w:val="28"/>
        </w:rPr>
        <w:t>推动“车联网”技术平台与充电基础设施建设及运营相结合，实现充电设施网、智慧能源网、智能车联网“三网融合”，加强充电与智慧能源、智慧交通、</w:t>
      </w:r>
      <w:r>
        <w:rPr>
          <w:rFonts w:hint="eastAsia"/>
          <w:color w:val="000000"/>
          <w:sz w:val="28"/>
          <w:szCs w:val="28"/>
        </w:rPr>
        <w:t>智慧城市</w:t>
      </w:r>
      <w:r>
        <w:rPr>
          <w:color w:val="000000"/>
          <w:sz w:val="28"/>
          <w:szCs w:val="28"/>
        </w:rPr>
        <w:t>融合，</w:t>
      </w:r>
      <w:r>
        <w:rPr>
          <w:sz w:val="28"/>
        </w:rPr>
        <w:t>加大商业模式创新力度，形成充电服务、充电设施运维等标准化体系，强化服务保障。</w:t>
      </w:r>
    </w:p>
    <w:bookmarkEnd w:id="0"/>
    <w:bookmarkEnd w:id="1"/>
    <w:bookmarkEnd w:id="2"/>
    <w:bookmarkEnd w:id="3"/>
    <w:bookmarkEnd w:id="4"/>
    <w:bookmarkEnd w:id="5"/>
    <w:p>
      <w:pPr>
        <w:pStyle w:val="5"/>
        <w:spacing w:before="120" w:after="120" w:line="360" w:lineRule="auto"/>
        <w:rPr>
          <w:rFonts w:hint="eastAsia" w:eastAsia="宋体"/>
          <w:sz w:val="28"/>
          <w:lang w:eastAsia="zh-CN"/>
        </w:rPr>
      </w:pPr>
      <w:bookmarkStart w:id="45" w:name="_Toc30407"/>
      <w:bookmarkStart w:id="46" w:name="_Toc23188"/>
      <w:bookmarkStart w:id="47" w:name="_Toc164589839"/>
      <w:bookmarkStart w:id="48" w:name="_Toc86937686"/>
      <w:bookmarkStart w:id="49" w:name="_Toc24570"/>
      <w:bookmarkStart w:id="50" w:name="_Toc199841971"/>
      <w:bookmarkStart w:id="51" w:name="_Toc86937683"/>
      <w:bookmarkStart w:id="52" w:name="_Toc82504822"/>
      <w:bookmarkStart w:id="53" w:name="_Toc30543"/>
      <w:bookmarkStart w:id="54" w:name="_Toc29439"/>
      <w:r>
        <w:rPr>
          <w:rFonts w:ascii="Times New Roman" w:hAnsi="Times New Roman" w:eastAsia="宋体" w:cs="Times New Roman"/>
          <w:sz w:val="30"/>
          <w:szCs w:val="30"/>
        </w:rPr>
        <w:t>（</w:t>
      </w:r>
      <w:r>
        <w:rPr>
          <w:rFonts w:hint="eastAsia" w:ascii="Times New Roman" w:hAnsi="Times New Roman" w:eastAsia="宋体" w:cs="Times New Roman"/>
          <w:sz w:val="30"/>
          <w:szCs w:val="30"/>
          <w:lang w:eastAsia="zh-CN"/>
        </w:rPr>
        <w:t>三</w:t>
      </w:r>
      <w:r>
        <w:rPr>
          <w:rFonts w:ascii="Times New Roman" w:hAnsi="Times New Roman" w:eastAsia="宋体" w:cs="Times New Roman"/>
          <w:sz w:val="30"/>
          <w:szCs w:val="30"/>
        </w:rPr>
        <w:t>）</w:t>
      </w:r>
      <w:r>
        <w:rPr>
          <w:rFonts w:hint="eastAsia" w:ascii="Times New Roman" w:hAnsi="Times New Roman" w:eastAsia="宋体" w:cs="Times New Roman"/>
          <w:sz w:val="30"/>
          <w:szCs w:val="30"/>
          <w:lang w:eastAsia="zh-CN"/>
        </w:rPr>
        <w:t>发展目标</w:t>
      </w:r>
      <w:bookmarkEnd w:id="45"/>
    </w:p>
    <w:p>
      <w:pPr>
        <w:adjustRightInd w:val="0"/>
        <w:snapToGrid w:val="0"/>
        <w:spacing w:line="360" w:lineRule="auto"/>
        <w:ind w:firstLine="560" w:firstLineChars="200"/>
        <w:rPr>
          <w:color w:val="000000"/>
          <w:sz w:val="28"/>
        </w:rPr>
      </w:pPr>
      <w:r>
        <w:rPr>
          <w:color w:val="000000"/>
          <w:sz w:val="28"/>
        </w:rPr>
        <w:t>本次规划所辖范围包括:</w:t>
      </w:r>
    </w:p>
    <w:p>
      <w:pPr>
        <w:adjustRightInd w:val="0"/>
        <w:snapToGrid w:val="0"/>
        <w:spacing w:line="360" w:lineRule="auto"/>
        <w:ind w:firstLine="560" w:firstLineChars="200"/>
        <w:rPr>
          <w:color w:val="000000"/>
          <w:sz w:val="28"/>
        </w:rPr>
      </w:pPr>
      <w:r>
        <w:rPr>
          <w:color w:val="000000"/>
          <w:sz w:val="28"/>
        </w:rPr>
        <w:t>（1）整体范围:铜梁区行政区域，1340平方千米。</w:t>
      </w:r>
    </w:p>
    <w:p>
      <w:pPr>
        <w:adjustRightInd w:val="0"/>
        <w:snapToGrid w:val="0"/>
        <w:spacing w:line="360" w:lineRule="auto"/>
        <w:ind w:firstLine="560" w:firstLineChars="200"/>
        <w:rPr>
          <w:color w:val="000000"/>
          <w:sz w:val="28"/>
        </w:rPr>
      </w:pPr>
      <w:r>
        <w:rPr>
          <w:color w:val="000000"/>
          <w:sz w:val="28"/>
        </w:rPr>
        <w:t>（2</w:t>
      </w:r>
      <w:r>
        <w:rPr>
          <w:rFonts w:hint="eastAsia"/>
          <w:color w:val="000000"/>
          <w:sz w:val="28"/>
        </w:rPr>
        <w:t>）</w:t>
      </w:r>
      <w:r>
        <w:rPr>
          <w:color w:val="000000"/>
          <w:sz w:val="28"/>
        </w:rPr>
        <w:t>规划区域: 5个街道(巴川街道、东城街道、南城街道、蒲吕街道、旧县街道)和23个镇(土桥镇、二坪镇、水口镇、安居镇、白羊镇、平滩镇、虎峰镇、福果镇、石鱼镇、少云镇、高楼镇、维新镇、大庙镇、围龙镇、华兴镇、永嘉镇、西河镇、安溪镇、侣俸镇、太平镇、双山镇、小林镇、庆隆镇)的公共交通首末站、公共交通枢纽站、社会公共停车场、专用停车场等适合于建设电动汽车充电设施的区域。</w:t>
      </w:r>
    </w:p>
    <w:p>
      <w:pPr>
        <w:adjustRightInd w:val="0"/>
        <w:snapToGrid w:val="0"/>
        <w:spacing w:line="360" w:lineRule="auto"/>
        <w:ind w:firstLine="560" w:firstLineChars="200"/>
        <w:rPr>
          <w:color w:val="000000"/>
          <w:sz w:val="28"/>
        </w:rPr>
      </w:pPr>
      <w:r>
        <w:rPr>
          <w:color w:val="000000"/>
          <w:sz w:val="28"/>
        </w:rPr>
        <w:t>（3）规划期限: 2022~2025 年，基准年为2022年，近期规划至2025年。</w:t>
      </w:r>
    </w:p>
    <w:p>
      <w:pPr>
        <w:spacing w:before="120" w:after="120" w:line="360" w:lineRule="auto"/>
        <w:ind w:firstLine="562" w:firstLineChars="200"/>
        <w:outlineLvl w:val="2"/>
        <w:rPr>
          <w:rFonts w:eastAsia="黑体"/>
          <w:b/>
          <w:sz w:val="28"/>
          <w:szCs w:val="28"/>
          <w:shd w:val="clear" w:color="auto" w:fill="FFFFFF"/>
        </w:rPr>
      </w:pPr>
      <w:bookmarkStart w:id="55" w:name="_Toc22963"/>
      <w:r>
        <w:rPr>
          <w:rFonts w:hint="eastAsia" w:eastAsia="黑体"/>
          <w:b/>
          <w:sz w:val="28"/>
          <w:szCs w:val="28"/>
          <w:shd w:val="clear" w:color="auto" w:fill="FFFFFF"/>
          <w:lang w:val="en-US" w:eastAsia="zh-CN"/>
        </w:rPr>
        <w:t>1.</w:t>
      </w:r>
      <w:r>
        <w:rPr>
          <w:rFonts w:eastAsia="黑体"/>
          <w:b/>
          <w:sz w:val="28"/>
          <w:szCs w:val="28"/>
          <w:shd w:val="clear" w:color="auto" w:fill="FFFFFF"/>
        </w:rPr>
        <w:t>需求预测</w:t>
      </w:r>
      <w:bookmarkEnd w:id="55"/>
    </w:p>
    <w:p>
      <w:pPr>
        <w:keepNext w:val="0"/>
        <w:keepLines w:val="0"/>
        <w:pageBreakBefore w:val="0"/>
        <w:widowControl w:val="0"/>
        <w:kinsoku/>
        <w:wordWrap/>
        <w:overflowPunct/>
        <w:topLinePunct w:val="0"/>
        <w:autoSpaceDE/>
        <w:autoSpaceDN/>
        <w:bidi w:val="0"/>
        <w:adjustRightInd/>
        <w:snapToGrid/>
        <w:spacing w:before="120" w:after="120" w:line="360" w:lineRule="auto"/>
        <w:ind w:firstLine="562" w:firstLineChars="200"/>
        <w:textAlignment w:val="auto"/>
        <w:outlineLvl w:val="9"/>
        <w:rPr>
          <w:rFonts w:eastAsia="黑体"/>
          <w:b/>
          <w:sz w:val="28"/>
          <w:szCs w:val="28"/>
          <w:shd w:val="clear" w:color="auto" w:fill="FFFFFF"/>
        </w:rPr>
      </w:pPr>
      <w:bookmarkStart w:id="56" w:name="_Toc82504817"/>
      <w:bookmarkStart w:id="57" w:name="_Toc86937678"/>
      <w:r>
        <w:rPr>
          <w:rFonts w:hint="eastAsia" w:eastAsia="黑体"/>
          <w:b/>
          <w:sz w:val="28"/>
          <w:szCs w:val="28"/>
          <w:shd w:val="clear" w:color="auto" w:fill="FFFFFF"/>
          <w:lang w:eastAsia="zh-CN"/>
        </w:rPr>
        <w:t>（</w:t>
      </w:r>
      <w:r>
        <w:rPr>
          <w:rFonts w:hint="eastAsia" w:eastAsia="黑体"/>
          <w:b/>
          <w:sz w:val="28"/>
          <w:szCs w:val="28"/>
          <w:shd w:val="clear" w:color="auto" w:fill="FFFFFF"/>
          <w:lang w:val="en-US" w:eastAsia="zh-CN"/>
        </w:rPr>
        <w:t>1</w:t>
      </w:r>
      <w:r>
        <w:rPr>
          <w:rFonts w:hint="eastAsia" w:eastAsia="黑体"/>
          <w:b/>
          <w:sz w:val="28"/>
          <w:szCs w:val="28"/>
          <w:shd w:val="clear" w:color="auto" w:fill="FFFFFF"/>
          <w:lang w:eastAsia="zh-CN"/>
        </w:rPr>
        <w:t>）</w:t>
      </w:r>
      <w:r>
        <w:rPr>
          <w:rFonts w:eastAsia="黑体"/>
          <w:b/>
          <w:sz w:val="28"/>
          <w:szCs w:val="28"/>
          <w:shd w:val="clear" w:color="auto" w:fill="FFFFFF"/>
        </w:rPr>
        <w:t>铜梁区专项规划期间各领域汽车保有量预测</w:t>
      </w:r>
      <w:bookmarkEnd w:id="56"/>
      <w:bookmarkEnd w:id="5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Cs/>
        </w:rPr>
      </w:pPr>
      <w:r>
        <w:rPr>
          <w:sz w:val="28"/>
          <w:szCs w:val="28"/>
        </w:rPr>
        <w:t>根据《铜梁区“十四五”综合交通运输发展规划》，至2025年城区公交车将达到350辆，年均增长率为9.14%；出租车将达到580辆，年均增长率为5.44%；物流、环卫车将达到6537辆，年均增长率为5.18%</w:t>
      </w:r>
      <w:r>
        <w:rPr>
          <w:rFonts w:hint="eastAsia"/>
          <w:sz w:val="28"/>
          <w:szCs w:val="28"/>
        </w:rPr>
        <w:t>；</w:t>
      </w:r>
      <w:r>
        <w:rPr>
          <w:sz w:val="28"/>
          <w:szCs w:val="28"/>
        </w:rPr>
        <w:t>私家车将达到218152辆，年均增长率为15.56%</w:t>
      </w:r>
      <w:r>
        <w:rPr>
          <w:rFonts w:hint="eastAsia"/>
          <w:sz w:val="28"/>
          <w:szCs w:val="28"/>
        </w:rPr>
        <w:t>。</w:t>
      </w:r>
      <w:r>
        <w:rPr>
          <w:bCs/>
        </w:rPr>
        <w:t xml:space="preserve">     </w:t>
      </w:r>
    </w:p>
    <w:p>
      <w:pPr>
        <w:keepNext w:val="0"/>
        <w:keepLines w:val="0"/>
        <w:pageBreakBefore w:val="0"/>
        <w:widowControl w:val="0"/>
        <w:kinsoku/>
        <w:wordWrap/>
        <w:overflowPunct/>
        <w:topLinePunct w:val="0"/>
        <w:autoSpaceDE/>
        <w:autoSpaceDN/>
        <w:bidi w:val="0"/>
        <w:adjustRightInd/>
        <w:snapToGrid/>
        <w:spacing w:before="120" w:after="120" w:line="360" w:lineRule="auto"/>
        <w:ind w:firstLine="562" w:firstLineChars="200"/>
        <w:textAlignment w:val="auto"/>
        <w:outlineLvl w:val="9"/>
        <w:rPr>
          <w:rFonts w:hint="eastAsia" w:eastAsia="黑体"/>
          <w:b/>
          <w:sz w:val="28"/>
          <w:szCs w:val="28"/>
          <w:shd w:val="clear" w:color="auto" w:fill="FFFFFF"/>
          <w:lang w:eastAsia="zh-CN"/>
        </w:rPr>
      </w:pPr>
      <w:r>
        <w:rPr>
          <w:rFonts w:hint="eastAsia" w:eastAsia="黑体"/>
          <w:b/>
          <w:sz w:val="28"/>
          <w:szCs w:val="28"/>
          <w:shd w:val="clear" w:color="auto" w:fill="FFFFFF"/>
          <w:lang w:eastAsia="zh-CN"/>
        </w:rPr>
        <w:t>（</w:t>
      </w:r>
      <w:r>
        <w:rPr>
          <w:rFonts w:hint="eastAsia" w:eastAsia="黑体"/>
          <w:b/>
          <w:sz w:val="28"/>
          <w:szCs w:val="28"/>
          <w:shd w:val="clear" w:color="auto" w:fill="FFFFFF"/>
          <w:lang w:val="en-US" w:eastAsia="zh-CN"/>
        </w:rPr>
        <w:t>2</w:t>
      </w:r>
      <w:r>
        <w:rPr>
          <w:rFonts w:hint="eastAsia" w:eastAsia="黑体"/>
          <w:b/>
          <w:sz w:val="28"/>
          <w:szCs w:val="28"/>
          <w:shd w:val="clear" w:color="auto" w:fill="FFFFFF"/>
          <w:lang w:eastAsia="zh-CN"/>
        </w:rPr>
        <w:t>）电动汽车保有量预测</w:t>
      </w:r>
    </w:p>
    <w:p>
      <w:pPr>
        <w:spacing w:line="360" w:lineRule="auto"/>
        <w:ind w:firstLine="560" w:firstLineChars="200"/>
        <w:rPr>
          <w:bCs/>
        </w:rPr>
      </w:pPr>
      <w:r>
        <w:rPr>
          <w:rFonts w:hint="eastAsia"/>
          <w:sz w:val="28"/>
          <w:szCs w:val="28"/>
        </w:rPr>
        <w:t>根据</w:t>
      </w:r>
      <w:r>
        <w:rPr>
          <w:sz w:val="28"/>
          <w:szCs w:val="28"/>
        </w:rPr>
        <w:t>《国务院办公厅关于印发新能源汽车产业发展规划（2021—2035年）国办发〔2020〕39号》</w:t>
      </w:r>
      <w:r>
        <w:rPr>
          <w:rFonts w:hint="eastAsia"/>
          <w:sz w:val="28"/>
          <w:szCs w:val="28"/>
        </w:rPr>
        <w:t>：</w:t>
      </w:r>
      <w:r>
        <w:rPr>
          <w:sz w:val="28"/>
          <w:szCs w:val="28"/>
        </w:rPr>
        <w:t>到2025年，我国新能源汽车市场竞争力明显增强，新能源汽车新车销售量达到汽车新车销售总量的20%左右。</w:t>
      </w:r>
      <w:r>
        <w:rPr>
          <w:rFonts w:hint="eastAsia"/>
          <w:sz w:val="28"/>
          <w:szCs w:val="28"/>
        </w:rPr>
        <w:t>结合铜梁区发展趋势，按照新能源汽车占比30%进行预测，</w:t>
      </w:r>
      <w:r>
        <w:rPr>
          <w:sz w:val="28"/>
          <w:szCs w:val="28"/>
        </w:rPr>
        <w:t>2025年铜梁区</w:t>
      </w:r>
      <w:r>
        <w:rPr>
          <w:rFonts w:hint="eastAsia"/>
          <w:sz w:val="28"/>
          <w:szCs w:val="28"/>
        </w:rPr>
        <w:t>各类</w:t>
      </w:r>
      <w:r>
        <w:rPr>
          <w:sz w:val="28"/>
          <w:szCs w:val="28"/>
        </w:rPr>
        <w:t>电动汽车保有量</w:t>
      </w:r>
      <w:r>
        <w:rPr>
          <w:rFonts w:hint="eastAsia"/>
          <w:sz w:val="28"/>
          <w:szCs w:val="28"/>
        </w:rPr>
        <w:t>将达到9312辆。</w:t>
      </w:r>
      <w:r>
        <w:rPr>
          <w:bCs/>
        </w:rPr>
        <w:t xml:space="preserve">            </w:t>
      </w:r>
    </w:p>
    <w:p>
      <w:pPr>
        <w:tabs>
          <w:tab w:val="left" w:pos="0"/>
          <w:tab w:val="right" w:pos="8505"/>
        </w:tabs>
        <w:spacing w:line="360" w:lineRule="auto"/>
        <w:ind w:firstLine="564"/>
        <w:jc w:val="center"/>
        <w:rPr>
          <w:bCs/>
          <w:color w:val="000000" w:themeColor="text1"/>
          <w:highlight w:val="yellow"/>
          <w14:textFill>
            <w14:solidFill>
              <w14:schemeClr w14:val="tx1"/>
            </w14:solidFill>
          </w14:textFill>
        </w:rPr>
      </w:pPr>
      <w:r>
        <w:rPr>
          <w:rFonts w:hint="eastAsia"/>
          <w:bCs/>
          <w:color w:val="000000" w:themeColor="text1"/>
          <w14:textFill>
            <w14:solidFill>
              <w14:schemeClr w14:val="tx1"/>
            </w14:solidFill>
          </w14:textFill>
        </w:rPr>
        <w:t xml:space="preserve"> </w:t>
      </w:r>
      <w:r>
        <w:rPr>
          <w:bCs/>
          <w:color w:val="000000" w:themeColor="text1"/>
          <w14:textFill>
            <w14:solidFill>
              <w14:schemeClr w14:val="tx1"/>
            </w14:solidFill>
          </w14:textFill>
        </w:rPr>
        <w:t>铜梁区2020-2025年各领域电动汽车预测       单位（辆）</w:t>
      </w:r>
    </w:p>
    <w:tbl>
      <w:tblPr>
        <w:tblStyle w:val="17"/>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371"/>
        <w:gridCol w:w="698"/>
        <w:gridCol w:w="890"/>
        <w:gridCol w:w="890"/>
        <w:gridCol w:w="890"/>
        <w:gridCol w:w="890"/>
        <w:gridCol w:w="933"/>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567" w:type="dxa"/>
            <w:tcBorders>
              <w:left w:val="single" w:color="auto" w:sz="4" w:space="0"/>
            </w:tcBorders>
            <w:vAlign w:val="center"/>
          </w:tcPr>
          <w:p>
            <w:pPr>
              <w:spacing w:line="360" w:lineRule="auto"/>
              <w:ind w:right="210"/>
              <w:jc w:val="center"/>
              <w:rPr>
                <w:b/>
                <w:sz w:val="18"/>
                <w:szCs w:val="18"/>
              </w:rPr>
            </w:pPr>
            <w:r>
              <w:rPr>
                <w:b/>
                <w:sz w:val="18"/>
                <w:szCs w:val="18"/>
              </w:rPr>
              <w:t>序号</w:t>
            </w:r>
          </w:p>
        </w:tc>
        <w:tc>
          <w:tcPr>
            <w:tcW w:w="1371" w:type="dxa"/>
            <w:tcBorders>
              <w:bottom w:val="single" w:color="auto" w:sz="4" w:space="0"/>
            </w:tcBorders>
            <w:vAlign w:val="center"/>
          </w:tcPr>
          <w:p>
            <w:pPr>
              <w:spacing w:line="360" w:lineRule="auto"/>
              <w:ind w:right="210"/>
              <w:jc w:val="center"/>
              <w:rPr>
                <w:b/>
                <w:sz w:val="18"/>
                <w:szCs w:val="18"/>
              </w:rPr>
            </w:pPr>
            <w:r>
              <w:rPr>
                <w:b/>
                <w:sz w:val="18"/>
                <w:szCs w:val="18"/>
              </w:rPr>
              <w:t>车辆类型</w:t>
            </w:r>
          </w:p>
        </w:tc>
        <w:tc>
          <w:tcPr>
            <w:tcW w:w="698" w:type="dxa"/>
            <w:tcBorders>
              <w:bottom w:val="single" w:color="auto" w:sz="4" w:space="0"/>
            </w:tcBorders>
            <w:vAlign w:val="center"/>
          </w:tcPr>
          <w:p>
            <w:pPr>
              <w:spacing w:line="360" w:lineRule="auto"/>
              <w:jc w:val="center"/>
              <w:rPr>
                <w:b/>
                <w:sz w:val="18"/>
                <w:szCs w:val="18"/>
              </w:rPr>
            </w:pPr>
            <w:r>
              <w:rPr>
                <w:b/>
                <w:sz w:val="18"/>
                <w:szCs w:val="18"/>
              </w:rPr>
              <w:t>2020年</w:t>
            </w:r>
          </w:p>
        </w:tc>
        <w:tc>
          <w:tcPr>
            <w:tcW w:w="890" w:type="dxa"/>
            <w:tcBorders>
              <w:bottom w:val="single" w:color="auto" w:sz="4" w:space="0"/>
            </w:tcBorders>
            <w:vAlign w:val="center"/>
          </w:tcPr>
          <w:p>
            <w:pPr>
              <w:spacing w:line="360" w:lineRule="auto"/>
              <w:jc w:val="center"/>
              <w:rPr>
                <w:b/>
                <w:sz w:val="18"/>
                <w:szCs w:val="18"/>
              </w:rPr>
            </w:pPr>
            <w:r>
              <w:rPr>
                <w:b/>
                <w:sz w:val="18"/>
                <w:szCs w:val="18"/>
              </w:rPr>
              <w:t>2021年</w:t>
            </w:r>
          </w:p>
        </w:tc>
        <w:tc>
          <w:tcPr>
            <w:tcW w:w="890" w:type="dxa"/>
            <w:tcBorders>
              <w:bottom w:val="single" w:color="auto" w:sz="4" w:space="0"/>
            </w:tcBorders>
            <w:vAlign w:val="center"/>
          </w:tcPr>
          <w:p>
            <w:pPr>
              <w:spacing w:line="360" w:lineRule="auto"/>
              <w:jc w:val="center"/>
              <w:rPr>
                <w:b/>
                <w:sz w:val="18"/>
                <w:szCs w:val="18"/>
              </w:rPr>
            </w:pPr>
            <w:r>
              <w:rPr>
                <w:b/>
                <w:sz w:val="18"/>
                <w:szCs w:val="18"/>
              </w:rPr>
              <w:t>2022年</w:t>
            </w:r>
          </w:p>
        </w:tc>
        <w:tc>
          <w:tcPr>
            <w:tcW w:w="890" w:type="dxa"/>
            <w:tcBorders>
              <w:bottom w:val="single" w:color="auto" w:sz="4" w:space="0"/>
            </w:tcBorders>
            <w:vAlign w:val="center"/>
          </w:tcPr>
          <w:p>
            <w:pPr>
              <w:spacing w:line="360" w:lineRule="auto"/>
              <w:jc w:val="center"/>
              <w:rPr>
                <w:b/>
                <w:sz w:val="18"/>
                <w:szCs w:val="18"/>
              </w:rPr>
            </w:pPr>
            <w:r>
              <w:rPr>
                <w:b/>
                <w:sz w:val="18"/>
                <w:szCs w:val="18"/>
              </w:rPr>
              <w:t>2023年</w:t>
            </w:r>
          </w:p>
        </w:tc>
        <w:tc>
          <w:tcPr>
            <w:tcW w:w="890" w:type="dxa"/>
            <w:tcBorders>
              <w:bottom w:val="single" w:color="auto" w:sz="4" w:space="0"/>
            </w:tcBorders>
            <w:vAlign w:val="center"/>
          </w:tcPr>
          <w:p>
            <w:pPr>
              <w:spacing w:line="360" w:lineRule="auto"/>
              <w:jc w:val="center"/>
              <w:rPr>
                <w:b/>
                <w:sz w:val="18"/>
                <w:szCs w:val="18"/>
              </w:rPr>
            </w:pPr>
            <w:r>
              <w:rPr>
                <w:b/>
                <w:sz w:val="18"/>
                <w:szCs w:val="18"/>
              </w:rPr>
              <w:t>2024年</w:t>
            </w:r>
          </w:p>
        </w:tc>
        <w:tc>
          <w:tcPr>
            <w:tcW w:w="933" w:type="dxa"/>
            <w:tcBorders>
              <w:bottom w:val="single" w:color="auto" w:sz="4" w:space="0"/>
            </w:tcBorders>
            <w:vAlign w:val="center"/>
          </w:tcPr>
          <w:p>
            <w:pPr>
              <w:spacing w:line="360" w:lineRule="auto"/>
              <w:jc w:val="center"/>
              <w:rPr>
                <w:b/>
                <w:sz w:val="18"/>
                <w:szCs w:val="18"/>
              </w:rPr>
            </w:pPr>
            <w:r>
              <w:rPr>
                <w:b/>
                <w:sz w:val="18"/>
                <w:szCs w:val="18"/>
              </w:rPr>
              <w:t>2025年</w:t>
            </w:r>
          </w:p>
        </w:tc>
        <w:tc>
          <w:tcPr>
            <w:tcW w:w="1085" w:type="dxa"/>
            <w:tcBorders>
              <w:bottom w:val="single" w:color="auto" w:sz="4" w:space="0"/>
            </w:tcBorders>
            <w:vAlign w:val="center"/>
          </w:tcPr>
          <w:p>
            <w:pPr>
              <w:widowControl/>
              <w:spacing w:line="360" w:lineRule="auto"/>
              <w:jc w:val="center"/>
              <w:rPr>
                <w:b/>
                <w:sz w:val="18"/>
                <w:szCs w:val="18"/>
              </w:rPr>
            </w:pPr>
            <w:r>
              <w:rPr>
                <w:b/>
                <w:sz w:val="18"/>
                <w:szCs w:val="18"/>
              </w:rPr>
              <w:t>2020~2025平均增长率（%）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67" w:type="dxa"/>
            <w:tcBorders>
              <w:left w:val="single" w:color="auto" w:sz="4" w:space="0"/>
            </w:tcBorders>
            <w:vAlign w:val="center"/>
          </w:tcPr>
          <w:p>
            <w:pPr>
              <w:spacing w:line="360" w:lineRule="auto"/>
              <w:ind w:right="210"/>
              <w:jc w:val="right"/>
              <w:rPr>
                <w:sz w:val="18"/>
                <w:szCs w:val="18"/>
              </w:rPr>
            </w:pPr>
            <w:r>
              <w:rPr>
                <w:sz w:val="18"/>
                <w:szCs w:val="18"/>
              </w:rPr>
              <w:t>1</w:t>
            </w:r>
          </w:p>
        </w:tc>
        <w:tc>
          <w:tcPr>
            <w:tcW w:w="1371" w:type="dxa"/>
            <w:tcBorders>
              <w:top w:val="single" w:color="auto" w:sz="4" w:space="0"/>
              <w:bottom w:val="single" w:color="auto" w:sz="4" w:space="0"/>
              <w:right w:val="single" w:color="auto" w:sz="4" w:space="0"/>
            </w:tcBorders>
            <w:vAlign w:val="center"/>
          </w:tcPr>
          <w:p>
            <w:pPr>
              <w:spacing w:line="360" w:lineRule="auto"/>
              <w:ind w:right="210"/>
              <w:jc w:val="center"/>
              <w:rPr>
                <w:sz w:val="18"/>
                <w:szCs w:val="18"/>
              </w:rPr>
            </w:pPr>
            <w:r>
              <w:rPr>
                <w:color w:val="000000"/>
                <w:sz w:val="18"/>
                <w:szCs w:val="18"/>
              </w:rPr>
              <w:t>公交车</w:t>
            </w:r>
          </w:p>
        </w:tc>
        <w:tc>
          <w:tcPr>
            <w:tcW w:w="69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sz w:val="18"/>
                <w:szCs w:val="18"/>
              </w:rPr>
              <w:t>24</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37</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72</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96</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215</w:t>
            </w:r>
          </w:p>
        </w:tc>
        <w:tc>
          <w:tcPr>
            <w:tcW w:w="93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363</w:t>
            </w:r>
          </w:p>
        </w:tc>
        <w:tc>
          <w:tcPr>
            <w:tcW w:w="1085" w:type="dxa"/>
            <w:tcBorders>
              <w:top w:val="single" w:color="auto" w:sz="4" w:space="0"/>
              <w:left w:val="single" w:color="auto" w:sz="4" w:space="0"/>
              <w:bottom w:val="single" w:color="auto" w:sz="4" w:space="0"/>
            </w:tcBorders>
            <w:vAlign w:val="center"/>
          </w:tcPr>
          <w:p>
            <w:pPr>
              <w:widowControl/>
              <w:jc w:val="center"/>
              <w:textAlignment w:val="center"/>
              <w:rPr>
                <w:sz w:val="18"/>
                <w:szCs w:val="18"/>
              </w:rPr>
            </w:pPr>
            <w:r>
              <w:rPr>
                <w:rFonts w:hint="eastAsia"/>
                <w:sz w:val="18"/>
                <w:szCs w:val="18"/>
              </w:rPr>
              <w:t>72.16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 w:type="dxa"/>
            <w:tcBorders>
              <w:left w:val="single" w:color="auto" w:sz="4" w:space="0"/>
            </w:tcBorders>
            <w:vAlign w:val="center"/>
          </w:tcPr>
          <w:p>
            <w:pPr>
              <w:spacing w:line="360" w:lineRule="auto"/>
              <w:ind w:right="210"/>
              <w:jc w:val="right"/>
              <w:rPr>
                <w:sz w:val="18"/>
                <w:szCs w:val="18"/>
              </w:rPr>
            </w:pPr>
            <w:r>
              <w:rPr>
                <w:sz w:val="18"/>
                <w:szCs w:val="18"/>
              </w:rPr>
              <w:t>2</w:t>
            </w:r>
          </w:p>
        </w:tc>
        <w:tc>
          <w:tcPr>
            <w:tcW w:w="1371" w:type="dxa"/>
            <w:tcBorders>
              <w:top w:val="single" w:color="auto" w:sz="4" w:space="0"/>
              <w:bottom w:val="single" w:color="auto" w:sz="4" w:space="0"/>
              <w:right w:val="single" w:color="auto" w:sz="4" w:space="0"/>
            </w:tcBorders>
            <w:vAlign w:val="center"/>
          </w:tcPr>
          <w:p>
            <w:pPr>
              <w:spacing w:line="360" w:lineRule="auto"/>
              <w:ind w:right="210"/>
              <w:jc w:val="center"/>
              <w:rPr>
                <w:sz w:val="18"/>
                <w:szCs w:val="18"/>
              </w:rPr>
            </w:pPr>
            <w:r>
              <w:rPr>
                <w:color w:val="000000"/>
                <w:sz w:val="18"/>
                <w:szCs w:val="18"/>
              </w:rPr>
              <w:t>出租车</w:t>
            </w:r>
          </w:p>
        </w:tc>
        <w:tc>
          <w:tcPr>
            <w:tcW w:w="69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0</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0</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0</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0</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327</w:t>
            </w:r>
          </w:p>
        </w:tc>
        <w:tc>
          <w:tcPr>
            <w:tcW w:w="93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602</w:t>
            </w:r>
          </w:p>
        </w:tc>
        <w:tc>
          <w:tcPr>
            <w:tcW w:w="1085" w:type="dxa"/>
            <w:tcBorders>
              <w:top w:val="single" w:color="auto" w:sz="4" w:space="0"/>
              <w:left w:val="single" w:color="auto" w:sz="4" w:space="0"/>
              <w:bottom w:val="single" w:color="auto" w:sz="4" w:space="0"/>
            </w:tcBorders>
            <w:vAlign w:val="center"/>
          </w:tcPr>
          <w:p>
            <w:pPr>
              <w:widowControl/>
              <w:jc w:val="center"/>
              <w:textAlignment w:val="center"/>
              <w:rPr>
                <w:sz w:val="18"/>
                <w:szCs w:val="18"/>
              </w:rPr>
            </w:pPr>
            <w:r>
              <w:rPr>
                <w:color w:val="000000"/>
                <w:sz w:val="18"/>
                <w:szCs w:val="18"/>
              </w:rPr>
              <w:t>8</w:t>
            </w:r>
            <w:r>
              <w:rPr>
                <w:rFonts w:hint="eastAsia"/>
                <w:color w:val="000000"/>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67" w:type="dxa"/>
            <w:tcBorders>
              <w:left w:val="single" w:color="auto" w:sz="4" w:space="0"/>
            </w:tcBorders>
            <w:vAlign w:val="center"/>
          </w:tcPr>
          <w:p>
            <w:pPr>
              <w:spacing w:line="360" w:lineRule="auto"/>
              <w:ind w:right="210"/>
              <w:jc w:val="right"/>
              <w:rPr>
                <w:sz w:val="18"/>
                <w:szCs w:val="18"/>
              </w:rPr>
            </w:pPr>
            <w:r>
              <w:rPr>
                <w:sz w:val="18"/>
                <w:szCs w:val="18"/>
              </w:rPr>
              <w:t>3</w:t>
            </w:r>
          </w:p>
        </w:tc>
        <w:tc>
          <w:tcPr>
            <w:tcW w:w="1371" w:type="dxa"/>
            <w:tcBorders>
              <w:top w:val="single" w:color="auto" w:sz="4" w:space="0"/>
              <w:bottom w:val="single" w:color="auto" w:sz="4" w:space="0"/>
              <w:right w:val="single" w:color="auto" w:sz="4" w:space="0"/>
            </w:tcBorders>
            <w:vAlign w:val="center"/>
          </w:tcPr>
          <w:p>
            <w:pPr>
              <w:spacing w:line="360" w:lineRule="auto"/>
              <w:ind w:right="210"/>
              <w:jc w:val="center"/>
              <w:rPr>
                <w:sz w:val="18"/>
                <w:szCs w:val="18"/>
              </w:rPr>
            </w:pPr>
            <w:r>
              <w:rPr>
                <w:color w:val="000000"/>
                <w:sz w:val="18"/>
                <w:szCs w:val="18"/>
              </w:rPr>
              <w:t>物流、环卫车</w:t>
            </w:r>
          </w:p>
        </w:tc>
        <w:tc>
          <w:tcPr>
            <w:tcW w:w="69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20</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33</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60</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98</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1</w:t>
            </w:r>
            <w:r>
              <w:rPr>
                <w:rFonts w:hint="eastAsia"/>
                <w:color w:val="000000"/>
                <w:sz w:val="18"/>
                <w:szCs w:val="18"/>
              </w:rPr>
              <w:t>8</w:t>
            </w:r>
            <w:r>
              <w:rPr>
                <w:color w:val="000000"/>
                <w:sz w:val="18"/>
                <w:szCs w:val="18"/>
              </w:rPr>
              <w:t>1</w:t>
            </w:r>
          </w:p>
        </w:tc>
        <w:tc>
          <w:tcPr>
            <w:tcW w:w="93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304</w:t>
            </w:r>
          </w:p>
        </w:tc>
        <w:tc>
          <w:tcPr>
            <w:tcW w:w="1085" w:type="dxa"/>
            <w:tcBorders>
              <w:top w:val="single" w:color="auto" w:sz="4" w:space="0"/>
              <w:left w:val="single" w:color="auto" w:sz="4" w:space="0"/>
              <w:bottom w:val="single" w:color="auto" w:sz="4" w:space="0"/>
            </w:tcBorders>
            <w:vAlign w:val="center"/>
          </w:tcPr>
          <w:p>
            <w:pPr>
              <w:widowControl/>
              <w:jc w:val="center"/>
              <w:textAlignment w:val="center"/>
              <w:rPr>
                <w:sz w:val="18"/>
                <w:szCs w:val="18"/>
              </w:rPr>
            </w:pPr>
            <w:r>
              <w:rPr>
                <w:color w:val="000000"/>
                <w:sz w:val="18"/>
                <w:szCs w:val="18"/>
              </w:rPr>
              <w:t>7</w:t>
            </w:r>
            <w:r>
              <w:rPr>
                <w:rFonts w:hint="eastAsia"/>
                <w:color w:val="000000"/>
                <w:sz w:val="18"/>
                <w:szCs w:val="18"/>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67" w:type="dxa"/>
            <w:tcBorders>
              <w:left w:val="single" w:color="auto" w:sz="4" w:space="0"/>
            </w:tcBorders>
            <w:vAlign w:val="center"/>
          </w:tcPr>
          <w:p>
            <w:pPr>
              <w:spacing w:line="360" w:lineRule="auto"/>
              <w:ind w:right="210"/>
              <w:jc w:val="right"/>
              <w:rPr>
                <w:sz w:val="18"/>
                <w:szCs w:val="18"/>
              </w:rPr>
            </w:pPr>
            <w:r>
              <w:rPr>
                <w:sz w:val="18"/>
                <w:szCs w:val="18"/>
              </w:rPr>
              <w:t>4</w:t>
            </w:r>
          </w:p>
        </w:tc>
        <w:tc>
          <w:tcPr>
            <w:tcW w:w="1371" w:type="dxa"/>
            <w:tcBorders>
              <w:top w:val="single" w:color="auto" w:sz="4" w:space="0"/>
              <w:bottom w:val="single" w:color="auto" w:sz="4" w:space="0"/>
              <w:right w:val="single" w:color="auto" w:sz="4" w:space="0"/>
            </w:tcBorders>
            <w:vAlign w:val="center"/>
          </w:tcPr>
          <w:p>
            <w:pPr>
              <w:spacing w:line="360" w:lineRule="auto"/>
              <w:ind w:right="210"/>
              <w:jc w:val="center"/>
              <w:rPr>
                <w:sz w:val="18"/>
                <w:szCs w:val="18"/>
              </w:rPr>
            </w:pPr>
            <w:r>
              <w:rPr>
                <w:color w:val="000000"/>
                <w:sz w:val="18"/>
                <w:szCs w:val="18"/>
              </w:rPr>
              <w:t>私人乘用车</w:t>
            </w:r>
          </w:p>
        </w:tc>
        <w:tc>
          <w:tcPr>
            <w:tcW w:w="69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303</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835</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2902</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4806</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60</w:t>
            </w:r>
            <w:r>
              <w:rPr>
                <w:color w:val="000000"/>
                <w:sz w:val="18"/>
                <w:szCs w:val="18"/>
              </w:rPr>
              <w:t>21</w:t>
            </w:r>
          </w:p>
        </w:tc>
        <w:tc>
          <w:tcPr>
            <w:tcW w:w="93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7720</w:t>
            </w:r>
          </w:p>
        </w:tc>
        <w:tc>
          <w:tcPr>
            <w:tcW w:w="1085" w:type="dxa"/>
            <w:tcBorders>
              <w:top w:val="single" w:color="auto" w:sz="4" w:space="0"/>
              <w:left w:val="single" w:color="auto" w:sz="4" w:space="0"/>
              <w:bottom w:val="single" w:color="auto" w:sz="4" w:space="0"/>
            </w:tcBorders>
            <w:vAlign w:val="center"/>
          </w:tcPr>
          <w:p>
            <w:pPr>
              <w:widowControl/>
              <w:jc w:val="center"/>
              <w:textAlignment w:val="center"/>
              <w:rPr>
                <w:sz w:val="18"/>
                <w:szCs w:val="18"/>
              </w:rPr>
            </w:pPr>
            <w:r>
              <w:rPr>
                <w:rFonts w:hint="eastAsia"/>
                <w:color w:val="000000"/>
                <w:sz w:val="18"/>
                <w:szCs w:val="18"/>
              </w:rPr>
              <w:t>91.09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67" w:type="dxa"/>
            <w:tcBorders>
              <w:left w:val="single" w:color="auto" w:sz="4" w:space="0"/>
            </w:tcBorders>
            <w:vAlign w:val="center"/>
          </w:tcPr>
          <w:p>
            <w:pPr>
              <w:spacing w:line="360" w:lineRule="auto"/>
              <w:ind w:right="210"/>
              <w:jc w:val="right"/>
              <w:rPr>
                <w:sz w:val="18"/>
                <w:szCs w:val="18"/>
              </w:rPr>
            </w:pPr>
            <w:r>
              <w:rPr>
                <w:sz w:val="18"/>
                <w:szCs w:val="18"/>
              </w:rPr>
              <w:t>5</w:t>
            </w:r>
          </w:p>
        </w:tc>
        <w:tc>
          <w:tcPr>
            <w:tcW w:w="1371" w:type="dxa"/>
            <w:tcBorders>
              <w:top w:val="single" w:color="auto" w:sz="4" w:space="0"/>
              <w:bottom w:val="single" w:color="auto" w:sz="4" w:space="0"/>
              <w:right w:val="single" w:color="auto" w:sz="4" w:space="0"/>
            </w:tcBorders>
            <w:vAlign w:val="center"/>
          </w:tcPr>
          <w:p>
            <w:pPr>
              <w:spacing w:line="360" w:lineRule="auto"/>
              <w:ind w:right="210"/>
              <w:jc w:val="center"/>
              <w:rPr>
                <w:sz w:val="18"/>
                <w:szCs w:val="18"/>
              </w:rPr>
            </w:pPr>
            <w:r>
              <w:rPr>
                <w:color w:val="000000"/>
                <w:sz w:val="18"/>
                <w:szCs w:val="18"/>
              </w:rPr>
              <w:t>其他</w:t>
            </w:r>
          </w:p>
        </w:tc>
        <w:tc>
          <w:tcPr>
            <w:tcW w:w="69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11</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123</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1</w:t>
            </w:r>
            <w:r>
              <w:rPr>
                <w:rFonts w:hint="eastAsia"/>
                <w:color w:val="000000"/>
                <w:sz w:val="18"/>
                <w:szCs w:val="18"/>
              </w:rPr>
              <w:t>84</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224</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281</w:t>
            </w:r>
          </w:p>
        </w:tc>
        <w:tc>
          <w:tcPr>
            <w:tcW w:w="93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323</w:t>
            </w:r>
          </w:p>
        </w:tc>
        <w:tc>
          <w:tcPr>
            <w:tcW w:w="1085" w:type="dxa"/>
            <w:tcBorders>
              <w:top w:val="single" w:color="auto" w:sz="4" w:space="0"/>
              <w:left w:val="single" w:color="auto" w:sz="4" w:space="0"/>
              <w:bottom w:val="single" w:color="auto" w:sz="4" w:space="0"/>
            </w:tcBorders>
            <w:vAlign w:val="center"/>
          </w:tcPr>
          <w:p>
            <w:pPr>
              <w:widowControl/>
              <w:jc w:val="center"/>
              <w:textAlignment w:val="center"/>
              <w:rPr>
                <w:sz w:val="18"/>
                <w:szCs w:val="18"/>
              </w:rPr>
            </w:pPr>
            <w:r>
              <w:rPr>
                <w:rFonts w:hint="eastAsia"/>
                <w:color w:val="000000"/>
                <w:sz w:val="18"/>
                <w:szCs w:val="18"/>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67" w:type="dxa"/>
            <w:tcBorders>
              <w:left w:val="single" w:color="auto" w:sz="4" w:space="0"/>
            </w:tcBorders>
            <w:vAlign w:val="center"/>
          </w:tcPr>
          <w:p>
            <w:pPr>
              <w:spacing w:line="360" w:lineRule="auto"/>
              <w:ind w:right="210"/>
              <w:jc w:val="right"/>
              <w:rPr>
                <w:sz w:val="18"/>
                <w:szCs w:val="18"/>
              </w:rPr>
            </w:pPr>
            <w:r>
              <w:rPr>
                <w:sz w:val="18"/>
                <w:szCs w:val="18"/>
              </w:rPr>
              <w:t>6</w:t>
            </w:r>
          </w:p>
        </w:tc>
        <w:tc>
          <w:tcPr>
            <w:tcW w:w="1371" w:type="dxa"/>
            <w:tcBorders>
              <w:top w:val="single" w:color="auto" w:sz="4" w:space="0"/>
              <w:bottom w:val="single" w:color="auto" w:sz="4" w:space="0"/>
              <w:right w:val="single" w:color="auto" w:sz="4" w:space="0"/>
            </w:tcBorders>
            <w:vAlign w:val="center"/>
          </w:tcPr>
          <w:p>
            <w:pPr>
              <w:spacing w:line="360" w:lineRule="auto"/>
              <w:ind w:right="210"/>
              <w:jc w:val="center"/>
              <w:rPr>
                <w:sz w:val="18"/>
                <w:szCs w:val="18"/>
              </w:rPr>
            </w:pPr>
            <w:r>
              <w:rPr>
                <w:color w:val="000000"/>
                <w:sz w:val="18"/>
                <w:szCs w:val="18"/>
              </w:rPr>
              <w:t>合计</w:t>
            </w:r>
          </w:p>
        </w:tc>
        <w:tc>
          <w:tcPr>
            <w:tcW w:w="698"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358</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10</w:t>
            </w:r>
            <w:r>
              <w:rPr>
                <w:rFonts w:hint="eastAsia"/>
                <w:color w:val="000000"/>
                <w:sz w:val="18"/>
                <w:szCs w:val="18"/>
              </w:rPr>
              <w:t>28</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color w:val="000000"/>
                <w:sz w:val="18"/>
                <w:szCs w:val="18"/>
              </w:rPr>
              <w:t>3</w:t>
            </w:r>
            <w:r>
              <w:rPr>
                <w:rFonts w:hint="eastAsia"/>
                <w:color w:val="000000"/>
                <w:sz w:val="18"/>
                <w:szCs w:val="18"/>
              </w:rPr>
              <w:t>218</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5224</w:t>
            </w:r>
          </w:p>
        </w:tc>
        <w:tc>
          <w:tcPr>
            <w:tcW w:w="89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color w:val="000000"/>
                <w:sz w:val="18"/>
                <w:szCs w:val="18"/>
              </w:rPr>
            </w:pPr>
            <w:r>
              <w:rPr>
                <w:rFonts w:hint="eastAsia"/>
                <w:color w:val="000000"/>
                <w:sz w:val="18"/>
                <w:szCs w:val="18"/>
              </w:rPr>
              <w:t>7025</w:t>
            </w:r>
          </w:p>
        </w:tc>
        <w:tc>
          <w:tcPr>
            <w:tcW w:w="933"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hint="default" w:eastAsia="宋体"/>
                <w:color w:val="000000"/>
                <w:sz w:val="18"/>
                <w:szCs w:val="18"/>
                <w:lang w:val="en-US" w:eastAsia="zh-CN"/>
              </w:rPr>
            </w:pPr>
            <w:r>
              <w:rPr>
                <w:rFonts w:hint="eastAsia"/>
                <w:color w:val="000000"/>
                <w:sz w:val="18"/>
                <w:szCs w:val="18"/>
              </w:rPr>
              <w:t>93</w:t>
            </w:r>
            <w:r>
              <w:rPr>
                <w:rFonts w:hint="eastAsia"/>
                <w:color w:val="000000"/>
                <w:sz w:val="18"/>
                <w:szCs w:val="18"/>
                <w:lang w:val="en-US" w:eastAsia="zh-CN"/>
              </w:rPr>
              <w:t>12</w:t>
            </w:r>
          </w:p>
        </w:tc>
        <w:tc>
          <w:tcPr>
            <w:tcW w:w="1085" w:type="dxa"/>
            <w:tcBorders>
              <w:top w:val="single" w:color="auto" w:sz="4" w:space="0"/>
              <w:left w:val="single" w:color="auto" w:sz="4" w:space="0"/>
              <w:bottom w:val="single" w:color="auto" w:sz="4" w:space="0"/>
            </w:tcBorders>
            <w:vAlign w:val="center"/>
          </w:tcPr>
          <w:p>
            <w:pPr>
              <w:widowControl/>
              <w:jc w:val="center"/>
              <w:textAlignment w:val="center"/>
              <w:rPr>
                <w:sz w:val="18"/>
                <w:szCs w:val="18"/>
              </w:rPr>
            </w:pPr>
            <w:r>
              <w:rPr>
                <w:rFonts w:hint="eastAsia"/>
                <w:color w:val="000000"/>
                <w:sz w:val="18"/>
                <w:szCs w:val="18"/>
              </w:rPr>
              <w:t>91</w:t>
            </w:r>
            <w:r>
              <w:rPr>
                <w:color w:val="000000"/>
                <w:sz w:val="18"/>
                <w:szCs w:val="18"/>
              </w:rPr>
              <w:t>.</w:t>
            </w:r>
            <w:r>
              <w:rPr>
                <w:rFonts w:hint="eastAsia"/>
                <w:color w:val="000000"/>
                <w:sz w:val="18"/>
                <w:szCs w:val="18"/>
              </w:rPr>
              <w:t>92</w:t>
            </w:r>
          </w:p>
        </w:tc>
      </w:tr>
    </w:tbl>
    <w:p>
      <w:pPr>
        <w:spacing w:before="120" w:after="120" w:line="360" w:lineRule="auto"/>
        <w:ind w:firstLine="562" w:firstLineChars="200"/>
        <w:outlineLvl w:val="2"/>
        <w:rPr>
          <w:rFonts w:eastAsia="黑体"/>
          <w:b/>
          <w:sz w:val="28"/>
          <w:szCs w:val="28"/>
          <w:shd w:val="clear" w:color="auto" w:fill="FFFFFF"/>
        </w:rPr>
      </w:pPr>
      <w:bookmarkStart w:id="58" w:name="_Toc10534"/>
      <w:r>
        <w:rPr>
          <w:rFonts w:hint="eastAsia" w:eastAsia="黑体"/>
          <w:b/>
          <w:sz w:val="28"/>
          <w:szCs w:val="28"/>
          <w:shd w:val="clear" w:color="auto" w:fill="FFFFFF"/>
          <w:lang w:val="en-US" w:eastAsia="zh-CN"/>
        </w:rPr>
        <w:t>2.</w:t>
      </w:r>
      <w:r>
        <w:rPr>
          <w:rFonts w:hint="eastAsia" w:eastAsia="黑体"/>
          <w:b/>
          <w:sz w:val="28"/>
          <w:szCs w:val="28"/>
          <w:shd w:val="clear" w:color="auto" w:fill="FFFFFF"/>
        </w:rPr>
        <w:t>配置原则</w:t>
      </w:r>
      <w:bookmarkEnd w:id="58"/>
    </w:p>
    <w:p>
      <w:pPr>
        <w:pStyle w:val="78"/>
        <w:spacing w:line="360" w:lineRule="auto"/>
        <w:ind w:firstLine="560" w:firstLineChars="200"/>
        <w:rPr>
          <w:b/>
          <w:bCs/>
          <w:color w:val="000000"/>
        </w:rPr>
      </w:pPr>
      <w:r>
        <w:rPr>
          <w:rFonts w:hint="eastAsia" w:ascii="Times New Roman" w:hAnsi="Times New Roman" w:cs="Times New Roman"/>
          <w:color w:val="000000"/>
        </w:rPr>
        <w:t>根据《</w:t>
      </w:r>
      <w:r>
        <w:rPr>
          <w:color w:val="000000"/>
        </w:rPr>
        <w:t>关于印发</w:t>
      </w:r>
      <w:r>
        <w:rPr>
          <w:rFonts w:hint="eastAsia" w:ascii="Times New Roman" w:hAnsi="Times New Roman" w:cs="Times New Roman"/>
          <w:color w:val="000000"/>
        </w:rPr>
        <w:t>重庆市</w:t>
      </w:r>
      <w:r>
        <w:rPr>
          <w:color w:val="000000"/>
        </w:rPr>
        <w:t>新能源汽车产业发展规划</w:t>
      </w:r>
      <w:r>
        <w:rPr>
          <w:b/>
          <w:bCs/>
          <w:color w:val="000000"/>
        </w:rPr>
        <w:t>（2021- 2035</w:t>
      </w:r>
      <w:r>
        <w:rPr>
          <w:color w:val="000000"/>
        </w:rPr>
        <w:t>年）的通知》</w:t>
      </w:r>
      <w:r>
        <w:rPr>
          <w:rFonts w:hint="eastAsia"/>
          <w:color w:val="000000"/>
        </w:rPr>
        <w:t>（</w:t>
      </w:r>
      <w:r>
        <w:rPr>
          <w:color w:val="000000"/>
        </w:rPr>
        <w:t>渝发改能源〔</w:t>
      </w:r>
      <w:r>
        <w:rPr>
          <w:b/>
          <w:bCs/>
          <w:color w:val="000000"/>
        </w:rPr>
        <w:t>2022</w:t>
      </w:r>
      <w:r>
        <w:rPr>
          <w:color w:val="000000"/>
        </w:rPr>
        <w:t>〕</w:t>
      </w:r>
      <w:r>
        <w:rPr>
          <w:b/>
          <w:bCs/>
          <w:color w:val="000000"/>
        </w:rPr>
        <w:t>648</w:t>
      </w:r>
      <w:r>
        <w:rPr>
          <w:color w:val="000000"/>
        </w:rPr>
        <w:t>号</w:t>
      </w:r>
      <w:r>
        <w:rPr>
          <w:rFonts w:hint="eastAsia"/>
          <w:color w:val="000000"/>
        </w:rPr>
        <w:t>）文件精神，</w:t>
      </w:r>
      <w:r>
        <w:rPr>
          <w:rFonts w:ascii="Times New Roman" w:hAnsi="Times New Roman" w:cs="Times New Roman"/>
          <w:color w:val="000000"/>
        </w:rPr>
        <w:t>中心城区公共充电服务半径小于</w:t>
      </w:r>
      <w:r>
        <w:rPr>
          <w:rFonts w:ascii="Times New Roman" w:hAnsi="Times New Roman" w:cs="Times New Roman"/>
          <w:b/>
          <w:bCs/>
          <w:color w:val="000000"/>
        </w:rPr>
        <w:t>0.5</w:t>
      </w:r>
      <w:r>
        <w:rPr>
          <w:rFonts w:ascii="Times New Roman" w:hAnsi="Times New Roman" w:cs="Times New Roman"/>
          <w:color w:val="000000"/>
        </w:rPr>
        <w:t>公里、郊区乡镇街道公共充电服务半径小于</w:t>
      </w:r>
      <w:r>
        <w:rPr>
          <w:rFonts w:ascii="Times New Roman" w:hAnsi="Times New Roman" w:cs="Times New Roman"/>
          <w:b/>
          <w:bCs/>
          <w:color w:val="000000"/>
        </w:rPr>
        <w:t>1</w:t>
      </w:r>
      <w:r>
        <w:rPr>
          <w:rFonts w:ascii="Times New Roman" w:hAnsi="Times New Roman" w:cs="Times New Roman"/>
          <w:color w:val="000000"/>
        </w:rPr>
        <w:t>公里</w:t>
      </w:r>
      <w:r>
        <w:rPr>
          <w:rFonts w:hint="eastAsia" w:ascii="Times New Roman" w:hAnsi="Times New Roman" w:cs="Times New Roman"/>
          <w:color w:val="000000"/>
        </w:rPr>
        <w:t>的原则进行布点建设；</w:t>
      </w:r>
      <w:r>
        <w:rPr>
          <w:color w:val="000000"/>
        </w:rPr>
        <w:t>到</w:t>
      </w:r>
      <w:r>
        <w:rPr>
          <w:b/>
          <w:bCs/>
          <w:color w:val="000000"/>
        </w:rPr>
        <w:t>2025</w:t>
      </w:r>
      <w:r>
        <w:rPr>
          <w:color w:val="000000"/>
        </w:rPr>
        <w:t xml:space="preserve">年全市充电站达到 </w:t>
      </w:r>
      <w:r>
        <w:rPr>
          <w:b/>
          <w:bCs/>
          <w:color w:val="000000"/>
        </w:rPr>
        <w:t>6500</w:t>
      </w:r>
      <w:r>
        <w:rPr>
          <w:color w:val="000000"/>
        </w:rPr>
        <w:t>座以上，公共充电桩</w:t>
      </w:r>
      <w:r>
        <w:rPr>
          <w:b/>
          <w:bCs/>
          <w:color w:val="000000"/>
        </w:rPr>
        <w:t>6</w:t>
      </w:r>
      <w:r>
        <w:rPr>
          <w:color w:val="000000"/>
        </w:rPr>
        <w:t>万个以上，自用充电桩达到</w:t>
      </w:r>
      <w:r>
        <w:rPr>
          <w:b/>
          <w:bCs/>
          <w:color w:val="000000"/>
        </w:rPr>
        <w:t>18</w:t>
      </w:r>
      <w:r>
        <w:rPr>
          <w:color w:val="000000"/>
        </w:rPr>
        <w:t>万个以上，</w:t>
      </w:r>
      <w:r>
        <w:rPr>
          <w:rFonts w:hint="eastAsia" w:ascii="Times New Roman" w:hAnsi="Times New Roman" w:cs="Times New Roman"/>
          <w:color w:val="000000"/>
        </w:rPr>
        <w:t>公共充电站与公共充电桩的比例约为1：14，</w:t>
      </w:r>
      <w:r>
        <w:rPr>
          <w:color w:val="000000"/>
        </w:rPr>
        <w:t>公共充电设施实时在线率不低于</w:t>
      </w:r>
      <w:r>
        <w:rPr>
          <w:b/>
          <w:bCs/>
          <w:color w:val="000000"/>
        </w:rPr>
        <w:t>95%</w:t>
      </w:r>
      <w:r>
        <w:rPr>
          <w:rFonts w:hint="eastAsia"/>
          <w:b/>
          <w:bCs/>
          <w:color w:val="000000"/>
        </w:rPr>
        <w:t>。</w:t>
      </w:r>
    </w:p>
    <w:p>
      <w:pPr>
        <w:pStyle w:val="78"/>
        <w:spacing w:line="360" w:lineRule="auto"/>
        <w:ind w:firstLine="562" w:firstLineChars="200"/>
        <w:rPr>
          <w:rFonts w:ascii="Times New Roman" w:hAnsi="Times New Roman" w:cs="Times New Roman"/>
          <w:b/>
          <w:bCs/>
        </w:rPr>
      </w:pPr>
      <w:r>
        <w:rPr>
          <w:rFonts w:ascii="Times New Roman" w:hAnsi="Times New Roman" w:cs="Times New Roman"/>
          <w:b/>
          <w:bCs/>
        </w:rPr>
        <w:t>铜梁主城新区按照公共充电服务半径小于1公里、郊区乡镇街道服务半径小于2公里</w:t>
      </w:r>
      <w:r>
        <w:rPr>
          <w:rFonts w:hint="eastAsia" w:ascii="Times New Roman" w:hAnsi="Times New Roman" w:cs="Times New Roman"/>
          <w:b/>
          <w:bCs/>
        </w:rPr>
        <w:t>的原则进行布点建设。计划至2025年，铜梁区的车桩比约为6:1，公共充电站与公共充电桩的比约为1:17。</w:t>
      </w:r>
    </w:p>
    <w:p>
      <w:pPr>
        <w:spacing w:before="120" w:after="120" w:line="360" w:lineRule="auto"/>
        <w:ind w:firstLine="562" w:firstLineChars="200"/>
        <w:outlineLvl w:val="2"/>
        <w:rPr>
          <w:rFonts w:eastAsia="黑体"/>
          <w:b/>
          <w:sz w:val="28"/>
          <w:szCs w:val="28"/>
          <w:shd w:val="clear" w:color="auto" w:fill="FFFFFF"/>
        </w:rPr>
      </w:pPr>
      <w:bookmarkStart w:id="59" w:name="_Toc14111"/>
      <w:r>
        <w:rPr>
          <w:rFonts w:hint="eastAsia" w:eastAsia="黑体"/>
          <w:b/>
          <w:sz w:val="28"/>
          <w:szCs w:val="28"/>
          <w:shd w:val="clear" w:color="auto" w:fill="FFFFFF"/>
          <w:lang w:val="en-US" w:eastAsia="zh-CN"/>
        </w:rPr>
        <w:t>3.</w:t>
      </w:r>
      <w:r>
        <w:rPr>
          <w:rFonts w:hint="eastAsia" w:eastAsia="黑体"/>
          <w:b/>
          <w:sz w:val="28"/>
          <w:szCs w:val="28"/>
          <w:shd w:val="clear" w:color="auto" w:fill="FFFFFF"/>
        </w:rPr>
        <w:t>建设数量</w:t>
      </w:r>
      <w:bookmarkEnd w:id="59"/>
    </w:p>
    <w:p>
      <w:pPr>
        <w:spacing w:line="360" w:lineRule="auto"/>
        <w:ind w:firstLine="560" w:firstLineChars="200"/>
        <w:rPr>
          <w:rFonts w:hint="eastAsia"/>
          <w:color w:val="000000"/>
          <w:sz w:val="28"/>
          <w:szCs w:val="28"/>
        </w:rPr>
      </w:pPr>
      <w:r>
        <w:rPr>
          <w:rFonts w:hint="eastAsia"/>
          <w:color w:val="000000"/>
          <w:sz w:val="28"/>
          <w:szCs w:val="28"/>
        </w:rPr>
        <w:t>结合上述原则及各镇街充电需求实地调研情况，计划至2025年，共建设充电站93个、充电桩1575个；至2035年，共建设充电站235个、充电桩</w:t>
      </w:r>
      <w:r>
        <w:rPr>
          <w:rFonts w:hint="eastAsia"/>
          <w:color w:val="000000"/>
          <w:sz w:val="28"/>
          <w:szCs w:val="28"/>
          <w:lang w:val="en-US" w:eastAsia="zh-CN"/>
        </w:rPr>
        <w:t>3313</w:t>
      </w:r>
      <w:r>
        <w:rPr>
          <w:rFonts w:hint="eastAsia"/>
          <w:color w:val="000000"/>
          <w:sz w:val="28"/>
          <w:szCs w:val="28"/>
        </w:rPr>
        <w:t>个</w:t>
      </w:r>
      <w:r>
        <w:rPr>
          <w:rFonts w:hint="eastAsia"/>
          <w:color w:val="000000"/>
          <w:sz w:val="28"/>
          <w:szCs w:val="28"/>
          <w:lang w:eastAsia="zh-CN"/>
        </w:rPr>
        <w:t>；</w:t>
      </w:r>
      <w:r>
        <w:rPr>
          <w:rFonts w:hint="eastAsia"/>
          <w:color w:val="000000"/>
          <w:sz w:val="28"/>
          <w:szCs w:val="28"/>
        </w:rPr>
        <w:t>共需新增投资5.</w:t>
      </w:r>
      <w:r>
        <w:rPr>
          <w:rFonts w:hint="eastAsia"/>
          <w:color w:val="000000"/>
          <w:sz w:val="28"/>
          <w:szCs w:val="28"/>
          <w:lang w:val="en-US" w:eastAsia="zh-CN"/>
        </w:rPr>
        <w:t>57</w:t>
      </w:r>
      <w:r>
        <w:rPr>
          <w:rFonts w:hint="eastAsia"/>
          <w:color w:val="000000"/>
          <w:sz w:val="28"/>
          <w:szCs w:val="28"/>
        </w:rPr>
        <w:t>亿元</w:t>
      </w:r>
      <w:r>
        <w:rPr>
          <w:rFonts w:hint="eastAsia"/>
          <w:color w:val="000000"/>
          <w:sz w:val="28"/>
          <w:szCs w:val="28"/>
          <w:lang w:eastAsia="zh-CN"/>
        </w:rPr>
        <w:t>（</w:t>
      </w:r>
      <w:r>
        <w:rPr>
          <w:rFonts w:hint="eastAsia" w:ascii="宋体" w:hAnsi="宋体" w:cs="宋体"/>
          <w:color w:val="000000"/>
          <w:sz w:val="28"/>
          <w:szCs w:val="28"/>
        </w:rPr>
        <w:t>具体规划</w:t>
      </w:r>
      <w:r>
        <w:rPr>
          <w:rFonts w:hint="eastAsia" w:ascii="宋体" w:hAnsi="宋体" w:cs="宋体"/>
          <w:color w:val="000000"/>
          <w:sz w:val="28"/>
          <w:szCs w:val="28"/>
          <w:lang w:eastAsia="zh-CN"/>
        </w:rPr>
        <w:t>见附表</w:t>
      </w:r>
      <w:r>
        <w:rPr>
          <w:rFonts w:hint="eastAsia" w:ascii="宋体" w:hAnsi="宋体" w:cs="宋体"/>
          <w:color w:val="000000"/>
          <w:sz w:val="28"/>
          <w:szCs w:val="28"/>
          <w:lang w:val="en-US" w:eastAsia="zh-CN"/>
        </w:rPr>
        <w:t>1</w:t>
      </w:r>
      <w:r>
        <w:rPr>
          <w:rFonts w:hint="eastAsia"/>
          <w:color w:val="000000"/>
          <w:sz w:val="28"/>
          <w:szCs w:val="28"/>
          <w:lang w:eastAsia="zh-CN"/>
        </w:rPr>
        <w:t>）</w:t>
      </w:r>
      <w:r>
        <w:rPr>
          <w:rFonts w:hint="eastAsia"/>
          <w:color w:val="000000"/>
          <w:sz w:val="28"/>
          <w:szCs w:val="28"/>
        </w:rPr>
        <w:t>。</w:t>
      </w:r>
    </w:p>
    <w:p>
      <w:pPr>
        <w:spacing w:line="360" w:lineRule="auto"/>
        <w:ind w:firstLine="560" w:firstLineChars="200"/>
        <w:rPr>
          <w:rFonts w:hint="eastAsia"/>
          <w:color w:val="000000"/>
          <w:sz w:val="28"/>
          <w:szCs w:val="28"/>
        </w:rPr>
      </w:pPr>
      <w:r>
        <w:rPr>
          <w:rFonts w:hint="eastAsia"/>
          <w:color w:val="000000"/>
          <w:sz w:val="28"/>
          <w:szCs w:val="28"/>
        </w:rPr>
        <w:t>其中，储能2200元每千瓦时</w:t>
      </w:r>
      <w:r>
        <w:rPr>
          <w:rFonts w:hint="eastAsia"/>
          <w:color w:val="000000"/>
          <w:sz w:val="28"/>
          <w:szCs w:val="28"/>
          <w:lang w:eastAsia="zh-CN"/>
        </w:rPr>
        <w:t>，</w:t>
      </w:r>
      <w:r>
        <w:rPr>
          <w:rFonts w:hint="eastAsia"/>
          <w:color w:val="000000"/>
          <w:sz w:val="28"/>
          <w:szCs w:val="28"/>
        </w:rPr>
        <w:t>光伏4200每千瓦，充电桩20万元每桩（一桩两枪）。参考相关文件，并结合铜梁区充电站及分散式充电桩发展实际，确定铜梁区各类型充电设施配电容量、投资单价等选取标准如下表：</w:t>
      </w:r>
    </w:p>
    <w:p>
      <w:pPr>
        <w:spacing w:line="360" w:lineRule="auto"/>
        <w:jc w:val="center"/>
        <w:rPr>
          <w:rFonts w:eastAsia="黑体"/>
          <w:sz w:val="20"/>
          <w:szCs w:val="24"/>
        </w:rPr>
      </w:pPr>
      <w:r>
        <w:rPr>
          <w:rFonts w:eastAsia="黑体"/>
          <w:sz w:val="20"/>
          <w:szCs w:val="24"/>
        </w:rPr>
        <w:t xml:space="preserve"> 铜梁区各类型充电设施配投资单价表</w:t>
      </w:r>
    </w:p>
    <w:tbl>
      <w:tblPr>
        <w:tblStyle w:val="17"/>
        <w:tblW w:w="90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12"/>
        <w:gridCol w:w="3007"/>
        <w:gridCol w:w="3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b/>
                <w:bCs/>
                <w:kern w:val="0"/>
                <w:sz w:val="18"/>
                <w:szCs w:val="18"/>
              </w:rPr>
            </w:pPr>
            <w:r>
              <w:rPr>
                <w:b/>
                <w:bCs/>
                <w:kern w:val="0"/>
                <w:sz w:val="18"/>
                <w:szCs w:val="18"/>
              </w:rPr>
              <w:t>序号</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b/>
                <w:bCs/>
                <w:kern w:val="0"/>
                <w:sz w:val="18"/>
                <w:szCs w:val="18"/>
              </w:rPr>
            </w:pPr>
            <w:r>
              <w:rPr>
                <w:b/>
                <w:bCs/>
                <w:kern w:val="0"/>
                <w:sz w:val="18"/>
                <w:szCs w:val="18"/>
              </w:rPr>
              <w:t>名称</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b/>
                <w:bCs/>
                <w:kern w:val="0"/>
                <w:sz w:val="18"/>
                <w:szCs w:val="18"/>
              </w:rPr>
            </w:pPr>
            <w:r>
              <w:rPr>
                <w:b/>
                <w:bCs/>
                <w:kern w:val="0"/>
                <w:sz w:val="18"/>
                <w:szCs w:val="18"/>
              </w:rPr>
              <w:t>单价（元）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1</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充电桩</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200000/台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2</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储能</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2200/KWh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3</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光伏</w:t>
            </w:r>
          </w:p>
        </w:tc>
        <w:tc>
          <w:tcPr>
            <w:tcW w:w="3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kern w:val="0"/>
                <w:sz w:val="18"/>
                <w:szCs w:val="18"/>
              </w:rPr>
            </w:pPr>
            <w:r>
              <w:rPr>
                <w:kern w:val="0"/>
                <w:sz w:val="18"/>
                <w:szCs w:val="18"/>
              </w:rPr>
              <w:t>4200/KWh</w:t>
            </w:r>
          </w:p>
        </w:tc>
      </w:tr>
    </w:tbl>
    <w:p>
      <w:pPr>
        <w:spacing w:line="360" w:lineRule="auto"/>
        <w:ind w:firstLine="560" w:firstLineChars="200"/>
        <w:rPr>
          <w:color w:val="000000"/>
          <w:sz w:val="28"/>
          <w:szCs w:val="28"/>
          <w:lang w:val="zh-CN"/>
        </w:rPr>
      </w:pPr>
    </w:p>
    <w:bookmarkEnd w:id="46"/>
    <w:bookmarkEnd w:id="47"/>
    <w:bookmarkEnd w:id="48"/>
    <w:bookmarkEnd w:id="49"/>
    <w:bookmarkEnd w:id="50"/>
    <w:bookmarkEnd w:id="51"/>
    <w:bookmarkEnd w:id="52"/>
    <w:bookmarkEnd w:id="53"/>
    <w:bookmarkEnd w:id="54"/>
    <w:p>
      <w:pPr>
        <w:pStyle w:val="4"/>
        <w:tabs>
          <w:tab w:val="left" w:pos="567"/>
        </w:tabs>
        <w:spacing w:before="120" w:after="120" w:line="360" w:lineRule="auto"/>
        <w:rPr>
          <w:rFonts w:hint="eastAsia" w:ascii="Times New Roman" w:hAnsi="Times New Roman" w:eastAsia="黑体" w:cs="Times New Roman"/>
          <w:kern w:val="2"/>
          <w:sz w:val="36"/>
          <w:szCs w:val="36"/>
          <w:lang w:eastAsia="zh-CN"/>
        </w:rPr>
        <w:sectPr>
          <w:footerReference r:id="rId7" w:type="default"/>
          <w:pgSz w:w="11907" w:h="16840"/>
          <w:pgMar w:top="1440" w:right="1701" w:bottom="1440" w:left="1701" w:header="851" w:footer="992" w:gutter="0"/>
          <w:cols w:space="720" w:num="1"/>
          <w:docGrid w:linePitch="312" w:charSpace="0"/>
        </w:sectPr>
      </w:pPr>
      <w:bookmarkStart w:id="60" w:name="_Toc86937696"/>
      <w:bookmarkStart w:id="61" w:name="_Toc86937700"/>
    </w:p>
    <w:p>
      <w:pPr>
        <w:pStyle w:val="4"/>
        <w:tabs>
          <w:tab w:val="left" w:pos="567"/>
        </w:tabs>
        <w:spacing w:before="120" w:after="120" w:line="360" w:lineRule="auto"/>
        <w:rPr>
          <w:rFonts w:ascii="Times New Roman" w:hAnsi="Times New Roman" w:eastAsia="黑体" w:cs="Times New Roman"/>
          <w:kern w:val="2"/>
          <w:sz w:val="36"/>
          <w:szCs w:val="36"/>
        </w:rPr>
      </w:pPr>
      <w:bookmarkStart w:id="62" w:name="_Toc10603"/>
      <w:r>
        <w:rPr>
          <w:rFonts w:hint="eastAsia" w:ascii="Times New Roman" w:hAnsi="Times New Roman" w:eastAsia="黑体" w:cs="Times New Roman"/>
          <w:kern w:val="2"/>
          <w:sz w:val="36"/>
          <w:szCs w:val="36"/>
          <w:lang w:eastAsia="zh-CN"/>
        </w:rPr>
        <w:t>三</w:t>
      </w:r>
      <w:r>
        <w:rPr>
          <w:rFonts w:ascii="Times New Roman" w:hAnsi="Times New Roman" w:eastAsia="黑体" w:cs="Times New Roman"/>
          <w:kern w:val="2"/>
          <w:sz w:val="36"/>
          <w:szCs w:val="36"/>
        </w:rPr>
        <w:t xml:space="preserve"> </w:t>
      </w:r>
      <w:r>
        <w:rPr>
          <w:rFonts w:hint="eastAsia" w:ascii="Times New Roman" w:hAnsi="Times New Roman" w:eastAsia="黑体" w:cs="Times New Roman"/>
          <w:kern w:val="2"/>
          <w:sz w:val="36"/>
          <w:szCs w:val="36"/>
          <w:lang w:eastAsia="zh-CN"/>
        </w:rPr>
        <w:t>主要</w:t>
      </w:r>
      <w:r>
        <w:rPr>
          <w:rFonts w:ascii="Times New Roman" w:hAnsi="Times New Roman" w:eastAsia="黑体" w:cs="Times New Roman"/>
          <w:kern w:val="2"/>
          <w:sz w:val="36"/>
          <w:szCs w:val="36"/>
        </w:rPr>
        <w:t>任务</w:t>
      </w:r>
      <w:bookmarkEnd w:id="62"/>
    </w:p>
    <w:p>
      <w:pPr>
        <w:pStyle w:val="5"/>
        <w:spacing w:before="120" w:after="120" w:line="360" w:lineRule="auto"/>
        <w:rPr>
          <w:rFonts w:ascii="宋体" w:hAnsi="宋体" w:cs="宋体"/>
          <w:sz w:val="28"/>
          <w:szCs w:val="28"/>
        </w:rPr>
      </w:pPr>
      <w:bookmarkStart w:id="63" w:name="_Toc2639"/>
      <w:r>
        <w:rPr>
          <w:rFonts w:hint="eastAsia" w:ascii="宋体" w:hAnsi="宋体" w:eastAsia="宋体" w:cs="宋体"/>
          <w:sz w:val="28"/>
          <w:szCs w:val="28"/>
        </w:rPr>
        <w:t>（一）优化充电设施建设布局</w:t>
      </w:r>
      <w:bookmarkEnd w:id="63"/>
    </w:p>
    <w:p>
      <w:pPr>
        <w:spacing w:before="120" w:after="120" w:line="360" w:lineRule="auto"/>
        <w:ind w:firstLine="560" w:firstLineChars="200"/>
        <w:rPr>
          <w:rFonts w:hint="eastAsia" w:ascii="宋体" w:hAnsi="宋体" w:cs="宋体"/>
          <w:color w:val="000000"/>
          <w:sz w:val="28"/>
          <w:szCs w:val="28"/>
        </w:rPr>
      </w:pPr>
      <w:r>
        <w:rPr>
          <w:rFonts w:hint="eastAsia" w:ascii="宋体" w:hAnsi="宋体" w:cs="宋体"/>
          <w:color w:val="000000"/>
          <w:sz w:val="28"/>
          <w:szCs w:val="28"/>
        </w:rPr>
        <w:t xml:space="preserve">坚持车桩协调发展，提高充电基础设施利用效率，加强充电基础设施建设规划与国土空间规划、其他专项规划的衔接。依托车桩一体化监测平台，实时监测电动汽车车桩运行状态数据，采用大数据挖掘技术指导布局优化。 </w:t>
      </w:r>
    </w:p>
    <w:p>
      <w:pPr>
        <w:spacing w:before="120" w:after="120" w:line="360" w:lineRule="auto"/>
        <w:ind w:firstLine="560" w:firstLineChars="200"/>
        <w:rPr>
          <w:rFonts w:hint="eastAsia" w:ascii="宋体" w:hAnsi="宋体" w:cs="宋体"/>
          <w:color w:val="000000"/>
          <w:sz w:val="28"/>
          <w:szCs w:val="28"/>
        </w:rPr>
      </w:pPr>
      <w:r>
        <w:rPr>
          <w:rFonts w:hint="eastAsia" w:ascii="宋体" w:hAnsi="宋体" w:cs="宋体"/>
          <w:color w:val="000000"/>
          <w:sz w:val="28"/>
          <w:szCs w:val="28"/>
        </w:rPr>
        <w:t>对热门充电区域，可增加大功率充电设施，进一步降低充电时间, 提高运行效率。在住宅小区、企事业单位等主要用于相对固定用户且对充电时间要求较灵活的地区，鼓励布局慢充设施。对热门商圈等充电时间要求较高的地区，布局应急快充。</w:t>
      </w:r>
    </w:p>
    <w:p>
      <w:pPr>
        <w:pStyle w:val="5"/>
        <w:spacing w:before="120" w:after="120" w:line="360" w:lineRule="auto"/>
        <w:rPr>
          <w:rFonts w:ascii="Times New Roman" w:hAnsi="Times New Roman" w:eastAsia="宋体" w:cs="Times New Roman"/>
          <w:sz w:val="30"/>
          <w:szCs w:val="30"/>
        </w:rPr>
      </w:pPr>
      <w:bookmarkStart w:id="64" w:name="_Toc23293"/>
      <w:r>
        <w:rPr>
          <w:rFonts w:ascii="Times New Roman" w:hAnsi="Times New Roman" w:eastAsia="宋体" w:cs="Times New Roman"/>
          <w:sz w:val="30"/>
          <w:szCs w:val="30"/>
        </w:rPr>
        <w:t>（</w:t>
      </w:r>
      <w:r>
        <w:rPr>
          <w:rFonts w:hint="eastAsia" w:ascii="Times New Roman" w:hAnsi="Times New Roman" w:eastAsia="宋体" w:cs="Times New Roman"/>
          <w:sz w:val="30"/>
          <w:szCs w:val="30"/>
        </w:rPr>
        <w:t>二</w:t>
      </w:r>
      <w:r>
        <w:rPr>
          <w:rFonts w:ascii="Times New Roman" w:hAnsi="Times New Roman" w:eastAsia="宋体" w:cs="Times New Roman"/>
          <w:sz w:val="30"/>
          <w:szCs w:val="30"/>
        </w:rPr>
        <w:t>）</w:t>
      </w:r>
      <w:r>
        <w:rPr>
          <w:rFonts w:hint="eastAsia" w:ascii="Times New Roman" w:hAnsi="Times New Roman" w:eastAsia="宋体" w:cs="Times New Roman"/>
          <w:sz w:val="30"/>
          <w:szCs w:val="30"/>
        </w:rPr>
        <w:t>加快推进</w:t>
      </w:r>
      <w:r>
        <w:rPr>
          <w:rFonts w:ascii="Times New Roman" w:hAnsi="Times New Roman" w:eastAsia="宋体" w:cs="Times New Roman"/>
          <w:sz w:val="30"/>
          <w:szCs w:val="30"/>
        </w:rPr>
        <w:t>重点</w:t>
      </w:r>
      <w:r>
        <w:rPr>
          <w:rFonts w:hint="eastAsia" w:ascii="Times New Roman" w:hAnsi="Times New Roman" w:eastAsia="宋体" w:cs="Times New Roman"/>
          <w:sz w:val="30"/>
          <w:szCs w:val="30"/>
        </w:rPr>
        <w:t>示范</w:t>
      </w:r>
      <w:r>
        <w:rPr>
          <w:rFonts w:ascii="Times New Roman" w:hAnsi="Times New Roman" w:eastAsia="宋体" w:cs="Times New Roman"/>
          <w:sz w:val="30"/>
          <w:szCs w:val="30"/>
        </w:rPr>
        <w:t>项目</w:t>
      </w:r>
      <w:bookmarkEnd w:id="64"/>
    </w:p>
    <w:p>
      <w:pPr>
        <w:adjustRightInd w:val="0"/>
        <w:snapToGrid w:val="0"/>
        <w:spacing w:line="360" w:lineRule="auto"/>
        <w:ind w:firstLine="420"/>
        <w:rPr>
          <w:sz w:val="28"/>
          <w:szCs w:val="28"/>
        </w:rPr>
      </w:pPr>
      <w:r>
        <w:rPr>
          <w:rFonts w:hint="eastAsia"/>
          <w:sz w:val="28"/>
          <w:szCs w:val="28"/>
          <w:lang w:val="en-US" w:eastAsia="zh-CN"/>
        </w:rPr>
        <w:t>2023年，计划建成10个重点示范项目，具体明细如下</w:t>
      </w:r>
      <w:r>
        <w:rPr>
          <w:sz w:val="28"/>
          <w:szCs w:val="28"/>
        </w:rPr>
        <w:t>：</w:t>
      </w:r>
    </w:p>
    <w:p>
      <w:pPr>
        <w:adjustRightInd w:val="0"/>
        <w:snapToGrid w:val="0"/>
        <w:spacing w:line="360" w:lineRule="auto"/>
        <w:jc w:val="center"/>
        <w:rPr>
          <w:b/>
          <w:bCs/>
        </w:rPr>
      </w:pPr>
      <w:r>
        <w:rPr>
          <w:b/>
          <w:bCs/>
        </w:rPr>
        <w:t>重点项目建设安排表</w:t>
      </w:r>
    </w:p>
    <w:tbl>
      <w:tblPr>
        <w:tblStyle w:val="17"/>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295"/>
        <w:gridCol w:w="1894"/>
        <w:gridCol w:w="1108"/>
        <w:gridCol w:w="1209"/>
        <w:gridCol w:w="1149"/>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shd w:val="clear" w:color="auto" w:fill="auto"/>
            <w:vAlign w:val="center"/>
          </w:tcPr>
          <w:p>
            <w:pPr>
              <w:widowControl/>
              <w:jc w:val="center"/>
              <w:rPr>
                <w:b/>
                <w:bCs/>
                <w:color w:val="000000"/>
                <w:kern w:val="0"/>
                <w:sz w:val="18"/>
                <w:szCs w:val="18"/>
              </w:rPr>
            </w:pPr>
            <w:r>
              <w:rPr>
                <w:b/>
                <w:bCs/>
                <w:color w:val="000000"/>
                <w:kern w:val="0"/>
                <w:sz w:val="18"/>
                <w:szCs w:val="18"/>
              </w:rPr>
              <w:t>年份</w:t>
            </w:r>
          </w:p>
        </w:tc>
        <w:tc>
          <w:tcPr>
            <w:tcW w:w="1295" w:type="dxa"/>
            <w:shd w:val="clear" w:color="auto" w:fill="auto"/>
            <w:vAlign w:val="center"/>
          </w:tcPr>
          <w:p>
            <w:pPr>
              <w:widowControl/>
              <w:jc w:val="center"/>
              <w:rPr>
                <w:b/>
                <w:bCs/>
                <w:color w:val="000000"/>
                <w:kern w:val="0"/>
                <w:sz w:val="18"/>
                <w:szCs w:val="18"/>
              </w:rPr>
            </w:pPr>
            <w:r>
              <w:rPr>
                <w:b/>
                <w:bCs/>
                <w:color w:val="000000"/>
                <w:kern w:val="0"/>
                <w:sz w:val="18"/>
                <w:szCs w:val="18"/>
              </w:rPr>
              <w:t>充电桩种类</w:t>
            </w:r>
          </w:p>
        </w:tc>
        <w:tc>
          <w:tcPr>
            <w:tcW w:w="1894" w:type="dxa"/>
            <w:shd w:val="clear" w:color="auto" w:fill="auto"/>
            <w:vAlign w:val="center"/>
          </w:tcPr>
          <w:p>
            <w:pPr>
              <w:widowControl/>
              <w:jc w:val="center"/>
              <w:rPr>
                <w:b/>
                <w:bCs/>
                <w:color w:val="000000"/>
                <w:kern w:val="0"/>
                <w:sz w:val="18"/>
                <w:szCs w:val="18"/>
              </w:rPr>
            </w:pPr>
            <w:r>
              <w:rPr>
                <w:b/>
                <w:bCs/>
                <w:color w:val="000000"/>
                <w:kern w:val="0"/>
                <w:sz w:val="18"/>
                <w:szCs w:val="18"/>
              </w:rPr>
              <w:t>名称</w:t>
            </w:r>
          </w:p>
        </w:tc>
        <w:tc>
          <w:tcPr>
            <w:tcW w:w="1108" w:type="dxa"/>
            <w:shd w:val="clear" w:color="auto" w:fill="auto"/>
            <w:vAlign w:val="center"/>
          </w:tcPr>
          <w:p>
            <w:pPr>
              <w:widowControl/>
              <w:jc w:val="center"/>
              <w:rPr>
                <w:b/>
                <w:bCs/>
                <w:color w:val="000000"/>
                <w:kern w:val="0"/>
                <w:sz w:val="18"/>
                <w:szCs w:val="18"/>
              </w:rPr>
            </w:pPr>
            <w:r>
              <w:rPr>
                <w:b/>
                <w:bCs/>
                <w:color w:val="000000"/>
                <w:kern w:val="0"/>
                <w:sz w:val="18"/>
                <w:szCs w:val="18"/>
              </w:rPr>
              <w:t>光伏（kw）</w:t>
            </w:r>
          </w:p>
        </w:tc>
        <w:tc>
          <w:tcPr>
            <w:tcW w:w="1209" w:type="dxa"/>
            <w:shd w:val="clear" w:color="auto" w:fill="auto"/>
            <w:vAlign w:val="center"/>
          </w:tcPr>
          <w:p>
            <w:pPr>
              <w:widowControl/>
              <w:jc w:val="center"/>
              <w:rPr>
                <w:b/>
                <w:bCs/>
                <w:color w:val="000000"/>
                <w:kern w:val="0"/>
                <w:sz w:val="18"/>
                <w:szCs w:val="18"/>
              </w:rPr>
            </w:pPr>
            <w:r>
              <w:rPr>
                <w:b/>
                <w:bCs/>
                <w:color w:val="000000"/>
                <w:kern w:val="0"/>
                <w:sz w:val="18"/>
                <w:szCs w:val="18"/>
              </w:rPr>
              <w:t>储能（kwh）</w:t>
            </w:r>
          </w:p>
        </w:tc>
        <w:tc>
          <w:tcPr>
            <w:tcW w:w="1149" w:type="dxa"/>
            <w:shd w:val="clear" w:color="auto" w:fill="auto"/>
            <w:vAlign w:val="center"/>
          </w:tcPr>
          <w:p>
            <w:pPr>
              <w:widowControl/>
              <w:jc w:val="center"/>
              <w:rPr>
                <w:b/>
                <w:bCs/>
                <w:color w:val="000000"/>
                <w:kern w:val="0"/>
                <w:sz w:val="18"/>
                <w:szCs w:val="18"/>
              </w:rPr>
            </w:pPr>
            <w:r>
              <w:rPr>
                <w:b/>
                <w:bCs/>
                <w:color w:val="000000"/>
                <w:kern w:val="0"/>
                <w:sz w:val="18"/>
                <w:szCs w:val="18"/>
              </w:rPr>
              <w:t>充电桩总数量</w:t>
            </w:r>
          </w:p>
        </w:tc>
        <w:tc>
          <w:tcPr>
            <w:tcW w:w="1488" w:type="dxa"/>
            <w:shd w:val="clear" w:color="auto" w:fill="auto"/>
            <w:vAlign w:val="center"/>
          </w:tcPr>
          <w:p>
            <w:pPr>
              <w:widowControl/>
              <w:jc w:val="center"/>
              <w:rPr>
                <w:b/>
                <w:bCs/>
                <w:color w:val="000000"/>
                <w:kern w:val="0"/>
                <w:sz w:val="18"/>
                <w:szCs w:val="18"/>
              </w:rPr>
            </w:pPr>
            <w:r>
              <w:rPr>
                <w:b/>
                <w:bCs/>
                <w:color w:val="000000"/>
                <w:kern w:val="0"/>
                <w:sz w:val="18"/>
                <w:szCs w:val="18"/>
              </w:rPr>
              <w:t>预估成本（万元）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restart"/>
            <w:shd w:val="clear" w:color="auto" w:fill="auto"/>
            <w:vAlign w:val="center"/>
          </w:tcPr>
          <w:p>
            <w:pPr>
              <w:widowControl/>
              <w:jc w:val="center"/>
              <w:rPr>
                <w:color w:val="000000"/>
                <w:kern w:val="0"/>
                <w:sz w:val="18"/>
                <w:szCs w:val="18"/>
              </w:rPr>
            </w:pPr>
            <w:r>
              <w:rPr>
                <w:color w:val="000000"/>
                <w:kern w:val="0"/>
                <w:sz w:val="18"/>
                <w:szCs w:val="18"/>
              </w:rPr>
              <w:t>2023</w:t>
            </w:r>
          </w:p>
        </w:tc>
        <w:tc>
          <w:tcPr>
            <w:tcW w:w="1295" w:type="dxa"/>
            <w:vMerge w:val="restart"/>
            <w:shd w:val="clear" w:color="auto" w:fill="auto"/>
            <w:vAlign w:val="center"/>
          </w:tcPr>
          <w:p>
            <w:pPr>
              <w:widowControl/>
              <w:jc w:val="center"/>
              <w:rPr>
                <w:color w:val="000000"/>
                <w:kern w:val="0"/>
                <w:sz w:val="18"/>
                <w:szCs w:val="18"/>
              </w:rPr>
            </w:pPr>
            <w:r>
              <w:rPr>
                <w:color w:val="000000"/>
                <w:kern w:val="0"/>
                <w:sz w:val="18"/>
                <w:szCs w:val="18"/>
              </w:rPr>
              <w:t>社会公共充电站</w:t>
            </w:r>
          </w:p>
        </w:tc>
        <w:tc>
          <w:tcPr>
            <w:tcW w:w="1894" w:type="dxa"/>
            <w:shd w:val="clear" w:color="auto" w:fill="auto"/>
            <w:vAlign w:val="center"/>
          </w:tcPr>
          <w:p>
            <w:pPr>
              <w:widowControl/>
              <w:jc w:val="center"/>
              <w:rPr>
                <w:color w:val="000000"/>
                <w:kern w:val="0"/>
                <w:sz w:val="18"/>
                <w:szCs w:val="18"/>
              </w:rPr>
            </w:pPr>
            <w:r>
              <w:rPr>
                <w:color w:val="000000"/>
                <w:kern w:val="0"/>
                <w:sz w:val="18"/>
                <w:szCs w:val="18"/>
              </w:rPr>
              <w:t>北环停车场北郭变电站旁</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400</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1700</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24</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中央公园停车场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6</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万达生态停车场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30</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347.3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蒲吕葫芦社区停车场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12</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罗睺寺公园停车场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12</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淮远古韵南街道闸区域</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12</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大庙企业服务中心停车场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6</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安居新接待中心停车场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6</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平摊政府广场停车场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6</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8" w:type="dxa"/>
            <w:vMerge w:val="continue"/>
            <w:vAlign w:val="center"/>
          </w:tcPr>
          <w:p>
            <w:pPr>
              <w:widowControl/>
              <w:jc w:val="left"/>
              <w:rPr>
                <w:color w:val="000000"/>
                <w:kern w:val="0"/>
                <w:sz w:val="18"/>
                <w:szCs w:val="18"/>
              </w:rPr>
            </w:pPr>
          </w:p>
        </w:tc>
        <w:tc>
          <w:tcPr>
            <w:tcW w:w="1295" w:type="dxa"/>
            <w:vMerge w:val="continue"/>
            <w:vAlign w:val="center"/>
          </w:tcPr>
          <w:p>
            <w:pPr>
              <w:widowControl/>
              <w:jc w:val="left"/>
              <w:rPr>
                <w:color w:val="000000"/>
                <w:kern w:val="0"/>
                <w:sz w:val="18"/>
                <w:szCs w:val="18"/>
              </w:rPr>
            </w:pPr>
          </w:p>
        </w:tc>
        <w:tc>
          <w:tcPr>
            <w:tcW w:w="1894" w:type="dxa"/>
            <w:shd w:val="clear" w:color="auto" w:fill="auto"/>
            <w:vAlign w:val="center"/>
          </w:tcPr>
          <w:p>
            <w:pPr>
              <w:widowControl/>
              <w:jc w:val="center"/>
              <w:rPr>
                <w:color w:val="000000"/>
                <w:kern w:val="0"/>
                <w:sz w:val="18"/>
                <w:szCs w:val="18"/>
              </w:rPr>
            </w:pPr>
            <w:r>
              <w:rPr>
                <w:color w:val="000000"/>
                <w:kern w:val="0"/>
                <w:sz w:val="18"/>
                <w:szCs w:val="18"/>
              </w:rPr>
              <w:t>虎峰体育公园停车场</w:t>
            </w:r>
          </w:p>
        </w:tc>
        <w:tc>
          <w:tcPr>
            <w:tcW w:w="1108" w:type="dxa"/>
            <w:shd w:val="clear" w:color="auto" w:fill="auto"/>
            <w:vAlign w:val="center"/>
          </w:tcPr>
          <w:p>
            <w:pPr>
              <w:widowControl/>
              <w:jc w:val="center"/>
              <w:rPr>
                <w:color w:val="000000"/>
                <w:kern w:val="0"/>
                <w:sz w:val="18"/>
                <w:szCs w:val="18"/>
              </w:rPr>
            </w:pPr>
            <w:r>
              <w:rPr>
                <w:color w:val="000000"/>
                <w:kern w:val="0"/>
                <w:sz w:val="18"/>
                <w:szCs w:val="18"/>
              </w:rPr>
              <w:t>/</w:t>
            </w:r>
          </w:p>
        </w:tc>
        <w:tc>
          <w:tcPr>
            <w:tcW w:w="1209" w:type="dxa"/>
            <w:shd w:val="clear" w:color="auto" w:fill="auto"/>
            <w:vAlign w:val="center"/>
          </w:tcPr>
          <w:p>
            <w:pPr>
              <w:widowControl/>
              <w:jc w:val="center"/>
              <w:rPr>
                <w:color w:val="000000"/>
                <w:kern w:val="0"/>
                <w:sz w:val="18"/>
                <w:szCs w:val="18"/>
              </w:rPr>
            </w:pPr>
            <w:r>
              <w:rPr>
                <w:color w:val="000000"/>
                <w:kern w:val="0"/>
                <w:sz w:val="18"/>
                <w:szCs w:val="18"/>
              </w:rPr>
              <w:t>215</w:t>
            </w:r>
          </w:p>
        </w:tc>
        <w:tc>
          <w:tcPr>
            <w:tcW w:w="1149" w:type="dxa"/>
            <w:shd w:val="clear" w:color="auto" w:fill="auto"/>
            <w:vAlign w:val="center"/>
          </w:tcPr>
          <w:p>
            <w:pPr>
              <w:widowControl/>
              <w:jc w:val="center"/>
              <w:rPr>
                <w:color w:val="000000"/>
                <w:kern w:val="0"/>
                <w:sz w:val="18"/>
                <w:szCs w:val="18"/>
              </w:rPr>
            </w:pPr>
            <w:r>
              <w:rPr>
                <w:color w:val="000000"/>
                <w:kern w:val="0"/>
                <w:sz w:val="18"/>
                <w:szCs w:val="18"/>
              </w:rPr>
              <w:t>12</w:t>
            </w:r>
          </w:p>
        </w:tc>
        <w:tc>
          <w:tcPr>
            <w:tcW w:w="1488" w:type="dxa"/>
            <w:shd w:val="clear" w:color="auto" w:fill="auto"/>
            <w:vAlign w:val="center"/>
          </w:tcPr>
          <w:p>
            <w:pPr>
              <w:widowControl/>
              <w:jc w:val="center"/>
              <w:rPr>
                <w:color w:val="000000"/>
                <w:kern w:val="0"/>
                <w:sz w:val="18"/>
                <w:szCs w:val="18"/>
              </w:rPr>
            </w:pPr>
            <w:r>
              <w:rPr>
                <w:color w:val="000000"/>
                <w:kern w:val="0"/>
                <w:sz w:val="18"/>
                <w:szCs w:val="18"/>
              </w:rPr>
              <w:t>167.3</w:t>
            </w:r>
          </w:p>
        </w:tc>
      </w:tr>
    </w:tbl>
    <w:p>
      <w:pPr>
        <w:adjustRightInd w:val="0"/>
        <w:snapToGrid w:val="0"/>
        <w:spacing w:line="360" w:lineRule="auto"/>
        <w:ind w:firstLine="562" w:firstLineChars="200"/>
        <w:jc w:val="left"/>
        <w:rPr>
          <w:b/>
          <w:bCs/>
          <w:sz w:val="28"/>
        </w:rPr>
      </w:pPr>
      <w:r>
        <w:rPr>
          <w:b/>
          <w:bCs/>
          <w:sz w:val="28"/>
        </w:rPr>
        <w:t>（1）北环停车场北郭变电站旁</w:t>
      </w:r>
    </w:p>
    <w:p>
      <w:pPr>
        <w:spacing w:line="360" w:lineRule="auto"/>
        <w:ind w:firstLine="562" w:firstLineChars="200"/>
        <w:rPr>
          <w:sz w:val="28"/>
          <w:szCs w:val="28"/>
        </w:rPr>
      </w:pPr>
      <w:r>
        <w:rPr>
          <w:b/>
          <w:sz w:val="28"/>
          <w:szCs w:val="28"/>
        </w:rPr>
        <w:t>建设位置</w:t>
      </w:r>
      <w:r>
        <w:rPr>
          <w:sz w:val="28"/>
          <w:szCs w:val="28"/>
        </w:rPr>
        <w:t>位于北环路南侧，铜梁供电公司北郭变电站旁。社会车辆交通便利，满足社会公共车辆充电。</w:t>
      </w:r>
      <w:r>
        <w:rPr>
          <w:b/>
          <w:sz w:val="28"/>
          <w:szCs w:val="28"/>
        </w:rPr>
        <w:t>土地产权</w:t>
      </w:r>
      <w:r>
        <w:rPr>
          <w:sz w:val="28"/>
          <w:szCs w:val="28"/>
        </w:rPr>
        <w:t>归金龙城建公司所有。</w:t>
      </w:r>
      <w:r>
        <w:rPr>
          <w:b/>
          <w:sz w:val="28"/>
          <w:szCs w:val="28"/>
        </w:rPr>
        <w:t>土地现状</w:t>
      </w:r>
      <w:r>
        <w:rPr>
          <w:sz w:val="28"/>
          <w:szCs w:val="28"/>
        </w:rPr>
        <w:t>为空地，目前有可接入电源点。</w:t>
      </w:r>
    </w:p>
    <w:p>
      <w:pPr>
        <w:spacing w:line="360" w:lineRule="auto"/>
        <w:ind w:firstLine="560" w:firstLineChars="200"/>
        <w:jc w:val="left"/>
        <w:rPr>
          <w:sz w:val="28"/>
          <w:szCs w:val="28"/>
        </w:rPr>
      </w:pPr>
      <w:r>
        <w:rPr>
          <w:sz w:val="28"/>
          <w:szCs w:val="28"/>
        </w:rPr>
        <w:t>拟建设车位600个，充电桩数量24个，建设光伏容量约400千瓦，配备储能设备1700KWH。目前已</w:t>
      </w:r>
      <w:r>
        <w:rPr>
          <w:rFonts w:hint="eastAsia"/>
          <w:sz w:val="28"/>
          <w:szCs w:val="28"/>
        </w:rPr>
        <w:t>启动</w:t>
      </w:r>
      <w:r>
        <w:rPr>
          <w:sz w:val="28"/>
          <w:szCs w:val="28"/>
        </w:rPr>
        <w:t>前期建设工作。</w:t>
      </w:r>
    </w:p>
    <w:p>
      <w:pPr>
        <w:spacing w:line="360" w:lineRule="auto"/>
        <w:rPr>
          <w:sz w:val="28"/>
          <w:szCs w:val="28"/>
        </w:rPr>
      </w:pPr>
      <w:r>
        <w:drawing>
          <wp:inline distT="0" distB="0" distL="0" distR="0">
            <wp:extent cx="2673350" cy="1835150"/>
            <wp:effectExtent l="0" t="0" r="635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73350" cy="1835150"/>
                    </a:xfrm>
                    <a:prstGeom prst="rect">
                      <a:avLst/>
                    </a:prstGeom>
                    <a:noFill/>
                    <a:ln>
                      <a:noFill/>
                    </a:ln>
                  </pic:spPr>
                </pic:pic>
              </a:graphicData>
            </a:graphic>
          </wp:inline>
        </w:drawing>
      </w:r>
      <w:r>
        <w:t xml:space="preserve">  </w:t>
      </w:r>
      <w:r>
        <w:rPr>
          <w:sz w:val="28"/>
          <w:szCs w:val="28"/>
        </w:rPr>
        <w:drawing>
          <wp:inline distT="0" distB="0" distL="0" distR="0">
            <wp:extent cx="2406650" cy="183515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6650" cy="1835150"/>
                    </a:xfrm>
                    <a:prstGeom prst="rect">
                      <a:avLst/>
                    </a:prstGeom>
                    <a:noFill/>
                    <a:ln>
                      <a:noFill/>
                    </a:ln>
                  </pic:spPr>
                </pic:pic>
              </a:graphicData>
            </a:graphic>
          </wp:inline>
        </w:drawing>
      </w:r>
    </w:p>
    <w:p>
      <w:pPr>
        <w:adjustRightInd w:val="0"/>
        <w:snapToGrid w:val="0"/>
        <w:spacing w:line="360" w:lineRule="auto"/>
        <w:ind w:firstLine="562" w:firstLineChars="200"/>
        <w:jc w:val="left"/>
        <w:rPr>
          <w:b/>
          <w:bCs/>
          <w:sz w:val="28"/>
        </w:rPr>
      </w:pPr>
      <w:r>
        <w:rPr>
          <w:b/>
          <w:bCs/>
          <w:sz w:val="28"/>
        </w:rPr>
        <w:t>（2）中央公园停车场</w:t>
      </w:r>
    </w:p>
    <w:p>
      <w:pPr>
        <w:spacing w:line="360" w:lineRule="auto"/>
        <w:ind w:firstLine="562" w:firstLineChars="200"/>
        <w:jc w:val="left"/>
        <w:rPr>
          <w:sz w:val="28"/>
          <w:szCs w:val="28"/>
        </w:rPr>
      </w:pPr>
      <w:r>
        <w:rPr>
          <w:b/>
          <w:sz w:val="28"/>
          <w:szCs w:val="28"/>
        </w:rPr>
        <w:t>建设位置</w:t>
      </w:r>
      <w:r>
        <w:rPr>
          <w:sz w:val="28"/>
          <w:szCs w:val="28"/>
        </w:rPr>
        <w:t>位于铜梁区淮远南路与原乡大道交叉口，交通便利，满足社会公共车辆充电。</w:t>
      </w:r>
      <w:r>
        <w:rPr>
          <w:b/>
          <w:sz w:val="28"/>
          <w:szCs w:val="28"/>
        </w:rPr>
        <w:t>土地产权</w:t>
      </w:r>
      <w:r>
        <w:rPr>
          <w:sz w:val="28"/>
          <w:szCs w:val="28"/>
        </w:rPr>
        <w:t>归龙廷公司所有。</w:t>
      </w:r>
      <w:r>
        <w:rPr>
          <w:b/>
          <w:sz w:val="28"/>
          <w:szCs w:val="28"/>
        </w:rPr>
        <w:t>土地现状</w:t>
      </w:r>
      <w:r>
        <w:rPr>
          <w:sz w:val="28"/>
          <w:szCs w:val="28"/>
        </w:rPr>
        <w:t>为地上已硬化停车场，无需交通开口。目前该停车场已建设360KW一拖六充电站，能够同时满足6台车辆同时充电，经营状态良好。</w:t>
      </w:r>
    </w:p>
    <w:p>
      <w:pPr>
        <w:spacing w:line="360" w:lineRule="auto"/>
        <w:ind w:firstLine="560" w:firstLineChars="200"/>
        <w:jc w:val="left"/>
        <w:rPr>
          <w:sz w:val="28"/>
          <w:szCs w:val="28"/>
        </w:rPr>
      </w:pPr>
      <w:r>
        <w:rPr>
          <w:sz w:val="28"/>
          <w:szCs w:val="28"/>
        </w:rPr>
        <w:t>拟建设配备储能设备215KWH。</w:t>
      </w:r>
    </w:p>
    <w:p>
      <w:pPr>
        <w:spacing w:line="360" w:lineRule="auto"/>
        <w:rPr>
          <w:sz w:val="28"/>
          <w:szCs w:val="28"/>
        </w:rPr>
      </w:pPr>
      <w:r>
        <w:drawing>
          <wp:inline distT="0" distB="0" distL="0" distR="0">
            <wp:extent cx="2457450" cy="167005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57450" cy="1670050"/>
                    </a:xfrm>
                    <a:prstGeom prst="rect">
                      <a:avLst/>
                    </a:prstGeom>
                    <a:noFill/>
                    <a:ln>
                      <a:noFill/>
                    </a:ln>
                  </pic:spPr>
                </pic:pic>
              </a:graphicData>
            </a:graphic>
          </wp:inline>
        </w:drawing>
      </w:r>
      <w:r>
        <w:t xml:space="preserve">  </w:t>
      </w:r>
      <w:r>
        <w:drawing>
          <wp:inline distT="0" distB="0" distL="0" distR="0">
            <wp:extent cx="2520950" cy="166370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950" cy="1663700"/>
                    </a:xfrm>
                    <a:prstGeom prst="rect">
                      <a:avLst/>
                    </a:prstGeom>
                    <a:noFill/>
                    <a:ln>
                      <a:noFill/>
                    </a:ln>
                  </pic:spPr>
                </pic:pic>
              </a:graphicData>
            </a:graphic>
          </wp:inline>
        </w:drawing>
      </w:r>
    </w:p>
    <w:p>
      <w:pPr>
        <w:adjustRightInd w:val="0"/>
        <w:snapToGrid w:val="0"/>
        <w:spacing w:line="360" w:lineRule="auto"/>
        <w:ind w:firstLine="562" w:firstLineChars="200"/>
        <w:jc w:val="left"/>
        <w:rPr>
          <w:b/>
          <w:bCs/>
          <w:sz w:val="28"/>
        </w:rPr>
      </w:pPr>
      <w:bookmarkStart w:id="65" w:name="_Hlk114146494"/>
      <w:r>
        <w:rPr>
          <w:b/>
          <w:bCs/>
          <w:sz w:val="28"/>
        </w:rPr>
        <w:t>（3）万达生态停车场</w:t>
      </w:r>
    </w:p>
    <w:p>
      <w:pPr>
        <w:spacing w:line="360" w:lineRule="auto"/>
        <w:ind w:firstLine="562" w:firstLineChars="200"/>
        <w:jc w:val="left"/>
        <w:rPr>
          <w:sz w:val="28"/>
          <w:szCs w:val="28"/>
        </w:rPr>
      </w:pPr>
      <w:r>
        <w:rPr>
          <w:b/>
          <w:bCs/>
          <w:sz w:val="28"/>
          <w:szCs w:val="28"/>
        </w:rPr>
        <w:t>建设位置</w:t>
      </w:r>
      <w:r>
        <w:rPr>
          <w:sz w:val="28"/>
          <w:szCs w:val="28"/>
        </w:rPr>
        <w:t>位于铜梁区中心东路与亚龙路交叉口，处于铜梁区新城核心区内，交通便利，车流量大。</w:t>
      </w:r>
      <w:r>
        <w:rPr>
          <w:b/>
          <w:bCs/>
          <w:sz w:val="28"/>
          <w:szCs w:val="28"/>
        </w:rPr>
        <w:t>土地产权</w:t>
      </w:r>
      <w:r>
        <w:rPr>
          <w:sz w:val="28"/>
          <w:szCs w:val="28"/>
        </w:rPr>
        <w:t>属于国有用地，土地现状为地上已硬化停车场。目前该停车场已建设总容量360KW，六台单枪直流充电桩和12台120kW一体双枪直流充电桩，能够同时满足30台车辆同时充电，经营状态良好。</w:t>
      </w:r>
    </w:p>
    <w:bookmarkEnd w:id="65"/>
    <w:p>
      <w:pPr>
        <w:spacing w:line="360" w:lineRule="auto"/>
        <w:ind w:firstLine="560" w:firstLineChars="200"/>
        <w:jc w:val="left"/>
        <w:rPr>
          <w:sz w:val="28"/>
          <w:szCs w:val="28"/>
        </w:rPr>
      </w:pPr>
      <w:r>
        <w:rPr>
          <w:sz w:val="28"/>
          <w:szCs w:val="28"/>
        </w:rPr>
        <w:t>拟建设配备储能设备215KWH。</w:t>
      </w:r>
    </w:p>
    <w:p>
      <w:pPr>
        <w:spacing w:line="360" w:lineRule="auto"/>
        <w:ind w:firstLine="210" w:firstLineChars="100"/>
        <w:jc w:val="left"/>
        <w:rPr>
          <w:rFonts w:eastAsia="黑体"/>
          <w:sz w:val="20"/>
          <w:szCs w:val="24"/>
        </w:rPr>
      </w:pPr>
      <w:r>
        <w:drawing>
          <wp:inline distT="0" distB="0" distL="0" distR="0">
            <wp:extent cx="2286000" cy="13017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86000" cy="1301750"/>
                    </a:xfrm>
                    <a:prstGeom prst="rect">
                      <a:avLst/>
                    </a:prstGeom>
                    <a:noFill/>
                    <a:ln>
                      <a:noFill/>
                    </a:ln>
                  </pic:spPr>
                </pic:pic>
              </a:graphicData>
            </a:graphic>
          </wp:inline>
        </w:drawing>
      </w:r>
      <w:r>
        <w:t xml:space="preserve">  </w:t>
      </w:r>
      <w:r>
        <w:drawing>
          <wp:inline distT="0" distB="0" distL="0" distR="0">
            <wp:extent cx="2597150" cy="1282065"/>
            <wp:effectExtent l="0" t="0" r="635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98931" cy="1283343"/>
                    </a:xfrm>
                    <a:prstGeom prst="rect">
                      <a:avLst/>
                    </a:prstGeom>
                    <a:noFill/>
                    <a:ln>
                      <a:noFill/>
                    </a:ln>
                  </pic:spPr>
                </pic:pic>
              </a:graphicData>
            </a:graphic>
          </wp:inline>
        </w:drawing>
      </w:r>
    </w:p>
    <w:p>
      <w:pPr>
        <w:adjustRightInd w:val="0"/>
        <w:snapToGrid w:val="0"/>
        <w:spacing w:line="360" w:lineRule="auto"/>
        <w:ind w:firstLine="562" w:firstLineChars="200"/>
        <w:jc w:val="left"/>
        <w:rPr>
          <w:b/>
          <w:bCs/>
          <w:sz w:val="28"/>
        </w:rPr>
      </w:pPr>
      <w:r>
        <w:rPr>
          <w:b/>
          <w:bCs/>
          <w:sz w:val="28"/>
        </w:rPr>
        <w:t>（4）蒲吕葫芦社区停车场</w:t>
      </w:r>
    </w:p>
    <w:p>
      <w:pPr>
        <w:spacing w:line="360" w:lineRule="auto"/>
        <w:ind w:firstLine="562" w:firstLineChars="200"/>
        <w:jc w:val="left"/>
        <w:rPr>
          <w:sz w:val="28"/>
          <w:szCs w:val="28"/>
        </w:rPr>
      </w:pPr>
      <w:r>
        <w:rPr>
          <w:b/>
          <w:bCs/>
          <w:sz w:val="28"/>
          <w:szCs w:val="28"/>
        </w:rPr>
        <w:t>建设位置</w:t>
      </w:r>
      <w:r>
        <w:rPr>
          <w:sz w:val="28"/>
          <w:szCs w:val="28"/>
        </w:rPr>
        <w:t>位于蒲吕街道办事处葫芦社区对面。</w:t>
      </w:r>
      <w:r>
        <w:rPr>
          <w:b/>
          <w:bCs/>
          <w:sz w:val="28"/>
          <w:szCs w:val="28"/>
        </w:rPr>
        <w:t>土地产权</w:t>
      </w:r>
      <w:r>
        <w:rPr>
          <w:sz w:val="28"/>
          <w:szCs w:val="28"/>
        </w:rPr>
        <w:t>属于国有用地，土地现状为地上已硬化停车场。目前该停车场已建设6台120kW一体双枪直流快速充电桩，能够同时满足12台车辆同时充电。</w:t>
      </w:r>
    </w:p>
    <w:p>
      <w:pPr>
        <w:spacing w:line="360" w:lineRule="auto"/>
        <w:ind w:firstLine="560" w:firstLineChars="200"/>
        <w:jc w:val="left"/>
        <w:rPr>
          <w:sz w:val="28"/>
          <w:szCs w:val="28"/>
        </w:rPr>
      </w:pPr>
      <w:r>
        <w:rPr>
          <w:sz w:val="28"/>
          <w:szCs w:val="28"/>
        </w:rPr>
        <w:t>拟建设配备储能设备215KWH。</w:t>
      </w:r>
    </w:p>
    <w:p>
      <w:pPr>
        <w:spacing w:line="360" w:lineRule="auto"/>
        <w:jc w:val="left"/>
        <w:rPr>
          <w:sz w:val="28"/>
          <w:szCs w:val="28"/>
        </w:rPr>
      </w:pPr>
      <w:r>
        <w:drawing>
          <wp:inline distT="0" distB="0" distL="0" distR="0">
            <wp:extent cx="2584450" cy="153035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84450" cy="1530350"/>
                    </a:xfrm>
                    <a:prstGeom prst="rect">
                      <a:avLst/>
                    </a:prstGeom>
                    <a:noFill/>
                    <a:ln>
                      <a:noFill/>
                    </a:ln>
                  </pic:spPr>
                </pic:pic>
              </a:graphicData>
            </a:graphic>
          </wp:inline>
        </w:drawing>
      </w:r>
      <w:r>
        <w:t xml:space="preserve">  </w:t>
      </w:r>
      <w:r>
        <w:drawing>
          <wp:inline distT="0" distB="0" distL="0" distR="0">
            <wp:extent cx="2654300" cy="1511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54300" cy="1511300"/>
                    </a:xfrm>
                    <a:prstGeom prst="rect">
                      <a:avLst/>
                    </a:prstGeom>
                    <a:noFill/>
                    <a:ln>
                      <a:noFill/>
                    </a:ln>
                  </pic:spPr>
                </pic:pic>
              </a:graphicData>
            </a:graphic>
          </wp:inline>
        </w:drawing>
      </w:r>
      <w:r>
        <w:rPr>
          <w:rFonts w:eastAsia="等线"/>
          <w:sz w:val="28"/>
          <w:szCs w:val="28"/>
        </w:rPr>
        <w:t xml:space="preserve">   </w:t>
      </w:r>
      <w:r>
        <w:rPr>
          <w:sz w:val="28"/>
          <w:szCs w:val="28"/>
        </w:rPr>
        <w:t xml:space="preserve"> </w:t>
      </w:r>
    </w:p>
    <w:p>
      <w:pPr>
        <w:spacing w:line="360" w:lineRule="auto"/>
        <w:ind w:firstLine="562" w:firstLineChars="200"/>
        <w:jc w:val="left"/>
        <w:rPr>
          <w:b/>
          <w:bCs/>
          <w:sz w:val="28"/>
          <w:szCs w:val="28"/>
        </w:rPr>
      </w:pPr>
      <w:r>
        <w:rPr>
          <w:b/>
          <w:bCs/>
          <w:sz w:val="28"/>
          <w:szCs w:val="28"/>
        </w:rPr>
        <w:t>（5）罗睺寺公园停车场</w:t>
      </w:r>
    </w:p>
    <w:p>
      <w:pPr>
        <w:spacing w:line="360" w:lineRule="auto"/>
        <w:ind w:firstLine="562" w:firstLineChars="200"/>
        <w:jc w:val="left"/>
        <w:rPr>
          <w:sz w:val="28"/>
          <w:szCs w:val="28"/>
        </w:rPr>
      </w:pPr>
      <w:r>
        <w:rPr>
          <w:b/>
          <w:bCs/>
          <w:sz w:val="28"/>
          <w:szCs w:val="28"/>
        </w:rPr>
        <w:t>建设位置</w:t>
      </w:r>
      <w:r>
        <w:rPr>
          <w:sz w:val="28"/>
          <w:szCs w:val="28"/>
        </w:rPr>
        <w:t>位于重庆市铜梁区学府大道与金砂路交叉口。</w:t>
      </w:r>
      <w:r>
        <w:rPr>
          <w:b/>
          <w:bCs/>
          <w:sz w:val="28"/>
          <w:szCs w:val="28"/>
        </w:rPr>
        <w:t>土地产权</w:t>
      </w:r>
      <w:r>
        <w:rPr>
          <w:sz w:val="28"/>
          <w:szCs w:val="28"/>
        </w:rPr>
        <w:t>归金龙城建公司所有。土地现状为地上已硬化停车场，无需交通开口，目前该停车场已建设6台120kW一体双枪直流快速充电桩，能够同时满足12台车辆同时充电，经营状态良好。</w:t>
      </w:r>
    </w:p>
    <w:p>
      <w:pPr>
        <w:spacing w:line="360" w:lineRule="auto"/>
        <w:ind w:firstLine="560" w:firstLineChars="200"/>
        <w:jc w:val="left"/>
        <w:rPr>
          <w:sz w:val="28"/>
          <w:szCs w:val="28"/>
        </w:rPr>
      </w:pPr>
      <w:r>
        <w:rPr>
          <w:sz w:val="28"/>
          <w:szCs w:val="28"/>
        </w:rPr>
        <w:t>拟建设配备储能设备215KWH。</w:t>
      </w:r>
    </w:p>
    <w:p>
      <w:pPr>
        <w:spacing w:line="360" w:lineRule="auto"/>
      </w:pPr>
      <w:r>
        <w:drawing>
          <wp:inline distT="0" distB="0" distL="0" distR="0">
            <wp:extent cx="2457450" cy="16891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57450" cy="1689100"/>
                    </a:xfrm>
                    <a:prstGeom prst="rect">
                      <a:avLst/>
                    </a:prstGeom>
                    <a:noFill/>
                    <a:ln>
                      <a:noFill/>
                    </a:ln>
                  </pic:spPr>
                </pic:pic>
              </a:graphicData>
            </a:graphic>
          </wp:inline>
        </w:drawing>
      </w:r>
      <w:r>
        <w:t xml:space="preserve">  </w:t>
      </w:r>
      <w:r>
        <w:drawing>
          <wp:inline distT="0" distB="0" distL="0" distR="0">
            <wp:extent cx="2476500" cy="1689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81964" cy="1693423"/>
                    </a:xfrm>
                    <a:prstGeom prst="rect">
                      <a:avLst/>
                    </a:prstGeom>
                    <a:noFill/>
                    <a:ln>
                      <a:noFill/>
                    </a:ln>
                  </pic:spPr>
                </pic:pic>
              </a:graphicData>
            </a:graphic>
          </wp:inline>
        </w:drawing>
      </w:r>
    </w:p>
    <w:p>
      <w:pPr>
        <w:spacing w:line="360" w:lineRule="auto"/>
        <w:ind w:firstLine="562" w:firstLineChars="200"/>
        <w:jc w:val="left"/>
        <w:rPr>
          <w:b/>
          <w:bCs/>
          <w:sz w:val="28"/>
          <w:szCs w:val="28"/>
        </w:rPr>
      </w:pPr>
      <w:r>
        <w:rPr>
          <w:b/>
          <w:bCs/>
          <w:sz w:val="28"/>
          <w:szCs w:val="28"/>
        </w:rPr>
        <w:t>（6）淮远古韵南街道闸区域</w:t>
      </w:r>
    </w:p>
    <w:p>
      <w:pPr>
        <w:spacing w:line="360" w:lineRule="auto"/>
        <w:ind w:firstLine="562" w:firstLineChars="200"/>
        <w:jc w:val="left"/>
        <w:rPr>
          <w:sz w:val="28"/>
          <w:szCs w:val="28"/>
        </w:rPr>
      </w:pPr>
      <w:r>
        <w:rPr>
          <w:b/>
          <w:bCs/>
          <w:sz w:val="28"/>
          <w:szCs w:val="28"/>
        </w:rPr>
        <w:t>建设位置</w:t>
      </w:r>
      <w:r>
        <w:rPr>
          <w:sz w:val="28"/>
          <w:szCs w:val="28"/>
        </w:rPr>
        <w:t>位于铜梁区淮远古韵南街。</w:t>
      </w:r>
      <w:r>
        <w:rPr>
          <w:b/>
          <w:bCs/>
          <w:sz w:val="28"/>
          <w:szCs w:val="28"/>
        </w:rPr>
        <w:t>土地产权</w:t>
      </w:r>
      <w:r>
        <w:rPr>
          <w:sz w:val="28"/>
          <w:szCs w:val="28"/>
        </w:rPr>
        <w:t>属于国有用地.土地现状为地上已硬化停车场，无需交通开口，目前该停车场已建设6台120kW一体双枪直流快速充电桩，能够同时满足12台车辆同时充电。</w:t>
      </w:r>
    </w:p>
    <w:p>
      <w:pPr>
        <w:spacing w:line="360" w:lineRule="auto"/>
        <w:ind w:firstLine="560" w:firstLineChars="200"/>
        <w:jc w:val="left"/>
        <w:rPr>
          <w:sz w:val="28"/>
          <w:szCs w:val="28"/>
        </w:rPr>
      </w:pPr>
      <w:r>
        <w:rPr>
          <w:sz w:val="28"/>
          <w:szCs w:val="28"/>
        </w:rPr>
        <w:t>拟建设配备储能设备215KWH。</w:t>
      </w:r>
    </w:p>
    <w:p>
      <w:pPr>
        <w:spacing w:line="360" w:lineRule="auto"/>
        <w:rPr>
          <w:rFonts w:eastAsia="等线"/>
          <w:sz w:val="28"/>
          <w:szCs w:val="28"/>
        </w:rPr>
      </w:pPr>
      <w:r>
        <w:drawing>
          <wp:inline distT="0" distB="0" distL="0" distR="0">
            <wp:extent cx="2794000" cy="1397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94000" cy="1397000"/>
                    </a:xfrm>
                    <a:prstGeom prst="rect">
                      <a:avLst/>
                    </a:prstGeom>
                    <a:noFill/>
                    <a:ln>
                      <a:noFill/>
                    </a:ln>
                  </pic:spPr>
                </pic:pic>
              </a:graphicData>
            </a:graphic>
          </wp:inline>
        </w:drawing>
      </w:r>
      <w:r>
        <w:t xml:space="preserve">  </w:t>
      </w:r>
      <w:r>
        <w:drawing>
          <wp:inline distT="0" distB="0" distL="0" distR="0">
            <wp:extent cx="2315210" cy="139065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15978" cy="1390881"/>
                    </a:xfrm>
                    <a:prstGeom prst="rect">
                      <a:avLst/>
                    </a:prstGeom>
                    <a:noFill/>
                    <a:ln>
                      <a:noFill/>
                    </a:ln>
                  </pic:spPr>
                </pic:pic>
              </a:graphicData>
            </a:graphic>
          </wp:inline>
        </w:drawing>
      </w:r>
    </w:p>
    <w:p>
      <w:pPr>
        <w:spacing w:line="360" w:lineRule="auto"/>
        <w:ind w:firstLine="562" w:firstLineChars="200"/>
        <w:jc w:val="left"/>
        <w:rPr>
          <w:b/>
          <w:bCs/>
          <w:sz w:val="28"/>
          <w:szCs w:val="28"/>
        </w:rPr>
      </w:pPr>
      <w:r>
        <w:rPr>
          <w:b/>
          <w:bCs/>
          <w:sz w:val="28"/>
          <w:szCs w:val="28"/>
        </w:rPr>
        <w:t>（7）大庙企业服务中心充电站</w:t>
      </w:r>
    </w:p>
    <w:p>
      <w:pPr>
        <w:spacing w:line="360" w:lineRule="auto"/>
        <w:ind w:firstLine="562" w:firstLineChars="200"/>
        <w:jc w:val="left"/>
        <w:rPr>
          <w:sz w:val="28"/>
          <w:szCs w:val="28"/>
        </w:rPr>
      </w:pPr>
      <w:r>
        <w:rPr>
          <w:b/>
          <w:bCs/>
          <w:sz w:val="28"/>
          <w:szCs w:val="28"/>
        </w:rPr>
        <w:t>建设位置</w:t>
      </w:r>
      <w:r>
        <w:rPr>
          <w:sz w:val="28"/>
          <w:szCs w:val="28"/>
        </w:rPr>
        <w:t>位于重庆市铜梁区大庙镇园区。</w:t>
      </w:r>
      <w:r>
        <w:rPr>
          <w:b/>
          <w:bCs/>
          <w:sz w:val="28"/>
          <w:szCs w:val="28"/>
        </w:rPr>
        <w:t>土地产权</w:t>
      </w:r>
      <w:r>
        <w:rPr>
          <w:sz w:val="28"/>
          <w:szCs w:val="28"/>
        </w:rPr>
        <w:t>归国有所有。土地现状为地上已硬化停车场，无需交通开口。</w:t>
      </w:r>
    </w:p>
    <w:p>
      <w:pPr>
        <w:spacing w:line="360" w:lineRule="auto"/>
        <w:ind w:firstLine="560" w:firstLineChars="200"/>
        <w:jc w:val="left"/>
        <w:rPr>
          <w:sz w:val="28"/>
          <w:szCs w:val="28"/>
        </w:rPr>
      </w:pPr>
      <w:r>
        <w:rPr>
          <w:sz w:val="28"/>
          <w:szCs w:val="28"/>
        </w:rPr>
        <w:t>拟建设充电桩数量12个，储能设备215KWH，以满足规划需求。</w:t>
      </w:r>
    </w:p>
    <w:p>
      <w:pPr>
        <w:spacing w:line="360" w:lineRule="auto"/>
        <w:ind w:firstLine="420" w:firstLineChars="200"/>
        <w:jc w:val="left"/>
      </w:pPr>
      <w:r>
        <w:drawing>
          <wp:anchor distT="0" distB="0" distL="114300" distR="114300" simplePos="0" relativeHeight="251660288" behindDoc="0" locked="0" layoutInCell="1" allowOverlap="1">
            <wp:simplePos x="0" y="0"/>
            <wp:positionH relativeFrom="column">
              <wp:posOffset>3192780</wp:posOffset>
            </wp:positionH>
            <wp:positionV relativeFrom="paragraph">
              <wp:posOffset>164465</wp:posOffset>
            </wp:positionV>
            <wp:extent cx="2435225" cy="1778000"/>
            <wp:effectExtent l="0" t="0" r="3175"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35087" cy="1778000"/>
                    </a:xfrm>
                    <a:prstGeom prst="rect">
                      <a:avLst/>
                    </a:prstGeom>
                    <a:noFill/>
                    <a:ln>
                      <a:noFill/>
                    </a:ln>
                  </pic:spPr>
                </pic:pic>
              </a:graphicData>
            </a:graphic>
          </wp:anchor>
        </w:drawing>
      </w:r>
      <w:r>
        <w:rPr>
          <w:rFonts w:eastAsia="仿宋"/>
          <w:b/>
          <w:sz w:val="32"/>
          <w:szCs w:val="32"/>
        </w:rPr>
        <w:drawing>
          <wp:anchor distT="0" distB="0" distL="114300" distR="114300" simplePos="0" relativeHeight="251659264" behindDoc="0" locked="0" layoutInCell="1" allowOverlap="1">
            <wp:simplePos x="0" y="0"/>
            <wp:positionH relativeFrom="column">
              <wp:posOffset>304165</wp:posOffset>
            </wp:positionH>
            <wp:positionV relativeFrom="paragraph">
              <wp:posOffset>177165</wp:posOffset>
            </wp:positionV>
            <wp:extent cx="2712720" cy="1812925"/>
            <wp:effectExtent l="0" t="0" r="5080" b="317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12720" cy="1812925"/>
                    </a:xfrm>
                    <a:prstGeom prst="rect">
                      <a:avLst/>
                    </a:prstGeom>
                    <a:noFill/>
                  </pic:spPr>
                </pic:pic>
              </a:graphicData>
            </a:graphic>
          </wp:anchor>
        </w:drawing>
      </w:r>
    </w:p>
    <w:p>
      <w:pPr>
        <w:spacing w:line="360" w:lineRule="auto"/>
        <w:ind w:firstLine="420" w:firstLineChars="200"/>
        <w:jc w:val="left"/>
      </w:pPr>
    </w:p>
    <w:p>
      <w:pPr>
        <w:spacing w:line="360" w:lineRule="auto"/>
        <w:ind w:firstLine="643" w:firstLineChars="200"/>
        <w:jc w:val="left"/>
        <w:rPr>
          <w:rFonts w:eastAsia="仿宋"/>
          <w:b/>
          <w:sz w:val="32"/>
          <w:szCs w:val="32"/>
        </w:rPr>
      </w:pPr>
    </w:p>
    <w:p>
      <w:pPr>
        <w:spacing w:line="360" w:lineRule="auto"/>
        <w:ind w:firstLine="643" w:firstLineChars="200"/>
        <w:jc w:val="left"/>
        <w:rPr>
          <w:rFonts w:eastAsia="仿宋"/>
          <w:b/>
          <w:sz w:val="32"/>
          <w:szCs w:val="32"/>
        </w:rPr>
      </w:pPr>
    </w:p>
    <w:p>
      <w:pPr>
        <w:spacing w:line="360" w:lineRule="auto"/>
        <w:ind w:firstLine="643" w:firstLineChars="200"/>
        <w:jc w:val="left"/>
        <w:rPr>
          <w:rFonts w:eastAsia="仿宋"/>
          <w:b/>
          <w:sz w:val="32"/>
          <w:szCs w:val="32"/>
        </w:rPr>
      </w:pPr>
    </w:p>
    <w:p>
      <w:pPr>
        <w:spacing w:line="360" w:lineRule="auto"/>
        <w:ind w:firstLine="643" w:firstLineChars="200"/>
        <w:jc w:val="left"/>
        <w:rPr>
          <w:rFonts w:eastAsia="仿宋"/>
          <w:b/>
          <w:sz w:val="32"/>
          <w:szCs w:val="32"/>
        </w:rPr>
      </w:pPr>
    </w:p>
    <w:p>
      <w:pPr>
        <w:spacing w:line="360" w:lineRule="auto"/>
        <w:ind w:firstLine="643" w:firstLineChars="200"/>
        <w:jc w:val="left"/>
        <w:rPr>
          <w:rFonts w:eastAsia="仿宋"/>
          <w:b/>
          <w:sz w:val="32"/>
          <w:szCs w:val="32"/>
        </w:rPr>
      </w:pPr>
    </w:p>
    <w:p>
      <w:pPr>
        <w:spacing w:line="360" w:lineRule="auto"/>
        <w:ind w:firstLine="562" w:firstLineChars="200"/>
        <w:jc w:val="left"/>
        <w:rPr>
          <w:b/>
          <w:sz w:val="28"/>
          <w:szCs w:val="28"/>
        </w:rPr>
      </w:pPr>
      <w:r>
        <w:rPr>
          <w:b/>
          <w:sz w:val="28"/>
          <w:szCs w:val="28"/>
        </w:rPr>
        <w:t>（8）安居新接待中心停车场</w:t>
      </w:r>
    </w:p>
    <w:p>
      <w:pPr>
        <w:spacing w:line="360" w:lineRule="auto"/>
        <w:ind w:firstLine="562" w:firstLineChars="200"/>
        <w:jc w:val="left"/>
        <w:rPr>
          <w:sz w:val="28"/>
          <w:szCs w:val="28"/>
        </w:rPr>
      </w:pPr>
      <w:r>
        <w:rPr>
          <w:b/>
          <w:bCs/>
          <w:sz w:val="28"/>
          <w:szCs w:val="28"/>
        </w:rPr>
        <w:t>建设位置</w:t>
      </w:r>
      <w:r>
        <w:rPr>
          <w:sz w:val="28"/>
          <w:szCs w:val="28"/>
        </w:rPr>
        <w:t>位于重庆市铜梁区安居镇人民政府。</w:t>
      </w:r>
      <w:r>
        <w:rPr>
          <w:b/>
          <w:bCs/>
          <w:sz w:val="28"/>
          <w:szCs w:val="28"/>
        </w:rPr>
        <w:t>土地产权</w:t>
      </w:r>
      <w:r>
        <w:rPr>
          <w:sz w:val="28"/>
          <w:szCs w:val="28"/>
        </w:rPr>
        <w:t>归国有所有。土地现状为地上已硬化停车场，无需交通开口。</w:t>
      </w:r>
    </w:p>
    <w:p>
      <w:pPr>
        <w:spacing w:line="360" w:lineRule="auto"/>
        <w:ind w:firstLine="560" w:firstLineChars="200"/>
        <w:jc w:val="left"/>
        <w:rPr>
          <w:sz w:val="28"/>
          <w:szCs w:val="28"/>
        </w:rPr>
      </w:pPr>
      <w:r>
        <w:rPr>
          <w:sz w:val="28"/>
          <w:szCs w:val="28"/>
        </w:rPr>
        <w:t>拟建设充电桩数量20个，储能设备215KWH，以满足规划需求。</w:t>
      </w:r>
    </w:p>
    <w:p>
      <w:pPr>
        <w:spacing w:line="360" w:lineRule="auto"/>
        <w:ind w:firstLine="420" w:firstLineChars="200"/>
        <w:jc w:val="left"/>
        <w:rPr>
          <w:rFonts w:eastAsia="仿宋"/>
          <w:b/>
          <w:sz w:val="32"/>
          <w:szCs w:val="32"/>
        </w:rPr>
      </w:pPr>
      <w:r>
        <w:drawing>
          <wp:anchor distT="0" distB="0" distL="0" distR="0" simplePos="0" relativeHeight="251665408" behindDoc="0" locked="0" layoutInCell="1" allowOverlap="1">
            <wp:simplePos x="0" y="0"/>
            <wp:positionH relativeFrom="column">
              <wp:posOffset>2837815</wp:posOffset>
            </wp:positionH>
            <wp:positionV relativeFrom="paragraph">
              <wp:posOffset>94615</wp:posOffset>
            </wp:positionV>
            <wp:extent cx="2368550" cy="1784985"/>
            <wp:effectExtent l="0" t="0" r="6350" b="571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70340" cy="1784985"/>
                    </a:xfrm>
                    <a:prstGeom prst="rect">
                      <a:avLst/>
                    </a:prstGeom>
                    <a:noFill/>
                    <a:ln>
                      <a:noFill/>
                    </a:ln>
                  </pic:spPr>
                </pic:pic>
              </a:graphicData>
            </a:graphic>
          </wp:anchor>
        </w:drawing>
      </w:r>
      <w:r>
        <w:drawing>
          <wp:anchor distT="0" distB="0" distL="0" distR="0" simplePos="0" relativeHeight="251664384" behindDoc="0" locked="0" layoutInCell="1" allowOverlap="1">
            <wp:simplePos x="0" y="0"/>
            <wp:positionH relativeFrom="column">
              <wp:posOffset>295275</wp:posOffset>
            </wp:positionH>
            <wp:positionV relativeFrom="paragraph">
              <wp:posOffset>100330</wp:posOffset>
            </wp:positionV>
            <wp:extent cx="2482850" cy="1771650"/>
            <wp:effectExtent l="0" t="0" r="6350" b="635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82850" cy="1771650"/>
                    </a:xfrm>
                    <a:prstGeom prst="rect">
                      <a:avLst/>
                    </a:prstGeom>
                    <a:noFill/>
                    <a:ln>
                      <a:noFill/>
                    </a:ln>
                  </pic:spPr>
                </pic:pic>
              </a:graphicData>
            </a:graphic>
          </wp:anchor>
        </w:drawing>
      </w:r>
    </w:p>
    <w:p>
      <w:pPr>
        <w:spacing w:line="360" w:lineRule="auto"/>
        <w:jc w:val="left"/>
        <w:rPr>
          <w:rFonts w:eastAsia="仿宋"/>
          <w:b/>
          <w:sz w:val="32"/>
          <w:szCs w:val="32"/>
        </w:rPr>
      </w:pPr>
    </w:p>
    <w:p>
      <w:pPr>
        <w:spacing w:line="360" w:lineRule="auto"/>
        <w:jc w:val="left"/>
        <w:rPr>
          <w:rFonts w:eastAsia="仿宋"/>
          <w:b/>
          <w:sz w:val="32"/>
          <w:szCs w:val="32"/>
        </w:rPr>
      </w:pPr>
    </w:p>
    <w:p>
      <w:pPr>
        <w:spacing w:line="360" w:lineRule="auto"/>
        <w:jc w:val="left"/>
        <w:rPr>
          <w:rFonts w:eastAsia="仿宋"/>
          <w:b/>
          <w:sz w:val="32"/>
          <w:szCs w:val="32"/>
        </w:rPr>
      </w:pPr>
    </w:p>
    <w:p>
      <w:pPr>
        <w:spacing w:line="360" w:lineRule="auto"/>
        <w:jc w:val="left"/>
        <w:rPr>
          <w:rFonts w:eastAsia="仿宋"/>
          <w:b/>
          <w:sz w:val="32"/>
          <w:szCs w:val="32"/>
        </w:rPr>
      </w:pPr>
    </w:p>
    <w:p>
      <w:pPr>
        <w:spacing w:line="360" w:lineRule="auto"/>
        <w:jc w:val="left"/>
        <w:rPr>
          <w:rFonts w:eastAsia="仿宋"/>
          <w:b/>
          <w:sz w:val="32"/>
          <w:szCs w:val="32"/>
        </w:rPr>
      </w:pPr>
    </w:p>
    <w:p>
      <w:pPr>
        <w:spacing w:line="360" w:lineRule="auto"/>
        <w:ind w:firstLine="562" w:firstLineChars="200"/>
        <w:jc w:val="left"/>
        <w:rPr>
          <w:b/>
          <w:bCs/>
          <w:sz w:val="28"/>
          <w:szCs w:val="28"/>
        </w:rPr>
      </w:pPr>
      <w:r>
        <w:rPr>
          <w:b/>
          <w:bCs/>
          <w:sz w:val="28"/>
          <w:szCs w:val="28"/>
        </w:rPr>
        <w:t>（9）平滩政府广场停车场</w:t>
      </w:r>
    </w:p>
    <w:p>
      <w:pPr>
        <w:spacing w:line="360" w:lineRule="auto"/>
        <w:ind w:firstLine="562" w:firstLineChars="200"/>
        <w:jc w:val="left"/>
        <w:rPr>
          <w:sz w:val="28"/>
          <w:szCs w:val="28"/>
        </w:rPr>
      </w:pPr>
      <w:r>
        <w:rPr>
          <w:b/>
          <w:bCs/>
          <w:sz w:val="28"/>
          <w:szCs w:val="28"/>
        </w:rPr>
        <w:t>建设位置</w:t>
      </w:r>
      <w:r>
        <w:rPr>
          <w:sz w:val="28"/>
          <w:szCs w:val="28"/>
        </w:rPr>
        <w:t>位于重庆市铜梁区平滩镇人民政府。</w:t>
      </w:r>
      <w:r>
        <w:rPr>
          <w:b/>
          <w:bCs/>
          <w:sz w:val="28"/>
          <w:szCs w:val="28"/>
        </w:rPr>
        <w:t>土地产权</w:t>
      </w:r>
      <w:r>
        <w:rPr>
          <w:sz w:val="28"/>
          <w:szCs w:val="28"/>
        </w:rPr>
        <w:t>归国有所有。土地现状为地上已硬化停车场，无需交通开口。</w:t>
      </w:r>
    </w:p>
    <w:p>
      <w:pPr>
        <w:spacing w:line="360" w:lineRule="auto"/>
        <w:ind w:firstLine="560" w:firstLineChars="200"/>
        <w:jc w:val="left"/>
        <w:rPr>
          <w:sz w:val="28"/>
          <w:szCs w:val="28"/>
        </w:rPr>
      </w:pPr>
      <w:r>
        <w:rPr>
          <w:sz w:val="28"/>
          <w:szCs w:val="28"/>
        </w:rPr>
        <w:t>拟建设充电桩数量8个，储能设备215KWH，以满足规划需求。</w:t>
      </w:r>
    </w:p>
    <w:p>
      <w:pPr>
        <w:spacing w:line="360" w:lineRule="auto"/>
        <w:rPr>
          <w:rFonts w:eastAsia="黑体"/>
          <w:sz w:val="20"/>
          <w:szCs w:val="24"/>
        </w:rPr>
      </w:pPr>
      <w:r>
        <w:drawing>
          <wp:anchor distT="0" distB="0" distL="0" distR="0" simplePos="0" relativeHeight="251663360" behindDoc="0" locked="0" layoutInCell="1" allowOverlap="1">
            <wp:simplePos x="0" y="0"/>
            <wp:positionH relativeFrom="column">
              <wp:posOffset>3033395</wp:posOffset>
            </wp:positionH>
            <wp:positionV relativeFrom="paragraph">
              <wp:posOffset>151765</wp:posOffset>
            </wp:positionV>
            <wp:extent cx="2489200" cy="158750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89200" cy="1587500"/>
                    </a:xfrm>
                    <a:prstGeom prst="rect">
                      <a:avLst/>
                    </a:prstGeom>
                    <a:noFill/>
                    <a:ln>
                      <a:noFill/>
                    </a:ln>
                  </pic:spPr>
                </pic:pic>
              </a:graphicData>
            </a:graphic>
          </wp:anchor>
        </w:drawing>
      </w:r>
      <w:r>
        <w:drawing>
          <wp:anchor distT="0" distB="0" distL="0" distR="0" simplePos="0" relativeHeight="251666432" behindDoc="0" locked="0" layoutInCell="1" allowOverlap="1">
            <wp:simplePos x="0" y="0"/>
            <wp:positionH relativeFrom="column">
              <wp:posOffset>182880</wp:posOffset>
            </wp:positionH>
            <wp:positionV relativeFrom="paragraph">
              <wp:posOffset>144145</wp:posOffset>
            </wp:positionV>
            <wp:extent cx="2622550" cy="1593850"/>
            <wp:effectExtent l="0" t="0" r="6350" b="635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22550" cy="1593850"/>
                    </a:xfrm>
                    <a:prstGeom prst="rect">
                      <a:avLst/>
                    </a:prstGeom>
                    <a:noFill/>
                    <a:ln>
                      <a:noFill/>
                    </a:ln>
                  </pic:spPr>
                </pic:pic>
              </a:graphicData>
            </a:graphic>
          </wp:anchor>
        </w:drawing>
      </w:r>
      <w:r>
        <w:t xml:space="preserve">  </w:t>
      </w:r>
    </w:p>
    <w:p>
      <w:pPr>
        <w:spacing w:line="360" w:lineRule="auto"/>
        <w:ind w:firstLine="562" w:firstLineChars="200"/>
        <w:jc w:val="left"/>
        <w:rPr>
          <w:b/>
          <w:bCs/>
          <w:sz w:val="28"/>
          <w:szCs w:val="28"/>
        </w:rPr>
      </w:pPr>
      <w:r>
        <w:rPr>
          <w:b/>
          <w:bCs/>
          <w:sz w:val="28"/>
          <w:szCs w:val="28"/>
        </w:rPr>
        <w:t>（10）虎峰体育公园停车场</w:t>
      </w:r>
    </w:p>
    <w:p>
      <w:pPr>
        <w:spacing w:line="360" w:lineRule="auto"/>
        <w:ind w:firstLine="562" w:firstLineChars="200"/>
        <w:jc w:val="left"/>
        <w:rPr>
          <w:sz w:val="28"/>
          <w:szCs w:val="28"/>
        </w:rPr>
      </w:pPr>
      <w:r>
        <w:rPr>
          <w:b/>
          <w:bCs/>
          <w:sz w:val="28"/>
          <w:szCs w:val="28"/>
        </w:rPr>
        <w:t>建设位置</w:t>
      </w:r>
      <w:r>
        <w:rPr>
          <w:sz w:val="28"/>
          <w:szCs w:val="28"/>
        </w:rPr>
        <w:t>位于虎峰镇石岭村二组、石柱村三组。社会车辆交通便利，满足社会公共车辆充电。</w:t>
      </w:r>
      <w:r>
        <w:rPr>
          <w:b/>
          <w:bCs/>
          <w:sz w:val="28"/>
          <w:szCs w:val="28"/>
        </w:rPr>
        <w:t>土地产权</w:t>
      </w:r>
      <w:r>
        <w:rPr>
          <w:sz w:val="28"/>
          <w:szCs w:val="28"/>
        </w:rPr>
        <w:t>归区文旅委所有。土地现状为征转用，无需交通开口，目前有可接入电源点。</w:t>
      </w:r>
    </w:p>
    <w:p>
      <w:pPr>
        <w:spacing w:line="360" w:lineRule="auto"/>
        <w:ind w:firstLine="560" w:firstLineChars="200"/>
        <w:jc w:val="left"/>
        <w:rPr>
          <w:sz w:val="28"/>
          <w:szCs w:val="28"/>
        </w:rPr>
      </w:pPr>
      <w:r>
        <w:rPr>
          <w:sz w:val="28"/>
          <w:szCs w:val="28"/>
        </w:rPr>
        <w:t>拟建设车位54个，充电桩数量12个，配备储能设备215KWH。</w:t>
      </w:r>
    </w:p>
    <w:p>
      <w:pPr>
        <w:spacing w:line="360" w:lineRule="auto"/>
        <w:ind w:firstLine="420" w:firstLineChars="200"/>
        <w:jc w:val="left"/>
        <w:rPr>
          <w:rFonts w:eastAsia="仿宋"/>
          <w:b/>
          <w:sz w:val="32"/>
          <w:szCs w:val="32"/>
        </w:rPr>
      </w:pPr>
      <w:r>
        <w:drawing>
          <wp:anchor distT="0" distB="0" distL="114300" distR="114300" simplePos="0" relativeHeight="251661312" behindDoc="0" locked="0" layoutInCell="1" allowOverlap="1">
            <wp:simplePos x="0" y="0"/>
            <wp:positionH relativeFrom="column">
              <wp:posOffset>219075</wp:posOffset>
            </wp:positionH>
            <wp:positionV relativeFrom="paragraph">
              <wp:posOffset>46990</wp:posOffset>
            </wp:positionV>
            <wp:extent cx="2305050" cy="1555750"/>
            <wp:effectExtent l="0" t="0" r="6350" b="635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05050" cy="155575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margin">
              <wp:posOffset>2636520</wp:posOffset>
            </wp:positionH>
            <wp:positionV relativeFrom="paragraph">
              <wp:posOffset>12700</wp:posOffset>
            </wp:positionV>
            <wp:extent cx="2654300" cy="1546225"/>
            <wp:effectExtent l="0" t="0" r="0" b="317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54300" cy="1546225"/>
                    </a:xfrm>
                    <a:prstGeom prst="rect">
                      <a:avLst/>
                    </a:prstGeom>
                    <a:noFill/>
                    <a:ln>
                      <a:noFill/>
                    </a:ln>
                  </pic:spPr>
                </pic:pic>
              </a:graphicData>
            </a:graphic>
          </wp:anchor>
        </w:drawing>
      </w:r>
    </w:p>
    <w:p>
      <w:pPr>
        <w:spacing w:line="360" w:lineRule="auto"/>
        <w:ind w:firstLine="643" w:firstLineChars="200"/>
        <w:jc w:val="left"/>
        <w:rPr>
          <w:rFonts w:eastAsia="仿宋"/>
          <w:b/>
          <w:sz w:val="32"/>
          <w:szCs w:val="32"/>
        </w:rPr>
      </w:pPr>
    </w:p>
    <w:p>
      <w:pPr>
        <w:pStyle w:val="5"/>
        <w:spacing w:before="120" w:after="120" w:line="360" w:lineRule="auto"/>
        <w:rPr>
          <w:rFonts w:ascii="Times New Roman" w:hAnsi="Times New Roman" w:eastAsia="宋体" w:cs="Times New Roman"/>
          <w:sz w:val="30"/>
          <w:szCs w:val="30"/>
        </w:rPr>
      </w:pPr>
    </w:p>
    <w:p>
      <w:pPr>
        <w:pStyle w:val="5"/>
        <w:spacing w:before="120" w:after="120" w:line="360" w:lineRule="auto"/>
        <w:rPr>
          <w:rFonts w:eastAsia="黑体"/>
          <w:sz w:val="28"/>
          <w:szCs w:val="28"/>
          <w:shd w:val="clear" w:color="auto" w:fill="FFFFFF"/>
        </w:rPr>
      </w:pPr>
    </w:p>
    <w:p>
      <w:pPr>
        <w:pStyle w:val="5"/>
        <w:spacing w:before="120" w:after="120" w:line="360" w:lineRule="auto"/>
        <w:rPr>
          <w:rFonts w:eastAsia="黑体"/>
          <w:sz w:val="28"/>
          <w:szCs w:val="28"/>
          <w:shd w:val="clear" w:color="auto" w:fill="FFFFFF"/>
        </w:rPr>
      </w:pPr>
      <w:bookmarkStart w:id="66" w:name="_Toc32464"/>
      <w:r>
        <w:rPr>
          <w:rFonts w:hint="eastAsia" w:eastAsia="黑体"/>
          <w:sz w:val="28"/>
          <w:szCs w:val="28"/>
          <w:shd w:val="clear" w:color="auto" w:fill="FFFFFF"/>
        </w:rPr>
        <w:t>（三）</w:t>
      </w:r>
      <w:r>
        <w:rPr>
          <w:rFonts w:eastAsia="黑体"/>
          <w:sz w:val="28"/>
          <w:szCs w:val="28"/>
          <w:shd w:val="clear" w:color="auto" w:fill="FFFFFF"/>
        </w:rPr>
        <w:t>推进居民自用充电设施建设</w:t>
      </w:r>
      <w:bookmarkEnd w:id="66"/>
    </w:p>
    <w:p>
      <w:pPr>
        <w:pStyle w:val="78"/>
        <w:spacing w:line="360" w:lineRule="auto"/>
        <w:ind w:firstLine="640"/>
        <w:rPr>
          <w:rFonts w:ascii="Times New Roman" w:hAnsi="Times New Roman" w:cs="Times New Roman"/>
        </w:rPr>
      </w:pPr>
      <w:r>
        <w:rPr>
          <w:rFonts w:ascii="Times New Roman" w:hAnsi="Times New Roman" w:cs="Times New Roman"/>
          <w:color w:val="000000"/>
        </w:rPr>
        <w:t>制定居住社区充电设施建设机制。居住社区管理单位积极配合用户安装充电设施并提供必要协助。业主委员会结合自身实际，明确物业服务区域内充电设施建设具体流程。电网企业主动做好供电服务。</w:t>
      </w:r>
    </w:p>
    <w:p>
      <w:pPr>
        <w:pStyle w:val="78"/>
        <w:spacing w:line="360" w:lineRule="auto"/>
        <w:ind w:firstLine="640"/>
        <w:rPr>
          <w:rFonts w:ascii="Times New Roman" w:hAnsi="Times New Roman" w:cs="Times New Roman"/>
          <w:color w:val="000000"/>
        </w:rPr>
      </w:pPr>
      <w:r>
        <w:rPr>
          <w:rFonts w:ascii="Times New Roman" w:hAnsi="Times New Roman" w:cs="Times New Roman"/>
          <w:color w:val="000000"/>
        </w:rPr>
        <w:t>统筹老旧居住社区与新建居住小区充电设施建设。结合城镇老旧小区改造及城市居住社区建设补短板行动，在满足安全、消防和规划的前提下，制定存量居住社区充电设施建设改造行动计划，明确行动目标、重点任务和推进时序，因地制宜有序</w:t>
      </w:r>
      <w:r>
        <w:rPr>
          <w:rFonts w:hint="eastAsia" w:ascii="Times New Roman" w:hAnsi="Times New Roman" w:cs="Times New Roman"/>
          <w:color w:val="000000"/>
        </w:rPr>
        <w:t>开展</w:t>
      </w:r>
      <w:r>
        <w:rPr>
          <w:rFonts w:ascii="Times New Roman" w:hAnsi="Times New Roman" w:cs="Times New Roman"/>
          <w:color w:val="000000"/>
        </w:rPr>
        <w:t>。鼓励具备安装条件的存量居住社区配建一定比例的公共充电车位、共享充电车位。新建居住建筑配建停车场（库）将全部停车位预埋电力管线和预留电力容量、建成充电设施的公共停车位比例不低于30%作为验收条件。</w:t>
      </w:r>
    </w:p>
    <w:p>
      <w:pPr>
        <w:pStyle w:val="78"/>
        <w:spacing w:line="360" w:lineRule="auto"/>
        <w:ind w:firstLine="640"/>
        <w:rPr>
          <w:rFonts w:ascii="Times New Roman" w:hAnsi="Times New Roman" w:cs="Times New Roman"/>
          <w:color w:val="000000"/>
        </w:rPr>
      </w:pPr>
      <w:r>
        <w:rPr>
          <w:rFonts w:ascii="Times New Roman" w:hAnsi="Times New Roman" w:cs="Times New Roman"/>
          <w:color w:val="000000"/>
        </w:rPr>
        <w:t>创新推广居民社区充电服务商业模式。探索电网企业、充电运营企业或居住社区管理单位接受业主委托，开展居住社区充电设施“统建统营”，统一提供充电设施建设、运营与维护等有偿服务，提高充电设施安全管理水平和绿电消费比例，研究“临近车位共享”“多车一桩”等模式，打造自用充电桩示范小区。</w:t>
      </w:r>
    </w:p>
    <w:p>
      <w:pPr>
        <w:pStyle w:val="5"/>
        <w:spacing w:before="120" w:after="120" w:line="360" w:lineRule="auto"/>
        <w:rPr>
          <w:rFonts w:eastAsia="黑体"/>
          <w:sz w:val="28"/>
          <w:szCs w:val="28"/>
          <w:shd w:val="clear" w:color="auto" w:fill="FFFFFF"/>
        </w:rPr>
      </w:pPr>
      <w:bookmarkStart w:id="67" w:name="_Toc16876"/>
      <w:r>
        <w:rPr>
          <w:rFonts w:hint="eastAsia" w:eastAsia="黑体"/>
          <w:sz w:val="28"/>
          <w:szCs w:val="28"/>
          <w:shd w:val="clear" w:color="auto" w:fill="FFFFFF"/>
        </w:rPr>
        <w:t>（四）加强充电设施运维和网络服务</w:t>
      </w:r>
      <w:bookmarkEnd w:id="67"/>
    </w:p>
    <w:p>
      <w:pPr>
        <w:pStyle w:val="78"/>
        <w:spacing w:line="360" w:lineRule="auto"/>
        <w:ind w:firstLine="640"/>
        <w:rPr>
          <w:rFonts w:ascii="Times New Roman" w:hAnsi="Times New Roman" w:cs="Times New Roman"/>
          <w:color w:val="000000"/>
        </w:rPr>
      </w:pPr>
      <w:r>
        <w:rPr>
          <w:rFonts w:ascii="Times New Roman" w:hAnsi="Times New Roman" w:cs="Times New Roman"/>
          <w:color w:val="000000"/>
        </w:rPr>
        <w:t>加强设备运维维护充电秩序。督促充电运营企业完善充电设备运维体系，通过智能化和数字化技术手段，提升设备可用率和故障处理能力。鼓励停车场与充电运营企业创新技术与管理措施，引导燃油汽车与新能源汽车分区停放，维护良好充电秩序。依托现有“车联网”监测平台，对充电运营商、公共充电站服务水平进行考核评价，加快制定示范站评定和奖补实施细则，促进运营商自我监管。</w:t>
      </w:r>
    </w:p>
    <w:p>
      <w:pPr>
        <w:pStyle w:val="78"/>
        <w:spacing w:line="580" w:lineRule="exact"/>
        <w:ind w:firstLine="640"/>
      </w:pPr>
      <w:r>
        <w:rPr>
          <w:color w:val="000000"/>
        </w:rPr>
        <w:t>提升公共充电平台服务水平。维护市场公平，</w:t>
      </w:r>
      <w:r>
        <w:rPr>
          <w:rFonts w:hint="eastAsia"/>
          <w:color w:val="000000"/>
        </w:rPr>
        <w:t>结合</w:t>
      </w:r>
      <w:r>
        <w:rPr>
          <w:color w:val="000000"/>
        </w:rPr>
        <w:t>市车桩一体化监测平台建设运营</w:t>
      </w:r>
      <w:r>
        <w:rPr>
          <w:rFonts w:hint="eastAsia"/>
          <w:color w:val="000000"/>
        </w:rPr>
        <w:t>机制，监管单位</w:t>
      </w:r>
      <w:r>
        <w:rPr>
          <w:color w:val="000000"/>
        </w:rPr>
        <w:t>保持客观中立对所有接入平台的充电设施企业提供均等数据</w:t>
      </w:r>
      <w:r>
        <w:rPr>
          <w:rFonts w:hint="eastAsia"/>
          <w:color w:val="000000"/>
        </w:rPr>
        <w:t>分析情况报告</w:t>
      </w:r>
      <w:r>
        <w:rPr>
          <w:color w:val="000000"/>
        </w:rPr>
        <w:t>。推动市车桩一体化监测平台向公益化、公共化发展，鼓励围绕用户需求。加快推进充电运营企业平台互联互通，力争早日实现信息共享与跨平台、多渠道支付结算，提升充电便利性和用户体验。 鼓励停车充电一体化等模式创新，实现停车和充电数据信息互联互通，落实充电车辆停车优惠等惠民措施。</w:t>
      </w:r>
    </w:p>
    <w:bookmarkEnd w:id="60"/>
    <w:bookmarkEnd w:id="61"/>
    <w:p>
      <w:pPr>
        <w:pStyle w:val="4"/>
        <w:tabs>
          <w:tab w:val="left" w:pos="567"/>
        </w:tabs>
        <w:spacing w:before="120" w:after="120" w:line="360" w:lineRule="auto"/>
        <w:rPr>
          <w:rFonts w:hint="eastAsia" w:ascii="Times New Roman" w:hAnsi="Times New Roman" w:eastAsia="黑体" w:cs="Times New Roman"/>
          <w:kern w:val="2"/>
          <w:sz w:val="36"/>
          <w:szCs w:val="36"/>
          <w:lang w:eastAsia="zh-CN"/>
        </w:rPr>
        <w:sectPr>
          <w:pgSz w:w="11907" w:h="16840"/>
          <w:pgMar w:top="1440" w:right="1701" w:bottom="1440" w:left="1701" w:header="851" w:footer="992" w:gutter="0"/>
          <w:cols w:space="720" w:num="1"/>
          <w:docGrid w:linePitch="312" w:charSpace="0"/>
        </w:sectPr>
      </w:pPr>
      <w:bookmarkStart w:id="68" w:name="_Toc30275"/>
      <w:bookmarkStart w:id="69" w:name="_Toc118730780"/>
      <w:bookmarkStart w:id="70" w:name="_Toc20635"/>
    </w:p>
    <w:p>
      <w:pPr>
        <w:pStyle w:val="4"/>
        <w:tabs>
          <w:tab w:val="left" w:pos="567"/>
        </w:tabs>
        <w:spacing w:before="120" w:after="120" w:line="360" w:lineRule="auto"/>
        <w:rPr>
          <w:rFonts w:ascii="Times New Roman" w:hAnsi="Times New Roman" w:eastAsia="黑体" w:cs="Times New Roman"/>
          <w:kern w:val="2"/>
          <w:sz w:val="36"/>
          <w:szCs w:val="36"/>
        </w:rPr>
      </w:pPr>
      <w:bookmarkStart w:id="71" w:name="_Toc23625"/>
      <w:r>
        <w:rPr>
          <w:rFonts w:hint="eastAsia" w:ascii="Times New Roman" w:hAnsi="Times New Roman" w:eastAsia="黑体" w:cs="Times New Roman"/>
          <w:kern w:val="2"/>
          <w:sz w:val="36"/>
          <w:szCs w:val="36"/>
          <w:lang w:eastAsia="zh-CN"/>
        </w:rPr>
        <w:t>四</w:t>
      </w:r>
      <w:r>
        <w:rPr>
          <w:rFonts w:hint="eastAsia" w:ascii="Times New Roman" w:hAnsi="Times New Roman" w:eastAsia="黑体" w:cs="Times New Roman"/>
          <w:kern w:val="2"/>
          <w:sz w:val="36"/>
          <w:szCs w:val="36"/>
        </w:rPr>
        <w:t xml:space="preserve"> 安全规范</w:t>
      </w:r>
      <w:bookmarkEnd w:id="71"/>
    </w:p>
    <w:p>
      <w:pPr>
        <w:spacing w:line="360" w:lineRule="auto"/>
        <w:ind w:firstLine="560" w:firstLineChars="200"/>
        <w:rPr>
          <w:sz w:val="28"/>
          <w:szCs w:val="28"/>
        </w:rPr>
      </w:pPr>
      <w:r>
        <w:rPr>
          <w:sz w:val="28"/>
          <w:szCs w:val="28"/>
        </w:rPr>
        <w:t>参考《电动汽车充电站设计规范[附条文说明]》GB 50966-2014，对充电站建设部分规范进行说明。</w:t>
      </w:r>
    </w:p>
    <w:p>
      <w:pPr>
        <w:pStyle w:val="5"/>
        <w:spacing w:before="120" w:after="120" w:line="360" w:lineRule="auto"/>
        <w:rPr>
          <w:rFonts w:hint="eastAsia" w:eastAsia="黑体"/>
          <w:sz w:val="28"/>
          <w:szCs w:val="28"/>
          <w:shd w:val="clear" w:color="auto" w:fill="FFFFFF"/>
        </w:rPr>
      </w:pPr>
      <w:bookmarkStart w:id="72" w:name="_Toc21457"/>
      <w:r>
        <w:rPr>
          <w:rFonts w:hint="eastAsia" w:eastAsia="黑体"/>
          <w:sz w:val="28"/>
          <w:szCs w:val="28"/>
          <w:shd w:val="clear" w:color="auto" w:fill="FFFFFF"/>
        </w:rPr>
        <w:t>（</w:t>
      </w:r>
      <w:r>
        <w:rPr>
          <w:rFonts w:hint="eastAsia" w:eastAsia="黑体"/>
          <w:sz w:val="28"/>
          <w:szCs w:val="28"/>
          <w:shd w:val="clear" w:color="auto" w:fill="FFFFFF"/>
          <w:lang w:eastAsia="zh-CN"/>
        </w:rPr>
        <w:t>一</w:t>
      </w:r>
      <w:r>
        <w:rPr>
          <w:rFonts w:hint="eastAsia" w:eastAsia="黑体"/>
          <w:sz w:val="28"/>
          <w:szCs w:val="28"/>
          <w:shd w:val="clear" w:color="auto" w:fill="FFFFFF"/>
        </w:rPr>
        <w:t>）充电站站址选择</w:t>
      </w:r>
      <w:bookmarkEnd w:id="72"/>
    </w:p>
    <w:p>
      <w:pPr>
        <w:spacing w:line="360" w:lineRule="auto"/>
        <w:ind w:firstLine="560" w:firstLineChars="200"/>
        <w:rPr>
          <w:sz w:val="28"/>
          <w:szCs w:val="28"/>
        </w:rPr>
      </w:pPr>
      <w:r>
        <w:rPr>
          <w:sz w:val="28"/>
          <w:szCs w:val="28"/>
        </w:rPr>
        <w:t>（1）充电站的总体规划应符合城镇规划、环境保护的要求,并应选在交通便利的地方。</w:t>
      </w:r>
    </w:p>
    <w:p>
      <w:pPr>
        <w:spacing w:line="360" w:lineRule="auto"/>
        <w:ind w:firstLine="560" w:firstLineChars="200"/>
        <w:rPr>
          <w:sz w:val="28"/>
          <w:szCs w:val="28"/>
        </w:rPr>
      </w:pPr>
      <w:r>
        <w:rPr>
          <w:sz w:val="28"/>
          <w:szCs w:val="28"/>
        </w:rPr>
        <w:t>（2）充电站站址宜靠近城市道路,不宜选在城市干道的交叉路口和交通繁忙路段附近。</w:t>
      </w:r>
    </w:p>
    <w:p>
      <w:pPr>
        <w:spacing w:line="360" w:lineRule="auto"/>
        <w:ind w:firstLine="560" w:firstLineChars="200"/>
        <w:rPr>
          <w:sz w:val="28"/>
          <w:szCs w:val="28"/>
        </w:rPr>
      </w:pPr>
      <w:r>
        <w:rPr>
          <w:sz w:val="28"/>
          <w:szCs w:val="28"/>
        </w:rPr>
        <w:t>（3）充电站站址的选择应与城市中低压配电网的规划和建设密切结合,以满足供电可靠性、电能质量和自动化的要求。</w:t>
      </w:r>
    </w:p>
    <w:p>
      <w:pPr>
        <w:spacing w:line="360" w:lineRule="auto"/>
        <w:ind w:firstLine="560" w:firstLineChars="200"/>
        <w:rPr>
          <w:rFonts w:ascii="宋体" w:hAnsi="宋体" w:cs="宋体"/>
          <w:sz w:val="28"/>
          <w:szCs w:val="28"/>
        </w:rPr>
      </w:pPr>
      <w:r>
        <w:rPr>
          <w:rFonts w:hint="eastAsia" w:ascii="宋体" w:hAnsi="宋体" w:cs="宋体"/>
          <w:sz w:val="28"/>
          <w:szCs w:val="28"/>
        </w:rPr>
        <w:t>（4）充电站应满足环境保护和消防安全的要求。充电站的建(构)筑物火灾危险性分类应符合现行国家标准《火力发电厂与变电站设计防火规范》GB50229和《建筑设计防火规范》GB50016的有关规定。充电站内的充电区和配电室的建(构)筑物与站内外建筑之间的防火间距应符合现行国家标准《建筑设计防火规范》GB50016和《高层民用建筑设计防火规范》GB50045的有关规定,充电站建(构)筑物相应厂房类别分应符合下表的规定。</w:t>
      </w:r>
    </w:p>
    <w:p>
      <w:pPr>
        <w:spacing w:line="360" w:lineRule="auto"/>
        <w:jc w:val="center"/>
        <w:rPr>
          <w:sz w:val="28"/>
          <w:szCs w:val="28"/>
          <w:lang w:val="zh-CN"/>
        </w:rPr>
      </w:pPr>
      <w:r>
        <w:rPr>
          <w:sz w:val="28"/>
          <w:szCs w:val="28"/>
          <w:lang w:val="zh-CN"/>
        </w:rPr>
        <w:t xml:space="preserve"> 充电站建(构)筑物相应厂房类别划分</w:t>
      </w:r>
    </w:p>
    <w:tbl>
      <w:tblPr>
        <w:tblStyle w:val="18"/>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0"/>
        <w:gridCol w:w="3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0" w:type="dxa"/>
            <w:vAlign w:val="center"/>
          </w:tcPr>
          <w:p>
            <w:pPr>
              <w:jc w:val="center"/>
              <w:rPr>
                <w:b/>
                <w:bCs/>
                <w:sz w:val="28"/>
                <w:szCs w:val="28"/>
              </w:rPr>
            </w:pPr>
            <w:r>
              <w:rPr>
                <w:b/>
                <w:bCs/>
                <w:sz w:val="28"/>
                <w:szCs w:val="28"/>
              </w:rPr>
              <w:t>充电站建设条件</w:t>
            </w:r>
          </w:p>
        </w:tc>
        <w:tc>
          <w:tcPr>
            <w:tcW w:w="3989" w:type="dxa"/>
            <w:vAlign w:val="center"/>
          </w:tcPr>
          <w:p>
            <w:pPr>
              <w:jc w:val="center"/>
              <w:rPr>
                <w:b/>
                <w:bCs/>
                <w:sz w:val="28"/>
                <w:szCs w:val="28"/>
              </w:rPr>
            </w:pPr>
            <w:r>
              <w:rPr>
                <w:b/>
                <w:bCs/>
                <w:sz w:val="28"/>
                <w:szCs w:val="28"/>
              </w:rPr>
              <w:t>建筑物厂房类别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0" w:type="dxa"/>
            <w:vAlign w:val="center"/>
          </w:tcPr>
          <w:p>
            <w:pPr>
              <w:jc w:val="center"/>
              <w:rPr>
                <w:sz w:val="28"/>
                <w:szCs w:val="28"/>
              </w:rPr>
            </w:pPr>
            <w:r>
              <w:rPr>
                <w:sz w:val="28"/>
                <w:szCs w:val="28"/>
              </w:rPr>
              <w:t>当采用油浸变压器时丙类</w:t>
            </w:r>
          </w:p>
        </w:tc>
        <w:tc>
          <w:tcPr>
            <w:tcW w:w="3989" w:type="dxa"/>
            <w:vAlign w:val="center"/>
          </w:tcPr>
          <w:p>
            <w:pPr>
              <w:jc w:val="center"/>
              <w:rPr>
                <w:sz w:val="28"/>
                <w:szCs w:val="28"/>
              </w:rPr>
            </w:pPr>
            <w:r>
              <w:rPr>
                <w:sz w:val="28"/>
                <w:szCs w:val="28"/>
              </w:rPr>
              <w:t>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0" w:type="dxa"/>
            <w:vAlign w:val="center"/>
          </w:tcPr>
          <w:p>
            <w:pPr>
              <w:jc w:val="center"/>
              <w:rPr>
                <w:sz w:val="28"/>
                <w:szCs w:val="28"/>
              </w:rPr>
            </w:pPr>
            <w:r>
              <w:rPr>
                <w:sz w:val="28"/>
                <w:szCs w:val="28"/>
              </w:rPr>
              <w:t>当采用干式变压器时</w:t>
            </w:r>
          </w:p>
        </w:tc>
        <w:tc>
          <w:tcPr>
            <w:tcW w:w="3989" w:type="dxa"/>
            <w:vAlign w:val="center"/>
          </w:tcPr>
          <w:p>
            <w:pPr>
              <w:jc w:val="center"/>
              <w:rPr>
                <w:sz w:val="28"/>
                <w:szCs w:val="28"/>
              </w:rPr>
            </w:pPr>
            <w:r>
              <w:rPr>
                <w:sz w:val="28"/>
                <w:szCs w:val="28"/>
              </w:rPr>
              <w:t>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0" w:type="dxa"/>
            <w:vAlign w:val="center"/>
          </w:tcPr>
          <w:p>
            <w:pPr>
              <w:jc w:val="center"/>
              <w:rPr>
                <w:sz w:val="28"/>
                <w:szCs w:val="28"/>
              </w:rPr>
            </w:pPr>
            <w:r>
              <w:rPr>
                <w:sz w:val="28"/>
                <w:szCs w:val="28"/>
              </w:rPr>
              <w:t>当采用低压供电时</w:t>
            </w:r>
          </w:p>
        </w:tc>
        <w:tc>
          <w:tcPr>
            <w:tcW w:w="3989" w:type="dxa"/>
            <w:vAlign w:val="center"/>
          </w:tcPr>
          <w:p>
            <w:pPr>
              <w:jc w:val="center"/>
              <w:rPr>
                <w:sz w:val="28"/>
                <w:szCs w:val="28"/>
              </w:rPr>
            </w:pPr>
            <w:r>
              <w:rPr>
                <w:sz w:val="28"/>
                <w:szCs w:val="28"/>
              </w:rPr>
              <w:t>戊类</w:t>
            </w:r>
          </w:p>
        </w:tc>
      </w:tr>
    </w:tbl>
    <w:p>
      <w:pPr>
        <w:spacing w:line="360" w:lineRule="auto"/>
        <w:ind w:firstLine="840" w:firstLineChars="300"/>
        <w:jc w:val="left"/>
        <w:rPr>
          <w:sz w:val="28"/>
          <w:szCs w:val="28"/>
        </w:rPr>
      </w:pPr>
      <w:r>
        <w:rPr>
          <w:sz w:val="28"/>
          <w:szCs w:val="28"/>
        </w:rPr>
        <w:t>注:干式变压器包括SF6气体变压器和环氧树脂浇铸变压器等。</w:t>
      </w:r>
    </w:p>
    <w:p>
      <w:pPr>
        <w:numPr>
          <w:ilvl w:val="0"/>
          <w:numId w:val="1"/>
        </w:numPr>
        <w:spacing w:line="360" w:lineRule="auto"/>
        <w:ind w:firstLine="562"/>
        <w:jc w:val="left"/>
        <w:rPr>
          <w:sz w:val="28"/>
          <w:szCs w:val="28"/>
        </w:rPr>
      </w:pPr>
      <w:r>
        <w:rPr>
          <w:sz w:val="28"/>
          <w:szCs w:val="28"/>
        </w:rPr>
        <w:t>充电站不应靠近有潜在火灾或爆炸危险的地方,当与有爆炸危险的建筑物毗邻时,应符合现行国家标准《爆炸危险环境电力装置设计规范》GB50058的有关规定。</w:t>
      </w:r>
    </w:p>
    <w:p>
      <w:pPr>
        <w:spacing w:line="360" w:lineRule="auto"/>
        <w:ind w:firstLine="560" w:firstLineChars="200"/>
        <w:jc w:val="left"/>
        <w:rPr>
          <w:sz w:val="28"/>
          <w:szCs w:val="28"/>
        </w:rPr>
      </w:pPr>
      <w:r>
        <w:rPr>
          <w:sz w:val="28"/>
          <w:szCs w:val="28"/>
        </w:rPr>
        <w:t>（6）充电站不宜设在多尘或有腐蚀性气体的场所,当无法远离时,不应设在污染源盛行风向的下风侧。</w:t>
      </w:r>
    </w:p>
    <w:p>
      <w:pPr>
        <w:spacing w:line="360" w:lineRule="auto"/>
        <w:ind w:firstLine="560" w:firstLineChars="200"/>
        <w:jc w:val="left"/>
        <w:rPr>
          <w:sz w:val="28"/>
          <w:szCs w:val="28"/>
        </w:rPr>
      </w:pPr>
      <w:r>
        <w:rPr>
          <w:sz w:val="28"/>
          <w:szCs w:val="28"/>
        </w:rPr>
        <w:t>（7）充电站不应设在有剧烈振动的场所。</w:t>
      </w:r>
    </w:p>
    <w:p>
      <w:pPr>
        <w:spacing w:line="360" w:lineRule="auto"/>
        <w:ind w:firstLine="560" w:firstLineChars="200"/>
        <w:jc w:val="left"/>
        <w:rPr>
          <w:sz w:val="28"/>
          <w:szCs w:val="28"/>
        </w:rPr>
      </w:pPr>
      <w:r>
        <w:rPr>
          <w:sz w:val="28"/>
          <w:szCs w:val="28"/>
        </w:rPr>
        <w:t>（8）充电站的环境温度应满足为电动汽车动力蓄电池正常充电的要求。</w:t>
      </w:r>
    </w:p>
    <w:p>
      <w:pPr>
        <w:pStyle w:val="5"/>
        <w:spacing w:before="120" w:after="120" w:line="360" w:lineRule="auto"/>
        <w:rPr>
          <w:rFonts w:hint="eastAsia" w:eastAsia="黑体"/>
          <w:sz w:val="28"/>
          <w:szCs w:val="28"/>
          <w:shd w:val="clear" w:color="auto" w:fill="FFFFFF"/>
        </w:rPr>
      </w:pPr>
      <w:bookmarkStart w:id="73" w:name="_Toc1103"/>
      <w:r>
        <w:rPr>
          <w:rFonts w:hint="eastAsia" w:eastAsia="黑体"/>
          <w:sz w:val="28"/>
          <w:szCs w:val="28"/>
          <w:shd w:val="clear" w:color="auto" w:fill="FFFFFF"/>
        </w:rPr>
        <w:t>（</w:t>
      </w:r>
      <w:r>
        <w:rPr>
          <w:rFonts w:hint="eastAsia" w:eastAsia="黑体"/>
          <w:sz w:val="28"/>
          <w:szCs w:val="28"/>
          <w:shd w:val="clear" w:color="auto" w:fill="FFFFFF"/>
          <w:lang w:eastAsia="zh-CN"/>
        </w:rPr>
        <w:t>二</w:t>
      </w:r>
      <w:r>
        <w:rPr>
          <w:rFonts w:hint="eastAsia" w:eastAsia="黑体"/>
          <w:sz w:val="28"/>
          <w:szCs w:val="28"/>
          <w:shd w:val="clear" w:color="auto" w:fill="FFFFFF"/>
        </w:rPr>
        <w:t>）充电站建设平面布置规定</w:t>
      </w:r>
      <w:bookmarkEnd w:id="73"/>
    </w:p>
    <w:p>
      <w:pPr>
        <w:spacing w:line="360" w:lineRule="auto"/>
        <w:ind w:firstLine="560" w:firstLineChars="200"/>
        <w:rPr>
          <w:sz w:val="28"/>
          <w:szCs w:val="28"/>
        </w:rPr>
      </w:pPr>
      <w:r>
        <w:rPr>
          <w:sz w:val="28"/>
          <w:szCs w:val="28"/>
        </w:rPr>
        <w:t>（1）充电站一般包括站内建筑、站内外行车道、充电区、临时停车区及供配电设施等，根据充电站的规模不同略有差异，充电站的站内外道路应在总图布置时充分考虑.</w:t>
      </w:r>
    </w:p>
    <w:p>
      <w:pPr>
        <w:spacing w:line="360" w:lineRule="auto"/>
        <w:ind w:firstLine="560" w:firstLineChars="200"/>
        <w:rPr>
          <w:sz w:val="28"/>
          <w:szCs w:val="28"/>
        </w:rPr>
      </w:pPr>
      <w:r>
        <w:rPr>
          <w:sz w:val="28"/>
          <w:szCs w:val="28"/>
        </w:rPr>
        <w:t>（2）目前电动汽车产业的发展仍处于初级阶段，电动汽车的车型、数量较少，因此为电动汽车提供能源供给的充电站在布点合理的同时，建设规模宜预留发展的可能性，充电站的场地布局、设计宜按最终规模整体考虑。</w:t>
      </w:r>
    </w:p>
    <w:p>
      <w:pPr>
        <w:spacing w:line="360" w:lineRule="auto"/>
        <w:ind w:firstLine="560" w:firstLineChars="200"/>
        <w:rPr>
          <w:sz w:val="28"/>
          <w:szCs w:val="28"/>
        </w:rPr>
      </w:pPr>
      <w:r>
        <w:rPr>
          <w:sz w:val="28"/>
          <w:szCs w:val="28"/>
        </w:rPr>
        <w:t>（3）在保证交通组织顺畅、工艺布置合理的前提下，应根据自然地形布置充电站，尽量减少土石方量。</w:t>
      </w:r>
    </w:p>
    <w:p>
      <w:pPr>
        <w:spacing w:line="360" w:lineRule="auto"/>
        <w:ind w:firstLine="560" w:firstLineChars="200"/>
        <w:rPr>
          <w:sz w:val="28"/>
          <w:szCs w:val="28"/>
        </w:rPr>
      </w:pPr>
      <w:r>
        <w:rPr>
          <w:sz w:val="28"/>
          <w:szCs w:val="28"/>
        </w:rPr>
        <w:t>（4）当充电站设在商场、超市停车场内或其他场地范围内时，为了避免受其他场地营业时间等条件的限制，宜设置独立的出入口。</w:t>
      </w:r>
    </w:p>
    <w:p>
      <w:pPr>
        <w:pStyle w:val="5"/>
        <w:keepNext/>
        <w:keepLines/>
        <w:pageBreakBefore w:val="0"/>
        <w:widowControl w:val="0"/>
        <w:kinsoku/>
        <w:wordWrap/>
        <w:overflowPunct/>
        <w:topLinePunct w:val="0"/>
        <w:autoSpaceDE/>
        <w:autoSpaceDN/>
        <w:bidi w:val="0"/>
        <w:adjustRightInd/>
        <w:snapToGrid/>
        <w:spacing w:before="120" w:after="120" w:line="360" w:lineRule="auto"/>
        <w:textAlignment w:val="auto"/>
        <w:rPr>
          <w:rFonts w:hint="eastAsia" w:eastAsia="黑体"/>
          <w:sz w:val="28"/>
          <w:szCs w:val="28"/>
          <w:shd w:val="clear" w:color="auto" w:fill="FFFFFF"/>
        </w:rPr>
      </w:pPr>
      <w:bookmarkStart w:id="74" w:name="_Toc11458"/>
      <w:r>
        <w:rPr>
          <w:rFonts w:hint="eastAsia" w:eastAsia="黑体"/>
          <w:sz w:val="28"/>
          <w:szCs w:val="28"/>
          <w:shd w:val="clear" w:color="auto" w:fill="FFFFFF"/>
        </w:rPr>
        <w:t>（</w:t>
      </w:r>
      <w:r>
        <w:rPr>
          <w:rFonts w:hint="eastAsia" w:eastAsia="黑体"/>
          <w:sz w:val="28"/>
          <w:szCs w:val="28"/>
          <w:shd w:val="clear" w:color="auto" w:fill="FFFFFF"/>
          <w:lang w:eastAsia="zh-CN"/>
        </w:rPr>
        <w:t>三</w:t>
      </w:r>
      <w:r>
        <w:rPr>
          <w:rFonts w:hint="eastAsia" w:eastAsia="黑体"/>
          <w:sz w:val="28"/>
          <w:szCs w:val="28"/>
          <w:shd w:val="clear" w:color="auto" w:fill="FFFFFF"/>
        </w:rPr>
        <w:t>）充电桩及建筑布置相关规定</w:t>
      </w:r>
      <w:bookmarkEnd w:id="74"/>
    </w:p>
    <w:p>
      <w:pPr>
        <w:spacing w:line="360" w:lineRule="auto"/>
        <w:ind w:firstLine="420"/>
        <w:rPr>
          <w:sz w:val="28"/>
          <w:szCs w:val="28"/>
        </w:rPr>
      </w:pPr>
      <w:r>
        <w:rPr>
          <w:sz w:val="28"/>
          <w:szCs w:val="28"/>
        </w:rPr>
        <w:t>（1）充电设备一般布置于充电车位的旁边或一端，考虑到充电机周边设置防撞墩(围栏)的需要，同时为保证充电时操作人员的工作空间，充电设备与充电车位边界线应保持足够的距离，该尺寸不宜小于0.4m。</w:t>
      </w:r>
    </w:p>
    <w:p>
      <w:pPr>
        <w:spacing w:line="360" w:lineRule="auto"/>
        <w:ind w:firstLine="420"/>
        <w:rPr>
          <w:sz w:val="28"/>
          <w:szCs w:val="28"/>
        </w:rPr>
      </w:pPr>
      <w:r>
        <w:rPr>
          <w:sz w:val="28"/>
          <w:szCs w:val="28"/>
        </w:rPr>
        <w:t>（2）在城市的繁华地段设置充电站时，为节省土地费用，在解决了充电安全可靠性问题的前提下，可将充电车位设计为立体车位，以节省地面的占地面积。《国家电网公司电动汽车充电设施典型设计》提出了3种立体充电站的设计方案，供用地紧张地区建设充电站使用。</w:t>
      </w:r>
    </w:p>
    <w:p>
      <w:pPr>
        <w:spacing w:line="360" w:lineRule="auto"/>
        <w:ind w:firstLine="420"/>
        <w:rPr>
          <w:sz w:val="28"/>
          <w:szCs w:val="28"/>
        </w:rPr>
      </w:pPr>
      <w:r>
        <w:rPr>
          <w:sz w:val="28"/>
          <w:szCs w:val="28"/>
        </w:rPr>
        <w:t>（3）供配电设备距充电设备的距离宜尽可能短，以方便电缆引接，缩短电缆长度，降低投资，同时减少压降损耗。</w:t>
      </w:r>
    </w:p>
    <w:p>
      <w:pPr>
        <w:spacing w:line="360" w:lineRule="auto"/>
        <w:ind w:firstLine="420"/>
        <w:rPr>
          <w:sz w:val="28"/>
          <w:szCs w:val="28"/>
        </w:rPr>
      </w:pPr>
      <w:r>
        <w:rPr>
          <w:sz w:val="28"/>
          <w:szCs w:val="28"/>
        </w:rPr>
        <w:t>（4）大型充电站内可设有包含监控室、值班室、客户休息室等功能用房的建筑物，宜保证有人的房间有好的朝向，同时便于运行观察，总平面布置应配合建筑设计尽量满足此要求。</w:t>
      </w:r>
    </w:p>
    <w:p>
      <w:pPr>
        <w:spacing w:line="360" w:lineRule="auto"/>
        <w:ind w:firstLine="420"/>
        <w:rPr>
          <w:sz w:val="28"/>
          <w:szCs w:val="28"/>
        </w:rPr>
      </w:pPr>
      <w:r>
        <w:rPr>
          <w:sz w:val="28"/>
          <w:szCs w:val="28"/>
        </w:rPr>
        <w:t>（5）充电站除设计足够数量的充电车位以外，宜视情况预留一定数量的临时停车位，供等待充电车辆使用。</w:t>
      </w:r>
    </w:p>
    <w:p>
      <w:pPr>
        <w:pStyle w:val="5"/>
        <w:spacing w:before="120" w:after="120" w:line="360" w:lineRule="auto"/>
        <w:rPr>
          <w:rFonts w:hint="eastAsia" w:eastAsia="黑体"/>
          <w:sz w:val="28"/>
          <w:szCs w:val="28"/>
          <w:shd w:val="clear" w:color="auto" w:fill="FFFFFF"/>
        </w:rPr>
      </w:pPr>
      <w:bookmarkStart w:id="75" w:name="_Toc18449"/>
      <w:r>
        <w:rPr>
          <w:rFonts w:hint="eastAsia" w:eastAsia="黑体"/>
          <w:sz w:val="28"/>
          <w:szCs w:val="28"/>
          <w:shd w:val="clear" w:color="auto" w:fill="FFFFFF"/>
        </w:rPr>
        <w:t>（</w:t>
      </w:r>
      <w:r>
        <w:rPr>
          <w:rFonts w:hint="eastAsia" w:eastAsia="黑体"/>
          <w:sz w:val="28"/>
          <w:szCs w:val="28"/>
          <w:shd w:val="clear" w:color="auto" w:fill="FFFFFF"/>
          <w:lang w:eastAsia="zh-CN"/>
        </w:rPr>
        <w:t>四</w:t>
      </w:r>
      <w:r>
        <w:rPr>
          <w:rFonts w:hint="eastAsia" w:eastAsia="黑体"/>
          <w:sz w:val="28"/>
          <w:szCs w:val="28"/>
          <w:shd w:val="clear" w:color="auto" w:fill="FFFFFF"/>
        </w:rPr>
        <w:t>）道路相关规范</w:t>
      </w:r>
      <w:bookmarkEnd w:id="75"/>
    </w:p>
    <w:p>
      <w:pPr>
        <w:spacing w:line="360" w:lineRule="auto"/>
        <w:ind w:firstLine="420"/>
        <w:rPr>
          <w:sz w:val="28"/>
          <w:szCs w:val="28"/>
        </w:rPr>
      </w:pPr>
      <w:r>
        <w:rPr>
          <w:sz w:val="28"/>
          <w:szCs w:val="28"/>
        </w:rPr>
        <w:t>（1）充电站内道路的设置应满足消防及服务车辆通行的要求。充电站的出入口不宜少于2个,当充电站的车位不超过50个时，可设置1个出入口。人口和出口宜分开设置,并应明确指示标识。为避免充电站内行驶的车辆相互干扰，参照现行国家标准《汽车库、修车库、停车场设计防火规范》GB50067的有关规定进行充电站出入口的设计，保证车辆通行顺畅。入口和出口分开设置，能为停车场内部交通组织提供极大的方便，在条件允许时应尽可能满足此要求。</w:t>
      </w:r>
    </w:p>
    <w:p>
      <w:pPr>
        <w:spacing w:line="360" w:lineRule="auto"/>
        <w:ind w:firstLine="420"/>
        <w:rPr>
          <w:sz w:val="28"/>
          <w:szCs w:val="28"/>
        </w:rPr>
      </w:pPr>
      <w:r>
        <w:rPr>
          <w:sz w:val="28"/>
          <w:szCs w:val="28"/>
        </w:rPr>
        <w:t>（2）充电站内双列布置充电位时，中间行车道宜按行驶车型双车道设置；单列布置充电位时，行车道宜按行驶车型双车道设置。充电站内的单车道宽度不应小于3.5m，双车道宽度不应小于6m。充电站内道路的转弯半径应按行驶车型确定，且不宜小于9m，道路坡度不应大于6％，且宜坡向站外。充电站内道路不宜采用沥青路面。</w:t>
      </w:r>
    </w:p>
    <w:p>
      <w:pPr>
        <w:spacing w:line="360" w:lineRule="auto"/>
        <w:ind w:firstLine="420"/>
        <w:rPr>
          <w:sz w:val="28"/>
          <w:szCs w:val="28"/>
        </w:rPr>
      </w:pPr>
      <w:r>
        <w:rPr>
          <w:sz w:val="28"/>
          <w:szCs w:val="28"/>
        </w:rPr>
        <w:t>（3）充电站一般设置在城区，其道路宜采用城市型道路设计；对于郊区的充电站，可采用郊区型道路。</w:t>
      </w:r>
    </w:p>
    <w:p>
      <w:pPr>
        <w:spacing w:line="360" w:lineRule="auto"/>
        <w:ind w:firstLine="420"/>
        <w:rPr>
          <w:sz w:val="28"/>
          <w:szCs w:val="28"/>
        </w:rPr>
      </w:pPr>
      <w:r>
        <w:rPr>
          <w:sz w:val="28"/>
          <w:szCs w:val="28"/>
        </w:rPr>
        <w:t>（4）进出站车辆行驶顺畅是充电站建设的基本要求，因此充电站的道路设置需要充分考虑与站外市政道路的合理衔接。</w:t>
      </w:r>
    </w:p>
    <w:p>
      <w:pPr>
        <w:pStyle w:val="5"/>
        <w:spacing w:before="120" w:after="120" w:line="360" w:lineRule="auto"/>
        <w:rPr>
          <w:rFonts w:hint="eastAsia" w:eastAsia="黑体"/>
          <w:sz w:val="28"/>
          <w:szCs w:val="28"/>
          <w:shd w:val="clear" w:color="auto" w:fill="FFFFFF"/>
        </w:rPr>
      </w:pPr>
      <w:bookmarkStart w:id="76" w:name="_Toc12511"/>
      <w:r>
        <w:rPr>
          <w:rFonts w:hint="eastAsia" w:eastAsia="黑体"/>
          <w:sz w:val="28"/>
          <w:szCs w:val="28"/>
          <w:shd w:val="clear" w:color="auto" w:fill="FFFFFF"/>
        </w:rPr>
        <w:t>（</w:t>
      </w:r>
      <w:r>
        <w:rPr>
          <w:rFonts w:hint="eastAsia" w:eastAsia="黑体"/>
          <w:sz w:val="28"/>
          <w:szCs w:val="28"/>
          <w:shd w:val="clear" w:color="auto" w:fill="FFFFFF"/>
          <w:lang w:eastAsia="zh-CN"/>
        </w:rPr>
        <w:t>五</w:t>
      </w:r>
      <w:r>
        <w:rPr>
          <w:rFonts w:hint="eastAsia" w:eastAsia="黑体"/>
          <w:sz w:val="28"/>
          <w:szCs w:val="28"/>
          <w:shd w:val="clear" w:color="auto" w:fill="FFFFFF"/>
        </w:rPr>
        <w:t>）供配电系统</w:t>
      </w:r>
      <w:bookmarkEnd w:id="76"/>
    </w:p>
    <w:p>
      <w:pPr>
        <w:spacing w:line="360" w:lineRule="auto"/>
        <w:ind w:firstLine="420"/>
        <w:rPr>
          <w:sz w:val="28"/>
          <w:szCs w:val="28"/>
        </w:rPr>
      </w:pPr>
      <w:r>
        <w:rPr>
          <w:sz w:val="28"/>
          <w:szCs w:val="28"/>
        </w:rPr>
        <w:t>（1）充电站供配电系统应符合现行国家标准《供配电系统设计规范》GB50052的有关规定。</w:t>
      </w:r>
    </w:p>
    <w:p>
      <w:pPr>
        <w:spacing w:line="360" w:lineRule="auto"/>
        <w:ind w:firstLine="420"/>
        <w:rPr>
          <w:sz w:val="28"/>
          <w:szCs w:val="28"/>
        </w:rPr>
      </w:pPr>
      <w:r>
        <w:rPr>
          <w:sz w:val="28"/>
          <w:szCs w:val="28"/>
        </w:rPr>
        <w:t>（2）充电站宜由 中压线路供电;用电设备容量在100kW及以下或需用的变压器容量在50kVA以下的，可采用低压供电。</w:t>
      </w:r>
    </w:p>
    <w:p>
      <w:pPr>
        <w:spacing w:line="360" w:lineRule="auto"/>
        <w:ind w:firstLine="420"/>
        <w:rPr>
          <w:sz w:val="28"/>
          <w:szCs w:val="28"/>
        </w:rPr>
      </w:pPr>
      <w:r>
        <w:rPr>
          <w:sz w:val="28"/>
          <w:szCs w:val="28"/>
        </w:rPr>
        <w:t>（3）供配电装置的布置应符合现行国家标准《20kV及以下变电所设计规范》GB50053的有关规定,遵循安全、可靠、适用的原则,便于安装、操作、搬运、检修和调试。当建设场地受限时,中、低压开关柜可与变压器设置在同一房间内，且变压器应选用难燃型或不燃型,其外壳防护等级不应低于IP2X。</w:t>
      </w:r>
    </w:p>
    <w:p>
      <w:pPr>
        <w:spacing w:line="360" w:lineRule="auto"/>
        <w:ind w:firstLine="420"/>
        <w:rPr>
          <w:sz w:val="28"/>
          <w:szCs w:val="28"/>
        </w:rPr>
      </w:pPr>
      <w:r>
        <w:rPr>
          <w:sz w:val="28"/>
          <w:szCs w:val="28"/>
        </w:rPr>
        <w:t>（4）配电系统应符合下列要求:</w:t>
      </w:r>
    </w:p>
    <w:p>
      <w:pPr>
        <w:spacing w:line="360" w:lineRule="auto"/>
        <w:ind w:firstLine="420"/>
        <w:rPr>
          <w:sz w:val="28"/>
          <w:szCs w:val="28"/>
        </w:rPr>
      </w:pPr>
      <w:r>
        <w:rPr>
          <w:sz w:val="28"/>
          <w:szCs w:val="28"/>
        </w:rPr>
        <w:t>1）中低压配电系统宜采用单母线或单母线分段接线,低压接地系统宜采用TN-S系统。</w:t>
      </w:r>
    </w:p>
    <w:p>
      <w:pPr>
        <w:spacing w:line="360" w:lineRule="auto"/>
        <w:ind w:firstLine="420"/>
        <w:rPr>
          <w:sz w:val="28"/>
          <w:szCs w:val="28"/>
        </w:rPr>
      </w:pPr>
      <w:r>
        <w:rPr>
          <w:sz w:val="28"/>
          <w:szCs w:val="28"/>
        </w:rPr>
        <w:t>2）低压进出线开关、分段开关宜采用断路器。来自不同电源的低压进线断路器和低压分段断路器之间应设机械闭锁和电气联锁装置,防止不同电源并联运行。</w:t>
      </w:r>
    </w:p>
    <w:p>
      <w:pPr>
        <w:spacing w:line="360" w:lineRule="auto"/>
        <w:ind w:firstLine="420"/>
        <w:rPr>
          <w:sz w:val="28"/>
          <w:szCs w:val="28"/>
        </w:rPr>
      </w:pPr>
      <w:r>
        <w:rPr>
          <w:sz w:val="28"/>
          <w:szCs w:val="28"/>
        </w:rPr>
        <w:t>3) 低压进线断路器宜具 有短路瞬时、短路短延时、短路长延时和接地保护功能,宜设置分励脱扣装置,不宜设置失压脱扣装置或低压脱扣装置。</w:t>
      </w:r>
    </w:p>
    <w:p>
      <w:pPr>
        <w:spacing w:line="360" w:lineRule="auto"/>
        <w:ind w:firstLine="420"/>
        <w:rPr>
          <w:sz w:val="28"/>
          <w:szCs w:val="28"/>
        </w:rPr>
      </w:pPr>
      <w:r>
        <w:rPr>
          <w:sz w:val="28"/>
          <w:szCs w:val="28"/>
        </w:rPr>
        <w:t>4) 非车载充电机、监控装置以及重要的用电设备宜采用放射式供电。</w:t>
      </w:r>
    </w:p>
    <w:p>
      <w:pPr>
        <w:spacing w:line="360" w:lineRule="auto"/>
        <w:ind w:firstLine="420"/>
        <w:rPr>
          <w:sz w:val="28"/>
          <w:szCs w:val="28"/>
        </w:rPr>
      </w:pPr>
      <w:r>
        <w:rPr>
          <w:sz w:val="28"/>
          <w:szCs w:val="28"/>
        </w:rPr>
        <w:t>(5)开关柜宜选用小型化、无油化、免维修或少维护的产品。</w:t>
      </w:r>
    </w:p>
    <w:p>
      <w:pPr>
        <w:spacing w:line="360" w:lineRule="auto"/>
        <w:ind w:firstLine="420"/>
        <w:rPr>
          <w:sz w:val="28"/>
          <w:szCs w:val="28"/>
        </w:rPr>
      </w:pPr>
      <w:r>
        <w:rPr>
          <w:sz w:val="28"/>
          <w:szCs w:val="28"/>
        </w:rPr>
        <w:t>(6)无功功率补偿应符合 下列要求:</w:t>
      </w:r>
    </w:p>
    <w:p>
      <w:pPr>
        <w:spacing w:line="360" w:lineRule="auto"/>
        <w:ind w:firstLine="420"/>
        <w:rPr>
          <w:sz w:val="28"/>
          <w:szCs w:val="28"/>
        </w:rPr>
      </w:pPr>
      <w:r>
        <w:rPr>
          <w:sz w:val="28"/>
          <w:szCs w:val="28"/>
        </w:rPr>
        <w:t>1)无功功率补偿装置宜设置在变压器低压侧,补偿容量宜按最大负荷时变压器高压侧功率因数不低于0.95确定。</w:t>
      </w:r>
    </w:p>
    <w:p>
      <w:pPr>
        <w:spacing w:line="360" w:lineRule="auto"/>
        <w:ind w:firstLine="420"/>
        <w:rPr>
          <w:sz w:val="28"/>
          <w:szCs w:val="28"/>
        </w:rPr>
      </w:pPr>
      <w:r>
        <w:rPr>
          <w:sz w:val="28"/>
          <w:szCs w:val="28"/>
        </w:rPr>
        <w:t>2)当用电设备的自然功率因数满足变压器高压侧功率因数不低于0.95的要求时,可不加装低压无功功率补偿装置。</w:t>
      </w:r>
    </w:p>
    <w:p>
      <w:pPr>
        <w:spacing w:line="360" w:lineRule="auto"/>
        <w:ind w:firstLine="420"/>
        <w:rPr>
          <w:sz w:val="28"/>
          <w:szCs w:val="28"/>
        </w:rPr>
      </w:pPr>
      <w:r>
        <w:rPr>
          <w:sz w:val="28"/>
          <w:szCs w:val="28"/>
        </w:rPr>
        <w:t>(7)配电线路的设计应符合下列要求:</w:t>
      </w:r>
    </w:p>
    <w:p>
      <w:pPr>
        <w:spacing w:line="360" w:lineRule="auto"/>
        <w:ind w:firstLine="420"/>
        <w:rPr>
          <w:sz w:val="28"/>
          <w:szCs w:val="28"/>
        </w:rPr>
      </w:pPr>
      <w:r>
        <w:rPr>
          <w:sz w:val="28"/>
          <w:szCs w:val="28"/>
        </w:rPr>
        <w:t>1)中压电力电缆宜选用铜芯交联聚乙烯绝缘类型,低压电力电缆宜选用铜芯交联聚乙烯绝缘类型,也可选用铜芯聚氯乙烯绝缘类型。</w:t>
      </w:r>
    </w:p>
    <w:p>
      <w:pPr>
        <w:spacing w:line="360" w:lineRule="auto"/>
        <w:ind w:firstLine="420"/>
        <w:rPr>
          <w:sz w:val="28"/>
          <w:szCs w:val="28"/>
        </w:rPr>
      </w:pPr>
      <w:r>
        <w:rPr>
          <w:sz w:val="28"/>
          <w:szCs w:val="28"/>
        </w:rPr>
        <w:t>2)低压三相回路宜选用五芯电缆，单相回路宜选用三芯电缆,且电缆中性线截面应与相线截面相同。</w:t>
      </w:r>
    </w:p>
    <w:p>
      <w:pPr>
        <w:spacing w:line="360" w:lineRule="auto"/>
        <w:ind w:firstLine="420"/>
        <w:rPr>
          <w:sz w:val="28"/>
          <w:szCs w:val="28"/>
        </w:rPr>
      </w:pPr>
      <w:r>
        <w:rPr>
          <w:sz w:val="28"/>
          <w:szCs w:val="28"/>
        </w:rPr>
        <w:t>3)三相用电设备的电力电缆的外护套宜采用钢带铠装。单芯电缆的外护套不应采用导磁性材料铠装。</w:t>
      </w:r>
    </w:p>
    <w:p>
      <w:pPr>
        <w:spacing w:line="360" w:lineRule="auto"/>
        <w:ind w:firstLine="420"/>
        <w:rPr>
          <w:sz w:val="28"/>
          <w:szCs w:val="28"/>
        </w:rPr>
      </w:pPr>
      <w:r>
        <w:rPr>
          <w:sz w:val="28"/>
          <w:szCs w:val="28"/>
        </w:rPr>
        <w:t>4)交流单芯电缆不宜单根穿 钢管敷设,当需要单根穿管时，应采用非导磁管材,也可采用经过磁路分隔处理的钢管。</w:t>
      </w:r>
    </w:p>
    <w:p>
      <w:pPr>
        <w:pStyle w:val="5"/>
        <w:spacing w:before="120" w:after="120" w:line="360" w:lineRule="auto"/>
        <w:rPr>
          <w:rFonts w:hint="eastAsia" w:eastAsia="黑体"/>
          <w:sz w:val="28"/>
          <w:szCs w:val="28"/>
          <w:shd w:val="clear" w:color="auto" w:fill="FFFFFF"/>
        </w:rPr>
      </w:pPr>
      <w:bookmarkStart w:id="77" w:name="_Toc7216"/>
      <w:r>
        <w:rPr>
          <w:rFonts w:hint="eastAsia" w:eastAsia="黑体"/>
          <w:sz w:val="28"/>
          <w:szCs w:val="28"/>
          <w:shd w:val="clear" w:color="auto" w:fill="FFFFFF"/>
        </w:rPr>
        <w:t>（</w:t>
      </w:r>
      <w:r>
        <w:rPr>
          <w:rFonts w:hint="eastAsia" w:eastAsia="黑体"/>
          <w:sz w:val="28"/>
          <w:szCs w:val="28"/>
          <w:shd w:val="clear" w:color="auto" w:fill="FFFFFF"/>
          <w:lang w:eastAsia="zh-CN"/>
        </w:rPr>
        <w:t>六</w:t>
      </w:r>
      <w:r>
        <w:rPr>
          <w:rFonts w:hint="eastAsia" w:eastAsia="黑体"/>
          <w:sz w:val="28"/>
          <w:szCs w:val="28"/>
          <w:shd w:val="clear" w:color="auto" w:fill="FFFFFF"/>
        </w:rPr>
        <w:t>）消防给水和灭火设施</w:t>
      </w:r>
      <w:bookmarkEnd w:id="77"/>
    </w:p>
    <w:p>
      <w:pPr>
        <w:spacing w:line="360" w:lineRule="auto"/>
        <w:ind w:firstLine="420"/>
        <w:rPr>
          <w:sz w:val="28"/>
          <w:szCs w:val="28"/>
        </w:rPr>
      </w:pPr>
      <w:r>
        <w:rPr>
          <w:sz w:val="28"/>
          <w:szCs w:val="28"/>
        </w:rPr>
        <w:t>（1）电动汽车充电站内的建筑物满足耐火等级低于二级、体积大于3000m'且火灾危险性为非戊类的,充电站应设置消防给水系统。消防水源应有可靠的保证。</w:t>
      </w:r>
    </w:p>
    <w:p>
      <w:pPr>
        <w:spacing w:line="360" w:lineRule="auto"/>
        <w:ind w:firstLine="420"/>
        <w:rPr>
          <w:sz w:val="28"/>
          <w:szCs w:val="28"/>
        </w:rPr>
      </w:pPr>
      <w:r>
        <w:rPr>
          <w:sz w:val="28"/>
          <w:szCs w:val="28"/>
        </w:rPr>
        <w:t>（2）电动汽车充电站消防给水系统的设计应符合现行国家标准《建筑设计防火规范》GB50016的有关规定,同一时间内的火灾次数应按--次确定。</w:t>
      </w:r>
    </w:p>
    <w:p>
      <w:pPr>
        <w:spacing w:line="360" w:lineRule="auto"/>
        <w:ind w:firstLine="420"/>
        <w:rPr>
          <w:sz w:val="28"/>
          <w:szCs w:val="28"/>
        </w:rPr>
      </w:pPr>
      <w:r>
        <w:rPr>
          <w:sz w:val="28"/>
          <w:szCs w:val="28"/>
        </w:rPr>
        <w:t>（3）电动汽车充电站内的建筑物满足下列条件时可不设置室内消火栓:</w:t>
      </w:r>
    </w:p>
    <w:p>
      <w:pPr>
        <w:spacing w:line="360" w:lineRule="auto"/>
        <w:ind w:firstLine="420"/>
        <w:rPr>
          <w:sz w:val="28"/>
          <w:szCs w:val="28"/>
        </w:rPr>
      </w:pPr>
      <w:r>
        <w:rPr>
          <w:sz w:val="28"/>
          <w:szCs w:val="28"/>
        </w:rPr>
        <w:t>1）耐火等级为一、二级且可燃物较少的丁、戊类建筑物。</w:t>
      </w:r>
    </w:p>
    <w:p>
      <w:pPr>
        <w:spacing w:line="360" w:lineRule="auto"/>
        <w:ind w:firstLine="420"/>
        <w:rPr>
          <w:sz w:val="28"/>
          <w:szCs w:val="28"/>
        </w:rPr>
      </w:pPr>
      <w:r>
        <w:rPr>
          <w:sz w:val="28"/>
          <w:szCs w:val="28"/>
        </w:rPr>
        <w:t>2）耐火等级为三、四级且建筑物体积不超过3000m</w:t>
      </w:r>
      <w:r>
        <w:rPr>
          <w:sz w:val="28"/>
          <w:szCs w:val="28"/>
          <w:vertAlign w:val="superscript"/>
        </w:rPr>
        <w:t>3</w:t>
      </w:r>
      <w:r>
        <w:rPr>
          <w:sz w:val="28"/>
          <w:szCs w:val="28"/>
        </w:rPr>
        <w:t>的丁类建筑物和建筑物体积不超过5000m</w:t>
      </w:r>
      <w:r>
        <w:rPr>
          <w:sz w:val="28"/>
          <w:szCs w:val="28"/>
          <w:vertAlign w:val="superscript"/>
        </w:rPr>
        <w:t>3</w:t>
      </w:r>
      <w:r>
        <w:rPr>
          <w:sz w:val="28"/>
          <w:szCs w:val="28"/>
        </w:rPr>
        <w:t>的戍类建筑物。</w:t>
      </w:r>
    </w:p>
    <w:p>
      <w:pPr>
        <w:spacing w:line="360" w:lineRule="auto"/>
        <w:ind w:firstLine="420"/>
        <w:rPr>
          <w:sz w:val="28"/>
          <w:szCs w:val="28"/>
        </w:rPr>
      </w:pPr>
      <w:r>
        <w:rPr>
          <w:sz w:val="28"/>
          <w:szCs w:val="28"/>
        </w:rPr>
        <w:t>3）室内没有生产 、生活给水管道,室外消防用水取自贮水池且建筑物体积不超过5000m</w:t>
      </w:r>
      <w:r>
        <w:rPr>
          <w:sz w:val="28"/>
          <w:szCs w:val="28"/>
          <w:vertAlign w:val="superscript"/>
        </w:rPr>
        <w:t>2</w:t>
      </w:r>
      <w:r>
        <w:rPr>
          <w:sz w:val="28"/>
          <w:szCs w:val="28"/>
        </w:rPr>
        <w:t>的建筑物。</w:t>
      </w:r>
    </w:p>
    <w:p>
      <w:pPr>
        <w:spacing w:line="360" w:lineRule="auto"/>
        <w:ind w:firstLine="420"/>
        <w:rPr>
          <w:sz w:val="28"/>
          <w:szCs w:val="28"/>
        </w:rPr>
      </w:pPr>
      <w:r>
        <w:rPr>
          <w:sz w:val="28"/>
          <w:szCs w:val="28"/>
        </w:rPr>
        <w:t>（4）电动汽车充电站建筑物灭火器的配置应符合现行国家标准《建筑灭火器配置设计规范》GB50140的有关规定。室外充电区灭火器的配置应符合下列要求:</w:t>
      </w:r>
    </w:p>
    <w:p>
      <w:pPr>
        <w:spacing w:line="360" w:lineRule="auto"/>
        <w:ind w:firstLine="420"/>
        <w:rPr>
          <w:sz w:val="28"/>
          <w:szCs w:val="28"/>
        </w:rPr>
      </w:pPr>
      <w:r>
        <w:rPr>
          <w:sz w:val="28"/>
          <w:szCs w:val="28"/>
        </w:rPr>
        <w:t>1）不考虑插电式混合动力汽车进入时,充电站应按轻危险级配置灭火器。</w:t>
      </w:r>
    </w:p>
    <w:p>
      <w:pPr>
        <w:spacing w:line="360" w:lineRule="auto"/>
        <w:ind w:firstLine="420"/>
        <w:rPr>
          <w:rFonts w:eastAsia="黑体"/>
          <w:sz w:val="36"/>
          <w:szCs w:val="36"/>
        </w:rPr>
      </w:pPr>
      <w:r>
        <w:rPr>
          <w:sz w:val="28"/>
          <w:szCs w:val="28"/>
        </w:rPr>
        <w:t>2）考虑插电式混合动力汽车进入时,充电站应按严重危险级配置灭火器。</w:t>
      </w:r>
    </w:p>
    <w:p>
      <w:pPr>
        <w:pStyle w:val="4"/>
        <w:tabs>
          <w:tab w:val="left" w:pos="567"/>
        </w:tabs>
        <w:spacing w:before="120" w:after="120" w:line="360" w:lineRule="auto"/>
        <w:rPr>
          <w:rFonts w:hint="eastAsia" w:ascii="Times New Roman" w:hAnsi="Times New Roman" w:eastAsia="黑体" w:cs="Times New Roman"/>
          <w:kern w:val="2"/>
          <w:sz w:val="36"/>
          <w:szCs w:val="36"/>
          <w:lang w:eastAsia="zh-CN"/>
        </w:rPr>
        <w:sectPr>
          <w:pgSz w:w="11907" w:h="16840"/>
          <w:pgMar w:top="1440" w:right="1701" w:bottom="1440" w:left="1701" w:header="851" w:footer="992" w:gutter="0"/>
          <w:cols w:space="720" w:num="1"/>
          <w:docGrid w:linePitch="312" w:charSpace="0"/>
        </w:sectPr>
      </w:pPr>
    </w:p>
    <w:p>
      <w:pPr>
        <w:pStyle w:val="4"/>
        <w:tabs>
          <w:tab w:val="left" w:pos="567"/>
        </w:tabs>
        <w:spacing w:before="120" w:after="120" w:line="360" w:lineRule="auto"/>
        <w:rPr>
          <w:rFonts w:ascii="Times New Roman" w:hAnsi="Times New Roman" w:eastAsia="黑体" w:cs="Times New Roman"/>
          <w:kern w:val="2"/>
          <w:sz w:val="36"/>
          <w:szCs w:val="36"/>
        </w:rPr>
      </w:pPr>
      <w:bookmarkStart w:id="78" w:name="_Toc10048"/>
      <w:r>
        <w:rPr>
          <w:rFonts w:hint="eastAsia" w:ascii="Times New Roman" w:hAnsi="Times New Roman" w:eastAsia="黑体" w:cs="Times New Roman"/>
          <w:kern w:val="2"/>
          <w:sz w:val="36"/>
          <w:szCs w:val="36"/>
          <w:lang w:eastAsia="zh-CN"/>
        </w:rPr>
        <w:t>五</w:t>
      </w:r>
      <w:r>
        <w:rPr>
          <w:rFonts w:ascii="Times New Roman" w:hAnsi="Times New Roman" w:eastAsia="黑体" w:cs="Times New Roman"/>
          <w:kern w:val="2"/>
          <w:sz w:val="36"/>
          <w:szCs w:val="36"/>
        </w:rPr>
        <w:t xml:space="preserve"> 保障措施</w:t>
      </w:r>
      <w:bookmarkEnd w:id="68"/>
      <w:bookmarkEnd w:id="69"/>
      <w:bookmarkEnd w:id="70"/>
      <w:bookmarkEnd w:id="78"/>
    </w:p>
    <w:p>
      <w:pPr>
        <w:pStyle w:val="5"/>
        <w:spacing w:before="120" w:after="120" w:line="360" w:lineRule="auto"/>
        <w:rPr>
          <w:rFonts w:ascii="Times New Roman" w:hAnsi="Times New Roman" w:eastAsia="宋体" w:cs="Times New Roman"/>
          <w:sz w:val="30"/>
          <w:szCs w:val="30"/>
        </w:rPr>
      </w:pPr>
      <w:bookmarkStart w:id="79" w:name="_Toc9336"/>
      <w:bookmarkStart w:id="80" w:name="_Toc5385"/>
      <w:r>
        <w:rPr>
          <w:rFonts w:ascii="Times New Roman" w:hAnsi="Times New Roman" w:eastAsia="宋体" w:cs="Times New Roman"/>
          <w:sz w:val="30"/>
          <w:szCs w:val="30"/>
        </w:rPr>
        <w:t>（一）加强规划落地</w:t>
      </w:r>
      <w:bookmarkEnd w:id="79"/>
      <w:bookmarkEnd w:id="80"/>
    </w:p>
    <w:p>
      <w:pPr>
        <w:spacing w:line="360" w:lineRule="auto"/>
        <w:ind w:firstLine="600" w:firstLineChars="200"/>
        <w:rPr>
          <w:spacing w:val="10"/>
          <w:sz w:val="28"/>
          <w:szCs w:val="28"/>
        </w:rPr>
      </w:pPr>
      <w:r>
        <w:rPr>
          <w:spacing w:val="10"/>
          <w:sz w:val="28"/>
          <w:szCs w:val="28"/>
        </w:rPr>
        <w:t>将本规划的有关内容纳入铜梁区城乡总体规划。修编或新编控制性详细规划时，需落实本规划的相关要求，明确需独立占地的电动汽车充、换电站用地布局。明确各类建筑物配建停车场及社会公共停车场中充电设施的建设比例或预留条件要求，符合国家和重庆市相关指导文件要求。</w:t>
      </w:r>
    </w:p>
    <w:p>
      <w:pPr>
        <w:pStyle w:val="5"/>
        <w:spacing w:before="120" w:after="120" w:line="360" w:lineRule="auto"/>
        <w:rPr>
          <w:rFonts w:ascii="Times New Roman" w:hAnsi="Times New Roman" w:eastAsia="宋体" w:cs="Times New Roman"/>
          <w:sz w:val="30"/>
          <w:szCs w:val="30"/>
        </w:rPr>
      </w:pPr>
      <w:bookmarkStart w:id="81" w:name="_Toc329"/>
      <w:bookmarkStart w:id="82" w:name="_Toc6642"/>
      <w:r>
        <w:rPr>
          <w:rFonts w:ascii="Times New Roman" w:hAnsi="Times New Roman" w:eastAsia="宋体" w:cs="Times New Roman"/>
          <w:sz w:val="30"/>
          <w:szCs w:val="30"/>
        </w:rPr>
        <w:t>（二）加大用地支持力度</w:t>
      </w:r>
      <w:bookmarkEnd w:id="81"/>
      <w:bookmarkEnd w:id="82"/>
    </w:p>
    <w:p>
      <w:pPr>
        <w:spacing w:line="360" w:lineRule="auto"/>
        <w:ind w:firstLine="600" w:firstLineChars="200"/>
        <w:rPr>
          <w:spacing w:val="10"/>
          <w:sz w:val="28"/>
          <w:szCs w:val="28"/>
        </w:rPr>
      </w:pPr>
      <w:r>
        <w:rPr>
          <w:spacing w:val="10"/>
          <w:sz w:val="28"/>
          <w:szCs w:val="28"/>
        </w:rPr>
        <w:t>将独立占地的集中式充电站用地纳入公用设施营业网点用地，按照加油加气站用地供应模式，根据可实施供应的国有建设用地情况，优先安排土地供应。新建项目用地需配建充电基础设施的，可将配建要求纳入土地供应条件，允许土地使用权取得人与其他市场主体合作，按要求投资建设运营充电基础设施。鼓励在已有各类建筑物配建停车场、公交场站、社会公共停车场与高速公路服务区等场所配建充电基础设施，区政府应协调有关单位在用地方面予以支持。</w:t>
      </w:r>
    </w:p>
    <w:p>
      <w:pPr>
        <w:pStyle w:val="5"/>
        <w:spacing w:before="120" w:after="120" w:line="360" w:lineRule="auto"/>
        <w:rPr>
          <w:rFonts w:ascii="Times New Roman" w:hAnsi="Times New Roman" w:eastAsia="宋体" w:cs="Times New Roman"/>
          <w:sz w:val="30"/>
          <w:szCs w:val="30"/>
        </w:rPr>
      </w:pPr>
      <w:bookmarkStart w:id="83" w:name="_Toc4745"/>
      <w:bookmarkStart w:id="84" w:name="_Toc7774"/>
      <w:r>
        <w:rPr>
          <w:rFonts w:ascii="Times New Roman" w:hAnsi="Times New Roman" w:eastAsia="宋体" w:cs="Times New Roman"/>
          <w:sz w:val="30"/>
          <w:szCs w:val="30"/>
        </w:rPr>
        <w:t>（三）简化规划审批</w:t>
      </w:r>
      <w:bookmarkEnd w:id="83"/>
      <w:bookmarkEnd w:id="84"/>
    </w:p>
    <w:p>
      <w:pPr>
        <w:spacing w:line="360" w:lineRule="auto"/>
        <w:ind w:firstLine="600" w:firstLineChars="200"/>
        <w:rPr>
          <w:spacing w:val="10"/>
          <w:sz w:val="28"/>
          <w:szCs w:val="28"/>
        </w:rPr>
      </w:pPr>
      <w:r>
        <w:rPr>
          <w:spacing w:val="10"/>
          <w:sz w:val="28"/>
          <w:szCs w:val="28"/>
        </w:rPr>
        <w:t>简化充电设施的规划建设审批环节加快办理速度，提高审批效能。在充电基础设施建设专项规划设计和指导的基础上，对规划许可、建设工程许可和施工许可等审批核准手续进行合理简化。单独占地的集中式充电站应符合城市规划，统一集中管理办理用地规划许可证、建设工程规划许可证和施工许可证；其他充电设施安装无需单独办理相关手续。此外相关部门须做好政务公开工作，及时公布涉及材料申报的相关事宜，方便办理双方沟通，有效节约材料准备时间。</w:t>
      </w:r>
    </w:p>
    <w:p>
      <w:pPr>
        <w:pStyle w:val="5"/>
        <w:spacing w:before="120" w:after="120" w:line="360" w:lineRule="auto"/>
        <w:rPr>
          <w:rFonts w:ascii="Times New Roman" w:hAnsi="Times New Roman" w:eastAsia="宋体" w:cs="Times New Roman"/>
          <w:sz w:val="30"/>
          <w:szCs w:val="30"/>
        </w:rPr>
      </w:pPr>
      <w:bookmarkStart w:id="85" w:name="_Toc19201"/>
      <w:bookmarkStart w:id="86" w:name="_Toc22961"/>
      <w:r>
        <w:rPr>
          <w:rFonts w:ascii="Times New Roman" w:hAnsi="Times New Roman" w:eastAsia="宋体" w:cs="Times New Roman"/>
          <w:sz w:val="30"/>
          <w:szCs w:val="30"/>
        </w:rPr>
        <w:t>（四）完善财政价格政策</w:t>
      </w:r>
      <w:bookmarkEnd w:id="85"/>
      <w:bookmarkEnd w:id="86"/>
    </w:p>
    <w:p>
      <w:pPr>
        <w:spacing w:line="360" w:lineRule="auto"/>
        <w:ind w:firstLine="600" w:firstLineChars="200"/>
        <w:rPr>
          <w:spacing w:val="10"/>
          <w:sz w:val="28"/>
          <w:szCs w:val="28"/>
        </w:rPr>
      </w:pPr>
      <w:r>
        <w:rPr>
          <w:spacing w:val="10"/>
          <w:sz w:val="28"/>
          <w:szCs w:val="28"/>
        </w:rPr>
        <w:t>加大对充电基础设施补贴力度，严格执行国家和重庆市关于电动汽车和充电设施的补贴标准，给予市场稳定的政策预期。充电服务企业向电动汽车用户收取电费及服务费两项费用，对向电网经营企业直接报装接电的经营性集中式充电设施用电，执行大工业用电价格。针对不同类别充电基础设施，兼顾投资运营主体合理收益与用户使用经济性等，指导各地及早出台充电服务费分类指导价格，在总结各地经验基础上，逐步规范充电服务价格机制。</w:t>
      </w:r>
    </w:p>
    <w:p>
      <w:pPr>
        <w:pStyle w:val="5"/>
        <w:spacing w:before="120" w:after="120" w:line="360" w:lineRule="auto"/>
        <w:rPr>
          <w:rFonts w:ascii="Times New Roman" w:hAnsi="Times New Roman" w:eastAsia="宋体" w:cs="Times New Roman"/>
          <w:sz w:val="30"/>
          <w:szCs w:val="30"/>
        </w:rPr>
      </w:pPr>
      <w:bookmarkStart w:id="87" w:name="_Toc21069"/>
      <w:bookmarkStart w:id="88" w:name="_Toc10350"/>
      <w:r>
        <w:rPr>
          <w:rFonts w:ascii="Times New Roman" w:hAnsi="Times New Roman" w:eastAsia="宋体" w:cs="Times New Roman"/>
          <w:sz w:val="30"/>
          <w:szCs w:val="30"/>
        </w:rPr>
        <w:t>（五）强化金融服务支持</w:t>
      </w:r>
      <w:bookmarkEnd w:id="87"/>
      <w:bookmarkEnd w:id="88"/>
    </w:p>
    <w:p>
      <w:pPr>
        <w:adjustRightInd w:val="0"/>
        <w:spacing w:line="360" w:lineRule="auto"/>
        <w:ind w:firstLine="600" w:firstLineChars="200"/>
        <w:jc w:val="left"/>
        <w:rPr>
          <w:spacing w:val="10"/>
          <w:sz w:val="28"/>
          <w:szCs w:val="28"/>
        </w:rPr>
      </w:pPr>
      <w:r>
        <w:rPr>
          <w:spacing w:val="10"/>
          <w:sz w:val="28"/>
          <w:szCs w:val="28"/>
        </w:rPr>
        <w:t>整合公交、商场以及社会公共停车场等各类社会资源，通过 PPP 等方式，为社会资本参与充电基础设施建设运营创造条件。鼓励金融机构在商业可持续原则下，创新金融产品和保险品种，综合运用风险补偿等政策，完善金融服务体系。推广股权、项目收益权、特许经营权等质押融资方式，加快建立包括财政出资和社会资本投入的多层次担保体系，积极推动设立融资担保基金，拓宽充电基础设施投资运营企业与设备厂商的融资渠道。</w:t>
      </w:r>
    </w:p>
    <w:p>
      <w:pPr>
        <w:pStyle w:val="5"/>
        <w:spacing w:before="120" w:after="120" w:line="360" w:lineRule="auto"/>
        <w:rPr>
          <w:rFonts w:ascii="Times New Roman" w:hAnsi="Times New Roman" w:eastAsia="宋体" w:cs="Times New Roman"/>
          <w:sz w:val="30"/>
          <w:szCs w:val="30"/>
        </w:rPr>
      </w:pPr>
      <w:bookmarkStart w:id="89" w:name="_Toc9215"/>
      <w:bookmarkStart w:id="90" w:name="_Toc20678"/>
      <w:r>
        <w:rPr>
          <w:rFonts w:ascii="Times New Roman" w:hAnsi="Times New Roman" w:eastAsia="宋体" w:cs="Times New Roman"/>
          <w:sz w:val="30"/>
          <w:szCs w:val="30"/>
        </w:rPr>
        <w:t>（六）强化安全管理</w:t>
      </w:r>
      <w:bookmarkEnd w:id="89"/>
      <w:bookmarkEnd w:id="90"/>
    </w:p>
    <w:p>
      <w:pPr>
        <w:adjustRightInd w:val="0"/>
        <w:spacing w:line="360" w:lineRule="auto"/>
        <w:ind w:firstLine="600" w:firstLineChars="200"/>
        <w:jc w:val="left"/>
        <w:rPr>
          <w:spacing w:val="10"/>
          <w:sz w:val="28"/>
          <w:szCs w:val="28"/>
        </w:rPr>
      </w:pPr>
      <w:r>
        <w:rPr>
          <w:spacing w:val="10"/>
          <w:sz w:val="28"/>
          <w:szCs w:val="28"/>
        </w:rPr>
        <w:t>建立充电基础设施安全管理体系，完善有关制度标准，加大对用户私拉电线、违规用电、建设施工不规范等行为的查处力度。依法依规对充电基础设施设置场所实施消防设计审核、消防验收以及备案抽查，并加强消防监督检查。行业主管部门要督促充电基础设施运营使用的单位或个人，加强对充电基础设施及其设置场所的日常消防安全检查及管理，及时消除安全隐患。</w:t>
      </w:r>
    </w:p>
    <w:p>
      <w:pPr>
        <w:pStyle w:val="5"/>
        <w:spacing w:before="120" w:after="120" w:line="360" w:lineRule="auto"/>
        <w:rPr>
          <w:rFonts w:ascii="Times New Roman" w:hAnsi="Times New Roman" w:eastAsia="宋体" w:cs="Times New Roman"/>
          <w:sz w:val="30"/>
          <w:szCs w:val="30"/>
        </w:rPr>
      </w:pPr>
      <w:bookmarkStart w:id="91" w:name="_Toc19218"/>
      <w:bookmarkStart w:id="92" w:name="_Toc5637"/>
      <w:r>
        <w:rPr>
          <w:rFonts w:ascii="Times New Roman" w:hAnsi="Times New Roman" w:eastAsia="宋体" w:cs="Times New Roman"/>
          <w:sz w:val="30"/>
          <w:szCs w:val="30"/>
        </w:rPr>
        <w:t>（七）</w:t>
      </w:r>
      <w:bookmarkEnd w:id="91"/>
      <w:bookmarkStart w:id="93" w:name="_Toc18579"/>
      <w:r>
        <w:rPr>
          <w:rFonts w:ascii="Times New Roman" w:hAnsi="Times New Roman" w:eastAsia="宋体" w:cs="Times New Roman"/>
          <w:sz w:val="30"/>
          <w:szCs w:val="30"/>
        </w:rPr>
        <w:t>加大物业协调力度</w:t>
      </w:r>
      <w:bookmarkEnd w:id="92"/>
      <w:bookmarkEnd w:id="93"/>
    </w:p>
    <w:p>
      <w:pPr>
        <w:adjustRightInd w:val="0"/>
        <w:spacing w:line="360" w:lineRule="auto"/>
        <w:ind w:firstLine="600" w:firstLineChars="200"/>
        <w:jc w:val="left"/>
        <w:rPr>
          <w:spacing w:val="10"/>
          <w:sz w:val="28"/>
          <w:szCs w:val="28"/>
        </w:rPr>
      </w:pPr>
      <w:r>
        <w:rPr>
          <w:spacing w:val="10"/>
          <w:sz w:val="28"/>
          <w:szCs w:val="28"/>
        </w:rPr>
        <w:t>严格执行国家私人用户居住地充电基础设施建设管理示范文本。房地产行政主管部门、街道办事处和居委会应按照示范文本，主动加强对业主委员会的指导和监督，引导业主支持充电基础设施建设。业主大会、业主委员会应当依法履行自治管理职责，依据示范文本，结合自身实际，明确物业服务区域内建设管理充电基础设施的流程，并将相关内容纳入物业服务合同。对拒不配合或阻挠充电基础设施建设的物业服务企业，各地房地产行政主管部门应制定相应的处罚措施，扣减相关企业和负责人的信用信息评分。</w:t>
      </w:r>
    </w:p>
    <w:p>
      <w:pPr>
        <w:pStyle w:val="5"/>
        <w:spacing w:before="120" w:after="120" w:line="360" w:lineRule="auto"/>
        <w:rPr>
          <w:rFonts w:ascii="Times New Roman" w:hAnsi="Times New Roman" w:eastAsia="宋体" w:cs="Times New Roman"/>
          <w:sz w:val="30"/>
          <w:szCs w:val="30"/>
        </w:rPr>
      </w:pPr>
      <w:bookmarkStart w:id="94" w:name="_Toc22439"/>
      <w:bookmarkStart w:id="95" w:name="_Toc25176"/>
      <w:r>
        <w:rPr>
          <w:rFonts w:ascii="Times New Roman" w:hAnsi="Times New Roman" w:eastAsia="宋体" w:cs="Times New Roman"/>
          <w:sz w:val="30"/>
          <w:szCs w:val="30"/>
        </w:rPr>
        <w:t>（八）营造良好的舆论环境</w:t>
      </w:r>
      <w:bookmarkEnd w:id="94"/>
      <w:bookmarkEnd w:id="95"/>
    </w:p>
    <w:p>
      <w:pPr>
        <w:spacing w:line="360" w:lineRule="auto"/>
        <w:rPr>
          <w:rFonts w:hint="eastAsia"/>
          <w:spacing w:val="10"/>
          <w:sz w:val="28"/>
          <w:szCs w:val="28"/>
        </w:rPr>
      </w:pPr>
      <w:r>
        <w:rPr>
          <w:spacing w:val="10"/>
          <w:sz w:val="28"/>
          <w:szCs w:val="28"/>
        </w:rPr>
        <w:t>各有关部门、企业和新闻媒体要通过利用电视媒体、报纸媒体、网络媒体等多种形式加强充电基础设施发展政策、规划布局和建设动态等的宣传，让社会各界全方位、多层次、宽视角全面了解充电基础设施，吸引更多社会资本参与充电基础设施的建设运营，引导消费者购买使用电动汽车，引导充电基础设施产业科学健康发展。加强舆论监督，曝光阻碍充电基础设施建设、损害消费者权益等行为，形成有利于充电基础设施发展的舆论氛围</w:t>
      </w:r>
      <w:r>
        <w:rPr>
          <w:rFonts w:hint="eastAsia"/>
          <w:spacing w:val="10"/>
          <w:sz w:val="28"/>
          <w:szCs w:val="28"/>
        </w:rPr>
        <w:t>。</w:t>
      </w:r>
    </w:p>
    <w:p>
      <w:pPr>
        <w:spacing w:line="360" w:lineRule="auto"/>
        <w:rPr>
          <w:rFonts w:hint="eastAsia"/>
          <w:spacing w:val="10"/>
          <w:sz w:val="28"/>
          <w:szCs w:val="28"/>
        </w:rPr>
      </w:pPr>
    </w:p>
    <w:p>
      <w:pPr>
        <w:spacing w:line="360" w:lineRule="auto"/>
        <w:rPr>
          <w:rFonts w:hint="eastAsia"/>
          <w:spacing w:val="10"/>
          <w:sz w:val="28"/>
          <w:szCs w:val="28"/>
        </w:rPr>
      </w:pPr>
    </w:p>
    <w:p>
      <w:pPr>
        <w:spacing w:line="360" w:lineRule="auto"/>
        <w:rPr>
          <w:rFonts w:hint="eastAsia"/>
          <w:spacing w:val="10"/>
          <w:sz w:val="28"/>
          <w:szCs w:val="28"/>
        </w:rPr>
      </w:pPr>
    </w:p>
    <w:p>
      <w:pPr>
        <w:pStyle w:val="5"/>
        <w:spacing w:before="120" w:after="120" w:line="360" w:lineRule="auto"/>
        <w:rPr>
          <w:rFonts w:hint="eastAsia" w:ascii="Times New Roman" w:hAnsi="Times New Roman" w:eastAsia="宋体" w:cs="Times New Roman"/>
          <w:sz w:val="30"/>
          <w:szCs w:val="30"/>
          <w:lang w:eastAsia="zh-CN"/>
        </w:rPr>
        <w:sectPr>
          <w:pgSz w:w="11907" w:h="16840"/>
          <w:pgMar w:top="1440" w:right="1701" w:bottom="1440" w:left="1701" w:header="851" w:footer="992" w:gutter="0"/>
          <w:cols w:space="720" w:num="1"/>
          <w:docGrid w:linePitch="312" w:charSpace="0"/>
        </w:sectPr>
      </w:pPr>
      <w:bookmarkStart w:id="96" w:name="_Toc10589"/>
    </w:p>
    <w:p>
      <w:pPr>
        <w:pStyle w:val="4"/>
        <w:keepNext/>
        <w:keepLines/>
        <w:pageBreakBefore w:val="0"/>
        <w:widowControl w:val="0"/>
        <w:kinsoku/>
        <w:wordWrap/>
        <w:overflowPunct/>
        <w:topLinePunct w:val="0"/>
        <w:autoSpaceDE/>
        <w:autoSpaceDN/>
        <w:bidi w:val="0"/>
        <w:adjustRightInd/>
        <w:snapToGrid/>
        <w:spacing w:before="120" w:after="120" w:line="360" w:lineRule="auto"/>
        <w:textAlignment w:val="auto"/>
        <w:outlineLvl w:val="0"/>
        <w:rPr>
          <w:rFonts w:hint="eastAsia" w:ascii="Times New Roman" w:hAnsi="Times New Roman" w:eastAsia="宋体" w:cs="Times New Roman"/>
          <w:sz w:val="30"/>
          <w:szCs w:val="30"/>
          <w:lang w:eastAsia="zh-CN"/>
        </w:rPr>
      </w:pPr>
      <w:bookmarkStart w:id="97" w:name="_Toc14864"/>
      <w:r>
        <w:rPr>
          <w:rFonts w:hint="eastAsia" w:ascii="Times New Roman" w:hAnsi="Times New Roman" w:eastAsia="宋体" w:cs="Times New Roman"/>
          <w:sz w:val="30"/>
          <w:szCs w:val="30"/>
          <w:lang w:eastAsia="zh-CN"/>
        </w:rPr>
        <w:t>附表</w:t>
      </w:r>
      <w:r>
        <w:rPr>
          <w:rFonts w:hint="eastAsia" w:ascii="Times New Roman" w:hAnsi="Times New Roman" w:eastAsia="宋体" w:cs="Times New Roman"/>
          <w:sz w:val="30"/>
          <w:szCs w:val="30"/>
          <w:lang w:val="en-US" w:eastAsia="zh-CN"/>
        </w:rPr>
        <w:t xml:space="preserve">1 </w:t>
      </w:r>
      <w:bookmarkEnd w:id="97"/>
      <w:r>
        <w:rPr>
          <w:rFonts w:hint="eastAsia" w:ascii="Times New Roman" w:hAnsi="Times New Roman" w:eastAsia="宋体" w:cs="Times New Roman"/>
          <w:sz w:val="30"/>
          <w:szCs w:val="30"/>
          <w:lang w:val="en-US" w:eastAsia="zh-CN"/>
        </w:rPr>
        <w:t xml:space="preserve"> </w:t>
      </w:r>
      <w:r>
        <w:rPr>
          <w:rFonts w:hint="eastAsia" w:ascii="Times New Roman" w:hAnsi="Times New Roman" w:eastAsia="宋体" w:cs="Times New Roman"/>
          <w:sz w:val="30"/>
          <w:szCs w:val="30"/>
        </w:rPr>
        <w:t>2023-2035年充电项目规划表</w:t>
      </w:r>
    </w:p>
    <w:p>
      <w:pPr>
        <w:rPr>
          <w:rFonts w:hint="eastAsia"/>
          <w:lang w:eastAsia="zh-CN"/>
        </w:rPr>
      </w:pPr>
    </w:p>
    <w:tbl>
      <w:tblPr>
        <w:tblStyle w:val="17"/>
        <w:tblW w:w="8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1"/>
        <w:gridCol w:w="712"/>
        <w:gridCol w:w="711"/>
        <w:gridCol w:w="711"/>
        <w:gridCol w:w="712"/>
        <w:gridCol w:w="711"/>
        <w:gridCol w:w="711"/>
        <w:gridCol w:w="711"/>
        <w:gridCol w:w="711"/>
        <w:gridCol w:w="712"/>
        <w:gridCol w:w="711"/>
        <w:gridCol w:w="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blHeader/>
          <w:jc w:val="center"/>
        </w:trPr>
        <w:tc>
          <w:tcPr>
            <w:tcW w:w="711"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序号</w:t>
            </w:r>
          </w:p>
        </w:tc>
        <w:tc>
          <w:tcPr>
            <w:tcW w:w="712"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所属镇街</w:t>
            </w:r>
          </w:p>
        </w:tc>
        <w:tc>
          <w:tcPr>
            <w:tcW w:w="711"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3"/>
                <w:szCs w:val="13"/>
                <w:u w:val="none"/>
              </w:rPr>
            </w:pPr>
            <w:r>
              <w:rPr>
                <w:rFonts w:hint="eastAsia" w:ascii="宋体" w:hAnsi="宋体" w:eastAsia="宋体" w:cs="宋体"/>
                <w:b/>
                <w:i w:val="0"/>
                <w:color w:val="000000"/>
                <w:kern w:val="0"/>
                <w:sz w:val="13"/>
                <w:szCs w:val="13"/>
                <w:u w:val="none"/>
                <w:lang w:val="en-US" w:eastAsia="zh-CN" w:bidi="ar"/>
              </w:rPr>
              <w:t>地址</w:t>
            </w:r>
          </w:p>
        </w:tc>
        <w:tc>
          <w:tcPr>
            <w:tcW w:w="2845" w:type="dxa"/>
            <w:gridSpan w:val="4"/>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停车场基本情况</w:t>
            </w:r>
          </w:p>
        </w:tc>
        <w:tc>
          <w:tcPr>
            <w:tcW w:w="711"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拟建设充电桩总数量（个）</w:t>
            </w:r>
          </w:p>
        </w:tc>
        <w:tc>
          <w:tcPr>
            <w:tcW w:w="711"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是否规划建设储能/容量（KWH）</w:t>
            </w:r>
          </w:p>
        </w:tc>
        <w:tc>
          <w:tcPr>
            <w:tcW w:w="712"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是否规划建设光伏/容量（KW）</w:t>
            </w:r>
          </w:p>
        </w:tc>
        <w:tc>
          <w:tcPr>
            <w:tcW w:w="711"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投资金额（万元）</w:t>
            </w:r>
          </w:p>
        </w:tc>
        <w:tc>
          <w:tcPr>
            <w:tcW w:w="711"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建设时间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blHeader/>
          <w:jc w:val="center"/>
        </w:trPr>
        <w:tc>
          <w:tcPr>
            <w:tcW w:w="711"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3"/>
                <w:szCs w:val="13"/>
                <w:u w:val="none"/>
              </w:rPr>
            </w:pPr>
          </w:p>
        </w:tc>
        <w:tc>
          <w:tcPr>
            <w:tcW w:w="712"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3"/>
                <w:szCs w:val="13"/>
                <w:u w:val="none"/>
              </w:rPr>
            </w:pPr>
          </w:p>
        </w:tc>
        <w:tc>
          <w:tcPr>
            <w:tcW w:w="711"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13"/>
                <w:szCs w:val="13"/>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面积（m2）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车位数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是否对外营业</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13"/>
                <w:szCs w:val="13"/>
                <w:u w:val="none"/>
              </w:rPr>
            </w:pPr>
            <w:r>
              <w:rPr>
                <w:rFonts w:hint="default" w:ascii="Times New Roman" w:hAnsi="Times New Roman" w:eastAsia="Tahoma" w:cs="Times New Roman"/>
                <w:b/>
                <w:i w:val="0"/>
                <w:color w:val="000000"/>
                <w:kern w:val="0"/>
                <w:sz w:val="13"/>
                <w:szCs w:val="13"/>
                <w:u w:val="none"/>
                <w:lang w:val="en-US" w:eastAsia="zh-CN" w:bidi="ar"/>
              </w:rPr>
              <w:t>土地性质</w:t>
            </w:r>
          </w:p>
        </w:tc>
        <w:tc>
          <w:tcPr>
            <w:tcW w:w="711"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3"/>
                <w:szCs w:val="13"/>
                <w:u w:val="none"/>
              </w:rPr>
            </w:pPr>
          </w:p>
        </w:tc>
        <w:tc>
          <w:tcPr>
            <w:tcW w:w="711"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3"/>
                <w:szCs w:val="13"/>
                <w:u w:val="none"/>
              </w:rPr>
            </w:pPr>
          </w:p>
        </w:tc>
        <w:tc>
          <w:tcPr>
            <w:tcW w:w="712"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3"/>
                <w:szCs w:val="13"/>
                <w:u w:val="none"/>
              </w:rPr>
            </w:pPr>
          </w:p>
        </w:tc>
        <w:tc>
          <w:tcPr>
            <w:tcW w:w="711"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3"/>
                <w:szCs w:val="13"/>
                <w:u w:val="none"/>
              </w:rPr>
            </w:pPr>
          </w:p>
        </w:tc>
        <w:tc>
          <w:tcPr>
            <w:tcW w:w="711"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3"/>
                <w:szCs w:val="13"/>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安居镇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新接待中心停车场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94927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安溪镇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安溪镇顺河社区生态停车场建设工程</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北环停车场北郭变电站旁</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17919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是/1700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罗睺寺公园停车场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2667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101</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运动场停车场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665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铜梁西下道口停车场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水利局内停车场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滨河西路15</w:t>
            </w:r>
            <w:r>
              <w:rPr>
                <w:rFonts w:hint="eastAsia" w:ascii="宋体" w:hAnsi="宋体" w:eastAsia="宋体" w:cs="宋体"/>
                <w:i w:val="0"/>
                <w:color w:val="000000"/>
                <w:kern w:val="0"/>
                <w:sz w:val="15"/>
                <w:szCs w:val="15"/>
                <w:u w:val="none"/>
                <w:lang w:val="en-US" w:eastAsia="zh-CN" w:bidi="ar"/>
              </w:rPr>
              <w:t>号</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新中医院</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党校停车场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11</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公安局内停车场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藕塘湾体育场停车场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铜梁区公共交通能源站</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38000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23400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铜梁一中</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铜梁中学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区应急局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白羊镇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白羊镇政府停车场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大庙企业服务中心停车场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国网重庆铜梁供电公司检修中心光储充站</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万达生态停车场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754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eastAsia" w:eastAsia="Tahoma" w:cs="Times New Roman"/>
                <w:i w:val="0"/>
                <w:color w:val="000000"/>
                <w:kern w:val="0"/>
                <w:sz w:val="15"/>
                <w:szCs w:val="15"/>
                <w:u w:val="none"/>
                <w:lang w:val="en-US" w:eastAsia="zh-CN" w:bidi="ar"/>
              </w:rPr>
              <w:t>区发展和改革委员会</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垃圾分拣中心</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盐业公司宿舍</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区经信委、区招商局、区大数据局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金龙体育馆停车场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铜梁实验中学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福果镇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福果镇生态停车场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是，敞开公用</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高楼镇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eastAsia" w:eastAsia="Tahoma" w:cs="Times New Roman"/>
                <w:i w:val="0"/>
                <w:color w:val="000000"/>
                <w:kern w:val="0"/>
                <w:sz w:val="15"/>
                <w:szCs w:val="15"/>
                <w:u w:val="none"/>
                <w:lang w:val="en-US" w:eastAsia="zh-CN" w:bidi="ar"/>
              </w:rPr>
              <w:t>高楼镇公共停车场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lang w:val="en-US"/>
              </w:rPr>
            </w:pPr>
            <w:r>
              <w:rPr>
                <w:rFonts w:hint="eastAsia" w:eastAsia="Tahoma" w:cs="Times New Roman"/>
                <w:i w:val="0"/>
                <w:color w:val="000000"/>
                <w:kern w:val="0"/>
                <w:sz w:val="15"/>
                <w:szCs w:val="15"/>
                <w:u w:val="none"/>
                <w:lang w:val="en-US" w:eastAsia="zh-CN" w:bidi="ar"/>
              </w:rPr>
              <w:t>1700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lang w:val="en-US"/>
              </w:rPr>
            </w:pPr>
            <w:r>
              <w:rPr>
                <w:rFonts w:hint="eastAsia"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15"/>
                <w:szCs w:val="15"/>
                <w:u w:val="none"/>
                <w:lang w:val="en-US" w:eastAsia="zh-CN"/>
              </w:rPr>
            </w:pPr>
            <w:r>
              <w:rPr>
                <w:rFonts w:hint="eastAsia" w:cs="Times New Roman"/>
                <w:i w:val="0"/>
                <w:color w:val="000000"/>
                <w:sz w:val="15"/>
                <w:szCs w:val="15"/>
                <w:u w:val="none"/>
                <w:lang w:val="en-US" w:eastAsia="zh-CN"/>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5"/>
                <w:szCs w:val="15"/>
                <w:u w:val="none"/>
                <w:lang w:val="en-US" w:eastAsia="zh-CN"/>
              </w:rPr>
            </w:pPr>
            <w:r>
              <w:rPr>
                <w:rFonts w:hint="eastAsia" w:cs="Times New Roman"/>
                <w:i w:val="0"/>
                <w:color w:val="000000"/>
                <w:sz w:val="15"/>
                <w:szCs w:val="15"/>
                <w:u w:val="none"/>
                <w:lang w:val="en-US" w:eastAsia="zh-CN"/>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lang w:val="en-US"/>
              </w:rPr>
            </w:pPr>
            <w:r>
              <w:rPr>
                <w:rFonts w:hint="eastAsia"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重庆市铜梁区楠洋建筑材料有限公司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重庆市益星食品（集团）有限公司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重庆缘梦圆实业有限公司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重庆瑞鑫科五金制品有限公司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重庆红蜻蜓鞋业有限公司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重庆嘉元成新型建筑材料有限公司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重庆多仑建材有限公司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重庆铁龙机械制造有限公司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重庆石博士新材料有限公司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重庆市铜梁区亿鑫钢结构有限公司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39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重庆同聚塑胶有限公司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重慶嘉駿電子有限公司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重庆市铜梁区精亿电脑配件有限公司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重庆市黄越汽车配件有限公司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重庆普利特新材料有限公司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重庆鼎萨木业有限公司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重庆嘉技科技股份有限公司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重庆滨瑞汽车零部件有限公司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重庆金阿新型建材有限公司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重庆森迈汽车配件有限公司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49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重庆长江造型材料集团铜梁有限公司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重庆港腾机械有限公司内</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重庆市舒富铝制品有限公司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重庆顺宏机械有限公司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重庆新陆海活塞制造有限公司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科创中心停车场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750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海辰停车场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新连刚电子科技（重庆）有限公司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重庆欣创汽车配件有限公司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重庆铭昇钢结构有限公司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59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重庆力华亘田科技有限责任公司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重庆德宝通风设备有限公司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重庆得胜包装材料有限公司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重庆洁医净空调净化设备有限公司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重庆绿油坡蔬菜有限公司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重庆宏雷机械制造有限公司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重庆胜德隆仓储设备有限公司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重庆精博佳机电有限公司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重庆元亨秀吉电镀有限公司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虎峰镇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体育公园停车场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630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69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华兴镇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华兴镇生态停车场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华兴镇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华兴镇农贸市场停车场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侣俸镇创业路停车场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667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集体建设用地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淮远古韵南街道闸区域</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11710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公共</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铜梁区原乡中央公园</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16268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妇女儿童医院</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区中医院</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玄天湖东停车场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5336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征地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疾控中心</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马家湾游客服务中心停车场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7288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w:t>
            </w:r>
            <w:r>
              <w:rPr>
                <w:rFonts w:hint="eastAsia" w:ascii="宋体" w:hAnsi="宋体" w:eastAsia="宋体" w:cs="宋体"/>
                <w:i w:val="0"/>
                <w:color w:val="000000"/>
                <w:kern w:val="0"/>
                <w:sz w:val="15"/>
                <w:szCs w:val="15"/>
                <w:u w:val="none"/>
                <w:lang w:val="en-US" w:eastAsia="zh-CN" w:bidi="ar"/>
              </w:rPr>
              <w:t>个</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79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铜梁巴川中学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平滩镇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平滩镇政府广场停车场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3600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蒲吕街道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蒲吕葫芦社区停车场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1382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庆隆镇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庆隆镇社区停车场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集体建设用地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少云镇东市街停车场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石鱼镇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石鱼镇联丰村</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石鱼镇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石鱼镇公共停车场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5100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双山镇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双山镇广场路   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水口镇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政府广场停车场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太平镇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同益路停车场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2632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89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高桥村党群服务中心停车场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围龙镇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恒阔停车场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西河镇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西河镇共和停车场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2101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小林镇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小林停车场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建设用地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永嘉镇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永东村停车场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3975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安居镇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安居古城华夏文旅公司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安居镇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20866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安溪镇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安溪镇民</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玉皇村村委会地下车库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龙泽公司停车场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1100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99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交通局停车场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巴川办事处停车场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残联、商务局停车场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文化馆停车场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工行、博物馆停车场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地税局停车场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中兴路45</w:t>
            </w:r>
            <w:r>
              <w:rPr>
                <w:rFonts w:hint="eastAsia" w:ascii="宋体" w:hAnsi="宋体" w:eastAsia="宋体" w:cs="宋体"/>
                <w:i w:val="0"/>
                <w:color w:val="000000"/>
                <w:kern w:val="0"/>
                <w:sz w:val="15"/>
                <w:szCs w:val="15"/>
                <w:u w:val="none"/>
                <w:lang w:val="en-US" w:eastAsia="zh-CN" w:bidi="ar"/>
              </w:rPr>
              <w:t>号停车场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中医院停车场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电信局停车场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龙都时代停车场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109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淮远古韵北街</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广龙明珠A1</w:t>
            </w:r>
            <w:r>
              <w:rPr>
                <w:rFonts w:hint="eastAsia" w:ascii="宋体" w:hAnsi="宋体" w:eastAsia="宋体" w:cs="宋体"/>
                <w:i w:val="0"/>
                <w:color w:val="000000"/>
                <w:kern w:val="0"/>
                <w:sz w:val="15"/>
                <w:szCs w:val="15"/>
                <w:u w:val="none"/>
                <w:lang w:val="en-US" w:eastAsia="zh-CN" w:bidi="ar"/>
              </w:rPr>
              <w:t>幢停车场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1570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31</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出让用地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师范附小农贸市场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出让用地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袁家花园停车场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3334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尚品世家大门外人行道停车场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5334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八一路社区停车场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玄天湖旅投公司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路政管理大队</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区公路局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区港航处</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119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区民政局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区生态环境局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区供销联社</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区林业局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丝绸街32</w:t>
            </w:r>
            <w:r>
              <w:rPr>
                <w:rFonts w:hint="eastAsia" w:ascii="宋体" w:hAnsi="宋体" w:eastAsia="宋体" w:cs="宋体"/>
                <w:i w:val="0"/>
                <w:color w:val="000000"/>
                <w:kern w:val="0"/>
                <w:sz w:val="15"/>
                <w:szCs w:val="15"/>
                <w:u w:val="none"/>
                <w:lang w:val="en-US" w:eastAsia="zh-CN" w:bidi="ar"/>
              </w:rPr>
              <w:t>号</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铁石路1</w:t>
            </w:r>
            <w:r>
              <w:rPr>
                <w:rFonts w:hint="eastAsia" w:ascii="宋体" w:hAnsi="宋体" w:eastAsia="宋体" w:cs="宋体"/>
                <w:i w:val="0"/>
                <w:color w:val="000000"/>
                <w:kern w:val="0"/>
                <w:sz w:val="15"/>
                <w:szCs w:val="15"/>
                <w:u w:val="none"/>
                <w:lang w:val="en-US" w:eastAsia="zh-CN" w:bidi="ar"/>
              </w:rPr>
              <w:t>号</w:t>
            </w:r>
            <w:r>
              <w:rPr>
                <w:rFonts w:hint="default" w:ascii="Times New Roman" w:hAnsi="Times New Roman" w:eastAsia="Tahoma" w:cs="Times New Roman"/>
                <w:i w:val="0"/>
                <w:color w:val="000000"/>
                <w:kern w:val="0"/>
                <w:sz w:val="15"/>
                <w:szCs w:val="15"/>
                <w:u w:val="none"/>
                <w:lang w:val="en-US" w:eastAsia="zh-CN" w:bidi="ar"/>
              </w:rPr>
              <w:t>—65</w:t>
            </w:r>
            <w:r>
              <w:rPr>
                <w:rFonts w:hint="eastAsia" w:ascii="宋体" w:hAnsi="宋体" w:eastAsia="宋体" w:cs="宋体"/>
                <w:i w:val="0"/>
                <w:color w:val="000000"/>
                <w:kern w:val="0"/>
                <w:sz w:val="15"/>
                <w:szCs w:val="15"/>
                <w:u w:val="none"/>
                <w:lang w:val="en-US" w:eastAsia="zh-CN" w:bidi="ar"/>
              </w:rPr>
              <w:t>号</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铜梁区教师进修学校</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铜梁职教中心</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区司法局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区农业农村委</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129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区市场监管局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区融媒体中心</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铁石路46</w:t>
            </w:r>
            <w:r>
              <w:rPr>
                <w:rFonts w:hint="eastAsia" w:ascii="宋体" w:hAnsi="宋体" w:eastAsia="宋体" w:cs="宋体"/>
                <w:i w:val="0"/>
                <w:color w:val="000000"/>
                <w:kern w:val="0"/>
                <w:sz w:val="15"/>
                <w:szCs w:val="15"/>
                <w:u w:val="none"/>
                <w:lang w:val="en-US" w:eastAsia="zh-CN" w:bidi="ar"/>
              </w:rPr>
              <w:t>号</w:t>
            </w:r>
            <w:r>
              <w:rPr>
                <w:rFonts w:hint="default" w:ascii="Times New Roman" w:hAnsi="Times New Roman" w:eastAsia="Tahoma" w:cs="Times New Roman"/>
                <w:i w:val="0"/>
                <w:color w:val="000000"/>
                <w:kern w:val="0"/>
                <w:sz w:val="15"/>
                <w:szCs w:val="15"/>
                <w:u w:val="none"/>
                <w:lang w:val="en-US" w:eastAsia="zh-CN" w:bidi="ar"/>
              </w:rPr>
              <w:t>--216</w:t>
            </w:r>
            <w:r>
              <w:rPr>
                <w:rFonts w:hint="eastAsia" w:ascii="宋体" w:hAnsi="宋体" w:eastAsia="宋体" w:cs="宋体"/>
                <w:i w:val="0"/>
                <w:color w:val="000000"/>
                <w:kern w:val="0"/>
                <w:sz w:val="15"/>
                <w:szCs w:val="15"/>
                <w:u w:val="none"/>
                <w:lang w:val="en-US" w:eastAsia="zh-CN" w:bidi="ar"/>
              </w:rPr>
              <w:t>号</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铁石路230</w:t>
            </w:r>
            <w:r>
              <w:rPr>
                <w:rFonts w:hint="eastAsia" w:ascii="宋体" w:hAnsi="宋体" w:eastAsia="宋体" w:cs="宋体"/>
                <w:i w:val="0"/>
                <w:color w:val="000000"/>
                <w:kern w:val="0"/>
                <w:sz w:val="15"/>
                <w:szCs w:val="15"/>
                <w:u w:val="none"/>
                <w:lang w:val="en-US" w:eastAsia="zh-CN" w:bidi="ar"/>
              </w:rPr>
              <w:t>号</w:t>
            </w:r>
            <w:r>
              <w:rPr>
                <w:rFonts w:hint="default" w:ascii="Times New Roman" w:hAnsi="Times New Roman" w:eastAsia="Tahoma" w:cs="Times New Roman"/>
                <w:i w:val="0"/>
                <w:color w:val="000000"/>
                <w:kern w:val="0"/>
                <w:sz w:val="15"/>
                <w:szCs w:val="15"/>
                <w:u w:val="none"/>
                <w:lang w:val="en-US" w:eastAsia="zh-CN" w:bidi="ar"/>
              </w:rPr>
              <w:t>---300</w:t>
            </w:r>
            <w:r>
              <w:rPr>
                <w:rFonts w:hint="eastAsia" w:ascii="宋体" w:hAnsi="宋体" w:eastAsia="宋体" w:cs="宋体"/>
                <w:i w:val="0"/>
                <w:color w:val="000000"/>
                <w:kern w:val="0"/>
                <w:sz w:val="15"/>
                <w:szCs w:val="15"/>
                <w:u w:val="none"/>
                <w:lang w:val="en-US" w:eastAsia="zh-CN" w:bidi="ar"/>
              </w:rPr>
              <w:t>号</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21</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千年村村委会</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w:t>
            </w:r>
          </w:p>
        </w:tc>
        <w:tc>
          <w:tcPr>
            <w:tcW w:w="711"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区城市管理局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老卫校停车场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巴川派出所路内道闸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公共</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巴川街道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铜中校路内道闸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1100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41</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白羊镇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白羊镇停车场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8900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235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集体建设用地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139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老政府停车场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大庙群益街农贸市场停车场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大庙文化广场停车场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大庙卫生院停车场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大庙镇中学停车场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大庙镇新客运中心停车场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1800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大庙镇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金汇能停车场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总工会</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亚龙路生态停车场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13334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铜梁二中</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149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区教委</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区人力社保局</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区北门车站入口处</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174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北门车站停车场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百汇国际</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841</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蒲吕一桥旁停车场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龙华汽修厂</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金龙体育馆生态停车场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338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老北门车站</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142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老二小菜市场地下停车场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159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中石油城东站</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香槟路路内道闸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东城街道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规划馆道闸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重庆天齐锂业有限责任公司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京东云生态停车场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工人新村停车场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重庆市银盛模具有限公司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重庆古月机电有限公司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重庆昆凌电子科技有限公司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重庆伟鼎电子科技有限公司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对公司业务往来车辆开放</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169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重庆颢晨机械有限公司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重庆捷事捷汽车部件股份有限公司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不对外开放</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重庆市铜梁区嘉亮特种玻璃有限公司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高新区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小米生态园停车场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虎峰镇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虎峰镇停车场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7398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农转用</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虎峰镇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全民健身中心停车场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763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虎峰镇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虎峰政府停车场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864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旧县街道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旧县小学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旧县街道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旧县中学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旧县街道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旧县街道生态停车场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179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科创新城</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科创新城1</w:t>
            </w:r>
            <w:r>
              <w:rPr>
                <w:rFonts w:hint="eastAsia" w:ascii="宋体" w:hAnsi="宋体" w:eastAsia="宋体" w:cs="宋体"/>
                <w:i w:val="0"/>
                <w:color w:val="000000"/>
                <w:kern w:val="0"/>
                <w:sz w:val="15"/>
                <w:szCs w:val="15"/>
                <w:u w:val="none"/>
                <w:lang w:val="en-US" w:eastAsia="zh-CN" w:bidi="ar"/>
              </w:rPr>
              <w:t>号     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科创新城</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科创新城2</w:t>
            </w:r>
            <w:r>
              <w:rPr>
                <w:rFonts w:hint="eastAsia" w:ascii="宋体" w:hAnsi="宋体" w:eastAsia="宋体" w:cs="宋体"/>
                <w:i w:val="0"/>
                <w:color w:val="000000"/>
                <w:kern w:val="0"/>
                <w:sz w:val="15"/>
                <w:szCs w:val="15"/>
                <w:u w:val="none"/>
                <w:lang w:val="en-US" w:eastAsia="zh-CN" w:bidi="ar"/>
              </w:rPr>
              <w:t>号     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侣俸镇移民小区停车场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334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集体建设用地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侣俸镇政府停车场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2668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中兴社区停车场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划拨用地、私人林权地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侣俸镇市民停车场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1333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集体建设用地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牛王还建点</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征地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天灯石停车场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180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黄桷门村三社停车场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奇彩梦园停车场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出租</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189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玫瑰岛停车场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667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区司法局、工商联、原卫生局家属院小区（怡馨花园）</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老南门车站</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渝通公交公司</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丝绸厂停车场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老人民医院</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盐业路停车场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华夏康城停车场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龙门西街停车场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巴岳山玄天湖管委会</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铜梁中学新校区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780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199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区卫生健康委</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玄天湖1</w:t>
            </w:r>
            <w:r>
              <w:rPr>
                <w:rFonts w:hint="eastAsia" w:ascii="宋体" w:hAnsi="宋体" w:eastAsia="宋体" w:cs="宋体"/>
                <w:i w:val="0"/>
                <w:color w:val="000000"/>
                <w:kern w:val="0"/>
                <w:sz w:val="15"/>
                <w:szCs w:val="15"/>
                <w:u w:val="none"/>
                <w:lang w:val="en-US" w:eastAsia="zh-CN" w:bidi="ar"/>
              </w:rPr>
              <w:t>号停车场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鱼溅村货运停车场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1668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岳阳社区货运停车场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区图书馆</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见水公园停车场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5330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92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白马村停车场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南城街道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天一星城西侧地块</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3687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131</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蒲吕街道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党建公园停车场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1382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蒲吕街道</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蒲吕街道办事处</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209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庆隆镇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高铁站停车场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少云镇海棠路停车场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少云镇海棠街停车场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1400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少云镇新正街停车场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石鱼镇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石鱼镇兴发村</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1200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水口镇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君子文化广场停车场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水口镇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渔耕文化广场停车场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140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太平镇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移民路停车场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2089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太平镇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生态停车场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81</w:t>
            </w:r>
            <w:r>
              <w:rPr>
                <w:rFonts w:hint="eastAsia" w:ascii="宋体" w:hAnsi="宋体" w:eastAsia="宋体" w:cs="宋体"/>
                <w:i w:val="0"/>
                <w:color w:val="000000"/>
                <w:kern w:val="0"/>
                <w:sz w:val="15"/>
                <w:szCs w:val="15"/>
                <w:u w:val="none"/>
                <w:lang w:val="en-US" w:eastAsia="zh-CN" w:bidi="ar"/>
              </w:rPr>
              <w:t>个</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太平镇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休闲广场停车场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2359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219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土桥政府停车场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高桥村新农贸市场停车场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旧市坝老农贸市场停车场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土桥镇河水村会客厅停车场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划拨用地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家泽田园景区停车场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租用</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桃溪农贸市场停车场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六赢村会客厅停车场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租用</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226</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荷和原乡文创街停车场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租用</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227</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庆林村会客厅停车场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租用</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228</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新房村停车场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350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229</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黄沙村停车场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230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土桥镇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莲湖酒店停车场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租用</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231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围龙镇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镜铭停车场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150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232</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围龙镇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围龙互通停车场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233</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西河镇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新仓库加油站</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1000</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234</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永嘉镇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嘉庆社区停车场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3335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国有土地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40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3"/>
                <w:szCs w:val="13"/>
                <w:u w:val="none"/>
              </w:rPr>
            </w:pPr>
            <w:r>
              <w:rPr>
                <w:rFonts w:hint="default" w:ascii="Times New Roman" w:hAnsi="Times New Roman" w:eastAsia="Tahoma" w:cs="Times New Roman"/>
                <w:i w:val="0"/>
                <w:color w:val="000000"/>
                <w:kern w:val="0"/>
                <w:sz w:val="13"/>
                <w:szCs w:val="13"/>
                <w:u w:val="none"/>
                <w:lang w:val="en-US" w:eastAsia="zh-CN" w:bidi="ar"/>
              </w:rPr>
              <w:t>235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永嘉镇</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围永村停车场</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2521</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69</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集体土地</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8</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是/215</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否</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190</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15"/>
                <w:szCs w:val="15"/>
                <w:u w:val="none"/>
              </w:rPr>
            </w:pPr>
            <w:r>
              <w:rPr>
                <w:rFonts w:hint="default" w:ascii="Times New Roman" w:hAnsi="Times New Roman" w:eastAsia="Tahoma" w:cs="Times New Roman"/>
                <w:i w:val="0"/>
                <w:color w:val="000000"/>
                <w:kern w:val="0"/>
                <w:sz w:val="15"/>
                <w:szCs w:val="15"/>
                <w:u w:val="none"/>
                <w:lang w:val="en-US" w:eastAsia="zh-CN" w:bidi="ar"/>
              </w:rPr>
              <w:t>2025-2035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711"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bCs/>
                <w:i w:val="0"/>
                <w:color w:val="000000"/>
                <w:sz w:val="13"/>
                <w:szCs w:val="13"/>
                <w:u w:val="none"/>
              </w:rPr>
            </w:pPr>
            <w:r>
              <w:rPr>
                <w:rFonts w:hint="default" w:ascii="Times New Roman" w:hAnsi="Times New Roman" w:eastAsia="Tahoma" w:cs="Times New Roman"/>
                <w:b/>
                <w:bCs/>
                <w:i w:val="0"/>
                <w:color w:val="000000"/>
                <w:kern w:val="0"/>
                <w:sz w:val="13"/>
                <w:szCs w:val="13"/>
                <w:u w:val="none"/>
                <w:lang w:val="en-US" w:eastAsia="zh-CN" w:bidi="ar"/>
              </w:rPr>
              <w:t>合计</w:t>
            </w: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bCs/>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bCs/>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bCs/>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bCs/>
                <w:i w:val="0"/>
                <w:color w:val="000000"/>
                <w:sz w:val="15"/>
                <w:szCs w:val="15"/>
                <w:u w:val="none"/>
                <w:lang w:val="en-US"/>
              </w:rPr>
            </w:pPr>
            <w:r>
              <w:rPr>
                <w:rFonts w:hint="default" w:ascii="Times New Roman" w:hAnsi="Times New Roman" w:eastAsia="Tahoma" w:cs="Times New Roman"/>
                <w:b/>
                <w:bCs/>
                <w:i w:val="0"/>
                <w:color w:val="000000"/>
                <w:kern w:val="0"/>
                <w:sz w:val="15"/>
                <w:szCs w:val="15"/>
                <w:u w:val="none"/>
                <w:lang w:val="en-US" w:eastAsia="zh-CN" w:bidi="ar"/>
              </w:rPr>
              <w:t>181</w:t>
            </w:r>
            <w:r>
              <w:rPr>
                <w:rFonts w:hint="eastAsia" w:eastAsia="Tahoma" w:cs="Times New Roman"/>
                <w:b/>
                <w:bCs/>
                <w:i w:val="0"/>
                <w:color w:val="000000"/>
                <w:kern w:val="0"/>
                <w:sz w:val="15"/>
                <w:szCs w:val="15"/>
                <w:u w:val="none"/>
                <w:lang w:val="en-US" w:eastAsia="zh-CN" w:bidi="ar"/>
              </w:rPr>
              <w:t>22</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bCs/>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bCs/>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bCs/>
                <w:i w:val="0"/>
                <w:color w:val="000000"/>
                <w:sz w:val="15"/>
                <w:szCs w:val="15"/>
                <w:u w:val="none"/>
                <w:lang w:val="en-US"/>
              </w:rPr>
            </w:pPr>
            <w:r>
              <w:rPr>
                <w:rFonts w:hint="default" w:ascii="Times New Roman" w:hAnsi="Times New Roman" w:eastAsia="Tahoma" w:cs="Times New Roman"/>
                <w:b/>
                <w:bCs/>
                <w:i w:val="0"/>
                <w:color w:val="000000"/>
                <w:kern w:val="0"/>
                <w:sz w:val="15"/>
                <w:szCs w:val="15"/>
                <w:u w:val="none"/>
                <w:lang w:val="en-US" w:eastAsia="zh-CN" w:bidi="ar"/>
              </w:rPr>
              <w:t>33</w:t>
            </w:r>
            <w:r>
              <w:rPr>
                <w:rFonts w:hint="eastAsia" w:eastAsia="Tahoma" w:cs="Times New Roman"/>
                <w:b/>
                <w:bCs/>
                <w:i w:val="0"/>
                <w:color w:val="000000"/>
                <w:kern w:val="0"/>
                <w:sz w:val="15"/>
                <w:szCs w:val="15"/>
                <w:u w:val="none"/>
                <w:lang w:val="en-US" w:eastAsia="zh-CN" w:bidi="ar"/>
              </w:rPr>
              <w:t>07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bCs/>
                <w:i w:val="0"/>
                <w:color w:val="000000"/>
                <w:sz w:val="15"/>
                <w:szCs w:val="15"/>
                <w:u w:val="none"/>
              </w:rPr>
            </w:pPr>
          </w:p>
        </w:tc>
        <w:tc>
          <w:tcPr>
            <w:tcW w:w="7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bCs/>
                <w:i w:val="0"/>
                <w:color w:val="000000"/>
                <w:sz w:val="15"/>
                <w:szCs w:val="15"/>
                <w:u w:val="none"/>
              </w:rPr>
            </w:pP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bCs/>
                <w:i w:val="0"/>
                <w:color w:val="000000"/>
                <w:sz w:val="15"/>
                <w:szCs w:val="15"/>
                <w:u w:val="none"/>
              </w:rPr>
            </w:pPr>
            <w:r>
              <w:rPr>
                <w:rFonts w:hint="default" w:ascii="Times New Roman" w:hAnsi="Times New Roman" w:eastAsia="Tahoma" w:cs="Times New Roman"/>
                <w:b/>
                <w:bCs/>
                <w:i w:val="0"/>
                <w:color w:val="000000"/>
                <w:kern w:val="0"/>
                <w:sz w:val="15"/>
                <w:szCs w:val="15"/>
                <w:u w:val="none"/>
                <w:lang w:val="en-US" w:eastAsia="zh-CN" w:bidi="ar"/>
              </w:rPr>
              <w:t>55</w:t>
            </w:r>
            <w:r>
              <w:rPr>
                <w:rFonts w:hint="eastAsia" w:eastAsia="Tahoma" w:cs="Times New Roman"/>
                <w:b/>
                <w:bCs/>
                <w:i w:val="0"/>
                <w:color w:val="000000"/>
                <w:kern w:val="0"/>
                <w:sz w:val="15"/>
                <w:szCs w:val="15"/>
                <w:u w:val="none"/>
                <w:lang w:val="en-US" w:eastAsia="zh-CN" w:bidi="ar"/>
              </w:rPr>
              <w:t>65</w:t>
            </w:r>
            <w:r>
              <w:rPr>
                <w:rFonts w:hint="default" w:ascii="Times New Roman" w:hAnsi="Times New Roman" w:eastAsia="Tahoma" w:cs="Times New Roman"/>
                <w:b/>
                <w:bCs/>
                <w:i w:val="0"/>
                <w:color w:val="000000"/>
                <w:kern w:val="0"/>
                <w:sz w:val="15"/>
                <w:szCs w:val="15"/>
                <w:u w:val="none"/>
                <w:lang w:val="en-US" w:eastAsia="zh-CN" w:bidi="ar"/>
              </w:rPr>
              <w:t>6</w:t>
            </w:r>
          </w:p>
        </w:tc>
        <w:tc>
          <w:tcPr>
            <w:tcW w:w="711"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rPr>
                <w:rFonts w:hint="default" w:ascii="Tahoma" w:hAnsi="Tahoma" w:eastAsia="Tahoma" w:cs="Tahoma"/>
                <w:b/>
                <w:bCs/>
                <w:i w:val="0"/>
                <w:color w:val="000000"/>
                <w:sz w:val="22"/>
                <w:szCs w:val="22"/>
                <w:u w:val="none"/>
              </w:rPr>
            </w:pPr>
          </w:p>
        </w:tc>
      </w:tr>
    </w:tbl>
    <w:p>
      <w:pPr>
        <w:pStyle w:val="5"/>
        <w:spacing w:before="120" w:after="120" w:line="360" w:lineRule="auto"/>
        <w:rPr>
          <w:rFonts w:hint="eastAsia" w:ascii="Times New Roman" w:hAnsi="Times New Roman" w:eastAsia="宋体" w:cs="Times New Roman"/>
          <w:sz w:val="30"/>
          <w:szCs w:val="30"/>
          <w:lang w:eastAsia="zh-CN"/>
        </w:rPr>
        <w:sectPr>
          <w:pgSz w:w="11907" w:h="16840"/>
          <w:pgMar w:top="1440" w:right="1701" w:bottom="1440" w:left="1701" w:header="851" w:footer="992" w:gutter="0"/>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120" w:after="120" w:line="360" w:lineRule="auto"/>
        <w:textAlignment w:val="auto"/>
        <w:outlineLvl w:val="0"/>
        <w:rPr>
          <w:rFonts w:ascii="Times New Roman" w:hAnsi="Times New Roman" w:eastAsia="宋体" w:cs="Times New Roman"/>
          <w:sz w:val="30"/>
          <w:szCs w:val="30"/>
        </w:rPr>
      </w:pPr>
      <w:bookmarkStart w:id="98" w:name="_Toc19095"/>
      <w:r>
        <w:rPr>
          <w:rFonts w:hint="eastAsia" w:ascii="Times New Roman" w:hAnsi="Times New Roman" w:eastAsia="宋体" w:cs="Times New Roman"/>
          <w:sz w:val="30"/>
          <w:szCs w:val="30"/>
          <w:lang w:eastAsia="zh-CN"/>
        </w:rPr>
        <w:t>附表</w:t>
      </w:r>
      <w:r>
        <w:rPr>
          <w:rFonts w:hint="eastAsia" w:ascii="Times New Roman" w:hAnsi="Times New Roman" w:eastAsia="宋体" w:cs="Times New Roman"/>
          <w:sz w:val="30"/>
          <w:szCs w:val="30"/>
          <w:lang w:val="en-US" w:eastAsia="zh-CN"/>
        </w:rPr>
        <w:t>2</w:t>
      </w:r>
      <w:bookmarkEnd w:id="96"/>
      <w:bookmarkStart w:id="99" w:name="_Toc23819"/>
      <w:r>
        <w:rPr>
          <w:rFonts w:hint="eastAsia" w:ascii="Times New Roman" w:hAnsi="Times New Roman" w:eastAsia="宋体" w:cs="Times New Roman"/>
          <w:sz w:val="30"/>
          <w:szCs w:val="30"/>
          <w:lang w:val="en-US" w:eastAsia="zh-CN"/>
        </w:rPr>
        <w:t xml:space="preserve"> </w:t>
      </w:r>
      <w:r>
        <w:rPr>
          <w:rFonts w:ascii="Times New Roman" w:hAnsi="Times New Roman" w:eastAsia="宋体" w:cs="Times New Roman"/>
          <w:sz w:val="30"/>
          <w:szCs w:val="30"/>
        </w:rPr>
        <w:t>编制依据</w:t>
      </w:r>
      <w:bookmarkEnd w:id="98"/>
      <w:bookmarkEnd w:id="99"/>
    </w:p>
    <w:p>
      <w:pPr>
        <w:spacing w:before="120" w:after="120" w:line="360" w:lineRule="auto"/>
        <w:ind w:firstLine="562" w:firstLineChars="200"/>
        <w:outlineLvl w:val="2"/>
        <w:rPr>
          <w:rFonts w:eastAsia="黑体"/>
          <w:b/>
          <w:sz w:val="28"/>
          <w:szCs w:val="28"/>
          <w:shd w:val="clear" w:color="auto" w:fill="FFFFFF"/>
        </w:rPr>
      </w:pPr>
      <w:bookmarkStart w:id="100" w:name="_Toc10415"/>
      <w:bookmarkStart w:id="101" w:name="_Toc26858"/>
      <w:bookmarkStart w:id="102" w:name="_Toc5811"/>
      <w:bookmarkStart w:id="103" w:name="_Toc12617"/>
      <w:r>
        <w:rPr>
          <w:rFonts w:eastAsia="黑体"/>
          <w:b/>
          <w:sz w:val="28"/>
          <w:szCs w:val="28"/>
          <w:shd w:val="clear" w:color="auto" w:fill="FFFFFF"/>
        </w:rPr>
        <w:t>1.政策性依据</w:t>
      </w:r>
      <w:bookmarkEnd w:id="100"/>
      <w:bookmarkEnd w:id="101"/>
      <w:bookmarkEnd w:id="102"/>
    </w:p>
    <w:p>
      <w:pPr>
        <w:adjustRightInd w:val="0"/>
        <w:snapToGrid w:val="0"/>
        <w:spacing w:line="360" w:lineRule="auto"/>
        <w:ind w:firstLine="560" w:firstLineChars="200"/>
        <w:jc w:val="left"/>
        <w:rPr>
          <w:sz w:val="28"/>
        </w:rPr>
      </w:pPr>
      <w:r>
        <w:rPr>
          <w:sz w:val="28"/>
        </w:rPr>
        <w:t>（1）《关于进一步提升电动汽车充电基础设施服务保障能力的实施意见》（发改能源规〔2022〕53号）；</w:t>
      </w:r>
    </w:p>
    <w:p>
      <w:pPr>
        <w:adjustRightInd w:val="0"/>
        <w:snapToGrid w:val="0"/>
        <w:spacing w:line="360" w:lineRule="auto"/>
        <w:ind w:firstLine="560" w:firstLineChars="200"/>
        <w:jc w:val="left"/>
        <w:rPr>
          <w:sz w:val="28"/>
        </w:rPr>
      </w:pPr>
      <w:r>
        <w:rPr>
          <w:sz w:val="28"/>
        </w:rPr>
        <w:t>（2）《重庆市经济和信息化委员会关于印发全市加快建设充换电基础设施工作方案的通知》（渝经信规范〔2022〕9 号）；</w:t>
      </w:r>
    </w:p>
    <w:p>
      <w:pPr>
        <w:adjustRightInd w:val="0"/>
        <w:snapToGrid w:val="0"/>
        <w:spacing w:line="360" w:lineRule="auto"/>
        <w:ind w:firstLine="560" w:firstLineChars="200"/>
        <w:jc w:val="left"/>
        <w:rPr>
          <w:sz w:val="28"/>
        </w:rPr>
      </w:pPr>
      <w:r>
        <w:rPr>
          <w:sz w:val="28"/>
        </w:rPr>
        <w:t>（3）《关于印发重庆市2021年度新能源汽车推广应用工作方案的通知》（渝府办发〔2021〕87号）；</w:t>
      </w:r>
    </w:p>
    <w:p>
      <w:pPr>
        <w:adjustRightInd w:val="0"/>
        <w:snapToGrid w:val="0"/>
        <w:spacing w:line="360" w:lineRule="auto"/>
        <w:ind w:firstLine="560" w:firstLineChars="200"/>
        <w:jc w:val="left"/>
        <w:rPr>
          <w:sz w:val="28"/>
        </w:rPr>
      </w:pPr>
      <w:r>
        <w:rPr>
          <w:sz w:val="28"/>
        </w:rPr>
        <w:t>（4）《重庆市支持新能源汽车推广应用激励措施(2020年度)的通知》（渝府办发〔2020〕106号）；</w:t>
      </w:r>
    </w:p>
    <w:p>
      <w:pPr>
        <w:adjustRightInd w:val="0"/>
        <w:snapToGrid w:val="0"/>
        <w:spacing w:line="360" w:lineRule="auto"/>
        <w:ind w:firstLine="560" w:firstLineChars="200"/>
        <w:jc w:val="left"/>
        <w:rPr>
          <w:b/>
          <w:bCs/>
          <w:sz w:val="28"/>
        </w:rPr>
      </w:pPr>
      <w:r>
        <w:rPr>
          <w:sz w:val="28"/>
        </w:rPr>
        <w:t>（5）《关于印发新能源汽车产业发展规划（2021—2035年）的通知》（国办发〔2020〕39号）。</w:t>
      </w:r>
    </w:p>
    <w:p>
      <w:pPr>
        <w:spacing w:before="120" w:after="120" w:line="360" w:lineRule="auto"/>
        <w:ind w:firstLine="562" w:firstLineChars="200"/>
        <w:outlineLvl w:val="2"/>
        <w:rPr>
          <w:rFonts w:eastAsia="黑体"/>
          <w:b/>
          <w:sz w:val="28"/>
          <w:szCs w:val="28"/>
          <w:shd w:val="clear" w:color="auto" w:fill="FFFFFF"/>
        </w:rPr>
      </w:pPr>
      <w:bookmarkStart w:id="104" w:name="_Toc737"/>
      <w:bookmarkStart w:id="105" w:name="_Toc31376"/>
      <w:bookmarkStart w:id="106" w:name="_Toc23745"/>
      <w:r>
        <w:rPr>
          <w:rFonts w:eastAsia="黑体"/>
          <w:b/>
          <w:sz w:val="28"/>
          <w:szCs w:val="28"/>
          <w:shd w:val="clear" w:color="auto" w:fill="FFFFFF"/>
        </w:rPr>
        <w:t>2.规范标准类依据</w:t>
      </w:r>
      <w:bookmarkEnd w:id="104"/>
      <w:bookmarkEnd w:id="105"/>
      <w:bookmarkEnd w:id="106"/>
    </w:p>
    <w:p>
      <w:pPr>
        <w:adjustRightInd w:val="0"/>
        <w:snapToGrid w:val="0"/>
        <w:spacing w:line="360" w:lineRule="auto"/>
        <w:ind w:firstLine="560" w:firstLineChars="200"/>
        <w:jc w:val="left"/>
        <w:rPr>
          <w:sz w:val="28"/>
        </w:rPr>
      </w:pPr>
      <w:r>
        <w:rPr>
          <w:sz w:val="28"/>
        </w:rPr>
        <w:t>（1）《电动汽车充电站设计规范》GB50966-2014；</w:t>
      </w:r>
    </w:p>
    <w:p>
      <w:pPr>
        <w:adjustRightInd w:val="0"/>
        <w:snapToGrid w:val="0"/>
        <w:spacing w:line="360" w:lineRule="auto"/>
        <w:ind w:firstLine="560" w:firstLineChars="200"/>
        <w:jc w:val="left"/>
        <w:rPr>
          <w:sz w:val="28"/>
        </w:rPr>
      </w:pPr>
      <w:r>
        <w:rPr>
          <w:sz w:val="28"/>
        </w:rPr>
        <w:t>（2）《电动汽车充电站通用要求》GB/T29781-2013；</w:t>
      </w:r>
    </w:p>
    <w:p>
      <w:pPr>
        <w:adjustRightInd w:val="0"/>
        <w:snapToGrid w:val="0"/>
        <w:spacing w:line="360" w:lineRule="auto"/>
        <w:ind w:firstLine="560" w:firstLineChars="200"/>
        <w:jc w:val="left"/>
        <w:rPr>
          <w:sz w:val="28"/>
        </w:rPr>
      </w:pPr>
      <w:r>
        <w:rPr>
          <w:sz w:val="28"/>
        </w:rPr>
        <w:t>（3）《城市道路公共交通站、场、厂工程设计规范》CJJ/T15-2011；</w:t>
      </w:r>
    </w:p>
    <w:p>
      <w:pPr>
        <w:adjustRightInd w:val="0"/>
        <w:snapToGrid w:val="0"/>
        <w:spacing w:line="360" w:lineRule="auto"/>
        <w:ind w:firstLine="560" w:firstLineChars="200"/>
        <w:jc w:val="left"/>
        <w:rPr>
          <w:sz w:val="28"/>
        </w:rPr>
      </w:pPr>
      <w:r>
        <w:rPr>
          <w:sz w:val="28"/>
        </w:rPr>
        <w:t>（4）《电动汽车充换电设施术语》GB/T29317；</w:t>
      </w:r>
    </w:p>
    <w:p>
      <w:pPr>
        <w:adjustRightInd w:val="0"/>
        <w:snapToGrid w:val="0"/>
        <w:spacing w:line="360" w:lineRule="auto"/>
        <w:ind w:firstLine="560" w:firstLineChars="200"/>
        <w:jc w:val="left"/>
        <w:rPr>
          <w:sz w:val="28"/>
        </w:rPr>
      </w:pPr>
      <w:r>
        <w:rPr>
          <w:sz w:val="28"/>
        </w:rPr>
        <w:t>（5）《完整居住社区建设标准（试行）》建科规〔2020〕7号。</w:t>
      </w:r>
    </w:p>
    <w:p>
      <w:pPr>
        <w:spacing w:before="120" w:after="120" w:line="360" w:lineRule="auto"/>
        <w:ind w:firstLine="562" w:firstLineChars="200"/>
        <w:outlineLvl w:val="2"/>
        <w:rPr>
          <w:rFonts w:eastAsia="黑体"/>
          <w:b/>
          <w:sz w:val="28"/>
          <w:szCs w:val="28"/>
          <w:shd w:val="clear" w:color="auto" w:fill="FFFFFF"/>
        </w:rPr>
      </w:pPr>
      <w:bookmarkStart w:id="107" w:name="_Toc4229"/>
      <w:bookmarkStart w:id="108" w:name="_Toc12002"/>
      <w:bookmarkStart w:id="109" w:name="_Toc23817"/>
      <w:r>
        <w:rPr>
          <w:rFonts w:eastAsia="黑体"/>
          <w:b/>
          <w:sz w:val="28"/>
          <w:szCs w:val="28"/>
          <w:shd w:val="clear" w:color="auto" w:fill="FFFFFF"/>
        </w:rPr>
        <w:t>3.规划类依据</w:t>
      </w:r>
      <w:bookmarkEnd w:id="107"/>
      <w:bookmarkEnd w:id="108"/>
      <w:bookmarkEnd w:id="109"/>
    </w:p>
    <w:p>
      <w:pPr>
        <w:adjustRightInd w:val="0"/>
        <w:snapToGrid w:val="0"/>
        <w:spacing w:line="360" w:lineRule="auto"/>
        <w:ind w:firstLine="560" w:firstLineChars="200"/>
        <w:jc w:val="left"/>
        <w:rPr>
          <w:sz w:val="28"/>
        </w:rPr>
      </w:pPr>
      <w:r>
        <w:rPr>
          <w:sz w:val="28"/>
        </w:rPr>
        <w:t>（1)《铜梁区城乡总体规划及图集》；</w:t>
      </w:r>
    </w:p>
    <w:p>
      <w:pPr>
        <w:adjustRightInd w:val="0"/>
        <w:snapToGrid w:val="0"/>
        <w:spacing w:line="360" w:lineRule="auto"/>
        <w:ind w:firstLine="560" w:firstLineChars="200"/>
        <w:jc w:val="left"/>
        <w:rPr>
          <w:sz w:val="28"/>
        </w:rPr>
      </w:pPr>
      <w:r>
        <w:rPr>
          <w:sz w:val="28"/>
        </w:rPr>
        <w:t>（2）《重庆市城市规划管理技术规定》；</w:t>
      </w:r>
    </w:p>
    <w:p>
      <w:pPr>
        <w:adjustRightInd w:val="0"/>
        <w:snapToGrid w:val="0"/>
        <w:spacing w:line="360" w:lineRule="auto"/>
        <w:ind w:firstLine="560" w:firstLineChars="200"/>
        <w:jc w:val="left"/>
        <w:rPr>
          <w:sz w:val="28"/>
        </w:rPr>
      </w:pPr>
      <w:r>
        <w:rPr>
          <w:sz w:val="28"/>
        </w:rPr>
        <w:t>（3）《铜梁区城市基础设施“十四五”规划》；</w:t>
      </w:r>
    </w:p>
    <w:p>
      <w:pPr>
        <w:adjustRightInd w:val="0"/>
        <w:snapToGrid w:val="0"/>
        <w:spacing w:line="360" w:lineRule="auto"/>
        <w:ind w:firstLine="560" w:firstLineChars="200"/>
        <w:jc w:val="left"/>
        <w:rPr>
          <w:sz w:val="28"/>
        </w:rPr>
      </w:pPr>
      <w:r>
        <w:rPr>
          <w:sz w:val="28"/>
        </w:rPr>
        <w:t>（4）《铜梁区综合交通“十四五”发展规划》；</w:t>
      </w:r>
    </w:p>
    <w:p>
      <w:pPr>
        <w:adjustRightInd w:val="0"/>
        <w:snapToGrid w:val="0"/>
        <w:spacing w:line="360" w:lineRule="auto"/>
        <w:ind w:firstLine="560" w:firstLineChars="200"/>
        <w:jc w:val="left"/>
        <w:rPr>
          <w:sz w:val="28"/>
        </w:rPr>
      </w:pPr>
      <w:r>
        <w:rPr>
          <w:sz w:val="28"/>
        </w:rPr>
        <w:t>（5）《铜梁区配电网“十四五”规划》；</w:t>
      </w:r>
    </w:p>
    <w:p>
      <w:pPr>
        <w:adjustRightInd w:val="0"/>
        <w:snapToGrid w:val="0"/>
        <w:spacing w:line="360" w:lineRule="auto"/>
        <w:ind w:firstLine="560" w:firstLineChars="200"/>
        <w:jc w:val="left"/>
        <w:rPr>
          <w:sz w:val="28"/>
        </w:rPr>
      </w:pPr>
      <w:r>
        <w:rPr>
          <w:sz w:val="28"/>
        </w:rPr>
        <w:t>（6）《铜梁区商务发展“十四五”规划》；</w:t>
      </w:r>
    </w:p>
    <w:p>
      <w:pPr>
        <w:adjustRightInd w:val="0"/>
        <w:snapToGrid w:val="0"/>
        <w:spacing w:line="360" w:lineRule="auto"/>
        <w:ind w:firstLine="560" w:firstLineChars="200"/>
        <w:jc w:val="left"/>
        <w:rPr>
          <w:rFonts w:hint="eastAsia"/>
          <w:spacing w:val="10"/>
          <w:sz w:val="28"/>
          <w:szCs w:val="28"/>
        </w:rPr>
      </w:pPr>
      <w:r>
        <w:rPr>
          <w:sz w:val="28"/>
        </w:rPr>
        <w:t>（7）《重庆市主城都市区国土空间规划总体规划铜梁分区规划（2020-2035）》</w:t>
      </w:r>
      <w:r>
        <w:rPr>
          <w:rFonts w:hint="eastAsia"/>
          <w:sz w:val="28"/>
        </w:rPr>
        <w:t>。</w:t>
      </w:r>
      <w:bookmarkEnd w:id="103"/>
    </w:p>
    <w:sectPr>
      <w:pgSz w:w="11905" w:h="16838"/>
      <w:pgMar w:top="1440" w:right="1800" w:bottom="1440" w:left="1800" w:header="851" w:footer="992" w:gutter="0"/>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222250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17.5pt;height:144pt;width:144pt;mso-position-horizontal:outside;mso-position-horizontal-relative:margin;mso-wrap-style:none;z-index:251670528;mso-width-relative:page;mso-height-relative:page;" filled="f" stroked="f" coordsize="21600,21600" o:gfxdata="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LSqwy0wAAAAcBAAAPAAAAAAAAAAEAIAAAACIA&#10;AABkcnMvZG93bnJldi54bWxQSwECFAAUAAAACACHTuJATGJmP9UBAACwAwAADgAAAAAAAAABACAA&#10;AAAiAQAAZHJzL2Uyb0RvYy54bWxQSwUGAAAAAAYABgBZAQAAaQUAAAAA&#10;">
              <v:fill on="f" focussize="0,0"/>
              <v:stroke on="f"/>
              <v:imagedata o:title=""/>
              <o:lock v:ext="edit" aspectratio="f"/>
              <v:textbox inset="0mm,0mm,0mm,0mm" style="mso-fit-shape-to-text:t;">
                <w:txbxContent>
                  <w:p>
                    <w:pPr>
                      <w:pStyle w:val="12"/>
                      <w:rPr>
                        <w:rFonts w:hint="eastAsia"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4168668"/>
    </w:sdtPr>
    <w:sdtContent>
      <w:p>
        <w:pPr>
          <w:pStyle w:val="12"/>
          <w:ind w:firstLine="560"/>
          <w:jc w:val="center"/>
        </w:pPr>
        <w:r>
          <w:fldChar w:fldCharType="begin"/>
        </w:r>
        <w:r>
          <w:instrText xml:space="preserve">PAGE   \* MERGEFORMAT</w:instrText>
        </w:r>
        <w:r>
          <w:fldChar w:fldCharType="separate"/>
        </w:r>
        <w:r>
          <w:rPr>
            <w:lang w:val="zh-CN"/>
          </w:rPr>
          <w:t>2</w:t>
        </w:r>
        <w:r>
          <w:fldChar w:fldCharType="end"/>
        </w:r>
      </w:p>
    </w:sdtContent>
  </w:sdt>
  <w:p>
    <w:pPr>
      <w:pStyle w:val="8"/>
      <w:ind w:firstLine="5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9000441"/>
    </w:sdtPr>
    <w:sdtContent>
      <w:p>
        <w:pPr>
          <w:pStyle w:val="12"/>
          <w:ind w:firstLine="560"/>
          <w:jc w:val="center"/>
        </w:pPr>
        <w:r>
          <w:fldChar w:fldCharType="begin"/>
        </w:r>
        <w:r>
          <w:instrText xml:space="preserve">PAGE   \* MERGEFORMAT</w:instrText>
        </w:r>
        <w:r>
          <w:fldChar w:fldCharType="separate"/>
        </w:r>
        <w:r>
          <w:rPr>
            <w:lang w:val="zh-CN"/>
          </w:rPr>
          <w:t>2</w:t>
        </w:r>
        <w:r>
          <w:fldChar w:fldCharType="end"/>
        </w:r>
      </w:p>
    </w:sdtContent>
  </w:sdt>
  <w:p>
    <w:pPr>
      <w:pStyle w:val="8"/>
      <w:ind w:firstLine="5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C34E0A"/>
    <w:multiLevelType w:val="singleLevel"/>
    <w:tmpl w:val="47C34E0A"/>
    <w:lvl w:ilvl="0" w:tentative="0">
      <w:start w:val="5"/>
      <w:numFmt w:val="decimal"/>
      <w:suff w:val="nothing"/>
      <w:lvlText w:val="（%1）"/>
      <w:lvlJc w:val="left"/>
      <w:pPr>
        <w:ind w:left="68"/>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hNGQxMTcyOGVlM2Q0ZTdiODU5MDAzZTY1OGE5NWQifQ=="/>
    <w:docVar w:name="KSO_WPS_MARK_KEY" w:val="30aee234-9192-4c2f-8469-10860b8cdb5b"/>
  </w:docVars>
  <w:rsids>
    <w:rsidRoot w:val="00ED3316"/>
    <w:rsid w:val="00003068"/>
    <w:rsid w:val="000030F5"/>
    <w:rsid w:val="00005F61"/>
    <w:rsid w:val="00007BDE"/>
    <w:rsid w:val="00010C5B"/>
    <w:rsid w:val="00014928"/>
    <w:rsid w:val="00021F97"/>
    <w:rsid w:val="000221D9"/>
    <w:rsid w:val="00033E36"/>
    <w:rsid w:val="00044EF2"/>
    <w:rsid w:val="00050A94"/>
    <w:rsid w:val="000610CD"/>
    <w:rsid w:val="00062B2A"/>
    <w:rsid w:val="00064EF7"/>
    <w:rsid w:val="00071816"/>
    <w:rsid w:val="00072C24"/>
    <w:rsid w:val="00074F26"/>
    <w:rsid w:val="0008003C"/>
    <w:rsid w:val="00090C59"/>
    <w:rsid w:val="000929A8"/>
    <w:rsid w:val="000A0F35"/>
    <w:rsid w:val="000A1DDB"/>
    <w:rsid w:val="000B15DF"/>
    <w:rsid w:val="000B4580"/>
    <w:rsid w:val="000B650D"/>
    <w:rsid w:val="000C1397"/>
    <w:rsid w:val="000D1B6C"/>
    <w:rsid w:val="000D2DC4"/>
    <w:rsid w:val="000D4315"/>
    <w:rsid w:val="000E0041"/>
    <w:rsid w:val="000E7D1C"/>
    <w:rsid w:val="00100490"/>
    <w:rsid w:val="00103916"/>
    <w:rsid w:val="001043FB"/>
    <w:rsid w:val="001275C0"/>
    <w:rsid w:val="001377FA"/>
    <w:rsid w:val="00140C69"/>
    <w:rsid w:val="00142C12"/>
    <w:rsid w:val="001437D6"/>
    <w:rsid w:val="001563CF"/>
    <w:rsid w:val="0016303D"/>
    <w:rsid w:val="0016341D"/>
    <w:rsid w:val="0016570B"/>
    <w:rsid w:val="0017136A"/>
    <w:rsid w:val="00174B7A"/>
    <w:rsid w:val="00185D94"/>
    <w:rsid w:val="00196E3C"/>
    <w:rsid w:val="001A1E29"/>
    <w:rsid w:val="001A2178"/>
    <w:rsid w:val="001A2968"/>
    <w:rsid w:val="001A5F5B"/>
    <w:rsid w:val="001A689A"/>
    <w:rsid w:val="001C15B5"/>
    <w:rsid w:val="001D32CA"/>
    <w:rsid w:val="001D3B5C"/>
    <w:rsid w:val="001E0173"/>
    <w:rsid w:val="001E4971"/>
    <w:rsid w:val="001F09B8"/>
    <w:rsid w:val="001F4379"/>
    <w:rsid w:val="001F48E4"/>
    <w:rsid w:val="001F6447"/>
    <w:rsid w:val="002000B9"/>
    <w:rsid w:val="002026D3"/>
    <w:rsid w:val="00204D7B"/>
    <w:rsid w:val="0020626D"/>
    <w:rsid w:val="00220AF8"/>
    <w:rsid w:val="00224416"/>
    <w:rsid w:val="00231EF2"/>
    <w:rsid w:val="00236616"/>
    <w:rsid w:val="002370FB"/>
    <w:rsid w:val="00240739"/>
    <w:rsid w:val="00244D90"/>
    <w:rsid w:val="002450A9"/>
    <w:rsid w:val="00254996"/>
    <w:rsid w:val="0026026E"/>
    <w:rsid w:val="0026308B"/>
    <w:rsid w:val="00275FCE"/>
    <w:rsid w:val="00281F94"/>
    <w:rsid w:val="00285085"/>
    <w:rsid w:val="00285AF1"/>
    <w:rsid w:val="0028658C"/>
    <w:rsid w:val="0028741E"/>
    <w:rsid w:val="00287C00"/>
    <w:rsid w:val="00287CF5"/>
    <w:rsid w:val="00290D91"/>
    <w:rsid w:val="002964F5"/>
    <w:rsid w:val="002A53E5"/>
    <w:rsid w:val="002A6BB6"/>
    <w:rsid w:val="002B0B84"/>
    <w:rsid w:val="002B0F91"/>
    <w:rsid w:val="002B792E"/>
    <w:rsid w:val="002C1A27"/>
    <w:rsid w:val="002C635A"/>
    <w:rsid w:val="002C65AB"/>
    <w:rsid w:val="002C78E8"/>
    <w:rsid w:val="002D1657"/>
    <w:rsid w:val="002D4086"/>
    <w:rsid w:val="002D4973"/>
    <w:rsid w:val="002D65DF"/>
    <w:rsid w:val="002F0227"/>
    <w:rsid w:val="002F176C"/>
    <w:rsid w:val="002F3399"/>
    <w:rsid w:val="002F4BB8"/>
    <w:rsid w:val="003018C3"/>
    <w:rsid w:val="00305175"/>
    <w:rsid w:val="0031030D"/>
    <w:rsid w:val="003107E1"/>
    <w:rsid w:val="003113A2"/>
    <w:rsid w:val="003174E6"/>
    <w:rsid w:val="00321258"/>
    <w:rsid w:val="0032602F"/>
    <w:rsid w:val="00330B17"/>
    <w:rsid w:val="00335115"/>
    <w:rsid w:val="00351B96"/>
    <w:rsid w:val="00354109"/>
    <w:rsid w:val="00366ADA"/>
    <w:rsid w:val="003715B5"/>
    <w:rsid w:val="0037781D"/>
    <w:rsid w:val="00380994"/>
    <w:rsid w:val="00383EF6"/>
    <w:rsid w:val="0038426C"/>
    <w:rsid w:val="00385CD2"/>
    <w:rsid w:val="003A78F2"/>
    <w:rsid w:val="003A7E04"/>
    <w:rsid w:val="003B071A"/>
    <w:rsid w:val="003C08D1"/>
    <w:rsid w:val="003C1F8A"/>
    <w:rsid w:val="003C3BBC"/>
    <w:rsid w:val="003F21C8"/>
    <w:rsid w:val="003F2846"/>
    <w:rsid w:val="004324DF"/>
    <w:rsid w:val="00434290"/>
    <w:rsid w:val="004602B3"/>
    <w:rsid w:val="0048078B"/>
    <w:rsid w:val="00481D11"/>
    <w:rsid w:val="00484E88"/>
    <w:rsid w:val="0049130E"/>
    <w:rsid w:val="00492A7D"/>
    <w:rsid w:val="004972E1"/>
    <w:rsid w:val="004B1B4D"/>
    <w:rsid w:val="004B3032"/>
    <w:rsid w:val="004B4054"/>
    <w:rsid w:val="004C4563"/>
    <w:rsid w:val="004D1715"/>
    <w:rsid w:val="004D1E9E"/>
    <w:rsid w:val="004D4340"/>
    <w:rsid w:val="004D56B4"/>
    <w:rsid w:val="004E5354"/>
    <w:rsid w:val="004F1584"/>
    <w:rsid w:val="004F31E4"/>
    <w:rsid w:val="00505B5D"/>
    <w:rsid w:val="005110C9"/>
    <w:rsid w:val="005318F4"/>
    <w:rsid w:val="00533049"/>
    <w:rsid w:val="005422E5"/>
    <w:rsid w:val="005532D5"/>
    <w:rsid w:val="005600CB"/>
    <w:rsid w:val="0056235E"/>
    <w:rsid w:val="00566C03"/>
    <w:rsid w:val="005677C2"/>
    <w:rsid w:val="0057609A"/>
    <w:rsid w:val="005761BE"/>
    <w:rsid w:val="005809E1"/>
    <w:rsid w:val="005929A5"/>
    <w:rsid w:val="0059390F"/>
    <w:rsid w:val="005A08A0"/>
    <w:rsid w:val="005A20D3"/>
    <w:rsid w:val="005A6BD3"/>
    <w:rsid w:val="005B7C4E"/>
    <w:rsid w:val="005C15D5"/>
    <w:rsid w:val="005D23B9"/>
    <w:rsid w:val="005D325E"/>
    <w:rsid w:val="005E36A5"/>
    <w:rsid w:val="005E7210"/>
    <w:rsid w:val="005F3125"/>
    <w:rsid w:val="005F7257"/>
    <w:rsid w:val="005F7E48"/>
    <w:rsid w:val="00602374"/>
    <w:rsid w:val="006057E2"/>
    <w:rsid w:val="00611221"/>
    <w:rsid w:val="00617914"/>
    <w:rsid w:val="00625BA7"/>
    <w:rsid w:val="006275D1"/>
    <w:rsid w:val="006300A4"/>
    <w:rsid w:val="00633AD0"/>
    <w:rsid w:val="006353F8"/>
    <w:rsid w:val="00636411"/>
    <w:rsid w:val="0064014B"/>
    <w:rsid w:val="006425B9"/>
    <w:rsid w:val="00667317"/>
    <w:rsid w:val="00683E95"/>
    <w:rsid w:val="00683EBF"/>
    <w:rsid w:val="00683F93"/>
    <w:rsid w:val="00684545"/>
    <w:rsid w:val="006848E1"/>
    <w:rsid w:val="00692627"/>
    <w:rsid w:val="006945EB"/>
    <w:rsid w:val="0069505F"/>
    <w:rsid w:val="006A5DC5"/>
    <w:rsid w:val="006B4B62"/>
    <w:rsid w:val="006E0E8F"/>
    <w:rsid w:val="006F202A"/>
    <w:rsid w:val="00702258"/>
    <w:rsid w:val="007052A0"/>
    <w:rsid w:val="00713CA4"/>
    <w:rsid w:val="00713D7B"/>
    <w:rsid w:val="00713F03"/>
    <w:rsid w:val="0072100F"/>
    <w:rsid w:val="00725592"/>
    <w:rsid w:val="00731597"/>
    <w:rsid w:val="00737148"/>
    <w:rsid w:val="00741324"/>
    <w:rsid w:val="007471AF"/>
    <w:rsid w:val="00752AD3"/>
    <w:rsid w:val="00755DF0"/>
    <w:rsid w:val="007607E3"/>
    <w:rsid w:val="00763CD9"/>
    <w:rsid w:val="00764B1C"/>
    <w:rsid w:val="00782E87"/>
    <w:rsid w:val="007844FE"/>
    <w:rsid w:val="00784D95"/>
    <w:rsid w:val="00786EC5"/>
    <w:rsid w:val="00793E69"/>
    <w:rsid w:val="00797A08"/>
    <w:rsid w:val="007A2A20"/>
    <w:rsid w:val="007C525E"/>
    <w:rsid w:val="007E3FB4"/>
    <w:rsid w:val="007E5060"/>
    <w:rsid w:val="007E7B3D"/>
    <w:rsid w:val="007F2487"/>
    <w:rsid w:val="008067BA"/>
    <w:rsid w:val="00810E35"/>
    <w:rsid w:val="008306EA"/>
    <w:rsid w:val="00831AF2"/>
    <w:rsid w:val="00832A9B"/>
    <w:rsid w:val="00832AAE"/>
    <w:rsid w:val="00840B1E"/>
    <w:rsid w:val="00845130"/>
    <w:rsid w:val="008527FE"/>
    <w:rsid w:val="00852ADF"/>
    <w:rsid w:val="00854270"/>
    <w:rsid w:val="00855E82"/>
    <w:rsid w:val="00863FC6"/>
    <w:rsid w:val="008671D8"/>
    <w:rsid w:val="00874940"/>
    <w:rsid w:val="008811E1"/>
    <w:rsid w:val="008874E9"/>
    <w:rsid w:val="008B46EA"/>
    <w:rsid w:val="008F7743"/>
    <w:rsid w:val="009009BF"/>
    <w:rsid w:val="0091209E"/>
    <w:rsid w:val="00914AA1"/>
    <w:rsid w:val="009171F4"/>
    <w:rsid w:val="00926D6E"/>
    <w:rsid w:val="00944798"/>
    <w:rsid w:val="0095762D"/>
    <w:rsid w:val="009623C6"/>
    <w:rsid w:val="00982E53"/>
    <w:rsid w:val="00984FB2"/>
    <w:rsid w:val="00985BE4"/>
    <w:rsid w:val="00991E03"/>
    <w:rsid w:val="009A4365"/>
    <w:rsid w:val="009A5857"/>
    <w:rsid w:val="009B15A7"/>
    <w:rsid w:val="009D3543"/>
    <w:rsid w:val="009D6D1B"/>
    <w:rsid w:val="009D7CA6"/>
    <w:rsid w:val="009E48D5"/>
    <w:rsid w:val="009E7D07"/>
    <w:rsid w:val="009F6C42"/>
    <w:rsid w:val="00A018DC"/>
    <w:rsid w:val="00A01AF6"/>
    <w:rsid w:val="00A02641"/>
    <w:rsid w:val="00A032A5"/>
    <w:rsid w:val="00A04F89"/>
    <w:rsid w:val="00A10FE8"/>
    <w:rsid w:val="00A12169"/>
    <w:rsid w:val="00A21D13"/>
    <w:rsid w:val="00A22EAD"/>
    <w:rsid w:val="00A230E7"/>
    <w:rsid w:val="00A261AD"/>
    <w:rsid w:val="00A26A65"/>
    <w:rsid w:val="00A32163"/>
    <w:rsid w:val="00A3270B"/>
    <w:rsid w:val="00A34809"/>
    <w:rsid w:val="00A364B9"/>
    <w:rsid w:val="00A46790"/>
    <w:rsid w:val="00A53A8A"/>
    <w:rsid w:val="00A66264"/>
    <w:rsid w:val="00A66AFC"/>
    <w:rsid w:val="00A84830"/>
    <w:rsid w:val="00A85690"/>
    <w:rsid w:val="00A87A0D"/>
    <w:rsid w:val="00A90E3C"/>
    <w:rsid w:val="00A9460C"/>
    <w:rsid w:val="00AA0CFB"/>
    <w:rsid w:val="00AA4BBE"/>
    <w:rsid w:val="00AA6BC9"/>
    <w:rsid w:val="00AB085D"/>
    <w:rsid w:val="00AB0DDB"/>
    <w:rsid w:val="00AB3C0A"/>
    <w:rsid w:val="00AB66A3"/>
    <w:rsid w:val="00AC421A"/>
    <w:rsid w:val="00AC5BB3"/>
    <w:rsid w:val="00AC6820"/>
    <w:rsid w:val="00AD2558"/>
    <w:rsid w:val="00AE507D"/>
    <w:rsid w:val="00B04D7B"/>
    <w:rsid w:val="00B10AA0"/>
    <w:rsid w:val="00B224FA"/>
    <w:rsid w:val="00B23A98"/>
    <w:rsid w:val="00B31DD4"/>
    <w:rsid w:val="00B32771"/>
    <w:rsid w:val="00B44D61"/>
    <w:rsid w:val="00B45427"/>
    <w:rsid w:val="00B47DA8"/>
    <w:rsid w:val="00B57B05"/>
    <w:rsid w:val="00B60C51"/>
    <w:rsid w:val="00B62D2C"/>
    <w:rsid w:val="00B67B25"/>
    <w:rsid w:val="00B70679"/>
    <w:rsid w:val="00B74F1A"/>
    <w:rsid w:val="00B75883"/>
    <w:rsid w:val="00B842EC"/>
    <w:rsid w:val="00B84F4E"/>
    <w:rsid w:val="00B85436"/>
    <w:rsid w:val="00B85651"/>
    <w:rsid w:val="00B87C31"/>
    <w:rsid w:val="00BA2BF9"/>
    <w:rsid w:val="00BA7643"/>
    <w:rsid w:val="00BB456B"/>
    <w:rsid w:val="00BC0029"/>
    <w:rsid w:val="00BE4794"/>
    <w:rsid w:val="00BF7558"/>
    <w:rsid w:val="00BF7739"/>
    <w:rsid w:val="00C01DF7"/>
    <w:rsid w:val="00C168C4"/>
    <w:rsid w:val="00C33AF7"/>
    <w:rsid w:val="00C34DAD"/>
    <w:rsid w:val="00C473B8"/>
    <w:rsid w:val="00C47555"/>
    <w:rsid w:val="00C517DD"/>
    <w:rsid w:val="00C53A90"/>
    <w:rsid w:val="00C6259A"/>
    <w:rsid w:val="00C63BCA"/>
    <w:rsid w:val="00C719E4"/>
    <w:rsid w:val="00C71F16"/>
    <w:rsid w:val="00C823C4"/>
    <w:rsid w:val="00C83B63"/>
    <w:rsid w:val="00C868A0"/>
    <w:rsid w:val="00C923FC"/>
    <w:rsid w:val="00C9350F"/>
    <w:rsid w:val="00C9385A"/>
    <w:rsid w:val="00C93D39"/>
    <w:rsid w:val="00CA2F47"/>
    <w:rsid w:val="00CA4A96"/>
    <w:rsid w:val="00CA4E60"/>
    <w:rsid w:val="00CA7B9D"/>
    <w:rsid w:val="00CB163F"/>
    <w:rsid w:val="00CB1C0C"/>
    <w:rsid w:val="00CB4596"/>
    <w:rsid w:val="00CC48D0"/>
    <w:rsid w:val="00CD1C2B"/>
    <w:rsid w:val="00CD1C59"/>
    <w:rsid w:val="00CD5EC6"/>
    <w:rsid w:val="00CE35CE"/>
    <w:rsid w:val="00CE3BD2"/>
    <w:rsid w:val="00CF719E"/>
    <w:rsid w:val="00CF7A42"/>
    <w:rsid w:val="00D0349C"/>
    <w:rsid w:val="00D04774"/>
    <w:rsid w:val="00D05601"/>
    <w:rsid w:val="00D0702D"/>
    <w:rsid w:val="00D10BDF"/>
    <w:rsid w:val="00D1241D"/>
    <w:rsid w:val="00D13C2E"/>
    <w:rsid w:val="00D13ECC"/>
    <w:rsid w:val="00D25C2D"/>
    <w:rsid w:val="00D2683E"/>
    <w:rsid w:val="00D32D43"/>
    <w:rsid w:val="00D37ABA"/>
    <w:rsid w:val="00D4514D"/>
    <w:rsid w:val="00D45C83"/>
    <w:rsid w:val="00D50A43"/>
    <w:rsid w:val="00D515F0"/>
    <w:rsid w:val="00D54F0E"/>
    <w:rsid w:val="00D564A5"/>
    <w:rsid w:val="00D5688F"/>
    <w:rsid w:val="00D7246B"/>
    <w:rsid w:val="00D72784"/>
    <w:rsid w:val="00D73ABF"/>
    <w:rsid w:val="00D742A8"/>
    <w:rsid w:val="00DB1F65"/>
    <w:rsid w:val="00DB364D"/>
    <w:rsid w:val="00DB426A"/>
    <w:rsid w:val="00DC3CFC"/>
    <w:rsid w:val="00DC4580"/>
    <w:rsid w:val="00DC61A6"/>
    <w:rsid w:val="00DC680C"/>
    <w:rsid w:val="00DD2D0A"/>
    <w:rsid w:val="00DE3E0C"/>
    <w:rsid w:val="00DF3AE2"/>
    <w:rsid w:val="00DF42CF"/>
    <w:rsid w:val="00DF4510"/>
    <w:rsid w:val="00E007CA"/>
    <w:rsid w:val="00E023B2"/>
    <w:rsid w:val="00E0397B"/>
    <w:rsid w:val="00E1751F"/>
    <w:rsid w:val="00E41F42"/>
    <w:rsid w:val="00E4575F"/>
    <w:rsid w:val="00E564BE"/>
    <w:rsid w:val="00E62A0A"/>
    <w:rsid w:val="00E6448D"/>
    <w:rsid w:val="00E64F46"/>
    <w:rsid w:val="00E70A8B"/>
    <w:rsid w:val="00E71FA3"/>
    <w:rsid w:val="00E74460"/>
    <w:rsid w:val="00E82BDC"/>
    <w:rsid w:val="00E860BA"/>
    <w:rsid w:val="00E870B3"/>
    <w:rsid w:val="00E946C1"/>
    <w:rsid w:val="00EA54E7"/>
    <w:rsid w:val="00EB3451"/>
    <w:rsid w:val="00EC4654"/>
    <w:rsid w:val="00EC6285"/>
    <w:rsid w:val="00EC647B"/>
    <w:rsid w:val="00EC72AE"/>
    <w:rsid w:val="00ED0B20"/>
    <w:rsid w:val="00ED3316"/>
    <w:rsid w:val="00EE56C4"/>
    <w:rsid w:val="00EF423E"/>
    <w:rsid w:val="00EF7BAA"/>
    <w:rsid w:val="00F00299"/>
    <w:rsid w:val="00F068E9"/>
    <w:rsid w:val="00F317D2"/>
    <w:rsid w:val="00F474B0"/>
    <w:rsid w:val="00F559F2"/>
    <w:rsid w:val="00F62F0F"/>
    <w:rsid w:val="00F70983"/>
    <w:rsid w:val="00F71AAC"/>
    <w:rsid w:val="00F73743"/>
    <w:rsid w:val="00F77EC2"/>
    <w:rsid w:val="00FA1B17"/>
    <w:rsid w:val="00FA21A3"/>
    <w:rsid w:val="00FA479B"/>
    <w:rsid w:val="00FA51A2"/>
    <w:rsid w:val="00FA65E4"/>
    <w:rsid w:val="00FB0D2C"/>
    <w:rsid w:val="00FB6B70"/>
    <w:rsid w:val="00FB7451"/>
    <w:rsid w:val="00FC4D97"/>
    <w:rsid w:val="00FD54DD"/>
    <w:rsid w:val="00FD7431"/>
    <w:rsid w:val="00FD776A"/>
    <w:rsid w:val="00FE24C7"/>
    <w:rsid w:val="00FF24CE"/>
    <w:rsid w:val="00FF5836"/>
    <w:rsid w:val="00FF5A8F"/>
    <w:rsid w:val="017A0B78"/>
    <w:rsid w:val="018D3F71"/>
    <w:rsid w:val="01CC5A8A"/>
    <w:rsid w:val="01EB1CAB"/>
    <w:rsid w:val="01F64956"/>
    <w:rsid w:val="023C4E17"/>
    <w:rsid w:val="024426B4"/>
    <w:rsid w:val="025F1977"/>
    <w:rsid w:val="0268709F"/>
    <w:rsid w:val="0279150D"/>
    <w:rsid w:val="029A7D90"/>
    <w:rsid w:val="02E16CA8"/>
    <w:rsid w:val="03215DBB"/>
    <w:rsid w:val="032F2286"/>
    <w:rsid w:val="035942AF"/>
    <w:rsid w:val="03A25A9B"/>
    <w:rsid w:val="03A85C84"/>
    <w:rsid w:val="03B46C2F"/>
    <w:rsid w:val="03B70774"/>
    <w:rsid w:val="041B22A9"/>
    <w:rsid w:val="04390EE3"/>
    <w:rsid w:val="044955CA"/>
    <w:rsid w:val="047B382C"/>
    <w:rsid w:val="04826BCC"/>
    <w:rsid w:val="04910D1F"/>
    <w:rsid w:val="04C133B2"/>
    <w:rsid w:val="04C86418"/>
    <w:rsid w:val="04CE1F73"/>
    <w:rsid w:val="050D2A9B"/>
    <w:rsid w:val="053274A1"/>
    <w:rsid w:val="055661F0"/>
    <w:rsid w:val="057B5C57"/>
    <w:rsid w:val="05883ED0"/>
    <w:rsid w:val="05AB4E7C"/>
    <w:rsid w:val="05B45A4A"/>
    <w:rsid w:val="05D215EF"/>
    <w:rsid w:val="05D411B5"/>
    <w:rsid w:val="06527BA2"/>
    <w:rsid w:val="06636676"/>
    <w:rsid w:val="067D5AB8"/>
    <w:rsid w:val="067E4091"/>
    <w:rsid w:val="068D547D"/>
    <w:rsid w:val="069175A7"/>
    <w:rsid w:val="06B25C3E"/>
    <w:rsid w:val="06D14A09"/>
    <w:rsid w:val="06DF0467"/>
    <w:rsid w:val="07391593"/>
    <w:rsid w:val="074F5BE1"/>
    <w:rsid w:val="07610E7C"/>
    <w:rsid w:val="077010BF"/>
    <w:rsid w:val="07746E01"/>
    <w:rsid w:val="078A2181"/>
    <w:rsid w:val="078D1119"/>
    <w:rsid w:val="07A34FF1"/>
    <w:rsid w:val="07C84A57"/>
    <w:rsid w:val="07C904AA"/>
    <w:rsid w:val="07CD4A43"/>
    <w:rsid w:val="08326375"/>
    <w:rsid w:val="083502F1"/>
    <w:rsid w:val="084F33CB"/>
    <w:rsid w:val="089332B7"/>
    <w:rsid w:val="08935065"/>
    <w:rsid w:val="08C276F9"/>
    <w:rsid w:val="0918014B"/>
    <w:rsid w:val="0946657C"/>
    <w:rsid w:val="094901A0"/>
    <w:rsid w:val="097340D4"/>
    <w:rsid w:val="09A60DC8"/>
    <w:rsid w:val="09A75EFA"/>
    <w:rsid w:val="09C37F2E"/>
    <w:rsid w:val="09D9119E"/>
    <w:rsid w:val="09E55D95"/>
    <w:rsid w:val="09E66DFE"/>
    <w:rsid w:val="0A082D11"/>
    <w:rsid w:val="0A102141"/>
    <w:rsid w:val="0A1B5B1B"/>
    <w:rsid w:val="0A4A5BF8"/>
    <w:rsid w:val="0A5E670D"/>
    <w:rsid w:val="0A617CB0"/>
    <w:rsid w:val="0A652D81"/>
    <w:rsid w:val="0A6C2012"/>
    <w:rsid w:val="0A7D4828"/>
    <w:rsid w:val="0A894972"/>
    <w:rsid w:val="0A99564B"/>
    <w:rsid w:val="0AA3636E"/>
    <w:rsid w:val="0AFC15E8"/>
    <w:rsid w:val="0B052E0E"/>
    <w:rsid w:val="0B5201E0"/>
    <w:rsid w:val="0B605188"/>
    <w:rsid w:val="0B756CA4"/>
    <w:rsid w:val="0B7C183D"/>
    <w:rsid w:val="0B860EB1"/>
    <w:rsid w:val="0BBA4FFF"/>
    <w:rsid w:val="0BEE5C63"/>
    <w:rsid w:val="0C0544CC"/>
    <w:rsid w:val="0C2840DB"/>
    <w:rsid w:val="0C594818"/>
    <w:rsid w:val="0C6631CB"/>
    <w:rsid w:val="0C7644D1"/>
    <w:rsid w:val="0C8444C1"/>
    <w:rsid w:val="0CB06EE4"/>
    <w:rsid w:val="0CBF0B1F"/>
    <w:rsid w:val="0CD60A55"/>
    <w:rsid w:val="0CE83016"/>
    <w:rsid w:val="0D292481"/>
    <w:rsid w:val="0D336E17"/>
    <w:rsid w:val="0D350DE1"/>
    <w:rsid w:val="0D3C31FC"/>
    <w:rsid w:val="0D86163D"/>
    <w:rsid w:val="0D8D4C96"/>
    <w:rsid w:val="0D9A50E8"/>
    <w:rsid w:val="0DB02216"/>
    <w:rsid w:val="0DB5782C"/>
    <w:rsid w:val="0DF81AA8"/>
    <w:rsid w:val="0E2070A5"/>
    <w:rsid w:val="0E303356"/>
    <w:rsid w:val="0E9E29B6"/>
    <w:rsid w:val="0E9F5563"/>
    <w:rsid w:val="0ECA1301"/>
    <w:rsid w:val="0EF95B6E"/>
    <w:rsid w:val="0F084628"/>
    <w:rsid w:val="0F0F11BE"/>
    <w:rsid w:val="0F2C672E"/>
    <w:rsid w:val="0F4F6FA5"/>
    <w:rsid w:val="0F560253"/>
    <w:rsid w:val="0F7B634E"/>
    <w:rsid w:val="0F825E34"/>
    <w:rsid w:val="0FB24146"/>
    <w:rsid w:val="0FB87AA7"/>
    <w:rsid w:val="0FDD3DDA"/>
    <w:rsid w:val="0FE20680"/>
    <w:rsid w:val="0FFD40C9"/>
    <w:rsid w:val="10172A20"/>
    <w:rsid w:val="105471BA"/>
    <w:rsid w:val="109B1B5B"/>
    <w:rsid w:val="10C5422A"/>
    <w:rsid w:val="10E46C84"/>
    <w:rsid w:val="10EC5C5A"/>
    <w:rsid w:val="10FC5772"/>
    <w:rsid w:val="11020FDA"/>
    <w:rsid w:val="110411F6"/>
    <w:rsid w:val="111E1B8C"/>
    <w:rsid w:val="114A0730"/>
    <w:rsid w:val="114C04A7"/>
    <w:rsid w:val="11535CDA"/>
    <w:rsid w:val="115A18A2"/>
    <w:rsid w:val="11603F53"/>
    <w:rsid w:val="11727112"/>
    <w:rsid w:val="118E286E"/>
    <w:rsid w:val="11B60016"/>
    <w:rsid w:val="11D010D8"/>
    <w:rsid w:val="11FA7F03"/>
    <w:rsid w:val="12305F3B"/>
    <w:rsid w:val="125F420A"/>
    <w:rsid w:val="12802AFE"/>
    <w:rsid w:val="13023513"/>
    <w:rsid w:val="130D1089"/>
    <w:rsid w:val="13196AAF"/>
    <w:rsid w:val="131B6383"/>
    <w:rsid w:val="132C233E"/>
    <w:rsid w:val="13C62793"/>
    <w:rsid w:val="13D36C5E"/>
    <w:rsid w:val="13FB7F63"/>
    <w:rsid w:val="14186D67"/>
    <w:rsid w:val="147F7F68"/>
    <w:rsid w:val="14EA24B1"/>
    <w:rsid w:val="14EA425F"/>
    <w:rsid w:val="150F1F18"/>
    <w:rsid w:val="152000EB"/>
    <w:rsid w:val="152D30BA"/>
    <w:rsid w:val="155F5465"/>
    <w:rsid w:val="156A1844"/>
    <w:rsid w:val="15A05250"/>
    <w:rsid w:val="15BB5BFB"/>
    <w:rsid w:val="15D23643"/>
    <w:rsid w:val="15D60C87"/>
    <w:rsid w:val="15E566B9"/>
    <w:rsid w:val="15F25829"/>
    <w:rsid w:val="162B3EBE"/>
    <w:rsid w:val="16360DEE"/>
    <w:rsid w:val="163A2FC4"/>
    <w:rsid w:val="16531E7D"/>
    <w:rsid w:val="165D6CB3"/>
    <w:rsid w:val="165F0C7D"/>
    <w:rsid w:val="167154E4"/>
    <w:rsid w:val="16A15601"/>
    <w:rsid w:val="16B3015A"/>
    <w:rsid w:val="16BC1C2B"/>
    <w:rsid w:val="16D52CED"/>
    <w:rsid w:val="16ED3C62"/>
    <w:rsid w:val="16FA09A5"/>
    <w:rsid w:val="171C684B"/>
    <w:rsid w:val="17214573"/>
    <w:rsid w:val="174B2FAF"/>
    <w:rsid w:val="174D6D27"/>
    <w:rsid w:val="17555BDC"/>
    <w:rsid w:val="175B1444"/>
    <w:rsid w:val="176E57F6"/>
    <w:rsid w:val="17884203"/>
    <w:rsid w:val="17A270A6"/>
    <w:rsid w:val="17A35CC7"/>
    <w:rsid w:val="17AD1A18"/>
    <w:rsid w:val="17D23FDC"/>
    <w:rsid w:val="17DF0BD3"/>
    <w:rsid w:val="17F35B20"/>
    <w:rsid w:val="17FD699F"/>
    <w:rsid w:val="183A757A"/>
    <w:rsid w:val="183C74C7"/>
    <w:rsid w:val="185C4B2F"/>
    <w:rsid w:val="187F1162"/>
    <w:rsid w:val="18A82FBA"/>
    <w:rsid w:val="18B465DC"/>
    <w:rsid w:val="18D25736"/>
    <w:rsid w:val="18D771F0"/>
    <w:rsid w:val="18EA7977"/>
    <w:rsid w:val="18F164DF"/>
    <w:rsid w:val="19102702"/>
    <w:rsid w:val="19462B78"/>
    <w:rsid w:val="196A3BC0"/>
    <w:rsid w:val="19741A56"/>
    <w:rsid w:val="197467ED"/>
    <w:rsid w:val="19D21766"/>
    <w:rsid w:val="19E83967"/>
    <w:rsid w:val="19F76E49"/>
    <w:rsid w:val="1A044015"/>
    <w:rsid w:val="1A353639"/>
    <w:rsid w:val="1A516B2E"/>
    <w:rsid w:val="1A6B5E42"/>
    <w:rsid w:val="1A82416A"/>
    <w:rsid w:val="1ABF7F3C"/>
    <w:rsid w:val="1AD67034"/>
    <w:rsid w:val="1ADF238C"/>
    <w:rsid w:val="1AE56A7C"/>
    <w:rsid w:val="1AF431BC"/>
    <w:rsid w:val="1AF71484"/>
    <w:rsid w:val="1AFF2A2E"/>
    <w:rsid w:val="1B50328A"/>
    <w:rsid w:val="1B537092"/>
    <w:rsid w:val="1B7A4ACA"/>
    <w:rsid w:val="1BDC68CC"/>
    <w:rsid w:val="1BF73705"/>
    <w:rsid w:val="1C025609"/>
    <w:rsid w:val="1C1C4F1A"/>
    <w:rsid w:val="1C1D316C"/>
    <w:rsid w:val="1C2362A8"/>
    <w:rsid w:val="1C3D736A"/>
    <w:rsid w:val="1C454471"/>
    <w:rsid w:val="1C512E16"/>
    <w:rsid w:val="1CA37590"/>
    <w:rsid w:val="1CBA4E5F"/>
    <w:rsid w:val="1CD13F56"/>
    <w:rsid w:val="1CEE609F"/>
    <w:rsid w:val="1CF06AD2"/>
    <w:rsid w:val="1CFC7225"/>
    <w:rsid w:val="1D055C3D"/>
    <w:rsid w:val="1D40323B"/>
    <w:rsid w:val="1D412E8A"/>
    <w:rsid w:val="1D6E7EFD"/>
    <w:rsid w:val="1D8F13E5"/>
    <w:rsid w:val="1DC15D79"/>
    <w:rsid w:val="1DD60DAC"/>
    <w:rsid w:val="1E0C3498"/>
    <w:rsid w:val="1E396257"/>
    <w:rsid w:val="1E4F5A7B"/>
    <w:rsid w:val="1E8B6B43"/>
    <w:rsid w:val="1EA522B2"/>
    <w:rsid w:val="1EB5134F"/>
    <w:rsid w:val="1EC0317A"/>
    <w:rsid w:val="1EC90603"/>
    <w:rsid w:val="1EF36406"/>
    <w:rsid w:val="1F066139"/>
    <w:rsid w:val="1F43738D"/>
    <w:rsid w:val="1F464788"/>
    <w:rsid w:val="1FD20711"/>
    <w:rsid w:val="204A148B"/>
    <w:rsid w:val="20B42FF9"/>
    <w:rsid w:val="20C95670"/>
    <w:rsid w:val="20E424AA"/>
    <w:rsid w:val="211C0DBB"/>
    <w:rsid w:val="21261AA1"/>
    <w:rsid w:val="213A5FD8"/>
    <w:rsid w:val="21415EC1"/>
    <w:rsid w:val="21507B40"/>
    <w:rsid w:val="2154192B"/>
    <w:rsid w:val="21567D3C"/>
    <w:rsid w:val="219739C1"/>
    <w:rsid w:val="219C55BB"/>
    <w:rsid w:val="21B55BF5"/>
    <w:rsid w:val="22066450"/>
    <w:rsid w:val="2217240B"/>
    <w:rsid w:val="222B4109"/>
    <w:rsid w:val="223351F0"/>
    <w:rsid w:val="2237485C"/>
    <w:rsid w:val="22680EB9"/>
    <w:rsid w:val="227B5090"/>
    <w:rsid w:val="22835CF3"/>
    <w:rsid w:val="229E48DB"/>
    <w:rsid w:val="22A243CB"/>
    <w:rsid w:val="22DB0789"/>
    <w:rsid w:val="22E06CA1"/>
    <w:rsid w:val="22F05B25"/>
    <w:rsid w:val="23027316"/>
    <w:rsid w:val="231B417D"/>
    <w:rsid w:val="232C638A"/>
    <w:rsid w:val="23657771"/>
    <w:rsid w:val="23906919"/>
    <w:rsid w:val="23907B10"/>
    <w:rsid w:val="23E76108"/>
    <w:rsid w:val="24002809"/>
    <w:rsid w:val="244F0582"/>
    <w:rsid w:val="2455546D"/>
    <w:rsid w:val="247C5A13"/>
    <w:rsid w:val="24D8089A"/>
    <w:rsid w:val="25565941"/>
    <w:rsid w:val="25592D3B"/>
    <w:rsid w:val="258E0C37"/>
    <w:rsid w:val="25A1676E"/>
    <w:rsid w:val="25AC2BE3"/>
    <w:rsid w:val="25F211C5"/>
    <w:rsid w:val="26153106"/>
    <w:rsid w:val="26265313"/>
    <w:rsid w:val="263D151F"/>
    <w:rsid w:val="266100F9"/>
    <w:rsid w:val="26793A92"/>
    <w:rsid w:val="268B58DB"/>
    <w:rsid w:val="268F024E"/>
    <w:rsid w:val="26CA3EF0"/>
    <w:rsid w:val="270F095C"/>
    <w:rsid w:val="27360F82"/>
    <w:rsid w:val="273D4A27"/>
    <w:rsid w:val="274E32E0"/>
    <w:rsid w:val="27624129"/>
    <w:rsid w:val="2789622F"/>
    <w:rsid w:val="279F174B"/>
    <w:rsid w:val="27AB4BB3"/>
    <w:rsid w:val="27BA5D13"/>
    <w:rsid w:val="280C1E1C"/>
    <w:rsid w:val="282E5921"/>
    <w:rsid w:val="283D7E81"/>
    <w:rsid w:val="28463A4A"/>
    <w:rsid w:val="28612632"/>
    <w:rsid w:val="289C7B0E"/>
    <w:rsid w:val="289E2D7B"/>
    <w:rsid w:val="28A864B3"/>
    <w:rsid w:val="28AF15F0"/>
    <w:rsid w:val="29115E06"/>
    <w:rsid w:val="29347D47"/>
    <w:rsid w:val="29673C78"/>
    <w:rsid w:val="2A1C39EA"/>
    <w:rsid w:val="2A465F84"/>
    <w:rsid w:val="2A4D7312"/>
    <w:rsid w:val="2A6B1546"/>
    <w:rsid w:val="2A7228D5"/>
    <w:rsid w:val="2A7C3754"/>
    <w:rsid w:val="2A836374"/>
    <w:rsid w:val="2AAD7DB1"/>
    <w:rsid w:val="2AC05D36"/>
    <w:rsid w:val="2ADC41F2"/>
    <w:rsid w:val="2B115031"/>
    <w:rsid w:val="2B595843"/>
    <w:rsid w:val="2B5D3585"/>
    <w:rsid w:val="2B65068C"/>
    <w:rsid w:val="2BC929C8"/>
    <w:rsid w:val="2BCE4483"/>
    <w:rsid w:val="2BDC2F21"/>
    <w:rsid w:val="2BF35C97"/>
    <w:rsid w:val="2C2E60B2"/>
    <w:rsid w:val="2C4054F9"/>
    <w:rsid w:val="2C536736"/>
    <w:rsid w:val="2C563826"/>
    <w:rsid w:val="2C716480"/>
    <w:rsid w:val="2C8C39F6"/>
    <w:rsid w:val="2CA43435"/>
    <w:rsid w:val="2CDC672B"/>
    <w:rsid w:val="2CDD1050"/>
    <w:rsid w:val="2CEE645F"/>
    <w:rsid w:val="2CF31CAB"/>
    <w:rsid w:val="2CF8088B"/>
    <w:rsid w:val="2D12214D"/>
    <w:rsid w:val="2D5C5ABE"/>
    <w:rsid w:val="2D6A01DB"/>
    <w:rsid w:val="2D78194C"/>
    <w:rsid w:val="2D7E3C87"/>
    <w:rsid w:val="2D8653E1"/>
    <w:rsid w:val="2DA3549B"/>
    <w:rsid w:val="2DE955A4"/>
    <w:rsid w:val="2E172D9A"/>
    <w:rsid w:val="2E262354"/>
    <w:rsid w:val="2E3351FD"/>
    <w:rsid w:val="2E3611A0"/>
    <w:rsid w:val="2E5D41C5"/>
    <w:rsid w:val="2E9304E1"/>
    <w:rsid w:val="2EA96AE1"/>
    <w:rsid w:val="2EAD156E"/>
    <w:rsid w:val="2EF736DA"/>
    <w:rsid w:val="2F4D56BE"/>
    <w:rsid w:val="2F6A001E"/>
    <w:rsid w:val="2F715851"/>
    <w:rsid w:val="2F794705"/>
    <w:rsid w:val="2F961EBB"/>
    <w:rsid w:val="2F974B8C"/>
    <w:rsid w:val="2FC35981"/>
    <w:rsid w:val="2FEE6EA1"/>
    <w:rsid w:val="2FF16992"/>
    <w:rsid w:val="301C2624"/>
    <w:rsid w:val="30A457B2"/>
    <w:rsid w:val="30BD6874"/>
    <w:rsid w:val="30D73A01"/>
    <w:rsid w:val="31321B85"/>
    <w:rsid w:val="314F39A3"/>
    <w:rsid w:val="315922DB"/>
    <w:rsid w:val="3186310A"/>
    <w:rsid w:val="31A67308"/>
    <w:rsid w:val="31A83080"/>
    <w:rsid w:val="31B47C77"/>
    <w:rsid w:val="31CD2AE7"/>
    <w:rsid w:val="31D43E75"/>
    <w:rsid w:val="320365BB"/>
    <w:rsid w:val="32075B02"/>
    <w:rsid w:val="320A3D3B"/>
    <w:rsid w:val="32452FC5"/>
    <w:rsid w:val="325925CC"/>
    <w:rsid w:val="325F4087"/>
    <w:rsid w:val="32764DCD"/>
    <w:rsid w:val="32A73338"/>
    <w:rsid w:val="32AE0B6A"/>
    <w:rsid w:val="32AF043E"/>
    <w:rsid w:val="32B43E83"/>
    <w:rsid w:val="32BD6FFF"/>
    <w:rsid w:val="32E623DC"/>
    <w:rsid w:val="33136C1F"/>
    <w:rsid w:val="331C3915"/>
    <w:rsid w:val="33250677"/>
    <w:rsid w:val="333E2480"/>
    <w:rsid w:val="33424819"/>
    <w:rsid w:val="334943EF"/>
    <w:rsid w:val="3351257D"/>
    <w:rsid w:val="33747C49"/>
    <w:rsid w:val="337613C5"/>
    <w:rsid w:val="338F44F8"/>
    <w:rsid w:val="33A53D1B"/>
    <w:rsid w:val="33BC2E13"/>
    <w:rsid w:val="33CA5530"/>
    <w:rsid w:val="33D12D62"/>
    <w:rsid w:val="33EF1397"/>
    <w:rsid w:val="33EF31E8"/>
    <w:rsid w:val="34031D0B"/>
    <w:rsid w:val="34256C0A"/>
    <w:rsid w:val="345064F4"/>
    <w:rsid w:val="34572B3B"/>
    <w:rsid w:val="345E3ECA"/>
    <w:rsid w:val="348A4CBF"/>
    <w:rsid w:val="34BB131C"/>
    <w:rsid w:val="34C603ED"/>
    <w:rsid w:val="34C71A6F"/>
    <w:rsid w:val="34D80120"/>
    <w:rsid w:val="34F62354"/>
    <w:rsid w:val="35061383"/>
    <w:rsid w:val="351C000D"/>
    <w:rsid w:val="351C625F"/>
    <w:rsid w:val="352D4FC3"/>
    <w:rsid w:val="355957F6"/>
    <w:rsid w:val="358B0CEF"/>
    <w:rsid w:val="35D02B9C"/>
    <w:rsid w:val="36080591"/>
    <w:rsid w:val="361123A3"/>
    <w:rsid w:val="362B356E"/>
    <w:rsid w:val="3674226D"/>
    <w:rsid w:val="367A7627"/>
    <w:rsid w:val="36D43B8C"/>
    <w:rsid w:val="36D87F64"/>
    <w:rsid w:val="36F17277"/>
    <w:rsid w:val="37184804"/>
    <w:rsid w:val="372B2789"/>
    <w:rsid w:val="3753009F"/>
    <w:rsid w:val="376D37EC"/>
    <w:rsid w:val="381F1BC2"/>
    <w:rsid w:val="3821593A"/>
    <w:rsid w:val="38343A63"/>
    <w:rsid w:val="38882554"/>
    <w:rsid w:val="388F0AF6"/>
    <w:rsid w:val="38A35F7C"/>
    <w:rsid w:val="38C13043"/>
    <w:rsid w:val="38CF5396"/>
    <w:rsid w:val="38D747F6"/>
    <w:rsid w:val="39023A08"/>
    <w:rsid w:val="3948750B"/>
    <w:rsid w:val="395A1104"/>
    <w:rsid w:val="39F74BA5"/>
    <w:rsid w:val="3A2B2345"/>
    <w:rsid w:val="3A5B15D7"/>
    <w:rsid w:val="3A773F37"/>
    <w:rsid w:val="3AA46068"/>
    <w:rsid w:val="3AD969A0"/>
    <w:rsid w:val="3AE3337B"/>
    <w:rsid w:val="3B273268"/>
    <w:rsid w:val="3B283AF4"/>
    <w:rsid w:val="3B3B31B7"/>
    <w:rsid w:val="3BC761E8"/>
    <w:rsid w:val="3BF515B8"/>
    <w:rsid w:val="3C0435A9"/>
    <w:rsid w:val="3C370B3E"/>
    <w:rsid w:val="3C417102"/>
    <w:rsid w:val="3C812E4B"/>
    <w:rsid w:val="3C8D359E"/>
    <w:rsid w:val="3D3814FE"/>
    <w:rsid w:val="3D995F73"/>
    <w:rsid w:val="3DAD62B9"/>
    <w:rsid w:val="3DBF7FEE"/>
    <w:rsid w:val="3DFB59E2"/>
    <w:rsid w:val="3E1D0952"/>
    <w:rsid w:val="3E263CAA"/>
    <w:rsid w:val="3E3D0FF4"/>
    <w:rsid w:val="3E7E5894"/>
    <w:rsid w:val="3EB968CD"/>
    <w:rsid w:val="3ECA6D2C"/>
    <w:rsid w:val="3ECD3B52"/>
    <w:rsid w:val="3ECF60F0"/>
    <w:rsid w:val="3EEA4650"/>
    <w:rsid w:val="3EF20030"/>
    <w:rsid w:val="3F5C6D00"/>
    <w:rsid w:val="3F8F762D"/>
    <w:rsid w:val="3FA255B3"/>
    <w:rsid w:val="3FA632CE"/>
    <w:rsid w:val="3FA806EF"/>
    <w:rsid w:val="3FB24389"/>
    <w:rsid w:val="3FBD23EC"/>
    <w:rsid w:val="3FC23611"/>
    <w:rsid w:val="3FDF05B5"/>
    <w:rsid w:val="3FE07CB7"/>
    <w:rsid w:val="400A7A54"/>
    <w:rsid w:val="400B3158"/>
    <w:rsid w:val="40175FA1"/>
    <w:rsid w:val="403C24D3"/>
    <w:rsid w:val="404228F2"/>
    <w:rsid w:val="4050500F"/>
    <w:rsid w:val="40583EC3"/>
    <w:rsid w:val="40905D53"/>
    <w:rsid w:val="40C17CBA"/>
    <w:rsid w:val="40CE5536"/>
    <w:rsid w:val="40F167F2"/>
    <w:rsid w:val="41080B95"/>
    <w:rsid w:val="41105ECF"/>
    <w:rsid w:val="41120516"/>
    <w:rsid w:val="415B1EBD"/>
    <w:rsid w:val="416A2100"/>
    <w:rsid w:val="417116E0"/>
    <w:rsid w:val="41923405"/>
    <w:rsid w:val="41A80532"/>
    <w:rsid w:val="41AF045B"/>
    <w:rsid w:val="41BB26D3"/>
    <w:rsid w:val="41BE5FF0"/>
    <w:rsid w:val="41C757A4"/>
    <w:rsid w:val="41D23035"/>
    <w:rsid w:val="41DF2AEE"/>
    <w:rsid w:val="42056648"/>
    <w:rsid w:val="421D7172"/>
    <w:rsid w:val="421F7A62"/>
    <w:rsid w:val="422B1259"/>
    <w:rsid w:val="4251506E"/>
    <w:rsid w:val="42645B8A"/>
    <w:rsid w:val="429C453B"/>
    <w:rsid w:val="42A67168"/>
    <w:rsid w:val="42D924E6"/>
    <w:rsid w:val="42DB4745"/>
    <w:rsid w:val="42E83C24"/>
    <w:rsid w:val="430035A8"/>
    <w:rsid w:val="43A84F2A"/>
    <w:rsid w:val="43AA712C"/>
    <w:rsid w:val="43B55A3B"/>
    <w:rsid w:val="43DD12AF"/>
    <w:rsid w:val="43DD536C"/>
    <w:rsid w:val="43F62371"/>
    <w:rsid w:val="43F726EF"/>
    <w:rsid w:val="44352E99"/>
    <w:rsid w:val="4490378B"/>
    <w:rsid w:val="44A504D3"/>
    <w:rsid w:val="45006267"/>
    <w:rsid w:val="451505D5"/>
    <w:rsid w:val="45172D86"/>
    <w:rsid w:val="4526480B"/>
    <w:rsid w:val="454113CA"/>
    <w:rsid w:val="4560004A"/>
    <w:rsid w:val="45757116"/>
    <w:rsid w:val="45AB2CE7"/>
    <w:rsid w:val="45B46AFC"/>
    <w:rsid w:val="45CA6169"/>
    <w:rsid w:val="45D31350"/>
    <w:rsid w:val="45D962EC"/>
    <w:rsid w:val="45E139D3"/>
    <w:rsid w:val="45E22BAD"/>
    <w:rsid w:val="45EC00D4"/>
    <w:rsid w:val="45F75F2C"/>
    <w:rsid w:val="460C4647"/>
    <w:rsid w:val="462C3E28"/>
    <w:rsid w:val="469A3487"/>
    <w:rsid w:val="46A20371"/>
    <w:rsid w:val="46AC296C"/>
    <w:rsid w:val="46AC653F"/>
    <w:rsid w:val="46AC6D17"/>
    <w:rsid w:val="46C358B5"/>
    <w:rsid w:val="46D73889"/>
    <w:rsid w:val="471F4F7A"/>
    <w:rsid w:val="47633879"/>
    <w:rsid w:val="47667158"/>
    <w:rsid w:val="47694C08"/>
    <w:rsid w:val="476F66C2"/>
    <w:rsid w:val="47BB36B5"/>
    <w:rsid w:val="47E84D46"/>
    <w:rsid w:val="47F40640"/>
    <w:rsid w:val="48233009"/>
    <w:rsid w:val="482A1388"/>
    <w:rsid w:val="483E7E42"/>
    <w:rsid w:val="488928F2"/>
    <w:rsid w:val="488E4926"/>
    <w:rsid w:val="488F68F0"/>
    <w:rsid w:val="489839F7"/>
    <w:rsid w:val="48A028AB"/>
    <w:rsid w:val="48C93BB0"/>
    <w:rsid w:val="48C96754"/>
    <w:rsid w:val="48D6451F"/>
    <w:rsid w:val="48D779A5"/>
    <w:rsid w:val="490738FE"/>
    <w:rsid w:val="4913307D"/>
    <w:rsid w:val="492267C1"/>
    <w:rsid w:val="494871CB"/>
    <w:rsid w:val="495711BC"/>
    <w:rsid w:val="49575620"/>
    <w:rsid w:val="49675086"/>
    <w:rsid w:val="49701B09"/>
    <w:rsid w:val="49C2509F"/>
    <w:rsid w:val="49CB3958"/>
    <w:rsid w:val="4A084BAC"/>
    <w:rsid w:val="4A2F1C70"/>
    <w:rsid w:val="4A890FC1"/>
    <w:rsid w:val="4A8F4985"/>
    <w:rsid w:val="4A9C2FD5"/>
    <w:rsid w:val="4AAC7492"/>
    <w:rsid w:val="4AB34D3E"/>
    <w:rsid w:val="4AD131F0"/>
    <w:rsid w:val="4AF07B1A"/>
    <w:rsid w:val="4AFF1B0B"/>
    <w:rsid w:val="4B323754"/>
    <w:rsid w:val="4B332C3E"/>
    <w:rsid w:val="4B5113E1"/>
    <w:rsid w:val="4B581549"/>
    <w:rsid w:val="4B63653E"/>
    <w:rsid w:val="4B863FDA"/>
    <w:rsid w:val="4BA25A4E"/>
    <w:rsid w:val="4BD858AA"/>
    <w:rsid w:val="4BDE3E16"/>
    <w:rsid w:val="4BE076DC"/>
    <w:rsid w:val="4C127AFF"/>
    <w:rsid w:val="4C404189"/>
    <w:rsid w:val="4C4D4AF8"/>
    <w:rsid w:val="4CBF59F6"/>
    <w:rsid w:val="4CCA1A08"/>
    <w:rsid w:val="4CCA7EF7"/>
    <w:rsid w:val="4CD11198"/>
    <w:rsid w:val="4CDE02D5"/>
    <w:rsid w:val="4CE92A73"/>
    <w:rsid w:val="4D7C0C44"/>
    <w:rsid w:val="4D9C1893"/>
    <w:rsid w:val="4DD41455"/>
    <w:rsid w:val="4DE1199C"/>
    <w:rsid w:val="4DED7BA2"/>
    <w:rsid w:val="4E2276EC"/>
    <w:rsid w:val="4E26611D"/>
    <w:rsid w:val="4E34070B"/>
    <w:rsid w:val="4E417202"/>
    <w:rsid w:val="4E661EA1"/>
    <w:rsid w:val="4E742810"/>
    <w:rsid w:val="4F05790C"/>
    <w:rsid w:val="4F147B4F"/>
    <w:rsid w:val="4F271630"/>
    <w:rsid w:val="4F443F90"/>
    <w:rsid w:val="4F4A531F"/>
    <w:rsid w:val="4F852949"/>
    <w:rsid w:val="4FC17090"/>
    <w:rsid w:val="4FDB15B4"/>
    <w:rsid w:val="4FE675AD"/>
    <w:rsid w:val="4FEC63D6"/>
    <w:rsid w:val="50492B36"/>
    <w:rsid w:val="50577CF3"/>
    <w:rsid w:val="50792360"/>
    <w:rsid w:val="50874A7C"/>
    <w:rsid w:val="5098555F"/>
    <w:rsid w:val="50DF20F3"/>
    <w:rsid w:val="510203C8"/>
    <w:rsid w:val="511A6D4F"/>
    <w:rsid w:val="512D6CA6"/>
    <w:rsid w:val="51360251"/>
    <w:rsid w:val="51597A9B"/>
    <w:rsid w:val="51890380"/>
    <w:rsid w:val="51A90CC0"/>
    <w:rsid w:val="51ED515E"/>
    <w:rsid w:val="520215CD"/>
    <w:rsid w:val="520E21A3"/>
    <w:rsid w:val="524D7600"/>
    <w:rsid w:val="52554706"/>
    <w:rsid w:val="52611553"/>
    <w:rsid w:val="52662470"/>
    <w:rsid w:val="526D37FE"/>
    <w:rsid w:val="52CC1E87"/>
    <w:rsid w:val="52FC2DD4"/>
    <w:rsid w:val="531C6FD2"/>
    <w:rsid w:val="534312FE"/>
    <w:rsid w:val="534529CD"/>
    <w:rsid w:val="538F75C1"/>
    <w:rsid w:val="53A019B1"/>
    <w:rsid w:val="53DE7B62"/>
    <w:rsid w:val="54005193"/>
    <w:rsid w:val="54372316"/>
    <w:rsid w:val="543842E0"/>
    <w:rsid w:val="5452714F"/>
    <w:rsid w:val="545C7788"/>
    <w:rsid w:val="549C03CB"/>
    <w:rsid w:val="54B43F9C"/>
    <w:rsid w:val="54DE6C35"/>
    <w:rsid w:val="54F2448F"/>
    <w:rsid w:val="54FC692E"/>
    <w:rsid w:val="55065A58"/>
    <w:rsid w:val="553722BD"/>
    <w:rsid w:val="558E7267"/>
    <w:rsid w:val="55BD4A9D"/>
    <w:rsid w:val="55D24986"/>
    <w:rsid w:val="56101070"/>
    <w:rsid w:val="56124737"/>
    <w:rsid w:val="56431446"/>
    <w:rsid w:val="56497F64"/>
    <w:rsid w:val="565E627F"/>
    <w:rsid w:val="56956E1A"/>
    <w:rsid w:val="56B62ABD"/>
    <w:rsid w:val="56D042A6"/>
    <w:rsid w:val="56E46059"/>
    <w:rsid w:val="570F30D6"/>
    <w:rsid w:val="57527466"/>
    <w:rsid w:val="57623B4D"/>
    <w:rsid w:val="57B43C7D"/>
    <w:rsid w:val="57DF519E"/>
    <w:rsid w:val="580E3958"/>
    <w:rsid w:val="581F37ED"/>
    <w:rsid w:val="582B2191"/>
    <w:rsid w:val="58607961"/>
    <w:rsid w:val="58693CB0"/>
    <w:rsid w:val="586F5DB2"/>
    <w:rsid w:val="587105E6"/>
    <w:rsid w:val="58D843B2"/>
    <w:rsid w:val="59097FF9"/>
    <w:rsid w:val="591F781C"/>
    <w:rsid w:val="59227B87"/>
    <w:rsid w:val="59A246D5"/>
    <w:rsid w:val="59BA4CF4"/>
    <w:rsid w:val="59F760A3"/>
    <w:rsid w:val="5A0263CE"/>
    <w:rsid w:val="5A032C9A"/>
    <w:rsid w:val="5A221372"/>
    <w:rsid w:val="5A4B333B"/>
    <w:rsid w:val="5A53777D"/>
    <w:rsid w:val="5A5A59A2"/>
    <w:rsid w:val="5A9823D4"/>
    <w:rsid w:val="5ACC500F"/>
    <w:rsid w:val="5AE535C1"/>
    <w:rsid w:val="5AFD593B"/>
    <w:rsid w:val="5B0E7B48"/>
    <w:rsid w:val="5B350B6E"/>
    <w:rsid w:val="5B3B1EEB"/>
    <w:rsid w:val="5B5419FF"/>
    <w:rsid w:val="5B5437AD"/>
    <w:rsid w:val="5B917F24"/>
    <w:rsid w:val="5BB23A72"/>
    <w:rsid w:val="5BB701E0"/>
    <w:rsid w:val="5BB73D3C"/>
    <w:rsid w:val="5BC50439"/>
    <w:rsid w:val="5BD55062"/>
    <w:rsid w:val="5BD743DE"/>
    <w:rsid w:val="5C45759A"/>
    <w:rsid w:val="5C6F4617"/>
    <w:rsid w:val="5C9F2F14"/>
    <w:rsid w:val="5CB0079E"/>
    <w:rsid w:val="5CBE3379"/>
    <w:rsid w:val="5CD27656"/>
    <w:rsid w:val="5CDA473C"/>
    <w:rsid w:val="5D073EFC"/>
    <w:rsid w:val="5D0D7A01"/>
    <w:rsid w:val="5D156F6C"/>
    <w:rsid w:val="5D2E44D2"/>
    <w:rsid w:val="5D8440F2"/>
    <w:rsid w:val="5DA327CA"/>
    <w:rsid w:val="5DCF4CE6"/>
    <w:rsid w:val="5DE228A9"/>
    <w:rsid w:val="5DED613B"/>
    <w:rsid w:val="5E3B1C67"/>
    <w:rsid w:val="5E960319"/>
    <w:rsid w:val="5EBD6CB6"/>
    <w:rsid w:val="5ED957E1"/>
    <w:rsid w:val="5F1315E8"/>
    <w:rsid w:val="5F463D55"/>
    <w:rsid w:val="5F555D46"/>
    <w:rsid w:val="5F6B37BB"/>
    <w:rsid w:val="5F6E6E08"/>
    <w:rsid w:val="5FA12D39"/>
    <w:rsid w:val="5FCC3972"/>
    <w:rsid w:val="5FD70E51"/>
    <w:rsid w:val="5FD90725"/>
    <w:rsid w:val="5FF612D7"/>
    <w:rsid w:val="60196D73"/>
    <w:rsid w:val="60561D75"/>
    <w:rsid w:val="60606287"/>
    <w:rsid w:val="607246D5"/>
    <w:rsid w:val="608C39E9"/>
    <w:rsid w:val="60997EB4"/>
    <w:rsid w:val="60B6369A"/>
    <w:rsid w:val="60D13AF2"/>
    <w:rsid w:val="61730705"/>
    <w:rsid w:val="618C1AB6"/>
    <w:rsid w:val="619A0388"/>
    <w:rsid w:val="61A10747"/>
    <w:rsid w:val="61D90EB0"/>
    <w:rsid w:val="61DA225B"/>
    <w:rsid w:val="61FE0917"/>
    <w:rsid w:val="62026318"/>
    <w:rsid w:val="62481B92"/>
    <w:rsid w:val="62672F59"/>
    <w:rsid w:val="62726C0F"/>
    <w:rsid w:val="6281358A"/>
    <w:rsid w:val="62A6790D"/>
    <w:rsid w:val="62B120F8"/>
    <w:rsid w:val="62EE1115"/>
    <w:rsid w:val="62F6339C"/>
    <w:rsid w:val="6348190F"/>
    <w:rsid w:val="636B5B38"/>
    <w:rsid w:val="636F204A"/>
    <w:rsid w:val="63822E81"/>
    <w:rsid w:val="63963F66"/>
    <w:rsid w:val="63D336DD"/>
    <w:rsid w:val="63E1229E"/>
    <w:rsid w:val="64356146"/>
    <w:rsid w:val="64852C29"/>
    <w:rsid w:val="64BC432D"/>
    <w:rsid w:val="64CC2F58"/>
    <w:rsid w:val="64DC3140"/>
    <w:rsid w:val="64E9765C"/>
    <w:rsid w:val="64FC4B4F"/>
    <w:rsid w:val="650F6997"/>
    <w:rsid w:val="654E5711"/>
    <w:rsid w:val="658F613F"/>
    <w:rsid w:val="65A610A9"/>
    <w:rsid w:val="66007953"/>
    <w:rsid w:val="6615622F"/>
    <w:rsid w:val="66821F56"/>
    <w:rsid w:val="669F3D94"/>
    <w:rsid w:val="66B71094"/>
    <w:rsid w:val="66D227E8"/>
    <w:rsid w:val="66D7199B"/>
    <w:rsid w:val="67050051"/>
    <w:rsid w:val="670630BA"/>
    <w:rsid w:val="6713696A"/>
    <w:rsid w:val="672331AA"/>
    <w:rsid w:val="672A3F5C"/>
    <w:rsid w:val="67334BBF"/>
    <w:rsid w:val="67365D03"/>
    <w:rsid w:val="67471637"/>
    <w:rsid w:val="674C7A2E"/>
    <w:rsid w:val="675B2F4B"/>
    <w:rsid w:val="67617776"/>
    <w:rsid w:val="67694A84"/>
    <w:rsid w:val="67783654"/>
    <w:rsid w:val="67884C24"/>
    <w:rsid w:val="67991948"/>
    <w:rsid w:val="67A920BE"/>
    <w:rsid w:val="67C223E6"/>
    <w:rsid w:val="67D529C0"/>
    <w:rsid w:val="67DA328C"/>
    <w:rsid w:val="682B7F8C"/>
    <w:rsid w:val="68B27D65"/>
    <w:rsid w:val="68FC7007"/>
    <w:rsid w:val="690639D3"/>
    <w:rsid w:val="6941748A"/>
    <w:rsid w:val="69482477"/>
    <w:rsid w:val="69635503"/>
    <w:rsid w:val="69AC00D3"/>
    <w:rsid w:val="69BE5347"/>
    <w:rsid w:val="69D62B10"/>
    <w:rsid w:val="6A132A85"/>
    <w:rsid w:val="6A244C92"/>
    <w:rsid w:val="6A5F5CCB"/>
    <w:rsid w:val="6A6908F7"/>
    <w:rsid w:val="6A8614A9"/>
    <w:rsid w:val="6AD72646"/>
    <w:rsid w:val="6AFF300A"/>
    <w:rsid w:val="6B2D5DC9"/>
    <w:rsid w:val="6B381691"/>
    <w:rsid w:val="6B3C70A0"/>
    <w:rsid w:val="6B563571"/>
    <w:rsid w:val="6B6F4633"/>
    <w:rsid w:val="6B7B6B34"/>
    <w:rsid w:val="6B7B725D"/>
    <w:rsid w:val="6B9D6AAA"/>
    <w:rsid w:val="6BA2720D"/>
    <w:rsid w:val="6BE26BB3"/>
    <w:rsid w:val="6BF216B9"/>
    <w:rsid w:val="6C5F1FB2"/>
    <w:rsid w:val="6C614C17"/>
    <w:rsid w:val="6C615D2A"/>
    <w:rsid w:val="6C8102F8"/>
    <w:rsid w:val="6C8664BC"/>
    <w:rsid w:val="6D433682"/>
    <w:rsid w:val="6D7A647B"/>
    <w:rsid w:val="6D7E75E8"/>
    <w:rsid w:val="6DA700B4"/>
    <w:rsid w:val="6DAB08B4"/>
    <w:rsid w:val="6DAC7E98"/>
    <w:rsid w:val="6DE36C13"/>
    <w:rsid w:val="6DEC1F6B"/>
    <w:rsid w:val="6E0E4EE9"/>
    <w:rsid w:val="6E0F5C9A"/>
    <w:rsid w:val="6E1430A8"/>
    <w:rsid w:val="6E1C16C2"/>
    <w:rsid w:val="6EAE0FCF"/>
    <w:rsid w:val="6EC86534"/>
    <w:rsid w:val="6F2477A4"/>
    <w:rsid w:val="6F433E0D"/>
    <w:rsid w:val="6F526403"/>
    <w:rsid w:val="6F551041"/>
    <w:rsid w:val="6F6D0E8A"/>
    <w:rsid w:val="6F7C10CD"/>
    <w:rsid w:val="6FD74555"/>
    <w:rsid w:val="6FDC1B6B"/>
    <w:rsid w:val="6FEB614F"/>
    <w:rsid w:val="6FF92D65"/>
    <w:rsid w:val="70096E04"/>
    <w:rsid w:val="706C7393"/>
    <w:rsid w:val="7070428E"/>
    <w:rsid w:val="70921358"/>
    <w:rsid w:val="70A30AC2"/>
    <w:rsid w:val="70BA1857"/>
    <w:rsid w:val="70DF5DB7"/>
    <w:rsid w:val="70E76A1A"/>
    <w:rsid w:val="70F06051"/>
    <w:rsid w:val="70F829D5"/>
    <w:rsid w:val="710650F2"/>
    <w:rsid w:val="710D46D2"/>
    <w:rsid w:val="712B6906"/>
    <w:rsid w:val="713C4FB8"/>
    <w:rsid w:val="718030F6"/>
    <w:rsid w:val="71A861A9"/>
    <w:rsid w:val="71AA2AC7"/>
    <w:rsid w:val="71BA152C"/>
    <w:rsid w:val="71CD20B4"/>
    <w:rsid w:val="71DB20DB"/>
    <w:rsid w:val="71DB389C"/>
    <w:rsid w:val="72587BCF"/>
    <w:rsid w:val="726D35FB"/>
    <w:rsid w:val="7285473C"/>
    <w:rsid w:val="72855F07"/>
    <w:rsid w:val="72A623DA"/>
    <w:rsid w:val="72D07765"/>
    <w:rsid w:val="730218E9"/>
    <w:rsid w:val="73076EFF"/>
    <w:rsid w:val="73993FFB"/>
    <w:rsid w:val="73C179F6"/>
    <w:rsid w:val="73D9089C"/>
    <w:rsid w:val="73D9388C"/>
    <w:rsid w:val="73E02925"/>
    <w:rsid w:val="744D3038"/>
    <w:rsid w:val="749649DF"/>
    <w:rsid w:val="74B07AF9"/>
    <w:rsid w:val="74DA5EED"/>
    <w:rsid w:val="74DC4AE7"/>
    <w:rsid w:val="74FF07D6"/>
    <w:rsid w:val="753C37D8"/>
    <w:rsid w:val="7548217D"/>
    <w:rsid w:val="75635D25"/>
    <w:rsid w:val="75706FDE"/>
    <w:rsid w:val="75840CDB"/>
    <w:rsid w:val="758A1C3C"/>
    <w:rsid w:val="75A924F0"/>
    <w:rsid w:val="75BF3AC1"/>
    <w:rsid w:val="75CA0DE4"/>
    <w:rsid w:val="76404C02"/>
    <w:rsid w:val="76555E8E"/>
    <w:rsid w:val="765C7562"/>
    <w:rsid w:val="7679706A"/>
    <w:rsid w:val="76E1032B"/>
    <w:rsid w:val="76E25CB9"/>
    <w:rsid w:val="76F92B83"/>
    <w:rsid w:val="770116DA"/>
    <w:rsid w:val="770911FB"/>
    <w:rsid w:val="772A140E"/>
    <w:rsid w:val="776E3BF0"/>
    <w:rsid w:val="776F4E7F"/>
    <w:rsid w:val="77AE3DED"/>
    <w:rsid w:val="77B15F47"/>
    <w:rsid w:val="77F96426"/>
    <w:rsid w:val="781E0F73"/>
    <w:rsid w:val="7827516C"/>
    <w:rsid w:val="782A57C1"/>
    <w:rsid w:val="783C589D"/>
    <w:rsid w:val="783F155F"/>
    <w:rsid w:val="78520C1D"/>
    <w:rsid w:val="78577E50"/>
    <w:rsid w:val="78591FAB"/>
    <w:rsid w:val="78864185"/>
    <w:rsid w:val="78A05E2C"/>
    <w:rsid w:val="78B31E2E"/>
    <w:rsid w:val="78C338C8"/>
    <w:rsid w:val="78ED2D93"/>
    <w:rsid w:val="78F079E2"/>
    <w:rsid w:val="7942322E"/>
    <w:rsid w:val="7956298E"/>
    <w:rsid w:val="79633B2D"/>
    <w:rsid w:val="79796DF0"/>
    <w:rsid w:val="79892D64"/>
    <w:rsid w:val="79A567F5"/>
    <w:rsid w:val="79B718B2"/>
    <w:rsid w:val="79BE0BB7"/>
    <w:rsid w:val="79C01870"/>
    <w:rsid w:val="79FA156C"/>
    <w:rsid w:val="79FB1E40"/>
    <w:rsid w:val="7A173ECC"/>
    <w:rsid w:val="7A496EAA"/>
    <w:rsid w:val="7A596109"/>
    <w:rsid w:val="7A951E11"/>
    <w:rsid w:val="7AA65250"/>
    <w:rsid w:val="7AB45BBF"/>
    <w:rsid w:val="7AC53928"/>
    <w:rsid w:val="7ACD0A2E"/>
    <w:rsid w:val="7AD669AA"/>
    <w:rsid w:val="7AE5221C"/>
    <w:rsid w:val="7AEF6BF7"/>
    <w:rsid w:val="7B073F40"/>
    <w:rsid w:val="7B332219"/>
    <w:rsid w:val="7B51165F"/>
    <w:rsid w:val="7B525A2B"/>
    <w:rsid w:val="7B8E6410"/>
    <w:rsid w:val="7B9C50E3"/>
    <w:rsid w:val="7BDE7397"/>
    <w:rsid w:val="7BF03C45"/>
    <w:rsid w:val="7C04792D"/>
    <w:rsid w:val="7C146859"/>
    <w:rsid w:val="7C2A1362"/>
    <w:rsid w:val="7C672088"/>
    <w:rsid w:val="7C6B04FF"/>
    <w:rsid w:val="7C7750F6"/>
    <w:rsid w:val="7C887C32"/>
    <w:rsid w:val="7C8D47EE"/>
    <w:rsid w:val="7CB63E70"/>
    <w:rsid w:val="7CD12A58"/>
    <w:rsid w:val="7CE65DD7"/>
    <w:rsid w:val="7D017254"/>
    <w:rsid w:val="7D140CE2"/>
    <w:rsid w:val="7D1754F9"/>
    <w:rsid w:val="7D3F0A4C"/>
    <w:rsid w:val="7D4E7B03"/>
    <w:rsid w:val="7D4F1DF6"/>
    <w:rsid w:val="7D6438CC"/>
    <w:rsid w:val="7D9615AC"/>
    <w:rsid w:val="7DB83C18"/>
    <w:rsid w:val="7DBC4EC9"/>
    <w:rsid w:val="7DD00F61"/>
    <w:rsid w:val="7E2D54D9"/>
    <w:rsid w:val="7E2D63B4"/>
    <w:rsid w:val="7E633B84"/>
    <w:rsid w:val="7E643010"/>
    <w:rsid w:val="7E696CC0"/>
    <w:rsid w:val="7E6B0C8A"/>
    <w:rsid w:val="7E8C3094"/>
    <w:rsid w:val="7E936B5A"/>
    <w:rsid w:val="7EC363D0"/>
    <w:rsid w:val="7EC860DC"/>
    <w:rsid w:val="7ECA3C03"/>
    <w:rsid w:val="7F064ED5"/>
    <w:rsid w:val="7F484B27"/>
    <w:rsid w:val="7F5B485B"/>
    <w:rsid w:val="7F7C643D"/>
    <w:rsid w:val="7F954211"/>
    <w:rsid w:val="7F9A2830"/>
    <w:rsid w:val="7FA02BB5"/>
    <w:rsid w:val="7FB73BFF"/>
    <w:rsid w:val="7FC25519"/>
    <w:rsid w:val="7FC53B73"/>
    <w:rsid w:val="7FE40CF4"/>
    <w:rsid w:val="7FF13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2"/>
    <w:qFormat/>
    <w:uiPriority w:val="0"/>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5">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4"/>
    <w:unhideWhenUsed/>
    <w:qFormat/>
    <w:uiPriority w:val="0"/>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7">
    <w:name w:val="heading 4"/>
    <w:basedOn w:val="1"/>
    <w:next w:val="1"/>
    <w:link w:val="25"/>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Times New Roman"/>
      <w:sz w:val="24"/>
      <w:szCs w:val="22"/>
    </w:rPr>
  </w:style>
  <w:style w:type="paragraph" w:styleId="3">
    <w:name w:val="Body Text"/>
    <w:basedOn w:val="1"/>
    <w:next w:val="1"/>
    <w:qFormat/>
    <w:uiPriority w:val="1"/>
    <w:rPr>
      <w:rFonts w:ascii="宋体" w:hAnsi="宋体" w:cs="宋体"/>
      <w:sz w:val="28"/>
      <w:szCs w:val="28"/>
    </w:rPr>
  </w:style>
  <w:style w:type="paragraph" w:styleId="8">
    <w:name w:val="Normal Indent"/>
    <w:basedOn w:val="1"/>
    <w:qFormat/>
    <w:uiPriority w:val="0"/>
    <w:pPr>
      <w:spacing w:line="500" w:lineRule="exact"/>
      <w:ind w:firstLine="200" w:firstLineChars="200"/>
    </w:pPr>
    <w:rPr>
      <w:rFonts w:asciiTheme="minorHAnsi" w:hAnsiTheme="minorHAnsi"/>
      <w:sz w:val="28"/>
      <w:szCs w:val="24"/>
      <w:lang w:val="zh-CN"/>
    </w:rPr>
  </w:style>
  <w:style w:type="paragraph" w:styleId="9">
    <w:name w:val="annotation text"/>
    <w:basedOn w:val="1"/>
    <w:semiHidden/>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Date"/>
    <w:basedOn w:val="1"/>
    <w:next w:val="1"/>
    <w:link w:val="26"/>
    <w:semiHidden/>
    <w:unhideWhenUsed/>
    <w:qFormat/>
    <w:uiPriority w:val="99"/>
    <w:pPr>
      <w:ind w:left="100" w:leftChars="2500"/>
    </w:pPr>
    <w:rPr>
      <w:rFonts w:asciiTheme="minorHAnsi" w:hAnsiTheme="minorHAnsi" w:eastAsiaTheme="minorEastAsia" w:cstheme="minorBidi"/>
      <w:szCs w:val="21"/>
    </w:rPr>
  </w:style>
  <w:style w:type="paragraph" w:styleId="12">
    <w:name w:val="footer"/>
    <w:basedOn w:val="1"/>
    <w:next w:val="13"/>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customStyle="1" w:styleId="13">
    <w:name w:val="索引 51"/>
    <w:basedOn w:val="1"/>
    <w:next w:val="1"/>
    <w:qFormat/>
    <w:uiPriority w:val="0"/>
    <w:pPr>
      <w:ind w:left="1680"/>
    </w:pPr>
    <w:rPr>
      <w:rFonts w:ascii="Times New Roman" w:hAnsi="Times New Roman" w:eastAsia="宋体" w:cs="Times New Roman"/>
    </w:rPr>
  </w:style>
  <w:style w:type="paragraph" w:styleId="14">
    <w:name w:val="header"/>
    <w:basedOn w:val="1"/>
    <w:link w:val="28"/>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954F72"/>
      <w:u w:val="single"/>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customStyle="1" w:styleId="22">
    <w:name w:val="标题 1 字符"/>
    <w:basedOn w:val="19"/>
    <w:link w:val="4"/>
    <w:qFormat/>
    <w:uiPriority w:val="0"/>
    <w:rPr>
      <w:b/>
      <w:bCs/>
      <w:kern w:val="44"/>
      <w:sz w:val="44"/>
      <w:szCs w:val="44"/>
    </w:rPr>
  </w:style>
  <w:style w:type="character" w:customStyle="1" w:styleId="23">
    <w:name w:val="标题 2 字符"/>
    <w:basedOn w:val="19"/>
    <w:link w:val="5"/>
    <w:qFormat/>
    <w:uiPriority w:val="0"/>
    <w:rPr>
      <w:rFonts w:asciiTheme="majorHAnsi" w:hAnsiTheme="majorHAnsi" w:eastAsiaTheme="majorEastAsia" w:cstheme="majorBidi"/>
      <w:b/>
      <w:bCs/>
      <w:sz w:val="32"/>
      <w:szCs w:val="32"/>
    </w:rPr>
  </w:style>
  <w:style w:type="character" w:customStyle="1" w:styleId="24">
    <w:name w:val="标题 3 字符"/>
    <w:basedOn w:val="19"/>
    <w:link w:val="6"/>
    <w:semiHidden/>
    <w:qFormat/>
    <w:uiPriority w:val="9"/>
    <w:rPr>
      <w:b/>
      <w:bCs/>
      <w:sz w:val="32"/>
      <w:szCs w:val="32"/>
    </w:rPr>
  </w:style>
  <w:style w:type="character" w:customStyle="1" w:styleId="25">
    <w:name w:val="标题 4 字符"/>
    <w:basedOn w:val="19"/>
    <w:link w:val="7"/>
    <w:semiHidden/>
    <w:qFormat/>
    <w:uiPriority w:val="9"/>
    <w:rPr>
      <w:rFonts w:asciiTheme="majorHAnsi" w:hAnsiTheme="majorHAnsi" w:eastAsiaTheme="majorEastAsia" w:cstheme="majorBidi"/>
      <w:b/>
      <w:bCs/>
      <w:sz w:val="28"/>
      <w:szCs w:val="28"/>
    </w:rPr>
  </w:style>
  <w:style w:type="character" w:customStyle="1" w:styleId="26">
    <w:name w:val="日期 字符"/>
    <w:basedOn w:val="19"/>
    <w:link w:val="11"/>
    <w:semiHidden/>
    <w:qFormat/>
    <w:uiPriority w:val="99"/>
    <w:rPr>
      <w:szCs w:val="21"/>
    </w:rPr>
  </w:style>
  <w:style w:type="character" w:customStyle="1" w:styleId="27">
    <w:name w:val="页脚 字符"/>
    <w:basedOn w:val="19"/>
    <w:link w:val="12"/>
    <w:qFormat/>
    <w:uiPriority w:val="99"/>
    <w:rPr>
      <w:sz w:val="18"/>
      <w:szCs w:val="18"/>
    </w:rPr>
  </w:style>
  <w:style w:type="character" w:customStyle="1" w:styleId="28">
    <w:name w:val="页眉 字符"/>
    <w:basedOn w:val="19"/>
    <w:link w:val="14"/>
    <w:qFormat/>
    <w:uiPriority w:val="0"/>
    <w:rPr>
      <w:sz w:val="18"/>
      <w:szCs w:val="18"/>
    </w:rPr>
  </w:style>
  <w:style w:type="paragraph" w:customStyle="1" w:styleId="29">
    <w:name w:val="样式1"/>
    <w:basedOn w:val="4"/>
    <w:qFormat/>
    <w:uiPriority w:val="0"/>
    <w:pPr>
      <w:spacing w:before="240" w:after="240" w:line="360" w:lineRule="auto"/>
      <w:jc w:val="left"/>
    </w:pPr>
    <w:rPr>
      <w:rFonts w:ascii="Times New Roman" w:hAnsi="Times New Roman" w:eastAsia="黑体"/>
      <w:sz w:val="28"/>
    </w:rPr>
  </w:style>
  <w:style w:type="paragraph" w:customStyle="1" w:styleId="30">
    <w:name w:val="样式2"/>
    <w:basedOn w:val="5"/>
    <w:qFormat/>
    <w:uiPriority w:val="0"/>
    <w:pPr>
      <w:spacing w:before="240" w:after="240" w:line="360" w:lineRule="auto"/>
      <w:jc w:val="left"/>
    </w:pPr>
    <w:rPr>
      <w:rFonts w:ascii="Times New Roman" w:hAnsi="Times New Roman" w:eastAsia="黑体"/>
      <w:sz w:val="24"/>
    </w:rPr>
  </w:style>
  <w:style w:type="paragraph" w:customStyle="1" w:styleId="31">
    <w:name w:val="三级标题"/>
    <w:basedOn w:val="6"/>
    <w:qFormat/>
    <w:uiPriority w:val="0"/>
    <w:pPr>
      <w:spacing w:before="240" w:after="240" w:line="360" w:lineRule="auto"/>
      <w:jc w:val="left"/>
    </w:pPr>
    <w:rPr>
      <w:rFonts w:ascii="Times New Roman" w:hAnsi="Times New Roman" w:eastAsia="黑体"/>
      <w:sz w:val="24"/>
    </w:rPr>
  </w:style>
  <w:style w:type="paragraph" w:customStyle="1" w:styleId="32">
    <w:name w:val="四级标题"/>
    <w:basedOn w:val="7"/>
    <w:qFormat/>
    <w:uiPriority w:val="0"/>
    <w:pPr>
      <w:spacing w:before="240" w:after="240" w:line="360" w:lineRule="auto"/>
      <w:jc w:val="left"/>
    </w:pPr>
    <w:rPr>
      <w:rFonts w:ascii="Times New Roman" w:hAnsi="Times New Roman" w:eastAsia="黑体"/>
      <w:sz w:val="24"/>
    </w:rPr>
  </w:style>
  <w:style w:type="paragraph" w:customStyle="1" w:styleId="33">
    <w:name w:val="1级标题"/>
    <w:basedOn w:val="4"/>
    <w:qFormat/>
    <w:uiPriority w:val="0"/>
    <w:pPr>
      <w:spacing w:before="240" w:after="240" w:line="360" w:lineRule="auto"/>
      <w:jc w:val="left"/>
    </w:pPr>
    <w:rPr>
      <w:rFonts w:ascii="Times New Roman" w:hAnsi="Times New Roman" w:eastAsia="黑体"/>
      <w:sz w:val="28"/>
    </w:rPr>
  </w:style>
  <w:style w:type="paragraph" w:customStyle="1" w:styleId="34">
    <w:name w:val="2级标题"/>
    <w:basedOn w:val="5"/>
    <w:qFormat/>
    <w:uiPriority w:val="0"/>
    <w:pPr>
      <w:spacing w:before="240" w:after="240" w:line="360" w:lineRule="auto"/>
      <w:jc w:val="left"/>
    </w:pPr>
    <w:rPr>
      <w:rFonts w:ascii="Times New Roman" w:hAnsi="Times New Roman" w:eastAsia="黑体"/>
      <w:sz w:val="24"/>
    </w:rPr>
  </w:style>
  <w:style w:type="paragraph" w:customStyle="1" w:styleId="35">
    <w:name w:val="3级标题"/>
    <w:basedOn w:val="6"/>
    <w:qFormat/>
    <w:uiPriority w:val="0"/>
    <w:pPr>
      <w:spacing w:before="240" w:after="240" w:line="360" w:lineRule="auto"/>
      <w:jc w:val="left"/>
    </w:pPr>
    <w:rPr>
      <w:rFonts w:ascii="Times New Roman" w:hAnsi="Times New Roman" w:eastAsia="黑体"/>
      <w:sz w:val="24"/>
    </w:rPr>
  </w:style>
  <w:style w:type="paragraph" w:customStyle="1" w:styleId="36">
    <w:name w:val="4级标题"/>
    <w:basedOn w:val="7"/>
    <w:qFormat/>
    <w:uiPriority w:val="0"/>
    <w:pPr>
      <w:spacing w:before="240" w:after="240" w:line="360" w:lineRule="auto"/>
      <w:jc w:val="left"/>
    </w:pPr>
    <w:rPr>
      <w:rFonts w:ascii="Times New Roman" w:hAnsi="Times New Roman" w:eastAsia="黑体"/>
      <w:sz w:val="24"/>
    </w:rPr>
  </w:style>
  <w:style w:type="paragraph" w:customStyle="1" w:styleId="37">
    <w:name w:val="普通正文"/>
    <w:basedOn w:val="1"/>
    <w:qFormat/>
    <w:uiPriority w:val="0"/>
    <w:pPr>
      <w:spacing w:line="360" w:lineRule="auto"/>
      <w:ind w:firstLine="200" w:firstLineChars="200"/>
    </w:pPr>
    <w:rPr>
      <w:rFonts w:cstheme="minorBidi"/>
      <w:sz w:val="24"/>
      <w:szCs w:val="21"/>
    </w:rPr>
  </w:style>
  <w:style w:type="paragraph" w:customStyle="1" w:styleId="38">
    <w:name w:val="公文正文"/>
    <w:basedOn w:val="1"/>
    <w:qFormat/>
    <w:uiPriority w:val="0"/>
    <w:pPr>
      <w:spacing w:line="600" w:lineRule="exact"/>
      <w:ind w:firstLine="200" w:firstLineChars="200"/>
    </w:pPr>
    <w:rPr>
      <w:rFonts w:eastAsia="方正仿宋_GBK" w:cstheme="minorBidi"/>
      <w:sz w:val="32"/>
      <w:szCs w:val="21"/>
    </w:rPr>
  </w:style>
  <w:style w:type="paragraph" w:customStyle="1" w:styleId="39">
    <w:name w:val="公文一级"/>
    <w:basedOn w:val="1"/>
    <w:qFormat/>
    <w:uiPriority w:val="0"/>
    <w:pPr>
      <w:spacing w:line="600" w:lineRule="exact"/>
      <w:ind w:firstLine="200" w:firstLineChars="200"/>
    </w:pPr>
    <w:rPr>
      <w:rFonts w:eastAsia="方正黑体_GBK" w:cstheme="minorBidi"/>
      <w:sz w:val="32"/>
      <w:szCs w:val="21"/>
    </w:rPr>
  </w:style>
  <w:style w:type="paragraph" w:customStyle="1" w:styleId="40">
    <w:name w:val="公文二级"/>
    <w:basedOn w:val="1"/>
    <w:link w:val="41"/>
    <w:qFormat/>
    <w:uiPriority w:val="0"/>
    <w:pPr>
      <w:spacing w:line="600" w:lineRule="exact"/>
      <w:ind w:firstLine="640" w:firstLineChars="200"/>
    </w:pPr>
    <w:rPr>
      <w:rFonts w:eastAsia="方正楷体_GBK" w:cstheme="minorBidi"/>
      <w:sz w:val="32"/>
      <w:szCs w:val="21"/>
    </w:rPr>
  </w:style>
  <w:style w:type="character" w:customStyle="1" w:styleId="41">
    <w:name w:val="公文二级 字符"/>
    <w:basedOn w:val="19"/>
    <w:link w:val="40"/>
    <w:qFormat/>
    <w:uiPriority w:val="0"/>
    <w:rPr>
      <w:rFonts w:ascii="Times New Roman" w:hAnsi="Times New Roman" w:eastAsia="方正楷体_GBK"/>
      <w:sz w:val="32"/>
      <w:szCs w:val="21"/>
    </w:rPr>
  </w:style>
  <w:style w:type="paragraph" w:customStyle="1" w:styleId="42">
    <w:name w:val="公文三级"/>
    <w:basedOn w:val="1"/>
    <w:qFormat/>
    <w:uiPriority w:val="0"/>
    <w:pPr>
      <w:spacing w:line="600" w:lineRule="exact"/>
      <w:ind w:firstLine="640" w:firstLineChars="200"/>
    </w:pPr>
    <w:rPr>
      <w:rFonts w:eastAsia="方正仿宋_GBK" w:cstheme="minorBidi"/>
      <w:sz w:val="32"/>
      <w:szCs w:val="21"/>
    </w:rPr>
  </w:style>
  <w:style w:type="paragraph" w:customStyle="1" w:styleId="43">
    <w:name w:val="公文四级"/>
    <w:basedOn w:val="1"/>
    <w:qFormat/>
    <w:uiPriority w:val="0"/>
    <w:pPr>
      <w:spacing w:line="600" w:lineRule="exact"/>
      <w:ind w:firstLine="640" w:firstLineChars="200"/>
    </w:pPr>
    <w:rPr>
      <w:rFonts w:eastAsia="方正仿宋_GBK" w:cstheme="minorBidi"/>
      <w:sz w:val="32"/>
      <w:szCs w:val="21"/>
    </w:rPr>
  </w:style>
  <w:style w:type="paragraph" w:customStyle="1" w:styleId="44">
    <w:name w:val="公文2级"/>
    <w:basedOn w:val="5"/>
    <w:link w:val="45"/>
    <w:qFormat/>
    <w:uiPriority w:val="0"/>
    <w:pPr>
      <w:spacing w:before="0" w:after="0" w:line="600" w:lineRule="exact"/>
      <w:ind w:firstLine="200" w:firstLineChars="200"/>
    </w:pPr>
    <w:rPr>
      <w:rFonts w:ascii="Times New Roman" w:hAnsi="Times New Roman" w:eastAsia="方正楷体_GBK"/>
      <w:b w:val="0"/>
    </w:rPr>
  </w:style>
  <w:style w:type="character" w:customStyle="1" w:styleId="45">
    <w:name w:val="公文2级 字符"/>
    <w:basedOn w:val="19"/>
    <w:link w:val="44"/>
    <w:qFormat/>
    <w:uiPriority w:val="0"/>
    <w:rPr>
      <w:rFonts w:ascii="Times New Roman" w:hAnsi="Times New Roman" w:eastAsia="方正楷体_GBK" w:cstheme="majorBidi"/>
      <w:bCs/>
      <w:sz w:val="32"/>
      <w:szCs w:val="32"/>
    </w:rPr>
  </w:style>
  <w:style w:type="paragraph" w:customStyle="1" w:styleId="46">
    <w:name w:val="公文1级"/>
    <w:basedOn w:val="4"/>
    <w:qFormat/>
    <w:uiPriority w:val="0"/>
    <w:pPr>
      <w:spacing w:before="0" w:after="0" w:line="600" w:lineRule="exact"/>
      <w:ind w:firstLine="200" w:firstLineChars="200"/>
    </w:pPr>
    <w:rPr>
      <w:rFonts w:ascii="Times New Roman" w:hAnsi="Times New Roman" w:eastAsia="方正黑体_GBK"/>
      <w:b w:val="0"/>
      <w:sz w:val="32"/>
    </w:rPr>
  </w:style>
  <w:style w:type="paragraph" w:customStyle="1" w:styleId="47">
    <w:name w:val="公文3级"/>
    <w:basedOn w:val="6"/>
    <w:qFormat/>
    <w:uiPriority w:val="0"/>
    <w:pPr>
      <w:spacing w:before="0" w:after="0" w:line="600" w:lineRule="exact"/>
      <w:ind w:firstLine="200" w:firstLineChars="200"/>
    </w:pPr>
    <w:rPr>
      <w:rFonts w:ascii="Times New Roman" w:hAnsi="Times New Roman" w:eastAsia="方正仿宋_GBK"/>
      <w:b w:val="0"/>
    </w:rPr>
  </w:style>
  <w:style w:type="paragraph" w:customStyle="1" w:styleId="48">
    <w:name w:val="公文4级"/>
    <w:basedOn w:val="7"/>
    <w:qFormat/>
    <w:uiPriority w:val="0"/>
    <w:pPr>
      <w:spacing w:before="0" w:after="0" w:line="600" w:lineRule="exact"/>
      <w:ind w:firstLine="200" w:firstLineChars="200"/>
    </w:pPr>
    <w:rPr>
      <w:rFonts w:ascii="Times New Roman" w:hAnsi="Times New Roman" w:eastAsia="方正仿宋_GBK"/>
      <w:b w:val="0"/>
      <w:sz w:val="32"/>
    </w:rPr>
  </w:style>
  <w:style w:type="paragraph" w:styleId="49">
    <w:name w:val="List Paragraph"/>
    <w:basedOn w:val="1"/>
    <w:qFormat/>
    <w:uiPriority w:val="34"/>
    <w:pPr>
      <w:ind w:firstLine="420" w:firstLineChars="200"/>
    </w:pPr>
    <w:rPr>
      <w:rFonts w:asciiTheme="minorHAnsi" w:hAnsiTheme="minorHAnsi" w:eastAsiaTheme="minorEastAsia" w:cstheme="minorBidi"/>
      <w:szCs w:val="21"/>
    </w:rPr>
  </w:style>
  <w:style w:type="paragraph" w:customStyle="1" w:styleId="50">
    <w:name w:val="正文 New New New New New New New New New New New New New New New New"/>
    <w:qFormat/>
    <w:uiPriority w:val="0"/>
    <w:pPr>
      <w:widowControl w:val="0"/>
      <w:jc w:val="both"/>
    </w:pPr>
    <w:rPr>
      <w:rFonts w:ascii="Calibri" w:hAnsi="Calibri" w:eastAsia="宋体" w:cs="Times New Roman"/>
      <w:color w:val="000000"/>
      <w:kern w:val="2"/>
      <w:sz w:val="21"/>
      <w:szCs w:val="24"/>
      <w:lang w:val="en-US" w:eastAsia="zh-CN" w:bidi="ar-SA"/>
    </w:rPr>
  </w:style>
  <w:style w:type="paragraph" w:customStyle="1" w:styleId="51">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52">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53">
    <w:name w:val="font11"/>
    <w:basedOn w:val="19"/>
    <w:qFormat/>
    <w:uiPriority w:val="0"/>
    <w:rPr>
      <w:rFonts w:hint="eastAsia" w:ascii="宋体" w:hAnsi="宋体" w:eastAsia="宋体"/>
      <w:color w:val="000000"/>
      <w:sz w:val="18"/>
      <w:szCs w:val="18"/>
      <w:u w:val="none"/>
    </w:rPr>
  </w:style>
  <w:style w:type="character" w:customStyle="1" w:styleId="54">
    <w:name w:val="font21"/>
    <w:basedOn w:val="19"/>
    <w:qFormat/>
    <w:uiPriority w:val="0"/>
    <w:rPr>
      <w:rFonts w:hint="default" w:ascii="Times New Roman" w:hAnsi="Times New Roman" w:cs="Times New Roman"/>
      <w:color w:val="000000"/>
      <w:sz w:val="18"/>
      <w:szCs w:val="18"/>
      <w:u w:val="none"/>
    </w:rPr>
  </w:style>
  <w:style w:type="character" w:customStyle="1" w:styleId="55">
    <w:name w:val="font31"/>
    <w:basedOn w:val="19"/>
    <w:qFormat/>
    <w:uiPriority w:val="0"/>
    <w:rPr>
      <w:rFonts w:hint="default" w:ascii="Times New Roman" w:hAnsi="Times New Roman" w:cs="Times New Roman"/>
      <w:color w:val="000000"/>
      <w:sz w:val="18"/>
      <w:szCs w:val="18"/>
      <w:u w:val="none"/>
    </w:rPr>
  </w:style>
  <w:style w:type="character" w:customStyle="1" w:styleId="56">
    <w:name w:val="font51"/>
    <w:basedOn w:val="19"/>
    <w:qFormat/>
    <w:uiPriority w:val="0"/>
    <w:rPr>
      <w:rFonts w:hint="eastAsia" w:ascii="宋体" w:hAnsi="宋体" w:eastAsia="宋体" w:cs="宋体"/>
      <w:color w:val="000000"/>
      <w:sz w:val="18"/>
      <w:szCs w:val="18"/>
      <w:u w:val="none"/>
    </w:rPr>
  </w:style>
  <w:style w:type="character" w:customStyle="1" w:styleId="57">
    <w:name w:val="font71"/>
    <w:basedOn w:val="19"/>
    <w:qFormat/>
    <w:uiPriority w:val="0"/>
    <w:rPr>
      <w:rFonts w:hint="default" w:ascii="Times New Roman" w:hAnsi="Times New Roman" w:cs="Times New Roman"/>
      <w:color w:val="000000"/>
      <w:sz w:val="18"/>
      <w:szCs w:val="18"/>
      <w:u w:val="none"/>
    </w:rPr>
  </w:style>
  <w:style w:type="character" w:customStyle="1" w:styleId="58">
    <w:name w:val="font41"/>
    <w:basedOn w:val="19"/>
    <w:qFormat/>
    <w:uiPriority w:val="0"/>
    <w:rPr>
      <w:rFonts w:hint="default" w:ascii="Times New Roman" w:hAnsi="Times New Roman" w:cs="Times New Roman"/>
      <w:color w:val="000000"/>
      <w:sz w:val="18"/>
      <w:szCs w:val="18"/>
      <w:u w:val="none"/>
    </w:rPr>
  </w:style>
  <w:style w:type="paragraph" w:customStyle="1" w:styleId="59">
    <w:name w:val="Table Paragraph"/>
    <w:basedOn w:val="1"/>
    <w:qFormat/>
    <w:uiPriority w:val="1"/>
    <w:pPr>
      <w:jc w:val="center"/>
    </w:pPr>
    <w:rPr>
      <w:rFonts w:ascii="宋体" w:hAnsi="宋体" w:cs="宋体"/>
    </w:rPr>
  </w:style>
  <w:style w:type="paragraph" w:customStyle="1" w:styleId="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2">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黑体_GBK" w:hAnsi="宋体" w:eastAsia="方正黑体_GBK" w:cs="宋体"/>
      <w:b/>
      <w:bCs/>
      <w:color w:val="000000"/>
      <w:kern w:val="0"/>
      <w:sz w:val="24"/>
      <w:szCs w:val="24"/>
    </w:rPr>
  </w:style>
  <w:style w:type="paragraph" w:customStyle="1" w:styleId="64">
    <w:name w:val="xl6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方正黑体_GBK" w:hAnsi="宋体" w:eastAsia="方正黑体_GBK" w:cs="宋体"/>
      <w:b/>
      <w:bCs/>
      <w:color w:val="000000"/>
      <w:kern w:val="0"/>
      <w:sz w:val="24"/>
      <w:szCs w:val="24"/>
    </w:rPr>
  </w:style>
  <w:style w:type="paragraph" w:customStyle="1" w:styleId="6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kern w:val="0"/>
      <w:sz w:val="24"/>
      <w:szCs w:val="24"/>
    </w:rPr>
  </w:style>
  <w:style w:type="paragraph" w:customStyle="1" w:styleId="6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kern w:val="0"/>
      <w:sz w:val="24"/>
      <w:szCs w:val="24"/>
    </w:rPr>
  </w:style>
  <w:style w:type="paragraph" w:customStyle="1" w:styleId="67">
    <w:name w:val="xl69"/>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68">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方正黑体_GBK" w:hAnsi="宋体" w:eastAsia="方正黑体_GBK" w:cs="宋体"/>
      <w:b/>
      <w:bCs/>
      <w:color w:val="000000"/>
      <w:kern w:val="0"/>
      <w:sz w:val="24"/>
      <w:szCs w:val="24"/>
    </w:rPr>
  </w:style>
  <w:style w:type="paragraph" w:customStyle="1" w:styleId="6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方正仿宋_GBK" w:hAnsi="宋体" w:eastAsia="方正仿宋_GBK" w:cs="宋体"/>
      <w:kern w:val="0"/>
      <w:sz w:val="24"/>
      <w:szCs w:val="24"/>
    </w:rPr>
  </w:style>
  <w:style w:type="paragraph" w:customStyle="1" w:styleId="7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kern w:val="0"/>
      <w:sz w:val="18"/>
      <w:szCs w:val="18"/>
    </w:rPr>
  </w:style>
  <w:style w:type="paragraph" w:customStyle="1" w:styleId="7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b/>
      <w:bCs/>
      <w:kern w:val="0"/>
      <w:sz w:val="24"/>
      <w:szCs w:val="24"/>
    </w:rPr>
  </w:style>
  <w:style w:type="paragraph" w:customStyle="1" w:styleId="7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kern w:val="0"/>
      <w:sz w:val="24"/>
      <w:szCs w:val="24"/>
    </w:rPr>
  </w:style>
  <w:style w:type="paragraph" w:customStyle="1" w:styleId="7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color w:val="FF0000"/>
      <w:kern w:val="0"/>
      <w:sz w:val="24"/>
      <w:szCs w:val="24"/>
    </w:rPr>
  </w:style>
  <w:style w:type="paragraph" w:customStyle="1" w:styleId="7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color w:val="5B9BD5"/>
      <w:kern w:val="0"/>
      <w:sz w:val="24"/>
      <w:szCs w:val="24"/>
    </w:rPr>
  </w:style>
  <w:style w:type="paragraph" w:customStyle="1" w:styleId="75">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方正仿宋_GBK" w:hAnsi="宋体" w:eastAsia="方正仿宋_GBK" w:cs="宋体"/>
      <w:color w:val="FF0000"/>
      <w:kern w:val="0"/>
      <w:sz w:val="24"/>
      <w:szCs w:val="24"/>
    </w:rPr>
  </w:style>
  <w:style w:type="paragraph" w:customStyle="1" w:styleId="7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方正仿宋_GBK" w:hAnsi="宋体" w:eastAsia="方正仿宋_GBK" w:cs="宋体"/>
      <w:color w:val="FF0000"/>
      <w:kern w:val="0"/>
      <w:sz w:val="24"/>
      <w:szCs w:val="24"/>
    </w:rPr>
  </w:style>
  <w:style w:type="paragraph" w:customStyle="1" w:styleId="77">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方正仿宋_GBK" w:hAnsi="宋体" w:eastAsia="方正仿宋_GBK" w:cs="宋体"/>
      <w:kern w:val="0"/>
      <w:sz w:val="24"/>
      <w:szCs w:val="24"/>
    </w:rPr>
  </w:style>
  <w:style w:type="paragraph" w:customStyle="1" w:styleId="78">
    <w:name w:val="正文文本1"/>
    <w:basedOn w:val="1"/>
    <w:qFormat/>
    <w:uiPriority w:val="0"/>
    <w:pPr>
      <w:spacing w:line="434" w:lineRule="auto"/>
      <w:ind w:firstLine="400"/>
    </w:pPr>
    <w:rPr>
      <w:rFonts w:ascii="宋体" w:hAnsi="宋体" w:cs="宋体"/>
      <w:sz w:val="28"/>
      <w:szCs w:val="28"/>
    </w:rPr>
  </w:style>
  <w:style w:type="paragraph" w:customStyle="1" w:styleId="79">
    <w:name w:val="正文文本 (3)"/>
    <w:basedOn w:val="1"/>
    <w:qFormat/>
    <w:uiPriority w:val="0"/>
    <w:pPr>
      <w:spacing w:line="580" w:lineRule="exact"/>
      <w:jc w:val="center"/>
    </w:pPr>
    <w:rPr>
      <w:rFonts w:ascii="黑体" w:hAnsi="黑体" w:eastAsia="黑体" w:cs="黑体"/>
      <w:sz w:val="26"/>
      <w:szCs w:val="26"/>
    </w:rPr>
  </w:style>
  <w:style w:type="character" w:customStyle="1" w:styleId="80">
    <w:name w:val="font91"/>
    <w:basedOn w:val="19"/>
    <w:qFormat/>
    <w:uiPriority w:val="0"/>
    <w:rPr>
      <w:rFonts w:hint="default" w:ascii="Times New Roman" w:hAnsi="Times New Roman" w:cs="Times New Roman"/>
      <w:b/>
      <w:bCs/>
      <w:color w:val="000000"/>
      <w:sz w:val="13"/>
      <w:szCs w:val="13"/>
      <w:u w:val="none"/>
    </w:rPr>
  </w:style>
  <w:style w:type="character" w:customStyle="1" w:styleId="81">
    <w:name w:val="font01"/>
    <w:basedOn w:val="19"/>
    <w:qFormat/>
    <w:uiPriority w:val="0"/>
    <w:rPr>
      <w:rFonts w:hint="eastAsia" w:ascii="方正黑体_GBK" w:hAnsi="方正黑体_GBK" w:eastAsia="方正黑体_GBK" w:cs="方正黑体_GBK"/>
      <w:b/>
      <w:bCs/>
      <w:color w:val="000000"/>
      <w:sz w:val="13"/>
      <w:szCs w:val="13"/>
      <w:u w:val="none"/>
    </w:rPr>
  </w:style>
  <w:style w:type="character" w:customStyle="1" w:styleId="82">
    <w:name w:val="font61"/>
    <w:basedOn w:val="19"/>
    <w:qFormat/>
    <w:uiPriority w:val="0"/>
    <w:rPr>
      <w:rFonts w:hint="default" w:ascii="Times New Roman" w:hAnsi="Times New Roman" w:cs="Times New Roman"/>
      <w:color w:val="000000"/>
      <w:sz w:val="15"/>
      <w:szCs w:val="15"/>
      <w:u w:val="none"/>
    </w:rPr>
  </w:style>
  <w:style w:type="paragraph" w:customStyle="1" w:styleId="8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84">
    <w:name w:val="正文-公1"/>
    <w:basedOn w:val="1"/>
    <w:qFormat/>
    <w:uiPriority w:val="0"/>
    <w:pPr>
      <w:ind w:firstLine="200" w:firstLineChars="200"/>
      <w:jc w:val="left"/>
    </w:pPr>
    <w:rPr>
      <w:rFonts w:ascii="Calibri" w:hAnsi="Calibri" w:eastAsia="仿宋_GB2312"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18020</Words>
  <Characters>22007</Characters>
  <Lines>332</Lines>
  <Paragraphs>93</Paragraphs>
  <TotalTime>7</TotalTime>
  <ScaleCrop>false</ScaleCrop>
  <LinksUpToDate>false</LinksUpToDate>
  <CharactersWithSpaces>22197</CharactersWithSpaces>
  <Application>WPS Office_12.8.2.15291_F1E327BC-269C-435d-A152-05C5408002CA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2023-02-13T21:28:00Z</dcterms:created>
  <dc:creator>陈 星宇</dc:creator>
  <cp:lastModifiedBy>TongLiang</cp:lastModifiedBy>
  <cp:lastPrinted>2023-03-20T15:11:00Z</cp:lastPrinted>
  <dcterms:modified xsi:type="dcterms:W3CDTF">2025-02-08T06:22:22Z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2052-12.8.2.15291</vt:lpwstr>
  </property>
  <property fmtid="{D5CDD505-2E9C-101B-9397-08002B2CF9AE}" pid="3" name="ICV">
    <vt:lpwstr>4E2514D333CA4DD4B59AF681BB2B1291</vt:lpwstr>
  </property>
</Properties>
</file>