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仿宋_GBK" w:cs="Times New Roman"/>
          <w:sz w:val="32"/>
          <w:szCs w:val="32"/>
          <w:lang w:val="en-US" w:eastAsia="zh-CN"/>
        </w:rPr>
      </w:pPr>
      <w:r>
        <w:rPr>
          <w:rFonts w:hint="eastAsia" w:ascii="方正小标宋_GBK" w:hAnsi="方正小标宋_GBK" w:eastAsia="方正小标宋_GBK" w:cs="方正小标宋_GBK"/>
          <w:color w:val="000000"/>
          <w:sz w:val="44"/>
          <w:szCs w:val="44"/>
          <w:u w:val="none"/>
          <w:lang w:eastAsia="zh-CN"/>
        </w:rPr>
        <w:pict>
          <v:shape id="AutoShape 2" o:spid="_x0000_s1026" o:spt="136" type="#_x0000_t136" style="position:absolute;left:0pt;margin-left:2.8pt;margin-top:117.25pt;height:73.55pt;width:460pt;z-index:251661312;mso-width-relative:page;mso-height-relative:page;" fillcolor="#FF0000" filled="t" stroked="t" coordsize="21600,21600" adj="10800">
            <v:path/>
            <v:fill on="t" color2="#FFFFFF" focussize="0,0"/>
            <v:stroke color="#FF0000"/>
            <v:imagedata o:title=""/>
            <o:lock v:ext="edit" aspectratio="f"/>
            <v:textpath on="t" fitshape="t" fitpath="t" trim="t" xscale="f" string="重庆市铜梁区经济和信息化委员会文件&#10;&#10;&#10;" style="font-family:方正小标宋_GBK;font-size:20pt;v-text-align:center;"/>
          </v:shape>
        </w:pict>
      </w:r>
    </w:p>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铜经信发〔2022〕12号</w:t>
      </w:r>
    </w:p>
    <w:p>
      <w:pPr>
        <w:keepNext w:val="0"/>
        <w:keepLines w:val="0"/>
        <w:pageBreakBefore w:val="0"/>
        <w:widowControl/>
        <w:kinsoku/>
        <w:wordWrap/>
        <w:overflowPunct/>
        <w:topLinePunct w:val="0"/>
        <w:autoSpaceDE/>
        <w:autoSpaceDN/>
        <w:bidi w:val="0"/>
        <w:adjustRightInd/>
        <w:snapToGrid/>
        <w:spacing w:beforeLines="0" w:afterLines="0" w:line="900" w:lineRule="exact"/>
        <w:jc w:val="center"/>
        <w:textAlignment w:val="auto"/>
        <w:rPr>
          <w:rFonts w:hint="default" w:ascii="Times New Roman" w:hAnsi="Times New Roman" w:eastAsia="方正仿宋_GBK" w:cs="Times New Roman"/>
          <w:sz w:val="32"/>
          <w:szCs w:val="32"/>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132080</wp:posOffset>
                </wp:positionV>
                <wp:extent cx="6048375" cy="635"/>
                <wp:effectExtent l="0" t="12700" r="9525" b="24765"/>
                <wp:wrapNone/>
                <wp:docPr id="6" name="直接连接符 6"/>
                <wp:cNvGraphicFramePr/>
                <a:graphic xmlns:a="http://schemas.openxmlformats.org/drawingml/2006/main">
                  <a:graphicData uri="http://schemas.microsoft.com/office/word/2010/wordprocessingShape">
                    <wps:wsp>
                      <wps:cNvCnPr/>
                      <wps:spPr>
                        <a:xfrm>
                          <a:off x="831215" y="4979035"/>
                          <a:ext cx="6048375" cy="63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5pt;margin-top:10.4pt;height:0.05pt;width:476.25pt;z-index:251662336;mso-width-relative:page;mso-height-relative:page;" filled="f" stroked="t" coordsize="21600,21600" o:gfxdata="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AUBd7XAAAACAEAAA8AAAAAAAAAAQAgAAAA&#10;IgAAAGRycy9kb3ducmV2LnhtbFBLAQIUABQAAAAIAIdO4kAXW35nDAIAAAAEAAAOAAAAAAAAAAEA&#10;IAAAACYBAABkcnMvZTJvRG9jLnhtbFBLBQYAAAAABgAGAFkBAACkBQAAAAA=&#10;">
                <v:fill on="f" focussize="0,0"/>
                <v:stroke weight="2pt" color="#FF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beforeLines="0" w:afterLines="0" w:line="6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重庆市</w:t>
      </w:r>
      <w:r>
        <w:rPr>
          <w:rFonts w:hint="default" w:ascii="Times New Roman" w:hAnsi="Times New Roman" w:eastAsia="方正小标宋_GBK" w:cs="Times New Roman"/>
          <w:sz w:val="44"/>
          <w:szCs w:val="44"/>
          <w:lang w:eastAsia="zh-CN"/>
        </w:rPr>
        <w:t>铜梁区</w:t>
      </w:r>
      <w:r>
        <w:rPr>
          <w:rFonts w:hint="default" w:ascii="Times New Roman" w:hAnsi="Times New Roman" w:eastAsia="方正小标宋_GBK" w:cs="Times New Roman"/>
          <w:sz w:val="44"/>
          <w:szCs w:val="44"/>
        </w:rPr>
        <w:t>经济和信息化委员会</w:t>
      </w:r>
    </w:p>
    <w:p>
      <w:pPr>
        <w:spacing w:beforeLines="0" w:afterLine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关于印发2022年安全生产工作要点的通知</w:t>
      </w:r>
    </w:p>
    <w:p>
      <w:pPr>
        <w:spacing w:beforeLines="0" w:afterLines="0"/>
        <w:jc w:val="left"/>
        <w:rPr>
          <w:rFonts w:hint="default" w:ascii="Times New Roman" w:hAnsi="Times New Roman" w:eastAsia="FZFSK--GBK1-0" w:cs="Times New Roman"/>
          <w:sz w:val="32"/>
        </w:rPr>
      </w:pPr>
    </w:p>
    <w:p>
      <w:pPr>
        <w:spacing w:beforeLines="0" w:afterLines="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rPr>
        <w:t>各</w:t>
      </w:r>
      <w:r>
        <w:rPr>
          <w:rFonts w:hint="default" w:ascii="Times New Roman" w:hAnsi="Times New Roman" w:eastAsia="方正仿宋_GBK" w:cs="Times New Roman"/>
          <w:sz w:val="32"/>
          <w:lang w:eastAsia="zh-CN"/>
        </w:rPr>
        <w:t>镇</w:t>
      </w:r>
      <w:r>
        <w:rPr>
          <w:rFonts w:hint="default" w:ascii="Times New Roman" w:hAnsi="Times New Roman" w:eastAsia="方正仿宋_GBK" w:cs="Times New Roman"/>
          <w:sz w:val="32"/>
          <w:lang w:val="en-US" w:eastAsia="zh-CN"/>
        </w:rPr>
        <w:t>街经发办</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高新区管委会安全环保部、</w:t>
      </w:r>
      <w:r>
        <w:rPr>
          <w:rFonts w:hint="default" w:ascii="Times New Roman" w:hAnsi="Times New Roman" w:eastAsia="方正仿宋_GBK" w:cs="Times New Roman"/>
          <w:sz w:val="32"/>
          <w:lang w:eastAsia="zh-CN"/>
        </w:rPr>
        <w:t>有关</w:t>
      </w:r>
      <w:r>
        <w:rPr>
          <w:rFonts w:hint="default" w:ascii="Times New Roman" w:hAnsi="Times New Roman" w:eastAsia="方正仿宋_GBK" w:cs="Times New Roman"/>
          <w:sz w:val="32"/>
          <w:lang w:val="en-US" w:eastAsia="zh-CN"/>
        </w:rPr>
        <w:t>企业</w:t>
      </w:r>
      <w:r>
        <w:rPr>
          <w:rFonts w:hint="default" w:ascii="Times New Roman" w:hAnsi="Times New Roman" w:eastAsia="方正仿宋_GBK" w:cs="Times New Roman"/>
          <w:sz w:val="32"/>
        </w:rPr>
        <w:t>：</w:t>
      </w:r>
    </w:p>
    <w:p>
      <w:pPr>
        <w:spacing w:beforeLines="0" w:afterLines="0"/>
        <w:ind w:firstLine="640" w:firstLineChars="20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rPr>
        <w:t>现将《2022年安全生产工作要点》印发你们，请认真贯彻执行。</w:t>
      </w:r>
    </w:p>
    <w:p>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auto"/>
          <w:sz w:val="32"/>
          <w:szCs w:val="32"/>
          <w:lang w:val="en-US" w:eastAsia="zh-CN"/>
        </w:rPr>
        <w:drawing>
          <wp:anchor distT="0" distB="0" distL="114300" distR="114300" simplePos="0" relativeHeight="251663360" behindDoc="1" locked="0" layoutInCell="1" allowOverlap="1">
            <wp:simplePos x="0" y="0"/>
            <wp:positionH relativeFrom="column">
              <wp:posOffset>3551555</wp:posOffset>
            </wp:positionH>
            <wp:positionV relativeFrom="paragraph">
              <wp:posOffset>63500</wp:posOffset>
            </wp:positionV>
            <wp:extent cx="1647825" cy="1628775"/>
            <wp:effectExtent l="0" t="0" r="3175" b="9525"/>
            <wp:wrapNone/>
            <wp:docPr id="8" name="图片 7" descr="区经信委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区经信委公章"/>
                    <pic:cNvPicPr>
                      <a:picLocks noChangeAspect="1"/>
                    </pic:cNvPicPr>
                  </pic:nvPicPr>
                  <pic:blipFill>
                    <a:blip r:embed="rId5"/>
                    <a:stretch>
                      <a:fillRect/>
                    </a:stretch>
                  </pic:blipFill>
                  <pic:spPr>
                    <a:xfrm>
                      <a:off x="0" y="0"/>
                      <a:ext cx="1647825" cy="1628775"/>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default" w:ascii="Times New Roman" w:hAnsi="Times New Roman" w:eastAsia="方正仿宋_GBK" w:cs="Times New Roman"/>
          <w:sz w:val="32"/>
        </w:rPr>
      </w:pPr>
    </w:p>
    <w:p>
      <w:pPr>
        <w:spacing w:beforeLines="0" w:afterLines="0"/>
        <w:jc w:val="right"/>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重庆市</w:t>
      </w:r>
      <w:r>
        <w:rPr>
          <w:rFonts w:hint="default" w:ascii="Times New Roman" w:hAnsi="Times New Roman" w:eastAsia="方正仿宋_GBK" w:cs="Times New Roman"/>
          <w:sz w:val="32"/>
          <w:lang w:eastAsia="zh-CN"/>
        </w:rPr>
        <w:t>铜梁区</w:t>
      </w:r>
      <w:r>
        <w:rPr>
          <w:rFonts w:hint="default" w:ascii="Times New Roman" w:hAnsi="Times New Roman" w:eastAsia="方正仿宋_GBK" w:cs="Times New Roman"/>
          <w:sz w:val="32"/>
        </w:rPr>
        <w:t>经济和信息化委员会</w:t>
      </w:r>
    </w:p>
    <w:p>
      <w:pPr>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2022 年</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 xml:space="preserve"> 月</w:t>
      </w:r>
      <w:r>
        <w:rPr>
          <w:rFonts w:hint="default" w:ascii="Times New Roman" w:hAnsi="Times New Roman" w:eastAsia="方正仿宋_GBK" w:cs="Times New Roman"/>
          <w:sz w:val="32"/>
          <w:lang w:val="en-US" w:eastAsia="zh-CN"/>
        </w:rPr>
        <w:t>23</w:t>
      </w:r>
      <w:r>
        <w:rPr>
          <w:rFonts w:hint="default" w:ascii="Times New Roman" w:hAnsi="Times New Roman" w:eastAsia="方正仿宋_GBK" w:cs="Times New Roman"/>
          <w:sz w:val="32"/>
        </w:rPr>
        <w:t xml:space="preserve"> 日</w:t>
      </w:r>
    </w:p>
    <w:p>
      <w:pPr>
        <w:jc w:val="both"/>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　　（此件主动公开）</w:t>
      </w:r>
    </w:p>
    <w:p>
      <w:pPr>
        <w:spacing w:beforeLines="0" w:afterLine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2022年安全生产工作要点</w:t>
      </w:r>
    </w:p>
    <w:p>
      <w:pPr>
        <w:spacing w:beforeLines="0" w:afterLines="0"/>
        <w:jc w:val="left"/>
        <w:rPr>
          <w:rFonts w:hint="eastAsia"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p>
    <w:p>
      <w:pPr>
        <w:spacing w:beforeLines="0" w:afterLines="0"/>
        <w:ind w:firstLine="640" w:firstLineChars="200"/>
        <w:jc w:val="left"/>
        <w:rPr>
          <w:rFonts w:hint="default" w:ascii="Times New Roman" w:hAnsi="Times New Roman" w:eastAsia="方正仿宋_GBK" w:cs="Times New Roman"/>
          <w:sz w:val="32"/>
          <w:szCs w:val="22"/>
          <w:lang w:val="en-US" w:eastAsia="zh-CN"/>
        </w:rPr>
      </w:pPr>
      <w:r>
        <w:rPr>
          <w:rFonts w:hint="default" w:ascii="Times New Roman" w:hAnsi="Times New Roman" w:eastAsia="方正仿宋_GBK" w:cs="Times New Roman"/>
          <w:sz w:val="32"/>
          <w:szCs w:val="22"/>
          <w:lang w:val="en-US" w:eastAsia="zh-CN"/>
        </w:rPr>
        <w:t>为认真贯彻落实区委、区政府安全生产工作决策部署以及市经信委安全生产工作要求，加强安全生产工作，坚决遏制较大及以上事故发生，切实保障人民群众生命财产安全，特制定本工作要点。</w:t>
      </w:r>
    </w:p>
    <w:p>
      <w:pPr>
        <w:keepNext w:val="0"/>
        <w:keepLines w:val="0"/>
        <w:pageBreakBefore w:val="0"/>
        <w:widowControl/>
        <w:kinsoku/>
        <w:wordWrap/>
        <w:overflowPunct/>
        <w:topLinePunct w:val="0"/>
        <w:autoSpaceDE/>
        <w:autoSpaceDN/>
        <w:bidi w:val="0"/>
        <w:adjustRightInd/>
        <w:snapToGrid/>
        <w:spacing w:beforeLines="0" w:afterLines="0" w:line="66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一、总体要求</w:t>
      </w:r>
    </w:p>
    <w:p>
      <w:pPr>
        <w:spacing w:beforeLines="0" w:afterLines="0"/>
        <w:ind w:firstLine="640" w:firstLineChars="200"/>
        <w:jc w:val="left"/>
        <w:rPr>
          <w:rFonts w:hint="default" w:ascii="Times New Roman" w:hAnsi="Times New Roman" w:eastAsia="方正仿宋_GBK" w:cs="Times New Roman"/>
          <w:sz w:val="32"/>
          <w:szCs w:val="22"/>
          <w:lang w:val="en-US" w:eastAsia="zh-CN"/>
        </w:rPr>
      </w:pPr>
      <w:r>
        <w:rPr>
          <w:rFonts w:hint="default" w:ascii="Times New Roman" w:hAnsi="Times New Roman" w:eastAsia="方正仿宋_GBK" w:cs="Times New Roman"/>
          <w:sz w:val="32"/>
          <w:szCs w:val="22"/>
          <w:lang w:val="en-US" w:eastAsia="zh-CN"/>
        </w:rPr>
        <w:t>以习近平新时代中国特色社会主义思想为指导，全面贯彻党的十九大和十九届历次全会精神，坚持人民至上、生命至上，牢固树立安全发展理念，以“控大事故、防大灾害”为目标，以大排查大整治大执法为主线，以落实“常态化安全监管十条措施”（以下简称“十条措施”）和“企业一线岗位员工安全责任制”（以下简称“一线责任制”）为抓手，持续推进安全生产专项整治三年行动，深入整改安全生产领域“两个不到位、两个不扎实”等突出问题，突出抓好安全生产重点领域和关键环节，坚决遏制较大及以上生产安全事故，坚决防止发生因灾导致的群死群伤责任事件，以高水平安全服务保障全区经济社会高质量发展，为党的二十大胜利召开营造安全稳定环境。</w:t>
      </w:r>
    </w:p>
    <w:p>
      <w:pPr>
        <w:keepNext w:val="0"/>
        <w:keepLines w:val="0"/>
        <w:pageBreakBefore w:val="0"/>
        <w:widowControl/>
        <w:kinsoku/>
        <w:wordWrap/>
        <w:overflowPunct/>
        <w:topLinePunct w:val="0"/>
        <w:autoSpaceDE/>
        <w:autoSpaceDN/>
        <w:bidi w:val="0"/>
        <w:adjustRightInd/>
        <w:snapToGrid/>
        <w:spacing w:beforeLines="0" w:afterLines="0" w:line="660" w:lineRule="exact"/>
        <w:ind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二、重点任务</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60" w:lineRule="exact"/>
        <w:ind w:leftChars="0" w:firstLine="640" w:firstLineChars="200"/>
        <w:jc w:val="left"/>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（一）抓“十条措施”，强化监管责任落实。</w:t>
      </w:r>
    </w:p>
    <w:p>
      <w:pPr>
        <w:keepNext w:val="0"/>
        <w:keepLines w:val="0"/>
        <w:pageBreakBefore w:val="0"/>
        <w:widowControl/>
        <w:kinsoku/>
        <w:wordWrap/>
        <w:overflowPunct/>
        <w:topLinePunct w:val="0"/>
        <w:autoSpaceDE/>
        <w:autoSpaceDN/>
        <w:bidi w:val="0"/>
        <w:adjustRightInd/>
        <w:snapToGrid/>
        <w:spacing w:beforeLines="0" w:afterLines="0" w:line="660" w:lineRule="exact"/>
        <w:ind w:firstLine="640" w:firstLineChars="200"/>
        <w:jc w:val="left"/>
        <w:textAlignment w:val="auto"/>
        <w:rPr>
          <w:rFonts w:hint="default" w:ascii="Times New Roman" w:hAnsi="Times New Roman" w:eastAsia="方正仿宋_GBK" w:cs="Times New Roman"/>
          <w:sz w:val="32"/>
          <w:szCs w:val="22"/>
          <w:lang w:val="en-US" w:eastAsia="zh-CN"/>
        </w:rPr>
      </w:pPr>
      <w:r>
        <w:rPr>
          <w:rFonts w:hint="default" w:ascii="Times New Roman" w:hAnsi="Times New Roman" w:eastAsia="仿宋" w:cs="Times New Roman"/>
          <w:sz w:val="32"/>
          <w:szCs w:val="32"/>
        </w:rPr>
        <w:t>1.严</w:t>
      </w:r>
      <w:r>
        <w:rPr>
          <w:rFonts w:hint="default" w:ascii="Times New Roman" w:hAnsi="Times New Roman" w:eastAsia="方正仿宋_GBK" w:cs="Times New Roman"/>
          <w:sz w:val="32"/>
          <w:szCs w:val="22"/>
          <w:lang w:val="en-US" w:eastAsia="zh-CN"/>
        </w:rPr>
        <w:t>格落实党政领导安全责任。坚持新发展理念，将安全生产与自然灾害防治纳入工业和信息化发展重点工作，与业务工作同研究同部署同考核。坚持“党政同责、一岗双责、齐抓共管、失职追责”，严格落实《重庆市党政领导干部安全生产责任制实施细则》，强化安全生产、应急管理、消防安全与自然灾害防治第一责任人责任和班子其他成员分管行业（领域）的直接领导责任，以发现和解决问题为重点，严格执行“十条措施”，对落实情况加强检查督导。</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仿宋" w:cs="Times New Roman"/>
          <w:sz w:val="32"/>
          <w:szCs w:val="32"/>
          <w:lang w:eastAsia="zh-CN"/>
        </w:rPr>
        <w:t>　　</w:t>
      </w:r>
      <w:r>
        <w:rPr>
          <w:rFonts w:hint="default" w:ascii="Times New Roman" w:hAnsi="Times New Roman" w:eastAsia="仿宋" w:cs="Times New Roman"/>
          <w:sz w:val="32"/>
          <w:szCs w:val="32"/>
        </w:rPr>
        <w:t>2.</w:t>
      </w:r>
      <w:r>
        <w:rPr>
          <w:rFonts w:hint="default" w:ascii="Times New Roman" w:hAnsi="Times New Roman" w:eastAsia="方正仿宋_GBK" w:cs="Times New Roman"/>
          <w:sz w:val="32"/>
          <w:szCs w:val="22"/>
          <w:lang w:val="en-US" w:eastAsia="zh-CN"/>
        </w:rPr>
        <w:t>强化监管部门务实履职。负有安全生产监督管理职责的部门要将业务工作和安全工作同时安排部署、同时推进落实、同时考核奖惩；要将“十条措施”各项任务要求明确到人，每季度开展“十条措施”落实情况分析研判、绩效评估，及时发现和解决问题；要指导督促企业健全完善风险分级管控和隐患排查治理双重预防机制，务实推进企业安全标准化建设，提升本质安全水平。</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3.严格落实属地安全监管责任。各镇街要严格履行属地安全监管职责，认真研究部署和落实本行政区域职责范围内安全生产工作，严格执行“十条措施”，加强安排部署、宣传造势、督查警示、执法处罚和诚信管理，全面落实安全生产监测预警、隐患排查、督查检查、应急救援、调查处理等制度，指导督促企业加强安全生产，健全完善风险分级管控和隐患排查治理双重预防机制，务实推进企业安全标准化建设等工作。</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eastAsia" w:ascii="方正楷体_GBK" w:hAnsi="方正楷体_GBK" w:eastAsia="方正楷体_GBK" w:cs="方正楷体_GBK"/>
          <w:sz w:val="32"/>
          <w:szCs w:val="22"/>
          <w:lang w:val="en-US" w:eastAsia="zh-CN"/>
        </w:rPr>
      </w:pPr>
      <w:r>
        <w:rPr>
          <w:rFonts w:hint="eastAsia" w:ascii="Times New Roman" w:hAnsi="Times New Roman" w:eastAsia="方正仿宋_GBK" w:cs="Times New Roman"/>
          <w:sz w:val="32"/>
          <w:szCs w:val="22"/>
          <w:lang w:val="en-US" w:eastAsia="zh-CN"/>
        </w:rPr>
        <w:t>　　</w:t>
      </w:r>
      <w:r>
        <w:rPr>
          <w:rFonts w:hint="eastAsia" w:ascii="方正楷体_GBK" w:hAnsi="方正楷体_GBK" w:eastAsia="方正楷体_GBK" w:cs="方正楷体_GBK"/>
          <w:sz w:val="32"/>
          <w:szCs w:val="22"/>
          <w:lang w:val="en-US" w:eastAsia="zh-CN"/>
        </w:rPr>
        <w:t>（二）抓“一线责任制”，推动企业主体责任落实。</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4.推动企业主要负责人依法履职。企业主要负责人要依法建立健全本单位全员安全生产责任制，完善本人及各层级管理人员安全管理职责，挂牌明责、照单履职；要长期抓标准化建设，建立落实双重预防机制，以构建符合生产经营实际的企业管理体系为核心，推进安全生产标准化创建；要经常抓“日周月”隐患排查，开展班组日排查、部门周排查、厂长经理月排查，落实重大（重点）风险隐患“三个层级”责任管控；要在关键环节建立“总工程师”制度，在民爆、燃气等行业企业设置总工程师岗位，强化对技术方案措施编制、论证、决策、实施的监督。</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5.推动企业落实“一线责任制”。全面推广落实“一线责任制”，将企业一线员工全员参与研究、编制、学习、应用、操作“两单两卡”（岗位风险清单、岗位职责清单、岗位操作卡、岗位应急处置卡）作为重点。2022年5月底前，燃气、民爆等重点行业全面完成“一线责任制”试点工作；8月底前，燃气、民爆等行业领域全面完成“一线责任制”工作；11月底前，油气领域、电动汽车换电和充电设施建设及运营、食盐定点生产企业食盐生产和政府储备盐仓储环节等行业领域完成“一线责任制”工作，实现全区所有行业（领域）企业“一线责任制”全覆盖。</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eastAsia" w:ascii="方正楷体_GBK" w:hAnsi="方正楷体_GBK" w:eastAsia="方正楷体_GBK" w:cs="方正楷体_GBK"/>
          <w:sz w:val="32"/>
          <w:szCs w:val="22"/>
          <w:lang w:val="en-US" w:eastAsia="zh-CN"/>
        </w:rPr>
      </w:pPr>
      <w:r>
        <w:rPr>
          <w:rFonts w:hint="default" w:ascii="Times New Roman" w:hAnsi="Times New Roman" w:eastAsia="方正仿宋_GBK" w:cs="Times New Roman"/>
          <w:sz w:val="32"/>
          <w:szCs w:val="22"/>
          <w:lang w:val="en-US" w:eastAsia="zh-CN"/>
        </w:rPr>
        <w:t xml:space="preserve">   </w:t>
      </w:r>
      <w:r>
        <w:rPr>
          <w:rFonts w:hint="eastAsia" w:ascii="方正楷体_GBK" w:hAnsi="方正楷体_GBK" w:eastAsia="方正楷体_GBK" w:cs="方正楷体_GBK"/>
          <w:sz w:val="32"/>
          <w:szCs w:val="22"/>
          <w:lang w:val="en-US" w:eastAsia="zh-CN"/>
        </w:rPr>
        <w:t>（三）强化严格执法，推进应急管理工作依法治理。</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6.坚持执法“清零”和执法强度提升。围绕重大风险、重大隐患和突出违法行为，严格开展检查诊断、行政处罚、整改复查“三部曲”闭环执法，加强燃气、油气、民爆等重点行业（领域）安全监管执法工作，落实执法“清零”和执法强度提升要求。建立健全安全生产明查暗访、“双随机、一公开”长效机制。严格落实“有案必查、一案双查、三责同追、四不放过”要求，对生产安全事故依法开展调查处理，对典型事故查处实施挂牌督办。</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7.坚持联合惩戒和鼓励群众举报。落实安全生产诚信管理办法，建立重点行业（领域）诚信管理制度，落实激励约束机制，加大对安全生产失信人的联合惩戒力度。落实安全生产有奖举报制度，鼓励企业员工和社会各界举报安全生产违法行为及重大事故灾害隐患。强化燃气、油气、民爆等行业（领域）打非治违力度。</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60" w:lineRule="exact"/>
        <w:ind w:leftChars="0" w:firstLine="640" w:firstLineChars="200"/>
        <w:jc w:val="left"/>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（四）强化专项整治，从根本上消除事故隐患。</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8.推进安全生产专项整治三年行动收官。按照《重庆市安全生产专项整治三年行动工作方案》，积极配合各专题（专项）牵头单位，强化“交账”意识，严格对单自查，全面梳理各项任务的完成进度，逐一评估销号，确保安全生产专项整治三年行动圆满收官。围绕“从根本上消除事故隐患、从根本上解决问题”目标，着重抓好燃气、油气和民爆等重点行业（领域）安全生产专项整治三年行动，全面总结安全生产专项整治三年行动成效，推动电动汽车换电和充电设施建设及运营、食盐定点生产企业食盐生产和政府储备盐仓储环节等重点行业（领域）和工业园区等建立遏制重特大事故发生长效机制。</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9.推进“两重大一突出”专项整治。聚焦重大风险、重大隐患和突出违法行为，扎实开展重点行业（领域）专项整治。盯紧抓牢生产、储存、运输、使用等关键环节，深入开展城镇燃气、民爆、油气等重点行业（领域）安全排查整治。</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eastAsia" w:ascii="方正楷体_GBK" w:hAnsi="方正楷体_GBK" w:eastAsia="方正楷体_GBK" w:cs="方正楷体_GBK"/>
          <w:sz w:val="32"/>
          <w:szCs w:val="22"/>
          <w:lang w:val="en-US" w:eastAsia="zh-CN"/>
        </w:rPr>
      </w:pPr>
      <w:r>
        <w:rPr>
          <w:rFonts w:hint="eastAsia" w:ascii="Times New Roman" w:hAnsi="Times New Roman" w:eastAsia="方正仿宋_GBK" w:cs="Times New Roman"/>
          <w:sz w:val="32"/>
          <w:szCs w:val="22"/>
          <w:lang w:val="en-US" w:eastAsia="zh-CN"/>
        </w:rPr>
        <w:t>　　</w:t>
      </w:r>
      <w:r>
        <w:rPr>
          <w:rFonts w:hint="eastAsia" w:ascii="方正楷体_GBK" w:hAnsi="方正楷体_GBK" w:eastAsia="方正楷体_GBK" w:cs="方正楷体_GBK"/>
          <w:sz w:val="32"/>
          <w:szCs w:val="22"/>
          <w:lang w:val="en-US" w:eastAsia="zh-CN"/>
        </w:rPr>
        <w:t>（五）抓重点行业，认真开展安全生产监督检查。</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10.扎实抓好民爆行业安全监督检查。按照“源头控制、定点销售、流向管控、实名登记”要求，强化民爆物品生产、储存、销售、配送各环节安全监管。加快民爆行业科研、生产、销售、爆破服务一体化发展，推进民爆生产销售企业标准化达标建设、安全文化建设等</w:t>
      </w:r>
      <w:bookmarkStart w:id="0" w:name="_GoBack"/>
      <w:bookmarkEnd w:id="0"/>
      <w:r>
        <w:rPr>
          <w:rFonts w:hint="default" w:ascii="Times New Roman" w:hAnsi="Times New Roman" w:eastAsia="方正仿宋_GBK" w:cs="Times New Roman"/>
          <w:sz w:val="32"/>
          <w:szCs w:val="22"/>
          <w:lang w:val="en-US" w:eastAsia="zh-CN"/>
        </w:rPr>
        <w:t>工作。实施“工业互联网+安全生产”行动计划，加快民爆企业信息化、智能化改造升级，提高企业本质安全水平。认真执行民爆物品负面清单管理，建立健全行业诚信考核体系和黑名单制度，深化“严查四超”“打非治违”专项整治行动，彻查彻治安全隐患。</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11.加强城镇燃气行业安全监督检查。以深化燃气安全专项整治为主线，结合安全生产三年行动、高层建筑用气安全综合治理等专项行动要求，深入实施七大专项整治任务。重点做好加快燃气企业安全评估整顿整合，加快推进燃气安全装置安装使用，加快推进老旧管道更新改造，强化“五进”安全宣传教育，加强单位用户安全管理，全面推行“两单两卡”，建立企业法人履职考核评价制度，抓好从业人员培训考证，推进地下燃气管线安全监测试点，提升日常监督检查质量和水平等工作。坚持问题导向，持续解决城镇天然气行业突出问题，防范重大风险、消除重大隐患，确保行业安全稳定。</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12.加强油气领域安全生产监督检查。全面落实安全生产专项整治三年行动，夯实安全监管责任，督促指导各辖区每月开展1 次油气领域生产经营场所隐患排查，实现辖区内油气领域企业安全检查季度全覆盖，建立隐患整治台账，严控风险点和危险源。督促企业严格执行“日周月”隐患排查整治制度。对监督检查中发现的事故隐患责令立即排除、闭环整治，并建立台账。全区所有液化石油气（含二甲醚）充装站、瓶装供应站点、用户全面接入全区液化石油气气瓶信息追溯系统。修订油气领域应急预案，建立油气领域安全事故应对机制，制定安全事故应急预案，做到简明化、专业化、实战化。</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13.做好本级核准项目安全监督管理。对区经济信息委职责范围内新核准的工业项目开展安全隐患全面排查，会同应急部门督促项目业主严格落实“三同时”制度。</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14.建立健全新增安全监管行业领域体制机制。做好职责范围内工业园区安全监督检查；电动汽车换电、充电设施建设及运营安全监督检查；食盐定点生产企业食盐生产和政府储备盐仓储环节安全监督检查；无线电管理技术机构监督检查等。</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eastAsia" w:ascii="方正楷体_GBK" w:hAnsi="方正楷体_GBK" w:eastAsia="方正楷体_GBK" w:cs="方正楷体_GBK"/>
          <w:sz w:val="32"/>
          <w:szCs w:val="22"/>
          <w:lang w:val="en-US" w:eastAsia="zh-CN"/>
        </w:rPr>
      </w:pPr>
      <w:r>
        <w:rPr>
          <w:rFonts w:hint="eastAsia" w:ascii="Times New Roman" w:hAnsi="Times New Roman" w:eastAsia="方正仿宋_GBK" w:cs="Times New Roman"/>
          <w:sz w:val="32"/>
          <w:szCs w:val="22"/>
          <w:lang w:val="en-US" w:eastAsia="zh-CN"/>
        </w:rPr>
        <w:t>　　</w:t>
      </w:r>
      <w:r>
        <w:rPr>
          <w:rFonts w:hint="eastAsia" w:ascii="方正楷体_GBK" w:hAnsi="方正楷体_GBK" w:eastAsia="方正楷体_GBK" w:cs="方正楷体_GBK"/>
          <w:sz w:val="32"/>
          <w:szCs w:val="22"/>
          <w:lang w:val="en-US" w:eastAsia="zh-CN"/>
        </w:rPr>
        <w:t>（六）抓应急准备，夯实安全生产工作基础。</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15.加强风险研判管控。建立风险管控和隐患排查双重预防机制，制定日常和重要时段节点、重大变化情况、重大活动风险辨识清单，强化动态风险研判，落实管控责任和措施。聚焦重大安全风险、重大安全隐患和突出违法行为，深入开展安全生产综合治理。</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16.加强应急管理。开展应急管理、安全监管检查培训，增强工作人员安全知识和提升业务能力。利用安全生产月、“5.12”防灾减灾日、“119”消防宣传月等开展安全宣传教育活动，营造安全生产浓厚氛围。加快重点行业（领域）应急预案修订，完善应急预案体系，落实各环节责任和措施，开展应急预案演练。强化燃气、电力等市级应急保障队伍能力建设，落实应急值守、应急响应和现场处置责任，提高专业队伍快速反应和应急处置能力。</w:t>
      </w: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　　</w:t>
      </w:r>
      <w:r>
        <w:rPr>
          <w:rFonts w:hint="default" w:ascii="Times New Roman" w:hAnsi="Times New Roman" w:eastAsia="方正仿宋_GBK" w:cs="Times New Roman"/>
          <w:sz w:val="32"/>
          <w:szCs w:val="22"/>
          <w:lang w:val="en-US" w:eastAsia="zh-CN"/>
        </w:rPr>
        <w:t>17.推动大数据技术应用。积极利用大数据、智能化技术改造传统工业，推动大数据技术在工业行业安全生产领域的应用，促进产业升级和安全技术发展，提高民爆、燃气、油气等重点行业（领域）监测预警能力和监管执法能力。</w:t>
      </w:r>
    </w:p>
    <w:p>
      <w:pPr>
        <w:keepNext w:val="0"/>
        <w:keepLines w:val="0"/>
        <w:pageBreakBefore w:val="0"/>
        <w:widowControl/>
        <w:kinsoku/>
        <w:wordWrap/>
        <w:overflowPunct/>
        <w:topLinePunct w:val="0"/>
        <w:autoSpaceDE/>
        <w:autoSpaceDN/>
        <w:bidi w:val="0"/>
        <w:adjustRightInd/>
        <w:snapToGrid/>
        <w:spacing w:beforeLines="0" w:afterLines="0" w:line="660" w:lineRule="exact"/>
        <w:ind w:firstLine="640" w:firstLineChars="200"/>
        <w:jc w:val="left"/>
        <w:textAlignment w:val="auto"/>
        <w:rPr>
          <w:rFonts w:hint="default" w:ascii="方正黑体_GBK" w:hAnsi="方正黑体_GBK" w:eastAsia="方正黑体_GBK" w:cs="方正黑体_GBK"/>
          <w:b w:val="0"/>
          <w:bCs w:val="0"/>
          <w:sz w:val="32"/>
          <w:szCs w:val="32"/>
          <w:lang w:eastAsia="zh-CN"/>
        </w:rPr>
      </w:pPr>
      <w:r>
        <w:rPr>
          <w:rFonts w:hint="default" w:ascii="方正黑体_GBK" w:hAnsi="方正黑体_GBK" w:eastAsia="方正黑体_GBK" w:cs="方正黑体_GBK"/>
          <w:b w:val="0"/>
          <w:bCs w:val="0"/>
          <w:sz w:val="32"/>
          <w:szCs w:val="32"/>
          <w:lang w:eastAsia="zh-CN"/>
        </w:rPr>
        <w:t>三、工作要求</w:t>
      </w:r>
    </w:p>
    <w:p>
      <w:pPr>
        <w:keepNext w:val="0"/>
        <w:keepLines w:val="0"/>
        <w:pageBreakBefore w:val="0"/>
        <w:widowControl/>
        <w:kinsoku/>
        <w:wordWrap/>
        <w:overflowPunct/>
        <w:topLinePunct w:val="0"/>
        <w:autoSpaceDE/>
        <w:autoSpaceDN/>
        <w:bidi w:val="0"/>
        <w:adjustRightInd/>
        <w:snapToGrid/>
        <w:spacing w:beforeLines="0" w:afterLines="0" w:line="660" w:lineRule="exact"/>
        <w:ind w:firstLine="640" w:firstLineChars="200"/>
        <w:jc w:val="left"/>
        <w:textAlignment w:val="auto"/>
        <w:rPr>
          <w:rFonts w:hint="default" w:ascii="Times New Roman" w:hAnsi="Times New Roman" w:eastAsia="方正仿宋_GBK" w:cs="Times New Roman"/>
          <w:sz w:val="32"/>
          <w:szCs w:val="22"/>
          <w:lang w:val="en-US" w:eastAsia="zh-CN"/>
        </w:rPr>
      </w:pPr>
      <w:r>
        <w:rPr>
          <w:rFonts w:hint="default" w:ascii="Times New Roman" w:hAnsi="Times New Roman" w:eastAsia="方正仿宋_GBK" w:cs="Times New Roman"/>
          <w:sz w:val="32"/>
          <w:szCs w:val="22"/>
          <w:lang w:val="en-US" w:eastAsia="zh-CN"/>
        </w:rPr>
        <w:t>各镇街、有关单位要切实担负起“促一方发展、保一方平安”的政治责任，确保各项决策部署落实到位。坚持安全工作考核制度，严格落实“一票否决”制度。区经济信息委将加强对各镇街经发办有关工作的指导、检查和督促力度。对因工作推进不力而发生重大事故、造成重大损失或社会影响的，将严肃追究有关人员的责任，并将相关情况报送区政府安委会作为区委、区政府考核的依据之一。</w:t>
      </w:r>
    </w:p>
    <w:p>
      <w:pPr>
        <w:keepNext w:val="0"/>
        <w:keepLines w:val="0"/>
        <w:pageBreakBefore w:val="0"/>
        <w:widowControl/>
        <w:kinsoku/>
        <w:wordWrap/>
        <w:overflowPunct/>
        <w:topLinePunct w:val="0"/>
        <w:autoSpaceDE/>
        <w:autoSpaceDN/>
        <w:bidi w:val="0"/>
        <w:adjustRightInd/>
        <w:snapToGrid/>
        <w:spacing w:beforeLines="0" w:afterLines="0" w:line="660" w:lineRule="exact"/>
        <w:ind w:firstLine="640" w:firstLineChars="200"/>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ind w:firstLine="640" w:firstLineChars="200"/>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32"/>
          <w:szCs w:val="2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60" w:lineRule="exact"/>
        <w:jc w:val="left"/>
        <w:textAlignment w:val="auto"/>
        <w:rPr>
          <w:rFonts w:hint="default" w:ascii="Times New Roman" w:hAnsi="Times New Roman" w:eastAsia="方正仿宋_GBK" w:cs="Times New Roman"/>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462915</wp:posOffset>
                </wp:positionV>
                <wp:extent cx="6010275" cy="0"/>
                <wp:effectExtent l="0" t="0" r="0" b="0"/>
                <wp:wrapNone/>
                <wp:docPr id="3" name="直接连接符 3"/>
                <wp:cNvGraphicFramePr/>
                <a:graphic xmlns:a="http://schemas.openxmlformats.org/drawingml/2006/main">
                  <a:graphicData uri="http://schemas.microsoft.com/office/word/2010/wordprocessingShape">
                    <wps:wsp>
                      <wps:cNvCnPr/>
                      <wps:spPr>
                        <a:xfrm>
                          <a:off x="843280" y="8847455"/>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9pt;margin-top:36.45pt;height:0pt;width:473.25pt;z-index:251660288;mso-width-relative:page;mso-height-relative:page;" filled="f" stroked="t" coordsize="21600,21600" o:gfxdata="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uswi1wAAAAkBAAAPAAAAAAAAAAEAIAAAACIAAABkcnMvZG93bnJldi54bWxQSwECFAAUAAAA&#10;CACHTuJAlC6QPu8BAAC8AwAADgAAAAAAAAABACAAAAAmAQAAZHJzL2Uyb0RvYy54bWxQSwUGAAAA&#10;AAYABgBZAQAAhwUAA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120015</wp:posOffset>
                </wp:positionV>
                <wp:extent cx="5924550" cy="0"/>
                <wp:effectExtent l="0" t="0" r="0" b="0"/>
                <wp:wrapNone/>
                <wp:docPr id="2" name="直接连接符 2"/>
                <wp:cNvGraphicFramePr/>
                <a:graphic xmlns:a="http://schemas.openxmlformats.org/drawingml/2006/main">
                  <a:graphicData uri="http://schemas.microsoft.com/office/word/2010/wordprocessingShape">
                    <wps:wsp>
                      <wps:cNvCnPr/>
                      <wps:spPr>
                        <a:xfrm>
                          <a:off x="881380" y="8504555"/>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9pt;margin-top:9.45pt;height:0pt;width:466.5pt;z-index:251659264;mso-width-relative:page;mso-height-relative:page;" filled="f" stroked="t" coordsize="21600,21600" o:gfxdata="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U&#10;g8zVAAAACAEAAA8AAAAAAAAAAQAgAAAAIgAAAGRycy9kb3ducmV2LnhtbFBLAQIUABQAAAAIAIdO&#10;4kBqDaeD7QEAALwDAAAOAAAAAAAAAAEAIAAAACQBAABkcnMvZTJvRG9jLnhtbFBLBQYAAAAABgAG&#10;AFkBAACDBQAAAAA=&#10;">
                <v:fill on="f" focussize="0,0"/>
                <v:stroke weight="0.5pt" color="#000000 [3200]" miterlimit="8" joinstyle="miter"/>
                <v:imagedata o:title=""/>
                <o:lock v:ext="edit" aspectratio="f"/>
              </v:line>
            </w:pict>
          </mc:Fallback>
        </mc:AlternateContent>
      </w:r>
      <w:r>
        <w:rPr>
          <w:rFonts w:hint="eastAsia" w:ascii="Times New Roman" w:hAnsi="Times New Roman" w:eastAsia="方正仿宋_GBK" w:cs="Times New Roman"/>
          <w:sz w:val="28"/>
          <w:szCs w:val="28"/>
          <w:lang w:val="en-US" w:eastAsia="zh-CN"/>
        </w:rPr>
        <w:t>　重庆市铜梁区经济和信息化委员会办公室　　　2022年3月28日印发</w:t>
      </w:r>
    </w:p>
    <w:sectPr>
      <w:footerReference r:id="rId3" w:type="default"/>
      <w:pgSz w:w="12240" w:h="15840"/>
      <w:pgMar w:top="1984" w:right="1446" w:bottom="1644" w:left="1446" w:header="720" w:footer="720" w:gutter="0"/>
      <w:lnNumType w:countBy="0" w:distance="36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9"/>
                              <w:szCs w:val="29"/>
                              <w:lang w:eastAsia="zh-CN"/>
                            </w:rPr>
                          </w:pPr>
                          <w:r>
                            <w:rPr>
                              <w:rFonts w:hint="eastAsia" w:asciiTheme="minorEastAsia" w:hAnsiTheme="minorEastAsia" w:eastAsiaTheme="minorEastAsia" w:cstheme="minorEastAsia"/>
                              <w:sz w:val="29"/>
                              <w:szCs w:val="29"/>
                              <w:lang w:eastAsia="zh-CN"/>
                            </w:rPr>
                            <w:fldChar w:fldCharType="begin"/>
                          </w:r>
                          <w:r>
                            <w:rPr>
                              <w:rFonts w:hint="eastAsia" w:asciiTheme="minorEastAsia" w:hAnsiTheme="minorEastAsia" w:eastAsiaTheme="minorEastAsia" w:cstheme="minorEastAsia"/>
                              <w:sz w:val="29"/>
                              <w:szCs w:val="29"/>
                              <w:lang w:eastAsia="zh-CN"/>
                            </w:rPr>
                            <w:instrText xml:space="preserve"> PAGE  \* MERGEFORMAT </w:instrText>
                          </w:r>
                          <w:r>
                            <w:rPr>
                              <w:rFonts w:hint="eastAsia" w:asciiTheme="minorEastAsia" w:hAnsiTheme="minorEastAsia" w:eastAsiaTheme="minorEastAsia" w:cstheme="minorEastAsia"/>
                              <w:sz w:val="29"/>
                              <w:szCs w:val="29"/>
                              <w:lang w:eastAsia="zh-CN"/>
                            </w:rPr>
                            <w:fldChar w:fldCharType="separate"/>
                          </w:r>
                          <w:r>
                            <w:rPr>
                              <w:rFonts w:hint="eastAsia" w:asciiTheme="minorEastAsia" w:hAnsiTheme="minorEastAsia" w:eastAsiaTheme="minorEastAsia" w:cstheme="minorEastAsia"/>
                              <w:sz w:val="29"/>
                              <w:szCs w:val="29"/>
                              <w:lang w:eastAsia="zh-CN"/>
                            </w:rPr>
                            <w:t>1</w:t>
                          </w:r>
                          <w:r>
                            <w:rPr>
                              <w:rFonts w:hint="eastAsia" w:asciiTheme="minorEastAsia" w:hAnsiTheme="minorEastAsia" w:eastAsiaTheme="minorEastAsia" w:cstheme="minorEastAsia"/>
                              <w:sz w:val="29"/>
                              <w:szCs w:val="29"/>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9"/>
                        <w:szCs w:val="29"/>
                        <w:lang w:eastAsia="zh-CN"/>
                      </w:rPr>
                    </w:pPr>
                    <w:r>
                      <w:rPr>
                        <w:rFonts w:hint="eastAsia" w:asciiTheme="minorEastAsia" w:hAnsiTheme="minorEastAsia" w:eastAsiaTheme="minorEastAsia" w:cstheme="minorEastAsia"/>
                        <w:sz w:val="29"/>
                        <w:szCs w:val="29"/>
                        <w:lang w:eastAsia="zh-CN"/>
                      </w:rPr>
                      <w:fldChar w:fldCharType="begin"/>
                    </w:r>
                    <w:r>
                      <w:rPr>
                        <w:rFonts w:hint="eastAsia" w:asciiTheme="minorEastAsia" w:hAnsiTheme="minorEastAsia" w:eastAsiaTheme="minorEastAsia" w:cstheme="minorEastAsia"/>
                        <w:sz w:val="29"/>
                        <w:szCs w:val="29"/>
                        <w:lang w:eastAsia="zh-CN"/>
                      </w:rPr>
                      <w:instrText xml:space="preserve"> PAGE  \* MERGEFORMAT </w:instrText>
                    </w:r>
                    <w:r>
                      <w:rPr>
                        <w:rFonts w:hint="eastAsia" w:asciiTheme="minorEastAsia" w:hAnsiTheme="minorEastAsia" w:eastAsiaTheme="minorEastAsia" w:cstheme="minorEastAsia"/>
                        <w:sz w:val="29"/>
                        <w:szCs w:val="29"/>
                        <w:lang w:eastAsia="zh-CN"/>
                      </w:rPr>
                      <w:fldChar w:fldCharType="separate"/>
                    </w:r>
                    <w:r>
                      <w:rPr>
                        <w:rFonts w:hint="eastAsia" w:asciiTheme="minorEastAsia" w:hAnsiTheme="minorEastAsia" w:eastAsiaTheme="minorEastAsia" w:cstheme="minorEastAsia"/>
                        <w:sz w:val="29"/>
                        <w:szCs w:val="29"/>
                        <w:lang w:eastAsia="zh-CN"/>
                      </w:rPr>
                      <w:t>1</w:t>
                    </w:r>
                    <w:r>
                      <w:rPr>
                        <w:rFonts w:hint="eastAsia" w:asciiTheme="minorEastAsia" w:hAnsiTheme="minorEastAsia" w:eastAsiaTheme="minorEastAsia" w:cstheme="minorEastAsia"/>
                        <w:sz w:val="29"/>
                        <w:szCs w:val="29"/>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7F6A82"/>
    <w:rsid w:val="0C86576C"/>
    <w:rsid w:val="0CA9266E"/>
    <w:rsid w:val="0DFA1262"/>
    <w:rsid w:val="1125697C"/>
    <w:rsid w:val="19BF0AAE"/>
    <w:rsid w:val="23DA2828"/>
    <w:rsid w:val="2FE93919"/>
    <w:rsid w:val="37027288"/>
    <w:rsid w:val="39730C70"/>
    <w:rsid w:val="3E0A797A"/>
    <w:rsid w:val="45042AE2"/>
    <w:rsid w:val="45312F8E"/>
    <w:rsid w:val="4938032B"/>
    <w:rsid w:val="4A363363"/>
    <w:rsid w:val="551270E6"/>
    <w:rsid w:val="554C3333"/>
    <w:rsid w:val="5CF5230C"/>
    <w:rsid w:val="65AB48B7"/>
    <w:rsid w:val="6ACC51F9"/>
    <w:rsid w:val="754E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2022-03-16T01:24:00Z</dcterms:created>
  <dc:creator>213LiuQiang</dc:creator>
  <cp:lastModifiedBy>NeiWang</cp:lastModifiedBy>
  <cp:lastPrinted>2022-04-15T00:52:00Z</cp:lastPrinted>
  <dcterms:modified xsi:type="dcterms:W3CDTF">2022-04-15T02:23:34Z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C2E25A513D6647FF84623C631A6B1B23</vt:lpwstr>
  </property>
</Properties>
</file>