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32" w:lineRule="exact"/>
        <w:ind w:firstLine="0" w:firstLineChars="0"/>
        <w:jc w:val="center"/>
        <w:textAlignment w:val="auto"/>
        <w:outlineLvl w:val="0"/>
        <w:rPr>
          <w:rFonts w:hint="eastAsia" w:ascii="Times New Roman" w:hAnsi="Times New Roman" w:eastAsia="方正小标宋_GBK" w:cs="Times New Roman"/>
          <w:bCs/>
          <w:color w:val="000000"/>
          <w:spacing w:val="-20"/>
          <w:kern w:val="36"/>
          <w:sz w:val="44"/>
          <w:szCs w:val="44"/>
          <w:lang w:eastAsia="zh-CN"/>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line="632" w:lineRule="exact"/>
        <w:ind w:firstLine="0" w:firstLineChars="0"/>
        <w:jc w:val="center"/>
        <w:textAlignment w:val="auto"/>
        <w:rPr>
          <w:rFonts w:hint="default" w:ascii="Times New Roman" w:hAnsi="Times New Roman" w:eastAsia="方正仿宋_GBK" w:cs="Times New Roman"/>
          <w:b w:val="0"/>
          <w:bCs/>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2" w:lineRule="exact"/>
        <w:ind w:firstLine="0" w:firstLineChars="0"/>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2" w:lineRule="exact"/>
        <w:ind w:firstLine="0" w:firstLineChars="0"/>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32" w:lineRule="exact"/>
        <w:ind w:firstLine="0" w:firstLineChars="0"/>
        <w:jc w:val="center"/>
        <w:textAlignment w:val="auto"/>
        <w:rPr>
          <w:rFonts w:hint="default"/>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2" w:lineRule="exact"/>
        <w:ind w:firstLine="0" w:firstLineChars="0"/>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32" w:lineRule="exact"/>
        <w:ind w:firstLine="0" w:firstLineChars="0"/>
        <w:jc w:val="center"/>
        <w:textAlignment w:val="auto"/>
        <w:rPr>
          <w:rFonts w:hint="default"/>
          <w:lang w:val="en-US" w:eastAsia="zh-CN"/>
        </w:rPr>
      </w:pPr>
    </w:p>
    <w:p>
      <w:pPr>
        <w:pStyle w:val="10"/>
        <w:keepNext w:val="0"/>
        <w:keepLines w:val="0"/>
        <w:pageBreakBefore w:val="0"/>
        <w:kinsoku/>
        <w:wordWrap/>
        <w:overflowPunct/>
        <w:topLinePunct w:val="0"/>
        <w:bidi w:val="0"/>
        <w:snapToGrid/>
        <w:spacing w:line="632"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10"/>
          <w:sz w:val="32"/>
          <w:szCs w:val="32"/>
          <w:lang w:val="en-US" w:eastAsia="zh-CN"/>
        </w:rPr>
        <w:t>铜经信</w:t>
      </w:r>
      <w:r>
        <w:rPr>
          <w:rFonts w:hint="eastAsia" w:ascii="Times New Roman" w:hAnsi="Times New Roman" w:eastAsia="方正仿宋_GBK" w:cs="Times New Roman"/>
          <w:color w:val="000000"/>
          <w:spacing w:val="10"/>
          <w:sz w:val="32"/>
          <w:szCs w:val="32"/>
          <w:lang w:val="en-US"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号</w:t>
      </w:r>
    </w:p>
    <w:p>
      <w:pPr>
        <w:pStyle w:val="10"/>
        <w:rPr>
          <w:rFonts w:hint="default" w:ascii="Times New Roman" w:hAnsi="Times New Roman" w:eastAsia="方正仿宋_GBK" w:cs="Times New Roman"/>
          <w:sz w:val="32"/>
          <w:szCs w:val="32"/>
          <w:lang w:eastAsia="zh-CN"/>
        </w:rPr>
      </w:pPr>
    </w:p>
    <w:p>
      <w:pPr>
        <w:keepNext w:val="0"/>
        <w:keepLines w:val="0"/>
        <w:pageBreakBefore w:val="0"/>
        <w:widowControl w:val="0"/>
        <w:shd w:val="clear" w:color="auto" w:fill="auto"/>
        <w:kinsoku/>
        <w:overflowPunct/>
        <w:topLinePunct w:val="0"/>
        <w:autoSpaceDE/>
        <w:autoSpaceDN/>
        <w:bidi w:val="0"/>
        <w:adjustRightInd w:val="0"/>
        <w:snapToGrid w:val="0"/>
        <w:spacing w:line="60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重庆市铜梁区经济和信息化委员会</w:t>
      </w:r>
    </w:p>
    <w:p>
      <w:pPr>
        <w:keepNext w:val="0"/>
        <w:keepLines w:val="0"/>
        <w:pageBreakBefore w:val="0"/>
        <w:widowControl w:val="0"/>
        <w:shd w:val="clear" w:color="auto" w:fill="auto"/>
        <w:kinsoku/>
        <w:overflowPunct/>
        <w:topLinePunct w:val="0"/>
        <w:autoSpaceDE/>
        <w:autoSpaceDN/>
        <w:bidi w:val="0"/>
        <w:adjustRightInd w:val="0"/>
        <w:snapToGrid w:val="0"/>
        <w:spacing w:line="60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rPr>
      </w:pPr>
      <w:r>
        <w:rPr>
          <w:rFonts w:ascii="Times New Roman" w:hAnsi="Times New Roman" w:eastAsia="方正小标宋_GBK"/>
          <w:kern w:val="0"/>
          <w:sz w:val="44"/>
          <w:szCs w:val="44"/>
        </w:rPr>
        <w:t>关于</w:t>
      </w:r>
      <w:r>
        <w:rPr>
          <w:rFonts w:hint="eastAsia" w:ascii="Times New Roman" w:hAnsi="Times New Roman" w:eastAsia="方正小标宋_GBK"/>
          <w:kern w:val="0"/>
          <w:sz w:val="44"/>
          <w:szCs w:val="44"/>
          <w:lang w:eastAsia="zh-CN"/>
        </w:rPr>
        <w:t>印发</w:t>
      </w:r>
      <w:r>
        <w:rPr>
          <w:rFonts w:hint="default" w:ascii="Times New Roman" w:hAnsi="Times New Roman" w:eastAsia="方正小标宋_GBK" w:cs="Times New Roman"/>
          <w:color w:val="000000"/>
          <w:sz w:val="44"/>
          <w:szCs w:val="44"/>
        </w:rPr>
        <w:t>202</w:t>
      </w:r>
      <w:r>
        <w:rPr>
          <w:rFonts w:hint="eastAsia" w:eastAsia="方正小标宋_GBK" w:cs="Times New Roman"/>
          <w:color w:val="000000"/>
          <w:sz w:val="44"/>
          <w:szCs w:val="44"/>
          <w:lang w:val="en-US" w:eastAsia="zh-CN"/>
        </w:rPr>
        <w:t>5</w:t>
      </w:r>
      <w:r>
        <w:rPr>
          <w:rFonts w:hint="eastAsia" w:ascii="方正小标宋_GBK" w:hAnsi="方正小标宋_GBK" w:eastAsia="方正小标宋_GBK" w:cs="方正小标宋_GBK"/>
          <w:color w:val="000000"/>
          <w:sz w:val="44"/>
          <w:szCs w:val="44"/>
        </w:rPr>
        <w:t>年度</w:t>
      </w:r>
      <w:r>
        <w:rPr>
          <w:rFonts w:hint="eastAsia" w:ascii="方正小标宋_GBK" w:hAnsi="方正小标宋_GBK" w:eastAsia="方正小标宋_GBK" w:cs="方正小标宋_GBK"/>
          <w:color w:val="000000"/>
          <w:sz w:val="44"/>
          <w:szCs w:val="44"/>
          <w:lang w:eastAsia="zh-CN"/>
        </w:rPr>
        <w:t>铜梁区</w:t>
      </w:r>
      <w:r>
        <w:rPr>
          <w:rFonts w:hint="eastAsia" w:ascii="方正小标宋_GBK" w:hAnsi="方正小标宋_GBK" w:eastAsia="方正小标宋_GBK" w:cs="方正小标宋_GBK"/>
          <w:color w:val="000000"/>
          <w:sz w:val="44"/>
          <w:szCs w:val="44"/>
        </w:rPr>
        <w:t>经信系统</w:t>
      </w:r>
      <w:r>
        <w:rPr>
          <w:rFonts w:hint="eastAsia" w:ascii="方正小标宋_GBK" w:hAnsi="方正小标宋_GBK" w:eastAsia="方正小标宋_GBK" w:cs="方正小标宋_GBK"/>
          <w:color w:val="000000"/>
          <w:sz w:val="44"/>
          <w:szCs w:val="44"/>
          <w:lang w:eastAsia="zh-CN"/>
        </w:rPr>
        <w:t>燃气</w:t>
      </w:r>
      <w:r>
        <w:rPr>
          <w:rFonts w:hint="eastAsia" w:ascii="方正小标宋_GBK" w:hAnsi="方正小标宋_GBK" w:eastAsia="方正小标宋_GBK" w:cs="方正小标宋_GBK"/>
          <w:color w:val="000000"/>
          <w:sz w:val="44"/>
          <w:szCs w:val="44"/>
        </w:rPr>
        <w:t>油气</w:t>
      </w:r>
    </w:p>
    <w:p>
      <w:pPr>
        <w:keepNext w:val="0"/>
        <w:keepLines w:val="0"/>
        <w:pageBreakBefore w:val="0"/>
        <w:widowControl w:val="0"/>
        <w:shd w:val="clear" w:color="auto" w:fill="auto"/>
        <w:kinsoku/>
        <w:overflowPunct/>
        <w:topLinePunct w:val="0"/>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小标宋_GBK"/>
          <w:kern w:val="0"/>
          <w:sz w:val="44"/>
          <w:szCs w:val="44"/>
          <w:lang w:val="en-US" w:eastAsia="zh-CN"/>
        </w:rPr>
      </w:pPr>
      <w:r>
        <w:rPr>
          <w:rFonts w:hint="eastAsia" w:ascii="方正小标宋_GBK" w:hAnsi="方正小标宋_GBK" w:eastAsia="方正小标宋_GBK" w:cs="方正小标宋_GBK"/>
          <w:color w:val="000000"/>
          <w:sz w:val="44"/>
          <w:szCs w:val="44"/>
          <w:lang w:eastAsia="zh-CN"/>
        </w:rPr>
        <w:t>电力</w:t>
      </w:r>
      <w:r>
        <w:rPr>
          <w:rFonts w:hint="eastAsia" w:ascii="方正小标宋_GBK" w:hAnsi="方正小标宋_GBK" w:eastAsia="方正小标宋_GBK" w:cs="方正小标宋_GBK"/>
          <w:color w:val="000000"/>
          <w:sz w:val="44"/>
          <w:szCs w:val="44"/>
        </w:rPr>
        <w:t>行业安全生产工作要点</w:t>
      </w:r>
      <w:r>
        <w:rPr>
          <w:rFonts w:hint="eastAsia" w:ascii="Times New Roman" w:hAnsi="Times New Roman" w:eastAsia="方正小标宋_GBK"/>
          <w:kern w:val="0"/>
          <w:sz w:val="44"/>
          <w:szCs w:val="44"/>
          <w:lang w:val="en-US" w:eastAsia="zh-CN"/>
        </w:rPr>
        <w:t>的通知</w:t>
      </w:r>
    </w:p>
    <w:p>
      <w:pPr>
        <w:keepNext w:val="0"/>
        <w:keepLines w:val="0"/>
        <w:pageBreakBefore w:val="0"/>
        <w:widowControl w:val="0"/>
        <w:kinsoku/>
        <w:overflowPunct/>
        <w:topLinePunct w:val="0"/>
        <w:autoSpaceDE/>
        <w:autoSpaceDN/>
        <w:bidi w:val="0"/>
        <w:adjustRightInd w:val="0"/>
        <w:snapToGrid w:val="0"/>
        <w:spacing w:line="600" w:lineRule="exact"/>
        <w:jc w:val="both"/>
        <w:textAlignment w:val="auto"/>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eastAsia="zh-CN"/>
        </w:rPr>
        <w:t>各镇街经发办</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有关企业</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为切实做好</w:t>
      </w:r>
      <w:r>
        <w:rPr>
          <w:rFonts w:hint="eastAsia" w:eastAsia="方正仿宋_GBK" w:cs="Times New Roman"/>
          <w:color w:val="000000"/>
          <w:kern w:val="0"/>
          <w:sz w:val="32"/>
          <w:szCs w:val="32"/>
          <w:lang w:val="en-US" w:eastAsia="zh-CN"/>
        </w:rPr>
        <w:t>2025</w:t>
      </w:r>
      <w:r>
        <w:rPr>
          <w:rFonts w:hint="eastAsia" w:ascii="方正仿宋_GBK" w:hAnsi="方正仿宋_GBK" w:eastAsia="方正仿宋_GBK" w:cs="方正仿宋_GBK"/>
          <w:color w:val="000000"/>
          <w:kern w:val="0"/>
          <w:sz w:val="32"/>
          <w:szCs w:val="32"/>
        </w:rPr>
        <w:t>年</w:t>
      </w:r>
      <w:r>
        <w:rPr>
          <w:rFonts w:hint="eastAsia" w:ascii="方正仿宋_GBK" w:hAnsi="方正仿宋_GBK" w:eastAsia="方正仿宋_GBK" w:cs="方正仿宋_GBK"/>
          <w:color w:val="000000"/>
          <w:kern w:val="0"/>
          <w:sz w:val="32"/>
          <w:szCs w:val="32"/>
          <w:lang w:eastAsia="zh-CN"/>
        </w:rPr>
        <w:t>燃气</w:t>
      </w:r>
      <w:r>
        <w:rPr>
          <w:rFonts w:hint="eastAsia" w:ascii="方正仿宋_GBK" w:hAnsi="方正仿宋_GBK" w:eastAsia="方正仿宋_GBK" w:cs="方正仿宋_GBK"/>
          <w:color w:val="000000"/>
          <w:kern w:val="0"/>
          <w:sz w:val="32"/>
          <w:szCs w:val="32"/>
        </w:rPr>
        <w:t>油气</w:t>
      </w:r>
      <w:r>
        <w:rPr>
          <w:rFonts w:hint="eastAsia" w:ascii="方正仿宋_GBK" w:hAnsi="方正仿宋_GBK" w:eastAsia="方正仿宋_GBK" w:cs="方正仿宋_GBK"/>
          <w:color w:val="000000"/>
          <w:kern w:val="0"/>
          <w:sz w:val="32"/>
          <w:szCs w:val="32"/>
          <w:lang w:eastAsia="zh-CN"/>
        </w:rPr>
        <w:t>电力</w:t>
      </w:r>
      <w:r>
        <w:rPr>
          <w:rFonts w:hint="eastAsia" w:ascii="方正仿宋_GBK" w:hAnsi="方正仿宋_GBK" w:eastAsia="方正仿宋_GBK" w:cs="方正仿宋_GBK"/>
          <w:color w:val="000000"/>
          <w:kern w:val="0"/>
          <w:sz w:val="32"/>
          <w:szCs w:val="32"/>
        </w:rPr>
        <w:t>行业安全生产工作，我委研究制定了《</w:t>
      </w:r>
      <w:r>
        <w:rPr>
          <w:rFonts w:hint="default" w:ascii="Times New Roman" w:hAnsi="Times New Roman" w:eastAsia="方正仿宋_GBK" w:cs="Times New Roman"/>
          <w:color w:val="000000"/>
          <w:kern w:val="0"/>
          <w:sz w:val="32"/>
          <w:szCs w:val="32"/>
        </w:rPr>
        <w:t>202</w:t>
      </w:r>
      <w:r>
        <w:rPr>
          <w:rFonts w:hint="eastAsia" w:eastAsia="方正仿宋_GBK" w:cs="Times New Roman"/>
          <w:color w:val="000000"/>
          <w:kern w:val="0"/>
          <w:sz w:val="32"/>
          <w:szCs w:val="32"/>
          <w:lang w:val="en-US" w:eastAsia="zh-CN"/>
        </w:rPr>
        <w:t>5</w:t>
      </w:r>
      <w:r>
        <w:rPr>
          <w:rFonts w:hint="eastAsia" w:ascii="方正仿宋_GBK" w:hAnsi="方正仿宋_GBK" w:eastAsia="方正仿宋_GBK" w:cs="方正仿宋_GBK"/>
          <w:color w:val="000000"/>
          <w:kern w:val="0"/>
          <w:sz w:val="32"/>
          <w:szCs w:val="32"/>
        </w:rPr>
        <w:t>年度</w:t>
      </w:r>
      <w:r>
        <w:rPr>
          <w:rFonts w:hint="eastAsia" w:ascii="方正仿宋_GBK" w:hAnsi="方正仿宋_GBK" w:eastAsia="方正仿宋_GBK" w:cs="方正仿宋_GBK"/>
          <w:color w:val="000000"/>
          <w:kern w:val="0"/>
          <w:sz w:val="32"/>
          <w:szCs w:val="32"/>
          <w:lang w:eastAsia="zh-CN"/>
        </w:rPr>
        <w:t>铜梁区</w:t>
      </w:r>
      <w:r>
        <w:rPr>
          <w:rFonts w:hint="eastAsia" w:ascii="方正仿宋_GBK" w:hAnsi="方正仿宋_GBK" w:eastAsia="方正仿宋_GBK" w:cs="方正仿宋_GBK"/>
          <w:color w:val="000000"/>
          <w:kern w:val="0"/>
          <w:sz w:val="32"/>
          <w:szCs w:val="32"/>
        </w:rPr>
        <w:t>经信系统</w:t>
      </w:r>
      <w:r>
        <w:rPr>
          <w:rFonts w:hint="eastAsia" w:ascii="方正仿宋_GBK" w:hAnsi="方正仿宋_GBK" w:eastAsia="方正仿宋_GBK" w:cs="方正仿宋_GBK"/>
          <w:color w:val="000000"/>
          <w:kern w:val="0"/>
          <w:sz w:val="32"/>
          <w:szCs w:val="32"/>
          <w:lang w:eastAsia="zh-CN"/>
        </w:rPr>
        <w:t>燃气</w:t>
      </w:r>
      <w:r>
        <w:rPr>
          <w:rFonts w:hint="eastAsia" w:ascii="方正仿宋_GBK" w:hAnsi="方正仿宋_GBK" w:eastAsia="方正仿宋_GBK" w:cs="方正仿宋_GBK"/>
          <w:color w:val="000000"/>
          <w:kern w:val="0"/>
          <w:sz w:val="32"/>
          <w:szCs w:val="32"/>
        </w:rPr>
        <w:t>油气</w:t>
      </w:r>
      <w:r>
        <w:rPr>
          <w:rFonts w:hint="eastAsia" w:ascii="方正仿宋_GBK" w:hAnsi="方正仿宋_GBK" w:eastAsia="方正仿宋_GBK" w:cs="方正仿宋_GBK"/>
          <w:color w:val="000000"/>
          <w:kern w:val="0"/>
          <w:sz w:val="32"/>
          <w:szCs w:val="32"/>
          <w:lang w:eastAsia="zh-CN"/>
        </w:rPr>
        <w:t>电力</w:t>
      </w:r>
      <w:r>
        <w:rPr>
          <w:rFonts w:hint="eastAsia" w:ascii="方正仿宋_GBK" w:hAnsi="方正仿宋_GBK" w:eastAsia="方正仿宋_GBK" w:cs="方正仿宋_GBK"/>
          <w:color w:val="000000"/>
          <w:kern w:val="0"/>
          <w:sz w:val="32"/>
          <w:szCs w:val="32"/>
        </w:rPr>
        <w:t>行业安全生产工作要点》，现印发给你们，请认真贯彻执行。</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eastAsia="zh-CN"/>
        </w:rPr>
        <w:t>特此通知。</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Times New Roman" w:eastAsia="方正仿宋_GBK"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方正仿宋_GBK" w:hAnsi="Times New Roman" w:eastAsia="方正仿宋_GBK" w:cs="Times New Roman"/>
          <w:color w:val="auto"/>
          <w:kern w:val="2"/>
          <w:sz w:val="32"/>
          <w:szCs w:val="32"/>
          <w:lang w:val="en-US" w:eastAsia="zh-CN" w:bidi="ar-SA"/>
        </w:rPr>
      </w:pPr>
      <w:r>
        <w:rPr>
          <w:rFonts w:hint="eastAsia" w:ascii="Times New Roman" w:hAnsi="Times New Roman" w:eastAsia="方正仿宋_GBK"/>
          <w:kern w:val="0"/>
          <w:sz w:val="32"/>
          <w:szCs w:val="32"/>
          <w:lang w:val="en-US" w:eastAsia="zh-CN"/>
        </w:rPr>
        <w:t>附件：</w:t>
      </w:r>
      <w:r>
        <w:rPr>
          <w:rFonts w:hint="default" w:ascii="Times New Roman" w:hAnsi="Times New Roman" w:eastAsia="方正仿宋_GBK" w:cs="Times New Roman"/>
          <w:color w:val="auto"/>
          <w:kern w:val="2"/>
          <w:sz w:val="32"/>
          <w:szCs w:val="32"/>
          <w:lang w:val="en-US" w:eastAsia="zh-CN" w:bidi="ar-SA"/>
        </w:rPr>
        <w:t>2025</w:t>
      </w:r>
      <w:r>
        <w:rPr>
          <w:rFonts w:hint="eastAsia" w:ascii="方正仿宋_GBK" w:hAnsi="Times New Roman" w:eastAsia="方正仿宋_GBK" w:cs="Times New Roman"/>
          <w:color w:val="auto"/>
          <w:kern w:val="2"/>
          <w:sz w:val="32"/>
          <w:szCs w:val="32"/>
          <w:lang w:val="en-US" w:eastAsia="zh-CN" w:bidi="ar-SA"/>
        </w:rPr>
        <w:t>年度铜梁区经信系统燃气油气电力行业安全生产</w:t>
      </w:r>
      <w:r>
        <w:rPr>
          <w:rFonts w:hint="eastAsia" w:ascii="方正仿宋_GBK" w:hAnsi="Times New Roman" w:eastAsia="方正仿宋_GBK" w:cs="Times New Roman"/>
          <w:color w:val="auto"/>
          <w:kern w:val="2"/>
          <w:sz w:val="32"/>
          <w:szCs w:val="32"/>
          <w:lang w:val="en-US" w:eastAsia="zh-CN" w:bidi="ar-SA"/>
        </w:rPr>
        <w:tab/>
      </w:r>
      <w:r>
        <w:rPr>
          <w:rFonts w:hint="eastAsia" w:ascii="方正仿宋_GBK" w:hAnsi="Times New Roman" w:eastAsia="方正仿宋_GBK" w:cs="Times New Roman"/>
          <w:color w:val="auto"/>
          <w:kern w:val="2"/>
          <w:sz w:val="32"/>
          <w:szCs w:val="32"/>
          <w:lang w:val="en-US" w:eastAsia="zh-CN" w:bidi="ar-SA"/>
        </w:rPr>
        <w:tab/>
      </w:r>
      <w:r>
        <w:rPr>
          <w:rFonts w:hint="eastAsia" w:ascii="方正仿宋_GBK" w:hAnsi="Times New Roman" w:eastAsia="方正仿宋_GBK" w:cs="Times New Roman"/>
          <w:color w:val="auto"/>
          <w:kern w:val="2"/>
          <w:sz w:val="32"/>
          <w:szCs w:val="32"/>
          <w:lang w:val="en-US" w:eastAsia="zh-CN" w:bidi="ar-SA"/>
        </w:rPr>
        <w:tab/>
      </w:r>
      <w:r>
        <w:rPr>
          <w:rFonts w:hint="eastAsia" w:ascii="方正仿宋_GBK" w:hAnsi="Times New Roman" w:eastAsia="方正仿宋_GBK" w:cs="Times New Roman"/>
          <w:color w:val="auto"/>
          <w:kern w:val="2"/>
          <w:sz w:val="32"/>
          <w:szCs w:val="32"/>
          <w:lang w:val="en-US" w:eastAsia="zh-CN" w:bidi="ar-SA"/>
        </w:rPr>
        <w:t xml:space="preserve">  工作要点</w:t>
      </w:r>
    </w:p>
    <w:p>
      <w:pPr>
        <w:keepNext w:val="0"/>
        <w:keepLines w:val="0"/>
        <w:pageBreakBefore w:val="0"/>
        <w:widowControl w:val="0"/>
        <w:tabs>
          <w:tab w:val="left" w:pos="7560"/>
        </w:tabs>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ascii="Times New Roman" w:hAnsi="Times New Roman" w:eastAsia="方正仿宋_GBK"/>
          <w:kern w:val="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eastAsia="方正仿宋_GBK"/>
          <w:kern w:val="0"/>
          <w:sz w:val="32"/>
          <w:szCs w:val="32"/>
          <w:lang w:eastAsia="zh-CN"/>
        </w:rPr>
      </w:pPr>
      <w:r>
        <w:rPr>
          <w:rFonts w:hint="eastAsia" w:eastAsia="方正仿宋_GBK"/>
          <w:kern w:val="0"/>
          <w:sz w:val="32"/>
          <w:szCs w:val="32"/>
          <w:lang w:eastAsia="zh-CN"/>
        </w:rPr>
        <w:t>（此页无正文）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lang w:eastAsia="zh-CN"/>
        </w:rPr>
      </w:pPr>
    </w:p>
    <w:p>
      <w:pPr>
        <w:keepNext w:val="0"/>
        <w:keepLines w:val="0"/>
        <w:pageBreakBefore w:val="0"/>
        <w:widowControl w:val="0"/>
        <w:tabs>
          <w:tab w:val="left" w:pos="7560"/>
        </w:tabs>
        <w:kinsoku/>
        <w:wordWrap w:val="0"/>
        <w:overflowPunct/>
        <w:topLinePunct w:val="0"/>
        <w:autoSpaceDE/>
        <w:autoSpaceDN/>
        <w:bidi w:val="0"/>
        <w:adjustRightInd w:val="0"/>
        <w:snapToGrid w:val="0"/>
        <w:spacing w:before="0" w:beforeAutospacing="0" w:after="0" w:afterAutospacing="0" w:line="600" w:lineRule="exact"/>
        <w:ind w:firstLine="0" w:firstLineChars="0"/>
        <w:jc w:val="right"/>
        <w:textAlignment w:val="auto"/>
        <w:rPr>
          <w:rFonts w:hint="default" w:ascii="Times New Roman" w:hAnsi="Times New Roman" w:eastAsia="方正仿宋_GBK"/>
          <w:kern w:val="0"/>
          <w:sz w:val="32"/>
          <w:szCs w:val="32"/>
          <w:lang w:val="en-US" w:eastAsia="zh-CN"/>
        </w:rPr>
      </w:pPr>
      <w:r>
        <w:rPr>
          <w:rFonts w:ascii="Times New Roman" w:hAnsi="Times New Roman" w:eastAsia="方正仿宋_GBK"/>
          <w:kern w:val="0"/>
          <w:sz w:val="32"/>
          <w:szCs w:val="32"/>
        </w:rPr>
        <w:t>重庆市</w:t>
      </w:r>
      <w:r>
        <w:rPr>
          <w:rFonts w:hint="eastAsia" w:ascii="Times New Roman" w:hAnsi="Times New Roman" w:eastAsia="方正仿宋_GBK"/>
          <w:kern w:val="0"/>
          <w:sz w:val="32"/>
          <w:szCs w:val="32"/>
          <w:lang w:val="en-US" w:eastAsia="zh-CN"/>
        </w:rPr>
        <w:t>铜梁区</w:t>
      </w:r>
      <w:r>
        <w:rPr>
          <w:rFonts w:ascii="Times New Roman" w:hAnsi="Times New Roman" w:eastAsia="方正仿宋_GBK"/>
          <w:kern w:val="0"/>
          <w:sz w:val="32"/>
          <w:szCs w:val="32"/>
        </w:rPr>
        <w:t>经济和信息化委员</w:t>
      </w:r>
      <w:r>
        <w:rPr>
          <w:rFonts w:hint="eastAsia" w:eastAsia="方正仿宋_GBK"/>
          <w:kern w:val="0"/>
          <w:sz w:val="32"/>
          <w:szCs w:val="32"/>
          <w:lang w:val="en-US" w:eastAsia="zh-CN"/>
        </w:rPr>
        <w:t xml:space="preserve">    </w:t>
      </w:r>
    </w:p>
    <w:p>
      <w:pPr>
        <w:keepNext w:val="0"/>
        <w:keepLines w:val="0"/>
        <w:pageBreakBefore w:val="0"/>
        <w:widowControl w:val="0"/>
        <w:tabs>
          <w:tab w:val="left" w:pos="7560"/>
        </w:tabs>
        <w:kinsoku/>
        <w:wordWrap w:val="0"/>
        <w:overflowPunct/>
        <w:topLinePunct w:val="0"/>
        <w:autoSpaceDE/>
        <w:autoSpaceDN/>
        <w:bidi w:val="0"/>
        <w:adjustRightInd w:val="0"/>
        <w:snapToGrid w:val="0"/>
        <w:spacing w:before="0" w:beforeAutospacing="0" w:after="0" w:afterAutospacing="0" w:line="600" w:lineRule="exact"/>
        <w:ind w:firstLine="0" w:firstLineChars="0"/>
        <w:jc w:val="right"/>
        <w:textAlignment w:val="auto"/>
        <w:rPr>
          <w:rFonts w:hint="eastAsia" w:eastAsia="方正仿宋_GBK"/>
          <w:kern w:val="0"/>
          <w:sz w:val="32"/>
          <w:szCs w:val="32"/>
          <w:lang w:val="en-US" w:eastAsia="zh-CN"/>
        </w:rPr>
      </w:pPr>
      <w:r>
        <w:rPr>
          <w:rFonts w:ascii="Times New Roman" w:hAnsi="Times New Roman" w:eastAsia="方正仿宋_GBK"/>
          <w:kern w:val="0"/>
          <w:sz w:val="32"/>
          <w:szCs w:val="32"/>
        </w:rPr>
        <w:t>20</w:t>
      </w:r>
      <w:r>
        <w:rPr>
          <w:rFonts w:hint="eastAsia" w:ascii="Times New Roman" w:hAnsi="Times New Roman" w:eastAsia="方正仿宋_GBK"/>
          <w:kern w:val="0"/>
          <w:sz w:val="32"/>
          <w:szCs w:val="32"/>
          <w:lang w:val="en-US" w:eastAsia="zh-CN"/>
        </w:rPr>
        <w:t>25</w:t>
      </w:r>
      <w:r>
        <w:rPr>
          <w:rFonts w:ascii="Times New Roman" w:hAnsi="Times New Roman" w:eastAsia="方正仿宋_GBK"/>
          <w:kern w:val="0"/>
          <w:sz w:val="32"/>
          <w:szCs w:val="32"/>
        </w:rPr>
        <w:t>年</w:t>
      </w:r>
      <w:r>
        <w:rPr>
          <w:rFonts w:hint="eastAsia" w:ascii="Times New Roman" w:hAnsi="Times New Roman" w:eastAsia="方正仿宋_GBK"/>
          <w:kern w:val="0"/>
          <w:sz w:val="32"/>
          <w:szCs w:val="32"/>
          <w:lang w:val="en-US" w:eastAsia="zh-CN"/>
        </w:rPr>
        <w:t>1</w:t>
      </w:r>
      <w:r>
        <w:rPr>
          <w:rFonts w:ascii="Times New Roman" w:hAnsi="Times New Roman" w:eastAsia="方正仿宋_GBK"/>
          <w:kern w:val="0"/>
          <w:sz w:val="32"/>
          <w:szCs w:val="32"/>
        </w:rPr>
        <w:t>月</w:t>
      </w:r>
      <w:r>
        <w:rPr>
          <w:rFonts w:hint="eastAsia" w:ascii="Times New Roman" w:hAnsi="Times New Roman" w:eastAsia="方正仿宋_GBK"/>
          <w:kern w:val="0"/>
          <w:sz w:val="32"/>
          <w:szCs w:val="32"/>
          <w:lang w:val="en-US" w:eastAsia="zh-CN"/>
        </w:rPr>
        <w:t>1</w:t>
      </w:r>
      <w:r>
        <w:rPr>
          <w:rFonts w:hint="eastAsia" w:eastAsia="方正仿宋_GBK"/>
          <w:kern w:val="0"/>
          <w:sz w:val="32"/>
          <w:szCs w:val="32"/>
          <w:lang w:val="en-US" w:eastAsia="zh-CN"/>
        </w:rPr>
        <w:t>6</w:t>
      </w:r>
      <w:r>
        <w:rPr>
          <w:rFonts w:ascii="Times New Roman" w:hAnsi="Times New Roman" w:eastAsia="方正仿宋_GBK"/>
          <w:kern w:val="0"/>
          <w:sz w:val="32"/>
          <w:szCs w:val="32"/>
        </w:rPr>
        <w:t>日</w:t>
      </w:r>
      <w:r>
        <w:rPr>
          <w:rFonts w:hint="eastAsia" w:eastAsia="方正仿宋_GBK"/>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（此件主动公开）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（联系人：蒋德银；联系电话：</w:t>
      </w:r>
      <w:r>
        <w:rPr>
          <w:rFonts w:hint="default" w:ascii="Times New Roman" w:hAnsi="Times New Roman" w:eastAsia="方正仿宋_GBK" w:cs="Times New Roman"/>
          <w:sz w:val="32"/>
          <w:szCs w:val="32"/>
          <w:lang w:val="en-US" w:eastAsia="zh-CN"/>
        </w:rPr>
        <w:t>45684701</w:t>
      </w:r>
      <w:r>
        <w:rPr>
          <w:rFonts w:hint="eastAsia" w:ascii="方正仿宋_GBK" w:hAnsi="方正仿宋_GBK" w:eastAsia="方正仿宋_GBK" w:cs="方正仿宋_GBK"/>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lang w:eastAsia="zh-CN"/>
        </w:rPr>
      </w:pPr>
    </w:p>
    <w:p>
      <w:pPr>
        <w:pStyle w:val="2"/>
        <w:keepNext w:val="0"/>
        <w:keepLines w:val="0"/>
        <w:pageBreakBefore w:val="0"/>
        <w:widowControl w:val="0"/>
        <w:kinsoku/>
        <w:wordWrap/>
        <w:overflowPunct/>
        <w:topLinePunct w:val="0"/>
        <w:autoSpaceDE/>
        <w:autoSpaceDN/>
        <w:bidi w:val="0"/>
        <w:spacing w:line="600" w:lineRule="exact"/>
        <w:textAlignment w:val="auto"/>
        <w:rPr>
          <w:rFonts w:hint="default"/>
          <w:lang w:eastAsia="zh-CN"/>
        </w:rPr>
      </w:pPr>
    </w:p>
    <w:p>
      <w:pPr>
        <w:pStyle w:val="2"/>
        <w:keepNext w:val="0"/>
        <w:keepLines w:val="0"/>
        <w:pageBreakBefore w:val="0"/>
        <w:widowControl w:val="0"/>
        <w:kinsoku/>
        <w:wordWrap/>
        <w:overflowPunct/>
        <w:topLinePunct w:val="0"/>
        <w:autoSpaceDE/>
        <w:autoSpaceDN/>
        <w:bidi w:val="0"/>
        <w:spacing w:line="600" w:lineRule="exact"/>
        <w:textAlignment w:val="auto"/>
        <w:rPr>
          <w:rFonts w:hint="default"/>
          <w:lang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lang w:eastAsia="zh-CN"/>
        </w:rPr>
      </w:pPr>
    </w:p>
    <w:p>
      <w:pPr>
        <w:pStyle w:val="2"/>
        <w:keepNext w:val="0"/>
        <w:keepLines w:val="0"/>
        <w:pageBreakBefore w:val="0"/>
        <w:widowControl w:val="0"/>
        <w:kinsoku/>
        <w:wordWrap/>
        <w:overflowPunct/>
        <w:topLinePunct w:val="0"/>
        <w:autoSpaceDE/>
        <w:autoSpaceDN/>
        <w:bidi w:val="0"/>
        <w:spacing w:line="600" w:lineRule="exact"/>
        <w:textAlignment w:val="auto"/>
        <w:rPr>
          <w:rFonts w:hint="default"/>
          <w:lang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lang w:eastAsia="zh-CN"/>
        </w:rPr>
      </w:pPr>
    </w:p>
    <w:p>
      <w:pPr>
        <w:pStyle w:val="2"/>
        <w:keepNext w:val="0"/>
        <w:keepLines w:val="0"/>
        <w:pageBreakBefore w:val="0"/>
        <w:widowControl w:val="0"/>
        <w:pBdr>
          <w:top w:val="single" w:color="auto" w:sz="4" w:space="0"/>
          <w:left w:val="none" w:color="auto" w:sz="0" w:space="0"/>
          <w:bottom w:val="single" w:color="auto" w:sz="4" w:space="0"/>
          <w:right w:val="none" w:color="auto" w:sz="0" w:space="0"/>
          <w:between w:val="none" w:color="auto" w:sz="0" w:space="0"/>
        </w:pBdr>
        <w:kinsoku/>
        <w:wordWrap/>
        <w:overflowPunct/>
        <w:topLinePunct w:val="0"/>
        <w:autoSpaceDE/>
        <w:autoSpaceDN/>
        <w:bidi w:val="0"/>
        <w:adjustRightInd w:val="0"/>
        <w:snapToGrid w:val="0"/>
        <w:spacing w:afterLines="0" w:line="520" w:lineRule="exact"/>
        <w:ind w:left="0" w:leftChars="0" w:firstLine="0" w:firstLineChars="0"/>
        <w:jc w:val="both"/>
        <w:textAlignment w:val="auto"/>
        <w:outlineLvl w:val="9"/>
        <w:rPr>
          <w:rFonts w:hint="default" w:ascii="Times New Roman" w:hAnsi="Times New Roman" w:eastAsia="方正小标宋_GBK" w:cs="Times New Roman"/>
          <w:color w:val="000000"/>
          <w:sz w:val="44"/>
          <w:szCs w:val="44"/>
        </w:rPr>
      </w:pPr>
      <w:r>
        <w:rPr>
          <w:rFonts w:hint="eastAsia" w:ascii="方正黑体_GBK" w:hAnsi="Times New Roman" w:eastAsia="方正黑体_GBK" w:cs="Times New Roman"/>
          <w:color w:val="auto"/>
          <w:kern w:val="2"/>
          <w:sz w:val="32"/>
          <w:szCs w:val="32"/>
          <w:lang w:val="en-US" w:eastAsia="zh-CN" w:bidi="ar-SA"/>
        </w:rPr>
        <w:br w:type="page"/>
      </w:r>
    </w:p>
    <w:p>
      <w:pPr>
        <w:widowControl w:val="0"/>
        <w:shd w:val="clear" w:color="auto" w:fill="auto"/>
        <w:adjustRightInd w:val="0"/>
        <w:snapToGrid w:val="0"/>
        <w:spacing w:line="600" w:lineRule="atLeast"/>
        <w:ind w:left="0" w:leftChars="0" w:firstLine="0" w:firstLineChars="0"/>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附件</w:t>
      </w:r>
    </w:p>
    <w:p>
      <w:pPr>
        <w:widowControl w:val="0"/>
        <w:shd w:val="clear" w:color="auto" w:fill="auto"/>
        <w:adjustRightInd w:val="0"/>
        <w:snapToGrid w:val="0"/>
        <w:spacing w:line="600" w:lineRule="atLeast"/>
        <w:ind w:left="0" w:leftChars="0" w:firstLine="0" w:firstLineChars="0"/>
        <w:jc w:val="left"/>
        <w:rPr>
          <w:rFonts w:hint="eastAsia" w:eastAsia="方正小标宋_GBK" w:cs="Times New Roman"/>
          <w:color w:val="000000"/>
          <w:sz w:val="32"/>
          <w:szCs w:val="32"/>
          <w:lang w:eastAsia="zh-CN"/>
        </w:rPr>
      </w:pPr>
    </w:p>
    <w:p>
      <w:pPr>
        <w:widowControl w:val="0"/>
        <w:shd w:val="clear" w:color="auto" w:fill="auto"/>
        <w:adjustRightInd w:val="0"/>
        <w:snapToGrid w:val="0"/>
        <w:spacing w:line="600" w:lineRule="atLeast"/>
        <w:ind w:left="0" w:leftChars="0" w:firstLine="0" w:firstLineChars="0"/>
        <w:jc w:val="center"/>
        <w:rPr>
          <w:rFonts w:hint="eastAsia" w:ascii="方正小标宋_GBK" w:hAnsi="方正小标宋_GBK" w:eastAsia="方正小标宋_GBK" w:cs="方正小标宋_GBK"/>
          <w:color w:val="000000"/>
          <w:sz w:val="44"/>
          <w:szCs w:val="44"/>
        </w:rPr>
      </w:pPr>
      <w:r>
        <w:rPr>
          <w:rFonts w:hint="default" w:ascii="Times New Roman" w:hAnsi="Times New Roman" w:eastAsia="方正小标宋_GBK" w:cs="Times New Roman"/>
          <w:color w:val="000000"/>
          <w:sz w:val="44"/>
          <w:szCs w:val="44"/>
        </w:rPr>
        <w:t>202</w:t>
      </w:r>
      <w:r>
        <w:rPr>
          <w:rFonts w:hint="eastAsia" w:eastAsia="方正小标宋_GBK" w:cs="Times New Roman"/>
          <w:color w:val="000000"/>
          <w:sz w:val="44"/>
          <w:szCs w:val="44"/>
          <w:lang w:val="en-US" w:eastAsia="zh-CN"/>
        </w:rPr>
        <w:t>5</w:t>
      </w:r>
      <w:r>
        <w:rPr>
          <w:rFonts w:hint="eastAsia" w:ascii="方正小标宋_GBK" w:hAnsi="方正小标宋_GBK" w:eastAsia="方正小标宋_GBK" w:cs="方正小标宋_GBK"/>
          <w:color w:val="000000"/>
          <w:sz w:val="44"/>
          <w:szCs w:val="44"/>
        </w:rPr>
        <w:t>年度</w:t>
      </w:r>
      <w:r>
        <w:rPr>
          <w:rFonts w:hint="eastAsia" w:ascii="方正小标宋_GBK" w:hAnsi="方正小标宋_GBK" w:eastAsia="方正小标宋_GBK" w:cs="方正小标宋_GBK"/>
          <w:color w:val="000000"/>
          <w:sz w:val="44"/>
          <w:szCs w:val="44"/>
          <w:lang w:eastAsia="zh-CN"/>
        </w:rPr>
        <w:t>铜梁区</w:t>
      </w:r>
      <w:r>
        <w:rPr>
          <w:rFonts w:hint="eastAsia" w:ascii="方正小标宋_GBK" w:hAnsi="方正小标宋_GBK" w:eastAsia="方正小标宋_GBK" w:cs="方正小标宋_GBK"/>
          <w:color w:val="000000"/>
          <w:sz w:val="44"/>
          <w:szCs w:val="44"/>
        </w:rPr>
        <w:t>经信系统</w:t>
      </w:r>
      <w:r>
        <w:rPr>
          <w:rFonts w:hint="eastAsia" w:ascii="方正小标宋_GBK" w:hAnsi="方正小标宋_GBK" w:eastAsia="方正小标宋_GBK" w:cs="方正小标宋_GBK"/>
          <w:color w:val="000000"/>
          <w:sz w:val="44"/>
          <w:szCs w:val="44"/>
          <w:lang w:eastAsia="zh-CN"/>
        </w:rPr>
        <w:t>燃气</w:t>
      </w:r>
      <w:r>
        <w:rPr>
          <w:rFonts w:hint="eastAsia" w:ascii="方正小标宋_GBK" w:hAnsi="方正小标宋_GBK" w:eastAsia="方正小标宋_GBK" w:cs="方正小标宋_GBK"/>
          <w:color w:val="000000"/>
          <w:sz w:val="44"/>
          <w:szCs w:val="44"/>
        </w:rPr>
        <w:t>油气</w:t>
      </w:r>
      <w:r>
        <w:rPr>
          <w:rFonts w:hint="eastAsia" w:ascii="方正小标宋_GBK" w:hAnsi="方正小标宋_GBK" w:eastAsia="方正小标宋_GBK" w:cs="方正小标宋_GBK"/>
          <w:color w:val="000000"/>
          <w:sz w:val="44"/>
          <w:szCs w:val="44"/>
          <w:lang w:eastAsia="zh-CN"/>
        </w:rPr>
        <w:t>电力</w:t>
      </w:r>
      <w:r>
        <w:rPr>
          <w:rFonts w:hint="eastAsia" w:ascii="方正小标宋_GBK" w:hAnsi="方正小标宋_GBK" w:eastAsia="方正小标宋_GBK" w:cs="方正小标宋_GBK"/>
          <w:color w:val="000000"/>
          <w:sz w:val="44"/>
          <w:szCs w:val="44"/>
        </w:rPr>
        <w:t>行业</w:t>
      </w:r>
    </w:p>
    <w:p>
      <w:pPr>
        <w:widowControl w:val="0"/>
        <w:shd w:val="clear" w:color="auto" w:fill="auto"/>
        <w:adjustRightInd w:val="0"/>
        <w:snapToGrid w:val="0"/>
        <w:spacing w:line="600" w:lineRule="atLeast"/>
        <w:ind w:left="0" w:leftChars="0" w:firstLine="0" w:firstLineChars="0"/>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安全生产工作要点</w:t>
      </w:r>
    </w:p>
    <w:p>
      <w:pPr>
        <w:widowControl w:val="0"/>
        <w:shd w:val="clear" w:color="auto" w:fill="auto"/>
        <w:adjustRightInd w:val="0"/>
        <w:snapToGrid w:val="0"/>
        <w:spacing w:line="600" w:lineRule="atLeast"/>
        <w:ind w:left="0" w:leftChars="0" w:firstLine="0" w:firstLineChars="0"/>
        <w:rPr>
          <w:rFonts w:ascii="Times New Roman" w:hAnsi="Times New Roman" w:eastAsia="仿宋"/>
          <w:color w:val="000000"/>
          <w:sz w:val="32"/>
          <w:szCs w:val="32"/>
        </w:rPr>
      </w:pPr>
    </w:p>
    <w:p>
      <w:pPr>
        <w:keepNext w:val="0"/>
        <w:keepLines w:val="0"/>
        <w:pageBreakBefore w:val="0"/>
        <w:widowControl w:val="0"/>
        <w:shd w:val="clear" w:color="auto" w:fill="auto"/>
        <w:kinsoku/>
        <w:wordWrap/>
        <w:overflowPunct/>
        <w:topLinePunct w:val="0"/>
        <w:bidi w:val="0"/>
        <w:adjustRightInd w:val="0"/>
        <w:snapToGrid w:val="0"/>
        <w:spacing w:line="594" w:lineRule="exact"/>
        <w:ind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为</w:t>
      </w:r>
      <w:r>
        <w:rPr>
          <w:rFonts w:hint="eastAsia" w:eastAsia="方正仿宋_GBK"/>
          <w:color w:val="000000"/>
          <w:sz w:val="32"/>
          <w:szCs w:val="32"/>
          <w:lang w:eastAsia="zh-CN"/>
        </w:rPr>
        <w:t>贯彻落实区委、区政府安全生产工作部署，持续提升我区燃气油气电力行业安全水平，切实保障人民群众生命财产安全和公共安全，根据《中华人民共和国安全生产法》《中华人民共和国电力法》《城镇燃气管理条例》《重庆市天然气加气站管理办法》等规定，结合我区实际，制定本工作要点</w:t>
      </w:r>
      <w:r>
        <w:rPr>
          <w:rFonts w:ascii="Times New Roman" w:hAnsi="Times New Roman" w:eastAsia="方正仿宋_GBK"/>
          <w:color w:val="000000"/>
          <w:sz w:val="32"/>
          <w:szCs w:val="32"/>
        </w:rPr>
        <w:t>。</w:t>
      </w:r>
    </w:p>
    <w:p>
      <w:pPr>
        <w:keepNext w:val="0"/>
        <w:keepLines w:val="0"/>
        <w:pageBreakBefore w:val="0"/>
        <w:widowControl w:val="0"/>
        <w:shd w:val="clear" w:color="auto" w:fill="auto"/>
        <w:kinsoku/>
        <w:wordWrap/>
        <w:overflowPunct/>
        <w:topLinePunct w:val="0"/>
        <w:bidi w:val="0"/>
        <w:adjustRightInd w:val="0"/>
        <w:snapToGrid w:val="0"/>
        <w:spacing w:line="594" w:lineRule="exact"/>
        <w:ind w:firstLine="640" w:firstLineChars="200"/>
        <w:jc w:val="both"/>
        <w:textAlignment w:val="auto"/>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一、总体要求</w:t>
      </w:r>
    </w:p>
    <w:p>
      <w:pPr>
        <w:keepNext w:val="0"/>
        <w:keepLines w:val="0"/>
        <w:pageBreakBefore w:val="0"/>
        <w:widowControl w:val="0"/>
        <w:shd w:val="clear" w:color="auto" w:fill="auto"/>
        <w:kinsoku/>
        <w:wordWrap/>
        <w:overflowPunct/>
        <w:topLinePunct w:val="0"/>
        <w:bidi w:val="0"/>
        <w:adjustRightInd w:val="0"/>
        <w:snapToGrid w:val="0"/>
        <w:spacing w:line="594" w:lineRule="exact"/>
        <w:ind w:firstLine="640"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s="Times New Roman"/>
          <w:color w:val="000000"/>
          <w:sz w:val="32"/>
          <w:szCs w:val="32"/>
        </w:rPr>
        <w:t>以习近平新时代中国特色社会主义思想为指导，全面贯彻党的</w:t>
      </w:r>
      <w:r>
        <w:rPr>
          <w:rFonts w:hint="eastAsia" w:ascii="Times New Roman" w:hAnsi="Times New Roman" w:eastAsia="方正仿宋_GBK" w:cs="Times New Roman"/>
          <w:color w:val="000000"/>
          <w:sz w:val="32"/>
          <w:szCs w:val="32"/>
          <w:lang w:val="en-US" w:eastAsia="zh-CN"/>
        </w:rPr>
        <w:t>二十</w:t>
      </w:r>
      <w:r>
        <w:rPr>
          <w:rFonts w:ascii="Times New Roman" w:hAnsi="Times New Roman" w:eastAsia="方正仿宋_GBK" w:cs="Times New Roman"/>
          <w:color w:val="000000"/>
          <w:sz w:val="32"/>
          <w:szCs w:val="32"/>
        </w:rPr>
        <w:t>大</w:t>
      </w:r>
      <w:r>
        <w:rPr>
          <w:rFonts w:hint="eastAsia" w:eastAsia="方正仿宋_GBK" w:cs="Times New Roman"/>
          <w:color w:val="000000"/>
          <w:sz w:val="32"/>
          <w:szCs w:val="32"/>
          <w:lang w:eastAsia="zh-CN"/>
        </w:rPr>
        <w:t>和二十届二中、三中全会精神以及</w:t>
      </w:r>
      <w:r>
        <w:rPr>
          <w:rFonts w:hint="eastAsia" w:ascii="Times New Roman" w:hAnsi="Times New Roman" w:eastAsia="方正仿宋_GBK" w:cs="Times New Roman"/>
          <w:color w:val="000000"/>
          <w:sz w:val="32"/>
          <w:szCs w:val="32"/>
        </w:rPr>
        <w:t>习近平总书记关于安全生产</w:t>
      </w:r>
      <w:r>
        <w:rPr>
          <w:rFonts w:hint="eastAsia" w:eastAsia="方正仿宋_GBK" w:cs="Times New Roman"/>
          <w:color w:val="000000"/>
          <w:sz w:val="32"/>
          <w:szCs w:val="32"/>
          <w:lang w:eastAsia="zh-CN"/>
        </w:rPr>
        <w:t>的重要论述</w:t>
      </w:r>
      <w:r>
        <w:rPr>
          <w:rFonts w:hint="eastAsia" w:ascii="Times New Roman" w:hAnsi="Times New Roman" w:eastAsia="方正仿宋_GBK" w:cs="Times New Roman"/>
          <w:color w:val="000000"/>
          <w:sz w:val="32"/>
          <w:szCs w:val="32"/>
        </w:rPr>
        <w:t>精神，统筹安全和发展</w:t>
      </w:r>
      <w:r>
        <w:rPr>
          <w:rFonts w:hint="eastAsia" w:eastAsia="方正仿宋_GBK" w:cs="Times New Roman"/>
          <w:color w:val="000000"/>
          <w:sz w:val="32"/>
          <w:szCs w:val="32"/>
          <w:lang w:eastAsia="zh-CN"/>
        </w:rPr>
        <w:t>，</w:t>
      </w:r>
      <w:r>
        <w:rPr>
          <w:rFonts w:ascii="Times New Roman" w:hAnsi="Times New Roman" w:eastAsia="方正仿宋_GBK" w:cs="Times New Roman"/>
          <w:color w:val="000000"/>
          <w:sz w:val="32"/>
          <w:szCs w:val="32"/>
        </w:rPr>
        <w:t>以</w:t>
      </w:r>
      <w:r>
        <w:rPr>
          <w:rFonts w:hint="eastAsia" w:ascii="Times New Roman" w:hAnsi="Times New Roman" w:eastAsia="方正仿宋_GBK" w:cs="Times New Roman"/>
          <w:color w:val="000000"/>
          <w:sz w:val="32"/>
          <w:szCs w:val="32"/>
          <w:lang w:val="en-US" w:eastAsia="zh-CN"/>
        </w:rPr>
        <w:t>防控重大安全风险</w:t>
      </w:r>
      <w:r>
        <w:rPr>
          <w:rFonts w:hint="eastAsia" w:ascii="Times New Roman" w:hAnsi="Times New Roman" w:eastAsia="方正仿宋_GBK" w:cs="Times New Roman"/>
          <w:color w:val="000000"/>
          <w:sz w:val="32"/>
          <w:szCs w:val="32"/>
        </w:rPr>
        <w:t>为目标</w:t>
      </w:r>
      <w:r>
        <w:rPr>
          <w:rFonts w:hint="eastAsia"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rPr>
        <w:t>以</w:t>
      </w:r>
      <w:r>
        <w:rPr>
          <w:rFonts w:hint="eastAsia" w:ascii="Times New Roman" w:hAnsi="Times New Roman" w:eastAsia="方正仿宋_GBK" w:cs="Times New Roman"/>
          <w:color w:val="000000"/>
          <w:sz w:val="32"/>
          <w:szCs w:val="32"/>
          <w:lang w:eastAsia="zh-CN"/>
        </w:rPr>
        <w:t>风险隐患排查整治</w:t>
      </w:r>
      <w:r>
        <w:rPr>
          <w:rFonts w:hint="eastAsia" w:ascii="Times New Roman" w:hAnsi="Times New Roman" w:eastAsia="方正仿宋_GBK" w:cs="Times New Roman"/>
          <w:color w:val="000000"/>
          <w:sz w:val="32"/>
          <w:szCs w:val="32"/>
        </w:rPr>
        <w:t>为主线</w:t>
      </w:r>
      <w:r>
        <w:rPr>
          <w:rFonts w:hint="eastAsia" w:eastAsia="方正仿宋_GBK" w:cs="Times New Roman"/>
          <w:color w:val="000000"/>
          <w:sz w:val="32"/>
          <w:szCs w:val="32"/>
          <w:lang w:eastAsia="zh-CN"/>
        </w:rPr>
        <w:t>、</w:t>
      </w:r>
      <w:r>
        <w:rPr>
          <w:rFonts w:ascii="Times New Roman" w:hAnsi="Times New Roman" w:eastAsia="方正仿宋_GBK" w:cs="Times New Roman"/>
          <w:color w:val="000000"/>
          <w:sz w:val="32"/>
          <w:szCs w:val="32"/>
        </w:rPr>
        <w:t>以落实企业安全生产主体责任为重</w:t>
      </w:r>
      <w:r>
        <w:rPr>
          <w:rFonts w:hint="eastAsia" w:ascii="Times New Roman" w:hAnsi="Times New Roman" w:eastAsia="方正仿宋_GBK" w:cs="Times New Roman"/>
          <w:color w:val="000000"/>
          <w:sz w:val="32"/>
          <w:szCs w:val="32"/>
        </w:rPr>
        <w:t>点，强化行业安全监管，</w:t>
      </w:r>
      <w:r>
        <w:rPr>
          <w:rFonts w:hint="eastAsia" w:ascii="Times New Roman" w:hAnsi="Times New Roman" w:eastAsia="方正仿宋_GBK" w:cs="Times New Roman"/>
          <w:color w:val="000000"/>
          <w:sz w:val="32"/>
          <w:szCs w:val="32"/>
          <w:lang w:eastAsia="zh-CN"/>
        </w:rPr>
        <w:t>大力开展</w:t>
      </w:r>
      <w:r>
        <w:rPr>
          <w:rFonts w:hint="eastAsia" w:ascii="Times New Roman" w:hAnsi="Times New Roman" w:eastAsia="方正仿宋_GBK" w:cs="Times New Roman"/>
          <w:color w:val="000000"/>
          <w:sz w:val="32"/>
          <w:szCs w:val="32"/>
        </w:rPr>
        <w:t>风险</w:t>
      </w:r>
      <w:r>
        <w:rPr>
          <w:rFonts w:hint="eastAsia" w:eastAsia="方正仿宋_GBK" w:cs="Times New Roman"/>
          <w:color w:val="000000"/>
          <w:sz w:val="32"/>
          <w:szCs w:val="32"/>
          <w:lang w:eastAsia="zh-CN"/>
        </w:rPr>
        <w:t>隐患</w:t>
      </w:r>
      <w:r>
        <w:rPr>
          <w:rFonts w:hint="eastAsia" w:ascii="Times New Roman" w:hAnsi="Times New Roman" w:eastAsia="方正仿宋_GBK" w:cs="Times New Roman"/>
          <w:color w:val="000000"/>
          <w:sz w:val="32"/>
          <w:szCs w:val="32"/>
        </w:rPr>
        <w:t>排查治理，</w:t>
      </w:r>
      <w:r>
        <w:rPr>
          <w:rFonts w:hint="eastAsia" w:eastAsia="方正仿宋_GBK" w:cs="Times New Roman"/>
          <w:color w:val="000000"/>
          <w:sz w:val="32"/>
          <w:szCs w:val="32"/>
          <w:lang w:eastAsia="zh-CN"/>
        </w:rPr>
        <w:t>持续</w:t>
      </w:r>
      <w:r>
        <w:rPr>
          <w:rFonts w:hint="eastAsia" w:ascii="Times New Roman" w:hAnsi="Times New Roman" w:eastAsia="方正仿宋_GBK" w:cs="Times New Roman"/>
          <w:color w:val="000000"/>
          <w:sz w:val="32"/>
          <w:szCs w:val="32"/>
        </w:rPr>
        <w:t>抓好经信系统</w:t>
      </w:r>
      <w:r>
        <w:rPr>
          <w:rFonts w:hint="eastAsia" w:eastAsia="方正仿宋_GBK" w:cs="Times New Roman"/>
          <w:color w:val="000000"/>
          <w:sz w:val="32"/>
          <w:szCs w:val="32"/>
          <w:lang w:eastAsia="zh-CN"/>
        </w:rPr>
        <w:t>燃气</w:t>
      </w:r>
      <w:r>
        <w:rPr>
          <w:rFonts w:hint="eastAsia" w:ascii="Times New Roman" w:hAnsi="Times New Roman" w:eastAsia="方正仿宋_GBK" w:cs="Times New Roman"/>
          <w:color w:val="000000"/>
          <w:sz w:val="32"/>
          <w:szCs w:val="32"/>
        </w:rPr>
        <w:t>油气</w:t>
      </w:r>
      <w:r>
        <w:rPr>
          <w:rFonts w:hint="eastAsia" w:eastAsia="方正仿宋_GBK" w:cs="Times New Roman"/>
          <w:color w:val="000000"/>
          <w:sz w:val="32"/>
          <w:szCs w:val="32"/>
          <w:lang w:eastAsia="zh-CN"/>
        </w:rPr>
        <w:t>电力</w:t>
      </w:r>
      <w:r>
        <w:rPr>
          <w:rFonts w:hint="eastAsia" w:ascii="Times New Roman" w:hAnsi="Times New Roman" w:eastAsia="方正仿宋_GBK" w:cs="Times New Roman"/>
          <w:color w:val="000000"/>
          <w:sz w:val="32"/>
          <w:szCs w:val="32"/>
        </w:rPr>
        <w:t>行业安全生产重</w:t>
      </w:r>
      <w:r>
        <w:rPr>
          <w:rFonts w:ascii="Times New Roman" w:hAnsi="Times New Roman" w:eastAsia="方正仿宋_GBK" w:cs="Times New Roman"/>
          <w:color w:val="000000"/>
          <w:sz w:val="32"/>
          <w:szCs w:val="32"/>
        </w:rPr>
        <w:t>点领域和关键环节，确保全</w:t>
      </w:r>
      <w:r>
        <w:rPr>
          <w:rFonts w:hint="eastAsia" w:eastAsia="方正仿宋_GBK" w:cs="Times New Roman"/>
          <w:color w:val="000000"/>
          <w:sz w:val="32"/>
          <w:szCs w:val="32"/>
          <w:lang w:eastAsia="zh-CN"/>
        </w:rPr>
        <w:t>区燃气</w:t>
      </w:r>
      <w:r>
        <w:rPr>
          <w:rFonts w:hint="eastAsia" w:ascii="Times New Roman" w:hAnsi="Times New Roman" w:eastAsia="方正仿宋_GBK" w:cs="Times New Roman"/>
          <w:color w:val="000000"/>
          <w:sz w:val="32"/>
          <w:szCs w:val="32"/>
          <w:lang w:eastAsia="zh-CN"/>
        </w:rPr>
        <w:t>油气</w:t>
      </w:r>
      <w:r>
        <w:rPr>
          <w:rFonts w:hint="eastAsia" w:eastAsia="方正仿宋_GBK" w:cs="Times New Roman"/>
          <w:color w:val="000000"/>
          <w:sz w:val="32"/>
          <w:szCs w:val="32"/>
          <w:lang w:eastAsia="zh-CN"/>
        </w:rPr>
        <w:t>电力</w:t>
      </w:r>
      <w:r>
        <w:rPr>
          <w:rFonts w:hint="eastAsia" w:ascii="Times New Roman" w:hAnsi="Times New Roman" w:eastAsia="方正仿宋_GBK" w:cs="Times New Roman"/>
          <w:color w:val="000000"/>
          <w:sz w:val="32"/>
          <w:szCs w:val="32"/>
          <w:lang w:eastAsia="zh-CN"/>
        </w:rPr>
        <w:t>领域</w:t>
      </w:r>
      <w:r>
        <w:rPr>
          <w:rFonts w:ascii="Times New Roman" w:hAnsi="Times New Roman" w:eastAsia="方正仿宋_GBK" w:cs="Times New Roman"/>
          <w:color w:val="000000"/>
          <w:sz w:val="32"/>
          <w:szCs w:val="32"/>
        </w:rPr>
        <w:t>安全稳</w:t>
      </w:r>
      <w:r>
        <w:rPr>
          <w:rFonts w:ascii="Times New Roman" w:hAnsi="Times New Roman" w:eastAsia="方正仿宋_GBK"/>
          <w:color w:val="000000"/>
          <w:sz w:val="32"/>
          <w:szCs w:val="32"/>
        </w:rPr>
        <w:t>定。</w:t>
      </w:r>
    </w:p>
    <w:p>
      <w:pPr>
        <w:keepNext w:val="0"/>
        <w:keepLines w:val="0"/>
        <w:pageBreakBefore w:val="0"/>
        <w:widowControl w:val="0"/>
        <w:shd w:val="clear" w:color="auto" w:fill="auto"/>
        <w:kinsoku/>
        <w:wordWrap/>
        <w:overflowPunct/>
        <w:topLinePunct w:val="0"/>
        <w:bidi w:val="0"/>
        <w:adjustRightInd w:val="0"/>
        <w:snapToGrid w:val="0"/>
        <w:spacing w:line="594" w:lineRule="exact"/>
        <w:ind w:firstLine="640" w:firstLineChars="200"/>
        <w:jc w:val="both"/>
        <w:textAlignment w:val="auto"/>
        <w:rPr>
          <w:rFonts w:hint="eastAsia"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二</w:t>
      </w:r>
      <w:r>
        <w:rPr>
          <w:rFonts w:ascii="Times New Roman" w:hAnsi="Times New Roman" w:eastAsia="方正黑体_GBK"/>
          <w:color w:val="000000"/>
          <w:kern w:val="0"/>
          <w:sz w:val="32"/>
          <w:szCs w:val="32"/>
        </w:rPr>
        <w:t>、工作</w:t>
      </w:r>
      <w:r>
        <w:rPr>
          <w:rFonts w:hint="eastAsia" w:ascii="Times New Roman" w:hAnsi="Times New Roman" w:eastAsia="方正黑体_GBK"/>
          <w:color w:val="000000"/>
          <w:kern w:val="0"/>
          <w:sz w:val="32"/>
          <w:szCs w:val="32"/>
        </w:rPr>
        <w:t>要点</w:t>
      </w:r>
    </w:p>
    <w:p>
      <w:pPr>
        <w:keepNext w:val="0"/>
        <w:keepLines w:val="0"/>
        <w:pageBreakBefore w:val="0"/>
        <w:widowControl w:val="0"/>
        <w:shd w:val="clear" w:color="auto" w:fill="auto"/>
        <w:kinsoku/>
        <w:wordWrap/>
        <w:overflowPunct/>
        <w:topLinePunct w:val="0"/>
        <w:bidi w:val="0"/>
        <w:adjustRightInd w:val="0"/>
        <w:snapToGrid w:val="0"/>
        <w:spacing w:line="594" w:lineRule="exact"/>
        <w:ind w:firstLine="640" w:firstLineChars="200"/>
        <w:jc w:val="both"/>
        <w:textAlignment w:val="auto"/>
        <w:rPr>
          <w:rFonts w:hint="eastAsia" w:eastAsia="方正楷体_GBK"/>
          <w:color w:val="000000"/>
          <w:kern w:val="0"/>
          <w:sz w:val="32"/>
          <w:szCs w:val="32"/>
          <w:highlight w:val="none"/>
          <w:lang w:eastAsia="zh-CN"/>
        </w:rPr>
      </w:pPr>
      <w:r>
        <w:rPr>
          <w:rFonts w:ascii="Times New Roman" w:hAnsi="Times New Roman" w:eastAsia="方正楷体_GBK"/>
          <w:color w:val="000000"/>
          <w:kern w:val="0"/>
          <w:sz w:val="32"/>
          <w:szCs w:val="32"/>
          <w:highlight w:val="none"/>
        </w:rPr>
        <w:t>（一）</w:t>
      </w:r>
      <w:r>
        <w:rPr>
          <w:rFonts w:hint="eastAsia" w:eastAsia="方正楷体_GBK"/>
          <w:color w:val="000000"/>
          <w:kern w:val="0"/>
          <w:sz w:val="32"/>
          <w:szCs w:val="32"/>
          <w:highlight w:val="none"/>
          <w:lang w:eastAsia="zh-CN"/>
        </w:rPr>
        <w:t>燃气行业安全生产工作要点</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000000"/>
          <w:kern w:val="0"/>
          <w:sz w:val="32"/>
          <w:szCs w:val="32"/>
          <w:highlight w:val="none"/>
          <w:lang w:val="en-US" w:eastAsia="zh-CN"/>
        </w:rPr>
        <w:t>1.强化隐患排查整治。</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一是要做好国务院安全生产考核巡查问题整改。</w:t>
      </w:r>
      <w:r>
        <w:rPr>
          <w:rFonts w:hint="eastAsia" w:ascii="方正仿宋_GBK" w:hAnsi="方正仿宋_GBK" w:eastAsia="方正仿宋_GBK" w:cs="方正仿宋_GBK"/>
          <w:color w:val="000000"/>
          <w:kern w:val="0"/>
          <w:sz w:val="32"/>
          <w:szCs w:val="32"/>
          <w:highlight w:val="none"/>
          <w:lang w:val="en-US" w:eastAsia="zh-CN"/>
        </w:rPr>
        <w:t>对标开展国务院安全生产考核巡查发现问题整改，并做好举一反三工作。对照城镇燃气经营安全重大隐患判定标准、安全技术标准等，全面梳理风险点，完善风险分级管控和隐患排查治理双重预防机制。加强对问题整改的监督，把企业主要负责人依法履职、安全生产制度落实等作为检查重点，强化执法惩戒和企业内部考核问责。</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二是要持续开展重大事故隐患排查整治。</w:t>
      </w:r>
      <w:r>
        <w:rPr>
          <w:rFonts w:hint="eastAsia" w:ascii="方正仿宋_GBK" w:hAnsi="方正仿宋_GBK" w:eastAsia="方正仿宋_GBK" w:cs="方正仿宋_GBK"/>
          <w:color w:val="000000"/>
          <w:kern w:val="0"/>
          <w:sz w:val="32"/>
          <w:szCs w:val="32"/>
          <w:highlight w:val="none"/>
          <w:lang w:val="en-US" w:eastAsia="zh-CN"/>
        </w:rPr>
        <w:t>对照燃气经营重大隐患判定标准，将燃气经营重大事故隐患与日周月排查有机结合，完善重大隐患排查整治制度，压实重大隐患管理责任，制订重大风险点清单，明确排查规程和标准，完善闭环管理机制。</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三是开展高层建筑燃气安全排查整治专项行动。</w:t>
      </w:r>
      <w:r>
        <w:rPr>
          <w:rFonts w:hint="eastAsia" w:ascii="方正仿宋_GBK" w:hAnsi="方正仿宋_GBK" w:eastAsia="方正仿宋_GBK" w:cs="方正仿宋_GBK"/>
          <w:color w:val="000000"/>
          <w:kern w:val="0"/>
          <w:sz w:val="32"/>
          <w:szCs w:val="32"/>
          <w:highlight w:val="none"/>
          <w:lang w:val="en-US" w:eastAsia="zh-CN"/>
        </w:rPr>
        <w:t>按照</w:t>
      </w:r>
      <w:r>
        <w:rPr>
          <w:rFonts w:hint="default" w:ascii="Times New Roman" w:hAnsi="Times New Roman" w:eastAsia="方正仿宋_GBK" w:cs="Times New Roman"/>
          <w:color w:val="000000"/>
          <w:kern w:val="0"/>
          <w:sz w:val="32"/>
          <w:szCs w:val="32"/>
          <w:highlight w:val="none"/>
          <w:lang w:val="en-US" w:eastAsia="zh-CN"/>
        </w:rPr>
        <w:t>100%</w:t>
      </w:r>
      <w:r>
        <w:rPr>
          <w:rFonts w:hint="eastAsia" w:ascii="方正仿宋_GBK" w:hAnsi="方正仿宋_GBK" w:eastAsia="方正仿宋_GBK" w:cs="方正仿宋_GBK"/>
          <w:color w:val="000000"/>
          <w:kern w:val="0"/>
          <w:sz w:val="32"/>
          <w:szCs w:val="32"/>
          <w:highlight w:val="none"/>
          <w:lang w:val="en-US" w:eastAsia="zh-CN"/>
        </w:rPr>
        <w:t>排查、</w:t>
      </w:r>
      <w:r>
        <w:rPr>
          <w:rFonts w:hint="default" w:ascii="Times New Roman" w:hAnsi="Times New Roman" w:eastAsia="方正仿宋_GBK" w:cs="Times New Roman"/>
          <w:color w:val="000000"/>
          <w:kern w:val="0"/>
          <w:sz w:val="32"/>
          <w:szCs w:val="32"/>
          <w:highlight w:val="none"/>
          <w:lang w:val="en-US" w:eastAsia="zh-CN"/>
        </w:rPr>
        <w:t>100%</w:t>
      </w:r>
      <w:r>
        <w:rPr>
          <w:rFonts w:hint="eastAsia" w:ascii="方正仿宋_GBK" w:hAnsi="方正仿宋_GBK" w:eastAsia="方正仿宋_GBK" w:cs="方正仿宋_GBK"/>
          <w:color w:val="000000"/>
          <w:kern w:val="0"/>
          <w:sz w:val="32"/>
          <w:szCs w:val="32"/>
          <w:highlight w:val="none"/>
          <w:lang w:val="en-US" w:eastAsia="zh-CN"/>
        </w:rPr>
        <w:t>整治目标，开展燃气使用安全排查整治、供气设施安全排查整治、燃气产品市场治理、燃气安全专项执法四个行动，消除瓶、阀、管、灶、用气环境存在的安全隐患。</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2.</w:t>
      </w:r>
      <w:r>
        <w:rPr>
          <w:rFonts w:hint="eastAsia" w:ascii="方正仿宋_GBK" w:hAnsi="方正仿宋_GBK" w:eastAsia="方正仿宋_GBK" w:cs="方正仿宋_GBK"/>
          <w:color w:val="000000"/>
          <w:kern w:val="0"/>
          <w:sz w:val="32"/>
          <w:szCs w:val="32"/>
          <w:highlight w:val="none"/>
          <w:lang w:val="en-US" w:eastAsia="zh-CN"/>
        </w:rPr>
        <w:t>推进燃气管道更新改造</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一是加强燃气管道更新改造绩效评价。</w:t>
      </w:r>
      <w:r>
        <w:rPr>
          <w:rFonts w:hint="eastAsia" w:ascii="方正仿宋_GBK" w:hAnsi="方正仿宋_GBK" w:eastAsia="方正仿宋_GBK" w:cs="方正仿宋_GBK"/>
          <w:color w:val="000000"/>
          <w:kern w:val="0"/>
          <w:sz w:val="32"/>
          <w:szCs w:val="32"/>
          <w:highlight w:val="none"/>
          <w:lang w:val="en-US" w:eastAsia="zh-CN"/>
        </w:rPr>
        <w:t>采取企业自查、第三方机构抽查等方式，通过隐患、抢险等趋势分析，开展燃气管道评估改造绩效评价，强化评价结果在监督检查、项目申报等方面应用。</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二是开展燃气管道动态评估。</w:t>
      </w:r>
      <w:r>
        <w:rPr>
          <w:rFonts w:hint="eastAsia" w:ascii="方正仿宋_GBK" w:hAnsi="方正仿宋_GBK" w:eastAsia="方正仿宋_GBK" w:cs="方正仿宋_GBK"/>
          <w:color w:val="000000"/>
          <w:kern w:val="0"/>
          <w:sz w:val="32"/>
          <w:szCs w:val="32"/>
          <w:highlight w:val="none"/>
          <w:lang w:val="en-US" w:eastAsia="zh-CN"/>
        </w:rPr>
        <w:t>结合隐患排查整治、抢险维修、巡查巡护、定期检验等，开展市政燃气管道设施动态评估，探索建立燃气管道老化评估指标体系，提升评估规范性、约束性。根据评估结论，调整更新改造计划，有序推进燃气管道改造。</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三是加强改造项目建设管理。</w:t>
      </w:r>
      <w:r>
        <w:rPr>
          <w:rFonts w:hint="eastAsia" w:ascii="方正仿宋_GBK" w:hAnsi="方正仿宋_GBK" w:eastAsia="方正仿宋_GBK" w:cs="方正仿宋_GBK"/>
          <w:color w:val="000000"/>
          <w:kern w:val="0"/>
          <w:sz w:val="32"/>
          <w:szCs w:val="32"/>
          <w:highlight w:val="none"/>
          <w:lang w:val="en-US" w:eastAsia="zh-CN"/>
        </w:rPr>
        <w:t>完善改造项目落图管理和调度机制，强化改造项目基本建设程序管理，同步设计、同步实施智能化改造，提高改造质量。建立项目进度信息共享机制，定期将燃气管道涉中央资金项目通报区发展改革委、区财政局等部门，促进改造管理和资金监管协同。</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eastAsia="方正楷体_GBK"/>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lang w:val="en-US" w:eastAsia="zh-CN"/>
        </w:rPr>
        <w:t>推进企业优化整合</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一是暂停新增特许经营权。</w:t>
      </w:r>
      <w:r>
        <w:rPr>
          <w:rFonts w:hint="eastAsia" w:ascii="方正仿宋_GBK" w:hAnsi="方正仿宋_GBK" w:eastAsia="方正仿宋_GBK" w:cs="方正仿宋_GBK"/>
          <w:color w:val="auto"/>
          <w:kern w:val="0"/>
          <w:sz w:val="32"/>
          <w:szCs w:val="32"/>
          <w:highlight w:val="none"/>
          <w:lang w:val="en-US" w:eastAsia="zh-CN"/>
        </w:rPr>
        <w:t>加强特许经营项目管理，在整合完成前，暂停新增特许经营项目和新核发燃气经营许可，严格燃气经营许可延续审查。</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二是对标开展综合评估。</w:t>
      </w:r>
      <w:r>
        <w:rPr>
          <w:rFonts w:hint="eastAsia" w:ascii="方正仿宋_GBK" w:hAnsi="方正仿宋_GBK" w:eastAsia="方正仿宋_GBK" w:cs="方正仿宋_GBK"/>
          <w:color w:val="auto"/>
          <w:kern w:val="0"/>
          <w:sz w:val="32"/>
          <w:szCs w:val="32"/>
          <w:highlight w:val="none"/>
          <w:lang w:val="en-US" w:eastAsia="zh-CN"/>
        </w:rPr>
        <w:t>根据行业管理、燃气经营、工程建设、安全生产、营商环境等法律法规、标准规范和特许经营协议等要求，制订评价标准，对辖区燃气经营企业开展无差别评价。评估不合格的，解除特许经营权，撤销、吊销燃气经营许可。</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三是强力推进市场整合。</w:t>
      </w:r>
      <w:r>
        <w:rPr>
          <w:rFonts w:hint="eastAsia" w:ascii="方正仿宋_GBK" w:hAnsi="方正仿宋_GBK" w:eastAsia="方正仿宋_GBK" w:cs="方正仿宋_GBK"/>
          <w:color w:val="auto"/>
          <w:kern w:val="0"/>
          <w:sz w:val="32"/>
          <w:szCs w:val="32"/>
          <w:highlight w:val="none"/>
          <w:lang w:val="en-US" w:eastAsia="zh-CN"/>
        </w:rPr>
        <w:t>按照“一城一企、一城一网、城乡同质”的原则，制定辖区特许经营区域调整方案，推动评估合格企业整合吸收不合格企业特许经营市场。鼓励有资金、技术、管理等实力的大型燃气经营企业参与特许经营市场整合。加强管道设施等有形资产、收益权等无形资产评估管理，准确区分企业产权、用户产权、共有产权资产。</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eastAsia="方正楷体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4.</w:t>
      </w:r>
      <w:r>
        <w:rPr>
          <w:rFonts w:hint="eastAsia" w:ascii="方正仿宋_GBK" w:hAnsi="方正仿宋_GBK" w:eastAsia="方正仿宋_GBK" w:cs="方正仿宋_GBK"/>
          <w:color w:val="000000"/>
          <w:kern w:val="0"/>
          <w:sz w:val="32"/>
          <w:szCs w:val="32"/>
          <w:highlight w:val="none"/>
          <w:lang w:val="en-US" w:eastAsia="zh-CN"/>
        </w:rPr>
        <w:t>加快数字化建设</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一是要加快数字孪生建设。</w:t>
      </w:r>
      <w:r>
        <w:rPr>
          <w:rFonts w:hint="eastAsia" w:ascii="方正仿宋_GBK" w:hAnsi="方正仿宋_GBK" w:eastAsia="方正仿宋_GBK" w:cs="方正仿宋_GBK"/>
          <w:color w:val="000000"/>
          <w:kern w:val="0"/>
          <w:sz w:val="32"/>
          <w:szCs w:val="32"/>
          <w:highlight w:val="none"/>
          <w:lang w:val="en-US" w:eastAsia="zh-CN"/>
        </w:rPr>
        <w:t>加快管道补勘补测和矢量数据治理，确保</w:t>
      </w:r>
      <w:r>
        <w:rPr>
          <w:rFonts w:hint="default" w:ascii="Times New Roman" w:hAnsi="Times New Roman" w:eastAsia="方正仿宋_GBK" w:cs="Times New Roman"/>
          <w:color w:val="000000"/>
          <w:kern w:val="0"/>
          <w:sz w:val="32"/>
          <w:szCs w:val="32"/>
          <w:highlight w:val="none"/>
          <w:lang w:val="en-US" w:eastAsia="zh-CN"/>
        </w:rPr>
        <w:t>2025年4月底我区建成区矢量化率达到70%</w:t>
      </w:r>
      <w:r>
        <w:rPr>
          <w:rFonts w:hint="eastAsia" w:ascii="方正仿宋_GBK" w:hAnsi="方正仿宋_GBK" w:eastAsia="方正仿宋_GBK" w:cs="方正仿宋_GBK"/>
          <w:color w:val="000000"/>
          <w:kern w:val="0"/>
          <w:sz w:val="32"/>
          <w:szCs w:val="32"/>
          <w:highlight w:val="none"/>
          <w:lang w:val="en-US" w:eastAsia="zh-CN"/>
        </w:rPr>
        <w:t>。加快关键点位孪生试点，将建构筑物、相邻管线、管道、感知设备等孪生上图，归集运行数据、感知监测数据、</w:t>
      </w:r>
      <w:r>
        <w:rPr>
          <w:rFonts w:hint="default" w:ascii="Times New Roman" w:hAnsi="Times New Roman" w:eastAsia="方正仿宋_GBK" w:cs="Times New Roman"/>
          <w:color w:val="000000"/>
          <w:kern w:val="0"/>
          <w:sz w:val="32"/>
          <w:szCs w:val="32"/>
          <w:highlight w:val="none"/>
          <w:lang w:val="en-US" w:eastAsia="zh-CN"/>
        </w:rPr>
        <w:t>IRS</w:t>
      </w:r>
      <w:r>
        <w:rPr>
          <w:rFonts w:hint="eastAsia" w:ascii="方正仿宋_GBK" w:hAnsi="方正仿宋_GBK" w:eastAsia="方正仿宋_GBK" w:cs="方正仿宋_GBK"/>
          <w:color w:val="000000"/>
          <w:kern w:val="0"/>
          <w:sz w:val="32"/>
          <w:szCs w:val="32"/>
          <w:highlight w:val="none"/>
          <w:lang w:val="en-US" w:eastAsia="zh-CN"/>
        </w:rPr>
        <w:t>数据，建立管道寿命分析、泄漏扩散分析、第三方施工行为分析等模型，在关键点位形成感知预警能力。</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二是要加快感知设备安装。</w:t>
      </w:r>
      <w:r>
        <w:rPr>
          <w:rFonts w:hint="eastAsia" w:ascii="方正仿宋_GBK" w:hAnsi="方正仿宋_GBK" w:eastAsia="方正仿宋_GBK" w:cs="方正仿宋_GBK"/>
          <w:color w:val="000000"/>
          <w:kern w:val="0"/>
          <w:sz w:val="32"/>
          <w:szCs w:val="32"/>
          <w:highlight w:val="none"/>
          <w:lang w:val="en-US" w:eastAsia="zh-CN"/>
        </w:rPr>
        <w:t>结合排查整治动态更新风险点和安装计划，加快推动感知设备安装，确保</w:t>
      </w:r>
      <w:r>
        <w:rPr>
          <w:rFonts w:hint="default" w:ascii="Times New Roman" w:hAnsi="Times New Roman" w:eastAsia="方正仿宋_GBK" w:cs="Times New Roman"/>
          <w:color w:val="000000"/>
          <w:kern w:val="0"/>
          <w:sz w:val="32"/>
          <w:szCs w:val="32"/>
          <w:highlight w:val="none"/>
          <w:lang w:val="en-US" w:eastAsia="zh-CN"/>
        </w:rPr>
        <w:t>2025年4</w:t>
      </w:r>
      <w:r>
        <w:rPr>
          <w:rFonts w:hint="eastAsia" w:ascii="方正仿宋_GBK" w:hAnsi="方正仿宋_GBK" w:eastAsia="方正仿宋_GBK" w:cs="方正仿宋_GBK"/>
          <w:color w:val="000000"/>
          <w:kern w:val="0"/>
          <w:sz w:val="32"/>
          <w:szCs w:val="32"/>
          <w:highlight w:val="none"/>
          <w:lang w:val="en-US" w:eastAsia="zh-CN"/>
        </w:rPr>
        <w:t>月底全区高风险点感知设备安装率</w:t>
      </w:r>
      <w:r>
        <w:rPr>
          <w:rFonts w:hint="default" w:ascii="Times New Roman" w:hAnsi="Times New Roman" w:eastAsia="方正仿宋_GBK" w:cs="Times New Roman"/>
          <w:color w:val="000000"/>
          <w:kern w:val="0"/>
          <w:sz w:val="32"/>
          <w:szCs w:val="32"/>
          <w:highlight w:val="none"/>
          <w:lang w:val="en-US" w:eastAsia="zh-CN"/>
        </w:rPr>
        <w:t>100%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2025年</w:t>
      </w:r>
      <w:r>
        <w:rPr>
          <w:rFonts w:hint="eastAsia" w:ascii="方正仿宋_GBK" w:hAnsi="方正仿宋_GBK" w:eastAsia="方正仿宋_GBK" w:cs="方正仿宋_GBK"/>
          <w:color w:val="000000"/>
          <w:kern w:val="0"/>
          <w:sz w:val="32"/>
          <w:szCs w:val="32"/>
          <w:highlight w:val="none"/>
          <w:lang w:val="en-US" w:eastAsia="zh-CN"/>
        </w:rPr>
        <w:t>底全区风险点感知设备安装率</w:t>
      </w:r>
      <w:r>
        <w:rPr>
          <w:rFonts w:hint="default" w:ascii="Times New Roman" w:hAnsi="Times New Roman" w:eastAsia="方正仿宋_GBK" w:cs="Times New Roman"/>
          <w:color w:val="000000"/>
          <w:kern w:val="0"/>
          <w:sz w:val="32"/>
          <w:szCs w:val="32"/>
          <w:highlight w:val="none"/>
          <w:lang w:val="en-US" w:eastAsia="zh-CN"/>
        </w:rPr>
        <w:t xml:space="preserve"> 100%</w:t>
      </w:r>
      <w:r>
        <w:rPr>
          <w:rFonts w:hint="eastAsia" w:ascii="方正仿宋_GBK" w:hAnsi="方正仿宋_GBK" w:eastAsia="方正仿宋_GBK" w:cs="方正仿宋_GBK"/>
          <w:color w:val="000000"/>
          <w:kern w:val="0"/>
          <w:sz w:val="32"/>
          <w:szCs w:val="32"/>
          <w:highlight w:val="none"/>
          <w:lang w:val="en-US" w:eastAsia="zh-CN"/>
        </w:rPr>
        <w:t>。</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三是要推进贯通实战。</w:t>
      </w:r>
      <w:r>
        <w:rPr>
          <w:rFonts w:hint="eastAsia" w:ascii="方正仿宋_GBK" w:hAnsi="方正仿宋_GBK" w:eastAsia="方正仿宋_GBK" w:cs="方正仿宋_GBK"/>
          <w:color w:val="000000"/>
          <w:kern w:val="0"/>
          <w:sz w:val="32"/>
          <w:szCs w:val="32"/>
          <w:highlight w:val="none"/>
          <w:lang w:val="en-US" w:eastAsia="zh-CN"/>
        </w:rPr>
        <w:t>按照市经济信息委统一部署，组织我区燃气企业建立供用气侧安全管理、风险预警算法模型。接入企业生产运行数据、感知设备数据、IRS数据，以算法模型为支撑，以三级城运中心为依托，实现“管道燃气安全在线”在市、区县、企业三级贯通应用，燃气管道泄漏处置、第三方施工破坏防范、用户入户检查协同、用户隐患整治协同等多跨高频事件全面贯通实战。</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四是要持续优化“一张图”。</w:t>
      </w:r>
      <w:r>
        <w:rPr>
          <w:rFonts w:hint="eastAsia" w:ascii="方正仿宋_GBK" w:hAnsi="方正仿宋_GBK" w:eastAsia="方正仿宋_GBK" w:cs="方正仿宋_GBK"/>
          <w:color w:val="000000"/>
          <w:kern w:val="0"/>
          <w:sz w:val="32"/>
          <w:szCs w:val="32"/>
          <w:highlight w:val="none"/>
          <w:lang w:val="en-US" w:eastAsia="zh-CN"/>
        </w:rPr>
        <w:t>持续优化燃气管网、风险态势、感知设备“一张图”。开展用户登记信息标准化治理，推进用户信息、安全状态上图。完善用气服务、舆情监测分析，推进服务质量上图。</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default" w:eastAsia="方正楷体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5.</w:t>
      </w:r>
      <w:r>
        <w:rPr>
          <w:rFonts w:hint="eastAsia" w:ascii="方正仿宋_GBK" w:hAnsi="方正仿宋_GBK" w:eastAsia="方正仿宋_GBK" w:cs="方正仿宋_GBK"/>
          <w:color w:val="000000"/>
          <w:kern w:val="0"/>
          <w:sz w:val="32"/>
          <w:szCs w:val="32"/>
          <w:highlight w:val="none"/>
          <w:lang w:val="en-US" w:eastAsia="zh-CN"/>
        </w:rPr>
        <w:t>加强应急管理</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一是开展应急预案演练。</w:t>
      </w:r>
      <w:r>
        <w:rPr>
          <w:rFonts w:hint="eastAsia" w:ascii="方正仿宋_GBK" w:hAnsi="方正仿宋_GBK" w:eastAsia="方正仿宋_GBK" w:cs="方正仿宋_GBK"/>
          <w:color w:val="000000"/>
          <w:kern w:val="0"/>
          <w:sz w:val="32"/>
          <w:szCs w:val="32"/>
          <w:highlight w:val="none"/>
          <w:lang w:val="en-US" w:eastAsia="zh-CN"/>
        </w:rPr>
        <w:t>以“管道燃气安全在线”贯通实战为蓝本，组织开展一次燃气安全应急预案演练，检验燃气安全风险感知监测、分析研判、协同处置、复盘评价实战能力。</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二是开展预案评价修订</w:t>
      </w:r>
      <w:r>
        <w:rPr>
          <w:rFonts w:hint="eastAsia" w:ascii="方正仿宋_GBK" w:hAnsi="方正仿宋_GBK" w:eastAsia="方正仿宋_GBK" w:cs="方正仿宋_GBK"/>
          <w:color w:val="000000"/>
          <w:kern w:val="0"/>
          <w:sz w:val="32"/>
          <w:szCs w:val="32"/>
          <w:highlight w:val="none"/>
          <w:lang w:val="en-US" w:eastAsia="zh-CN"/>
        </w:rPr>
        <w:t>。在开展应急预案演练基础上，对预案操作性、可行性、实效性进行评价，按照数字化思维开展预案修订。</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三是加强应急资源管理。</w:t>
      </w:r>
      <w:r>
        <w:rPr>
          <w:rFonts w:hint="eastAsia" w:ascii="方正仿宋_GBK" w:hAnsi="方正仿宋_GBK" w:eastAsia="方正仿宋_GBK" w:cs="方正仿宋_GBK"/>
          <w:color w:val="000000"/>
          <w:kern w:val="0"/>
          <w:sz w:val="32"/>
          <w:szCs w:val="32"/>
          <w:highlight w:val="none"/>
          <w:lang w:val="en-US" w:eastAsia="zh-CN"/>
        </w:rPr>
        <w:t>进一步开展应急队伍、物资、装备等摸底，并全量上图，强化应急队伍培训演练、物资装备维护保养，完善应急资源调度机制。</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6.</w:t>
      </w:r>
      <w:r>
        <w:rPr>
          <w:rFonts w:hint="eastAsia" w:ascii="方正仿宋_GBK" w:hAnsi="方正仿宋_GBK" w:eastAsia="方正仿宋_GBK" w:cs="方正仿宋_GBK"/>
          <w:color w:val="000000"/>
          <w:kern w:val="0"/>
          <w:sz w:val="32"/>
          <w:szCs w:val="32"/>
          <w:highlight w:val="none"/>
          <w:lang w:val="en-US" w:eastAsia="zh-CN"/>
        </w:rPr>
        <w:t>加强燃气安全宣传教育</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一是加强燃气安全宣传。</w:t>
      </w:r>
      <w:r>
        <w:rPr>
          <w:rFonts w:hint="eastAsia" w:ascii="方正仿宋_GBK" w:hAnsi="方正仿宋_GBK" w:eastAsia="方正仿宋_GBK" w:cs="方正仿宋_GBK"/>
          <w:color w:val="000000"/>
          <w:kern w:val="0"/>
          <w:sz w:val="32"/>
          <w:szCs w:val="32"/>
          <w:highlight w:val="none"/>
          <w:lang w:val="en-US" w:eastAsia="zh-CN"/>
        </w:rPr>
        <w:t>持续完善宣传素材，畅通宣传渠道，丰富宣传形式，持续开展燃气安全宣传“五进”，加强燃气安全知识宣传。适时适度曝光执法、事故典型案例，加强法律法规和知识普及。</w:t>
      </w:r>
    </w:p>
    <w:p>
      <w:pPr>
        <w:pStyle w:val="2"/>
        <w:keepNext w:val="0"/>
        <w:keepLines w:val="0"/>
        <w:pageBreakBefore w:val="0"/>
        <w:widowControl w:val="0"/>
        <w:kinsoku/>
        <w:wordWrap/>
        <w:overflowPunct/>
        <w:topLinePunct w:val="0"/>
        <w:bidi w:val="0"/>
        <w:spacing w:after="0" w:line="594" w:lineRule="exact"/>
        <w:ind w:firstLine="643"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b/>
          <w:bCs/>
          <w:color w:val="000000"/>
          <w:kern w:val="0"/>
          <w:sz w:val="32"/>
          <w:szCs w:val="32"/>
          <w:highlight w:val="none"/>
          <w:lang w:val="en-US" w:eastAsia="zh-CN"/>
        </w:rPr>
        <w:t>二是加强业务培训。</w:t>
      </w:r>
      <w:r>
        <w:rPr>
          <w:rFonts w:hint="eastAsia" w:ascii="方正仿宋_GBK" w:hAnsi="方正仿宋_GBK" w:eastAsia="方正仿宋_GBK" w:cs="方正仿宋_GBK"/>
          <w:color w:val="000000"/>
          <w:kern w:val="0"/>
          <w:sz w:val="32"/>
          <w:szCs w:val="32"/>
          <w:highlight w:val="none"/>
          <w:lang w:val="en-US" w:eastAsia="zh-CN"/>
        </w:rPr>
        <w:t>加强燃气经营企业主要负责人继续教育管理。强化燃气企业一线从业人员专业培训，全面优化“两单两卡”推行“一单一卡”。</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eastAsia="方正楷体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（二）油气行业安全生产工作要点</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1.</w:t>
      </w:r>
      <w:r>
        <w:rPr>
          <w:rFonts w:hint="eastAsia" w:ascii="方正仿宋_GBK" w:hAnsi="方正仿宋_GBK" w:eastAsia="方正仿宋_GBK" w:cs="方正仿宋_GBK"/>
          <w:color w:val="000000"/>
          <w:kern w:val="0"/>
          <w:sz w:val="32"/>
          <w:szCs w:val="32"/>
          <w:highlight w:val="none"/>
          <w:lang w:val="en-US" w:eastAsia="zh-CN"/>
        </w:rPr>
        <w:t>夯实基层基础，加快构建双重预防机制。</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一是要指导和督促企业加快完善风险分级管控和隐患排查治理双重预防机制，持续开展行业法律法规、标准规范以及重大隐患判定标准的学习，务实推进企业安全标准化建设，提升本质安全水平。</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二是要督促企业健全受限空间、动火、登高、盲板抽堵等特殊作业管理制度及台账，切实解决行业特殊作业安全管理意识不强、责任不实、底数不清、风险不明等突出问题。</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三是要强化日常管理，重点检查企业主要负责人依法履职、企业落实全员安全生产责任制和“日周月”隐患排查制度、瓶装燃气配送服务制度等情况，抓牢企业主体责任。</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2.</w:t>
      </w:r>
      <w:r>
        <w:rPr>
          <w:rFonts w:hint="eastAsia" w:ascii="方正仿宋_GBK" w:hAnsi="方正仿宋_GBK" w:eastAsia="方正仿宋_GBK" w:cs="方正仿宋_GBK"/>
          <w:color w:val="000000"/>
          <w:kern w:val="0"/>
          <w:sz w:val="32"/>
          <w:szCs w:val="32"/>
          <w:highlight w:val="none"/>
          <w:lang w:val="en-US" w:eastAsia="zh-CN"/>
        </w:rPr>
        <w:t>推动站点建设，加速完善多元化能源供应网络。</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一是要持续强化与相邻区县沟通对接，有序规划我区燃气油气站点，避免重复建设和恶性竞争，共同推动行业有序发展，稳定运行。</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二是要积极支持氢走廊沿线氢能基础设施建设，推动氢能供应聚点成网。</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三是要严格落实民用醇基液体燃料规划布局，加快场站投标建设流程，抓好行业打非治违，推动我区民用醇基液体燃料经营的合法化、规范化。</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3.</w:t>
      </w:r>
      <w:r>
        <w:rPr>
          <w:rFonts w:hint="eastAsia" w:ascii="方正仿宋_GBK" w:hAnsi="方正仿宋_GBK" w:eastAsia="方正仿宋_GBK" w:cs="方正仿宋_GBK"/>
          <w:color w:val="000000"/>
          <w:kern w:val="0"/>
          <w:sz w:val="32"/>
          <w:szCs w:val="32"/>
          <w:highlight w:val="none"/>
          <w:lang w:val="en-US" w:eastAsia="zh-CN"/>
        </w:rPr>
        <w:t>加强转型指导，妥善处置</w:t>
      </w:r>
      <w:r>
        <w:rPr>
          <w:rFonts w:hint="default" w:ascii="Times New Roman" w:hAnsi="Times New Roman" w:eastAsia="方正仿宋_GBK" w:cs="Times New Roman"/>
          <w:color w:val="000000"/>
          <w:kern w:val="0"/>
          <w:sz w:val="32"/>
          <w:szCs w:val="32"/>
          <w:highlight w:val="none"/>
          <w:lang w:val="en-US" w:eastAsia="zh-CN"/>
        </w:rPr>
        <w:t>CNG</w:t>
      </w:r>
      <w:r>
        <w:rPr>
          <w:rFonts w:hint="eastAsia" w:ascii="方正仿宋_GBK" w:hAnsi="方正仿宋_GBK" w:eastAsia="方正仿宋_GBK" w:cs="方正仿宋_GBK"/>
          <w:color w:val="000000"/>
          <w:kern w:val="0"/>
          <w:sz w:val="32"/>
          <w:szCs w:val="32"/>
          <w:highlight w:val="none"/>
          <w:lang w:val="en-US" w:eastAsia="zh-CN"/>
        </w:rPr>
        <w:t>市场及安全管理问题。</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一是要加大</w:t>
      </w:r>
      <w:r>
        <w:rPr>
          <w:rFonts w:hint="default" w:ascii="Times New Roman" w:hAnsi="Times New Roman" w:eastAsia="方正仿宋_GBK" w:cs="Times New Roman"/>
          <w:color w:val="000000"/>
          <w:kern w:val="0"/>
          <w:sz w:val="32"/>
          <w:szCs w:val="32"/>
          <w:highlight w:val="none"/>
          <w:lang w:val="en-US" w:eastAsia="zh-CN"/>
        </w:rPr>
        <w:t>CNG</w:t>
      </w:r>
      <w:r>
        <w:rPr>
          <w:rFonts w:hint="eastAsia" w:ascii="方正仿宋_GBK" w:hAnsi="方正仿宋_GBK" w:eastAsia="方正仿宋_GBK" w:cs="方正仿宋_GBK"/>
          <w:color w:val="000000"/>
          <w:kern w:val="0"/>
          <w:sz w:val="32"/>
          <w:szCs w:val="32"/>
          <w:highlight w:val="none"/>
          <w:lang w:val="en-US" w:eastAsia="zh-CN"/>
        </w:rPr>
        <w:t>场站执法检查力度和频次，督促企业（站点）主要负责人落实好企业安全主体责任和“第一责任人”责任，加强员工安全教育，保障安全生产投入。</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二是要引导、支持有条件的</w:t>
      </w:r>
      <w:r>
        <w:rPr>
          <w:rFonts w:hint="default" w:ascii="Times New Roman" w:hAnsi="Times New Roman" w:eastAsia="方正仿宋_GBK" w:cs="Times New Roman"/>
          <w:color w:val="000000"/>
          <w:kern w:val="0"/>
          <w:sz w:val="32"/>
          <w:szCs w:val="32"/>
          <w:highlight w:val="none"/>
          <w:lang w:val="en-US" w:eastAsia="zh-CN"/>
        </w:rPr>
        <w:t>CNG</w:t>
      </w:r>
      <w:r>
        <w:rPr>
          <w:rFonts w:hint="eastAsia" w:ascii="方正仿宋_GBK" w:hAnsi="方正仿宋_GBK" w:eastAsia="方正仿宋_GBK" w:cs="方正仿宋_GBK"/>
          <w:color w:val="000000"/>
          <w:kern w:val="0"/>
          <w:sz w:val="32"/>
          <w:szCs w:val="32"/>
          <w:highlight w:val="none"/>
          <w:lang w:val="en-US" w:eastAsia="zh-CN"/>
        </w:rPr>
        <w:t>站点拓宽经营范围，增设</w:t>
      </w:r>
      <w:r>
        <w:rPr>
          <w:rFonts w:hint="default" w:ascii="Times New Roman" w:hAnsi="Times New Roman" w:eastAsia="方正仿宋_GBK" w:cs="Times New Roman"/>
          <w:color w:val="000000"/>
          <w:kern w:val="0"/>
          <w:sz w:val="32"/>
          <w:szCs w:val="32"/>
          <w:highlight w:val="none"/>
          <w:lang w:val="en-US" w:eastAsia="zh-CN"/>
        </w:rPr>
        <w:t>LNG</w:t>
      </w:r>
      <w:r>
        <w:rPr>
          <w:rFonts w:hint="eastAsia" w:ascii="方正仿宋_GBK" w:hAnsi="方正仿宋_GBK" w:eastAsia="方正仿宋_GBK" w:cs="方正仿宋_GBK"/>
          <w:color w:val="000000"/>
          <w:kern w:val="0"/>
          <w:sz w:val="32"/>
          <w:szCs w:val="32"/>
          <w:highlight w:val="none"/>
          <w:lang w:val="en-US" w:eastAsia="zh-CN"/>
        </w:rPr>
        <w:t>、加氢、充换电等功能，逐步向综合能源站转型。同时，要妥善、有序处置经营难以为继的站点，避免站点突然关停带来的负面民生影响，保障社会用气需求。</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三是要抓好关停站点善后处置。针对已关停的</w:t>
      </w:r>
      <w:r>
        <w:rPr>
          <w:rFonts w:hint="default" w:ascii="Times New Roman" w:hAnsi="Times New Roman" w:eastAsia="方正仿宋_GBK" w:cs="Times New Roman"/>
          <w:color w:val="000000"/>
          <w:kern w:val="0"/>
          <w:sz w:val="32"/>
          <w:szCs w:val="32"/>
          <w:highlight w:val="none"/>
          <w:lang w:val="en-US" w:eastAsia="zh-CN"/>
        </w:rPr>
        <w:t xml:space="preserve">CNG </w:t>
      </w:r>
      <w:r>
        <w:rPr>
          <w:rFonts w:hint="eastAsia" w:ascii="方正仿宋_GBK" w:hAnsi="方正仿宋_GBK" w:eastAsia="方正仿宋_GBK" w:cs="方正仿宋_GBK"/>
          <w:color w:val="000000"/>
          <w:kern w:val="0"/>
          <w:sz w:val="32"/>
          <w:szCs w:val="32"/>
          <w:highlight w:val="none"/>
          <w:lang w:val="en-US" w:eastAsia="zh-CN"/>
        </w:rPr>
        <w:t>场站，要现场监督指导企业切断气源、电源，完成余气置换，处置相关设备，避免留下安全隐患。</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4.</w:t>
      </w:r>
      <w:r>
        <w:rPr>
          <w:rFonts w:hint="eastAsia" w:ascii="方正仿宋_GBK" w:hAnsi="方正仿宋_GBK" w:eastAsia="方正仿宋_GBK" w:cs="方正仿宋_GBK"/>
          <w:color w:val="000000"/>
          <w:kern w:val="0"/>
          <w:sz w:val="32"/>
          <w:szCs w:val="32"/>
          <w:highlight w:val="none"/>
          <w:lang w:val="en-US" w:eastAsia="zh-CN"/>
        </w:rPr>
        <w:t>加大执法力度，持续规范瓶装燃气经营秩序。</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是要加强联合执法，形成监管合力。严格落实城镇燃气油气专项整治和即将开展的高层建筑燃气安全专项整治工作要求，严厉打击不按许可证规定区域经营瓶装燃气、向高层建筑或不具备安全用气条件的用户配送瓶装燃气等违法违规行为。</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二是强化数字监管，严格排查整改。熟练运用瓶装燃气智慧管理系统，严格监测企业运行数据，督促企业做好全流程安全生产，特别是随瓶安检及入户安检，推动企业做到“真排查、全整改”。</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三是要抓好器具质量，增设感知设备。监督瓶装燃气经营企业确保瓶阀管灶等器具合格达标，落实劣质、报废燃气具的更换工作，重点抓好气瓶使用、调压器、连接软管和燃气具的质量标准。同时，持续推动我区餐饮单位用户增设可燃气体泄漏报警物联感知设备，防隐患于未然。</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四是要严格许可发放，推进企业整合。确保取证站点的规划、设施设备、人员配备、安全评价、日常管理等符合安全运行条件，严格按照条例文件发放经营许可。严肃对待带病运行整合工作，按时按质完成燃气优化整合任务。</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eastAsia="方正楷体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（三）电力行业安全工作要点</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1.</w:t>
      </w:r>
      <w:r>
        <w:rPr>
          <w:rFonts w:hint="eastAsia" w:ascii="方正仿宋_GBK" w:hAnsi="方正仿宋_GBK" w:eastAsia="方正仿宋_GBK" w:cs="方正仿宋_GBK"/>
          <w:color w:val="000000"/>
          <w:kern w:val="0"/>
          <w:sz w:val="32"/>
          <w:szCs w:val="32"/>
          <w:highlight w:val="none"/>
          <w:lang w:val="en-US" w:eastAsia="zh-CN"/>
        </w:rPr>
        <w:t>压实各级安全责任</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一是要督促企业落实安全生产主体责任。</w:t>
      </w:r>
      <w:r>
        <w:rPr>
          <w:rFonts w:hint="eastAsia" w:ascii="方正仿宋_GBK" w:hAnsi="方正仿宋_GBK" w:eastAsia="方正仿宋_GBK" w:cs="方正仿宋_GBK"/>
          <w:color w:val="auto"/>
          <w:kern w:val="0"/>
          <w:sz w:val="32"/>
          <w:szCs w:val="32"/>
          <w:highlight w:val="none"/>
          <w:lang w:val="en-US" w:eastAsia="zh-CN"/>
        </w:rPr>
        <w:t>发供电企业要严格落实电力运行安全主体责任，滚动完善主要负责人、分管负责人、安全相关部门负责人电力运行安全责任清单，加大安全领域投入力度，不断完善企业考核奖励制度，将安全责任履行情况和重点任务落实情况纳入个人考核重要内容。</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二是要强化电力运行安全属地责任。</w:t>
      </w:r>
      <w:r>
        <w:rPr>
          <w:rFonts w:hint="eastAsia" w:ascii="方正仿宋_GBK" w:hAnsi="方正仿宋_GBK" w:eastAsia="方正仿宋_GBK" w:cs="方正仿宋_GBK"/>
          <w:color w:val="auto"/>
          <w:kern w:val="0"/>
          <w:sz w:val="32"/>
          <w:szCs w:val="32"/>
          <w:highlight w:val="none"/>
          <w:lang w:val="en-US" w:eastAsia="zh-CN"/>
        </w:rPr>
        <w:t>我委将严格履行属地安全监管职责，认真研究部署和落实我区电力运行安全工作，全面落实隐患排查、督查检查、应急处置等制度。将企业主要负责人研究解决安全重大问题、组织制订完善安全制度、开展安全监督检查、督促重大隐患问题整改、落实安全投入、加强一线岗位从业人员培训学习等内容纳入日常检查的重要内容。</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2.</w:t>
      </w:r>
      <w:r>
        <w:rPr>
          <w:rFonts w:hint="eastAsia" w:ascii="方正仿宋_GBK" w:hAnsi="方正仿宋_GBK" w:eastAsia="方正仿宋_GBK" w:cs="方正仿宋_GBK"/>
          <w:color w:val="000000"/>
          <w:kern w:val="0"/>
          <w:sz w:val="32"/>
          <w:szCs w:val="32"/>
          <w:highlight w:val="none"/>
          <w:lang w:val="en-US" w:eastAsia="zh-CN"/>
        </w:rPr>
        <w:t>夯实电力运行安全基础</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一是加强风险研判管控。</w:t>
      </w:r>
      <w:r>
        <w:rPr>
          <w:rFonts w:hint="eastAsia" w:ascii="方正仿宋_GBK" w:hAnsi="方正仿宋_GBK" w:eastAsia="方正仿宋_GBK" w:cs="方正仿宋_GBK"/>
          <w:color w:val="auto"/>
          <w:kern w:val="0"/>
          <w:sz w:val="32"/>
          <w:szCs w:val="32"/>
          <w:highlight w:val="none"/>
          <w:lang w:val="en-US" w:eastAsia="zh-CN"/>
        </w:rPr>
        <w:t>根据我区工作实际，完善大面积停电事件应急预案、负荷管理方案、密集输电通道“一道一策”风险防控方案，制定日常和重要时段节点、重大变化情况、重大活动风险辨识清单，强化动态风险研判，落实管控责任和措施。</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二是强化厂网设备检修维护。</w:t>
      </w:r>
      <w:r>
        <w:rPr>
          <w:rFonts w:hint="eastAsia" w:ascii="方正仿宋_GBK" w:hAnsi="方正仿宋_GBK" w:eastAsia="方正仿宋_GBK" w:cs="方正仿宋_GBK"/>
          <w:color w:val="auto"/>
          <w:kern w:val="0"/>
          <w:sz w:val="32"/>
          <w:szCs w:val="32"/>
          <w:highlight w:val="none"/>
          <w:lang w:val="en-US" w:eastAsia="zh-CN"/>
        </w:rPr>
        <w:t>根据市经济信息委发供电设施设备年度检修计划，指导发供电企业充分利用电网负荷低谷时段开展临停检修，抓好发供电设备检修管理。</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三是持续提升供电可靠性。</w:t>
      </w:r>
      <w:r>
        <w:rPr>
          <w:rFonts w:hint="eastAsia" w:ascii="方正仿宋_GBK" w:hAnsi="方正仿宋_GBK" w:eastAsia="方正仿宋_GBK" w:cs="方正仿宋_GBK"/>
          <w:color w:val="auto"/>
          <w:kern w:val="0"/>
          <w:sz w:val="32"/>
          <w:szCs w:val="32"/>
          <w:highlight w:val="none"/>
          <w:lang w:val="en-US" w:eastAsia="zh-CN"/>
        </w:rPr>
        <w:t>按照市经济信息委统一部署，建立健全贯通市、区、镇街三级的供电可靠性提升方案，加快配网标准化建设，强化综合停电管理，进一步推进停电快响处置、不停电作业等新机制、新技术运用，不断提升供电可靠性水平，减小企业停电影响和感知。</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3.</w:t>
      </w:r>
      <w:r>
        <w:rPr>
          <w:rFonts w:hint="eastAsia" w:ascii="方正仿宋_GBK" w:hAnsi="方正仿宋_GBK" w:eastAsia="方正仿宋_GBK" w:cs="方正仿宋_GBK"/>
          <w:color w:val="000000"/>
          <w:kern w:val="0"/>
          <w:sz w:val="32"/>
          <w:szCs w:val="32"/>
          <w:highlight w:val="none"/>
          <w:lang w:val="en-US" w:eastAsia="zh-CN"/>
        </w:rPr>
        <w:t>加强电力安全宣传教育</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一是要加强安全文化建设。</w:t>
      </w:r>
      <w:r>
        <w:rPr>
          <w:rFonts w:hint="eastAsia" w:ascii="方正仿宋_GBK" w:hAnsi="方正仿宋_GBK" w:eastAsia="方正仿宋_GBK" w:cs="方正仿宋_GBK"/>
          <w:color w:val="auto"/>
          <w:kern w:val="0"/>
          <w:sz w:val="32"/>
          <w:szCs w:val="32"/>
          <w:highlight w:val="none"/>
          <w:lang w:val="en-US" w:eastAsia="zh-CN"/>
        </w:rPr>
        <w:t>加强安全生产法律、法规和安全知识宣传，认真开展安全生产月、“</w:t>
      </w:r>
      <w:r>
        <w:rPr>
          <w:rFonts w:hint="default" w:ascii="Times New Roman" w:hAnsi="Times New Roman" w:eastAsia="方正仿宋_GBK" w:cs="Times New Roman"/>
          <w:color w:val="auto"/>
          <w:kern w:val="0"/>
          <w:sz w:val="32"/>
          <w:szCs w:val="32"/>
          <w:highlight w:val="none"/>
          <w:lang w:val="en-US" w:eastAsia="zh-CN"/>
        </w:rPr>
        <w:t>5.12</w:t>
      </w:r>
      <w:r>
        <w:rPr>
          <w:rFonts w:hint="eastAsia" w:ascii="方正仿宋_GBK" w:hAnsi="方正仿宋_GBK" w:eastAsia="方正仿宋_GBK" w:cs="方正仿宋_GBK"/>
          <w:color w:val="auto"/>
          <w:kern w:val="0"/>
          <w:sz w:val="32"/>
          <w:szCs w:val="32"/>
          <w:highlight w:val="none"/>
          <w:lang w:val="en-US" w:eastAsia="zh-CN"/>
        </w:rPr>
        <w:t>”防灾减灾日、“</w:t>
      </w:r>
      <w:r>
        <w:rPr>
          <w:rFonts w:hint="default" w:ascii="Times New Roman" w:hAnsi="Times New Roman" w:eastAsia="方正仿宋_GBK" w:cs="Times New Roman"/>
          <w:color w:val="auto"/>
          <w:kern w:val="0"/>
          <w:sz w:val="32"/>
          <w:szCs w:val="32"/>
          <w:highlight w:val="none"/>
          <w:lang w:val="en-US" w:eastAsia="zh-CN"/>
        </w:rPr>
        <w:t>119</w:t>
      </w:r>
      <w:r>
        <w:rPr>
          <w:rFonts w:hint="eastAsia" w:ascii="方正仿宋_GBK" w:hAnsi="方正仿宋_GBK" w:eastAsia="方正仿宋_GBK" w:cs="方正仿宋_GBK"/>
          <w:color w:val="auto"/>
          <w:kern w:val="0"/>
          <w:sz w:val="32"/>
          <w:szCs w:val="32"/>
          <w:highlight w:val="none"/>
          <w:lang w:val="en-US" w:eastAsia="zh-CN"/>
        </w:rPr>
        <w:t>”消防宣传月等安全宣传教育活动，营造电力运行安全浓厚氛围。</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二是加强用电安全宣传。</w:t>
      </w:r>
      <w:r>
        <w:rPr>
          <w:rFonts w:hint="eastAsia" w:ascii="方正仿宋_GBK" w:hAnsi="方正仿宋_GBK" w:eastAsia="方正仿宋_GBK" w:cs="方正仿宋_GBK"/>
          <w:color w:val="auto"/>
          <w:kern w:val="0"/>
          <w:sz w:val="32"/>
          <w:szCs w:val="32"/>
          <w:highlight w:val="none"/>
          <w:lang w:val="en-US" w:eastAsia="zh-CN"/>
        </w:rPr>
        <w:t>坚持日常宣传和集中宣传活动相结合，加大安全用电、科学用电、节约用电知识宣贯力度。充分利用好公益短信、新媒体、数字化应用等渠道，深入开展安全用电常识、电器设备使用、典型事故案例等宣传，从根本上防范控制用电火灾隐患。</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4.</w:t>
      </w:r>
      <w:r>
        <w:rPr>
          <w:rFonts w:hint="eastAsia" w:ascii="方正仿宋_GBK" w:hAnsi="方正仿宋_GBK" w:eastAsia="方正仿宋_GBK" w:cs="方正仿宋_GBK"/>
          <w:color w:val="000000"/>
          <w:kern w:val="0"/>
          <w:sz w:val="32"/>
          <w:szCs w:val="32"/>
          <w:highlight w:val="none"/>
          <w:lang w:val="en-US" w:eastAsia="zh-CN"/>
        </w:rPr>
        <w:t>扎实推进重点任务</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一是持续开展能源电力安全生产治本攻坚三年行动。</w:t>
      </w:r>
      <w:r>
        <w:rPr>
          <w:rFonts w:hint="eastAsia" w:ascii="方正仿宋_GBK" w:hAnsi="方正仿宋_GBK" w:eastAsia="方正仿宋_GBK" w:cs="方正仿宋_GBK"/>
          <w:color w:val="auto"/>
          <w:kern w:val="0"/>
          <w:sz w:val="32"/>
          <w:szCs w:val="32"/>
          <w:highlight w:val="none"/>
          <w:lang w:val="en-US" w:eastAsia="zh-CN"/>
        </w:rPr>
        <w:t>落实《能源电力系统安全生产治本攻坚三年行动方案（</w:t>
      </w:r>
      <w:r>
        <w:rPr>
          <w:rFonts w:hint="default" w:ascii="Times New Roman" w:hAnsi="Times New Roman" w:eastAsia="方正仿宋_GBK" w:cs="Times New Roman"/>
          <w:color w:val="auto"/>
          <w:kern w:val="0"/>
          <w:sz w:val="32"/>
          <w:szCs w:val="32"/>
          <w:highlight w:val="none"/>
          <w:lang w:val="en-US" w:eastAsia="zh-CN"/>
        </w:rPr>
        <w:t>2024--2026</w:t>
      </w:r>
      <w:r>
        <w:rPr>
          <w:rFonts w:hint="eastAsia" w:ascii="方正仿宋_GBK" w:hAnsi="方正仿宋_GBK" w:eastAsia="方正仿宋_GBK" w:cs="方正仿宋_GBK"/>
          <w:color w:val="auto"/>
          <w:kern w:val="0"/>
          <w:sz w:val="32"/>
          <w:szCs w:val="32"/>
          <w:highlight w:val="none"/>
          <w:lang w:val="en-US" w:eastAsia="zh-CN"/>
        </w:rPr>
        <w:t>年）》电力运行安全有关工作任务，有效遏制电力运行重大及以上安全事故发生。</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二是深入开展重大及高频电力安全隐患“百日攻坚”行动。</w:t>
      </w:r>
      <w:r>
        <w:rPr>
          <w:rFonts w:hint="eastAsia" w:ascii="方正仿宋_GBK" w:hAnsi="方正仿宋_GBK" w:eastAsia="方正仿宋_GBK" w:cs="方正仿宋_GBK"/>
          <w:color w:val="auto"/>
          <w:kern w:val="0"/>
          <w:sz w:val="32"/>
          <w:szCs w:val="32"/>
          <w:highlight w:val="none"/>
          <w:lang w:val="en-US" w:eastAsia="zh-CN"/>
        </w:rPr>
        <w:t>按照国家能源局统一部署，做好电力运行环节重大安全隐患以及高坠、触电两类导致事故高频次发生的隐患专项排查整治工作，切实把问题隐患发现于萌芽之时、整改于成灾之前。</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三是要加强高层建筑用电安全隐患整治。</w:t>
      </w:r>
      <w:r>
        <w:rPr>
          <w:rFonts w:hint="eastAsia" w:ascii="方正仿宋_GBK" w:hAnsi="方正仿宋_GBK" w:eastAsia="方正仿宋_GBK" w:cs="方正仿宋_GBK"/>
          <w:color w:val="auto"/>
          <w:kern w:val="0"/>
          <w:sz w:val="32"/>
          <w:szCs w:val="32"/>
          <w:highlight w:val="none"/>
          <w:lang w:val="en-US" w:eastAsia="zh-CN"/>
        </w:rPr>
        <w:t>要针对辖区高层住宅和公共建筑清单，会同相关部门和供电企业持续开展高层建筑用电安全隐患整治，不断提升高层建筑用电安全水平。</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四是常态化开展高压输电通道保护工作。</w:t>
      </w:r>
      <w:r>
        <w:rPr>
          <w:rFonts w:hint="eastAsia" w:ascii="方正仿宋_GBK" w:hAnsi="方正仿宋_GBK" w:eastAsia="方正仿宋_GBK" w:cs="方正仿宋_GBK"/>
          <w:color w:val="auto"/>
          <w:kern w:val="0"/>
          <w:sz w:val="32"/>
          <w:szCs w:val="32"/>
          <w:highlight w:val="none"/>
          <w:lang w:val="en-US" w:eastAsia="zh-CN"/>
        </w:rPr>
        <w:t>压实供电企业常态化开展高压输电巡视巡查职责，及时处置树竹、空飘、外破等隐患风险。推动建设高压输电通道防火隔离带，加快输电通道自然灾害立体化预控体系建设。</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五是加大关键节点专项检查。</w:t>
      </w:r>
      <w:r>
        <w:rPr>
          <w:rFonts w:hint="eastAsia" w:ascii="方正仿宋_GBK" w:hAnsi="方正仿宋_GBK" w:eastAsia="方正仿宋_GBK" w:cs="方正仿宋_GBK"/>
          <w:color w:val="auto"/>
          <w:kern w:val="0"/>
          <w:sz w:val="32"/>
          <w:szCs w:val="32"/>
          <w:highlight w:val="none"/>
          <w:lang w:val="en-US" w:eastAsia="zh-CN"/>
        </w:rPr>
        <w:t>开展两会及迎峰度夏电力保供工作检查，重点对电力保供措施落实、设施设备运维检修、燃料供应保障等情况进行检查。</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000000"/>
          <w:kern w:val="0"/>
          <w:sz w:val="32"/>
          <w:szCs w:val="32"/>
          <w:highlight w:val="none"/>
          <w:lang w:val="en-US" w:eastAsia="zh-CN"/>
        </w:rPr>
      </w:pPr>
      <w:r>
        <w:rPr>
          <w:rFonts w:hint="eastAsia" w:eastAsia="方正楷体_GBK"/>
          <w:color w:val="000000"/>
          <w:kern w:val="0"/>
          <w:sz w:val="32"/>
          <w:szCs w:val="32"/>
          <w:highlight w:val="none"/>
          <w:lang w:val="en-US" w:eastAsia="zh-CN"/>
        </w:rPr>
        <w:t>5.</w:t>
      </w:r>
      <w:r>
        <w:rPr>
          <w:rFonts w:hint="eastAsia" w:ascii="方正仿宋_GBK" w:hAnsi="方正仿宋_GBK" w:eastAsia="方正仿宋_GBK" w:cs="方正仿宋_GBK"/>
          <w:color w:val="000000"/>
          <w:kern w:val="0"/>
          <w:sz w:val="32"/>
          <w:szCs w:val="32"/>
          <w:highlight w:val="none"/>
          <w:lang w:val="en-US" w:eastAsia="zh-CN"/>
        </w:rPr>
        <w:t>完善应急管理体系</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一是评估完善应急预案。</w:t>
      </w:r>
      <w:r>
        <w:rPr>
          <w:rFonts w:hint="eastAsia" w:ascii="方正仿宋_GBK" w:hAnsi="方正仿宋_GBK" w:eastAsia="方正仿宋_GBK" w:cs="方正仿宋_GBK"/>
          <w:color w:val="auto"/>
          <w:kern w:val="0"/>
          <w:sz w:val="32"/>
          <w:szCs w:val="32"/>
          <w:highlight w:val="none"/>
          <w:lang w:val="en-US" w:eastAsia="zh-CN"/>
        </w:rPr>
        <w:t>开展《铜梁区大面积停电事件应急预案》评估修订工作，提升预案管理规范性。</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一是组织开展应急演练。</w:t>
      </w:r>
      <w:r>
        <w:rPr>
          <w:rFonts w:hint="eastAsia" w:ascii="方正仿宋_GBK" w:hAnsi="方正仿宋_GBK" w:eastAsia="方正仿宋_GBK" w:cs="方正仿宋_GBK"/>
          <w:color w:val="auto"/>
          <w:kern w:val="0"/>
          <w:sz w:val="32"/>
          <w:szCs w:val="32"/>
          <w:highlight w:val="none"/>
          <w:lang w:val="en-US" w:eastAsia="zh-CN"/>
        </w:rPr>
        <w:t>适时组织开展大面积停电事件应急演练，高效、快速处置电网大面积停电事件，预防和减少大面积停电事件损失和影响。</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二是提升应急处置能力。</w:t>
      </w:r>
      <w:r>
        <w:rPr>
          <w:rFonts w:hint="eastAsia" w:ascii="方正仿宋_GBK" w:hAnsi="方正仿宋_GBK" w:eastAsia="方正仿宋_GBK" w:cs="方正仿宋_GBK"/>
          <w:color w:val="auto"/>
          <w:kern w:val="0"/>
          <w:sz w:val="32"/>
          <w:szCs w:val="32"/>
          <w:highlight w:val="none"/>
          <w:lang w:val="en-US" w:eastAsia="zh-CN"/>
        </w:rPr>
        <w:t>发供电企业要针对发电机组事故、电力设施大范围损坏、重要线路通道损坏以及严重自然灾害等情形，分层级、分类别制定完善应急预案，并定期开展演练，做好应急物资储备，不断提高电力运行安全事故应急处置能力。</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三是做好应急值守和处置工作。</w:t>
      </w:r>
      <w:r>
        <w:rPr>
          <w:rFonts w:hint="eastAsia" w:ascii="方正仿宋_GBK" w:hAnsi="方正仿宋_GBK" w:eastAsia="方正仿宋_GBK" w:cs="方正仿宋_GBK"/>
          <w:color w:val="auto"/>
          <w:kern w:val="0"/>
          <w:sz w:val="32"/>
          <w:szCs w:val="32"/>
          <w:highlight w:val="none"/>
          <w:lang w:val="en-US" w:eastAsia="zh-CN"/>
        </w:rPr>
        <w:t>要落实应急值班和领导带班制度，加强特殊天气、突发事件（灾害）监测预警。</w:t>
      </w:r>
    </w:p>
    <w:p>
      <w:pPr>
        <w:pStyle w:val="2"/>
        <w:keepNext w:val="0"/>
        <w:keepLines w:val="0"/>
        <w:pageBreakBefore w:val="0"/>
        <w:widowControl w:val="0"/>
        <w:kinsoku/>
        <w:wordWrap/>
        <w:overflowPunct/>
        <w:topLinePunct w:val="0"/>
        <w:bidi w:val="0"/>
        <w:spacing w:after="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000000"/>
          <w:kern w:val="0"/>
          <w:sz w:val="32"/>
          <w:szCs w:val="32"/>
          <w:highlight w:val="none"/>
          <w:lang w:val="en-US" w:eastAsia="zh-CN"/>
        </w:rPr>
        <w:t>四是要加强电力运行安全事故信息报送工作。</w:t>
      </w:r>
      <w:r>
        <w:rPr>
          <w:rFonts w:hint="eastAsia" w:ascii="方正仿宋_GBK" w:hAnsi="方正仿宋_GBK" w:eastAsia="方正仿宋_GBK" w:cs="方正仿宋_GBK"/>
          <w:color w:val="auto"/>
          <w:kern w:val="0"/>
          <w:sz w:val="32"/>
          <w:szCs w:val="32"/>
          <w:highlight w:val="none"/>
          <w:lang w:val="en-US" w:eastAsia="zh-CN"/>
        </w:rPr>
        <w:t>本辖区、本单位发生电力运行安全事故时，要按程序及时限要求及时向市经济信息委及有关部门报告。</w:t>
      </w:r>
    </w:p>
    <w:p>
      <w:pPr>
        <w:keepNext w:val="0"/>
        <w:keepLines w:val="0"/>
        <w:pageBreakBefore w:val="0"/>
        <w:widowControl w:val="0"/>
        <w:shd w:val="clear" w:color="auto" w:fill="auto"/>
        <w:kinsoku/>
        <w:wordWrap/>
        <w:overflowPunct/>
        <w:topLinePunct w:val="0"/>
        <w:bidi w:val="0"/>
        <w:adjustRightInd w:val="0"/>
        <w:snapToGrid w:val="0"/>
        <w:spacing w:line="594" w:lineRule="exact"/>
        <w:ind w:firstLine="640" w:firstLineChars="200"/>
        <w:jc w:val="both"/>
        <w:textAlignment w:val="auto"/>
        <w:rPr>
          <w:rFonts w:ascii="Times New Roman" w:hAnsi="Times New Roman" w:eastAsia="方正黑体_GBK"/>
          <w:color w:val="000000"/>
          <w:kern w:val="0"/>
          <w:sz w:val="32"/>
          <w:szCs w:val="32"/>
        </w:rPr>
      </w:pPr>
      <w:r>
        <w:rPr>
          <w:rFonts w:hint="eastAsia" w:ascii="Times New Roman" w:hAnsi="Times New Roman" w:eastAsia="方正黑体_GBK"/>
          <w:color w:val="000000"/>
          <w:kern w:val="0"/>
          <w:sz w:val="32"/>
          <w:szCs w:val="32"/>
        </w:rPr>
        <w:t>三</w:t>
      </w:r>
      <w:r>
        <w:rPr>
          <w:rFonts w:ascii="Times New Roman" w:hAnsi="Times New Roman" w:eastAsia="方正黑体_GBK"/>
          <w:color w:val="000000"/>
          <w:kern w:val="0"/>
          <w:sz w:val="32"/>
          <w:szCs w:val="32"/>
        </w:rPr>
        <w:t>、工作要求</w:t>
      </w:r>
    </w:p>
    <w:p>
      <w:pPr>
        <w:keepNext w:val="0"/>
        <w:keepLines w:val="0"/>
        <w:pageBreakBefore w:val="0"/>
        <w:widowControl w:val="0"/>
        <w:shd w:val="clear" w:color="auto" w:fill="auto"/>
        <w:kinsoku/>
        <w:wordWrap/>
        <w:overflowPunct/>
        <w:topLinePunct w:val="0"/>
        <w:bidi w:val="0"/>
        <w:adjustRightInd w:val="0"/>
        <w:snapToGrid w:val="0"/>
        <w:spacing w:line="594" w:lineRule="exact"/>
        <w:ind w:firstLine="640" w:firstLineChars="200"/>
        <w:jc w:val="both"/>
        <w:textAlignment w:val="auto"/>
        <w:rPr>
          <w:rFonts w:hint="eastAsia" w:ascii="Times New Roman" w:hAnsi="Times New Roman" w:eastAsia="方正仿宋_GBK"/>
          <w:color w:val="000000"/>
          <w:kern w:val="0"/>
          <w:sz w:val="32"/>
          <w:szCs w:val="32"/>
        </w:rPr>
      </w:pPr>
      <w:r>
        <w:rPr>
          <w:rFonts w:hint="eastAsia" w:ascii="Times New Roman" w:hAnsi="Times New Roman" w:eastAsia="方正楷体_GBK"/>
          <w:color w:val="000000"/>
          <w:kern w:val="0"/>
          <w:sz w:val="32"/>
          <w:szCs w:val="32"/>
        </w:rPr>
        <w:t>（一）加强组织领导。</w:t>
      </w:r>
      <w:r>
        <w:rPr>
          <w:rFonts w:hint="eastAsia" w:ascii="Times New Roman" w:hAnsi="Times New Roman" w:eastAsia="方正仿宋_GBK"/>
          <w:color w:val="000000"/>
          <w:kern w:val="0"/>
          <w:sz w:val="32"/>
          <w:szCs w:val="32"/>
        </w:rPr>
        <w:t>高度重视，</w:t>
      </w:r>
      <w:r>
        <w:rPr>
          <w:rFonts w:eastAsia="方正仿宋_GBK"/>
          <w:color w:val="000000"/>
          <w:kern w:val="0"/>
          <w:sz w:val="32"/>
          <w:szCs w:val="32"/>
        </w:rPr>
        <w:t>按照</w:t>
      </w:r>
      <w:r>
        <w:rPr>
          <w:rFonts w:hint="eastAsia" w:eastAsia="方正仿宋_GBK"/>
          <w:color w:val="000000"/>
          <w:kern w:val="0"/>
          <w:sz w:val="32"/>
          <w:szCs w:val="32"/>
          <w:lang w:val="en-US" w:eastAsia="zh-CN"/>
        </w:rPr>
        <w:t>市级</w:t>
      </w:r>
      <w:r>
        <w:rPr>
          <w:rFonts w:eastAsia="方正仿宋_GBK"/>
          <w:color w:val="000000"/>
          <w:kern w:val="0"/>
          <w:sz w:val="32"/>
          <w:szCs w:val="32"/>
        </w:rPr>
        <w:t>要求，结合</w:t>
      </w:r>
      <w:r>
        <w:rPr>
          <w:rFonts w:hint="eastAsia" w:eastAsia="方正仿宋_GBK"/>
          <w:color w:val="000000"/>
          <w:kern w:val="0"/>
          <w:sz w:val="32"/>
          <w:szCs w:val="32"/>
          <w:lang w:val="en-US" w:eastAsia="zh-CN"/>
        </w:rPr>
        <w:t>我区燃气</w:t>
      </w:r>
      <w:r>
        <w:rPr>
          <w:rFonts w:eastAsia="方正仿宋_GBK"/>
          <w:color w:val="000000"/>
          <w:kern w:val="0"/>
          <w:sz w:val="32"/>
          <w:szCs w:val="32"/>
        </w:rPr>
        <w:t>油气</w:t>
      </w:r>
      <w:r>
        <w:rPr>
          <w:rFonts w:hint="eastAsia" w:eastAsia="方正仿宋_GBK"/>
          <w:color w:val="000000"/>
          <w:kern w:val="0"/>
          <w:sz w:val="32"/>
          <w:szCs w:val="32"/>
          <w:lang w:eastAsia="zh-CN"/>
        </w:rPr>
        <w:t>电力</w:t>
      </w:r>
      <w:r>
        <w:rPr>
          <w:rFonts w:eastAsia="方正仿宋_GBK"/>
          <w:color w:val="000000"/>
          <w:kern w:val="0"/>
          <w:sz w:val="32"/>
          <w:szCs w:val="32"/>
        </w:rPr>
        <w:t>行业安全生产工作部署和要求，</w:t>
      </w:r>
      <w:r>
        <w:rPr>
          <w:rFonts w:hint="eastAsia" w:ascii="Times New Roman" w:hAnsi="Times New Roman" w:eastAsia="方正仿宋_GBK"/>
          <w:color w:val="000000"/>
          <w:kern w:val="0"/>
          <w:sz w:val="32"/>
          <w:szCs w:val="32"/>
        </w:rPr>
        <w:t>将业务工作和安全工作同时安排部署、同时推进落实</w:t>
      </w:r>
      <w:r>
        <w:rPr>
          <w:rFonts w:hint="eastAsia" w:eastAsia="方正仿宋_GBK"/>
          <w:color w:val="000000"/>
          <w:kern w:val="0"/>
          <w:sz w:val="32"/>
          <w:szCs w:val="32"/>
          <w:lang w:eastAsia="zh-CN"/>
        </w:rPr>
        <w:t>。</w:t>
      </w:r>
      <w:r>
        <w:rPr>
          <w:rFonts w:hint="default" w:eastAsia="方正仿宋_GBK"/>
          <w:color w:val="000000"/>
          <w:kern w:val="0"/>
          <w:sz w:val="32"/>
          <w:szCs w:val="32"/>
          <w:lang w:eastAsia="zh-CN"/>
        </w:rPr>
        <w:t>各镇街</w:t>
      </w:r>
      <w:r>
        <w:rPr>
          <w:rFonts w:hint="eastAsia" w:ascii="Times New Roman" w:hAnsi="Times New Roman" w:eastAsia="方正仿宋_GBK"/>
          <w:color w:val="000000"/>
          <w:kern w:val="0"/>
          <w:sz w:val="32"/>
          <w:szCs w:val="32"/>
        </w:rPr>
        <w:t>主要领导</w:t>
      </w:r>
      <w:r>
        <w:rPr>
          <w:rFonts w:hint="default" w:eastAsia="方正仿宋_GBK"/>
          <w:color w:val="000000"/>
          <w:kern w:val="0"/>
          <w:sz w:val="32"/>
          <w:szCs w:val="32"/>
        </w:rPr>
        <w:t>要</w:t>
      </w:r>
      <w:r>
        <w:rPr>
          <w:rFonts w:hint="eastAsia" w:ascii="Times New Roman" w:hAnsi="Times New Roman" w:eastAsia="方正仿宋_GBK"/>
          <w:color w:val="000000"/>
          <w:kern w:val="0"/>
          <w:sz w:val="32"/>
          <w:szCs w:val="32"/>
        </w:rPr>
        <w:t>亲自部署</w:t>
      </w:r>
      <w:r>
        <w:rPr>
          <w:rFonts w:hint="eastAsia" w:eastAsia="方正仿宋_GBK"/>
          <w:color w:val="000000"/>
          <w:kern w:val="0"/>
          <w:sz w:val="32"/>
          <w:szCs w:val="32"/>
          <w:lang w:eastAsia="zh-CN"/>
        </w:rPr>
        <w:t>，</w:t>
      </w:r>
      <w:r>
        <w:rPr>
          <w:rFonts w:hint="eastAsia" w:ascii="Times New Roman" w:hAnsi="Times New Roman" w:eastAsia="方正仿宋_GBK"/>
          <w:color w:val="000000"/>
          <w:kern w:val="0"/>
          <w:sz w:val="32"/>
          <w:szCs w:val="32"/>
        </w:rPr>
        <w:t>精心统筹谋划，</w:t>
      </w:r>
      <w:r>
        <w:rPr>
          <w:rFonts w:eastAsia="方正仿宋_GBK"/>
          <w:color w:val="000000"/>
          <w:kern w:val="0"/>
          <w:sz w:val="32"/>
          <w:szCs w:val="32"/>
        </w:rPr>
        <w:t>明确工作目标</w:t>
      </w:r>
      <w:r>
        <w:rPr>
          <w:rFonts w:hint="eastAsia" w:eastAsia="方正仿宋_GBK"/>
          <w:color w:val="000000"/>
          <w:kern w:val="0"/>
          <w:sz w:val="32"/>
          <w:szCs w:val="32"/>
          <w:lang w:eastAsia="zh-CN"/>
        </w:rPr>
        <w:t>，细化工作</w:t>
      </w:r>
      <w:r>
        <w:rPr>
          <w:rFonts w:eastAsia="方正仿宋_GBK"/>
          <w:color w:val="000000"/>
          <w:kern w:val="0"/>
          <w:sz w:val="32"/>
          <w:szCs w:val="32"/>
        </w:rPr>
        <w:t>任务、</w:t>
      </w:r>
      <w:r>
        <w:rPr>
          <w:rFonts w:hint="eastAsia" w:eastAsia="方正仿宋_GBK"/>
          <w:color w:val="000000"/>
          <w:kern w:val="0"/>
          <w:sz w:val="32"/>
          <w:szCs w:val="32"/>
          <w:lang w:eastAsia="zh-CN"/>
        </w:rPr>
        <w:t>合理统筹</w:t>
      </w:r>
      <w:r>
        <w:rPr>
          <w:rFonts w:eastAsia="方正仿宋_GBK"/>
          <w:color w:val="000000"/>
          <w:kern w:val="0"/>
          <w:sz w:val="32"/>
          <w:szCs w:val="32"/>
        </w:rPr>
        <w:t>时间</w:t>
      </w:r>
      <w:r>
        <w:rPr>
          <w:rFonts w:hint="eastAsia" w:eastAsia="方正仿宋_GBK"/>
          <w:color w:val="000000"/>
          <w:kern w:val="0"/>
          <w:sz w:val="32"/>
          <w:szCs w:val="32"/>
          <w:lang w:eastAsia="zh-CN"/>
        </w:rPr>
        <w:t>和</w:t>
      </w:r>
      <w:r>
        <w:rPr>
          <w:rFonts w:eastAsia="方正仿宋_GBK"/>
          <w:color w:val="000000"/>
          <w:kern w:val="0"/>
          <w:sz w:val="32"/>
          <w:szCs w:val="32"/>
        </w:rPr>
        <w:t>人员安排</w:t>
      </w:r>
      <w:r>
        <w:rPr>
          <w:rFonts w:hint="eastAsia" w:eastAsia="方正仿宋_GBK"/>
          <w:color w:val="000000"/>
          <w:kern w:val="0"/>
          <w:sz w:val="32"/>
          <w:szCs w:val="32"/>
          <w:lang w:eastAsia="zh-CN"/>
        </w:rPr>
        <w:t>，确保工作顺利推进</w:t>
      </w:r>
      <w:r>
        <w:rPr>
          <w:rFonts w:hint="eastAsia" w:ascii="Times New Roman" w:hAnsi="Times New Roman" w:eastAsia="方正仿宋_GBK"/>
          <w:color w:val="000000"/>
          <w:kern w:val="0"/>
          <w:sz w:val="32"/>
          <w:szCs w:val="32"/>
        </w:rPr>
        <w:t>。</w:t>
      </w:r>
    </w:p>
    <w:p>
      <w:pPr>
        <w:keepNext w:val="0"/>
        <w:keepLines w:val="0"/>
        <w:pageBreakBefore w:val="0"/>
        <w:widowControl w:val="0"/>
        <w:shd w:val="clear" w:color="auto" w:fill="auto"/>
        <w:kinsoku/>
        <w:wordWrap/>
        <w:overflowPunct/>
        <w:topLinePunct w:val="0"/>
        <w:bidi w:val="0"/>
        <w:adjustRightInd w:val="0"/>
        <w:snapToGrid w:val="0"/>
        <w:spacing w:line="594" w:lineRule="exact"/>
        <w:ind w:firstLine="640" w:firstLineChars="200"/>
        <w:jc w:val="both"/>
        <w:textAlignment w:val="auto"/>
        <w:rPr>
          <w:rFonts w:ascii="Times New Roman" w:hAnsi="Times New Roman" w:eastAsia="方正仿宋_GBK"/>
          <w:color w:val="000000"/>
          <w:kern w:val="0"/>
          <w:sz w:val="32"/>
          <w:szCs w:val="32"/>
        </w:rPr>
      </w:pPr>
      <w:r>
        <w:rPr>
          <w:rFonts w:hint="eastAsia" w:ascii="Times New Roman" w:hAnsi="Times New Roman" w:eastAsia="方正楷体_GBK"/>
          <w:color w:val="000000"/>
          <w:kern w:val="0"/>
          <w:sz w:val="32"/>
          <w:szCs w:val="32"/>
        </w:rPr>
        <w:t>（二）加强执法监督。</w:t>
      </w:r>
      <w:r>
        <w:rPr>
          <w:rFonts w:hint="eastAsia" w:ascii="Times New Roman" w:hAnsi="Times New Roman" w:eastAsia="方正仿宋_GBK"/>
          <w:color w:val="000000"/>
          <w:kern w:val="0"/>
          <w:sz w:val="32"/>
          <w:szCs w:val="32"/>
        </w:rPr>
        <w:t>从严执法，</w:t>
      </w:r>
      <w:r>
        <w:rPr>
          <w:rFonts w:eastAsia="方正仿宋_GBK"/>
          <w:color w:val="000000"/>
          <w:kern w:val="0"/>
          <w:sz w:val="32"/>
          <w:szCs w:val="32"/>
        </w:rPr>
        <w:t>严格执行</w:t>
      </w:r>
      <w:r>
        <w:rPr>
          <w:rFonts w:hint="eastAsia" w:eastAsia="方正仿宋_GBK"/>
          <w:color w:val="000000"/>
          <w:sz w:val="32"/>
          <w:szCs w:val="32"/>
          <w:lang w:eastAsia="zh-CN"/>
        </w:rPr>
        <w:t>《中华人民共和国安全生产法》《中华人民共和国电力法》《城镇燃气管理条例》《重庆市天然气加气站管理办法》</w:t>
      </w:r>
      <w:r>
        <w:rPr>
          <w:rFonts w:eastAsia="方正仿宋_GBK"/>
          <w:color w:val="000000"/>
          <w:kern w:val="0"/>
          <w:sz w:val="32"/>
          <w:szCs w:val="32"/>
        </w:rPr>
        <w:t>等法律法规，坚持教育与监管并重，引导和执法并举，通过规范执法服务企业发展</w:t>
      </w:r>
      <w:r>
        <w:rPr>
          <w:rFonts w:hint="eastAsia" w:eastAsia="方正仿宋_GBK"/>
          <w:color w:val="000000"/>
          <w:kern w:val="0"/>
          <w:sz w:val="32"/>
          <w:szCs w:val="32"/>
          <w:lang w:eastAsia="zh-CN"/>
        </w:rPr>
        <w:t>，</w:t>
      </w:r>
      <w:r>
        <w:rPr>
          <w:rFonts w:hint="eastAsia" w:ascii="Times New Roman" w:hAnsi="Times New Roman" w:eastAsia="方正仿宋_GBK"/>
          <w:color w:val="000000"/>
          <w:kern w:val="0"/>
          <w:sz w:val="32"/>
          <w:szCs w:val="32"/>
        </w:rPr>
        <w:t>进一步压实企业主体责任，坚决防止</w:t>
      </w:r>
      <w:r>
        <w:rPr>
          <w:rFonts w:hint="eastAsia" w:eastAsia="方正仿宋_GBK"/>
          <w:color w:val="000000"/>
          <w:kern w:val="0"/>
          <w:sz w:val="32"/>
          <w:szCs w:val="32"/>
          <w:lang w:eastAsia="zh-CN"/>
        </w:rPr>
        <w:t>选择性执法和</w:t>
      </w:r>
      <w:r>
        <w:rPr>
          <w:rFonts w:hint="eastAsia" w:ascii="Times New Roman" w:hAnsi="Times New Roman" w:eastAsia="方正仿宋_GBK"/>
          <w:color w:val="000000"/>
          <w:kern w:val="0"/>
          <w:sz w:val="32"/>
          <w:szCs w:val="32"/>
        </w:rPr>
        <w:t>宽松软</w:t>
      </w:r>
      <w:r>
        <w:rPr>
          <w:rFonts w:hint="eastAsia" w:ascii="Times New Roman" w:hAnsi="Times New Roman" w:eastAsia="方正仿宋_GBK"/>
          <w:color w:val="000000"/>
          <w:kern w:val="0"/>
          <w:sz w:val="32"/>
          <w:szCs w:val="32"/>
          <w:lang w:eastAsia="zh-CN"/>
        </w:rPr>
        <w:t>执法</w:t>
      </w:r>
      <w:r>
        <w:rPr>
          <w:rFonts w:hint="eastAsia" w:ascii="Times New Roman" w:hAnsi="Times New Roman" w:eastAsia="方正仿宋_GBK"/>
          <w:color w:val="000000"/>
          <w:kern w:val="0"/>
          <w:sz w:val="32"/>
          <w:szCs w:val="32"/>
        </w:rPr>
        <w:t>。用好联合惩戒机制，对多次违法和同一隐患反复出现的企业，依法严肃责任追究，公开曝光违法违规行为</w:t>
      </w:r>
      <w:r>
        <w:rPr>
          <w:rFonts w:hint="eastAsia" w:eastAsia="方正仿宋_GBK"/>
          <w:color w:val="000000"/>
          <w:kern w:val="0"/>
          <w:sz w:val="32"/>
          <w:szCs w:val="32"/>
          <w:lang w:eastAsia="zh-CN"/>
        </w:rPr>
        <w:t>，性质或影响严重的视情况取缔或吊销从业资质，严格行业管理</w:t>
      </w:r>
      <w:r>
        <w:rPr>
          <w:rFonts w:hint="eastAsia" w:ascii="Times New Roman" w:hAnsi="Times New Roman" w:eastAsia="方正仿宋_GBK"/>
          <w:color w:val="000000"/>
          <w:kern w:val="0"/>
          <w:sz w:val="32"/>
          <w:szCs w:val="32"/>
        </w:rPr>
        <w:t>。</w:t>
      </w:r>
    </w:p>
    <w:p>
      <w:pPr>
        <w:keepNext w:val="0"/>
        <w:keepLines w:val="0"/>
        <w:pageBreakBefore w:val="0"/>
        <w:widowControl w:val="0"/>
        <w:shd w:val="clear" w:color="auto" w:fill="auto"/>
        <w:kinsoku/>
        <w:wordWrap/>
        <w:overflowPunct/>
        <w:topLinePunct w:val="0"/>
        <w:bidi w:val="0"/>
        <w:adjustRightInd w:val="0"/>
        <w:snapToGrid w:val="0"/>
        <w:spacing w:line="594" w:lineRule="exact"/>
        <w:ind w:firstLine="640" w:firstLineChars="200"/>
        <w:jc w:val="both"/>
        <w:textAlignment w:val="auto"/>
        <w:rPr>
          <w:rFonts w:ascii="Times New Roman" w:hAnsi="Times New Roman" w:eastAsia="方正仿宋_GBK"/>
          <w:color w:val="000000"/>
          <w:kern w:val="0"/>
          <w:sz w:val="32"/>
          <w:szCs w:val="32"/>
        </w:rPr>
      </w:pPr>
      <w:r>
        <w:rPr>
          <w:rFonts w:hint="eastAsia" w:ascii="Times New Roman" w:hAnsi="Times New Roman" w:eastAsia="方正楷体_GBK"/>
          <w:color w:val="000000"/>
          <w:kern w:val="0"/>
          <w:sz w:val="32"/>
          <w:szCs w:val="32"/>
        </w:rPr>
        <w:t>（三）加大宣传力度。</w:t>
      </w:r>
      <w:r>
        <w:rPr>
          <w:rFonts w:hint="eastAsia" w:ascii="Times New Roman" w:hAnsi="Times New Roman" w:eastAsia="方正仿宋_GBK"/>
          <w:color w:val="000000"/>
          <w:kern w:val="0"/>
          <w:sz w:val="32"/>
          <w:szCs w:val="32"/>
        </w:rPr>
        <w:t>持续加大</w:t>
      </w:r>
      <w:r>
        <w:rPr>
          <w:rFonts w:hint="eastAsia" w:eastAsia="方正仿宋_GBK"/>
          <w:color w:val="000000"/>
          <w:kern w:val="0"/>
          <w:sz w:val="32"/>
          <w:szCs w:val="32"/>
          <w:lang w:eastAsia="zh-CN"/>
        </w:rPr>
        <w:t>燃气</w:t>
      </w:r>
      <w:r>
        <w:rPr>
          <w:rFonts w:hint="eastAsia" w:ascii="Times New Roman" w:hAnsi="Times New Roman" w:eastAsia="方正仿宋_GBK"/>
          <w:color w:val="000000"/>
          <w:kern w:val="0"/>
          <w:sz w:val="32"/>
          <w:szCs w:val="32"/>
        </w:rPr>
        <w:t>油气</w:t>
      </w:r>
      <w:r>
        <w:rPr>
          <w:rFonts w:hint="eastAsia" w:eastAsia="方正仿宋_GBK"/>
          <w:color w:val="000000"/>
          <w:kern w:val="0"/>
          <w:sz w:val="32"/>
          <w:szCs w:val="32"/>
          <w:lang w:eastAsia="zh-CN"/>
        </w:rPr>
        <w:t>电力</w:t>
      </w:r>
      <w:r>
        <w:rPr>
          <w:rFonts w:hint="eastAsia" w:ascii="Times New Roman" w:hAnsi="Times New Roman" w:eastAsia="方正仿宋_GBK"/>
          <w:color w:val="000000"/>
          <w:kern w:val="0"/>
          <w:sz w:val="32"/>
          <w:szCs w:val="32"/>
        </w:rPr>
        <w:t>领域安全公益宣传力度</w:t>
      </w:r>
      <w:r>
        <w:rPr>
          <w:rFonts w:hint="eastAsia" w:ascii="Times New Roman" w:hAnsi="Times New Roman" w:eastAsia="方正仿宋_GBK"/>
          <w:color w:val="000000"/>
          <w:kern w:val="0"/>
          <w:sz w:val="32"/>
          <w:szCs w:val="32"/>
          <w:lang w:eastAsia="zh-CN"/>
        </w:rPr>
        <w:t>，</w:t>
      </w:r>
      <w:r>
        <w:rPr>
          <w:rFonts w:hint="eastAsia" w:ascii="Times New Roman" w:hAnsi="Times New Roman" w:eastAsia="方正仿宋_GBK"/>
          <w:color w:val="000000"/>
          <w:kern w:val="0"/>
          <w:sz w:val="32"/>
          <w:szCs w:val="32"/>
        </w:rPr>
        <w:t>推动</w:t>
      </w:r>
      <w:r>
        <w:rPr>
          <w:rFonts w:hint="eastAsia" w:eastAsia="方正仿宋_GBK"/>
          <w:color w:val="000000"/>
          <w:kern w:val="0"/>
          <w:sz w:val="32"/>
          <w:szCs w:val="32"/>
          <w:lang w:eastAsia="zh-CN"/>
        </w:rPr>
        <w:t>行业</w:t>
      </w:r>
      <w:r>
        <w:rPr>
          <w:rFonts w:hint="eastAsia" w:ascii="Times New Roman" w:hAnsi="Times New Roman" w:eastAsia="方正仿宋_GBK"/>
          <w:color w:val="000000"/>
          <w:kern w:val="0"/>
          <w:sz w:val="32"/>
          <w:szCs w:val="32"/>
        </w:rPr>
        <w:t>安全宣传进企业、进农村、进社区、进学校、进家庭，完善安全宣传常态化机制，增强公众安全防范能力和自救互救能力。</w:t>
      </w:r>
    </w:p>
    <w:p>
      <w:pPr>
        <w:keepNext w:val="0"/>
        <w:keepLines w:val="0"/>
        <w:pageBreakBefore w:val="0"/>
        <w:widowControl w:val="0"/>
        <w:shd w:val="clear" w:color="auto" w:fill="auto"/>
        <w:kinsoku/>
        <w:wordWrap/>
        <w:overflowPunct/>
        <w:topLinePunct w:val="0"/>
        <w:bidi w:val="0"/>
        <w:adjustRightInd w:val="0"/>
        <w:snapToGrid w:val="0"/>
        <w:spacing w:line="594" w:lineRule="exact"/>
        <w:ind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楷体_GBK"/>
          <w:color w:val="000000"/>
          <w:kern w:val="0"/>
          <w:sz w:val="32"/>
          <w:szCs w:val="32"/>
        </w:rPr>
        <w:t>（四）加强信息报送。</w:t>
      </w:r>
      <w:r>
        <w:rPr>
          <w:rFonts w:hint="default" w:ascii="Times New Roman" w:hAnsi="Times New Roman" w:eastAsia="方正仿宋_GBK"/>
          <w:color w:val="000000"/>
          <w:kern w:val="0"/>
          <w:sz w:val="32"/>
          <w:szCs w:val="32"/>
        </w:rPr>
        <w:t>各镇街</w:t>
      </w:r>
      <w:r>
        <w:rPr>
          <w:rFonts w:hint="default" w:eastAsia="方正仿宋_GBK"/>
          <w:color w:val="000000"/>
          <w:kern w:val="0"/>
          <w:sz w:val="32"/>
          <w:szCs w:val="32"/>
        </w:rPr>
        <w:t>经发办</w:t>
      </w:r>
      <w:r>
        <w:rPr>
          <w:rFonts w:hint="eastAsia" w:ascii="Times New Roman" w:hAnsi="Times New Roman" w:eastAsia="方正仿宋_GBK"/>
          <w:color w:val="000000"/>
          <w:kern w:val="0"/>
          <w:sz w:val="32"/>
          <w:szCs w:val="32"/>
        </w:rPr>
        <w:t>要落实专人</w:t>
      </w:r>
      <w:r>
        <w:rPr>
          <w:rFonts w:hint="eastAsia" w:eastAsia="方正仿宋_GBK"/>
          <w:color w:val="000000"/>
          <w:kern w:val="0"/>
          <w:sz w:val="32"/>
          <w:szCs w:val="32"/>
          <w:lang w:eastAsia="zh-CN"/>
        </w:rPr>
        <w:t>负责</w:t>
      </w:r>
      <w:r>
        <w:rPr>
          <w:rFonts w:hint="eastAsia" w:ascii="Times New Roman" w:hAnsi="Times New Roman" w:eastAsia="方正仿宋_GBK"/>
          <w:color w:val="000000"/>
          <w:kern w:val="0"/>
          <w:sz w:val="32"/>
          <w:szCs w:val="32"/>
        </w:rPr>
        <w:t>，按照工作要求，及时报送</w:t>
      </w:r>
      <w:r>
        <w:rPr>
          <w:rFonts w:hint="eastAsia" w:ascii="Times New Roman" w:hAnsi="Times New Roman" w:eastAsia="方正仿宋_GBK"/>
          <w:color w:val="000000"/>
          <w:kern w:val="0"/>
          <w:sz w:val="32"/>
          <w:szCs w:val="32"/>
          <w:lang w:eastAsia="zh-CN"/>
        </w:rPr>
        <w:t>在</w:t>
      </w:r>
      <w:r>
        <w:rPr>
          <w:rFonts w:hint="eastAsia" w:ascii="Times New Roman" w:hAnsi="Times New Roman" w:eastAsia="方正仿宋_GBK"/>
          <w:color w:val="000000"/>
          <w:kern w:val="0"/>
          <w:sz w:val="32"/>
          <w:szCs w:val="32"/>
        </w:rPr>
        <w:t>行业管理</w:t>
      </w:r>
      <w:r>
        <w:rPr>
          <w:rFonts w:hint="eastAsia" w:eastAsia="方正仿宋_GBK"/>
          <w:color w:val="000000"/>
          <w:kern w:val="0"/>
          <w:sz w:val="32"/>
          <w:szCs w:val="32"/>
          <w:lang w:eastAsia="zh-CN"/>
        </w:rPr>
        <w:t>和</w:t>
      </w:r>
      <w:r>
        <w:rPr>
          <w:rFonts w:hint="eastAsia" w:ascii="Times New Roman" w:hAnsi="Times New Roman" w:eastAsia="方正仿宋_GBK"/>
          <w:color w:val="000000"/>
          <w:kern w:val="0"/>
          <w:sz w:val="32"/>
          <w:szCs w:val="32"/>
        </w:rPr>
        <w:t>执法检查中发现的倾向性问题</w:t>
      </w:r>
      <w:r>
        <w:rPr>
          <w:rFonts w:hint="eastAsia" w:eastAsia="方正仿宋_GBK"/>
          <w:color w:val="000000"/>
          <w:kern w:val="0"/>
          <w:sz w:val="32"/>
          <w:szCs w:val="32"/>
          <w:lang w:eastAsia="zh-CN"/>
        </w:rPr>
        <w:t>、</w:t>
      </w:r>
      <w:r>
        <w:rPr>
          <w:rFonts w:hint="eastAsia" w:ascii="Times New Roman" w:hAnsi="Times New Roman" w:eastAsia="方正仿宋_GBK"/>
          <w:color w:val="000000"/>
          <w:kern w:val="0"/>
          <w:sz w:val="32"/>
          <w:szCs w:val="32"/>
        </w:rPr>
        <w:t>工作动态</w:t>
      </w:r>
      <w:r>
        <w:rPr>
          <w:rFonts w:hint="eastAsia" w:eastAsia="方正仿宋_GBK"/>
          <w:color w:val="000000"/>
          <w:kern w:val="0"/>
          <w:sz w:val="32"/>
          <w:szCs w:val="32"/>
          <w:lang w:eastAsia="zh-CN"/>
        </w:rPr>
        <w:t>与</w:t>
      </w:r>
      <w:r>
        <w:rPr>
          <w:rFonts w:hint="eastAsia" w:ascii="Times New Roman" w:hAnsi="Times New Roman" w:eastAsia="方正仿宋_GBK"/>
          <w:color w:val="000000"/>
          <w:kern w:val="0"/>
          <w:sz w:val="32"/>
          <w:szCs w:val="32"/>
        </w:rPr>
        <w:t>工作总结。</w:t>
      </w:r>
    </w:p>
    <w:p>
      <w:pPr>
        <w:pStyle w:val="10"/>
        <w:keepNext w:val="0"/>
        <w:keepLines w:val="0"/>
        <w:pageBreakBefore w:val="0"/>
        <w:widowControl w:val="0"/>
        <w:kinsoku/>
        <w:wordWrap/>
        <w:overflowPunct/>
        <w:topLinePunct w:val="0"/>
        <w:bidi w:val="0"/>
        <w:snapToGrid/>
        <w:spacing w:line="594" w:lineRule="exact"/>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val="0"/>
        <w:autoSpaceDE/>
        <w:autoSpaceDN/>
        <w:bidi w:val="0"/>
        <w:adjustRightInd/>
        <w:snapToGrid/>
        <w:spacing w:after="0" w:line="594" w:lineRule="exact"/>
        <w:ind w:left="0" w:leftChars="0" w:firstLine="0" w:firstLineChars="0"/>
        <w:jc w:val="right"/>
        <w:textAlignment w:val="auto"/>
        <w:rPr>
          <w:rFonts w:hint="default" w:eastAsia="方正仿宋_GBK" w:cs="Times New Roman"/>
          <w:color w:val="000000" w:themeColor="text1"/>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bidi="ar-SA"/>
          <w14:textFill>
            <w14:solidFill>
              <w14:schemeClr w14:val="tx1"/>
            </w14:solidFill>
          </w14:textFill>
        </w:rPr>
        <w:t>重庆市铜梁区经济和信息化委员</w:t>
      </w:r>
      <w:r>
        <w:rPr>
          <w:rFonts w:hint="eastAsia" w:eastAsia="方正仿宋_GBK" w:cs="Times New Roman"/>
          <w:color w:val="000000" w:themeColor="text1"/>
          <w:sz w:val="32"/>
          <w:szCs w:val="32"/>
          <w:lang w:val="en-US" w:eastAsia="zh-CN" w:bidi="ar-SA"/>
          <w14:textFill>
            <w14:solidFill>
              <w14:schemeClr w14:val="tx1"/>
            </w14:solidFill>
          </w14:textFill>
        </w:rPr>
        <w:t xml:space="preserve">会    </w:t>
      </w:r>
    </w:p>
    <w:p>
      <w:pPr>
        <w:pStyle w:val="2"/>
        <w:keepNext w:val="0"/>
        <w:keepLines w:val="0"/>
        <w:pageBreakBefore w:val="0"/>
        <w:widowControl w:val="0"/>
        <w:kinsoku/>
        <w:wordWrap w:val="0"/>
        <w:overflowPunct/>
        <w:topLinePunct w:val="0"/>
        <w:autoSpaceDE/>
        <w:autoSpaceDN/>
        <w:bidi w:val="0"/>
        <w:adjustRightInd/>
        <w:snapToGrid/>
        <w:spacing w:after="0" w:line="594" w:lineRule="exact"/>
        <w:ind w:left="0" w:leftChars="0" w:firstLine="0" w:firstLineChars="0"/>
        <w:jc w:val="right"/>
        <w:textAlignment w:val="auto"/>
      </w:pP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5年1</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lang w:val="en-US" w:eastAsia="zh-CN"/>
        </w:rPr>
        <w:t>日</w:t>
      </w:r>
      <w:r>
        <w:rPr>
          <w:rFonts w:hint="eastAsia" w:eastAsia="方正仿宋_GBK" w:cs="Times New Roman"/>
          <w:color w:val="auto"/>
          <w:sz w:val="32"/>
          <w:szCs w:val="32"/>
          <w:lang w:val="en-US" w:eastAsia="zh-CN"/>
        </w:rPr>
        <w:t xml:space="preserve">           </w:t>
      </w:r>
    </w:p>
    <w:sectPr>
      <w:footerReference r:id="rId5" w:type="default"/>
      <w:pgSz w:w="11906" w:h="16838"/>
      <w:pgMar w:top="1984" w:right="1474" w:bottom="1644" w:left="1474" w:header="851" w:footer="1077"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ind w:left="0" w:leftChars="0"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MDhiNTBhYzZkOGQ1MDU2NmJlYWE2OGE3YTUwMzUifQ=="/>
  </w:docVars>
  <w:rsids>
    <w:rsidRoot w:val="00000000"/>
    <w:rsid w:val="001E4773"/>
    <w:rsid w:val="06766A1C"/>
    <w:rsid w:val="0DB52E1D"/>
    <w:rsid w:val="1B5E7BF7"/>
    <w:rsid w:val="1E947861"/>
    <w:rsid w:val="1FA71462"/>
    <w:rsid w:val="230A6270"/>
    <w:rsid w:val="28A737F6"/>
    <w:rsid w:val="296F6ACB"/>
    <w:rsid w:val="2ED32257"/>
    <w:rsid w:val="34C53226"/>
    <w:rsid w:val="4B297620"/>
    <w:rsid w:val="4DCD1CC9"/>
    <w:rsid w:val="4F676BDB"/>
    <w:rsid w:val="54BC0C56"/>
    <w:rsid w:val="5617529E"/>
    <w:rsid w:val="57DF0ABF"/>
    <w:rsid w:val="5CB10D64"/>
    <w:rsid w:val="5FCE1DA9"/>
    <w:rsid w:val="5FEDEA8E"/>
    <w:rsid w:val="6ED860E0"/>
    <w:rsid w:val="762756B4"/>
    <w:rsid w:val="7BED106C"/>
    <w:rsid w:val="7DDE969A"/>
    <w:rsid w:val="97F5D7A5"/>
    <w:rsid w:val="ACFC5C01"/>
    <w:rsid w:val="E74FBBA8"/>
    <w:rsid w:val="EF7FAAA1"/>
    <w:rsid w:val="F7D6556B"/>
    <w:rsid w:val="FBEBE4D2"/>
    <w:rsid w:val="FF1FF9E1"/>
    <w:rsid w:val="FFBF8F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8" w:lineRule="exact"/>
      <w:ind w:firstLine="640"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4"/>
    </w:rPr>
  </w:style>
  <w:style w:type="paragraph" w:styleId="4">
    <w:name w:val="footer"/>
    <w:basedOn w:val="1"/>
    <w:next w:val="5"/>
    <w:qFormat/>
    <w:uiPriority w:val="99"/>
    <w:pPr>
      <w:tabs>
        <w:tab w:val="center" w:pos="4153"/>
        <w:tab w:val="right" w:pos="8306"/>
      </w:tabs>
      <w:snapToGrid w:val="0"/>
      <w:jc w:val="left"/>
    </w:pPr>
    <w:rPr>
      <w:sz w:val="18"/>
      <w:szCs w:val="18"/>
    </w:rPr>
  </w:style>
  <w:style w:type="paragraph" w:customStyle="1" w:styleId="5">
    <w:name w:val="索引 51"/>
    <w:basedOn w:val="1"/>
    <w:next w:val="1"/>
    <w:qFormat/>
    <w:uiPriority w:val="0"/>
    <w:pPr>
      <w:spacing w:before="100" w:beforeAutospacing="1" w:after="100" w:afterAutospacing="1"/>
      <w:ind w:left="1680"/>
    </w:pPr>
    <w:rPr>
      <w:rFonts w:ascii="Calibri" w:hAnsi="Calibri"/>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
    <w:name w:val="p2"/>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正文-公1"/>
    <w:basedOn w:val="1"/>
    <w:qFormat/>
    <w:uiPriority w:val="0"/>
    <w:pPr>
      <w:ind w:firstLine="200" w:firstLineChars="200"/>
      <w:jc w:val="left"/>
    </w:pPr>
    <w:rPr>
      <w:rFonts w:ascii="Calibri" w:hAnsi="Calibri" w:eastAsia="方正仿宋_GBK"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778</Words>
  <Characters>789</Characters>
  <Lines>0</Lines>
  <Paragraphs>0</Paragraphs>
  <TotalTime>11</TotalTime>
  <ScaleCrop>false</ScaleCrop>
  <LinksUpToDate>false</LinksUpToDate>
  <CharactersWithSpaces>789</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2024-01-26T14:56:00Z</dcterms:created>
  <dc:creator>NeiWang</dc:creator>
  <cp:lastModifiedBy>TongLiang</cp:lastModifiedBy>
  <cp:lastPrinted>2025-01-20T17:59:00Z</cp:lastPrinted>
  <dcterms:modified xsi:type="dcterms:W3CDTF">2025-01-21T08:54:15Z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21BF367A981C47829D637E7E944F29DA_12</vt:lpwstr>
  </property>
  <property fmtid="{D5CDD505-2E9C-101B-9397-08002B2CF9AE}" pid="4" name="KSOTemplateDocerSaveRecord">
    <vt:lpwstr>eyJoZGlkIjoiMDgwZDcyNDYxZjU1Yjk5MmQ4M2EyMDgxMWQzYTA0MTkiLCJ1c2VySWQiOiI3NDYwOTg3NTMifQ==</vt:lpwstr>
  </property>
</Properties>
</file>