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30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30"/>
          <w:w w:val="1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30"/>
          <w:w w:val="100"/>
          <w:sz w:val="32"/>
          <w:szCs w:val="32"/>
          <w:lang w:val="en-US" w:eastAsia="zh-CN"/>
        </w:rPr>
        <w:t>1</w:t>
      </w:r>
    </w:p>
    <w:p>
      <w:pPr>
        <w:spacing w:line="1220" w:lineRule="exact"/>
        <w:jc w:val="distribute"/>
        <w:rPr>
          <w:rFonts w:hint="default" w:ascii="方正小标宋_GBK" w:hAnsi="方正小标宋_GBK" w:eastAsia="方正小标宋_GBK" w:cs="方正小标宋_GBK"/>
          <w:color w:val="FF0000"/>
          <w:spacing w:val="30"/>
          <w:w w:val="60"/>
          <w:sz w:val="116"/>
          <w:szCs w:val="116"/>
        </w:rPr>
      </w:pPr>
      <w:r>
        <w:rPr>
          <w:rFonts w:hint="default" w:ascii="方正小标宋_GBK" w:hAnsi="方正小标宋_GBK" w:eastAsia="方正小标宋_GBK" w:cs="方正小标宋_GBK"/>
          <w:color w:val="FF0000"/>
          <w:spacing w:val="30"/>
          <w:w w:val="60"/>
          <w:sz w:val="116"/>
          <w:szCs w:val="116"/>
        </w:rPr>
        <w:t>重庆市规划和自然资源局</w:t>
      </w:r>
    </w:p>
    <w:p>
      <w:pPr>
        <w:spacing w:line="1200" w:lineRule="exact"/>
        <w:jc w:val="distribute"/>
        <w:rPr>
          <w:rFonts w:hint="default" w:ascii="方正小标宋_GBK" w:hAnsi="方正小标宋_GBK" w:eastAsia="方正小标宋_GBK" w:cs="方正小标宋_GBK"/>
          <w:color w:val="FF0000"/>
          <w:spacing w:val="30"/>
          <w:w w:val="60"/>
          <w:sz w:val="116"/>
          <w:szCs w:val="116"/>
        </w:rPr>
      </w:pPr>
      <w:r>
        <w:rPr>
          <w:rFonts w:hint="default" w:ascii="方正小标宋_GBK" w:hAnsi="方正小标宋_GBK" w:eastAsia="方正小标宋_GBK" w:cs="方正小标宋_GBK"/>
          <w:color w:val="FF0000"/>
          <w:spacing w:val="30"/>
          <w:w w:val="60"/>
          <w:sz w:val="116"/>
          <w:szCs w:val="116"/>
        </w:rPr>
        <w:t>重庆市农业农村委员会</w:t>
      </w:r>
    </w:p>
    <w:p>
      <w:pPr>
        <w:spacing w:line="600" w:lineRule="exact"/>
        <w:jc w:val="right"/>
        <w:rPr>
          <w:rFonts w:hint="default" w:ascii="方正仿宋_GBK" w:hAnsi="方正仿宋_GBK" w:eastAsia="方正仿宋_GBK" w:cs="方正仿宋_GBK"/>
          <w:color w:val="FF0000"/>
          <w:sz w:val="32"/>
          <w:szCs w:val="32"/>
        </w:rPr>
      </w:pPr>
      <w:bookmarkStart w:id="0" w:name="_GoBack"/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188595</wp:posOffset>
                </wp:positionV>
                <wp:extent cx="5819140" cy="0"/>
                <wp:effectExtent l="0" t="28575" r="1016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5pt;margin-top:14.85pt;height:0pt;width:458.2pt;z-index:251658240;mso-width-relative:page;mso-height-relative:page;" filled="f" stroked="t" coordsize="21600,21600" o:gfxdata="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m6zrdgA&#10;AAAJAQAADwAAAAAAAAABACAAAAAiAAAAZHJzL2Rvd25yZXYueG1sUEsBAhQAFAAAAAgAh07iQCyN&#10;8qXmAQAApwMAAA4AAAAAAAAAAQAgAAAAJwEAAGRycy9lMm9Eb2MueG1sUEsFBgAAAAAGAAYAWQEA&#10;AH8FAAAAAA==&#10;">
                <v:path arrowok="t"/>
                <v:fill on="f" focussize="0,0"/>
                <v:stroke weight="4.5pt" color="#FF0000" linestyle="thickThin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</w:p>
    <w:p>
      <w:pPr>
        <w:spacing w:line="600" w:lineRule="exact"/>
        <w:jc w:val="right"/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渝规资〔2020〕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792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重庆市规划和自然资源局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重庆市农业农村委员会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关于做好农村村民住宅用地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农用地转用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审批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t>有关工作的通知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880" w:firstLineChars="200"/>
        <w:jc w:val="lef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</w:rPr>
        <w:t>各区县（自治县）规划自然资源局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eastAsia="zh-CN"/>
        </w:rPr>
        <w:t>、农业农村委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</w:rPr>
        <w:t>，万盛经开区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eastAsia="zh-CN"/>
        </w:rPr>
        <w:t>、两江新区、高新区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</w:rPr>
        <w:t>规划自然资源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eastAsia="zh-CN"/>
        </w:rPr>
        <w:t>局、农林局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z w:val="32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highlight w:val="none"/>
          <w:lang w:val="en-US" w:eastAsia="zh-CN"/>
        </w:rPr>
        <w:t>按照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《自然资源部农业农村部关于保障农村村民住宅建设合理用地的通知》（自然资发〔2020〕128号）有关要求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highlight w:val="none"/>
          <w:lang w:val="en-US" w:eastAsia="zh-CN"/>
        </w:rPr>
        <w:t>，经市政府同意，将农村村民住宅建设占用农用地的农用地转用委托区县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highlight w:val="none"/>
          <w:lang w:val="en-US" w:eastAsia="zh-CN"/>
        </w:rPr>
        <w:t>（自治县）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highlight w:val="none"/>
          <w:lang w:val="en-US" w:eastAsia="zh-CN"/>
        </w:rPr>
        <w:t>人民政府批准。为做好审批权委托下放工作，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highlight w:val="none"/>
          <w:lang w:val="en-US" w:eastAsia="zh-CN"/>
        </w:rPr>
        <w:t>结合重庆实际，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highlight w:val="none"/>
          <w:lang w:val="en-US" w:eastAsia="zh-CN"/>
        </w:rPr>
        <w:t>现通知如下：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 w:val="0"/>
          <w:sz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highlight w:val="none"/>
          <w:lang w:val="en-US" w:eastAsia="zh-CN"/>
        </w:rPr>
        <w:t>一、</w:t>
      </w:r>
      <w:r>
        <w:rPr>
          <w:rFonts w:hint="default" w:ascii="方正黑体_GBK" w:hAnsi="方正黑体_GBK" w:eastAsia="方正黑体_GBK" w:cs="方正黑体_GBK"/>
          <w:b w:val="0"/>
          <w:bCs w:val="0"/>
          <w:sz w:val="32"/>
          <w:highlight w:val="none"/>
          <w:lang w:val="en-US" w:eastAsia="zh-CN"/>
        </w:rPr>
        <w:t>委托审批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highlight w:val="none"/>
          <w:lang w:val="en-US" w:eastAsia="zh-CN"/>
        </w:rPr>
        <w:t>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农村村民新建、扩建住宅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占用土地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，将永久基本农田、生态红线范围以外的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农用地转为建设用地的，其农用地转用由市人民政府委托区县（自治县）人民政府批准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依照法律规定，农村村民一户只能拥有一处宅基地，其面积不得超过规定标准。为实施村庄规划，已取得宅基地的农村村民申请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迁建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住宅的，应当编制</w:t>
      </w:r>
      <w:r>
        <w:rPr>
          <w:rFonts w:hint="default" w:ascii="方正仿宋_GBK" w:hAnsi="方正仿宋_GBK" w:eastAsia="方正仿宋_GBK" w:cs="方正仿宋_GBK"/>
          <w:sz w:val="32"/>
          <w:highlight w:val="none"/>
          <w:lang w:eastAsia="zh-CN"/>
        </w:rPr>
        <w:t>拆旧建新方案</w:t>
      </w:r>
      <w:r>
        <w:rPr>
          <w:rFonts w:hint="eastAsia" w:ascii="方正仿宋_GBK" w:hAnsi="方正仿宋_GBK" w:eastAsia="方正仿宋_GBK" w:cs="方正仿宋_GBK"/>
          <w:sz w:val="32"/>
          <w:highlight w:val="none"/>
          <w:lang w:eastAsia="zh-CN"/>
        </w:rPr>
        <w:t>报</w:t>
      </w:r>
      <w:r>
        <w:rPr>
          <w:rFonts w:hint="default" w:ascii="方正仿宋_GBK" w:hAnsi="方正仿宋_GBK" w:eastAsia="方正仿宋_GBK" w:cs="方正仿宋_GBK"/>
          <w:sz w:val="32"/>
          <w:highlight w:val="none"/>
          <w:lang w:eastAsia="zh-CN"/>
        </w:rPr>
        <w:t>原批准村庄规划的机关批准并监督落实，不办理农用地转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用审批手续。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 w:val="0"/>
          <w:sz w:val="32"/>
          <w:highlight w:val="none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highlight w:val="none"/>
          <w:lang w:val="en-US" w:eastAsia="zh-CN"/>
        </w:rPr>
        <w:t>二、优化审批程序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乡镇人民政府收到村民委员会报送的宅基地和建房（规划许可）书面申请后，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应当组织有关站（所、中心）、申请人等到现场实地踏勘、采集地理坐标、制作附图。涉及占用农用地的，连同申请材料提交区县（自治县）规划自然资源部门，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区县（自治县）规划自然资源部门适时汇总用地申请情况，对土地利用总体规划、村庄规划、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占用耕地、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地质灾害危险性评估等情况进行审查。符合农用地转用条件的，拟订农用地转用方案（含补充耕地方案），报区县（自治县）人民政府批准。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符合批准条件的，区县（自治县）人民政府应当自收到农用地转用方案之日起15个工作日内作出批复。符合拆旧建新条件的，编制拆旧建新方案报有批准权的人民政府批准。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各区县要建立一个窗口受理、多部门联动的联审联办制度，根据各部门联审结果，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农村宅基地批准书和乡村建设规划许可证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可由乡镇一并发放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 w:val="0"/>
          <w:sz w:val="32"/>
          <w:highlight w:val="none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highlight w:val="none"/>
          <w:lang w:val="en-US" w:eastAsia="zh-CN"/>
        </w:rPr>
        <w:t>三、规范审查内容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24"/>
          <w:highlight w:val="none"/>
          <w:lang w:val="en-US" w:eastAsia="zh-CN"/>
        </w:rPr>
        <w:t>（一）关于规划计划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  <w:highlight w:val="none"/>
          <w:lang w:val="en-US" w:eastAsia="zh-CN"/>
        </w:rPr>
        <w:t>。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农村村民住宅建设应当符合土地利用总体规划、村庄规划和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生态保护红线管控要求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不得占用永久基本农田。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农村村民住宅建设所需新增建设用地计划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指标，由市规划自然资源局在全市年度计划内统筹按需配置，区县批准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农用地转用时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直接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核销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年底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根据区县审批备案情况结算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  <w:highlight w:val="none"/>
          <w:lang w:val="en-US" w:eastAsia="zh-CN"/>
        </w:rPr>
        <w:t>（二）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24"/>
          <w:highlight w:val="none"/>
          <w:lang w:val="en-US" w:eastAsia="zh-CN"/>
        </w:rPr>
        <w:t>关于耕地占补平衡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  <w:highlight w:val="none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县（自治县）人民政府是落实耕地占补平衡责任主体，应按照“占一补一，占优补优、占水田补水田”的原则，统筹本区域内储备补充耕地指标、土地整治和高标准农田建设等多种途径补充耕地，落实占补平衡。不得向农村村民收取耕地开垦费，不得以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未落实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占补平衡为由，影响农村村民建房和农用地转用审批。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24"/>
          <w:highlight w:val="none"/>
          <w:lang w:val="en-US" w:eastAsia="zh-CN"/>
        </w:rPr>
        <w:t>（三）关于农村集中居民点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  <w:highlight w:val="none"/>
          <w:lang w:val="en-US" w:eastAsia="zh-CN"/>
        </w:rPr>
        <w:t>。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农村集中居民点建设要充分尊重农民意愿，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不提倡、不鼓励在城市和集镇规划区外拆并村庄、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建设大规模农村集中居民点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不得强制农民搬迁和上楼居住。农村集中居民点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建设应当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对建设项目批准、核准或备案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用地预审等情况进行审查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开展建设用地地质灾害危险性评估，落实防范措施。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农村集中居民点建设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涉及占用农用地的，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其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农用地转用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事项应当经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区县（自治县）规划自然资源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局局长办公会审议后报区县（自治县）人民政府审批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、有关工作要求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24"/>
          <w:highlight w:val="none"/>
          <w:lang w:val="en-US" w:eastAsia="zh-CN"/>
        </w:rPr>
        <w:t>（一）切实履行审查责任。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自本通知下发之日起，各区县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（自治县）规划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自然资源部门按照通知附件1要求，规范开展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农用地转用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报批组卷和审查工作。按照权责一致的原则，认真履行审查责任，对审查意见的合法合规性负责。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同时，要按照农村乱占耕地建房问题专项整治工作要求，加快历史遗留问题的清理、处置。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24"/>
          <w:highlight w:val="none"/>
          <w:lang w:val="en-US" w:eastAsia="zh-CN"/>
        </w:rPr>
        <w:t>（二）及时报送信息备案。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农村村民住宅建设农用地转用方案经区县（自治县）人民政府批准后，区县（自治县）规划自然资源主管部门应当在5个工作日内，将批准用地的面积、地类、四至坐标、用途、耕地占补平衡等信息上报市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规划自然资源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局备案，并上传批复文件。对未按规定及时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备案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的，或发现虚报、瞒报的，市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规划自然资源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局将通报批评，责令改正。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24"/>
          <w:highlight w:val="none"/>
          <w:lang w:val="en-US" w:eastAsia="zh-CN"/>
        </w:rPr>
        <w:t>（三）加强审批监管。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规划自然资源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通过规划自然资源常规监测、年度变更调查、审批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信息备案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组织实地检查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等多种方式，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加强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对农村村民住宅用地的监测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监管。违法违规审批、越权审批的，其批准文件无效，按照有关规定对直接负责的主管人员和其他直接责任人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进行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约谈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、问责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并责令限期整改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。逾期未整改的，暂停该区县除市级以上重大项目的用地计划安排和用地审批。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16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pacing w:val="-6"/>
          <w:sz w:val="32"/>
          <w:szCs w:val="24"/>
          <w:highlight w:val="none"/>
          <w:lang w:val="en-US" w:eastAsia="zh-CN"/>
        </w:rPr>
        <w:t>（四）提高服务水平。</w:t>
      </w:r>
      <w:r>
        <w:rPr>
          <w:rFonts w:hint="default" w:ascii="方正仿宋_GBK" w:hAnsi="方正仿宋_GBK" w:eastAsia="方正仿宋_GBK" w:cs="方正仿宋_GBK"/>
          <w:b w:val="0"/>
          <w:bCs w:val="0"/>
          <w:spacing w:val="-6"/>
          <w:sz w:val="32"/>
          <w:szCs w:val="24"/>
          <w:highlight w:val="none"/>
          <w:lang w:val="en-US" w:eastAsia="zh-CN"/>
        </w:rPr>
        <w:t>各区县（自治县）规划自然资源部门、</w:t>
      </w:r>
      <w:r>
        <w:rPr>
          <w:rFonts w:hint="default" w:ascii="方正仿宋_GBK" w:hAnsi="方正仿宋_GBK" w:eastAsia="方正仿宋_GBK" w:cs="方正仿宋_GBK"/>
          <w:b w:val="0"/>
          <w:bCs w:val="0"/>
          <w:spacing w:val="-6"/>
          <w:sz w:val="32"/>
          <w:szCs w:val="32"/>
          <w:highlight w:val="none"/>
          <w:lang w:val="en-US" w:eastAsia="zh-CN"/>
        </w:rPr>
        <w:t>农业农村部门等要增强责任意识和服务意识，建立联审联办制度，优化内部审批流程，切实履行职责，</w:t>
      </w:r>
      <w:r>
        <w:rPr>
          <w:rFonts w:hint="default" w:ascii="方正仿宋_GBK" w:hAnsi="方正仿宋_GBK" w:eastAsia="方正仿宋_GBK" w:cs="方正仿宋_GBK"/>
          <w:b w:val="0"/>
          <w:bCs w:val="0"/>
          <w:spacing w:val="-6"/>
          <w:sz w:val="32"/>
          <w:szCs w:val="24"/>
          <w:highlight w:val="none"/>
          <w:lang w:val="en-US" w:eastAsia="zh-CN"/>
        </w:rPr>
        <w:t>提高审查报批效率。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五、其他事项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（一）农村村民住宅建设占用未利用地的，参照农用地转用的规定办理审批手续。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（二）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本通知自印发之日起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实施，原有规定与本通知不一致的，以本通知为准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4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highlight w:val="none"/>
          <w:lang w:val="en-US" w:eastAsia="zh-CN"/>
        </w:rPr>
        <w:t>附件：1．农村村民住宅建设用地农用地转用报批资料；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highlight w:val="none"/>
          <w:lang w:val="en-US" w:eastAsia="zh-CN"/>
        </w:rPr>
        <w:t xml:space="preserve">          2．××区县（自治县）规划和自然资源局关于农村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highlight w:val="none"/>
          <w:lang w:val="en-US" w:eastAsia="zh-CN"/>
        </w:rPr>
        <w:t xml:space="preserve">          村民住宅建设用地农用地转用的请示（示范文本）；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highlight w:val="none"/>
          <w:lang w:val="en-US" w:eastAsia="zh-CN"/>
        </w:rPr>
        <w:t xml:space="preserve">          3．区县（自治县）人民政府关于农村村民住宅建设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highlight w:val="none"/>
          <w:lang w:val="en-US" w:eastAsia="zh-CN"/>
        </w:rPr>
        <w:t xml:space="preserve">          用地农用地转用的批复（示范文本）。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2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21"/>
          <w:highlight w:val="none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21"/>
          <w:highlight w:val="none"/>
          <w:lang w:val="en-US" w:eastAsia="zh-CN"/>
        </w:rPr>
      </w:pP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重庆市规划和自然资源局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重庆市农业农村委员会</w:t>
      </w:r>
    </w:p>
    <w:p>
      <w:pPr>
        <w:adjustRightInd w:val="0"/>
        <w:spacing w:line="600" w:lineRule="exact"/>
        <w:ind w:right="890" w:rightChars="278"/>
        <w:jc w:val="righ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10C79"/>
    <w:rsid w:val="10A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70" w:lineRule="exact"/>
      <w:jc w:val="center"/>
    </w:pPr>
    <w:rPr>
      <w:rFonts w:eastAsia="方正小标宋_GBK"/>
      <w:sz w:val="44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Plain Text"/>
    <w:basedOn w:val="1"/>
    <w:qFormat/>
    <w:uiPriority w:val="0"/>
    <w:rPr>
      <w:rFonts w:ascii="宋体" w:hAnsi="Courier New" w:cs="Courier New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2021-12-07T08:55:00Z</dcterms:created>
  <dc:creator>奚晓燕</dc:creator>
  <cp:lastModifiedBy>奚晓燕</cp:lastModifiedBy>
  <dcterms:modified xsi:type="dcterms:W3CDTF">2021-12-07T08:56:10Z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