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附件</w:t>
      </w:r>
      <w:r>
        <w:rPr>
          <w:rFonts w:hint="eastAsia" w:ascii="方正黑体_GBK" w:hAnsi="方正黑体_GBK" w:eastAsia="方正黑体_GBK" w:cs="方正黑体_GBK"/>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重点项目出入库情况表</w:t>
      </w:r>
    </w:p>
    <w:p>
      <w:pPr>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val="en-US" w:eastAsia="zh-CN"/>
        </w:rPr>
        <w:t>（一）拟出库项目</w:t>
      </w:r>
    </w:p>
    <w:tbl>
      <w:tblPr>
        <w:tblStyle w:val="7"/>
        <w:tblW w:w="11063" w:type="dxa"/>
        <w:tblInd w:w="-86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950"/>
        <w:gridCol w:w="3469"/>
        <w:gridCol w:w="1256"/>
        <w:gridCol w:w="2644"/>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trPr>
        <w:tc>
          <w:tcPr>
            <w:tcW w:w="61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Times New Roman" w:hAnsi="Times New Roman" w:cs="Times New Roman"/>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序号</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项目名称</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建设内容</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总投资</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（万元）</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themeColor="text1"/>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出库原因</w:t>
            </w:r>
          </w:p>
        </w:tc>
        <w:tc>
          <w:tcPr>
            <w:tcW w:w="112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牵头</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color w:val="000000" w:themeColor="text1"/>
                <w:kern w:val="0"/>
                <w:sz w:val="28"/>
                <w:szCs w:val="28"/>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28"/>
                <w:szCs w:val="28"/>
                <w:vertAlign w:val="baseline"/>
                <w:lang w:val="en-US" w:eastAsia="zh-CN"/>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5"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广州旭妆</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生物科技有限公司现代化化妆品生产项目</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在铜梁新建融研发生产销售于一体，具有一定规模和现代化化妆品生产项目。</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50000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因用地受海辰项目影响，暂无建设用地，已按重点项目</w:t>
            </w:r>
            <w:bookmarkStart w:id="0" w:name="_GoBack"/>
            <w:bookmarkEnd w:id="0"/>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7"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2</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山西金晖建鑫新材料科技有限公司铜梁洗护用品生产项目</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拟用地180亩（一期拟用地90亩，二期用地在一期完工后根据实际需求供地90亩），在铜梁新建融研发生产销售物流为一体，具有一定规模和现代化消杀洗护生产项目。</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70000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因用地受海辰项目影响，暂无建设用地，已按重点项目出入库管理办法完成审签程序。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5" w:hRule="atLeast"/>
        </w:trPr>
        <w:tc>
          <w:tcPr>
            <w:tcW w:w="61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3</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金蒲大道</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（原全德到蒲吕快速通道）</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全长约3.3公里，双向4车道，路面宽16米，两侧景观人行道各12米，城市次干道。</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12000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暂无法实施，已按重点项目出入库管理办法完成审签程序。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7"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4</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深圳市创鑫达塑胶制品有限公司电脑键盘及模组生产项目</w:t>
            </w:r>
          </w:p>
        </w:tc>
        <w:tc>
          <w:tcPr>
            <w:tcW w:w="3469"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用地50亩（净用地），自建厂房40000平方米以上，建设自动化生产线，研发设计生产各类台式和笔记本电脑键盘，达产后预计实现年产值约5亿元，年纳税约1500万元。</w:t>
            </w:r>
          </w:p>
        </w:tc>
        <w:tc>
          <w:tcPr>
            <w:tcW w:w="125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25000</w:t>
            </w:r>
          </w:p>
        </w:tc>
        <w:tc>
          <w:tcPr>
            <w:tcW w:w="264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项目超期未开工，地块已收回，调整为国创项目用地，已按重点项目出入库管理办法完成审签程序。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0"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5</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苏州昌利</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橡塑科技有限公司导电薄膜开关和光学发光模组生产项目</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导电薄膜开关和光学发光模组生产项目。</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30000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项目超期未开工，地块已收回，调整为国创项目用地，已按重点项目出入库管理办法完成审签程序。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trPr>
        <w:tc>
          <w:tcPr>
            <w:tcW w:w="61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序号</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项目名称</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建设内容</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总投资</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（万元）</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出库原因</w:t>
            </w:r>
          </w:p>
        </w:tc>
        <w:tc>
          <w:tcPr>
            <w:tcW w:w="112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牵头</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1"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6</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苏州李氏集团昆山电子羽医疗科技有限公司</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显示模组精密零部件生产及企业上市项目。</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45000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项目未签约，无建设用地，已按重点项目出入库管理办法完成审签程序。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6"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7</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高新区人才公园（二期）</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绿化面积约100亩，含滨河步道，绿化景观。</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3000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暂无实施计划，已按重点项目出入库管理办法完成审签程序。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7"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8</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科创大道</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新建道总长约6km，道路初步定为总宽40米，包含道路、管网、电力设施等。</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40000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与渝遂高速扩能互通口、金江水泥用地交叉，需重新规划，完善前期手续，暂不实施，已按重点项目出入库管理办法完成审签程序。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9"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9</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龙华大道</w:t>
            </w:r>
          </w:p>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（原科技大道）</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道路长2000米，宽32米，包含道路、管网、绿化等。</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5000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因用地受海辰项目影响，需重新规划，已按重点项目出入库管理办法完成审签程序。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1"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10</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江西汇水河铝材有限公司年产10万吨节能型断桥铝合金型材</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用地100亩，建设年产10万吨节能型断桥铝合金型材项目。</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50000</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项目用地存在拆迁问题，不具备建设条件，已按重点项目出入库管理办法完成审签程序。</w:t>
            </w:r>
          </w:p>
        </w:tc>
        <w:tc>
          <w:tcPr>
            <w:tcW w:w="1125" w:type="dxa"/>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高新区管委会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9"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11</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融媒体中心建设项目</w:t>
            </w:r>
          </w:p>
        </w:tc>
        <w:tc>
          <w:tcPr>
            <w:tcW w:w="346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总建筑面积35815平方米，其中：融媒体中心13134 平方米，美术馆4910平方米，地下建筑17594平方米。建设综艺演播厅、新闻发布厅、中央厨房融媒体指挥中心、美术展览厅等。</w:t>
            </w:r>
          </w:p>
        </w:tc>
        <w:tc>
          <w:tcPr>
            <w:tcW w:w="125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45788</w:t>
            </w:r>
          </w:p>
        </w:tc>
        <w:tc>
          <w:tcPr>
            <w:tcW w:w="264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应开工未开工，项目已完成概算审核，资金无来源渠道，目前项目已由区规划自然资源局纳入文化艺术中心项目共同设计。</w:t>
            </w:r>
          </w:p>
        </w:tc>
        <w:tc>
          <w:tcPr>
            <w:tcW w:w="1125" w:type="dxa"/>
            <w:vAlign w:val="center"/>
          </w:tcPr>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区融媒体中心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trPr>
        <w:tc>
          <w:tcPr>
            <w:tcW w:w="61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序号</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项目名称</w:t>
            </w:r>
          </w:p>
        </w:tc>
        <w:tc>
          <w:tcPr>
            <w:tcW w:w="3469"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建设内容</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总投资</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（万元）</w:t>
            </w:r>
          </w:p>
        </w:tc>
        <w:tc>
          <w:tcPr>
            <w:tcW w:w="2644"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出库原因</w:t>
            </w:r>
          </w:p>
        </w:tc>
        <w:tc>
          <w:tcPr>
            <w:tcW w:w="1125" w:type="dxa"/>
            <w:vAlign w:val="center"/>
          </w:tcPr>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牵头</w:t>
            </w:r>
          </w:p>
          <w:p>
            <w:pPr>
              <w:pStyle w:val="2"/>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12</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金辉大道</w:t>
            </w:r>
          </w:p>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（原育才大道）</w:t>
            </w:r>
          </w:p>
        </w:tc>
        <w:tc>
          <w:tcPr>
            <w:tcW w:w="346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新建规划道路长约6.6公里，起于龙腾大道，止于英才大道，宽40米，双向6车道，包含道路、管网、绿化等。</w:t>
            </w:r>
          </w:p>
        </w:tc>
        <w:tc>
          <w:tcPr>
            <w:tcW w:w="125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40000</w:t>
            </w:r>
          </w:p>
        </w:tc>
        <w:tc>
          <w:tcPr>
            <w:tcW w:w="264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需落实科创新城大学园区及高铁片区规划并取得批复，2022年无法开工，已按重点项目出入库管理办法完成审签程序。</w:t>
            </w:r>
          </w:p>
        </w:tc>
        <w:tc>
          <w:tcPr>
            <w:tcW w:w="1125" w:type="dxa"/>
            <w:vAlign w:val="center"/>
          </w:tcPr>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金庙</w:t>
            </w:r>
          </w:p>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13</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重庆第二师范学院铜梁校区建设项目</w:t>
            </w:r>
          </w:p>
        </w:tc>
        <w:tc>
          <w:tcPr>
            <w:tcW w:w="346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其中一期用地600亩，校舍建筑面积23万平方米；二期用地600亩，校舍建筑面积23万平方米。</w:t>
            </w:r>
          </w:p>
        </w:tc>
        <w:tc>
          <w:tcPr>
            <w:tcW w:w="125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400000</w:t>
            </w:r>
          </w:p>
        </w:tc>
        <w:tc>
          <w:tcPr>
            <w:tcW w:w="264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需落实科创新城大学园区及高铁片区规划并取得批复，2022年无法开工，已按重点项目出入库管理办法完成审签程序。</w:t>
            </w:r>
          </w:p>
        </w:tc>
        <w:tc>
          <w:tcPr>
            <w:tcW w:w="1125" w:type="dxa"/>
            <w:vAlign w:val="center"/>
          </w:tcPr>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金庙</w:t>
            </w:r>
          </w:p>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36"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14</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重庆科技学院铜梁校区建设项目</w:t>
            </w:r>
          </w:p>
        </w:tc>
        <w:tc>
          <w:tcPr>
            <w:tcW w:w="346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一期建设用地1000亩，校舍建筑面积27万平方米。</w:t>
            </w:r>
          </w:p>
        </w:tc>
        <w:tc>
          <w:tcPr>
            <w:tcW w:w="125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260000</w:t>
            </w:r>
          </w:p>
        </w:tc>
        <w:tc>
          <w:tcPr>
            <w:tcW w:w="264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需落实科创新城大学园区及高铁片区规划并取得批复，2022年无法开工，已按重点项目出入库管理办法完成审签程序。</w:t>
            </w:r>
          </w:p>
        </w:tc>
        <w:tc>
          <w:tcPr>
            <w:tcW w:w="1125" w:type="dxa"/>
            <w:vAlign w:val="center"/>
          </w:tcPr>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金庙</w:t>
            </w:r>
          </w:p>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6" w:hRule="atLeast"/>
        </w:trPr>
        <w:tc>
          <w:tcPr>
            <w:tcW w:w="619" w:type="dxa"/>
            <w:vAlign w:val="center"/>
          </w:tcPr>
          <w:p>
            <w:pPr>
              <w:pStyle w:val="2"/>
              <w:keepNext w:val="0"/>
              <w:keepLines w:val="0"/>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cs="Times New Roman"/>
                <w:color w:val="000000" w:themeColor="text1"/>
                <w:sz w:val="24"/>
                <w:szCs w:val="24"/>
                <w:vertAlign w:val="baseline"/>
                <w:lang w:val="en-US" w:eastAsia="zh-CN"/>
                <w14:textFill>
                  <w14:solidFill>
                    <w14:schemeClr w14:val="tx1"/>
                  </w14:solidFill>
                </w14:textFill>
              </w:rPr>
              <w:t>15</w:t>
            </w:r>
          </w:p>
        </w:tc>
        <w:tc>
          <w:tcPr>
            <w:tcW w:w="1950" w:type="dxa"/>
            <w:vAlign w:val="center"/>
          </w:tcPr>
          <w:p>
            <w:pPr>
              <w:pStyle w:val="2"/>
              <w:keepNext w:val="0"/>
              <w:keepLines w:val="0"/>
              <w:pageBreakBefore w:val="0"/>
              <w:widowControl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重庆医药高等专科学校铜梁校区项目</w:t>
            </w:r>
          </w:p>
        </w:tc>
        <w:tc>
          <w:tcPr>
            <w:tcW w:w="3469"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占地面积约1100亩，总建筑面积约33万平方米。其中：项目一期教育用地约600亩，含15万平方米校舍及相关校园环境和相配套的道路、电力、供水、供气、管网等由铜梁区负责建设；二期教育用地约500亩，建设约23万平方米校舍。</w:t>
            </w:r>
          </w:p>
        </w:tc>
        <w:tc>
          <w:tcPr>
            <w:tcW w:w="1256"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250000</w:t>
            </w:r>
          </w:p>
        </w:tc>
        <w:tc>
          <w:tcPr>
            <w:tcW w:w="2644"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320" w:lineRule="exact"/>
              <w:jc w:val="both"/>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需落实科创新城大学园区及高铁片区规划并取得批复，2022年无法开工，已按重点项目出入库管理办法完成审签程序。</w:t>
            </w:r>
          </w:p>
        </w:tc>
        <w:tc>
          <w:tcPr>
            <w:tcW w:w="1125" w:type="dxa"/>
            <w:vAlign w:val="center"/>
          </w:tcPr>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金庙</w:t>
            </w:r>
          </w:p>
          <w:p>
            <w:pPr>
              <w:pStyle w:val="2"/>
              <w:keepNext w:val="0"/>
              <w:keepLines w:val="0"/>
              <w:pageBreakBefore w:val="0"/>
              <w:kinsoku/>
              <w:wordWrap/>
              <w:overflowPunct/>
              <w:topLinePunct w:val="0"/>
              <w:autoSpaceDE/>
              <w:autoSpaceDN/>
              <w:bidi w:val="0"/>
              <w:adjustRightInd/>
              <w:snapToGrid w:val="0"/>
              <w:spacing w:line="32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公司</w:t>
            </w:r>
          </w:p>
        </w:tc>
      </w:tr>
    </w:tbl>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eastAsia="方正楷体_GBK" w:cs="Times New Roman"/>
          <w:sz w:val="32"/>
          <w:szCs w:val="32"/>
          <w:lang w:val="en-US" w:eastAsia="zh-CN"/>
        </w:rPr>
        <w:t>（二）拟入库项目</w:t>
      </w:r>
    </w:p>
    <w:tbl>
      <w:tblPr>
        <w:tblStyle w:val="7"/>
        <w:tblW w:w="10733" w:type="dxa"/>
        <w:tblInd w:w="-6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590"/>
        <w:gridCol w:w="900"/>
        <w:gridCol w:w="2513"/>
        <w:gridCol w:w="1256"/>
        <w:gridCol w:w="113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trPr>
        <w:tc>
          <w:tcPr>
            <w:tcW w:w="772"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序号</w:t>
            </w:r>
          </w:p>
        </w:tc>
        <w:tc>
          <w:tcPr>
            <w:tcW w:w="1590"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项目名称</w:t>
            </w:r>
          </w:p>
        </w:tc>
        <w:tc>
          <w:tcPr>
            <w:tcW w:w="900"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建设地点</w:t>
            </w:r>
          </w:p>
        </w:tc>
        <w:tc>
          <w:tcPr>
            <w:tcW w:w="2513"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建设内容及规模</w:t>
            </w:r>
          </w:p>
        </w:tc>
        <w:tc>
          <w:tcPr>
            <w:tcW w:w="1256"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总投资（万元）</w:t>
            </w:r>
          </w:p>
        </w:tc>
        <w:tc>
          <w:tcPr>
            <w:tcW w:w="1135"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建设工期</w:t>
            </w:r>
          </w:p>
        </w:tc>
        <w:tc>
          <w:tcPr>
            <w:tcW w:w="2567"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pPr>
            <w:r>
              <w:rPr>
                <w:rFonts w:hint="default" w:ascii="Times New Roman" w:hAnsi="Times New Roman" w:eastAsia="方正黑体_GBK" w:cs="Times New Roman"/>
                <w:color w:val="000000" w:themeColor="text1"/>
                <w:sz w:val="28"/>
                <w:szCs w:val="28"/>
                <w:vertAlign w:val="baseline"/>
                <w:lang w:val="en-US" w:eastAsia="zh-CN"/>
                <w14:textFill>
                  <w14:solidFill>
                    <w14:schemeClr w14:val="tx1"/>
                  </w14:solidFill>
                </w14:textFill>
              </w:rPr>
              <w:t>当年投资（万元）及建设目标任务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87" w:hRule="atLeast"/>
        </w:trPr>
        <w:tc>
          <w:tcPr>
            <w:tcW w:w="772"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1</w:t>
            </w:r>
          </w:p>
        </w:tc>
        <w:tc>
          <w:tcPr>
            <w:tcW w:w="1590"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重庆新潮实业有限公司建设消防泵自动巡检控制设备项目</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云安路</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auto"/>
              <w:rPr>
                <w:rStyle w:val="11"/>
                <w:rFonts w:hint="default" w:ascii="Times New Roman" w:hAnsi="Times New Roman" w:eastAsia="方正仿宋_GBK" w:cs="Times New Roman"/>
                <w:b/>
                <w:bCs/>
                <w:color w:val="000000" w:themeColor="text1"/>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项目计划总投资2.6亿元，拟用地70亩，建设消防泵自动巡检控制设备项目，主要生产FX-FX消防泵自动源检控制设备等。</w:t>
            </w:r>
          </w:p>
        </w:tc>
        <w:tc>
          <w:tcPr>
            <w:tcW w:w="1256"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26000</w:t>
            </w:r>
          </w:p>
        </w:tc>
        <w:tc>
          <w:tcPr>
            <w:tcW w:w="1135"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2022.10-2023.10</w:t>
            </w:r>
          </w:p>
        </w:tc>
        <w:tc>
          <w:tcPr>
            <w:tcW w:w="2567"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2022年投资5000万元，完成工程量的20%。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7" w:hRule="atLeast"/>
        </w:trPr>
        <w:tc>
          <w:tcPr>
            <w:tcW w:w="772"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2</w:t>
            </w:r>
          </w:p>
        </w:tc>
        <w:tc>
          <w:tcPr>
            <w:tcW w:w="1590"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中车维保基地项目</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产业大道</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建设中车导轨电车车辆维修基地。</w:t>
            </w:r>
          </w:p>
        </w:tc>
        <w:tc>
          <w:tcPr>
            <w:tcW w:w="1256"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40000</w:t>
            </w:r>
          </w:p>
        </w:tc>
        <w:tc>
          <w:tcPr>
            <w:tcW w:w="1135"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2022.10-2023.10</w:t>
            </w:r>
          </w:p>
        </w:tc>
        <w:tc>
          <w:tcPr>
            <w:tcW w:w="2567"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2022年投资8000万元，完成工程量的20%。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45" w:hRule="atLeast"/>
        </w:trPr>
        <w:tc>
          <w:tcPr>
            <w:tcW w:w="772"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pPr>
            <w:r>
              <w:rPr>
                <w:rFonts w:hint="default" w:ascii="Times New Roman" w:hAnsi="Times New Roman" w:eastAsia="方正仿宋_GBK" w:cs="Times New Roman"/>
                <w:color w:val="000000" w:themeColor="text1"/>
                <w:sz w:val="24"/>
                <w:szCs w:val="24"/>
                <w:vertAlign w:val="baseline"/>
                <w:lang w:val="en-US" w:eastAsia="zh-CN"/>
                <w14:textFill>
                  <w14:solidFill>
                    <w14:schemeClr w14:val="tx1"/>
                  </w14:solidFill>
                </w14:textFill>
              </w:rPr>
              <w:t>3</w:t>
            </w:r>
          </w:p>
        </w:tc>
        <w:tc>
          <w:tcPr>
            <w:tcW w:w="1590" w:type="dxa"/>
            <w:vAlign w:val="center"/>
          </w:tcPr>
          <w:p>
            <w:pPr>
              <w:pStyle w:val="2"/>
              <w:keepNext w:val="0"/>
              <w:keepLines w:val="0"/>
              <w:pageBreakBefore w:val="0"/>
              <w:widowControl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重庆华振汽车配件制造有限公司汽车及工程机械精密零部件生产项目</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产业大道</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在铜梁新建汽车及工程机械精密零部件制造基地，主要从事工程机械精密传感器body、换挡零部件、汽车电器线路保护、内外饰支架的研发、生产、销售，并同步建设精密零部件研发中心、高分子材料加工中心。</w:t>
            </w:r>
          </w:p>
        </w:tc>
        <w:tc>
          <w:tcPr>
            <w:tcW w:w="1256"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30000</w:t>
            </w:r>
          </w:p>
        </w:tc>
        <w:tc>
          <w:tcPr>
            <w:tcW w:w="1135"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center"/>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2022.11-2023.12</w:t>
            </w:r>
          </w:p>
        </w:tc>
        <w:tc>
          <w:tcPr>
            <w:tcW w:w="2567" w:type="dxa"/>
            <w:vAlign w:val="center"/>
          </w:tcPr>
          <w:p>
            <w:pPr>
              <w:pStyle w:val="2"/>
              <w:keepNext w:val="0"/>
              <w:keepLines w:val="0"/>
              <w:pageBreakBefore w:val="0"/>
              <w:kinsoku/>
              <w:wordWrap/>
              <w:overflowPunct/>
              <w:topLinePunct w:val="0"/>
              <w:autoSpaceDE/>
              <w:autoSpaceDN/>
              <w:bidi w:val="0"/>
              <w:adjustRightInd/>
              <w:snapToGrid w:val="0"/>
              <w:spacing w:line="280" w:lineRule="exact"/>
              <w:ind w:left="0" w:leftChars="0" w:firstLine="0" w:firstLineChars="0"/>
              <w:jc w:val="left"/>
              <w:textAlignment w:val="auto"/>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pPr>
            <w:r>
              <w:rPr>
                <w:rFonts w:hint="default" w:ascii="Times New Roman" w:hAnsi="Times New Roman" w:eastAsia="方正仿宋_GBK" w:cs="Times New Roman"/>
                <w:color w:val="000000" w:themeColor="text1"/>
                <w:kern w:val="0"/>
                <w:sz w:val="24"/>
                <w:szCs w:val="24"/>
                <w:lang w:val="en-US" w:eastAsia="zh-CN" w:bidi="ar"/>
                <w14:textFill>
                  <w14:solidFill>
                    <w14:schemeClr w14:val="tx1"/>
                  </w14:solidFill>
                </w14:textFill>
              </w:rPr>
              <w:t>2022年投资3000万元，开工建设。</w:t>
            </w:r>
          </w:p>
        </w:tc>
      </w:tr>
    </w:tbl>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panose1 w:val="020B0504020202030204"/>
    <w:charset w:val="00"/>
    <w:family w:val="swiss"/>
    <w:pitch w:val="default"/>
    <w:sig w:usb0="00000007" w:usb1="00000000" w:usb2="00000000" w:usb3="00000000" w:csb0="00000093"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lZjY2M2Q3OTYwYzNkN2Y2NWFjYThiNGZhZTgxMDkifQ=="/>
  </w:docVars>
  <w:rsids>
    <w:rsidRoot w:val="7CBA342D"/>
    <w:rsid w:val="393F6845"/>
    <w:rsid w:val="71C04D6B"/>
    <w:rsid w:val="7CBA3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able of authorities"/>
    <w:next w:val="1"/>
    <w:qFormat/>
    <w:uiPriority w:val="99"/>
    <w:pPr>
      <w:widowControl w:val="0"/>
      <w:ind w:left="420" w:leftChars="200"/>
      <w:jc w:val="both"/>
    </w:pPr>
    <w:rPr>
      <w:rFonts w:ascii="Calibri" w:hAnsi="Calibri" w:eastAsia="宋体" w:cs="Times New Roman"/>
      <w:kern w:val="2"/>
      <w:sz w:val="21"/>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next w:val="1"/>
    <w:qFormat/>
    <w:uiPriority w:val="0"/>
    <w:pPr>
      <w:widowControl w:val="0"/>
      <w:autoSpaceDE w:val="0"/>
      <w:autoSpaceDN w:val="0"/>
      <w:adjustRightInd w:val="0"/>
    </w:pPr>
    <w:rPr>
      <w:rFonts w:ascii="Helvetica" w:hAnsi="Helvetica" w:eastAsia="宋体" w:cs="Helvetica"/>
      <w:color w:val="000000"/>
      <w:sz w:val="24"/>
      <w:szCs w:val="24"/>
      <w:lang w:val="en-US" w:eastAsia="zh-CN" w:bidi="ar-SA"/>
    </w:rPr>
  </w:style>
  <w:style w:type="character" w:customStyle="1" w:styleId="9">
    <w:name w:val="font31"/>
    <w:basedOn w:val="5"/>
    <w:qFormat/>
    <w:uiPriority w:val="0"/>
    <w:rPr>
      <w:rFonts w:ascii="方正仿宋_GBK" w:hAnsi="方正仿宋_GBK" w:eastAsia="方正仿宋_GBK" w:cs="方正仿宋_GBK"/>
      <w:color w:val="000000"/>
      <w:sz w:val="24"/>
      <w:szCs w:val="24"/>
      <w:u w:val="none"/>
    </w:rPr>
  </w:style>
  <w:style w:type="character" w:customStyle="1" w:styleId="10">
    <w:name w:val="font21"/>
    <w:basedOn w:val="5"/>
    <w:qFormat/>
    <w:uiPriority w:val="0"/>
    <w:rPr>
      <w:rFonts w:hint="eastAsia" w:ascii="方正仿宋_GBK" w:hAnsi="方正仿宋_GBK" w:eastAsia="方正仿宋_GBK" w:cs="方正仿宋_GBK"/>
      <w:color w:val="000000"/>
      <w:sz w:val="24"/>
      <w:szCs w:val="24"/>
      <w:u w:val="none"/>
    </w:rPr>
  </w:style>
  <w:style w:type="character" w:customStyle="1" w:styleId="11">
    <w:name w:val="font71"/>
    <w:basedOn w:val="5"/>
    <w:qFormat/>
    <w:uiPriority w:val="0"/>
    <w:rPr>
      <w:rFonts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1109</Words>
  <Characters>1173</Characters>
  <Lines>0</Lines>
  <Paragraphs>0</Paragraphs>
  <TotalTime>1</TotalTime>
  <ScaleCrop>false</ScaleCrop>
  <LinksUpToDate>false</LinksUpToDate>
  <CharactersWithSpaces>1173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2022-09-06T09:47:00Z</dcterms:created>
  <dc:creator>ZR^_^</dc:creator>
  <cp:lastModifiedBy>Administrator</cp:lastModifiedBy>
  <dcterms:modified xsi:type="dcterms:W3CDTF">2022-09-09T08:23:06Z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37A499CE13A44A9697260549D9CA0513</vt:lpwstr>
  </property>
</Properties>
</file>