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重点项目出入库情况表</w:t>
      </w:r>
    </w:p>
    <w:p>
      <w:pPr>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（一）拟出库项目</w:t>
      </w:r>
    </w:p>
    <w:tbl>
      <w:tblPr>
        <w:tblStyle w:val="7"/>
        <w:tblW w:w="11063" w:type="dxa"/>
        <w:tblInd w:w="-8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950"/>
        <w:gridCol w:w="3469"/>
        <w:gridCol w:w="1256"/>
        <w:gridCol w:w="2644"/>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619"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imes New Roman" w:hAnsi="Times New Roman" w:cs="Times New Roman"/>
                <w:color w:val="000000" w:themeColor="text1"/>
                <w:sz w:val="28"/>
                <w:szCs w:val="28"/>
                <w:vertAlign w:val="baseline"/>
                <w:lang w:val="en-US" w:eastAsia="zh-CN"/>
                <w14:textFill>
                  <w14:solidFill>
                    <w14:schemeClr w14:val="tx1"/>
                  </w14:solidFill>
                </w14:textFill>
              </w:rPr>
            </w:pPr>
            <w:r>
              <w:rPr>
                <w:rFonts w:hint="eastAsia" w:ascii="方正黑体_GBK" w:hAnsi="方正黑体_GBK" w:eastAsia="方正黑体_GBK" w:cs="方正黑体_GBK"/>
                <w:color w:val="000000" w:themeColor="text1"/>
                <w:sz w:val="28"/>
                <w:szCs w:val="28"/>
                <w:vertAlign w:val="baseline"/>
                <w:lang w:val="en-US" w:eastAsia="zh-CN"/>
                <w14:textFill>
                  <w14:solidFill>
                    <w14:schemeClr w14:val="tx1"/>
                  </w14:solidFill>
                </w14:textFill>
              </w:rPr>
              <w:t>序号</w:t>
            </w:r>
          </w:p>
        </w:tc>
        <w:tc>
          <w:tcPr>
            <w:tcW w:w="1950"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8"/>
                <w:szCs w:val="28"/>
                <w:lang w:val="en-US" w:eastAsia="zh-CN" w:bidi="ar"/>
                <w14:textFill>
                  <w14:solidFill>
                    <w14:schemeClr w14:val="tx1"/>
                  </w14:solidFill>
                </w14:textFill>
              </w:rPr>
            </w:pPr>
            <w:r>
              <w:rPr>
                <w:rFonts w:hint="eastAsia" w:ascii="方正黑体_GBK" w:hAnsi="方正黑体_GBK" w:eastAsia="方正黑体_GBK" w:cs="方正黑体_GBK"/>
                <w:color w:val="000000" w:themeColor="text1"/>
                <w:sz w:val="28"/>
                <w:szCs w:val="28"/>
                <w:vertAlign w:val="baseline"/>
                <w:lang w:val="en-US" w:eastAsia="zh-CN"/>
                <w14:textFill>
                  <w14:solidFill>
                    <w14:schemeClr w14:val="tx1"/>
                  </w14:solidFill>
                </w14:textFill>
              </w:rPr>
              <w:t>项目名称</w:t>
            </w:r>
          </w:p>
        </w:tc>
        <w:tc>
          <w:tcPr>
            <w:tcW w:w="3469"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黑体_GBK" w:hAnsi="方正黑体_GBK" w:eastAsia="方正黑体_GBK" w:cs="方正黑体_GBK"/>
                <w:color w:val="000000" w:themeColor="text1"/>
                <w:sz w:val="28"/>
                <w:szCs w:val="28"/>
                <w:vertAlign w:val="baseline"/>
                <w:lang w:val="en-US" w:eastAsia="zh-CN"/>
                <w14:textFill>
                  <w14:solidFill>
                    <w14:schemeClr w14:val="tx1"/>
                  </w14:solidFill>
                </w14:textFill>
              </w:rPr>
            </w:pPr>
            <w:r>
              <w:rPr>
                <w:rFonts w:hint="eastAsia" w:ascii="方正黑体_GBK" w:hAnsi="方正黑体_GBK" w:eastAsia="方正黑体_GBK" w:cs="方正黑体_GBK"/>
                <w:color w:val="000000" w:themeColor="text1"/>
                <w:sz w:val="28"/>
                <w:szCs w:val="28"/>
                <w:vertAlign w:val="baseline"/>
                <w:lang w:val="en-US" w:eastAsia="zh-CN"/>
                <w14:textFill>
                  <w14:solidFill>
                    <w14:schemeClr w14:val="tx1"/>
                  </w14:solidFill>
                </w14:textFill>
              </w:rPr>
              <w:t>建设内容</w:t>
            </w:r>
          </w:p>
        </w:tc>
        <w:tc>
          <w:tcPr>
            <w:tcW w:w="1256"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黑体_GBK" w:hAnsi="方正黑体_GBK" w:eastAsia="方正黑体_GBK" w:cs="方正黑体_GBK"/>
                <w:color w:val="000000" w:themeColor="text1"/>
                <w:sz w:val="28"/>
                <w:szCs w:val="28"/>
                <w:vertAlign w:val="baseline"/>
                <w:lang w:val="en-US" w:eastAsia="zh-CN"/>
                <w14:textFill>
                  <w14:solidFill>
                    <w14:schemeClr w14:val="tx1"/>
                  </w14:solidFill>
                </w14:textFill>
              </w:rPr>
            </w:pPr>
            <w:r>
              <w:rPr>
                <w:rFonts w:hint="eastAsia" w:ascii="方正黑体_GBK" w:hAnsi="方正黑体_GBK" w:eastAsia="方正黑体_GBK" w:cs="方正黑体_GBK"/>
                <w:color w:val="000000" w:themeColor="text1"/>
                <w:sz w:val="28"/>
                <w:szCs w:val="28"/>
                <w:vertAlign w:val="baseline"/>
                <w:lang w:val="en-US" w:eastAsia="zh-CN"/>
                <w14:textFill>
                  <w14:solidFill>
                    <w14:schemeClr w14:val="tx1"/>
                  </w14:solidFill>
                </w14:textFill>
              </w:rPr>
              <w:t>总投资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黑体_GBK" w:hAnsi="方正黑体_GBK" w:eastAsia="方正黑体_GBK" w:cs="方正黑体_GBK"/>
                <w:color w:val="000000" w:themeColor="text1"/>
                <w:sz w:val="28"/>
                <w:szCs w:val="28"/>
                <w:vertAlign w:val="baseline"/>
                <w:lang w:val="en-US" w:eastAsia="zh-CN"/>
                <w14:textFill>
                  <w14:solidFill>
                    <w14:schemeClr w14:val="tx1"/>
                  </w14:solidFill>
                </w14:textFill>
              </w:rPr>
            </w:pPr>
            <w:r>
              <w:rPr>
                <w:rFonts w:hint="eastAsia" w:ascii="方正黑体_GBK" w:hAnsi="方正黑体_GBK" w:eastAsia="方正黑体_GBK" w:cs="方正黑体_GBK"/>
                <w:color w:val="000000" w:themeColor="text1"/>
                <w:sz w:val="28"/>
                <w:szCs w:val="28"/>
                <w:vertAlign w:val="baseline"/>
                <w:lang w:val="en-US" w:eastAsia="zh-CN"/>
                <w14:textFill>
                  <w14:solidFill>
                    <w14:schemeClr w14:val="tx1"/>
                  </w14:solidFill>
                </w14:textFill>
              </w:rPr>
              <w:t>（万元）</w:t>
            </w:r>
          </w:p>
        </w:tc>
        <w:tc>
          <w:tcPr>
            <w:tcW w:w="264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仿宋_GBK" w:hAnsi="方正仿宋_GBK" w:eastAsia="方正仿宋_GBK" w:cs="方正仿宋_GBK"/>
                <w:color w:val="000000" w:themeColor="text1"/>
                <w:kern w:val="0"/>
                <w:sz w:val="28"/>
                <w:szCs w:val="28"/>
                <w:lang w:val="en-US" w:eastAsia="zh-CN" w:bidi="ar"/>
                <w14:textFill>
                  <w14:solidFill>
                    <w14:schemeClr w14:val="tx1"/>
                  </w14:solidFill>
                </w14:textFill>
              </w:rPr>
            </w:pPr>
            <w:r>
              <w:rPr>
                <w:rFonts w:hint="eastAsia" w:ascii="方正黑体_GBK" w:hAnsi="方正黑体_GBK" w:eastAsia="方正黑体_GBK" w:cs="方正黑体_GBK"/>
                <w:color w:val="000000" w:themeColor="text1"/>
                <w:sz w:val="28"/>
                <w:szCs w:val="28"/>
                <w:vertAlign w:val="baseline"/>
                <w:lang w:val="en-US" w:eastAsia="zh-CN"/>
                <w14:textFill>
                  <w14:solidFill>
                    <w14:schemeClr w14:val="tx1"/>
                  </w14:solidFill>
                </w14:textFill>
              </w:rPr>
              <w:t>出库原因</w:t>
            </w:r>
          </w:p>
        </w:tc>
        <w:tc>
          <w:tcPr>
            <w:tcW w:w="112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黑体_GBK" w:hAnsi="方正黑体_GBK" w:eastAsia="方正黑体_GBK" w:cs="方正黑体_GBK"/>
                <w:color w:val="000000" w:themeColor="text1"/>
                <w:sz w:val="28"/>
                <w:szCs w:val="28"/>
                <w:vertAlign w:val="baseline"/>
                <w:lang w:val="en-US" w:eastAsia="zh-CN"/>
                <w14:textFill>
                  <w14:solidFill>
                    <w14:schemeClr w14:val="tx1"/>
                  </w14:solidFill>
                </w14:textFill>
              </w:rPr>
            </w:pPr>
            <w:r>
              <w:rPr>
                <w:rFonts w:hint="eastAsia" w:ascii="方正黑体_GBK" w:hAnsi="方正黑体_GBK" w:eastAsia="方正黑体_GBK" w:cs="方正黑体_GBK"/>
                <w:color w:val="000000" w:themeColor="text1"/>
                <w:sz w:val="28"/>
                <w:szCs w:val="28"/>
                <w:vertAlign w:val="baseline"/>
                <w:lang w:val="en-US" w:eastAsia="zh-CN"/>
                <w14:textFill>
                  <w14:solidFill>
                    <w14:schemeClr w14:val="tx1"/>
                  </w14:solidFill>
                </w14:textFill>
              </w:rPr>
              <w:t>牵头</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仿宋_GBK" w:hAnsi="方正仿宋_GBK" w:eastAsia="方正仿宋_GBK" w:cs="方正仿宋_GBK"/>
                <w:color w:val="000000" w:themeColor="text1"/>
                <w:kern w:val="0"/>
                <w:sz w:val="28"/>
                <w:szCs w:val="28"/>
                <w:lang w:val="en-US" w:eastAsia="zh-CN" w:bidi="ar"/>
                <w14:textFill>
                  <w14:solidFill>
                    <w14:schemeClr w14:val="tx1"/>
                  </w14:solidFill>
                </w14:textFill>
              </w:rPr>
            </w:pPr>
            <w:r>
              <w:rPr>
                <w:rFonts w:hint="eastAsia" w:ascii="方正黑体_GBK" w:hAnsi="方正黑体_GBK" w:eastAsia="方正黑体_GBK" w:cs="方正黑体_GBK"/>
                <w:color w:val="000000" w:themeColor="text1"/>
                <w:sz w:val="28"/>
                <w:szCs w:val="28"/>
                <w:vertAlign w:val="baseline"/>
                <w:lang w:val="en-US" w:eastAsia="zh-CN"/>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trPr>
        <w:tc>
          <w:tcPr>
            <w:tcW w:w="619"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t>1</w:t>
            </w:r>
          </w:p>
        </w:tc>
        <w:tc>
          <w:tcPr>
            <w:tcW w:w="1950"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广州旭妆</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生物科技有限公司现代化化妆品生产项目</w:t>
            </w:r>
          </w:p>
        </w:tc>
        <w:tc>
          <w:tcPr>
            <w:tcW w:w="3469"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在铜梁新建融研发生产销售于一体，具有一定规模和现代化化妆品生产项目。</w:t>
            </w:r>
          </w:p>
        </w:tc>
        <w:tc>
          <w:tcPr>
            <w:tcW w:w="125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50000</w:t>
            </w:r>
          </w:p>
        </w:tc>
        <w:tc>
          <w:tcPr>
            <w:tcW w:w="264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因用地受海辰项目影响，暂无建设用地，已按重点项目</w:t>
            </w:r>
            <w:bookmarkStart w:id="0" w:name="_GoBack"/>
            <w:bookmarkEnd w:id="0"/>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出入库管理办法完成审签程序。</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7" w:hRule="atLeast"/>
        </w:trPr>
        <w:tc>
          <w:tcPr>
            <w:tcW w:w="619"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t>2</w:t>
            </w:r>
          </w:p>
        </w:tc>
        <w:tc>
          <w:tcPr>
            <w:tcW w:w="1950"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山西金晖建鑫新材料科技有限公司铜梁洗护用品生产项目</w:t>
            </w:r>
          </w:p>
        </w:tc>
        <w:tc>
          <w:tcPr>
            <w:tcW w:w="3469"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拟用地180亩（一期拟用地90亩，二期用地在一期完工后根据实际需求供地90亩），在铜梁新建融研发生产销售物流为一体，具有一定规模和现代化消杀洗护生产项目。</w:t>
            </w:r>
          </w:p>
        </w:tc>
        <w:tc>
          <w:tcPr>
            <w:tcW w:w="125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70000</w:t>
            </w:r>
          </w:p>
        </w:tc>
        <w:tc>
          <w:tcPr>
            <w:tcW w:w="264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因用地受海辰项目影响，暂无建设用地，已按重点项目出入库管理办法完成审签程序。</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trPr>
        <w:tc>
          <w:tcPr>
            <w:tcW w:w="619"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t>3</w:t>
            </w:r>
          </w:p>
        </w:tc>
        <w:tc>
          <w:tcPr>
            <w:tcW w:w="1950"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金蒲大道</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（原全德到蒲吕快速通道）</w:t>
            </w:r>
          </w:p>
        </w:tc>
        <w:tc>
          <w:tcPr>
            <w:tcW w:w="3469"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全长约3.3公里，双向4车道，路面宽16米，两侧景观人行道各12米，城市次干道。</w:t>
            </w:r>
          </w:p>
        </w:tc>
        <w:tc>
          <w:tcPr>
            <w:tcW w:w="1256"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12000</w:t>
            </w:r>
          </w:p>
        </w:tc>
        <w:tc>
          <w:tcPr>
            <w:tcW w:w="264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暂无法实施，已按重点项目出入库管理办法完成审签程序。</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7" w:hRule="atLeast"/>
        </w:trPr>
        <w:tc>
          <w:tcPr>
            <w:tcW w:w="619"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t>4</w:t>
            </w:r>
          </w:p>
        </w:tc>
        <w:tc>
          <w:tcPr>
            <w:tcW w:w="1950"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深圳市创鑫达塑胶制品有限公司电脑键盘及模组生产项目</w:t>
            </w:r>
          </w:p>
        </w:tc>
        <w:tc>
          <w:tcPr>
            <w:tcW w:w="346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用地50亩（净用地），自建厂房40000平方米以上，建设自动化生产线，研发设计生产各类台式和笔记本电脑键盘，达产后预计实现年产值约5亿元，年纳税约1500万元。</w:t>
            </w:r>
          </w:p>
        </w:tc>
        <w:tc>
          <w:tcPr>
            <w:tcW w:w="125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25000</w:t>
            </w:r>
          </w:p>
        </w:tc>
        <w:tc>
          <w:tcPr>
            <w:tcW w:w="264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项目超期未开工，地块已收回，调整为国创项目用地，已按重点项目出入库管理办法完成审签程序。</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0" w:hRule="atLeast"/>
        </w:trPr>
        <w:tc>
          <w:tcPr>
            <w:tcW w:w="619"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t>5</w:t>
            </w:r>
          </w:p>
        </w:tc>
        <w:tc>
          <w:tcPr>
            <w:tcW w:w="1950"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苏州昌利</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橡塑科技有限公司导电薄膜开关和光学发光模组生产项目</w:t>
            </w:r>
          </w:p>
        </w:tc>
        <w:tc>
          <w:tcPr>
            <w:tcW w:w="3469"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导电薄膜开关和光学发光模组生产项目。</w:t>
            </w:r>
          </w:p>
        </w:tc>
        <w:tc>
          <w:tcPr>
            <w:tcW w:w="125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30000</w:t>
            </w:r>
          </w:p>
        </w:tc>
        <w:tc>
          <w:tcPr>
            <w:tcW w:w="264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项目超期未开工，地块已收回，调整为国创项目用地，已按重点项目出入库管理办法完成审签程序。</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619"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t>序号</w:t>
            </w:r>
          </w:p>
        </w:tc>
        <w:tc>
          <w:tcPr>
            <w:tcW w:w="1950"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t>项目名称</w:t>
            </w:r>
          </w:p>
        </w:tc>
        <w:tc>
          <w:tcPr>
            <w:tcW w:w="3469"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t>建设内容</w:t>
            </w:r>
          </w:p>
        </w:tc>
        <w:tc>
          <w:tcPr>
            <w:tcW w:w="1256"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t>总投资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t>（万元）</w:t>
            </w:r>
          </w:p>
        </w:tc>
        <w:tc>
          <w:tcPr>
            <w:tcW w:w="264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t>出库原因</w:t>
            </w:r>
          </w:p>
        </w:tc>
        <w:tc>
          <w:tcPr>
            <w:tcW w:w="112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t>牵头</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1" w:hRule="atLeast"/>
        </w:trPr>
        <w:tc>
          <w:tcPr>
            <w:tcW w:w="619"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t>6</w:t>
            </w:r>
          </w:p>
        </w:tc>
        <w:tc>
          <w:tcPr>
            <w:tcW w:w="1950"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苏州李氏集团昆山电子羽医疗科技有限公司</w:t>
            </w:r>
          </w:p>
        </w:tc>
        <w:tc>
          <w:tcPr>
            <w:tcW w:w="3469"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显示模组精密零部件生产及企业上市项目。</w:t>
            </w:r>
          </w:p>
        </w:tc>
        <w:tc>
          <w:tcPr>
            <w:tcW w:w="125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45000</w:t>
            </w:r>
          </w:p>
        </w:tc>
        <w:tc>
          <w:tcPr>
            <w:tcW w:w="264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项目未签约，无建设用地，已按重点项目出入库管理办法完成审签程序。</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6" w:hRule="atLeast"/>
        </w:trPr>
        <w:tc>
          <w:tcPr>
            <w:tcW w:w="619"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t>7</w:t>
            </w:r>
          </w:p>
        </w:tc>
        <w:tc>
          <w:tcPr>
            <w:tcW w:w="1950"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高新区人才公园（二期）</w:t>
            </w:r>
          </w:p>
        </w:tc>
        <w:tc>
          <w:tcPr>
            <w:tcW w:w="3469"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绿化面积约100亩，含滨河步道，绿化景观。</w:t>
            </w:r>
          </w:p>
        </w:tc>
        <w:tc>
          <w:tcPr>
            <w:tcW w:w="125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3000</w:t>
            </w:r>
          </w:p>
        </w:tc>
        <w:tc>
          <w:tcPr>
            <w:tcW w:w="264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暂无实施计划，已按重点项目出入库管理办法完成审签程序。</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7" w:hRule="atLeast"/>
        </w:trPr>
        <w:tc>
          <w:tcPr>
            <w:tcW w:w="619"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t>8</w:t>
            </w:r>
          </w:p>
        </w:tc>
        <w:tc>
          <w:tcPr>
            <w:tcW w:w="1950"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科创大道</w:t>
            </w:r>
          </w:p>
        </w:tc>
        <w:tc>
          <w:tcPr>
            <w:tcW w:w="3469"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新建道总长约6km，道路初步定为总宽40米，包含道路、管网、电力设施等。</w:t>
            </w:r>
          </w:p>
        </w:tc>
        <w:tc>
          <w:tcPr>
            <w:tcW w:w="1256"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40000</w:t>
            </w:r>
          </w:p>
        </w:tc>
        <w:tc>
          <w:tcPr>
            <w:tcW w:w="2644"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与渝遂高速扩能互通口、金江水泥用地交叉，需重新规划，完善前期手续，暂不实施，已按重点项目出入库管理办法完成审签程序。</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trPr>
        <w:tc>
          <w:tcPr>
            <w:tcW w:w="619"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t>9</w:t>
            </w:r>
          </w:p>
        </w:tc>
        <w:tc>
          <w:tcPr>
            <w:tcW w:w="1950"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龙华大道</w:t>
            </w:r>
          </w:p>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（原科技大道）</w:t>
            </w:r>
          </w:p>
        </w:tc>
        <w:tc>
          <w:tcPr>
            <w:tcW w:w="3469"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道路长2000米，宽32米，包含道路、管网、绿化等。</w:t>
            </w:r>
          </w:p>
        </w:tc>
        <w:tc>
          <w:tcPr>
            <w:tcW w:w="1256"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5000</w:t>
            </w:r>
          </w:p>
        </w:tc>
        <w:tc>
          <w:tcPr>
            <w:tcW w:w="2644"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因用地受海辰项目影响，需重新规划，已按重点项目出入库管理办法完成审签程序。</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1" w:hRule="atLeast"/>
        </w:trPr>
        <w:tc>
          <w:tcPr>
            <w:tcW w:w="619"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t>10</w:t>
            </w:r>
          </w:p>
        </w:tc>
        <w:tc>
          <w:tcPr>
            <w:tcW w:w="1950"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江西汇水河铝材有限公司年产10万吨节能型断桥铝合金型材</w:t>
            </w:r>
          </w:p>
        </w:tc>
        <w:tc>
          <w:tcPr>
            <w:tcW w:w="3469"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用地100亩，建设年产10万吨节能型断桥铝合金型材项目。</w:t>
            </w:r>
          </w:p>
        </w:tc>
        <w:tc>
          <w:tcPr>
            <w:tcW w:w="1256"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50000</w:t>
            </w:r>
          </w:p>
        </w:tc>
        <w:tc>
          <w:tcPr>
            <w:tcW w:w="2644"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项目用地存在拆迁问题，不具备建设条件，已按重点项目出入库管理办法完成审签程序。</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9" w:hRule="atLeast"/>
        </w:trPr>
        <w:tc>
          <w:tcPr>
            <w:tcW w:w="619"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t>11</w:t>
            </w:r>
          </w:p>
        </w:tc>
        <w:tc>
          <w:tcPr>
            <w:tcW w:w="1950" w:type="dxa"/>
            <w:vAlign w:val="center"/>
          </w:tcPr>
          <w:p>
            <w:pPr>
              <w:pStyle w:val="2"/>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融媒体中心建设项目</w:t>
            </w:r>
          </w:p>
        </w:tc>
        <w:tc>
          <w:tcPr>
            <w:tcW w:w="34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总建筑面积35815平方米，其中：融媒体中心13134 平方米，美术馆4910平方米，地下建筑17594平方米。建设综艺演播厅、新闻发布厅、中央厨房融媒体指挥中心、美术展览厅等。</w:t>
            </w:r>
          </w:p>
        </w:tc>
        <w:tc>
          <w:tcPr>
            <w:tcW w:w="1256"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45788</w:t>
            </w:r>
          </w:p>
        </w:tc>
        <w:tc>
          <w:tcPr>
            <w:tcW w:w="2644"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应开工未开工，项目已完成概算审核，资金无来源渠道，目前项目已由区规划自然资源局纳入文化艺术中心项目共同设计。</w:t>
            </w:r>
          </w:p>
        </w:tc>
        <w:tc>
          <w:tcPr>
            <w:tcW w:w="1125" w:type="dxa"/>
            <w:vAlign w:val="center"/>
          </w:tcPr>
          <w:p>
            <w:pPr>
              <w:pStyle w:val="2"/>
              <w:keepNext w:val="0"/>
              <w:keepLines w:val="0"/>
              <w:pageBreakBefore w:val="0"/>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区融媒体中心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619"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t>序号</w:t>
            </w:r>
          </w:p>
        </w:tc>
        <w:tc>
          <w:tcPr>
            <w:tcW w:w="1950"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t>项目名称</w:t>
            </w:r>
          </w:p>
        </w:tc>
        <w:tc>
          <w:tcPr>
            <w:tcW w:w="3469"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t>建设内容</w:t>
            </w:r>
          </w:p>
        </w:tc>
        <w:tc>
          <w:tcPr>
            <w:tcW w:w="1256"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t>总投资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t>（万元）</w:t>
            </w:r>
          </w:p>
        </w:tc>
        <w:tc>
          <w:tcPr>
            <w:tcW w:w="2644"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t>出库原因</w:t>
            </w:r>
          </w:p>
        </w:tc>
        <w:tc>
          <w:tcPr>
            <w:tcW w:w="112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t>牵头</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6" w:hRule="atLeast"/>
        </w:trPr>
        <w:tc>
          <w:tcPr>
            <w:tcW w:w="619"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t>12</w:t>
            </w:r>
          </w:p>
        </w:tc>
        <w:tc>
          <w:tcPr>
            <w:tcW w:w="1950" w:type="dxa"/>
            <w:vAlign w:val="center"/>
          </w:tcPr>
          <w:p>
            <w:pPr>
              <w:pStyle w:val="2"/>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金辉大道</w:t>
            </w:r>
          </w:p>
          <w:p>
            <w:pPr>
              <w:pStyle w:val="2"/>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（原育才大道）</w:t>
            </w:r>
          </w:p>
        </w:tc>
        <w:tc>
          <w:tcPr>
            <w:tcW w:w="34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新建规划道路长约6.6公里，起于龙腾大道，止于英才大道，宽40米，双向6车道，包含道路、管网、绿化等。</w:t>
            </w:r>
          </w:p>
        </w:tc>
        <w:tc>
          <w:tcPr>
            <w:tcW w:w="1256"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40000</w:t>
            </w:r>
          </w:p>
        </w:tc>
        <w:tc>
          <w:tcPr>
            <w:tcW w:w="2644"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需落实科创新城大学园区及高铁片区规划并取得批复，2022年无法开工，已按重点项目出入库管理办法完成审签程序。</w:t>
            </w:r>
          </w:p>
        </w:tc>
        <w:tc>
          <w:tcPr>
            <w:tcW w:w="1125" w:type="dxa"/>
            <w:vAlign w:val="center"/>
          </w:tcPr>
          <w:p>
            <w:pPr>
              <w:pStyle w:val="2"/>
              <w:keepNext w:val="0"/>
              <w:keepLines w:val="0"/>
              <w:pageBreakBefore w:val="0"/>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金庙</w:t>
            </w:r>
          </w:p>
          <w:p>
            <w:pPr>
              <w:pStyle w:val="2"/>
              <w:keepNext w:val="0"/>
              <w:keepLines w:val="0"/>
              <w:pageBreakBefore w:val="0"/>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6" w:hRule="atLeast"/>
        </w:trPr>
        <w:tc>
          <w:tcPr>
            <w:tcW w:w="619"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t>13</w:t>
            </w:r>
          </w:p>
        </w:tc>
        <w:tc>
          <w:tcPr>
            <w:tcW w:w="1950" w:type="dxa"/>
            <w:vAlign w:val="center"/>
          </w:tcPr>
          <w:p>
            <w:pPr>
              <w:pStyle w:val="2"/>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重庆第二师范学院铜梁校区建设项目</w:t>
            </w:r>
          </w:p>
        </w:tc>
        <w:tc>
          <w:tcPr>
            <w:tcW w:w="34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其中一期用地600亩，校舍建筑面积23万平方米；二期用地600亩，校舍建筑面积23万平方米。</w:t>
            </w:r>
          </w:p>
        </w:tc>
        <w:tc>
          <w:tcPr>
            <w:tcW w:w="1256"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400000</w:t>
            </w:r>
          </w:p>
        </w:tc>
        <w:tc>
          <w:tcPr>
            <w:tcW w:w="2644"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需落实科创新城大学园区及高铁片区规划并取得批复，2022年无法开工，已按重点项目出入库管理办法完成审签程序。</w:t>
            </w:r>
          </w:p>
        </w:tc>
        <w:tc>
          <w:tcPr>
            <w:tcW w:w="1125" w:type="dxa"/>
            <w:vAlign w:val="center"/>
          </w:tcPr>
          <w:p>
            <w:pPr>
              <w:pStyle w:val="2"/>
              <w:keepNext w:val="0"/>
              <w:keepLines w:val="0"/>
              <w:pageBreakBefore w:val="0"/>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金庙</w:t>
            </w:r>
          </w:p>
          <w:p>
            <w:pPr>
              <w:pStyle w:val="2"/>
              <w:keepNext w:val="0"/>
              <w:keepLines w:val="0"/>
              <w:pageBreakBefore w:val="0"/>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6" w:hRule="atLeast"/>
        </w:trPr>
        <w:tc>
          <w:tcPr>
            <w:tcW w:w="619"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t>14</w:t>
            </w:r>
          </w:p>
        </w:tc>
        <w:tc>
          <w:tcPr>
            <w:tcW w:w="1950" w:type="dxa"/>
            <w:vAlign w:val="center"/>
          </w:tcPr>
          <w:p>
            <w:pPr>
              <w:pStyle w:val="2"/>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重庆科技学院铜梁校区建设项目</w:t>
            </w:r>
          </w:p>
        </w:tc>
        <w:tc>
          <w:tcPr>
            <w:tcW w:w="34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一期建设用地1000亩，校舍建筑面积27万平方米。</w:t>
            </w:r>
          </w:p>
        </w:tc>
        <w:tc>
          <w:tcPr>
            <w:tcW w:w="1256"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260000</w:t>
            </w:r>
          </w:p>
        </w:tc>
        <w:tc>
          <w:tcPr>
            <w:tcW w:w="2644"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需落实科创新城大学园区及高铁片区规划并取得批复，2022年无法开工，已按重点项目出入库管理办法完成审签程序。</w:t>
            </w:r>
          </w:p>
        </w:tc>
        <w:tc>
          <w:tcPr>
            <w:tcW w:w="1125" w:type="dxa"/>
            <w:vAlign w:val="center"/>
          </w:tcPr>
          <w:p>
            <w:pPr>
              <w:pStyle w:val="2"/>
              <w:keepNext w:val="0"/>
              <w:keepLines w:val="0"/>
              <w:pageBreakBefore w:val="0"/>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金庙</w:t>
            </w:r>
          </w:p>
          <w:p>
            <w:pPr>
              <w:pStyle w:val="2"/>
              <w:keepNext w:val="0"/>
              <w:keepLines w:val="0"/>
              <w:pageBreakBefore w:val="0"/>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6" w:hRule="atLeast"/>
        </w:trPr>
        <w:tc>
          <w:tcPr>
            <w:tcW w:w="619" w:type="dxa"/>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cs="Times New Roman"/>
                <w:color w:val="000000" w:themeColor="text1"/>
                <w:sz w:val="24"/>
                <w:szCs w:val="24"/>
                <w:vertAlign w:val="baseline"/>
                <w:lang w:val="en-US" w:eastAsia="zh-CN"/>
                <w14:textFill>
                  <w14:solidFill>
                    <w14:schemeClr w14:val="tx1"/>
                  </w14:solidFill>
                </w14:textFill>
              </w:rPr>
              <w:t>15</w:t>
            </w:r>
          </w:p>
        </w:tc>
        <w:tc>
          <w:tcPr>
            <w:tcW w:w="1950" w:type="dxa"/>
            <w:vAlign w:val="center"/>
          </w:tcPr>
          <w:p>
            <w:pPr>
              <w:pStyle w:val="2"/>
              <w:keepNext w:val="0"/>
              <w:keepLines w:val="0"/>
              <w:pageBreakBefore w:val="0"/>
              <w:widowControl w:val="0"/>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重庆医药高等专科学校铜梁校区项目</w:t>
            </w:r>
          </w:p>
        </w:tc>
        <w:tc>
          <w:tcPr>
            <w:tcW w:w="3469"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占地面积约1100亩，总建筑面积约33万平方米。其中：项目一期教育用地约600亩，含15万平方米校舍及相关校园环境和相配套的道路、电力、供水、供气、管网等由铜梁区负责建设；二期教育用地约500亩，建设约23万平方米校舍。</w:t>
            </w:r>
          </w:p>
        </w:tc>
        <w:tc>
          <w:tcPr>
            <w:tcW w:w="1256"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250000</w:t>
            </w:r>
          </w:p>
        </w:tc>
        <w:tc>
          <w:tcPr>
            <w:tcW w:w="2644"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both"/>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需落实科创新城大学园区及高铁片区规划并取得批复，2022年无法开工，已按重点项目出入库管理办法完成审签程序。</w:t>
            </w:r>
          </w:p>
        </w:tc>
        <w:tc>
          <w:tcPr>
            <w:tcW w:w="1125" w:type="dxa"/>
            <w:vAlign w:val="center"/>
          </w:tcPr>
          <w:p>
            <w:pPr>
              <w:pStyle w:val="2"/>
              <w:keepNext w:val="0"/>
              <w:keepLines w:val="0"/>
              <w:pageBreakBefore w:val="0"/>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金庙</w:t>
            </w:r>
          </w:p>
          <w:p>
            <w:pPr>
              <w:pStyle w:val="2"/>
              <w:keepNext w:val="0"/>
              <w:keepLines w:val="0"/>
              <w:pageBreakBefore w:val="0"/>
              <w:kinsoku/>
              <w:wordWrap/>
              <w:overflowPunct/>
              <w:topLinePunct w:val="0"/>
              <w:autoSpaceDE/>
              <w:autoSpaceDN/>
              <w:bidi w:val="0"/>
              <w:adjustRightInd/>
              <w:snapToGrid w:val="0"/>
              <w:spacing w:line="32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公司</w:t>
            </w: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eastAsia="方正楷体_GBK" w:cs="Times New Roman"/>
          <w:sz w:val="32"/>
          <w:szCs w:val="32"/>
          <w:lang w:val="en-US" w:eastAsia="zh-CN"/>
        </w:rPr>
        <w:t>（二）拟入库项目</w:t>
      </w:r>
    </w:p>
    <w:tbl>
      <w:tblPr>
        <w:tblStyle w:val="7"/>
        <w:tblW w:w="10733" w:type="dxa"/>
        <w:tblInd w:w="-6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590"/>
        <w:gridCol w:w="900"/>
        <w:gridCol w:w="2513"/>
        <w:gridCol w:w="1256"/>
        <w:gridCol w:w="1135"/>
        <w:gridCol w:w="2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772" w:type="dxa"/>
            <w:vAlign w:val="center"/>
          </w:tcPr>
          <w:p>
            <w:pPr>
              <w:pStyle w:val="2"/>
              <w:keepNext w:val="0"/>
              <w:keepLines w:val="0"/>
              <w:pageBreakBefore w:val="0"/>
              <w:widowControl w:val="0"/>
              <w:kinsoku/>
              <w:wordWrap/>
              <w:overflowPunct/>
              <w:topLinePunct w:val="0"/>
              <w:autoSpaceDE/>
              <w:autoSpaceDN/>
              <w:bidi w:val="0"/>
              <w:adjustRightInd/>
              <w:snapToGrid w:val="0"/>
              <w:spacing w:line="280" w:lineRule="exact"/>
              <w:ind w:left="0" w:leftChars="0" w:firstLine="0" w:firstLineChars="0"/>
              <w:jc w:val="center"/>
              <w:textAlignment w:val="auto"/>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t>序号</w:t>
            </w:r>
          </w:p>
        </w:tc>
        <w:tc>
          <w:tcPr>
            <w:tcW w:w="1590" w:type="dxa"/>
            <w:vAlign w:val="center"/>
          </w:tcPr>
          <w:p>
            <w:pPr>
              <w:pStyle w:val="2"/>
              <w:keepNext w:val="0"/>
              <w:keepLines w:val="0"/>
              <w:pageBreakBefore w:val="0"/>
              <w:widowControl w:val="0"/>
              <w:kinsoku/>
              <w:wordWrap/>
              <w:overflowPunct/>
              <w:topLinePunct w:val="0"/>
              <w:autoSpaceDE/>
              <w:autoSpaceDN/>
              <w:bidi w:val="0"/>
              <w:adjustRightInd/>
              <w:snapToGrid w:val="0"/>
              <w:spacing w:line="280" w:lineRule="exact"/>
              <w:ind w:left="0" w:leftChars="0" w:firstLine="0" w:firstLineChars="0"/>
              <w:jc w:val="center"/>
              <w:textAlignment w:val="auto"/>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t>项目名称</w:t>
            </w:r>
          </w:p>
        </w:tc>
        <w:tc>
          <w:tcPr>
            <w:tcW w:w="900" w:type="dxa"/>
            <w:vAlign w:val="center"/>
          </w:tcPr>
          <w:p>
            <w:pPr>
              <w:pStyle w:val="2"/>
              <w:keepNext w:val="0"/>
              <w:keepLines w:val="0"/>
              <w:pageBreakBefore w:val="0"/>
              <w:widowControl w:val="0"/>
              <w:kinsoku/>
              <w:wordWrap/>
              <w:overflowPunct/>
              <w:topLinePunct w:val="0"/>
              <w:autoSpaceDE/>
              <w:autoSpaceDN/>
              <w:bidi w:val="0"/>
              <w:adjustRightInd/>
              <w:snapToGrid w:val="0"/>
              <w:spacing w:line="280" w:lineRule="exact"/>
              <w:ind w:left="0" w:leftChars="0" w:firstLine="0" w:firstLineChars="0"/>
              <w:jc w:val="center"/>
              <w:textAlignment w:val="auto"/>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t>建设地点</w:t>
            </w:r>
          </w:p>
        </w:tc>
        <w:tc>
          <w:tcPr>
            <w:tcW w:w="2513" w:type="dxa"/>
            <w:vAlign w:val="center"/>
          </w:tcPr>
          <w:p>
            <w:pPr>
              <w:pStyle w:val="2"/>
              <w:keepNext w:val="0"/>
              <w:keepLines w:val="0"/>
              <w:pageBreakBefore w:val="0"/>
              <w:widowControl w:val="0"/>
              <w:kinsoku/>
              <w:wordWrap/>
              <w:overflowPunct/>
              <w:topLinePunct w:val="0"/>
              <w:autoSpaceDE/>
              <w:autoSpaceDN/>
              <w:bidi w:val="0"/>
              <w:adjustRightInd/>
              <w:snapToGrid w:val="0"/>
              <w:spacing w:line="280" w:lineRule="exact"/>
              <w:ind w:left="0" w:leftChars="0" w:firstLine="0" w:firstLineChars="0"/>
              <w:jc w:val="center"/>
              <w:textAlignment w:val="auto"/>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t>建设内容及规模</w:t>
            </w:r>
          </w:p>
        </w:tc>
        <w:tc>
          <w:tcPr>
            <w:tcW w:w="1256" w:type="dxa"/>
            <w:vAlign w:val="center"/>
          </w:tcPr>
          <w:p>
            <w:pPr>
              <w:pStyle w:val="2"/>
              <w:keepNext w:val="0"/>
              <w:keepLines w:val="0"/>
              <w:pageBreakBefore w:val="0"/>
              <w:widowControl w:val="0"/>
              <w:kinsoku/>
              <w:wordWrap/>
              <w:overflowPunct/>
              <w:topLinePunct w:val="0"/>
              <w:autoSpaceDE/>
              <w:autoSpaceDN/>
              <w:bidi w:val="0"/>
              <w:adjustRightInd/>
              <w:snapToGrid w:val="0"/>
              <w:spacing w:line="280" w:lineRule="exact"/>
              <w:ind w:left="0" w:leftChars="0" w:firstLine="0" w:firstLineChars="0"/>
              <w:jc w:val="center"/>
              <w:textAlignment w:val="auto"/>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t>总投资（万元）</w:t>
            </w:r>
          </w:p>
        </w:tc>
        <w:tc>
          <w:tcPr>
            <w:tcW w:w="1135" w:type="dxa"/>
            <w:vAlign w:val="center"/>
          </w:tcPr>
          <w:p>
            <w:pPr>
              <w:pStyle w:val="2"/>
              <w:keepNext w:val="0"/>
              <w:keepLines w:val="0"/>
              <w:pageBreakBefore w:val="0"/>
              <w:widowControl w:val="0"/>
              <w:kinsoku/>
              <w:wordWrap/>
              <w:overflowPunct/>
              <w:topLinePunct w:val="0"/>
              <w:autoSpaceDE/>
              <w:autoSpaceDN/>
              <w:bidi w:val="0"/>
              <w:adjustRightInd/>
              <w:snapToGrid w:val="0"/>
              <w:spacing w:line="280" w:lineRule="exact"/>
              <w:ind w:left="0" w:leftChars="0" w:firstLine="0" w:firstLineChars="0"/>
              <w:jc w:val="center"/>
              <w:textAlignment w:val="auto"/>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t>建设工期</w:t>
            </w:r>
          </w:p>
        </w:tc>
        <w:tc>
          <w:tcPr>
            <w:tcW w:w="2567" w:type="dxa"/>
            <w:vAlign w:val="center"/>
          </w:tcPr>
          <w:p>
            <w:pPr>
              <w:pStyle w:val="2"/>
              <w:keepNext w:val="0"/>
              <w:keepLines w:val="0"/>
              <w:pageBreakBefore w:val="0"/>
              <w:widowControl w:val="0"/>
              <w:kinsoku/>
              <w:wordWrap/>
              <w:overflowPunct/>
              <w:topLinePunct w:val="0"/>
              <w:autoSpaceDE/>
              <w:autoSpaceDN/>
              <w:bidi w:val="0"/>
              <w:adjustRightInd/>
              <w:snapToGrid w:val="0"/>
              <w:spacing w:line="280" w:lineRule="exact"/>
              <w:ind w:left="0" w:leftChars="0" w:firstLine="0" w:firstLineChars="0"/>
              <w:jc w:val="center"/>
              <w:textAlignment w:val="auto"/>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eastAsia="方正黑体_GBK" w:cs="Times New Roman"/>
                <w:color w:val="000000" w:themeColor="text1"/>
                <w:sz w:val="28"/>
                <w:szCs w:val="28"/>
                <w:vertAlign w:val="baseline"/>
                <w:lang w:val="en-US" w:eastAsia="zh-CN"/>
                <w14:textFill>
                  <w14:solidFill>
                    <w14:schemeClr w14:val="tx1"/>
                  </w14:solidFill>
                </w14:textFill>
              </w:rPr>
              <w:t>当年投资（万元）及建设目标任务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trPr>
        <w:tc>
          <w:tcPr>
            <w:tcW w:w="772" w:type="dxa"/>
            <w:vAlign w:val="center"/>
          </w:tcPr>
          <w:p>
            <w:pPr>
              <w:pStyle w:val="2"/>
              <w:keepNext w:val="0"/>
              <w:keepLines w:val="0"/>
              <w:pageBreakBefore w:val="0"/>
              <w:kinsoku/>
              <w:wordWrap/>
              <w:overflowPunct/>
              <w:topLinePunct w:val="0"/>
              <w:autoSpaceDE/>
              <w:autoSpaceDN/>
              <w:bidi w:val="0"/>
              <w:adjustRightInd/>
              <w:snapToGrid w:val="0"/>
              <w:spacing w:line="280" w:lineRule="exact"/>
              <w:ind w:left="0" w:leftChars="0" w:firstLine="0" w:firstLineChars="0"/>
              <w:jc w:val="center"/>
              <w:textAlignment w:val="auto"/>
              <w:rPr>
                <w:rFonts w:hint="default" w:ascii="Times New Roman" w:hAnsi="Times New Roman" w:eastAsia="方正仿宋_GBK"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vertAlign w:val="baseline"/>
                <w:lang w:val="en-US" w:eastAsia="zh-CN"/>
                <w14:textFill>
                  <w14:solidFill>
                    <w14:schemeClr w14:val="tx1"/>
                  </w14:solidFill>
                </w14:textFill>
              </w:rPr>
              <w:t>1</w:t>
            </w:r>
          </w:p>
        </w:tc>
        <w:tc>
          <w:tcPr>
            <w:tcW w:w="1590" w:type="dxa"/>
            <w:vAlign w:val="center"/>
          </w:tcPr>
          <w:p>
            <w:pPr>
              <w:pStyle w:val="2"/>
              <w:keepNext w:val="0"/>
              <w:keepLines w:val="0"/>
              <w:pageBreakBefore w:val="0"/>
              <w:widowControl w:val="0"/>
              <w:kinsoku/>
              <w:wordWrap/>
              <w:overflowPunct/>
              <w:topLinePunct w:val="0"/>
              <w:autoSpaceDE/>
              <w:autoSpaceDN/>
              <w:bidi w:val="0"/>
              <w:adjustRightInd/>
              <w:snapToGrid w:val="0"/>
              <w:spacing w:line="28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重庆新潮实业有限公司建设消防泵自动巡检控制设备项目</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云安路</w:t>
            </w:r>
          </w:p>
        </w:tc>
        <w:tc>
          <w:tcPr>
            <w:tcW w:w="2513"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left"/>
              <w:textAlignment w:val="auto"/>
              <w:rPr>
                <w:rStyle w:val="11"/>
                <w:rFonts w:hint="default" w:ascii="Times New Roman" w:hAnsi="Times New Roman" w:eastAsia="方正仿宋_GBK" w:cs="Times New Roman"/>
                <w:b/>
                <w:bCs/>
                <w:color w:val="000000" w:themeColor="text1"/>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项目计划总投资2.6亿元，拟用地70亩，建设消防泵自动巡检控制设备项目，主要生产FX-FX消防泵自动源检控制设备等。</w:t>
            </w:r>
          </w:p>
        </w:tc>
        <w:tc>
          <w:tcPr>
            <w:tcW w:w="1256" w:type="dxa"/>
            <w:vAlign w:val="center"/>
          </w:tcPr>
          <w:p>
            <w:pPr>
              <w:pStyle w:val="2"/>
              <w:keepNext w:val="0"/>
              <w:keepLines w:val="0"/>
              <w:pageBreakBefore w:val="0"/>
              <w:kinsoku/>
              <w:wordWrap/>
              <w:overflowPunct/>
              <w:topLinePunct w:val="0"/>
              <w:autoSpaceDE/>
              <w:autoSpaceDN/>
              <w:bidi w:val="0"/>
              <w:adjustRightInd/>
              <w:snapToGrid w:val="0"/>
              <w:spacing w:line="28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26000</w:t>
            </w:r>
          </w:p>
        </w:tc>
        <w:tc>
          <w:tcPr>
            <w:tcW w:w="1135" w:type="dxa"/>
            <w:vAlign w:val="center"/>
          </w:tcPr>
          <w:p>
            <w:pPr>
              <w:pStyle w:val="2"/>
              <w:keepNext w:val="0"/>
              <w:keepLines w:val="0"/>
              <w:pageBreakBefore w:val="0"/>
              <w:kinsoku/>
              <w:wordWrap/>
              <w:overflowPunct/>
              <w:topLinePunct w:val="0"/>
              <w:autoSpaceDE/>
              <w:autoSpaceDN/>
              <w:bidi w:val="0"/>
              <w:adjustRightInd/>
              <w:snapToGrid w:val="0"/>
              <w:spacing w:line="28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2022.10-2023.10</w:t>
            </w:r>
          </w:p>
        </w:tc>
        <w:tc>
          <w:tcPr>
            <w:tcW w:w="2567" w:type="dxa"/>
            <w:vAlign w:val="center"/>
          </w:tcPr>
          <w:p>
            <w:pPr>
              <w:pStyle w:val="2"/>
              <w:keepNext w:val="0"/>
              <w:keepLines w:val="0"/>
              <w:pageBreakBefore w:val="0"/>
              <w:kinsoku/>
              <w:wordWrap/>
              <w:overflowPunct/>
              <w:topLinePunct w:val="0"/>
              <w:autoSpaceDE/>
              <w:autoSpaceDN/>
              <w:bidi w:val="0"/>
              <w:adjustRightInd/>
              <w:snapToGrid w:val="0"/>
              <w:spacing w:line="280" w:lineRule="exact"/>
              <w:ind w:left="0" w:leftChars="0" w:firstLine="0" w:firstLineChars="0"/>
              <w:jc w:val="left"/>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2022年投资5000万元，完成工程量的20%。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atLeast"/>
        </w:trPr>
        <w:tc>
          <w:tcPr>
            <w:tcW w:w="772" w:type="dxa"/>
            <w:vAlign w:val="center"/>
          </w:tcPr>
          <w:p>
            <w:pPr>
              <w:pStyle w:val="2"/>
              <w:keepNext w:val="0"/>
              <w:keepLines w:val="0"/>
              <w:pageBreakBefore w:val="0"/>
              <w:kinsoku/>
              <w:wordWrap/>
              <w:overflowPunct/>
              <w:topLinePunct w:val="0"/>
              <w:autoSpaceDE/>
              <w:autoSpaceDN/>
              <w:bidi w:val="0"/>
              <w:adjustRightInd/>
              <w:snapToGrid w:val="0"/>
              <w:spacing w:line="280" w:lineRule="exact"/>
              <w:ind w:left="0" w:leftChars="0" w:firstLine="0" w:firstLineChars="0"/>
              <w:jc w:val="center"/>
              <w:textAlignment w:val="auto"/>
              <w:rPr>
                <w:rFonts w:hint="default" w:ascii="Times New Roman" w:hAnsi="Times New Roman" w:eastAsia="方正仿宋_GBK"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vertAlign w:val="baseline"/>
                <w:lang w:val="en-US" w:eastAsia="zh-CN"/>
                <w14:textFill>
                  <w14:solidFill>
                    <w14:schemeClr w14:val="tx1"/>
                  </w14:solidFill>
                </w14:textFill>
              </w:rPr>
              <w:t>2</w:t>
            </w:r>
          </w:p>
        </w:tc>
        <w:tc>
          <w:tcPr>
            <w:tcW w:w="1590" w:type="dxa"/>
            <w:vAlign w:val="center"/>
          </w:tcPr>
          <w:p>
            <w:pPr>
              <w:pStyle w:val="2"/>
              <w:keepNext w:val="0"/>
              <w:keepLines w:val="0"/>
              <w:pageBreakBefore w:val="0"/>
              <w:widowControl w:val="0"/>
              <w:kinsoku/>
              <w:wordWrap/>
              <w:overflowPunct/>
              <w:topLinePunct w:val="0"/>
              <w:autoSpaceDE/>
              <w:autoSpaceDN/>
              <w:bidi w:val="0"/>
              <w:adjustRightInd/>
              <w:snapToGrid w:val="0"/>
              <w:spacing w:line="28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中车维保基地项目</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产业大道</w:t>
            </w:r>
          </w:p>
        </w:tc>
        <w:tc>
          <w:tcPr>
            <w:tcW w:w="2513"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left"/>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建设中车导轨电车车辆维修基地。</w:t>
            </w:r>
          </w:p>
        </w:tc>
        <w:tc>
          <w:tcPr>
            <w:tcW w:w="1256" w:type="dxa"/>
            <w:vAlign w:val="center"/>
          </w:tcPr>
          <w:p>
            <w:pPr>
              <w:pStyle w:val="2"/>
              <w:keepNext w:val="0"/>
              <w:keepLines w:val="0"/>
              <w:pageBreakBefore w:val="0"/>
              <w:kinsoku/>
              <w:wordWrap/>
              <w:overflowPunct/>
              <w:topLinePunct w:val="0"/>
              <w:autoSpaceDE/>
              <w:autoSpaceDN/>
              <w:bidi w:val="0"/>
              <w:adjustRightInd/>
              <w:snapToGrid w:val="0"/>
              <w:spacing w:line="28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40000</w:t>
            </w:r>
          </w:p>
        </w:tc>
        <w:tc>
          <w:tcPr>
            <w:tcW w:w="1135" w:type="dxa"/>
            <w:vAlign w:val="center"/>
          </w:tcPr>
          <w:p>
            <w:pPr>
              <w:pStyle w:val="2"/>
              <w:keepNext w:val="0"/>
              <w:keepLines w:val="0"/>
              <w:pageBreakBefore w:val="0"/>
              <w:kinsoku/>
              <w:wordWrap/>
              <w:overflowPunct/>
              <w:topLinePunct w:val="0"/>
              <w:autoSpaceDE/>
              <w:autoSpaceDN/>
              <w:bidi w:val="0"/>
              <w:adjustRightInd/>
              <w:snapToGrid w:val="0"/>
              <w:spacing w:line="28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2022.10-2023.10</w:t>
            </w:r>
          </w:p>
        </w:tc>
        <w:tc>
          <w:tcPr>
            <w:tcW w:w="2567" w:type="dxa"/>
            <w:vAlign w:val="center"/>
          </w:tcPr>
          <w:p>
            <w:pPr>
              <w:pStyle w:val="2"/>
              <w:keepNext w:val="0"/>
              <w:keepLines w:val="0"/>
              <w:pageBreakBefore w:val="0"/>
              <w:kinsoku/>
              <w:wordWrap/>
              <w:overflowPunct/>
              <w:topLinePunct w:val="0"/>
              <w:autoSpaceDE/>
              <w:autoSpaceDN/>
              <w:bidi w:val="0"/>
              <w:adjustRightInd/>
              <w:snapToGrid w:val="0"/>
              <w:spacing w:line="280" w:lineRule="exact"/>
              <w:ind w:left="0" w:leftChars="0" w:firstLine="0" w:firstLineChars="0"/>
              <w:jc w:val="left"/>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2022年投资8000万元，完成工程量的20%。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trPr>
        <w:tc>
          <w:tcPr>
            <w:tcW w:w="772" w:type="dxa"/>
            <w:vAlign w:val="center"/>
          </w:tcPr>
          <w:p>
            <w:pPr>
              <w:pStyle w:val="2"/>
              <w:keepNext w:val="0"/>
              <w:keepLines w:val="0"/>
              <w:pageBreakBefore w:val="0"/>
              <w:kinsoku/>
              <w:wordWrap/>
              <w:overflowPunct/>
              <w:topLinePunct w:val="0"/>
              <w:autoSpaceDE/>
              <w:autoSpaceDN/>
              <w:bidi w:val="0"/>
              <w:adjustRightInd/>
              <w:snapToGrid w:val="0"/>
              <w:spacing w:line="280" w:lineRule="exact"/>
              <w:ind w:left="0" w:leftChars="0" w:firstLine="0" w:firstLineChars="0"/>
              <w:jc w:val="center"/>
              <w:textAlignment w:val="auto"/>
              <w:rPr>
                <w:rFonts w:hint="default" w:ascii="Times New Roman" w:hAnsi="Times New Roman" w:eastAsia="方正仿宋_GBK"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vertAlign w:val="baseline"/>
                <w:lang w:val="en-US" w:eastAsia="zh-CN"/>
                <w14:textFill>
                  <w14:solidFill>
                    <w14:schemeClr w14:val="tx1"/>
                  </w14:solidFill>
                </w14:textFill>
              </w:rPr>
              <w:t>3</w:t>
            </w:r>
          </w:p>
        </w:tc>
        <w:tc>
          <w:tcPr>
            <w:tcW w:w="1590" w:type="dxa"/>
            <w:vAlign w:val="center"/>
          </w:tcPr>
          <w:p>
            <w:pPr>
              <w:pStyle w:val="2"/>
              <w:keepNext w:val="0"/>
              <w:keepLines w:val="0"/>
              <w:pageBreakBefore w:val="0"/>
              <w:widowControl w:val="0"/>
              <w:kinsoku/>
              <w:wordWrap/>
              <w:overflowPunct/>
              <w:topLinePunct w:val="0"/>
              <w:autoSpaceDE/>
              <w:autoSpaceDN/>
              <w:bidi w:val="0"/>
              <w:adjustRightInd/>
              <w:snapToGrid w:val="0"/>
              <w:spacing w:line="28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重庆华振汽车配件制造有限公司汽车及工程机械精密零部件生产项目</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产业大道</w:t>
            </w:r>
          </w:p>
        </w:tc>
        <w:tc>
          <w:tcPr>
            <w:tcW w:w="2513"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80" w:lineRule="exact"/>
              <w:jc w:val="left"/>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在铜梁新建汽车及工程机械精密零部件制造基地，主要从事工程机械精密传感器body、换挡零部件、汽车电器线路保护、内外饰支架的研发、生产、销售，并同步建设精密零部件研发中心、高分子材料加工中心。</w:t>
            </w:r>
          </w:p>
        </w:tc>
        <w:tc>
          <w:tcPr>
            <w:tcW w:w="1256" w:type="dxa"/>
            <w:vAlign w:val="center"/>
          </w:tcPr>
          <w:p>
            <w:pPr>
              <w:pStyle w:val="2"/>
              <w:keepNext w:val="0"/>
              <w:keepLines w:val="0"/>
              <w:pageBreakBefore w:val="0"/>
              <w:kinsoku/>
              <w:wordWrap/>
              <w:overflowPunct/>
              <w:topLinePunct w:val="0"/>
              <w:autoSpaceDE/>
              <w:autoSpaceDN/>
              <w:bidi w:val="0"/>
              <w:adjustRightInd/>
              <w:snapToGrid w:val="0"/>
              <w:spacing w:line="28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30000</w:t>
            </w:r>
          </w:p>
        </w:tc>
        <w:tc>
          <w:tcPr>
            <w:tcW w:w="1135" w:type="dxa"/>
            <w:vAlign w:val="center"/>
          </w:tcPr>
          <w:p>
            <w:pPr>
              <w:pStyle w:val="2"/>
              <w:keepNext w:val="0"/>
              <w:keepLines w:val="0"/>
              <w:pageBreakBefore w:val="0"/>
              <w:kinsoku/>
              <w:wordWrap/>
              <w:overflowPunct/>
              <w:topLinePunct w:val="0"/>
              <w:autoSpaceDE/>
              <w:autoSpaceDN/>
              <w:bidi w:val="0"/>
              <w:adjustRightInd/>
              <w:snapToGrid w:val="0"/>
              <w:spacing w:line="280" w:lineRule="exact"/>
              <w:ind w:left="0" w:leftChars="0" w:firstLine="0" w:firstLineChars="0"/>
              <w:jc w:val="center"/>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2022.11-2023.12</w:t>
            </w:r>
          </w:p>
        </w:tc>
        <w:tc>
          <w:tcPr>
            <w:tcW w:w="2567" w:type="dxa"/>
            <w:vAlign w:val="center"/>
          </w:tcPr>
          <w:p>
            <w:pPr>
              <w:pStyle w:val="2"/>
              <w:keepNext w:val="0"/>
              <w:keepLines w:val="0"/>
              <w:pageBreakBefore w:val="0"/>
              <w:kinsoku/>
              <w:wordWrap/>
              <w:overflowPunct/>
              <w:topLinePunct w:val="0"/>
              <w:autoSpaceDE/>
              <w:autoSpaceDN/>
              <w:bidi w:val="0"/>
              <w:adjustRightInd/>
              <w:snapToGrid w:val="0"/>
              <w:spacing w:line="280" w:lineRule="exact"/>
              <w:ind w:left="0" w:leftChars="0" w:firstLine="0" w:firstLineChars="0"/>
              <w:jc w:val="left"/>
              <w:textAlignment w:val="auto"/>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方正仿宋_GBK" w:cs="Times New Roman"/>
                <w:color w:val="000000" w:themeColor="text1"/>
                <w:kern w:val="0"/>
                <w:sz w:val="24"/>
                <w:szCs w:val="24"/>
                <w:lang w:val="en-US" w:eastAsia="zh-CN" w:bidi="ar"/>
                <w14:textFill>
                  <w14:solidFill>
                    <w14:schemeClr w14:val="tx1"/>
                  </w14:solidFill>
                </w14:textFill>
              </w:rPr>
              <w:t>2022年投资3000万元，开工建设。</w:t>
            </w:r>
          </w:p>
        </w:tc>
      </w:tr>
    </w:tbl>
    <w:p/>
    <w:sectPr>
      <w:footerReference r:id="rId3" w:type="default"/>
      <w:pgSz w:w="11906" w:h="16838"/>
      <w:pgMar w:top="198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panose1 w:val="020B0504020202030204"/>
    <w:charset w:val="00"/>
    <w:family w:val="swiss"/>
    <w:pitch w:val="default"/>
    <w:sig w:usb0="00000007" w:usb1="00000000" w:usb2="00000000" w:usb3="00000000" w:csb0="00000093"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lZjY2M2Q3OTYwYzNkN2Y2NWFjYThiNGZhZTgxMDkifQ=="/>
  </w:docVars>
  <w:rsids>
    <w:rsidRoot w:val="7CBA342D"/>
    <w:rsid w:val="393F6845"/>
    <w:rsid w:val="71C04D6B"/>
    <w:rsid w:val="7CBA3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table of authorities"/>
    <w:next w:val="1"/>
    <w:qFormat/>
    <w:uiPriority w:val="99"/>
    <w:pPr>
      <w:widowControl w:val="0"/>
      <w:ind w:left="420" w:leftChars="200"/>
      <w:jc w:val="both"/>
    </w:pPr>
    <w:rPr>
      <w:rFonts w:ascii="Calibri" w:hAnsi="Calibri"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Default"/>
    <w:next w:val="1"/>
    <w:qFormat/>
    <w:uiPriority w:val="0"/>
    <w:pPr>
      <w:widowControl w:val="0"/>
      <w:autoSpaceDE w:val="0"/>
      <w:autoSpaceDN w:val="0"/>
      <w:adjustRightInd w:val="0"/>
    </w:pPr>
    <w:rPr>
      <w:rFonts w:ascii="Helvetica" w:hAnsi="Helvetica" w:eastAsia="宋体" w:cs="Helvetica"/>
      <w:color w:val="000000"/>
      <w:sz w:val="24"/>
      <w:szCs w:val="24"/>
      <w:lang w:val="en-US" w:eastAsia="zh-CN" w:bidi="ar-SA"/>
    </w:rPr>
  </w:style>
  <w:style w:type="character" w:customStyle="1" w:styleId="9">
    <w:name w:val="font31"/>
    <w:basedOn w:val="5"/>
    <w:qFormat/>
    <w:uiPriority w:val="0"/>
    <w:rPr>
      <w:rFonts w:ascii="方正仿宋_GBK" w:hAnsi="方正仿宋_GBK" w:eastAsia="方正仿宋_GBK" w:cs="方正仿宋_GBK"/>
      <w:color w:val="000000"/>
      <w:sz w:val="24"/>
      <w:szCs w:val="24"/>
      <w:u w:val="none"/>
    </w:rPr>
  </w:style>
  <w:style w:type="character" w:customStyle="1" w:styleId="10">
    <w:name w:val="font21"/>
    <w:basedOn w:val="5"/>
    <w:qFormat/>
    <w:uiPriority w:val="0"/>
    <w:rPr>
      <w:rFonts w:hint="eastAsia" w:ascii="方正仿宋_GBK" w:hAnsi="方正仿宋_GBK" w:eastAsia="方正仿宋_GBK" w:cs="方正仿宋_GBK"/>
      <w:color w:val="000000"/>
      <w:sz w:val="24"/>
      <w:szCs w:val="24"/>
      <w:u w:val="none"/>
    </w:rPr>
  </w:style>
  <w:style w:type="character" w:customStyle="1" w:styleId="11">
    <w:name w:val="font71"/>
    <w:basedOn w:val="5"/>
    <w:qFormat/>
    <w:uiPriority w:val="0"/>
    <w:rPr>
      <w:rFonts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1109</Words>
  <Characters>1173</Characters>
  <Lines>0</Lines>
  <Paragraphs>0</Paragraphs>
  <TotalTime>1</TotalTime>
  <ScaleCrop>false</ScaleCrop>
  <LinksUpToDate>false</LinksUpToDate>
  <CharactersWithSpaces>1173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2022-09-06T09:47:00Z</dcterms:created>
  <dc:creator>ZR^_^</dc:creator>
  <cp:lastModifiedBy>Administrator</cp:lastModifiedBy>
  <dcterms:modified xsi:type="dcterms:W3CDTF">2022-09-09T08:23:06Z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37A499CE13A44A9697260549D9CA0513</vt:lpwstr>
  </property>
</Properties>
</file>