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w:t>
      </w:r>
    </w:p>
    <w:p>
      <w:pPr>
        <w:pStyle w:val="3"/>
        <w:rPr>
          <w:rFonts w:hint="default"/>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重庆市</w:t>
      </w:r>
      <w:r>
        <w:rPr>
          <w:rFonts w:hint="default" w:ascii="Times New Roman" w:hAnsi="Times New Roman" w:eastAsia="方正小标宋_GBK" w:cs="Times New Roman"/>
          <w:color w:val="auto"/>
          <w:sz w:val="44"/>
          <w:szCs w:val="44"/>
        </w:rPr>
        <w:t>铜梁区扶持市场主体</w:t>
      </w:r>
      <w:r>
        <w:rPr>
          <w:rFonts w:hint="default" w:ascii="Times New Roman" w:hAnsi="Times New Roman" w:eastAsia="方正小标宋_GBK" w:cs="Times New Roman"/>
          <w:color w:val="auto"/>
          <w:sz w:val="44"/>
          <w:szCs w:val="44"/>
          <w:lang w:eastAsia="zh-CN"/>
        </w:rPr>
        <w:t>升规升限</w:t>
      </w:r>
      <w:r>
        <w:rPr>
          <w:rFonts w:hint="default" w:ascii="Times New Roman" w:hAnsi="Times New Roman" w:eastAsia="方正小标宋_GBK" w:cs="Times New Roman"/>
          <w:color w:val="auto"/>
          <w:sz w:val="44"/>
          <w:szCs w:val="44"/>
        </w:rPr>
        <w:t>的</w:t>
      </w: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政策</w:t>
      </w:r>
      <w:r>
        <w:rPr>
          <w:rFonts w:hint="default" w:ascii="Times New Roman" w:hAnsi="Times New Roman" w:eastAsia="方正小标宋_GBK" w:cs="Times New Roman"/>
          <w:color w:val="auto"/>
          <w:sz w:val="44"/>
          <w:szCs w:val="44"/>
        </w:rPr>
        <w:t>措施</w:t>
      </w:r>
    </w:p>
    <w:p>
      <w:pPr>
        <w:keepNext w:val="0"/>
        <w:keepLines w:val="0"/>
        <w:pageBreakBefore w:val="0"/>
        <w:widowControl w:val="0"/>
        <w:kinsoku/>
        <w:wordWrap/>
        <w:overflowPunct/>
        <w:topLinePunct w:val="0"/>
        <w:autoSpaceDE/>
        <w:autoSpaceDN/>
        <w:bidi w:val="0"/>
        <w:snapToGrid/>
        <w:spacing w:line="594" w:lineRule="exact"/>
        <w:ind w:firstLine="880" w:firstLineChars="200"/>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为坚持新发展理念，打造经济发展新引擎，深入贯彻落实习近平新时代中国特色社会主义思想，落实国家和市委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市政府一系列培育发展市场主体的政策措施，</w:t>
      </w:r>
      <w:r>
        <w:rPr>
          <w:rFonts w:hint="default" w:ascii="Times New Roman" w:hAnsi="Times New Roman" w:eastAsia="方正仿宋_GBK" w:cs="Times New Roman"/>
          <w:color w:val="auto"/>
          <w:sz w:val="32"/>
          <w:szCs w:val="32"/>
          <w:lang w:eastAsia="zh-CN"/>
        </w:rPr>
        <w:t>解决</w:t>
      </w:r>
      <w:r>
        <w:rPr>
          <w:rFonts w:hint="default" w:ascii="Times New Roman" w:hAnsi="Times New Roman" w:eastAsia="方正仿宋_GBK" w:cs="Times New Roman"/>
          <w:color w:val="auto"/>
          <w:sz w:val="32"/>
          <w:szCs w:val="32"/>
        </w:rPr>
        <w:t>现阶段区内市场主体规模小、竞争力弱等问题，特制定以下措施。</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一、总体要求</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坚持市场和问题导向，</w:t>
      </w:r>
      <w:r>
        <w:rPr>
          <w:rFonts w:hint="default" w:ascii="Times New Roman" w:hAnsi="Times New Roman" w:eastAsia="方正仿宋_GBK" w:cs="Times New Roman"/>
          <w:color w:val="auto"/>
          <w:sz w:val="32"/>
          <w:szCs w:val="32"/>
          <w:lang w:eastAsia="zh-CN"/>
        </w:rPr>
        <w:t>以</w:t>
      </w:r>
      <w:r>
        <w:rPr>
          <w:rFonts w:hint="default" w:ascii="Times New Roman" w:hAnsi="Times New Roman" w:eastAsia="方正仿宋_GBK" w:cs="Times New Roman"/>
          <w:color w:val="auto"/>
          <w:sz w:val="32"/>
          <w:szCs w:val="32"/>
        </w:rPr>
        <w:t>提升市场主体质量为目标，以激发社会创新、促进大众创业为主线，以营造良好创新创业生态环境为途径，完善政策与强化服务共进，招商引资和大众创业并举，外引新量和内生增量并重，为推动全区经济社会持续健康发展筑牢坚实基础。</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扶持</w:t>
      </w:r>
      <w:r>
        <w:rPr>
          <w:rFonts w:hint="default" w:ascii="Times New Roman" w:hAnsi="Times New Roman" w:eastAsia="方正黑体_GBK" w:cs="Times New Roman"/>
          <w:color w:val="auto"/>
          <w:sz w:val="32"/>
          <w:szCs w:val="32"/>
        </w:rPr>
        <w:t>市场主体</w:t>
      </w:r>
      <w:r>
        <w:rPr>
          <w:rFonts w:hint="default" w:ascii="Times New Roman" w:hAnsi="Times New Roman" w:eastAsia="方正黑体_GBK" w:cs="Times New Roman"/>
          <w:color w:val="auto"/>
          <w:sz w:val="32"/>
          <w:szCs w:val="32"/>
          <w:lang w:eastAsia="zh-CN"/>
        </w:rPr>
        <w:t>发展</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（一）市场主体</w:t>
      </w:r>
      <w:r>
        <w:rPr>
          <w:rFonts w:hint="default" w:ascii="Times New Roman" w:hAnsi="Times New Roman" w:eastAsia="方正楷体_GBK" w:cs="Times New Roman"/>
          <w:color w:val="auto"/>
          <w:sz w:val="32"/>
          <w:szCs w:val="32"/>
        </w:rPr>
        <w:t>新升规升限</w:t>
      </w:r>
      <w:r>
        <w:rPr>
          <w:rFonts w:hint="default" w:ascii="Times New Roman" w:hAnsi="Times New Roman" w:eastAsia="方正楷体_GBK" w:cs="Times New Roman"/>
          <w:color w:val="auto"/>
          <w:sz w:val="32"/>
          <w:szCs w:val="32"/>
          <w:lang w:eastAsia="zh-CN"/>
        </w:rPr>
        <w:t>扶持政策</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首次成功申报为规上</w:t>
      </w:r>
      <w:r>
        <w:rPr>
          <w:rFonts w:hint="default" w:ascii="Times New Roman" w:hAnsi="Times New Roman" w:eastAsia="方正仿宋_GBK" w:cs="Times New Roman"/>
          <w:color w:val="auto"/>
          <w:sz w:val="32"/>
          <w:szCs w:val="32"/>
          <w:lang w:val="en-US" w:eastAsia="zh-CN"/>
        </w:rPr>
        <w:t>工业企业</w:t>
      </w:r>
      <w:r>
        <w:rPr>
          <w:rFonts w:hint="default" w:ascii="Times New Roman" w:hAnsi="Times New Roman" w:eastAsia="方正仿宋_GBK" w:cs="Times New Roman"/>
          <w:color w:val="auto"/>
          <w:sz w:val="32"/>
          <w:szCs w:val="32"/>
          <w:lang w:eastAsia="zh-CN"/>
        </w:rPr>
        <w:t>并正常生产经营的，</w:t>
      </w:r>
      <w:r>
        <w:rPr>
          <w:rFonts w:hint="default" w:ascii="Times New Roman" w:hAnsi="Times New Roman" w:eastAsia="方正仿宋_GBK" w:cs="Times New Roman"/>
          <w:color w:val="auto"/>
          <w:sz w:val="32"/>
          <w:szCs w:val="32"/>
          <w:lang w:val="en-US" w:eastAsia="zh-CN"/>
        </w:rPr>
        <w:t>纳入规上统计次年起三年内，每年分别按10</w:t>
      </w:r>
      <w:r>
        <w:rPr>
          <w:rFonts w:hint="default" w:ascii="Times New Roman" w:hAnsi="Times New Roman" w:eastAsia="方正仿宋_GBK" w:cs="Times New Roman"/>
          <w:color w:val="auto"/>
          <w:sz w:val="32"/>
          <w:szCs w:val="32"/>
          <w:lang w:eastAsia="zh-CN"/>
        </w:rPr>
        <w:t>万元、</w:t>
      </w:r>
      <w:r>
        <w:rPr>
          <w:rFonts w:hint="default" w:ascii="Times New Roman" w:hAnsi="Times New Roman" w:eastAsia="方正仿宋_GBK" w:cs="Times New Roman"/>
          <w:color w:val="auto"/>
          <w:sz w:val="32"/>
          <w:szCs w:val="32"/>
          <w:lang w:val="en-US" w:eastAsia="zh-CN"/>
        </w:rPr>
        <w:t>3万元、5万元给予</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期内下规则取消剩余</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首次成功申报为规上</w:t>
      </w:r>
      <w:r>
        <w:rPr>
          <w:rFonts w:hint="default" w:ascii="Times New Roman" w:hAnsi="Times New Roman" w:eastAsia="方正仿宋_GBK" w:cs="Times New Roman"/>
          <w:color w:val="auto"/>
          <w:sz w:val="32"/>
          <w:szCs w:val="32"/>
          <w:lang w:val="en-US" w:eastAsia="zh-CN"/>
        </w:rPr>
        <w:t>服务业企业、限上商贸企业</w:t>
      </w:r>
      <w:r>
        <w:rPr>
          <w:rFonts w:hint="default" w:ascii="Times New Roman" w:hAnsi="Times New Roman" w:eastAsia="方正仿宋_GBK" w:cs="Times New Roman"/>
          <w:color w:val="auto"/>
          <w:sz w:val="32"/>
          <w:szCs w:val="32"/>
          <w:lang w:eastAsia="zh-CN"/>
        </w:rPr>
        <w:t>并正常生产经营的，</w:t>
      </w:r>
      <w:r>
        <w:rPr>
          <w:rFonts w:hint="default" w:ascii="Times New Roman" w:hAnsi="Times New Roman" w:eastAsia="方正仿宋_GBK" w:cs="Times New Roman"/>
          <w:color w:val="auto"/>
          <w:sz w:val="32"/>
          <w:szCs w:val="32"/>
          <w:lang w:val="en-US" w:eastAsia="zh-CN"/>
        </w:rPr>
        <w:t>纳入规上限上统计次年起三年内，每年分别按5</w:t>
      </w:r>
      <w:r>
        <w:rPr>
          <w:rFonts w:hint="default" w:ascii="Times New Roman" w:hAnsi="Times New Roman" w:eastAsia="方正仿宋_GBK" w:cs="Times New Roman"/>
          <w:color w:val="auto"/>
          <w:sz w:val="32"/>
          <w:szCs w:val="32"/>
          <w:lang w:eastAsia="zh-CN"/>
        </w:rPr>
        <w:t>万元、</w:t>
      </w:r>
      <w:r>
        <w:rPr>
          <w:rFonts w:hint="default" w:ascii="Times New Roman" w:hAnsi="Times New Roman" w:eastAsia="方正仿宋_GBK" w:cs="Times New Roman"/>
          <w:color w:val="auto"/>
          <w:sz w:val="32"/>
          <w:szCs w:val="32"/>
          <w:lang w:val="en-US" w:eastAsia="zh-CN"/>
        </w:rPr>
        <w:t>2万元、3万元给予</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期内下规或者退出限上则</w:t>
      </w:r>
      <w:r>
        <w:rPr>
          <w:rFonts w:hint="default" w:ascii="Times New Roman" w:hAnsi="Times New Roman" w:eastAsia="方正仿宋_GBK" w:cs="Times New Roman"/>
          <w:color w:val="auto"/>
          <w:sz w:val="32"/>
          <w:szCs w:val="32"/>
          <w:lang w:val="en-US" w:eastAsia="zh-CN"/>
        </w:rPr>
        <w:t>取消剩余</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首次成功申报为</w:t>
      </w:r>
      <w:r>
        <w:rPr>
          <w:rFonts w:hint="default" w:ascii="Times New Roman" w:hAnsi="Times New Roman" w:eastAsia="方正仿宋_GBK" w:cs="Times New Roman"/>
          <w:color w:val="auto"/>
          <w:sz w:val="32"/>
          <w:szCs w:val="32"/>
          <w:lang w:val="en-US" w:eastAsia="zh-CN"/>
        </w:rPr>
        <w:t>限上商贸</w:t>
      </w:r>
      <w:r>
        <w:rPr>
          <w:rFonts w:hint="eastAsia" w:ascii="Times New Roman" w:hAnsi="Times New Roman" w:eastAsia="方正仿宋_GBK" w:cs="Times New Roman"/>
          <w:color w:val="auto"/>
          <w:sz w:val="32"/>
          <w:szCs w:val="32"/>
          <w:lang w:val="en-US" w:eastAsia="zh-CN"/>
        </w:rPr>
        <w:t>个体</w:t>
      </w:r>
      <w:r>
        <w:rPr>
          <w:rFonts w:hint="default" w:ascii="Times New Roman" w:hAnsi="Times New Roman" w:eastAsia="方正仿宋_GBK" w:cs="Times New Roman"/>
          <w:color w:val="auto"/>
          <w:sz w:val="32"/>
          <w:szCs w:val="32"/>
          <w:lang w:eastAsia="zh-CN"/>
        </w:rPr>
        <w:t>并正常生产经营的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给予5000元/户的一次性</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（二）企业统计人员</w:t>
      </w:r>
      <w:r>
        <w:rPr>
          <w:rFonts w:hint="eastAsia" w:ascii="Times New Roman" w:hAnsi="Times New Roman" w:eastAsia="方正楷体_GBK" w:cs="Times New Roman"/>
          <w:color w:val="auto"/>
          <w:sz w:val="32"/>
          <w:szCs w:val="32"/>
          <w:lang w:val="en-US" w:eastAsia="zh-CN"/>
        </w:rPr>
        <w:t>补助</w:t>
      </w:r>
      <w:r>
        <w:rPr>
          <w:rFonts w:hint="default" w:ascii="Times New Roman" w:hAnsi="Times New Roman" w:eastAsia="方正楷体_GBK" w:cs="Times New Roman"/>
          <w:color w:val="auto"/>
          <w:sz w:val="32"/>
          <w:szCs w:val="32"/>
          <w:lang w:val="en-US" w:eastAsia="zh-CN"/>
        </w:rPr>
        <w:t>政策</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default" w:ascii="Times New Roman" w:hAnsi="Times New Roman" w:eastAsia="方正仿宋_GBK" w:cs="Times New Roman"/>
          <w:bCs/>
          <w:color w:val="auto"/>
          <w:kern w:val="2"/>
          <w:sz w:val="32"/>
          <w:szCs w:val="20"/>
          <w:lang w:val="en-US" w:eastAsia="zh-CN" w:bidi="ar-SA"/>
        </w:rPr>
        <w:t>对年产值/年销售额/年营业额达到一定规模</w:t>
      </w:r>
      <w:r>
        <w:rPr>
          <w:rFonts w:hint="eastAsia" w:ascii="Times New Roman" w:hAnsi="Times New Roman" w:eastAsia="方正仿宋_GBK" w:cs="Times New Roman"/>
          <w:bCs/>
          <w:color w:val="auto"/>
          <w:kern w:val="2"/>
          <w:sz w:val="32"/>
          <w:szCs w:val="20"/>
          <w:highlight w:val="none"/>
          <w:lang w:val="en-US" w:eastAsia="zh-CN" w:bidi="ar-SA"/>
        </w:rPr>
        <w:t>、正常生产经营，</w:t>
      </w:r>
      <w:r>
        <w:rPr>
          <w:rFonts w:hint="eastAsia" w:ascii="Times New Roman" w:hAnsi="Times New Roman" w:eastAsia="方正仿宋_GBK" w:cs="Times New Roman"/>
          <w:bCs/>
          <w:color w:val="auto"/>
          <w:kern w:val="2"/>
          <w:sz w:val="32"/>
          <w:szCs w:val="20"/>
          <w:lang w:val="en-US" w:eastAsia="zh-CN" w:bidi="ar-SA"/>
        </w:rPr>
        <w:t>且统计工作较好的</w:t>
      </w:r>
      <w:r>
        <w:rPr>
          <w:rFonts w:hint="default" w:ascii="Times New Roman" w:hAnsi="Times New Roman" w:eastAsia="方正仿宋_GBK" w:cs="Times New Roman"/>
          <w:bCs/>
          <w:color w:val="auto"/>
          <w:kern w:val="2"/>
          <w:sz w:val="32"/>
          <w:szCs w:val="20"/>
          <w:lang w:val="en-US" w:eastAsia="zh-CN" w:bidi="ar-SA"/>
        </w:rPr>
        <w:t>企业给予企业统计人员400元/月的</w:t>
      </w:r>
      <w:r>
        <w:rPr>
          <w:rFonts w:hint="eastAsia" w:ascii="Times New Roman" w:hAnsi="Times New Roman" w:eastAsia="方正仿宋_GBK" w:cs="Times New Roman"/>
          <w:bCs/>
          <w:color w:val="auto"/>
          <w:kern w:val="2"/>
          <w:sz w:val="32"/>
          <w:szCs w:val="20"/>
          <w:lang w:val="en-US" w:eastAsia="zh-CN" w:bidi="ar-SA"/>
        </w:rPr>
        <w:t>补助</w:t>
      </w:r>
      <w:r>
        <w:rPr>
          <w:rFonts w:hint="default" w:ascii="Times New Roman" w:hAnsi="Times New Roman" w:eastAsia="方正仿宋_GBK" w:cs="Times New Roman"/>
          <w:bCs/>
          <w:color w:val="auto"/>
          <w:kern w:val="2"/>
          <w:sz w:val="32"/>
          <w:szCs w:val="20"/>
          <w:lang w:val="en-US" w:eastAsia="zh-CN" w:bidi="ar-SA"/>
        </w:rPr>
        <w:t>。具体标准如下：</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1</w:t>
      </w:r>
      <w:r>
        <w:rPr>
          <w:rFonts w:hint="default" w:ascii="Times New Roman" w:hAnsi="Times New Roman" w:eastAsia="方正仿宋_GBK" w:cs="Times New Roman"/>
          <w:bCs/>
          <w:color w:val="auto"/>
          <w:kern w:val="2"/>
          <w:sz w:val="32"/>
          <w:szCs w:val="20"/>
          <w:lang w:val="en-US" w:eastAsia="zh-CN" w:bidi="ar-SA"/>
        </w:rPr>
        <w:t>.批发业企业年销售额≥2000万元；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2</w:t>
      </w:r>
      <w:r>
        <w:rPr>
          <w:rFonts w:hint="default" w:ascii="Times New Roman" w:hAnsi="Times New Roman" w:eastAsia="方正仿宋_GBK" w:cs="Times New Roman"/>
          <w:bCs/>
          <w:color w:val="auto"/>
          <w:kern w:val="2"/>
          <w:sz w:val="32"/>
          <w:szCs w:val="20"/>
          <w:lang w:val="en-US" w:eastAsia="zh-CN" w:bidi="ar-SA"/>
        </w:rPr>
        <w:t>.零售业企业年销售额≥500万元；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cs="Times New Roman"/>
          <w:color w:val="auto"/>
          <w:lang w:val="en-US" w:eastAsia="zh-CN"/>
        </w:rPr>
      </w:pPr>
      <w:r>
        <w:rPr>
          <w:rFonts w:hint="eastAsia" w:ascii="Times New Roman" w:hAnsi="Times New Roman" w:eastAsia="方正仿宋_GBK" w:cs="Times New Roman"/>
          <w:bCs/>
          <w:color w:val="auto"/>
          <w:kern w:val="2"/>
          <w:sz w:val="32"/>
          <w:szCs w:val="20"/>
          <w:lang w:val="en-US" w:eastAsia="zh-CN" w:bidi="ar-SA"/>
        </w:rPr>
        <w:t>3</w:t>
      </w:r>
      <w:r>
        <w:rPr>
          <w:rFonts w:hint="default" w:ascii="Times New Roman" w:hAnsi="Times New Roman" w:eastAsia="方正仿宋_GBK" w:cs="Times New Roman"/>
          <w:bCs/>
          <w:color w:val="auto"/>
          <w:kern w:val="2"/>
          <w:sz w:val="32"/>
          <w:szCs w:val="20"/>
          <w:lang w:val="en-US" w:eastAsia="zh-CN" w:bidi="ar-SA"/>
        </w:rPr>
        <w:t>.住宿业、餐饮业企业年营业额≥200万元；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4</w:t>
      </w:r>
      <w:r>
        <w:rPr>
          <w:rFonts w:hint="default" w:ascii="Times New Roman" w:hAnsi="Times New Roman" w:eastAsia="方正仿宋_GBK" w:cs="Times New Roman"/>
          <w:bCs/>
          <w:color w:val="auto"/>
          <w:kern w:val="2"/>
          <w:sz w:val="32"/>
          <w:szCs w:val="20"/>
          <w:lang w:val="en-US" w:eastAsia="zh-CN" w:bidi="ar-SA"/>
        </w:rPr>
        <w:t>.交通运输、仓储和邮政业，信息传输、软件和信息技术服务业，水利、环境和公共设施管理业，卫生服务业企业年营业收入≥2000万元；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5</w:t>
      </w:r>
      <w:r>
        <w:rPr>
          <w:rFonts w:hint="default" w:ascii="Times New Roman" w:hAnsi="Times New Roman" w:eastAsia="方正仿宋_GBK" w:cs="Times New Roman"/>
          <w:bCs/>
          <w:color w:val="auto"/>
          <w:kern w:val="2"/>
          <w:sz w:val="32"/>
          <w:szCs w:val="20"/>
          <w:lang w:val="en-US" w:eastAsia="zh-CN" w:bidi="ar-SA"/>
        </w:rPr>
        <w:t>.租赁和商务服务业，科学研究和技术服务业，教育，房地产业（不含房地产开发业）服务业企业年营业收入≥1000万元；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6</w:t>
      </w:r>
      <w:r>
        <w:rPr>
          <w:rFonts w:hint="default" w:ascii="Times New Roman" w:hAnsi="Times New Roman" w:eastAsia="方正仿宋_GBK" w:cs="Times New Roman"/>
          <w:bCs/>
          <w:color w:val="auto"/>
          <w:kern w:val="2"/>
          <w:sz w:val="32"/>
          <w:szCs w:val="20"/>
          <w:lang w:val="en-US" w:eastAsia="zh-CN" w:bidi="ar-SA"/>
        </w:rPr>
        <w:t>.文化、体育和娱乐业，社会工作，居民服务、修理和其他服务业企业年营业收入≥500万元。</w:t>
      </w:r>
    </w:p>
    <w:p>
      <w:pPr>
        <w:keepNext w:val="0"/>
        <w:keepLines w:val="0"/>
        <w:pageBreakBefore w:val="0"/>
        <w:widowControl w:val="0"/>
        <w:numPr>
          <w:ilvl w:val="0"/>
          <w:numId w:val="0"/>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三、鼓励镇（街道）积极培育规上限上企业</w:t>
      </w:r>
    </w:p>
    <w:p>
      <w:pPr>
        <w:keepNext w:val="0"/>
        <w:keepLines w:val="0"/>
        <w:pageBreakBefore w:val="0"/>
        <w:widowControl w:val="0"/>
        <w:numPr>
          <w:ilvl w:val="0"/>
          <w:numId w:val="0"/>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鼓励</w:t>
      </w:r>
      <w:r>
        <w:rPr>
          <w:rFonts w:hint="default" w:ascii="Times New Roman" w:hAnsi="Times New Roman" w:eastAsia="方正仿宋_GBK" w:cs="Times New Roman"/>
          <w:color w:val="auto"/>
          <w:sz w:val="32"/>
          <w:szCs w:val="32"/>
          <w:highlight w:val="none"/>
        </w:rPr>
        <w:t>镇（街道）</w:t>
      </w:r>
      <w:r>
        <w:rPr>
          <w:rFonts w:hint="default" w:ascii="Times New Roman" w:hAnsi="Times New Roman" w:eastAsia="方正仿宋_GBK" w:cs="Times New Roman"/>
          <w:color w:val="auto"/>
          <w:sz w:val="32"/>
          <w:szCs w:val="32"/>
          <w:highlight w:val="none"/>
          <w:lang w:eastAsia="zh-CN"/>
        </w:rPr>
        <w:t>积极</w:t>
      </w:r>
      <w:r>
        <w:rPr>
          <w:rFonts w:hint="default" w:ascii="Times New Roman" w:hAnsi="Times New Roman" w:eastAsia="方正仿宋_GBK" w:cs="Times New Roman"/>
          <w:color w:val="auto"/>
          <w:sz w:val="32"/>
          <w:szCs w:val="32"/>
          <w:highlight w:val="none"/>
          <w:lang w:val="en-US" w:eastAsia="zh-CN"/>
        </w:rPr>
        <w:t>培育规上限上企业</w:t>
      </w:r>
      <w:r>
        <w:rPr>
          <w:rFonts w:hint="default" w:ascii="Times New Roman" w:hAnsi="Times New Roman" w:eastAsia="方正仿宋_GBK" w:cs="Times New Roman"/>
          <w:color w:val="auto"/>
          <w:sz w:val="32"/>
          <w:szCs w:val="32"/>
          <w:highlight w:val="none"/>
          <w:lang w:eastAsia="zh-CN"/>
        </w:rPr>
        <w:t>，每</w:t>
      </w:r>
      <w:r>
        <w:rPr>
          <w:rFonts w:hint="default" w:ascii="Times New Roman" w:hAnsi="Times New Roman" w:eastAsia="方正仿宋_GBK" w:cs="Times New Roman"/>
          <w:color w:val="auto"/>
          <w:sz w:val="32"/>
          <w:szCs w:val="32"/>
          <w:lang w:eastAsia="zh-CN"/>
        </w:rPr>
        <w:t>培育一户规上限上企业</w:t>
      </w:r>
      <w:r>
        <w:rPr>
          <w:rFonts w:hint="default" w:ascii="Times New Roman" w:hAnsi="Times New Roman" w:eastAsia="方正仿宋_GBK" w:cs="Times New Roman"/>
          <w:color w:val="auto"/>
          <w:sz w:val="32"/>
          <w:szCs w:val="32"/>
        </w:rPr>
        <w:t>按照</w:t>
      </w:r>
      <w:r>
        <w:rPr>
          <w:rFonts w:hint="default" w:ascii="Times New Roman" w:hAnsi="Times New Roman" w:eastAsia="方正仿宋_GBK" w:cs="Times New Roman"/>
          <w:color w:val="auto"/>
          <w:sz w:val="32"/>
          <w:szCs w:val="32"/>
          <w:highlight w:val="none"/>
          <w:lang w:val="en-US" w:eastAsia="zh-CN"/>
        </w:rPr>
        <w:t>1000元的标准给予所在镇（街道）工作经费。</w:t>
      </w:r>
    </w:p>
    <w:p>
      <w:pPr>
        <w:keepNext w:val="0"/>
        <w:keepLines w:val="0"/>
        <w:pageBreakBefore w:val="0"/>
        <w:widowControl w:val="0"/>
        <w:numPr>
          <w:ilvl w:val="0"/>
          <w:numId w:val="0"/>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四、政策兑现要求</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）申报时，企业列入重庆市公共信用平台联合奖惩子系统“异常经营名录”、“黑名单”，未能真实、全面上报统计</w:t>
      </w:r>
      <w:r>
        <w:rPr>
          <w:rFonts w:hint="default" w:ascii="Times New Roman" w:hAnsi="Times New Roman" w:eastAsia="方正仿宋_GBK" w:cs="Times New Roman"/>
          <w:color w:val="auto"/>
          <w:sz w:val="32"/>
          <w:szCs w:val="32"/>
          <w:highlight w:val="none"/>
        </w:rPr>
        <w:t>数据的，发生重大质量、安全、环保等责任事故的，</w:t>
      </w:r>
      <w:r>
        <w:rPr>
          <w:rFonts w:hint="default" w:ascii="Times New Roman" w:hAnsi="Times New Roman" w:eastAsia="方正仿宋_GBK" w:cs="Times New Roman"/>
          <w:color w:val="auto"/>
          <w:sz w:val="32"/>
          <w:szCs w:val="32"/>
          <w:highlight w:val="none"/>
          <w:lang w:eastAsia="zh-CN"/>
        </w:rPr>
        <w:t>不予</w:t>
      </w:r>
      <w:r>
        <w:rPr>
          <w:rFonts w:hint="default" w:ascii="Times New Roman" w:hAnsi="Times New Roman" w:eastAsia="方正仿宋_GBK" w:cs="Times New Roman"/>
          <w:color w:val="auto"/>
          <w:sz w:val="32"/>
          <w:szCs w:val="32"/>
          <w:highlight w:val="none"/>
        </w:rPr>
        <w:t>享受</w:t>
      </w:r>
      <w:r>
        <w:rPr>
          <w:rFonts w:hint="default" w:ascii="Times New Roman" w:hAnsi="Times New Roman" w:eastAsia="方正仿宋_GBK" w:cs="Times New Roman"/>
          <w:color w:val="auto"/>
          <w:sz w:val="32"/>
          <w:szCs w:val="32"/>
          <w:highlight w:val="none"/>
          <w:lang w:eastAsia="zh-CN"/>
        </w:rPr>
        <w:t>当年</w:t>
      </w:r>
      <w:r>
        <w:rPr>
          <w:rFonts w:hint="default" w:ascii="Times New Roman" w:hAnsi="Times New Roman" w:eastAsia="方正仿宋_GBK" w:cs="Times New Roman"/>
          <w:color w:val="auto"/>
          <w:sz w:val="32"/>
          <w:szCs w:val="32"/>
          <w:highlight w:val="none"/>
        </w:rPr>
        <w:t>优惠政策。</w:t>
      </w:r>
    </w:p>
    <w:p>
      <w:pPr>
        <w:pStyle w:val="2"/>
        <w:keepNext w:val="0"/>
        <w:keepLines w:val="0"/>
        <w:pageBreakBefore w:val="0"/>
        <w:widowControl w:val="0"/>
        <w:kinsoku/>
        <w:wordWrap/>
        <w:overflowPunct/>
        <w:topLinePunct w:val="0"/>
        <w:autoSpaceDE/>
        <w:autoSpaceDN/>
        <w:bidi w:val="0"/>
        <w:adjustRightInd/>
        <w:snapToGrid/>
        <w:spacing w:line="594" w:lineRule="exact"/>
        <w:ind w:leftChars="0" w:righ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（二）本政策印发前退出规上限上统计但未享受升规升限同类政策支持的企业</w:t>
      </w:r>
      <w:r>
        <w:rPr>
          <w:rFonts w:hint="eastAsia" w:ascii="Times New Roman" w:hAnsi="Times New Roman" w:eastAsia="方正仿宋_GBK" w:cs="Times New Roman"/>
          <w:color w:val="auto"/>
          <w:kern w:val="2"/>
          <w:sz w:val="32"/>
          <w:szCs w:val="32"/>
          <w:lang w:val="en-US" w:eastAsia="zh-CN" w:bidi="ar-SA"/>
        </w:rPr>
        <w:t>（个体）</w:t>
      </w:r>
      <w:r>
        <w:rPr>
          <w:rFonts w:hint="default" w:ascii="Times New Roman" w:hAnsi="Times New Roman" w:eastAsia="方正仿宋_GBK" w:cs="Times New Roman"/>
          <w:color w:val="auto"/>
          <w:kern w:val="2"/>
          <w:sz w:val="32"/>
          <w:szCs w:val="32"/>
          <w:lang w:val="en-US" w:eastAsia="zh-CN" w:bidi="ar-SA"/>
        </w:rPr>
        <w:t>，自本政策印发之日起再次升规升限的，视为首次升规升限，纳入本政策扶持范围。</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本政策与原已出台政策不一致的，按本政策执行；未列入本政策的事项，按现行政策执行；</w:t>
      </w:r>
      <w:r>
        <w:rPr>
          <w:rFonts w:hint="default" w:ascii="Times New Roman" w:hAnsi="Times New Roman" w:eastAsia="方正仿宋_GBK" w:cs="Times New Roman"/>
          <w:color w:val="auto"/>
          <w:sz w:val="32"/>
          <w:szCs w:val="32"/>
          <w:highlight w:val="none"/>
        </w:rPr>
        <w:t>凡同一事项当年享受区级多项优惠政策的企业，</w:t>
      </w:r>
      <w:r>
        <w:rPr>
          <w:rFonts w:hint="default" w:ascii="Times New Roman" w:hAnsi="Times New Roman" w:eastAsia="方正仿宋_GBK" w:cs="Times New Roman"/>
          <w:color w:val="auto"/>
          <w:sz w:val="32"/>
          <w:szCs w:val="32"/>
        </w:rPr>
        <w:t>实行</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就高不重复</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bCs/>
          <w:color w:val="auto"/>
          <w:sz w:val="32"/>
          <w:szCs w:val="32"/>
          <w:lang w:eastAsia="zh-CN"/>
        </w:rPr>
        <w:t>五</w:t>
      </w:r>
      <w:r>
        <w:rPr>
          <w:rFonts w:hint="default" w:ascii="Times New Roman" w:hAnsi="Times New Roman" w:eastAsia="方正黑体_GBK" w:cs="Times New Roman"/>
          <w:bCs/>
          <w:color w:val="auto"/>
          <w:sz w:val="32"/>
          <w:szCs w:val="32"/>
        </w:rPr>
        <w:t>、健全保障机制</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rPr>
        <w:t>（一）明确责任。</w:t>
      </w:r>
      <w:r>
        <w:rPr>
          <w:rFonts w:hint="default" w:ascii="Times New Roman" w:hAnsi="Times New Roman" w:eastAsia="方正仿宋_GBK" w:cs="Times New Roman"/>
          <w:color w:val="auto"/>
          <w:sz w:val="32"/>
          <w:szCs w:val="32"/>
        </w:rPr>
        <w:t>相关部门和单位要牢固树立引导市场主体、依靠市场主体、服务市场主体的意识，各司其职</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各负其责。</w:t>
      </w:r>
      <w:r>
        <w:rPr>
          <w:rFonts w:hint="default" w:ascii="Times New Roman" w:hAnsi="Times New Roman" w:eastAsia="方正仿宋_GBK" w:cs="Times New Roman"/>
          <w:color w:val="auto"/>
          <w:sz w:val="32"/>
          <w:szCs w:val="32"/>
          <w:lang w:val="en-US" w:eastAsia="zh-CN"/>
        </w:rPr>
        <w:t>区财政局负责保障扶持政策经费，</w:t>
      </w:r>
      <w:r>
        <w:rPr>
          <w:rFonts w:hint="default" w:ascii="Times New Roman" w:hAnsi="Times New Roman" w:eastAsia="方正仿宋_GBK" w:cs="Times New Roman"/>
          <w:color w:val="auto"/>
          <w:sz w:val="32"/>
          <w:szCs w:val="32"/>
        </w:rPr>
        <w:t>区经济信息委负责落实</w:t>
      </w:r>
      <w:r>
        <w:rPr>
          <w:rFonts w:hint="default" w:ascii="Times New Roman" w:hAnsi="Times New Roman" w:eastAsia="方正仿宋_GBK" w:cs="Times New Roman"/>
          <w:color w:val="auto"/>
          <w:sz w:val="32"/>
          <w:szCs w:val="32"/>
          <w:lang w:eastAsia="zh-CN"/>
        </w:rPr>
        <w:t>规上工业企业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rPr>
        <w:t>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区发展改革委负责落实</w:t>
      </w:r>
      <w:r>
        <w:rPr>
          <w:rFonts w:hint="default" w:ascii="Times New Roman" w:hAnsi="Times New Roman" w:eastAsia="方正仿宋_GBK" w:cs="Times New Roman"/>
          <w:color w:val="auto"/>
          <w:sz w:val="32"/>
          <w:szCs w:val="32"/>
          <w:lang w:eastAsia="zh-CN"/>
        </w:rPr>
        <w:t>规上</w:t>
      </w:r>
      <w:r>
        <w:rPr>
          <w:rFonts w:hint="default" w:ascii="Times New Roman" w:hAnsi="Times New Roman" w:eastAsia="方正仿宋_GBK" w:cs="Times New Roman"/>
          <w:color w:val="auto"/>
          <w:sz w:val="32"/>
          <w:szCs w:val="32"/>
        </w:rPr>
        <w:t>服务业企业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rPr>
        <w:t>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区商务委负责落实限</w:t>
      </w:r>
      <w:r>
        <w:rPr>
          <w:rFonts w:hint="default" w:ascii="Times New Roman" w:hAnsi="Times New Roman" w:eastAsia="方正仿宋_GBK" w:cs="Times New Roman"/>
          <w:color w:val="auto"/>
          <w:sz w:val="32"/>
          <w:szCs w:val="32"/>
          <w:lang w:eastAsia="zh-CN"/>
        </w:rPr>
        <w:t>上</w:t>
      </w:r>
      <w:r>
        <w:rPr>
          <w:rFonts w:hint="default" w:ascii="Times New Roman" w:hAnsi="Times New Roman" w:eastAsia="方正仿宋_GBK" w:cs="Times New Roman"/>
          <w:color w:val="auto"/>
          <w:sz w:val="32"/>
          <w:szCs w:val="32"/>
        </w:rPr>
        <w:t>商贸企业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rPr>
        <w:t>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区统计局</w:t>
      </w:r>
      <w:r>
        <w:rPr>
          <w:rFonts w:hint="default" w:ascii="Times New Roman" w:hAnsi="Times New Roman" w:eastAsia="方正仿宋_GBK" w:cs="Times New Roman"/>
          <w:color w:val="auto"/>
          <w:sz w:val="32"/>
          <w:szCs w:val="32"/>
          <w:lang w:eastAsia="zh-CN"/>
        </w:rPr>
        <w:t>负责做好企业升规升限入库指导工作，</w:t>
      </w:r>
      <w:r>
        <w:rPr>
          <w:rFonts w:hint="default" w:ascii="Times New Roman" w:hAnsi="Times New Roman" w:eastAsia="方正仿宋_GBK" w:cs="Times New Roman"/>
          <w:color w:val="auto"/>
          <w:sz w:val="32"/>
          <w:szCs w:val="32"/>
        </w:rPr>
        <w:t>其他行业主管部门负责规上服务业企</w:t>
      </w:r>
      <w:r>
        <w:rPr>
          <w:rFonts w:hint="default" w:ascii="Times New Roman" w:hAnsi="Times New Roman" w:eastAsia="方正仿宋_GBK" w:cs="Times New Roman"/>
          <w:color w:val="auto"/>
          <w:sz w:val="32"/>
          <w:szCs w:val="32"/>
          <w:highlight w:val="none"/>
        </w:rPr>
        <w:t>业培育工作。</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bCs/>
          <w:color w:val="auto"/>
          <w:kern w:val="2"/>
          <w:sz w:val="32"/>
          <w:szCs w:val="20"/>
          <w:lang w:val="en-US" w:eastAsia="zh-CN" w:bidi="ar-SA"/>
        </w:rPr>
      </w:pPr>
      <w:r>
        <w:rPr>
          <w:rFonts w:hint="default" w:ascii="Times New Roman" w:hAnsi="Times New Roman" w:eastAsia="方正楷体_GBK" w:cs="Times New Roman"/>
          <w:color w:val="auto"/>
          <w:sz w:val="32"/>
          <w:szCs w:val="32"/>
        </w:rPr>
        <w:t>（二）加强督促检查。</w:t>
      </w:r>
      <w:r>
        <w:rPr>
          <w:rFonts w:hint="default" w:ascii="Times New Roman" w:hAnsi="Times New Roman" w:eastAsia="方正仿宋_GBK" w:cs="Times New Roman"/>
          <w:color w:val="auto"/>
          <w:sz w:val="32"/>
          <w:szCs w:val="32"/>
        </w:rPr>
        <w:t>相关部门和单位要健全并创新督办落实制度，建立政策落实评价体系。强化责任担当，</w:t>
      </w:r>
      <w:r>
        <w:rPr>
          <w:rFonts w:hint="default" w:ascii="Times New Roman" w:hAnsi="Times New Roman" w:eastAsia="方正仿宋_GBK" w:cs="Times New Roman"/>
          <w:bCs/>
          <w:color w:val="auto"/>
          <w:kern w:val="2"/>
          <w:sz w:val="32"/>
          <w:szCs w:val="20"/>
          <w:lang w:val="en-US" w:eastAsia="zh-CN" w:bidi="ar-SA"/>
        </w:rPr>
        <w:t>构建全区各级各部门关心市场主体、爱护市场主体、全心全意服务市场主体的良好工作格局。</w:t>
      </w:r>
    </w:p>
    <w:p>
      <w:pPr>
        <w:pStyle w:val="2"/>
        <w:keepNext w:val="0"/>
        <w:keepLines w:val="0"/>
        <w:pageBreakBefore w:val="0"/>
        <w:widowControl w:val="0"/>
        <w:kinsoku/>
        <w:wordWrap/>
        <w:topLinePunct w:val="0"/>
        <w:autoSpaceDE/>
        <w:autoSpaceDN/>
        <w:bidi w:val="0"/>
        <w:spacing w:line="594" w:lineRule="exact"/>
        <w:ind w:left="0" w:leftChars="0" w:firstLine="640" w:firstLineChars="200"/>
        <w:textAlignment w:val="auto"/>
        <w:rPr>
          <w:rFonts w:hint="default" w:ascii="Times New Roman" w:hAnsi="Times New Roman" w:eastAsia="方正仿宋_GBK" w:cs="Times New Roman"/>
          <w:bCs/>
          <w:color w:val="auto"/>
          <w:kern w:val="2"/>
          <w:sz w:val="32"/>
          <w:szCs w:val="20"/>
          <w:lang w:val="en-US" w:eastAsia="zh-CN" w:bidi="ar-SA"/>
        </w:rPr>
      </w:pPr>
      <w:r>
        <w:rPr>
          <w:rFonts w:hint="default" w:ascii="Times New Roman" w:hAnsi="Times New Roman" w:eastAsia="方正仿宋_GBK" w:cs="Times New Roman"/>
          <w:bCs/>
          <w:color w:val="auto"/>
          <w:kern w:val="2"/>
          <w:sz w:val="32"/>
          <w:szCs w:val="20"/>
          <w:lang w:val="en-US" w:eastAsia="zh-CN" w:bidi="ar-SA"/>
        </w:rPr>
        <w:t>本政策自202</w:t>
      </w:r>
      <w:r>
        <w:rPr>
          <w:rFonts w:hint="default" w:ascii="Times New Roman" w:hAnsi="Times New Roman" w:cs="Times New Roman"/>
          <w:bCs/>
          <w:color w:val="auto"/>
          <w:kern w:val="2"/>
          <w:sz w:val="32"/>
          <w:szCs w:val="20"/>
          <w:lang w:val="en-US" w:eastAsia="zh-CN" w:bidi="ar-SA"/>
        </w:rPr>
        <w:t>4</w:t>
      </w:r>
      <w:r>
        <w:rPr>
          <w:rFonts w:hint="default" w:ascii="Times New Roman" w:hAnsi="Times New Roman" w:eastAsia="方正仿宋_GBK" w:cs="Times New Roman"/>
          <w:bCs/>
          <w:color w:val="auto"/>
          <w:kern w:val="2"/>
          <w:sz w:val="32"/>
          <w:szCs w:val="20"/>
          <w:lang w:val="en-US" w:eastAsia="zh-CN" w:bidi="ar-SA"/>
        </w:rPr>
        <w:t>年</w:t>
      </w:r>
      <w:r>
        <w:rPr>
          <w:rFonts w:hint="eastAsia" w:ascii="Times New Roman" w:hAnsi="Times New Roman" w:cs="Times New Roman"/>
          <w:bCs/>
          <w:color w:val="auto"/>
          <w:kern w:val="2"/>
          <w:sz w:val="32"/>
          <w:szCs w:val="20"/>
          <w:lang w:val="en-US" w:eastAsia="zh-CN" w:bidi="ar-SA"/>
        </w:rPr>
        <w:t>6</w:t>
      </w:r>
      <w:r>
        <w:rPr>
          <w:rFonts w:hint="default" w:ascii="Times New Roman" w:hAnsi="Times New Roman" w:eastAsia="方正仿宋_GBK" w:cs="Times New Roman"/>
          <w:bCs/>
          <w:color w:val="auto"/>
          <w:kern w:val="2"/>
          <w:sz w:val="32"/>
          <w:szCs w:val="20"/>
          <w:lang w:val="en-US" w:eastAsia="zh-CN" w:bidi="ar-SA"/>
        </w:rPr>
        <w:t>月</w:t>
      </w:r>
      <w:r>
        <w:rPr>
          <w:rFonts w:hint="eastAsia" w:ascii="Times New Roman" w:hAnsi="Times New Roman" w:eastAsia="方正仿宋_GBK" w:cs="Times New Roman"/>
          <w:bCs/>
          <w:color w:val="auto"/>
          <w:kern w:val="2"/>
          <w:sz w:val="32"/>
          <w:szCs w:val="20"/>
          <w:lang w:val="en-US" w:eastAsia="zh-CN" w:bidi="ar-SA"/>
        </w:rPr>
        <w:t>21</w:t>
      </w:r>
      <w:r>
        <w:rPr>
          <w:rFonts w:hint="default" w:ascii="Times New Roman" w:hAnsi="Times New Roman" w:eastAsia="方正仿宋_GBK" w:cs="Times New Roman"/>
          <w:bCs/>
          <w:color w:val="auto"/>
          <w:kern w:val="2"/>
          <w:sz w:val="32"/>
          <w:szCs w:val="20"/>
          <w:lang w:val="en-US" w:eastAsia="zh-CN" w:bidi="ar-SA"/>
        </w:rPr>
        <w:t>日起施行，</w:t>
      </w:r>
      <w:r>
        <w:rPr>
          <w:rFonts w:hint="eastAsia" w:ascii="Times New Roman" w:hAnsi="Times New Roman" w:eastAsia="方正仿宋_GBK" w:cs="Times New Roman"/>
          <w:bCs/>
          <w:color w:val="auto"/>
          <w:kern w:val="2"/>
          <w:sz w:val="32"/>
          <w:szCs w:val="20"/>
          <w:lang w:val="en-US" w:eastAsia="zh-CN" w:bidi="ar-SA"/>
        </w:rPr>
        <w:t>原</w:t>
      </w:r>
      <w:r>
        <w:rPr>
          <w:rFonts w:hint="default" w:ascii="Times New Roman" w:hAnsi="Times New Roman" w:eastAsia="方正仿宋_GBK" w:cs="Times New Roman"/>
          <w:bCs/>
          <w:color w:val="auto"/>
          <w:kern w:val="2"/>
          <w:sz w:val="32"/>
          <w:szCs w:val="20"/>
          <w:lang w:val="en-US" w:eastAsia="zh-CN" w:bidi="ar-SA"/>
        </w:rPr>
        <w:t>《重庆市铜梁区扶持市场主体升规升限的政策措施》（铜发改委〔2020〕161号）同时废止。2022年1月1日至本办法施行之日期间</w:t>
      </w:r>
      <w:r>
        <w:rPr>
          <w:rFonts w:hint="eastAsia" w:ascii="Times New Roman" w:hAnsi="Times New Roman" w:eastAsia="方正仿宋_GBK" w:cs="Times New Roman"/>
          <w:bCs/>
          <w:color w:val="auto"/>
          <w:kern w:val="2"/>
          <w:sz w:val="32"/>
          <w:szCs w:val="20"/>
          <w:lang w:val="en-US" w:eastAsia="zh-CN" w:bidi="ar-SA"/>
        </w:rPr>
        <w:t>，</w:t>
      </w:r>
      <w:r>
        <w:rPr>
          <w:rFonts w:hint="default" w:ascii="Times New Roman" w:hAnsi="Times New Roman" w:eastAsia="方正仿宋_GBK" w:cs="Times New Roman"/>
          <w:bCs/>
          <w:color w:val="auto"/>
          <w:kern w:val="2"/>
          <w:sz w:val="32"/>
          <w:szCs w:val="20"/>
          <w:lang w:val="en-US" w:eastAsia="zh-CN" w:bidi="ar-SA"/>
        </w:rPr>
        <w:t>市场主体新升规升限扶持政策、企业统计人员</w:t>
      </w:r>
      <w:r>
        <w:rPr>
          <w:rFonts w:hint="eastAsia" w:ascii="Times New Roman" w:hAnsi="Times New Roman" w:eastAsia="方正仿宋_GBK" w:cs="Times New Roman"/>
          <w:bCs/>
          <w:color w:val="auto"/>
          <w:kern w:val="2"/>
          <w:sz w:val="32"/>
          <w:szCs w:val="20"/>
          <w:lang w:val="en-US" w:eastAsia="zh-CN" w:bidi="ar-SA"/>
        </w:rPr>
        <w:t>补助政策、</w:t>
      </w:r>
      <w:r>
        <w:rPr>
          <w:rFonts w:hint="default" w:ascii="Times New Roman" w:hAnsi="Times New Roman" w:eastAsia="方正仿宋_GBK" w:cs="Times New Roman"/>
          <w:color w:val="auto"/>
          <w:sz w:val="32"/>
          <w:szCs w:val="32"/>
          <w:highlight w:val="none"/>
          <w:lang w:val="en-US" w:eastAsia="zh-CN"/>
        </w:rPr>
        <w:t>镇（街道）培育规上限上企</w:t>
      </w:r>
      <w:r>
        <w:rPr>
          <w:rFonts w:hint="eastAsia" w:ascii="Times New Roman" w:hAnsi="Times New Roman" w:eastAsia="方正仿宋_GBK" w:cs="Times New Roman"/>
          <w:color w:val="auto"/>
          <w:sz w:val="32"/>
          <w:szCs w:val="32"/>
          <w:highlight w:val="none"/>
          <w:lang w:val="en-US" w:eastAsia="zh-CN"/>
        </w:rPr>
        <w:t>业</w:t>
      </w:r>
      <w:r>
        <w:rPr>
          <w:rFonts w:hint="default" w:ascii="Times New Roman" w:hAnsi="Times New Roman" w:eastAsia="方正仿宋_GBK" w:cs="Times New Roman"/>
          <w:color w:val="auto"/>
          <w:sz w:val="32"/>
          <w:szCs w:val="32"/>
          <w:highlight w:val="none"/>
          <w:lang w:val="en-US" w:eastAsia="zh-CN"/>
        </w:rPr>
        <w:t>工作经费</w:t>
      </w:r>
      <w:r>
        <w:rPr>
          <w:rFonts w:hint="default" w:ascii="Times New Roman" w:hAnsi="Times New Roman" w:eastAsia="方正仿宋_GBK" w:cs="Times New Roman"/>
          <w:bCs/>
          <w:color w:val="auto"/>
          <w:kern w:val="2"/>
          <w:sz w:val="32"/>
          <w:szCs w:val="20"/>
          <w:lang w:val="en-US" w:eastAsia="zh-CN" w:bidi="ar-SA"/>
        </w:rPr>
        <w:t>参照本政策执行。</w:t>
      </w:r>
    </w:p>
    <w:p>
      <w:pPr>
        <w:pStyle w:val="2"/>
        <w:keepNext w:val="0"/>
        <w:keepLines w:val="0"/>
        <w:pageBreakBefore w:val="0"/>
        <w:widowControl w:val="0"/>
        <w:kinsoku/>
        <w:wordWrap/>
        <w:topLinePunct w:val="0"/>
        <w:autoSpaceDE/>
        <w:autoSpaceDN/>
        <w:bidi w:val="0"/>
        <w:spacing w:line="594"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bCs/>
          <w:color w:val="auto"/>
          <w:kern w:val="2"/>
          <w:sz w:val="32"/>
          <w:szCs w:val="20"/>
          <w:lang w:val="en-US" w:eastAsia="zh-CN" w:bidi="ar-SA"/>
        </w:rPr>
        <w:t>本政策中工业企业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bCs/>
          <w:color w:val="auto"/>
          <w:kern w:val="2"/>
          <w:sz w:val="32"/>
          <w:szCs w:val="20"/>
          <w:lang w:val="en-US" w:eastAsia="zh-CN" w:bidi="ar-SA"/>
        </w:rPr>
        <w:t>政策由区经济信息委负责解释，商贸企业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bCs/>
          <w:color w:val="auto"/>
          <w:kern w:val="2"/>
          <w:sz w:val="32"/>
          <w:szCs w:val="20"/>
          <w:lang w:val="en-US" w:eastAsia="zh-CN" w:bidi="ar-SA"/>
        </w:rPr>
        <w:t>政策由区商务委负责解释，服务业企业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bCs/>
          <w:color w:val="auto"/>
          <w:kern w:val="2"/>
          <w:sz w:val="32"/>
          <w:szCs w:val="20"/>
          <w:lang w:val="en-US" w:eastAsia="zh-CN" w:bidi="ar-SA"/>
        </w:rPr>
        <w:t>政策由区发展改革委负责解释。</w:t>
      </w: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bookmarkStart w:id="0" w:name="_GoBack"/>
      <w:bookmarkEnd w:id="0"/>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altName w:val="文泉驿微米黑"/>
    <w:panose1 w:val="02010609030101010101"/>
    <w:charset w:val="86"/>
    <w:family w:val="modern"/>
    <w:pitch w:val="default"/>
    <w:sig w:usb0="00000000" w:usb1="00000000" w:usb2="00000000" w:usb3="00000000" w:csb0="00040000" w:csb1="00000000"/>
  </w:font>
  <w:font w:name="方正小标宋_GBK">
    <w:altName w:val="文泉驿微米黑"/>
    <w:panose1 w:val="03000509000000000000"/>
    <w:charset w:val="86"/>
    <w:family w:val="script"/>
    <w:pitch w:val="default"/>
    <w:sig w:usb0="00000000" w:usb1="00000000" w:usb2="00000000" w:usb3="00000000" w:csb0="00040000" w:csb1="00000000"/>
  </w:font>
  <w:font w:name="方正仿宋_GBK">
    <w:altName w:val="文泉驿微米黑"/>
    <w:panose1 w:val="03000509000000000000"/>
    <w:charset w:val="86"/>
    <w:family w:val="auto"/>
    <w:pitch w:val="default"/>
    <w:sig w:usb0="00000000" w:usb1="00000000" w:usb2="00000000" w:usb3="00000000" w:csb0="00040000" w:csb1="00000000"/>
  </w:font>
  <w:font w:name="方正黑体_GBK">
    <w:altName w:val="文泉驿微米黑"/>
    <w:panose1 w:val="03000509000000000000"/>
    <w:charset w:val="86"/>
    <w:family w:val="script"/>
    <w:pitch w:val="default"/>
    <w:sig w:usb0="00000000" w:usb1="00000000" w:usb2="00000000" w:usb3="00000000" w:csb0="00040000" w:csb1="00000000"/>
  </w:font>
  <w:font w:name="方正楷体_GBK">
    <w:altName w:val="文泉驿微米黑"/>
    <w:panose1 w:val="03000509000000000000"/>
    <w:charset w:val="86"/>
    <w:family w:val="auto"/>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CESI楷体-GB13000">
    <w:panose1 w:val="02000500000000000000"/>
    <w:charset w:val="86"/>
    <w:family w:val="auto"/>
    <w:pitch w:val="default"/>
    <w:sig w:usb0="800002BF" w:usb1="38CF7CF8" w:usb2="00000016" w:usb3="00000000" w:csb0="0004000F" w:csb1="00000000"/>
  </w:font>
  <w:font w:name="文泉驿等宽正黑">
    <w:panose1 w:val="02000603000000000000"/>
    <w:charset w:val="86"/>
    <w:family w:val="auto"/>
    <w:pitch w:val="default"/>
    <w:sig w:usb0="900002BF" w:usb1="2BDF7DFB" w:usb2="00000036" w:usb3="00000000" w:csb0="603E000D" w:csb1="D2D70000"/>
  </w:font>
  <w:font w:name="CESI宋体-GB13000">
    <w:panose1 w:val="02000500000000000000"/>
    <w:charset w:val="86"/>
    <w:family w:val="auto"/>
    <w:pitch w:val="default"/>
    <w:sig w:usb0="800002BF" w:usb1="18C77CF8" w:usb2="00000016" w:usb3="00000000" w:csb0="0004000F" w:csb1="00000000"/>
  </w:font>
  <w:font w:name="Noto Sans Bamum">
    <w:panose1 w:val="020B0502040504020204"/>
    <w:charset w:val="00"/>
    <w:family w:val="auto"/>
    <w:pitch w:val="default"/>
    <w:sig w:usb0="00000003" w:usb1="02000000" w:usb2="00000000" w:usb3="00000000" w:csb0="00000001" w:csb1="00000000"/>
  </w:font>
  <w:font w:name="Noto Sans CJK TC Regular">
    <w:panose1 w:val="020B0500000000000000"/>
    <w:charset w:val="88"/>
    <w:family w:val="auto"/>
    <w:pitch w:val="default"/>
    <w:sig w:usb0="30000003" w:usb1="2BDF3C10" w:usb2="00000016" w:usb3="00000000" w:csb0="603A0107" w:csb1="00000000"/>
  </w:font>
  <w:font w:name="Noto Sans Gurmukhi">
    <w:panose1 w:val="020B0502040504020204"/>
    <w:charset w:val="00"/>
    <w:family w:val="auto"/>
    <w:pitch w:val="default"/>
    <w:sig w:usb0="00020000" w:usb1="00000000" w:usb2="00000000" w:usb3="00000000" w:csb0="00000001" w:csb1="00000000"/>
  </w:font>
  <w:font w:name="Noto Sans Kaithi">
    <w:panose1 w:val="020B0502040504020204"/>
    <w:charset w:val="00"/>
    <w:family w:val="auto"/>
    <w:pitch w:val="default"/>
    <w:sig w:usb0="80008003" w:usb1="02002000" w:usb2="00000000" w:usb3="00000000" w:csb0="00000001" w:csb1="00000000"/>
  </w:font>
  <w:font w:name="Noto Sans Kharoshthi">
    <w:panose1 w:val="020B0502040504020204"/>
    <w:charset w:val="00"/>
    <w:family w:val="auto"/>
    <w:pitch w:val="default"/>
    <w:sig w:usb0="80000003" w:usb1="02002000" w:usb2="00000000" w:usb3="00001000" w:csb0="00000001" w:csb1="00000000"/>
  </w:font>
  <w:font w:name="CESI小标宋-GB13000">
    <w:panose1 w:val="02000500000000000000"/>
    <w:charset w:val="86"/>
    <w:family w:val="auto"/>
    <w:pitch w:val="default"/>
    <w:sig w:usb0="800002BF" w:usb1="18CF7CF8" w:usb2="00000016" w:usb3="00000000" w:csb0="0004000F"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33786"/>
    <w:multiLevelType w:val="singleLevel"/>
    <w:tmpl w:val="052337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YjY0MzZmOGY3NDUzMmNjNTk2NWFkNGMyZGE5MTMifQ=="/>
  </w:docVars>
  <w:rsids>
    <w:rsidRoot w:val="7E517661"/>
    <w:rsid w:val="1ABB2C3F"/>
    <w:rsid w:val="1FAD3499"/>
    <w:rsid w:val="2C8232D4"/>
    <w:rsid w:val="2D597621"/>
    <w:rsid w:val="2FD34B14"/>
    <w:rsid w:val="3B1E71D3"/>
    <w:rsid w:val="434D10C3"/>
    <w:rsid w:val="763F0F0C"/>
    <w:rsid w:val="7E517661"/>
    <w:rsid w:val="7FD9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Chars="100" w:rightChars="100"/>
    </w:pPr>
    <w:rPr>
      <w:rFonts w:ascii="Calibri" w:hAnsi="Calibri" w:eastAsia="宋体"/>
      <w:kern w:val="2"/>
      <w:sz w:val="21"/>
      <w:szCs w:val="24"/>
      <w:lang w:val="en-US" w:eastAsia="zh-CN" w:bidi="ar-SA"/>
    </w:rPr>
  </w:style>
  <w:style w:type="paragraph" w:styleId="3">
    <w:name w:val="Body Text First Indent"/>
    <w:basedOn w:val="2"/>
    <w:unhideWhenUsed/>
    <w:qFormat/>
    <w:uiPriority w:val="99"/>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1782</Words>
  <Characters>1848</Characters>
  <Lines>0</Lines>
  <Paragraphs>0</Paragraphs>
  <TotalTime>3</TotalTime>
  <ScaleCrop>false</ScaleCrop>
  <LinksUpToDate>false</LinksUpToDate>
  <CharactersWithSpaces>1912</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2024-06-18T16:39:00Z</dcterms:created>
  <dc:creator>废渡无人舟自横</dc:creator>
  <cp:lastModifiedBy>admin0001</cp:lastModifiedBy>
  <cp:lastPrinted>2024-06-19T11:43:00Z</cp:lastPrinted>
  <dcterms:modified xsi:type="dcterms:W3CDTF">2024-07-02T17:55:36Z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5FA365B0ABCF45749DBCDF9A3754700F_13</vt:lpwstr>
  </property>
</Properties>
</file>