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jc w:val="center"/>
        <w:textAlignment w:val="auto"/>
        <w:rPr>
          <w:sz w:val="31"/>
          <w:szCs w:val="3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铜发改委〔2023〕231号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jc w:val="center"/>
        <w:textAlignment w:val="auto"/>
        <w:rPr>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jc w:val="center"/>
        <w:textAlignment w:val="auto"/>
      </w:pPr>
      <w:bookmarkStart w:id="0" w:name="_GoBack"/>
      <w:r>
        <w:rPr>
          <w:rFonts w:ascii="方正小标宋_GBK" w:hAnsi="方正小标宋_GBK" w:eastAsia="方正小标宋_GBK" w:cs="方正小标宋_GBK"/>
          <w:i w:val="0"/>
          <w:caps w:val="0"/>
          <w:color w:val="000000"/>
          <w:spacing w:val="0"/>
          <w:sz w:val="44"/>
          <w:szCs w:val="44"/>
        </w:rPr>
        <w:t>重庆市铜梁区发展和改革委员会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jc w:val="center"/>
        <w:textAlignment w:val="auto"/>
      </w:pPr>
      <w:r>
        <w:rPr>
          <w:rFonts w:hint="eastAsia" w:ascii="方正小标宋_GBK" w:hAnsi="方正小标宋_GBK" w:eastAsia="方正小标宋_GBK" w:cs="方正小标宋_GBK"/>
          <w:i w:val="0"/>
          <w:caps w:val="0"/>
          <w:color w:val="000000"/>
          <w:spacing w:val="0"/>
          <w:sz w:val="44"/>
          <w:szCs w:val="44"/>
        </w:rPr>
        <w:t>关于转发《重庆市发展和改革委员会关于城镇路灯照明电价及有关事项的通知》的通知</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jc w:val="center"/>
        <w:textAlignment w:val="auto"/>
      </w:pPr>
      <w:r>
        <w:rPr>
          <w:rFonts w:ascii="sans-serif" w:hAnsi="sans-serif" w:eastAsia="sans-serif" w:cs="sans-serif"/>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jc w:val="left"/>
        <w:textAlignment w:val="auto"/>
      </w:pPr>
      <w:r>
        <w:rPr>
          <w:rFonts w:hint="eastAsia" w:ascii="方正仿宋_GBK" w:hAnsi="方正仿宋_GBK" w:eastAsia="方正仿宋_GBK" w:cs="方正仿宋_GBK"/>
          <w:i w:val="0"/>
          <w:caps w:val="0"/>
          <w:color w:val="000000"/>
          <w:spacing w:val="0"/>
          <w:sz w:val="32"/>
          <w:szCs w:val="32"/>
        </w:rPr>
        <w:t>国网重庆市电力公司铜梁供电分公司，各相关单位：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40"/>
        <w:jc w:val="left"/>
        <w:textAlignment w:val="auto"/>
      </w:pPr>
      <w:r>
        <w:rPr>
          <w:rFonts w:hint="eastAsia" w:ascii="方正仿宋_GBK" w:hAnsi="方正仿宋_GBK" w:eastAsia="方正仿宋_GBK" w:cs="方正仿宋_GBK"/>
          <w:i w:val="0"/>
          <w:caps w:val="0"/>
          <w:color w:val="000000"/>
          <w:spacing w:val="0"/>
          <w:sz w:val="32"/>
          <w:szCs w:val="32"/>
        </w:rPr>
        <w:t>现将市发展改革委《关于城镇路灯照明电价及有关事项的通知》转发给你单位，请严格遵照执行。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40"/>
        <w:jc w:val="left"/>
        <w:textAlignment w:val="auto"/>
      </w:pPr>
      <w:r>
        <w:rPr>
          <w:rFonts w:hint="eastAsia" w:ascii="方正仿宋_GBK" w:hAnsi="方正仿宋_GBK" w:eastAsia="方正仿宋_GBK" w:cs="方正仿宋_GBK"/>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1918" w:right="0" w:hanging="1280"/>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caps w:val="0"/>
          <w:color w:val="000000"/>
          <w:spacing w:val="0"/>
          <w:sz w:val="32"/>
          <w:szCs w:val="32"/>
        </w:rPr>
        <w:t>附件：《重庆市发展和改革委员会关于城镇路灯照明电价及有关事项的通知》（渝发改价格〔2023</w:t>
      </w:r>
      <w:r>
        <w:rPr>
          <w:rFonts w:hint="eastAsia" w:ascii="方正仿宋_GBK" w:hAnsi="方正仿宋_GBK" w:eastAsia="方正仿宋_GBK" w:cs="方正仿宋_GBK"/>
          <w:i w:val="0"/>
          <w:caps w:val="0"/>
          <w:color w:val="000000"/>
          <w:spacing w:val="0"/>
          <w:sz w:val="32"/>
          <w:szCs w:val="32"/>
        </w:rPr>
        <w:t>〕1164</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1918" w:right="0" w:hanging="1280"/>
        <w:textAlignment w:val="auto"/>
        <w:rPr>
          <w:rFonts w:hint="eastAsia" w:ascii="方正仿宋_GBK" w:hAnsi="方正仿宋_GBK" w:eastAsia="方正仿宋_GBK" w:cs="方正仿宋_GBK"/>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0"/>
        <w:jc w:val="right"/>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caps w:val="0"/>
          <w:color w:val="000000"/>
          <w:spacing w:val="0"/>
          <w:sz w:val="32"/>
          <w:szCs w:val="32"/>
        </w:rPr>
        <w:t>重庆市铜梁区发展和改革委员会 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0"/>
        <w:jc w:val="right"/>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年11</w:t>
      </w:r>
      <w:r>
        <w:rPr>
          <w:rFonts w:hint="eastAsia" w:ascii="方正仿宋_GBK" w:hAnsi="方正仿宋_GBK" w:eastAsia="方正仿宋_GBK" w:cs="方正仿宋_GBK"/>
          <w:i w:val="0"/>
          <w:caps w:val="0"/>
          <w:color w:val="000000"/>
          <w:spacing w:val="0"/>
          <w:sz w:val="32"/>
          <w:szCs w:val="32"/>
        </w:rPr>
        <w:t>月28</w:t>
      </w:r>
      <w:r>
        <w:rPr>
          <w:rFonts w:hint="eastAsia" w:ascii="方正仿宋_GBK" w:hAnsi="方正仿宋_GBK" w:eastAsia="方正仿宋_GBK" w:cs="方正仿宋_GBK"/>
          <w:i w:val="0"/>
          <w:caps w:val="0"/>
          <w:color w:val="000000"/>
          <w:spacing w:val="0"/>
          <w:sz w:val="32"/>
          <w:szCs w:val="32"/>
        </w:rPr>
        <w:t>日      </w:t>
      </w:r>
    </w:p>
    <w:p>
      <w:pPr>
        <w:pStyle w:val="2"/>
        <w:keepNext w:val="0"/>
        <w:keepLines w:val="0"/>
        <w:widowControl/>
        <w:suppressLineNumbers w:val="0"/>
        <w:spacing w:before="0" w:beforeAutospacing="0" w:after="0" w:afterAutospacing="0" w:line="594" w:lineRule="atLeast"/>
        <w:ind w:left="0" w:right="0" w:firstLine="420"/>
        <w:jc w:val="left"/>
      </w:pPr>
      <w:r>
        <w:rPr>
          <w:rFonts w:hint="eastAsia" w:ascii="方正仿宋_GBK" w:hAnsi="方正仿宋_GBK" w:eastAsia="方正仿宋_GBK" w:cs="方正仿宋_GBK"/>
          <w:i w:val="0"/>
          <w:caps w:val="0"/>
          <w:color w:val="000000"/>
          <w:spacing w:val="0"/>
          <w:sz w:val="32"/>
          <w:szCs w:val="32"/>
        </w:rPr>
        <w:t>​（此件公开发布）</w:t>
      </w:r>
    </w:p>
    <w:p>
      <w:pPr>
        <w:pStyle w:val="2"/>
        <w:keepNext w:val="0"/>
        <w:keepLines w:val="0"/>
        <w:widowControl/>
        <w:suppressLineNumbers w:val="0"/>
        <w:spacing w:before="0" w:beforeAutospacing="0" w:after="0" w:afterAutospacing="0" w:line="315" w:lineRule="atLeast"/>
        <w:ind w:left="0" w:right="0"/>
        <w:rPr>
          <w:sz w:val="32"/>
          <w:szCs w:val="32"/>
        </w:rPr>
      </w:pPr>
    </w:p>
    <w:p>
      <w:pPr>
        <w:pStyle w:val="2"/>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i w:val="0"/>
          <w:caps w:val="0"/>
          <w:color w:val="000000"/>
          <w:spacing w:val="0"/>
          <w:sz w:val="32"/>
          <w:szCs w:val="32"/>
        </w:rPr>
      </w:pPr>
    </w:p>
    <w:p>
      <w:pPr>
        <w:pStyle w:val="2"/>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i w:val="0"/>
          <w:caps w:val="0"/>
          <w:color w:val="000000"/>
          <w:spacing w:val="0"/>
          <w:sz w:val="32"/>
          <w:szCs w:val="32"/>
        </w:rPr>
      </w:pPr>
    </w:p>
    <w:p>
      <w:pPr>
        <w:pStyle w:val="2"/>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i w:val="0"/>
          <w:caps w:val="0"/>
          <w:color w:val="000000"/>
          <w:spacing w:val="0"/>
          <w:sz w:val="32"/>
          <w:szCs w:val="32"/>
        </w:rPr>
      </w:pPr>
    </w:p>
    <w:p>
      <w:pPr>
        <w:pStyle w:val="2"/>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i w:val="0"/>
          <w:caps w:val="0"/>
          <w:color w:val="000000"/>
          <w:spacing w:val="0"/>
          <w:sz w:val="32"/>
          <w:szCs w:val="32"/>
        </w:rPr>
      </w:pPr>
    </w:p>
    <w:p>
      <w:pPr>
        <w:pStyle w:val="2"/>
        <w:keepNext w:val="0"/>
        <w:keepLines w:val="0"/>
        <w:widowControl/>
        <w:suppressLineNumbers w:val="0"/>
        <w:spacing w:before="0" w:beforeAutospacing="0" w:after="0" w:afterAutospacing="0" w:line="315" w:lineRule="atLeast"/>
        <w:ind w:left="0" w:right="0"/>
        <w:rPr>
          <w:sz w:val="28"/>
          <w:szCs w:val="28"/>
        </w:rPr>
      </w:pPr>
      <w:r>
        <w:rPr>
          <w:rFonts w:hint="eastAsia" w:ascii="方正黑体_GBK" w:hAnsi="方正黑体_GBK" w:eastAsia="方正黑体_GBK" w:cs="方正黑体_GBK"/>
          <w:i w:val="0"/>
          <w:caps w:val="0"/>
          <w:color w:val="000000"/>
          <w:spacing w:val="0"/>
          <w:sz w:val="32"/>
          <w:szCs w:val="32"/>
        </w:rPr>
        <w:t>附件</w:t>
      </w:r>
    </w:p>
    <w:p>
      <w:pPr>
        <w:pStyle w:val="2"/>
        <w:keepNext w:val="0"/>
        <w:keepLines w:val="0"/>
        <w:widowControl/>
        <w:suppressLineNumbers w:val="0"/>
        <w:spacing w:before="0" w:beforeAutospacing="0" w:after="0" w:afterAutospacing="0" w:line="315" w:lineRule="atLeast"/>
        <w:ind w:left="0" w:right="0"/>
        <w:jc w:val="center"/>
        <w:rPr>
          <w:sz w:val="31"/>
          <w:szCs w:val="31"/>
        </w:rPr>
      </w:pPr>
      <w:r>
        <w:rPr>
          <w:rFonts w:hint="eastAsia" w:ascii="Times New Roman" w:hAnsi="Times New Roman" w:eastAsia="方正仿宋_GBK" w:cs="Times New Roman"/>
          <w:i w:val="0"/>
          <w:caps w:val="0"/>
          <w:color w:val="333333"/>
          <w:spacing w:val="0"/>
          <w:sz w:val="32"/>
          <w:szCs w:val="32"/>
          <w:shd w:val="clear" w:fill="FFFFFF"/>
          <w:lang w:eastAsia="zh-CN"/>
        </w:rPr>
        <w:t>渝发改价格</w:t>
      </w:r>
      <w:r>
        <w:rPr>
          <w:rFonts w:hint="eastAsia" w:ascii="Times New Roman" w:hAnsi="Times New Roman" w:eastAsia="方正仿宋_GBK" w:cs="Times New Roman"/>
          <w:i w:val="0"/>
          <w:caps w:val="0"/>
          <w:color w:val="333333"/>
          <w:spacing w:val="0"/>
          <w:sz w:val="32"/>
          <w:szCs w:val="32"/>
          <w:shd w:val="clear" w:fill="FFFFFF"/>
        </w:rPr>
        <w:t>〔</w:t>
      </w:r>
      <w:r>
        <w:rPr>
          <w:rFonts w:hint="eastAsia" w:ascii="方正仿宋_GBK" w:hAnsi="方正仿宋_GBK" w:eastAsia="方正仿宋_GBK" w:cs="方正仿宋_GBK"/>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lang w:val="en-US" w:eastAsia="zh-CN"/>
        </w:rPr>
        <w:t>1164</w:t>
      </w:r>
      <w:r>
        <w:rPr>
          <w:rFonts w:hint="eastAsia" w:ascii="方正仿宋_GBK" w:hAnsi="方正仿宋_GBK" w:eastAsia="方正仿宋_GBK" w:cs="方正仿宋_GBK"/>
          <w:i w:val="0"/>
          <w:caps w:val="0"/>
          <w:color w:val="000000"/>
          <w:spacing w:val="0"/>
          <w:sz w:val="31"/>
          <w:szCs w:val="31"/>
        </w:rPr>
        <w:t>号</w:t>
      </w:r>
    </w:p>
    <w:p>
      <w:pPr>
        <w:pStyle w:val="2"/>
        <w:keepNext w:val="0"/>
        <w:keepLines w:val="0"/>
        <w:widowControl/>
        <w:suppressLineNumbers w:val="0"/>
        <w:spacing w:before="0" w:beforeAutospacing="0" w:after="0" w:afterAutospacing="0" w:line="315" w:lineRule="atLeast"/>
        <w:ind w:left="0" w:right="0"/>
        <w:jc w:val="center"/>
        <w:rPr>
          <w:rFonts w:hint="eastAsia" w:eastAsiaTheme="minorEastAsia"/>
          <w:sz w:val="28"/>
          <w:szCs w:val="28"/>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94" w:lineRule="exact"/>
        <w:ind w:left="0" w:right="0"/>
        <w:jc w:val="center"/>
        <w:textAlignment w:val="auto"/>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重庆市发展和改革委员会关于城镇路灯照明电价及有关事项的通知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i w:val="0"/>
          <w:caps w:val="0"/>
          <w:color w:val="333333"/>
          <w:spacing w:val="0"/>
          <w:sz w:val="32"/>
          <w:szCs w:val="32"/>
          <w:shd w:val="clear" w:fill="FFFFFF"/>
        </w:rPr>
        <w:t>各</w:t>
      </w:r>
      <w:r>
        <w:rPr>
          <w:rFonts w:hint="default" w:ascii="Times New Roman" w:hAnsi="Times New Roman" w:eastAsia="方正仿宋_GBK" w:cs="Times New Roman"/>
          <w:i w:val="0"/>
          <w:caps w:val="0"/>
          <w:color w:val="333333"/>
          <w:spacing w:val="0"/>
          <w:sz w:val="32"/>
          <w:szCs w:val="32"/>
          <w:shd w:val="clear" w:fill="FFFFFF"/>
        </w:rPr>
        <w:t>区县（自治县）发展改革委，两江新区经济运行局、市场监管局，西部科学城重庆高新区改革发展局，万盛经开区发展改革局，国网重庆市电力公司、三峡水利电力公司，有关单位：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根据国家发展改革委规范用户用电价格类别的要求，经研究，自2024年1月1日起，城镇路灯照明用电执行工商业电价。为更好引导用户削峰填谷，进一步采取节能措施，10千伏及以上且受电变压器容量100kVA及以上的城镇路灯照明用电纳入《重庆市发展和改革委员会关于进一步完善我市分时电价机制有关事项的通知》（渝发改价格规〔2021〕14号）执行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                  </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重庆市发展和改革委员会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                  </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2023年9月19日</w:t>
      </w:r>
    </w:p>
    <w:p>
      <w:pPr>
        <w:pStyle w:val="2"/>
        <w:keepNext w:val="0"/>
        <w:keepLines w:val="0"/>
        <w:widowControl/>
        <w:suppressLineNumbers w:val="0"/>
        <w:spacing w:before="0" w:beforeAutospacing="0" w:after="0" w:afterAutospacing="0" w:line="440" w:lineRule="atLeast"/>
        <w:ind w:left="0" w:right="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626FF4"/>
    <w:rsid w:val="4A1947CF"/>
    <w:rsid w:val="79FFC955"/>
    <w:rsid w:val="7EFF8E8B"/>
    <w:rsid w:val="975FADB0"/>
    <w:rsid w:val="FDFD313F"/>
    <w:rsid w:val="FFEF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dcterms:modified xsi:type="dcterms:W3CDTF">2024-10-11T03:52:41Z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