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720" w:lineRule="atLeast"/>
        <w:ind w:left="0" w:right="0" w:firstLine="0"/>
        <w:jc w:val="center"/>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2"/>
          <w:szCs w:val="32"/>
        </w:rPr>
        <w:br w:type="textWrapping"/>
      </w:r>
      <w:r>
        <w:rPr>
          <w:rFonts w:hint="eastAsia" w:ascii="方正仿宋_GBK" w:hAnsi="方正仿宋_GBK" w:eastAsia="方正仿宋_GBK" w:cs="方正仿宋_GBK"/>
          <w:i w:val="0"/>
          <w:caps w:val="0"/>
          <w:color w:val="000000"/>
          <w:spacing w:val="0"/>
          <w:sz w:val="32"/>
          <w:szCs w:val="32"/>
        </w:rPr>
        <w:t>铜发改委〔</w:t>
      </w:r>
      <w:r>
        <w:rPr>
          <w:rFonts w:hint="default" w:ascii="sans-serif" w:hAnsi="sans-serif" w:eastAsia="sans-serif" w:cs="sans-serif"/>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w:t>
      </w:r>
      <w:r>
        <w:rPr>
          <w:rFonts w:hint="default" w:ascii="sans-serif" w:hAnsi="sans-serif" w:eastAsia="sans-serif" w:cs="sans-serif"/>
          <w:i w:val="0"/>
          <w:caps w:val="0"/>
          <w:color w:val="000000"/>
          <w:spacing w:val="0"/>
          <w:sz w:val="32"/>
          <w:szCs w:val="32"/>
        </w:rPr>
        <w:t>195</w:t>
      </w:r>
      <w:r>
        <w:rPr>
          <w:rFonts w:hint="eastAsia" w:ascii="方正仿宋_GBK" w:hAnsi="方正仿宋_GBK" w:eastAsia="方正仿宋_GBK" w:cs="方正仿宋_GBK"/>
          <w:i w:val="0"/>
          <w:caps w:val="0"/>
          <w:color w:val="000000"/>
          <w:spacing w:val="0"/>
          <w:sz w:val="32"/>
          <w:szCs w:val="32"/>
        </w:rPr>
        <w:t>号</w:t>
      </w:r>
    </w:p>
    <w:p>
      <w:pPr>
        <w:pStyle w:val="2"/>
        <w:keepNext w:val="0"/>
        <w:keepLines w:val="0"/>
        <w:widowControl/>
        <w:suppressLineNumbers w:val="0"/>
        <w:spacing w:before="0" w:beforeAutospacing="0" w:after="0" w:afterAutospacing="0" w:line="72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240" w:lineRule="auto"/>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重庆市铜梁区发展和改革委员会</w:t>
      </w:r>
    </w:p>
    <w:p>
      <w:pPr>
        <w:pStyle w:val="2"/>
        <w:keepNext w:val="0"/>
        <w:keepLines w:val="0"/>
        <w:widowControl/>
        <w:suppressLineNumbers w:val="0"/>
        <w:spacing w:before="0" w:beforeAutospacing="0" w:after="0" w:afterAutospacing="0" w:line="240" w:lineRule="auto"/>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重庆市铜梁区水利局</w:t>
      </w:r>
    </w:p>
    <w:p>
      <w:pPr>
        <w:pStyle w:val="2"/>
        <w:keepNext w:val="0"/>
        <w:keepLines w:val="0"/>
        <w:widowControl/>
        <w:suppressLineNumbers w:val="0"/>
        <w:spacing w:before="0" w:beforeAutospacing="0" w:after="0" w:afterAutospacing="0" w:line="594" w:lineRule="atLeast"/>
        <w:ind w:left="0" w:right="0" w:firstLine="0"/>
        <w:jc w:val="center"/>
        <w:textAlignment w:val="bottom"/>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4"/>
          <w:szCs w:val="44"/>
        </w:rPr>
        <w:t>关于调整铜梁区龙泽水务有限责任公司</w:t>
      </w:r>
    </w:p>
    <w:p>
      <w:pPr>
        <w:pStyle w:val="2"/>
        <w:keepNext w:val="0"/>
        <w:keepLines w:val="0"/>
        <w:widowControl/>
        <w:suppressLineNumbers w:val="0"/>
        <w:spacing w:before="0" w:beforeAutospacing="0" w:after="0" w:afterAutospacing="0" w:line="594" w:lineRule="atLeast"/>
        <w:ind w:left="0" w:right="0" w:firstLine="0"/>
        <w:jc w:val="center"/>
        <w:textAlignment w:val="bottom"/>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4"/>
          <w:szCs w:val="44"/>
        </w:rPr>
        <w:t>供区自来水价格的通知</w:t>
      </w:r>
    </w:p>
    <w:p>
      <w:pPr>
        <w:pStyle w:val="2"/>
        <w:keepNext w:val="0"/>
        <w:keepLines w:val="0"/>
        <w:widowControl/>
        <w:suppressLineNumbers w:val="0"/>
        <w:spacing w:before="0" w:beforeAutospacing="0" w:after="0" w:afterAutospacing="0" w:line="594" w:lineRule="atLeast"/>
        <w:ind w:left="0" w:right="0" w:firstLine="0"/>
        <w:jc w:val="center"/>
        <w:textAlignment w:val="bottom"/>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94" w:lineRule="atLeast"/>
        <w:ind w:left="0" w:right="0" w:firstLine="0"/>
        <w:jc w:val="left"/>
        <w:textAlignment w:val="bottom"/>
        <w:rPr>
          <w:rFonts w:hint="default" w:ascii="sans-serif" w:hAnsi="sans-serif" w:eastAsia="sans-serif" w:cs="sans-serif"/>
          <w:i w:val="0"/>
          <w:caps w:val="0"/>
          <w:color w:val="000000"/>
          <w:spacing w:val="0"/>
          <w:sz w:val="27"/>
          <w:szCs w:val="27"/>
        </w:rPr>
      </w:pPr>
      <w:r>
        <w:rPr>
          <w:rFonts w:ascii="仿宋_GB2312" w:hAnsi="sans-serif" w:eastAsia="仿宋_GB2312" w:cs="仿宋_GB2312"/>
          <w:i w:val="0"/>
          <w:caps w:val="0"/>
          <w:color w:val="000000"/>
          <w:spacing w:val="0"/>
          <w:sz w:val="32"/>
          <w:szCs w:val="32"/>
        </w:rPr>
        <w:t>重庆市铜梁区龙泽水务有限责任公司</w:t>
      </w:r>
      <w:r>
        <w:rPr>
          <w:rFonts w:hint="eastAsia" w:ascii="方正仿宋_GBK" w:hAnsi="方正仿宋_GBK" w:eastAsia="方正仿宋_GBK" w:cs="方正仿宋_GBK"/>
          <w:i w:val="0"/>
          <w:caps w:val="0"/>
          <w:color w:val="000000"/>
          <w:spacing w:val="0"/>
          <w:sz w:val="32"/>
          <w:szCs w:val="32"/>
        </w:rPr>
        <w:t>：</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为促进资源节约，发挥价格杠杆作用，保障铜梁区人民获得优质的自来水及供水服务，同时逐步完善自来水价格调整机制，构建服务规范的城市供水体系，确保供水事业良性发展。按照《中华人民共和国价格法》</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rPr>
        <w:t>政府制定价格行为规则</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rPr>
        <w:t>等法律法规和政策规定，经依法履行调定价程序，并报区政府同意，现将铜梁区龙泽水务有限责任公司（以下简称</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龙泽水务公司</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）供区自来水价格调整有关事项通知如下。</w:t>
      </w:r>
    </w:p>
    <w:p>
      <w:pPr>
        <w:pStyle w:val="2"/>
        <w:keepNext w:val="0"/>
        <w:keepLines w:val="0"/>
        <w:widowControl/>
        <w:suppressLineNumbers w:val="0"/>
        <w:spacing w:before="0" w:beforeAutospacing="0" w:after="0" w:afterAutospacing="0" w:line="594" w:lineRule="atLeast"/>
        <w:ind w:left="0" w:right="0" w:firstLine="627"/>
        <w:jc w:val="left"/>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6"/>
          <w:sz w:val="32"/>
          <w:szCs w:val="32"/>
        </w:rPr>
        <w:t>一、龙泽水务公司供区供水价格分类</w:t>
      </w:r>
    </w:p>
    <w:p>
      <w:pPr>
        <w:pStyle w:val="2"/>
        <w:keepNext w:val="0"/>
        <w:keepLines w:val="0"/>
        <w:widowControl/>
        <w:suppressLineNumbers w:val="0"/>
        <w:spacing w:before="0" w:beforeAutospacing="0" w:after="0" w:afterAutospacing="0" w:line="594" w:lineRule="atLeast"/>
        <w:ind w:left="0" w:right="0" w:firstLine="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32"/>
          <w:szCs w:val="32"/>
        </w:rPr>
        <w:t>    </w:t>
      </w:r>
      <w:r>
        <w:rPr>
          <w:rFonts w:hint="eastAsia" w:ascii="方正仿宋_GBK" w:hAnsi="方正仿宋_GBK" w:eastAsia="方正仿宋_GBK" w:cs="方正仿宋_GBK"/>
          <w:i w:val="0"/>
          <w:caps w:val="0"/>
          <w:color w:val="000000"/>
          <w:spacing w:val="0"/>
          <w:sz w:val="32"/>
          <w:szCs w:val="32"/>
        </w:rPr>
        <w:t>龙泽水务公司供区供水价格分类为：居民生活用水价格、非居民用水价格和特种用水价格。</w:t>
      </w:r>
    </w:p>
    <w:p>
      <w:pPr>
        <w:pStyle w:val="2"/>
        <w:keepNext w:val="0"/>
        <w:keepLines w:val="0"/>
        <w:widowControl/>
        <w:suppressLineNumbers w:val="0"/>
        <w:spacing w:before="0" w:beforeAutospacing="0" w:after="0" w:afterAutospacing="0" w:line="594" w:lineRule="atLeast"/>
        <w:ind w:left="0" w:right="0" w:firstLine="627"/>
        <w:jc w:val="left"/>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6"/>
          <w:sz w:val="32"/>
          <w:szCs w:val="32"/>
        </w:rPr>
        <w:t>二、龙泽水务公司供区自来水销售价格</w:t>
      </w:r>
    </w:p>
    <w:p>
      <w:pPr>
        <w:pStyle w:val="2"/>
        <w:keepNext w:val="0"/>
        <w:keepLines w:val="0"/>
        <w:widowControl/>
        <w:suppressLineNumbers w:val="0"/>
        <w:spacing w:before="0" w:beforeAutospacing="0" w:after="0" w:afterAutospacing="0" w:line="594" w:lineRule="atLeast"/>
        <w:ind w:left="0" w:right="0" w:firstLine="640"/>
        <w:jc w:val="left"/>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2"/>
          <w:szCs w:val="32"/>
        </w:rPr>
        <w:t>（一）居民生活用水</w:t>
      </w:r>
    </w:p>
    <w:p>
      <w:pPr>
        <w:pStyle w:val="2"/>
        <w:keepNext w:val="0"/>
        <w:keepLines w:val="0"/>
        <w:widowControl/>
        <w:suppressLineNumbers w:val="0"/>
        <w:spacing w:before="0" w:beforeAutospacing="0" w:after="0" w:afterAutospacing="0" w:line="594" w:lineRule="atLeast"/>
        <w:ind w:left="0" w:right="0" w:firstLine="64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居民生活用水上调</w:t>
      </w:r>
      <w:r>
        <w:rPr>
          <w:rFonts w:hint="default" w:ascii="sans-serif" w:hAnsi="sans-serif" w:eastAsia="sans-serif" w:cs="sans-serif"/>
          <w:i w:val="0"/>
          <w:caps w:val="0"/>
          <w:color w:val="000000"/>
          <w:spacing w:val="0"/>
          <w:sz w:val="32"/>
          <w:szCs w:val="32"/>
        </w:rPr>
        <w:t>0.50</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立方米，即第一阶梯由</w:t>
      </w:r>
      <w:r>
        <w:rPr>
          <w:rFonts w:hint="default" w:ascii="sans-serif" w:hAnsi="sans-serif" w:eastAsia="sans-serif" w:cs="sans-serif"/>
          <w:i w:val="0"/>
          <w:caps w:val="0"/>
          <w:color w:val="000000"/>
          <w:spacing w:val="0"/>
          <w:sz w:val="32"/>
          <w:szCs w:val="32"/>
        </w:rPr>
        <w:t>2.70</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立方米调整为</w:t>
      </w:r>
      <w:r>
        <w:rPr>
          <w:rFonts w:hint="default" w:ascii="sans-serif" w:hAnsi="sans-serif" w:eastAsia="sans-serif" w:cs="sans-serif"/>
          <w:i w:val="0"/>
          <w:caps w:val="0"/>
          <w:color w:val="000000"/>
          <w:spacing w:val="0"/>
          <w:sz w:val="32"/>
          <w:szCs w:val="32"/>
        </w:rPr>
        <w:t>3.20</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立方米；第二阶梯由</w:t>
      </w:r>
      <w:r>
        <w:rPr>
          <w:rFonts w:hint="default" w:ascii="sans-serif" w:hAnsi="sans-serif" w:eastAsia="sans-serif" w:cs="sans-serif"/>
          <w:i w:val="0"/>
          <w:caps w:val="0"/>
          <w:color w:val="000000"/>
          <w:spacing w:val="0"/>
          <w:sz w:val="32"/>
          <w:szCs w:val="32"/>
        </w:rPr>
        <w:t>3.24</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立方米调整为</w:t>
      </w:r>
      <w:r>
        <w:rPr>
          <w:rFonts w:hint="default" w:ascii="sans-serif" w:hAnsi="sans-serif" w:eastAsia="sans-serif" w:cs="sans-serif"/>
          <w:i w:val="0"/>
          <w:caps w:val="0"/>
          <w:color w:val="000000"/>
          <w:spacing w:val="0"/>
          <w:sz w:val="32"/>
          <w:szCs w:val="32"/>
        </w:rPr>
        <w:t>3.74</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立方米；第三阶梯由</w:t>
      </w:r>
      <w:r>
        <w:rPr>
          <w:rFonts w:hint="default" w:ascii="sans-serif" w:hAnsi="sans-serif" w:eastAsia="sans-serif" w:cs="sans-serif"/>
          <w:i w:val="0"/>
          <w:caps w:val="0"/>
          <w:color w:val="000000"/>
          <w:spacing w:val="0"/>
          <w:sz w:val="32"/>
          <w:szCs w:val="32"/>
        </w:rPr>
        <w:t>4.05</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立方米调整为</w:t>
      </w:r>
      <w:r>
        <w:rPr>
          <w:rFonts w:hint="default" w:ascii="sans-serif" w:hAnsi="sans-serif" w:eastAsia="sans-serif" w:cs="sans-serif"/>
          <w:i w:val="0"/>
          <w:caps w:val="0"/>
          <w:color w:val="000000"/>
          <w:spacing w:val="0"/>
          <w:sz w:val="32"/>
          <w:szCs w:val="32"/>
        </w:rPr>
        <w:t>4.55</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w:t>
      </w:r>
    </w:p>
    <w:p>
      <w:pPr>
        <w:pStyle w:val="2"/>
        <w:keepNext w:val="0"/>
        <w:keepLines w:val="0"/>
        <w:widowControl/>
        <w:suppressLineNumbers w:val="0"/>
        <w:spacing w:before="0" w:beforeAutospacing="0" w:after="0" w:afterAutospacing="0" w:line="594"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　　</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学校、养老福利机构、部队等执行居民用水价的非居民用户的水价由</w:t>
      </w:r>
      <w:r>
        <w:rPr>
          <w:rFonts w:hint="default" w:ascii="sans-serif" w:hAnsi="sans-serif" w:eastAsia="sans-serif" w:cs="sans-serif"/>
          <w:i w:val="0"/>
          <w:caps w:val="0"/>
          <w:color w:val="000000"/>
          <w:spacing w:val="0"/>
          <w:sz w:val="32"/>
          <w:szCs w:val="32"/>
        </w:rPr>
        <w:t>2.80</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立方米调整至</w:t>
      </w:r>
      <w:r>
        <w:rPr>
          <w:rFonts w:hint="default" w:ascii="sans-serif" w:hAnsi="sans-serif" w:eastAsia="sans-serif" w:cs="sans-serif"/>
          <w:i w:val="0"/>
          <w:caps w:val="0"/>
          <w:color w:val="000000"/>
          <w:spacing w:val="0"/>
          <w:sz w:val="32"/>
          <w:szCs w:val="32"/>
        </w:rPr>
        <w:t>3.30</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（二）非居民用户</w:t>
      </w:r>
    </w:p>
    <w:p>
      <w:pPr>
        <w:pStyle w:val="2"/>
        <w:keepNext w:val="0"/>
        <w:keepLines w:val="0"/>
        <w:widowControl/>
        <w:suppressLineNumbers w:val="0"/>
        <w:spacing w:before="0" w:beforeAutospacing="0" w:after="0" w:afterAutospacing="0" w:line="594" w:lineRule="atLeast"/>
        <w:ind w:left="0" w:right="0" w:firstLine="42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合并工业用水、建筑业及其它类用水类别为非居民用户类别。价格统一执行</w:t>
      </w:r>
      <w:r>
        <w:rPr>
          <w:rFonts w:hint="default" w:ascii="sans-serif" w:hAnsi="sans-serif" w:eastAsia="sans-serif" w:cs="sans-serif"/>
          <w:i w:val="0"/>
          <w:caps w:val="0"/>
          <w:color w:val="000000"/>
          <w:spacing w:val="0"/>
          <w:sz w:val="32"/>
          <w:szCs w:val="32"/>
        </w:rPr>
        <w:t>3.55</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立方米（现行类别中的工业用户执行非居民价格分两步走：此次调整</w:t>
      </w:r>
      <w:r>
        <w:rPr>
          <w:rFonts w:hint="default" w:ascii="sans-serif" w:hAnsi="sans-serif" w:eastAsia="sans-serif" w:cs="sans-serif"/>
          <w:i w:val="0"/>
          <w:caps w:val="0"/>
          <w:color w:val="000000"/>
          <w:spacing w:val="0"/>
          <w:sz w:val="32"/>
          <w:szCs w:val="32"/>
        </w:rPr>
        <w:t>0.5</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立方米，即由</w:t>
      </w:r>
      <w:r>
        <w:rPr>
          <w:rFonts w:hint="default" w:ascii="sans-serif" w:hAnsi="sans-serif" w:eastAsia="sans-serif" w:cs="sans-serif"/>
          <w:i w:val="0"/>
          <w:caps w:val="0"/>
          <w:color w:val="000000"/>
          <w:spacing w:val="0"/>
          <w:sz w:val="32"/>
          <w:szCs w:val="32"/>
        </w:rPr>
        <w:t>2.73</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立方米调整为</w:t>
      </w:r>
      <w:r>
        <w:rPr>
          <w:rFonts w:hint="default" w:ascii="sans-serif" w:hAnsi="sans-serif" w:eastAsia="sans-serif" w:cs="sans-serif"/>
          <w:i w:val="0"/>
          <w:caps w:val="0"/>
          <w:color w:val="000000"/>
          <w:spacing w:val="0"/>
          <w:sz w:val="32"/>
          <w:szCs w:val="32"/>
        </w:rPr>
        <w:t>3.23</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立方米；未调足部分</w:t>
      </w:r>
      <w:r>
        <w:rPr>
          <w:rFonts w:hint="default" w:ascii="sans-serif" w:hAnsi="sans-serif" w:eastAsia="sans-serif" w:cs="sans-serif"/>
          <w:i w:val="0"/>
          <w:caps w:val="0"/>
          <w:color w:val="000000"/>
          <w:spacing w:val="0"/>
          <w:sz w:val="32"/>
          <w:szCs w:val="32"/>
        </w:rPr>
        <w:t>0.32</w:t>
      </w:r>
      <w:r>
        <w:rPr>
          <w:rFonts w:hint="eastAsia" w:ascii="方正仿宋_GBK" w:hAnsi="方正仿宋_GBK" w:eastAsia="方正仿宋_GBK" w:cs="方正仿宋_GBK"/>
          <w:i w:val="0"/>
          <w:caps w:val="0"/>
          <w:color w:val="000000"/>
          <w:spacing w:val="0"/>
          <w:sz w:val="32"/>
          <w:szCs w:val="32"/>
        </w:rPr>
        <w:t>元两年后调整到位，即：</w:t>
      </w:r>
      <w:r>
        <w:rPr>
          <w:rFonts w:hint="default" w:ascii="sans-serif" w:hAnsi="sans-serif" w:eastAsia="sans-serif" w:cs="sans-serif"/>
          <w:i w:val="0"/>
          <w:caps w:val="0"/>
          <w:color w:val="000000"/>
          <w:spacing w:val="0"/>
          <w:sz w:val="32"/>
          <w:szCs w:val="32"/>
        </w:rPr>
        <w:t>2025</w:t>
      </w:r>
      <w:r>
        <w:rPr>
          <w:rFonts w:hint="eastAsia" w:ascii="方正仿宋_GBK" w:hAnsi="方正仿宋_GBK" w:eastAsia="方正仿宋_GBK" w:cs="方正仿宋_GBK"/>
          <w:i w:val="0"/>
          <w:caps w:val="0"/>
          <w:color w:val="000000"/>
          <w:spacing w:val="0"/>
          <w:sz w:val="32"/>
          <w:szCs w:val="32"/>
        </w:rPr>
        <w:t>年</w:t>
      </w:r>
      <w:r>
        <w:rPr>
          <w:rFonts w:hint="default" w:ascii="sans-serif" w:hAnsi="sans-serif" w:eastAsia="sans-serif" w:cs="sans-serif"/>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日工业用户执行至非居民用户价格</w:t>
      </w:r>
      <w:r>
        <w:rPr>
          <w:rFonts w:hint="default" w:ascii="sans-serif" w:hAnsi="sans-serif" w:eastAsia="sans-serif" w:cs="sans-serif"/>
          <w:i w:val="0"/>
          <w:caps w:val="0"/>
          <w:color w:val="000000"/>
          <w:spacing w:val="0"/>
          <w:sz w:val="32"/>
          <w:szCs w:val="32"/>
        </w:rPr>
        <w:t>3.55</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w:t>
      </w:r>
    </w:p>
    <w:p>
      <w:pPr>
        <w:pStyle w:val="2"/>
        <w:keepNext w:val="0"/>
        <w:keepLines w:val="0"/>
        <w:widowControl/>
        <w:suppressLineNumbers w:val="0"/>
        <w:spacing w:before="0" w:beforeAutospacing="0" w:after="0" w:afterAutospacing="0" w:line="594" w:lineRule="atLeast"/>
        <w:ind w:left="640" w:right="0" w:firstLine="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（三）特种用户</w:t>
      </w:r>
    </w:p>
    <w:p>
      <w:pPr>
        <w:pStyle w:val="2"/>
        <w:keepNext w:val="0"/>
        <w:keepLines w:val="0"/>
        <w:widowControl/>
        <w:suppressLineNumbers w:val="0"/>
        <w:spacing w:before="0" w:beforeAutospacing="0" w:after="0" w:afterAutospacing="0" w:line="594" w:lineRule="atLeast"/>
        <w:ind w:left="0" w:right="0" w:firstLine="42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设立特种用水价格。对龙泽水务公司供区洗车、洗浴（含浴足）实行特种用水价格。水价执行</w:t>
      </w:r>
      <w:r>
        <w:rPr>
          <w:rFonts w:hint="default" w:ascii="sans-serif" w:hAnsi="sans-serif" w:eastAsia="sans-serif" w:cs="sans-serif"/>
          <w:i w:val="0"/>
          <w:caps w:val="0"/>
          <w:color w:val="000000"/>
          <w:spacing w:val="0"/>
          <w:sz w:val="32"/>
          <w:szCs w:val="32"/>
        </w:rPr>
        <w:t>6.50</w:t>
      </w:r>
      <w:r>
        <w:rPr>
          <w:rFonts w:hint="eastAsia" w:ascii="方正仿宋_GBK" w:hAnsi="方正仿宋_GBK" w:eastAsia="方正仿宋_GBK" w:cs="方正仿宋_GBK"/>
          <w:i w:val="0"/>
          <w:caps w:val="0"/>
          <w:color w:val="000000"/>
          <w:spacing w:val="0"/>
          <w:sz w:val="32"/>
          <w:szCs w:val="32"/>
        </w:rPr>
        <w:t>元</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立方米。</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ascii="黑体" w:hAnsi="宋体" w:eastAsia="黑体" w:cs="黑体"/>
          <w:i w:val="0"/>
          <w:caps w:val="0"/>
          <w:color w:val="000000"/>
          <w:spacing w:val="0"/>
          <w:sz w:val="32"/>
          <w:szCs w:val="32"/>
        </w:rPr>
        <w:t>三、</w:t>
      </w:r>
      <w:r>
        <w:rPr>
          <w:rFonts w:hint="eastAsia" w:ascii="方正黑体_GBK" w:hAnsi="方正黑体_GBK" w:eastAsia="方正黑体_GBK" w:cs="方正黑体_GBK"/>
          <w:i w:val="0"/>
          <w:caps w:val="0"/>
          <w:color w:val="000000"/>
          <w:spacing w:val="0"/>
          <w:sz w:val="32"/>
          <w:szCs w:val="32"/>
        </w:rPr>
        <w:t>特殊困难群体生活用水价格</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我区特殊困难群体家庭生活用水价格按照居民生活用水第一阶梯价格执行。</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黑体" w:hAnsi="宋体" w:eastAsia="黑体" w:cs="黑体"/>
          <w:i w:val="0"/>
          <w:caps w:val="0"/>
          <w:color w:val="000000"/>
          <w:spacing w:val="0"/>
          <w:sz w:val="32"/>
          <w:szCs w:val="32"/>
        </w:rPr>
        <w:t>四、相关要求</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（一）水价调整涉及面广，影响较大，供水企业要做好政策宣传工作，加强成本管理，挖潜增效，提高供水服务质量，严格执行各分类水价政策。</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（二）区发展改革委将会同区水利局、区市场监管局加强价格监督检查，促进供水企业加强价格自律，维护市场正常价格秩序。</w:t>
      </w:r>
    </w:p>
    <w:p>
      <w:pPr>
        <w:pStyle w:val="2"/>
        <w:keepNext w:val="0"/>
        <w:keepLines w:val="0"/>
        <w:widowControl/>
        <w:suppressLineNumbers w:val="0"/>
        <w:spacing w:before="0" w:beforeAutospacing="0" w:after="0" w:afterAutospacing="0" w:line="594" w:lineRule="atLeast"/>
        <w:ind w:left="0" w:right="0" w:firstLine="627"/>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6"/>
          <w:sz w:val="32"/>
          <w:szCs w:val="32"/>
        </w:rPr>
        <w:t>五、执行时间</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6"/>
          <w:sz w:val="32"/>
          <w:szCs w:val="32"/>
        </w:rPr>
        <w:t>本通知自</w:t>
      </w:r>
      <w:r>
        <w:rPr>
          <w:rFonts w:hint="default" w:ascii="sans-serif" w:hAnsi="sans-serif" w:eastAsia="sans-serif" w:cs="sans-serif"/>
          <w:i w:val="0"/>
          <w:caps w:val="0"/>
          <w:color w:val="000000"/>
          <w:spacing w:val="6"/>
          <w:sz w:val="32"/>
          <w:szCs w:val="32"/>
        </w:rPr>
        <w:t>2023</w:t>
      </w:r>
      <w:r>
        <w:rPr>
          <w:rFonts w:hint="eastAsia" w:ascii="方正仿宋_GBK" w:hAnsi="方正仿宋_GBK" w:eastAsia="方正仿宋_GBK" w:cs="方正仿宋_GBK"/>
          <w:i w:val="0"/>
          <w:caps w:val="0"/>
          <w:color w:val="000000"/>
          <w:spacing w:val="6"/>
          <w:sz w:val="32"/>
          <w:szCs w:val="32"/>
        </w:rPr>
        <w:t>年</w:t>
      </w:r>
      <w:r>
        <w:rPr>
          <w:rFonts w:hint="default" w:ascii="sans-serif" w:hAnsi="sans-serif" w:eastAsia="sans-serif" w:cs="sans-serif"/>
          <w:i w:val="0"/>
          <w:caps w:val="0"/>
          <w:color w:val="000000"/>
          <w:spacing w:val="6"/>
          <w:sz w:val="32"/>
          <w:szCs w:val="32"/>
        </w:rPr>
        <w:t>9</w:t>
      </w:r>
      <w:r>
        <w:rPr>
          <w:rFonts w:hint="eastAsia" w:ascii="方正仿宋_GBK" w:hAnsi="方正仿宋_GBK" w:eastAsia="方正仿宋_GBK" w:cs="方正仿宋_GBK"/>
          <w:i w:val="0"/>
          <w:caps w:val="0"/>
          <w:color w:val="000000"/>
          <w:spacing w:val="6"/>
          <w:sz w:val="32"/>
          <w:szCs w:val="32"/>
        </w:rPr>
        <w:t>月用水量执行。原《重庆市铜梁区发展和改革委员会关于调整城区自来水销售价格的通知》（铜发改委〔</w:t>
      </w:r>
      <w:r>
        <w:rPr>
          <w:rFonts w:hint="default" w:ascii="sans-serif" w:hAnsi="sans-serif" w:eastAsia="sans-serif" w:cs="sans-serif"/>
          <w:i w:val="0"/>
          <w:caps w:val="0"/>
          <w:color w:val="000000"/>
          <w:spacing w:val="6"/>
          <w:sz w:val="32"/>
          <w:szCs w:val="32"/>
        </w:rPr>
        <w:t>2015</w:t>
      </w:r>
      <w:r>
        <w:rPr>
          <w:rFonts w:hint="eastAsia" w:ascii="方正仿宋_GBK" w:hAnsi="方正仿宋_GBK" w:eastAsia="方正仿宋_GBK" w:cs="方正仿宋_GBK"/>
          <w:i w:val="0"/>
          <w:caps w:val="0"/>
          <w:color w:val="000000"/>
          <w:spacing w:val="6"/>
          <w:sz w:val="32"/>
          <w:szCs w:val="32"/>
        </w:rPr>
        <w:t>〕</w:t>
      </w:r>
      <w:r>
        <w:rPr>
          <w:rFonts w:hint="default" w:ascii="sans-serif" w:hAnsi="sans-serif" w:eastAsia="sans-serif" w:cs="sans-serif"/>
          <w:i w:val="0"/>
          <w:caps w:val="0"/>
          <w:color w:val="000000"/>
          <w:spacing w:val="6"/>
          <w:sz w:val="32"/>
          <w:szCs w:val="32"/>
        </w:rPr>
        <w:t>719</w:t>
      </w:r>
      <w:r>
        <w:rPr>
          <w:rFonts w:hint="eastAsia" w:ascii="方正仿宋_GBK" w:hAnsi="方正仿宋_GBK" w:eastAsia="方正仿宋_GBK" w:cs="方正仿宋_GBK"/>
          <w:i w:val="0"/>
          <w:caps w:val="0"/>
          <w:color w:val="000000"/>
          <w:spacing w:val="6"/>
          <w:sz w:val="32"/>
          <w:szCs w:val="32"/>
        </w:rPr>
        <w:t>号）和《重庆市铜梁区发展和改革委员会关于建立城区居民用水阶梯价格制度的通知》（铜发改委〔</w:t>
      </w:r>
      <w:r>
        <w:rPr>
          <w:rFonts w:hint="default" w:ascii="sans-serif" w:hAnsi="sans-serif" w:eastAsia="sans-serif" w:cs="sans-serif"/>
          <w:i w:val="0"/>
          <w:caps w:val="0"/>
          <w:color w:val="000000"/>
          <w:spacing w:val="6"/>
          <w:sz w:val="32"/>
          <w:szCs w:val="32"/>
        </w:rPr>
        <w:t>2016</w:t>
      </w:r>
      <w:r>
        <w:rPr>
          <w:rFonts w:hint="eastAsia" w:ascii="方正仿宋_GBK" w:hAnsi="方正仿宋_GBK" w:eastAsia="方正仿宋_GBK" w:cs="方正仿宋_GBK"/>
          <w:i w:val="0"/>
          <w:caps w:val="0"/>
          <w:color w:val="000000"/>
          <w:spacing w:val="6"/>
          <w:sz w:val="32"/>
          <w:szCs w:val="32"/>
        </w:rPr>
        <w:t>〕</w:t>
      </w:r>
      <w:r>
        <w:rPr>
          <w:rFonts w:hint="default" w:ascii="sans-serif" w:hAnsi="sans-serif" w:eastAsia="sans-serif" w:cs="sans-serif"/>
          <w:i w:val="0"/>
          <w:caps w:val="0"/>
          <w:color w:val="000000"/>
          <w:spacing w:val="6"/>
          <w:sz w:val="32"/>
          <w:szCs w:val="32"/>
        </w:rPr>
        <w:t>142</w:t>
      </w:r>
      <w:r>
        <w:rPr>
          <w:rFonts w:hint="eastAsia" w:ascii="方正仿宋_GBK" w:hAnsi="方正仿宋_GBK" w:eastAsia="方正仿宋_GBK" w:cs="方正仿宋_GBK"/>
          <w:i w:val="0"/>
          <w:caps w:val="0"/>
          <w:color w:val="000000"/>
          <w:spacing w:val="6"/>
          <w:sz w:val="32"/>
          <w:szCs w:val="32"/>
        </w:rPr>
        <w:t>号）与本通知不相符的以本通知为准。</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6"/>
          <w:sz w:val="32"/>
          <w:szCs w:val="32"/>
        </w:rPr>
        <w:t>​</w:t>
      </w:r>
    </w:p>
    <w:p>
      <w:pPr>
        <w:pStyle w:val="2"/>
        <w:keepNext w:val="0"/>
        <w:keepLines w:val="0"/>
        <w:widowControl/>
        <w:suppressLineNumbers w:val="0"/>
        <w:spacing w:before="0" w:beforeAutospacing="0" w:after="0" w:afterAutospacing="0" w:line="594" w:lineRule="atLeast"/>
        <w:ind w:left="0" w:right="0" w:firstLine="0"/>
        <w:jc w:val="center"/>
        <w:textAlignment w:val="bottom"/>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重庆市铜梁区发展和改革委员会  重庆市铜梁区水利局</w:t>
      </w:r>
    </w:p>
    <w:p>
      <w:pPr>
        <w:pStyle w:val="2"/>
        <w:keepNext w:val="0"/>
        <w:keepLines w:val="0"/>
        <w:widowControl/>
        <w:suppressLineNumbers w:val="0"/>
        <w:spacing w:before="0" w:beforeAutospacing="0" w:after="0" w:afterAutospacing="0" w:line="594" w:lineRule="atLeast"/>
        <w:ind w:left="0" w:right="0" w:firstLine="0"/>
        <w:jc w:val="center"/>
        <w:textAlignment w:val="bottom"/>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                           </w:t>
      </w:r>
      <w:r>
        <w:rPr>
          <w:rFonts w:hint="default" w:ascii="sans-serif" w:hAnsi="sans-serif" w:eastAsia="sans-serif" w:cs="sans-serif"/>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年</w:t>
      </w:r>
      <w:r>
        <w:rPr>
          <w:rFonts w:hint="default" w:ascii="sans-serif" w:hAnsi="sans-serif" w:eastAsia="sans-serif" w:cs="sans-serif"/>
          <w:i w:val="0"/>
          <w:caps w:val="0"/>
          <w:color w:val="000000"/>
          <w:spacing w:val="0"/>
          <w:sz w:val="32"/>
          <w:szCs w:val="32"/>
        </w:rPr>
        <w:t>9</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20</w:t>
      </w:r>
      <w:r>
        <w:rPr>
          <w:rFonts w:hint="eastAsia" w:ascii="方正仿宋_GBK" w:hAnsi="方正仿宋_GBK" w:eastAsia="方正仿宋_GBK" w:cs="方正仿宋_GBK"/>
          <w:i w:val="0"/>
          <w:caps w:val="0"/>
          <w:color w:val="000000"/>
          <w:spacing w:val="0"/>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9FFC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tlww</cp:lastModifiedBy>
  <dcterms:modified xsi:type="dcterms:W3CDTF">2023-12-04T15:32:12Z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