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center"/>
        <w:rPr>
          <w:sz w:val="31"/>
          <w:szCs w:val="31"/>
        </w:rPr>
      </w:pPr>
      <w:r>
        <w:rPr>
          <w:rFonts w:ascii="方正仿宋_GBK" w:hAnsi="方正仿宋_GBK" w:eastAsia="方正仿宋_GBK" w:cs="方正仿宋_GBK"/>
          <w:sz w:val="31"/>
          <w:szCs w:val="31"/>
        </w:rPr>
        <w:t>铜发改委〔2023〕128号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firstLine="420"/>
        <w:rPr>
          <w:sz w:val="31"/>
          <w:szCs w:val="31"/>
        </w:rPr>
      </w:pPr>
      <w:r>
        <w:rPr>
          <w:rFonts w:hint="eastAsia" w:ascii="方正仿宋_GBK" w:hAnsi="方正仿宋_GBK" w:eastAsia="方正仿宋_GBK" w:cs="方正仿宋_GBK"/>
          <w:sz w:val="31"/>
          <w:szCs w:val="3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重庆市铜梁区发展和改革委员会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关于转发《重庆市发展和改革委员会关于第三监管周期重庆电网输配电价及有关事项的通知》的通知</w:t>
      </w:r>
    </w:p>
    <w:bookmarkEnd w:id="0"/>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center"/>
        <w:rPr>
          <w:sz w:val="31"/>
          <w:szCs w:val="31"/>
        </w:rPr>
      </w:pPr>
      <w:r>
        <w:rPr>
          <w:rFonts w:hint="eastAsia" w:ascii="方正仿宋_GBK" w:hAnsi="方正仿宋_GBK" w:eastAsia="方正仿宋_GBK" w:cs="方正仿宋_GBK"/>
          <w:sz w:val="31"/>
          <w:szCs w:val="3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left"/>
        <w:rPr>
          <w:sz w:val="31"/>
          <w:szCs w:val="31"/>
        </w:rPr>
      </w:pPr>
      <w:r>
        <w:rPr>
          <w:rFonts w:hint="eastAsia" w:ascii="方正仿宋_GBK" w:hAnsi="方正仿宋_GBK" w:eastAsia="方正仿宋_GBK" w:cs="方正仿宋_GBK"/>
          <w:sz w:val="31"/>
          <w:szCs w:val="31"/>
        </w:rPr>
        <w:t xml:space="preserve">国网重庆市电力公司铜梁供电分公司，各相关单位：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firstLine="640"/>
        <w:jc w:val="left"/>
        <w:rPr>
          <w:sz w:val="31"/>
          <w:szCs w:val="31"/>
        </w:rPr>
      </w:pPr>
      <w:r>
        <w:rPr>
          <w:rFonts w:hint="eastAsia" w:ascii="方正仿宋_GBK" w:hAnsi="方正仿宋_GBK" w:eastAsia="方正仿宋_GBK" w:cs="方正仿宋_GBK"/>
          <w:sz w:val="31"/>
          <w:szCs w:val="31"/>
        </w:rPr>
        <w:t>现将市发展改革委《关于第三监管周期重庆电网输配电价及有关事项的通知》转发给你单位，请严格遵照执行。</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rPr>
          <w:sz w:val="31"/>
          <w:szCs w:val="31"/>
        </w:rPr>
      </w:pPr>
      <w:r>
        <w:rPr>
          <w:rFonts w:hint="eastAsia" w:ascii="方正仿宋_GBK" w:hAnsi="方正仿宋_GBK" w:eastAsia="方正仿宋_GBK" w:cs="方正仿宋_GBK"/>
          <w:sz w:val="31"/>
          <w:szCs w:val="31"/>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1918" w:hanging="1280"/>
        <w:rPr>
          <w:sz w:val="31"/>
          <w:szCs w:val="31"/>
        </w:rPr>
      </w:pPr>
      <w:r>
        <w:rPr>
          <w:rFonts w:hint="eastAsia" w:ascii="方正仿宋_GBK" w:hAnsi="方正仿宋_GBK" w:eastAsia="方正仿宋_GBK" w:cs="方正仿宋_GBK"/>
          <w:sz w:val="31"/>
          <w:szCs w:val="31"/>
        </w:rPr>
        <w:t>附件：《重庆市发展和改革委员会关于第三监管周期重庆电网输配电价及有关事项的通知》（渝发改价格〔2023〕575号）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left"/>
        <w:rPr>
          <w:sz w:val="31"/>
          <w:szCs w:val="31"/>
        </w:rPr>
      </w:pPr>
      <w:r>
        <w:rPr>
          <w:rFonts w:hint="eastAsia" w:ascii="方正仿宋_GBK" w:hAnsi="方正仿宋_GBK" w:eastAsia="方正仿宋_GBK" w:cs="方正仿宋_GBK"/>
          <w:sz w:val="31"/>
          <w:szCs w:val="3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jc w:val="left"/>
        <w:rPr>
          <w:sz w:val="31"/>
          <w:szCs w:val="31"/>
        </w:rPr>
      </w:pPr>
      <w:r>
        <w:rPr>
          <w:sz w:val="31"/>
          <w:szCs w:val="31"/>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rPr>
          <w:sz w:val="31"/>
          <w:szCs w:val="31"/>
        </w:rPr>
      </w:pPr>
      <w:r>
        <w:rPr>
          <w:rFonts w:hint="eastAsia" w:ascii="方正仿宋_GBK" w:hAnsi="方正仿宋_GBK" w:eastAsia="方正仿宋_GBK" w:cs="方正仿宋_GBK"/>
          <w:sz w:val="31"/>
          <w:szCs w:val="31"/>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firstLine="4095" w:firstLineChars="1300"/>
        <w:rPr>
          <w:sz w:val="31"/>
          <w:szCs w:val="31"/>
        </w:rPr>
      </w:pPr>
      <w:r>
        <w:rPr>
          <w:rFonts w:hint="eastAsia" w:ascii="方正仿宋_GBK" w:hAnsi="方正仿宋_GBK" w:eastAsia="方正仿宋_GBK" w:cs="方正仿宋_GBK"/>
          <w:sz w:val="31"/>
          <w:szCs w:val="31"/>
        </w:rPr>
        <w:t xml:space="preserve">重庆市铜梁区发展和改革委员会  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6" w:lineRule="exact"/>
        <w:ind w:left="0" w:firstLine="420"/>
        <w:jc w:val="center"/>
        <w:rPr>
          <w:sz w:val="31"/>
          <w:szCs w:val="31"/>
        </w:rPr>
      </w:pPr>
      <w:r>
        <w:rPr>
          <w:rFonts w:hint="eastAsia" w:ascii="方正仿宋_GBK" w:hAnsi="方正仿宋_GBK" w:eastAsia="方正仿宋_GBK" w:cs="方正仿宋_GBK"/>
          <w:sz w:val="31"/>
          <w:szCs w:val="31"/>
        </w:rPr>
        <w:t>                           2023年5月24日</w:t>
      </w:r>
    </w:p>
    <w:p>
      <w:pPr>
        <w:keepNext w:val="0"/>
        <w:keepLines w:val="0"/>
        <w:pageBreakBefore w:val="0"/>
        <w:kinsoku/>
        <w:wordWrap/>
        <w:overflowPunct/>
        <w:topLinePunct w:val="0"/>
        <w:autoSpaceDE/>
        <w:autoSpaceDN/>
        <w:bidi w:val="0"/>
        <w:adjustRightInd/>
        <w:snapToGrid/>
        <w:spacing w:line="596" w:lineRule="exact"/>
        <w:rPr>
          <w:rFonts w:hint="eastAsia" w:eastAsia="方正仿宋_GBK" w:cs="方正仿宋_GBK"/>
          <w:kern w:val="2"/>
        </w:rPr>
      </w:pPr>
    </w:p>
    <w:p>
      <w:pPr>
        <w:keepNext w:val="0"/>
        <w:keepLines w:val="0"/>
        <w:pageBreakBefore w:val="0"/>
        <w:kinsoku/>
        <w:wordWrap/>
        <w:overflowPunct/>
        <w:topLinePunct w:val="0"/>
        <w:autoSpaceDE/>
        <w:autoSpaceDN/>
        <w:bidi w:val="0"/>
        <w:adjustRightInd/>
        <w:snapToGrid/>
        <w:spacing w:line="596" w:lineRule="exact"/>
        <w:jc w:val="center"/>
        <w:rPr>
          <w:rFonts w:hint="eastAsia" w:ascii="方正仿宋_GBK" w:hAnsi="方正仿宋_GBK" w:eastAsia="方正仿宋_GBK" w:cs="方正仿宋_GBK"/>
          <w:kern w:val="0"/>
          <w:sz w:val="31"/>
          <w:szCs w:val="31"/>
          <w:lang w:val="en-US" w:eastAsia="zh-CN" w:bidi="ar"/>
        </w:rPr>
      </w:pPr>
    </w:p>
    <w:p>
      <w:pPr>
        <w:keepNext w:val="0"/>
        <w:keepLines w:val="0"/>
        <w:pageBreakBefore w:val="0"/>
        <w:kinsoku/>
        <w:wordWrap/>
        <w:overflowPunct/>
        <w:topLinePunct w:val="0"/>
        <w:autoSpaceDE/>
        <w:autoSpaceDN/>
        <w:bidi w:val="0"/>
        <w:adjustRightInd/>
        <w:snapToGrid/>
        <w:spacing w:line="596" w:lineRule="exact"/>
        <w:jc w:val="center"/>
        <w:rPr>
          <w:rFonts w:hint="eastAsia" w:ascii="方正仿宋_GBK" w:hAnsi="方正仿宋_GBK" w:eastAsia="方正仿宋_GBK" w:cs="方正仿宋_GBK"/>
          <w:kern w:val="0"/>
          <w:sz w:val="31"/>
          <w:szCs w:val="31"/>
          <w:lang w:val="en-US" w:eastAsia="zh-CN" w:bidi="ar"/>
        </w:rPr>
      </w:pPr>
      <w:r>
        <w:rPr>
          <w:rFonts w:hint="eastAsia" w:ascii="方正仿宋_GBK" w:hAnsi="方正仿宋_GBK" w:eastAsia="方正仿宋_GBK" w:cs="方正仿宋_GBK"/>
          <w:kern w:val="0"/>
          <w:sz w:val="31"/>
          <w:szCs w:val="31"/>
          <w:lang w:val="en-US" w:eastAsia="zh-CN" w:bidi="ar"/>
        </w:rPr>
        <w:t>渝发改价格〔2023〕575号</w:t>
      </w:r>
    </w:p>
    <w:p>
      <w:pPr>
        <w:keepNext w:val="0"/>
        <w:keepLines w:val="0"/>
        <w:pageBreakBefore w:val="0"/>
        <w:kinsoku/>
        <w:wordWrap/>
        <w:overflowPunct/>
        <w:topLinePunct w:val="0"/>
        <w:autoSpaceDE/>
        <w:autoSpaceDN/>
        <w:bidi w:val="0"/>
        <w:adjustRightInd/>
        <w:snapToGrid/>
        <w:spacing w:before="0" w:after="0" w:line="596"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重庆市发展和改革委员会</w:t>
      </w:r>
    </w:p>
    <w:p>
      <w:pPr>
        <w:keepNext w:val="0"/>
        <w:keepLines w:val="0"/>
        <w:pageBreakBefore w:val="0"/>
        <w:kinsoku/>
        <w:wordWrap/>
        <w:overflowPunct/>
        <w:topLinePunct w:val="0"/>
        <w:autoSpaceDE/>
        <w:autoSpaceDN/>
        <w:bidi w:val="0"/>
        <w:adjustRightInd/>
        <w:snapToGrid/>
        <w:spacing w:before="0" w:after="0" w:line="596"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关于第三监管周期重庆电网输配电价</w:t>
      </w:r>
    </w:p>
    <w:p>
      <w:pPr>
        <w:keepNext w:val="0"/>
        <w:keepLines w:val="0"/>
        <w:pageBreakBefore w:val="0"/>
        <w:kinsoku/>
        <w:wordWrap/>
        <w:overflowPunct/>
        <w:topLinePunct w:val="0"/>
        <w:autoSpaceDE/>
        <w:autoSpaceDN/>
        <w:bidi w:val="0"/>
        <w:adjustRightInd/>
        <w:snapToGrid/>
        <w:spacing w:before="0" w:after="0" w:line="596" w:lineRule="exact"/>
        <w:jc w:val="center"/>
        <w:textAlignment w:val="auto"/>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rPr>
        <w:t>及有关事项的通知</w:t>
      </w:r>
    </w:p>
    <w:p>
      <w:pPr>
        <w:keepNext w:val="0"/>
        <w:keepLines w:val="0"/>
        <w:pageBreakBefore w:val="0"/>
        <w:kinsoku/>
        <w:wordWrap/>
        <w:overflowPunct/>
        <w:topLinePunct w:val="0"/>
        <w:autoSpaceDE/>
        <w:autoSpaceDN/>
        <w:bidi w:val="0"/>
        <w:adjustRightInd/>
        <w:snapToGrid/>
        <w:spacing w:before="0" w:after="0" w:line="596" w:lineRule="exact"/>
        <w:jc w:val="left"/>
        <w:textAlignment w:val="auto"/>
        <w:rPr>
          <w:rFonts w:hint="eastAsia" w:ascii="Times New Roman" w:hAnsi="Times New Roman" w:eastAsia="方正小标宋_GBK" w:cs="方正小标宋_GBK"/>
          <w:kern w:val="2"/>
          <w:sz w:val="44"/>
          <w:szCs w:val="44"/>
        </w:rPr>
      </w:pPr>
    </w:p>
    <w:p>
      <w:pPr>
        <w:keepNext w:val="0"/>
        <w:keepLines w:val="0"/>
        <w:pageBreakBefore w:val="0"/>
        <w:kinsoku/>
        <w:wordWrap/>
        <w:overflowPunct/>
        <w:topLinePunct w:val="0"/>
        <w:autoSpaceDE/>
        <w:autoSpaceDN/>
        <w:bidi w:val="0"/>
        <w:adjustRightInd/>
        <w:snapToGrid/>
        <w:spacing w:before="0" w:after="0" w:line="596" w:lineRule="exact"/>
        <w:ind w:firstLine="0" w:firstLineChars="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市经济信息委，各区县（自治县）发展改革委，两江新区市场监管局，西部科学城重庆高新区改革发展局，万盛经开区发展改革局，国网重庆市电力公司、三峡水利电力公司，有关发电企业，有关售电公司：</w:t>
      </w:r>
    </w:p>
    <w:p>
      <w:pPr>
        <w:keepNext w:val="0"/>
        <w:keepLines w:val="0"/>
        <w:pageBreakBefore w:val="0"/>
        <w:kinsoku/>
        <w:wordWrap/>
        <w:overflowPunct/>
        <w:topLinePunct w:val="0"/>
        <w:autoSpaceDE/>
        <w:autoSpaceDN/>
        <w:bidi w:val="0"/>
        <w:adjustRightInd/>
        <w:snapToGrid/>
        <w:spacing w:before="0" w:after="0" w:line="596" w:lineRule="exact"/>
        <w:ind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根据国家发展改革委《关于第三监管周期省级电网输配电价及有关事项的通知》（发改价格〔</w:t>
      </w:r>
      <w:r>
        <w:rPr>
          <w:rFonts w:ascii="Times New Roman" w:hAnsi="Times New Roman" w:eastAsia="方正仿宋_GBK" w:cs="Times New Roman"/>
          <w:kern w:val="2"/>
          <w:sz w:val="32"/>
          <w:szCs w:val="32"/>
        </w:rPr>
        <w:t>2023</w:t>
      </w:r>
      <w:r>
        <w:rPr>
          <w:rFonts w:hint="eastAsia" w:ascii="Times New Roman" w:hAnsi="Times New Roman" w:eastAsia="方正仿宋_GBK" w:cs="方正仿宋_GBK"/>
          <w:kern w:val="2"/>
          <w:sz w:val="32"/>
          <w:szCs w:val="32"/>
        </w:rPr>
        <w:t>〕</w:t>
      </w:r>
      <w:r>
        <w:rPr>
          <w:rFonts w:ascii="Times New Roman" w:hAnsi="Times New Roman" w:eastAsia="方正仿宋_GBK" w:cs="Times New Roman"/>
          <w:kern w:val="2"/>
          <w:sz w:val="32"/>
          <w:szCs w:val="32"/>
        </w:rPr>
        <w:t>526</w:t>
      </w:r>
      <w:r>
        <w:rPr>
          <w:rFonts w:hint="eastAsia" w:ascii="Times New Roman" w:hAnsi="Times New Roman" w:eastAsia="方正仿宋_GBK" w:cs="方正仿宋_GBK"/>
          <w:kern w:val="2"/>
          <w:sz w:val="32"/>
          <w:szCs w:val="32"/>
        </w:rPr>
        <w:t>号）精神，结合我市实际，现就贯彻落实第三监管周期重庆电网输配电价有关事项通知如下。</w:t>
      </w:r>
    </w:p>
    <w:p>
      <w:pPr>
        <w:keepNext w:val="0"/>
        <w:keepLines w:val="0"/>
        <w:pageBreakBefore w:val="0"/>
        <w:numPr>
          <w:ilvl w:val="-1"/>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一、</w:t>
      </w:r>
      <w:r>
        <w:rPr>
          <w:rFonts w:hint="eastAsia" w:ascii="Times New Roman" w:hAnsi="Times New Roman" w:eastAsia="方正黑体_GBK" w:cs="方正黑体_GBK"/>
          <w:kern w:val="2"/>
          <w:sz w:val="32"/>
          <w:szCs w:val="32"/>
        </w:rPr>
        <w:t>输配电价标准</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第三监管周期重庆电网输配电价严格按照国家核定的标准执行（详见附件1）。</w:t>
      </w:r>
    </w:p>
    <w:p>
      <w:pPr>
        <w:keepNext w:val="0"/>
        <w:keepLines w:val="0"/>
        <w:pageBreakBefore w:val="0"/>
        <w:numPr>
          <w:ilvl w:val="-1"/>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二、</w:t>
      </w:r>
      <w:r>
        <w:rPr>
          <w:rFonts w:hint="eastAsia" w:ascii="Times New Roman" w:hAnsi="Times New Roman" w:eastAsia="方正黑体_GBK" w:cs="方正黑体_GBK"/>
          <w:kern w:val="2"/>
          <w:sz w:val="32"/>
          <w:szCs w:val="32"/>
        </w:rPr>
        <w:t>用电价格类别</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用户用电价格归并为居民生活、农业生产及工商业用电（除执行居民生活和农业生产用电价格以外的用电）三类。 </w:t>
      </w:r>
    </w:p>
    <w:p>
      <w:pPr>
        <w:keepNext w:val="0"/>
        <w:keepLines w:val="0"/>
        <w:pageBreakBefore w:val="0"/>
        <w:numPr>
          <w:ilvl w:val="-1"/>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三、</w:t>
      </w:r>
      <w:r>
        <w:rPr>
          <w:rFonts w:hint="eastAsia" w:ascii="Times New Roman" w:hAnsi="Times New Roman" w:eastAsia="方正黑体_GBK" w:cs="方正黑体_GBK"/>
          <w:kern w:val="2"/>
          <w:sz w:val="32"/>
          <w:szCs w:val="32"/>
        </w:rPr>
        <w:t>工商业用户电价计费方式</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leftChars="0" w:firstLine="0" w:firstLineChars="0"/>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rPr>
        <w:t xml:space="preserve">    </w:t>
      </w:r>
      <w:r>
        <w:rPr>
          <w:rFonts w:hint="eastAsia" w:ascii="Times New Roman" w:hAnsi="Times New Roman" w:eastAsia="方正仿宋_GBK" w:cs="方正仿宋_GBK"/>
          <w:kern w:val="2"/>
          <w:sz w:val="32"/>
          <w:szCs w:val="32"/>
        </w:rPr>
        <w:t>（一）用电容量在</w:t>
      </w:r>
      <w:r>
        <w:rPr>
          <w:rFonts w:ascii="Times New Roman" w:hAnsi="Times New Roman" w:eastAsia="方正仿宋_GBK" w:cs="Times New Roman"/>
          <w:kern w:val="2"/>
          <w:sz w:val="32"/>
          <w:szCs w:val="32"/>
        </w:rPr>
        <w:t>100</w:t>
      </w:r>
      <w:r>
        <w:rPr>
          <w:rFonts w:hint="eastAsia" w:ascii="Times New Roman" w:hAnsi="Times New Roman" w:eastAsia="方正仿宋_GBK" w:cs="方正仿宋_GBK"/>
          <w:kern w:val="2"/>
          <w:sz w:val="32"/>
          <w:szCs w:val="32"/>
        </w:rPr>
        <w:t>千伏安及以下的执行工商业用电价格的用户（以下简称工商业用户），执行单一制电价。</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leftChars="0" w:firstLine="0" w:firstLineChars="0"/>
        <w:textAlignment w:val="auto"/>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 xml:space="preserve">    （二）1</w:t>
      </w:r>
      <w:r>
        <w:rPr>
          <w:rFonts w:ascii="Times New Roman" w:hAnsi="Times New Roman" w:eastAsia="方正仿宋_GBK" w:cs="Times New Roman"/>
          <w:kern w:val="2"/>
          <w:sz w:val="32"/>
          <w:szCs w:val="32"/>
        </w:rPr>
        <w:t>00千伏安至315千</w:t>
      </w:r>
      <w:r>
        <w:rPr>
          <w:rFonts w:hint="eastAsia" w:ascii="Times New Roman" w:hAnsi="Times New Roman" w:eastAsia="方正仿宋_GBK" w:cs="方正仿宋_GBK"/>
          <w:kern w:val="2"/>
          <w:sz w:val="32"/>
          <w:szCs w:val="32"/>
        </w:rPr>
        <w:t>伏安之间的工商业用户，可选择执行单一制或两部制电价</w:t>
      </w:r>
      <w:r>
        <w:rPr>
          <w:rFonts w:hint="eastAsia" w:ascii="Times New Roman" w:hAnsi="Times New Roman" w:eastAsia="方正仿宋_GBK" w:cs="Times New Roman"/>
          <w:kern w:val="2"/>
          <w:sz w:val="32"/>
          <w:szCs w:val="32"/>
        </w:rPr>
        <w:t>。</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Times New Roman"/>
          <w:kern w:val="2"/>
          <w:sz w:val="32"/>
          <w:szCs w:val="32"/>
        </w:rPr>
        <w:t>（三）</w:t>
      </w:r>
      <w:r>
        <w:rPr>
          <w:rFonts w:ascii="Times New Roman" w:hAnsi="Times New Roman" w:eastAsia="方正仿宋_GBK" w:cs="Times New Roman"/>
          <w:kern w:val="2"/>
          <w:sz w:val="32"/>
          <w:szCs w:val="32"/>
        </w:rPr>
        <w:t>315千伏</w:t>
      </w:r>
      <w:r>
        <w:rPr>
          <w:rFonts w:hint="eastAsia" w:ascii="Times New Roman" w:hAnsi="Times New Roman" w:eastAsia="方正仿宋_GBK" w:cs="方正仿宋_GBK"/>
          <w:kern w:val="2"/>
          <w:sz w:val="32"/>
          <w:szCs w:val="32"/>
        </w:rPr>
        <w:t>安及以上的工商业用户，执行两部制电价；现执行单一制电价的</w:t>
      </w:r>
      <w:r>
        <w:rPr>
          <w:rFonts w:ascii="Times New Roman" w:hAnsi="Times New Roman" w:eastAsia="方正仿宋_GBK" w:cs="Times New Roman"/>
          <w:kern w:val="2"/>
          <w:sz w:val="32"/>
          <w:szCs w:val="32"/>
        </w:rPr>
        <w:t>315千伏</w:t>
      </w:r>
      <w:r>
        <w:rPr>
          <w:rFonts w:hint="eastAsia" w:ascii="Times New Roman" w:hAnsi="Times New Roman" w:eastAsia="方正仿宋_GBK" w:cs="方正仿宋_GBK"/>
          <w:kern w:val="2"/>
          <w:sz w:val="32"/>
          <w:szCs w:val="32"/>
        </w:rPr>
        <w:t>安及以上的工商业用户可选择执行单一制电价或两部制电价。</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t>四、需量电价激励机制</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选择执行需量电价计费方式的两部制用户，每月每千伏安用电量达</w:t>
      </w:r>
      <w:r>
        <w:rPr>
          <w:rFonts w:ascii="Times New Roman" w:hAnsi="Times New Roman" w:eastAsia="方正仿宋_GBK" w:cs="Times New Roman"/>
          <w:kern w:val="2"/>
          <w:sz w:val="32"/>
          <w:szCs w:val="32"/>
        </w:rPr>
        <w:t>到260千瓦时及以上的，当月需量电价</w:t>
      </w:r>
      <w:r>
        <w:rPr>
          <w:rFonts w:hint="eastAsia" w:ascii="Times New Roman" w:hAnsi="Times New Roman" w:eastAsia="方正仿宋_GBK" w:cs="Times New Roman"/>
          <w:kern w:val="2"/>
          <w:sz w:val="32"/>
          <w:szCs w:val="32"/>
        </w:rPr>
        <w:t>按照用户用电电压等级对应的需量电价</w:t>
      </w:r>
      <w:r>
        <w:rPr>
          <w:rFonts w:ascii="Times New Roman" w:hAnsi="Times New Roman" w:eastAsia="方正仿宋_GBK" w:cs="Times New Roman"/>
          <w:kern w:val="2"/>
          <w:sz w:val="32"/>
          <w:szCs w:val="32"/>
        </w:rPr>
        <w:t>标准90%执行。每月每</w:t>
      </w:r>
      <w:r>
        <w:rPr>
          <w:rFonts w:hint="eastAsia" w:ascii="Times New Roman" w:hAnsi="Times New Roman" w:eastAsia="方正仿宋_GBK" w:cs="方正仿宋_GBK"/>
          <w:kern w:val="2"/>
          <w:sz w:val="32"/>
          <w:szCs w:val="32"/>
        </w:rPr>
        <w:t>千伏安用电量为用户所属全部计量点当月总用电量除以合同变压器容量。</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rPr>
        <w:t>五、工商业用户用电价格构成</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工商业用户用电价格由上网电价、上网环节线损费用、输配电价、系统运行费用、政府性基金及附加组成。其中：上网环节线损费用按实际购电上网电价和综合线损率计算；系统运行费用包括辅助服务费用、抽水蓄能容量电费等；政府性基金及附加按现行有关规定执行。</w:t>
      </w:r>
    </w:p>
    <w:p>
      <w:pPr>
        <w:keepNext w:val="0"/>
        <w:keepLines w:val="0"/>
        <w:pageBreakBefore w:val="0"/>
        <w:numPr>
          <w:ilvl w:val="-1"/>
          <w:numId w:val="0"/>
        </w:numPr>
        <w:kinsoku/>
        <w:wordWrap/>
        <w:overflowPunct/>
        <w:topLinePunct w:val="0"/>
        <w:autoSpaceDE/>
        <w:autoSpaceDN/>
        <w:bidi w:val="0"/>
        <w:adjustRightInd/>
        <w:snapToGrid/>
        <w:spacing w:before="0" w:after="0" w:line="596" w:lineRule="exact"/>
        <w:ind w:leftChars="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六、</w:t>
      </w:r>
      <w:r>
        <w:rPr>
          <w:rFonts w:hint="eastAsia" w:ascii="Times New Roman" w:hAnsi="Times New Roman" w:eastAsia="方正黑体_GBK" w:cs="方正黑体_GBK"/>
          <w:kern w:val="2"/>
          <w:sz w:val="32"/>
          <w:szCs w:val="32"/>
        </w:rPr>
        <w:t>居民生活、农业生产用电价格</w:t>
      </w:r>
    </w:p>
    <w:p>
      <w:pPr>
        <w:keepNext w:val="0"/>
        <w:keepLines w:val="0"/>
        <w:pageBreakBefore w:val="0"/>
        <w:numPr>
          <w:ilvl w:val="12"/>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居民生活、农业生产用电价格不作调整，继续按现行目录销售电价执行（详</w:t>
      </w:r>
      <w:r>
        <w:rPr>
          <w:rFonts w:ascii="Times New Roman" w:hAnsi="Times New Roman" w:eastAsia="方正仿宋_GBK" w:cs="Times New Roman"/>
          <w:kern w:val="2"/>
          <w:sz w:val="32"/>
          <w:szCs w:val="32"/>
        </w:rPr>
        <w:t>见附</w:t>
      </w:r>
      <w:r>
        <w:rPr>
          <w:rFonts w:hint="eastAsia" w:ascii="Times New Roman" w:hAnsi="Times New Roman" w:eastAsia="方正仿宋_GBK" w:cs="Times New Roman"/>
          <w:kern w:val="2"/>
          <w:sz w:val="32"/>
          <w:szCs w:val="32"/>
        </w:rPr>
        <w:t>件</w:t>
      </w:r>
      <w:r>
        <w:rPr>
          <w:rFonts w:ascii="Times New Roman" w:hAnsi="Times New Roman" w:eastAsia="方正仿宋_GBK" w:cs="Times New Roman"/>
          <w:kern w:val="2"/>
          <w:sz w:val="32"/>
          <w:szCs w:val="32"/>
        </w:rPr>
        <w:t>2）</w:t>
      </w:r>
      <w:r>
        <w:rPr>
          <w:rFonts w:hint="eastAsia" w:ascii="Times New Roman" w:hAnsi="Times New Roman" w:eastAsia="方正仿宋_GBK" w:cs="方正仿宋_GBK"/>
          <w:kern w:val="2"/>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eastAsia="zh-CN"/>
        </w:rPr>
        <w:t>七</w:t>
      </w:r>
      <w:r>
        <w:rPr>
          <w:rFonts w:hint="eastAsia" w:ascii="Times New Roman" w:hAnsi="Times New Roman" w:eastAsia="方正黑体_GBK" w:cs="方正黑体_GBK"/>
          <w:kern w:val="2"/>
          <w:sz w:val="32"/>
          <w:szCs w:val="32"/>
        </w:rPr>
        <w:t>、保障措施</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市发展改革委、市经济信息委和电网企业要各负其责，及时研究完善相关配套政策，密切监测输配电价执行情况，及时研究解决执行中的问题；各区县价格主管部门要会同电网企业精心组织、周密安排，确保输配电价政策平稳实施，实施工作中存在的问题及时报告我委（价格处）；电网企业要严格执行输配电价政策，对各电压等级的资产、费用、收入、输配售电量、负荷、用户报装容量、线损率、投资计划完成进度等与输配电价相关的基础数据进行统计归集，并将上年度归集情况及抽水蓄能电站容量电价执行情况、可用率情况等于每</w:t>
      </w:r>
      <w:r>
        <w:rPr>
          <w:rFonts w:ascii="Times New Roman" w:hAnsi="Times New Roman" w:eastAsia="方正仿宋_GBK" w:cs="Times New Roman"/>
          <w:kern w:val="2"/>
          <w:sz w:val="32"/>
          <w:szCs w:val="32"/>
        </w:rPr>
        <w:t>年</w:t>
      </w:r>
      <w:r>
        <w:rPr>
          <w:rFonts w:hint="eastAsia" w:ascii="Times New Roman" w:hAnsi="Times New Roman" w:eastAsia="方正仿宋_GBK" w:cs="Times New Roman"/>
          <w:kern w:val="2"/>
          <w:sz w:val="32"/>
          <w:szCs w:val="32"/>
        </w:rPr>
        <w:t>5</w:t>
      </w:r>
      <w:r>
        <w:rPr>
          <w:rFonts w:ascii="Times New Roman" w:hAnsi="Times New Roman" w:eastAsia="方正仿宋_GBK" w:cs="Times New Roman"/>
          <w:kern w:val="2"/>
          <w:sz w:val="32"/>
          <w:szCs w:val="32"/>
        </w:rPr>
        <w:t>月底</w:t>
      </w:r>
      <w:r>
        <w:rPr>
          <w:rFonts w:hint="eastAsia" w:ascii="Times New Roman" w:hAnsi="Times New Roman" w:eastAsia="方正仿宋_GBK" w:cs="方正仿宋_GBK"/>
          <w:kern w:val="2"/>
          <w:sz w:val="32"/>
          <w:szCs w:val="32"/>
        </w:rPr>
        <w:t>前报我委（价格处）。</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本通知自</w:t>
      </w:r>
      <w:r>
        <w:rPr>
          <w:rFonts w:ascii="Times New Roman" w:hAnsi="Times New Roman" w:eastAsia="方正仿宋_GBK" w:cs="Times New Roman"/>
          <w:kern w:val="2"/>
          <w:sz w:val="32"/>
          <w:szCs w:val="32"/>
        </w:rPr>
        <w:t>2023年6月1日起执行</w:t>
      </w:r>
      <w:r>
        <w:rPr>
          <w:rFonts w:hint="eastAsia" w:ascii="Times New Roman" w:hAnsi="Times New Roman" w:eastAsia="方正仿宋_GBK" w:cs="方正仿宋_GBK"/>
          <w:kern w:val="2"/>
          <w:sz w:val="32"/>
          <w:szCs w:val="32"/>
        </w:rPr>
        <w:t>，现行政策相关规定与本通知不符的，以本通知规定为准。</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kern w:val="2"/>
          <w:sz w:val="32"/>
          <w:szCs w:val="32"/>
        </w:rPr>
      </w:pP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0" w:firstLineChars="200"/>
        <w:textAlignment w:val="auto"/>
        <w:rPr>
          <w:rFonts w:hint="eastAsia" w:ascii="Times New Roman" w:hAnsi="Times New Roman" w:eastAsia="方正仿宋_GBK" w:cs="方正仿宋_GBK"/>
          <w:b/>
          <w:bCs/>
          <w:kern w:val="2"/>
          <w:sz w:val="32"/>
          <w:szCs w:val="32"/>
        </w:rPr>
      </w:pPr>
      <w:r>
        <w:rPr>
          <w:rFonts w:hint="eastAsia" w:ascii="Times New Roman" w:hAnsi="Times New Roman" w:eastAsia="方正仿宋_GBK" w:cs="方正仿宋_GBK"/>
          <w:kern w:val="2"/>
          <w:sz w:val="32"/>
          <w:szCs w:val="32"/>
        </w:rPr>
        <w:t>附件：1</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重庆电网第三监管周期输配电价表</w:t>
      </w:r>
    </w:p>
    <w:p>
      <w:pPr>
        <w:keepNext w:val="0"/>
        <w:keepLines w:val="0"/>
        <w:pageBreakBefore w:val="0"/>
        <w:numPr>
          <w:ilvl w:val="0"/>
          <w:numId w:val="0"/>
        </w:numPr>
        <w:kinsoku/>
        <w:wordWrap/>
        <w:overflowPunct/>
        <w:topLinePunct w:val="0"/>
        <w:autoSpaceDE/>
        <w:autoSpaceDN/>
        <w:bidi w:val="0"/>
        <w:adjustRightInd/>
        <w:snapToGrid/>
        <w:spacing w:before="0" w:after="0" w:line="596" w:lineRule="exact"/>
        <w:ind w:left="0" w:leftChars="0" w:firstLine="643" w:firstLineChars="200"/>
        <w:textAlignment w:val="auto"/>
        <w:rPr>
          <w:rFonts w:ascii="Times New Roman" w:hAnsi="Times New Roman" w:eastAsia="方正仿宋_GBK" w:cs="方正仿宋_GBK"/>
          <w:kern w:val="2"/>
          <w:sz w:val="32"/>
          <w:szCs w:val="32"/>
        </w:rPr>
      </w:pPr>
      <w:r>
        <w:rPr>
          <w:rFonts w:hint="eastAsia" w:ascii="Times New Roman" w:hAnsi="Times New Roman" w:eastAsia="方正仿宋_GBK" w:cs="方正仿宋_GBK"/>
          <w:b/>
          <w:bCs/>
          <w:kern w:val="2"/>
          <w:sz w:val="32"/>
          <w:szCs w:val="32"/>
        </w:rPr>
        <w:t xml:space="preserve"> </w:t>
      </w:r>
      <w:r>
        <w:rPr>
          <w:rFonts w:hint="eastAsia" w:ascii="Times New Roman" w:hAnsi="Times New Roman" w:eastAsia="方正仿宋_GBK" w:cs="方正仿宋_GBK"/>
          <w:kern w:val="2"/>
          <w:sz w:val="32"/>
          <w:szCs w:val="32"/>
        </w:rPr>
        <w:t xml:space="preserve">     2</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重庆电网销售电价表</w:t>
      </w:r>
    </w:p>
    <w:p>
      <w:pPr>
        <w:keepNext w:val="0"/>
        <w:keepLines w:val="0"/>
        <w:pageBreakBefore w:val="0"/>
        <w:kinsoku/>
        <w:wordWrap/>
        <w:overflowPunct/>
        <w:topLinePunct w:val="0"/>
        <w:autoSpaceDE/>
        <w:autoSpaceDN/>
        <w:bidi w:val="0"/>
        <w:adjustRightInd/>
        <w:snapToGrid/>
        <w:spacing w:before="0" w:after="0" w:line="596" w:lineRule="exact"/>
        <w:ind w:firstLine="0" w:firstLineChars="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w:t>
      </w:r>
    </w:p>
    <w:p>
      <w:pPr>
        <w:keepNext w:val="0"/>
        <w:keepLines w:val="0"/>
        <w:pageBreakBefore w:val="0"/>
        <w:kinsoku/>
        <w:wordWrap/>
        <w:overflowPunct/>
        <w:topLinePunct w:val="0"/>
        <w:autoSpaceDE/>
        <w:autoSpaceDN/>
        <w:bidi w:val="0"/>
        <w:adjustRightInd/>
        <w:snapToGrid/>
        <w:spacing w:before="0" w:after="0" w:line="596" w:lineRule="exact"/>
        <w:ind w:firstLine="0" w:firstLineChars="0"/>
        <w:textAlignment w:val="auto"/>
        <w:rPr>
          <w:rFonts w:hint="eastAsia" w:ascii="Times New Roman" w:hAnsi="Times New Roman" w:eastAsia="方正仿宋_GBK" w:cs="方正仿宋_GBK"/>
          <w:kern w:val="2"/>
          <w:sz w:val="32"/>
          <w:szCs w:val="32"/>
        </w:rPr>
      </w:pPr>
    </w:p>
    <w:p>
      <w:pPr>
        <w:keepNext w:val="0"/>
        <w:keepLines w:val="0"/>
        <w:pageBreakBefore w:val="0"/>
        <w:kinsoku/>
        <w:wordWrap/>
        <w:overflowPunct/>
        <w:topLinePunct w:val="0"/>
        <w:autoSpaceDE/>
        <w:autoSpaceDN/>
        <w:bidi w:val="0"/>
        <w:adjustRightInd/>
        <w:snapToGrid/>
        <w:spacing w:before="0" w:after="0" w:line="596" w:lineRule="exact"/>
        <w:ind w:firstLine="0" w:firstLineChars="0"/>
        <w:textAlignment w:val="auto"/>
        <w:rPr>
          <w:rFonts w:hint="eastAsia" w:ascii="Times New Roman" w:hAnsi="Times New Roman" w:eastAsia="方正仿宋_GBK" w:cs="方正仿宋_GBK"/>
          <w:kern w:val="2"/>
          <w:sz w:val="32"/>
          <w:szCs w:val="32"/>
        </w:rPr>
      </w:pPr>
    </w:p>
    <w:p>
      <w:pPr>
        <w:keepNext w:val="0"/>
        <w:keepLines w:val="0"/>
        <w:pageBreakBefore w:val="0"/>
        <w:kinsoku/>
        <w:wordWrap/>
        <w:overflowPunct/>
        <w:topLinePunct w:val="0"/>
        <w:autoSpaceDE/>
        <w:autoSpaceDN/>
        <w:bidi w:val="0"/>
        <w:adjustRightInd/>
        <w:snapToGrid/>
        <w:spacing w:before="0" w:after="0" w:line="596" w:lineRule="exact"/>
        <w:ind w:firstLine="3840" w:firstLineChars="1200"/>
        <w:textAlignment w:val="auto"/>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rPr>
        <w:t xml:space="preserve">  重庆市发展和改革委员会</w:t>
      </w:r>
    </w:p>
    <w:p>
      <w:pPr>
        <w:keepNext w:val="0"/>
        <w:keepLines w:val="0"/>
        <w:pageBreakBefore w:val="0"/>
        <w:kinsoku/>
        <w:wordWrap/>
        <w:overflowPunct/>
        <w:topLinePunct w:val="0"/>
        <w:autoSpaceDE/>
        <w:autoSpaceDN/>
        <w:bidi w:val="0"/>
        <w:adjustRightInd/>
        <w:snapToGrid/>
        <w:spacing w:before="0" w:after="0" w:line="596" w:lineRule="exact"/>
        <w:ind w:left="0" w:leftChars="0" w:firstLine="4800" w:firstLineChars="1500"/>
        <w:textAlignment w:val="baseline"/>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2023年5月19日</w:t>
      </w:r>
    </w:p>
    <w:p>
      <w:pPr>
        <w:adjustRightInd/>
        <w:spacing w:before="0" w:after="0" w:line="240" w:lineRule="auto"/>
        <w:ind w:firstLine="0" w:firstLineChars="0"/>
        <w:textAlignment w:val="auto"/>
        <w:rPr>
          <w:rFonts w:hint="eastAsia" w:ascii="Times New Roman" w:hAnsi="Times New Roman" w:eastAsia="方正仿宋_GBK" w:cs="方正仿宋_GBK"/>
          <w:kern w:val="2"/>
          <w:sz w:val="32"/>
          <w:szCs w:val="32"/>
        </w:rPr>
      </w:pPr>
    </w:p>
    <w:p>
      <w:pPr>
        <w:autoSpaceDE w:val="0"/>
        <w:autoSpaceDN w:val="0"/>
        <w:adjustRightInd/>
        <w:spacing w:before="0" w:after="0" w:line="240" w:lineRule="auto"/>
        <w:ind w:right="0"/>
        <w:textAlignment w:val="auto"/>
        <w:rPr>
          <w:rFonts w:hint="eastAsia" w:ascii="Times New Roman" w:hAnsi="Times New Roman" w:eastAsia="方正黑体_GBK" w:cs="仿宋_GB2312"/>
          <w:kern w:val="2"/>
          <w:sz w:val="32"/>
          <w:szCs w:val="32"/>
        </w:rPr>
      </w:pPr>
    </w:p>
    <w:p>
      <w:pPr>
        <w:autoSpaceDE w:val="0"/>
        <w:autoSpaceDN w:val="0"/>
        <w:adjustRightInd/>
        <w:spacing w:before="0" w:after="0" w:line="240" w:lineRule="auto"/>
        <w:ind w:right="0"/>
        <w:textAlignment w:val="auto"/>
        <w:rPr>
          <w:rFonts w:hint="eastAsia" w:ascii="Times New Roman" w:hAnsi="Times New Roman" w:eastAsia="方正黑体_GBK" w:cs="仿宋_GB2312"/>
          <w:kern w:val="2"/>
          <w:sz w:val="32"/>
          <w:szCs w:val="32"/>
        </w:rPr>
      </w:pPr>
    </w:p>
    <w:p>
      <w:pPr>
        <w:autoSpaceDE w:val="0"/>
        <w:autoSpaceDN w:val="0"/>
        <w:adjustRightInd/>
        <w:spacing w:before="0" w:after="0" w:line="240" w:lineRule="auto"/>
        <w:ind w:right="0"/>
        <w:textAlignment w:val="auto"/>
        <w:rPr>
          <w:rFonts w:hint="eastAsia" w:ascii="Times New Roman" w:hAnsi="Times New Roman" w:eastAsia="方正黑体_GBK" w:cs="仿宋_GB2312"/>
          <w:kern w:val="2"/>
          <w:sz w:val="32"/>
          <w:szCs w:val="32"/>
        </w:rPr>
      </w:pPr>
    </w:p>
    <w:p>
      <w:pPr>
        <w:autoSpaceDE w:val="0"/>
        <w:autoSpaceDN w:val="0"/>
        <w:adjustRightInd/>
        <w:spacing w:before="0" w:after="0" w:line="240" w:lineRule="auto"/>
        <w:ind w:right="0"/>
        <w:textAlignment w:val="auto"/>
        <w:rPr>
          <w:rFonts w:hint="eastAsia" w:ascii="Times New Roman" w:hAnsi="Times New Roman" w:eastAsia="方正黑体_GBK" w:cs="仿宋_GB2312"/>
          <w:kern w:val="2"/>
          <w:sz w:val="32"/>
          <w:szCs w:val="32"/>
        </w:rPr>
      </w:pPr>
    </w:p>
    <w:p>
      <w:pPr>
        <w:autoSpaceDE w:val="0"/>
        <w:autoSpaceDN w:val="0"/>
        <w:adjustRightInd/>
        <w:spacing w:before="0" w:after="0" w:line="240" w:lineRule="auto"/>
        <w:ind w:right="0"/>
        <w:textAlignment w:val="auto"/>
        <w:rPr>
          <w:rFonts w:hint="eastAsia" w:ascii="Times New Roman" w:hAnsi="Times New Roman" w:eastAsia="方正黑体_GBK" w:cs="仿宋_GB2312"/>
          <w:kern w:val="2"/>
          <w:sz w:val="32"/>
          <w:szCs w:val="32"/>
        </w:rPr>
        <w:sectPr>
          <w:footerReference r:id="rId3" w:type="default"/>
          <w:pgSz w:w="11906" w:h="16838"/>
          <w:pgMar w:top="1984" w:right="1446" w:bottom="1644" w:left="1446" w:header="851" w:footer="992" w:gutter="0"/>
          <w:cols w:space="425" w:num="1"/>
          <w:docGrid w:type="lines" w:linePitch="312" w:charSpace="0"/>
        </w:sectPr>
      </w:pPr>
    </w:p>
    <w:p>
      <w:pPr>
        <w:autoSpaceDE w:val="0"/>
        <w:autoSpaceDN w:val="0"/>
        <w:adjustRightInd/>
        <w:spacing w:before="0" w:after="0" w:line="240" w:lineRule="auto"/>
        <w:ind w:right="0"/>
        <w:textAlignment w:val="auto"/>
        <w:rPr>
          <w:rFonts w:hint="eastAsia" w:ascii="Times New Roman" w:hAnsi="Times New Roman" w:eastAsia="方正黑体_GBK" w:cs="仿宋_GB2312"/>
          <w:kern w:val="2"/>
          <w:sz w:val="32"/>
          <w:szCs w:val="32"/>
        </w:rPr>
      </w:pPr>
    </w:p>
    <w:p>
      <w:pPr>
        <w:autoSpaceDE w:val="0"/>
        <w:autoSpaceDN w:val="0"/>
        <w:adjustRightInd/>
        <w:spacing w:before="0" w:after="0" w:line="240" w:lineRule="auto"/>
        <w:ind w:right="0"/>
        <w:textAlignment w:val="auto"/>
        <w:rPr>
          <w:rFonts w:ascii="Times New Roman" w:hAnsi="Times New Roman" w:eastAsia="方正黑体_GBK" w:cs="仿宋_GB2312"/>
          <w:kern w:val="2"/>
          <w:sz w:val="32"/>
          <w:szCs w:val="32"/>
        </w:rPr>
      </w:pPr>
      <w:r>
        <w:rPr>
          <w:rFonts w:hint="eastAsia" w:ascii="Times New Roman" w:hAnsi="Times New Roman" w:eastAsia="方正黑体_GBK" w:cs="仿宋_GB2312"/>
          <w:kern w:val="2"/>
          <w:sz w:val="32"/>
          <w:szCs w:val="32"/>
        </w:rPr>
        <w:t>附件</w:t>
      </w:r>
      <w:r>
        <w:rPr>
          <w:rFonts w:ascii="Times New Roman" w:hAnsi="Times New Roman" w:eastAsia="方正黑体_GBK" w:cs="仿宋_GB2312"/>
          <w:kern w:val="2"/>
          <w:sz w:val="32"/>
          <w:szCs w:val="32"/>
        </w:rPr>
        <w:t>1</w:t>
      </w:r>
    </w:p>
    <w:p>
      <w:pPr>
        <w:autoSpaceDE w:val="0"/>
        <w:autoSpaceDN w:val="0"/>
        <w:adjustRightInd/>
        <w:spacing w:before="0" w:after="0" w:line="580" w:lineRule="exact"/>
        <w:ind w:right="0"/>
        <w:jc w:val="center"/>
        <w:textAlignment w:val="auto"/>
        <w:rPr>
          <w:rFonts w:ascii="Times New Roman" w:hAnsi="Times New Roman" w:eastAsia="方正小标宋_GBK" w:cs="Times New Roman"/>
          <w:kern w:val="2"/>
          <w:sz w:val="44"/>
          <w:szCs w:val="44"/>
        </w:rPr>
      </w:pPr>
      <w:r>
        <w:rPr>
          <w:rFonts w:hint="eastAsia" w:ascii="Times New Roman" w:hAnsi="Times New Roman" w:eastAsia="方正小标宋_GBK" w:cs="Times New Roman"/>
          <w:kern w:val="2"/>
          <w:sz w:val="44"/>
          <w:szCs w:val="44"/>
        </w:rPr>
        <w:t>重庆电网第三监管周期输配电价表</w:t>
      </w:r>
    </w:p>
    <w:p>
      <w:pPr>
        <w:wordWrap w:val="0"/>
        <w:autoSpaceDE w:val="0"/>
        <w:autoSpaceDN w:val="0"/>
        <w:adjustRightInd/>
        <w:spacing w:before="0" w:after="0" w:line="240" w:lineRule="auto"/>
        <w:ind w:right="0"/>
        <w:jc w:val="right"/>
        <w:textAlignment w:val="auto"/>
        <w:rPr>
          <w:rFonts w:hint="eastAsia" w:ascii="Times New Roman" w:hAnsi="Times New Roman" w:eastAsia="华文仿宋" w:cs="Times New Roman"/>
          <w:kern w:val="2"/>
          <w:sz w:val="28"/>
          <w:szCs w:val="28"/>
        </w:rPr>
      </w:pPr>
      <w:r>
        <w:rPr>
          <w:rFonts w:hint="eastAsia" w:ascii="Times New Roman" w:hAnsi="Times New Roman" w:eastAsia="仿宋" w:cs="宋体"/>
          <w:color w:val="000000"/>
          <w:kern w:val="0"/>
          <w:sz w:val="21"/>
          <w:szCs w:val="21"/>
        </w:rPr>
        <w:t xml:space="preserve">  </w:t>
      </w:r>
      <w:r>
        <w:rPr>
          <w:rFonts w:ascii="Times New Roman" w:hAnsi="Times New Roman" w:eastAsia="仿宋" w:cs="宋体"/>
          <w:color w:val="000000"/>
          <w:kern w:val="0"/>
          <w:sz w:val="21"/>
          <w:szCs w:val="21"/>
        </w:rPr>
        <w:t xml:space="preserve"> </w:t>
      </w:r>
    </w:p>
    <w:tbl>
      <w:tblPr>
        <w:tblStyle w:val="4"/>
        <w:tblW w:w="13376" w:type="dxa"/>
        <w:tblInd w:w="-2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9"/>
        <w:gridCol w:w="925"/>
        <w:gridCol w:w="945"/>
        <w:gridCol w:w="975"/>
        <w:gridCol w:w="885"/>
        <w:gridCol w:w="930"/>
        <w:gridCol w:w="975"/>
        <w:gridCol w:w="666"/>
        <w:gridCol w:w="687"/>
        <w:gridCol w:w="748"/>
        <w:gridCol w:w="1091"/>
        <w:gridCol w:w="806"/>
        <w:gridCol w:w="826"/>
        <w:gridCol w:w="778"/>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91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用电分类</w:t>
            </w:r>
          </w:p>
        </w:tc>
        <w:tc>
          <w:tcPr>
            <w:tcW w:w="471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电量电价（元/千瓦时）</w:t>
            </w:r>
          </w:p>
        </w:tc>
        <w:tc>
          <w:tcPr>
            <w:tcW w:w="6752" w:type="dxa"/>
            <w:gridSpan w:val="8"/>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容（需）量电价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9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黑体_GBK" w:cs="方正黑体_GBK"/>
                <w:color w:val="000000"/>
                <w:kern w:val="2"/>
                <w:sz w:val="24"/>
                <w:szCs w:val="24"/>
              </w:rPr>
            </w:pPr>
          </w:p>
        </w:tc>
        <w:tc>
          <w:tcPr>
            <w:tcW w:w="4710" w:type="dxa"/>
            <w:gridSpan w:val="5"/>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黑体_GBK" w:cs="方正黑体_GBK"/>
                <w:color w:val="000000"/>
                <w:kern w:val="2"/>
                <w:sz w:val="24"/>
                <w:szCs w:val="24"/>
              </w:rPr>
            </w:pPr>
          </w:p>
        </w:tc>
        <w:tc>
          <w:tcPr>
            <w:tcW w:w="319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需量电价（元/千瓦·月）</w:t>
            </w:r>
          </w:p>
        </w:tc>
        <w:tc>
          <w:tcPr>
            <w:tcW w:w="356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容量电价（元/千伏安·月）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4" w:hRule="atLeast"/>
        </w:trPr>
        <w:tc>
          <w:tcPr>
            <w:tcW w:w="19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黑体_GBK" w:cs="方正黑体_GBK"/>
                <w:color w:val="000000"/>
                <w:kern w:val="2"/>
                <w:sz w:val="24"/>
                <w:szCs w:val="24"/>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不满</w:t>
            </w:r>
          </w:p>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1千伏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1</w:t>
            </w:r>
            <w:r>
              <w:rPr>
                <w:rFonts w:hint="eastAsia" w:ascii="Times New Roman" w:hAnsi="Times New Roman" w:eastAsia="方正黑体_GBK" w:cs="方正黑体_GBK"/>
                <w:color w:val="000000"/>
                <w:kern w:val="0"/>
                <w:sz w:val="24"/>
                <w:szCs w:val="24"/>
                <w:lang w:eastAsia="zh-CN" w:bidi="ar"/>
              </w:rPr>
              <w:t>—</w:t>
            </w:r>
            <w:r>
              <w:rPr>
                <w:rFonts w:hint="eastAsia" w:ascii="Times New Roman" w:hAnsi="Times New Roman" w:eastAsia="方正黑体_GBK" w:cs="方正黑体_GBK"/>
                <w:color w:val="000000"/>
                <w:kern w:val="0"/>
                <w:sz w:val="24"/>
                <w:szCs w:val="24"/>
                <w:lang w:bidi="ar"/>
              </w:rPr>
              <w:t>10千伏</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35</w:t>
            </w:r>
          </w:p>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千伏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110</w:t>
            </w:r>
          </w:p>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千伏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220千伏及以上</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1</w:t>
            </w:r>
            <w:r>
              <w:rPr>
                <w:rFonts w:hint="eastAsia" w:ascii="Times New Roman" w:hAnsi="Times New Roman" w:eastAsia="方正黑体_GBK" w:cs="方正黑体_GBK"/>
                <w:color w:val="000000"/>
                <w:kern w:val="0"/>
                <w:sz w:val="24"/>
                <w:szCs w:val="24"/>
                <w:lang w:eastAsia="zh-CN" w:bidi="ar"/>
              </w:rPr>
              <w:t>—</w:t>
            </w:r>
            <w:r>
              <w:rPr>
                <w:rFonts w:hint="eastAsia" w:ascii="Times New Roman" w:hAnsi="Times New Roman" w:eastAsia="方正黑体_GBK" w:cs="方正黑体_GBK"/>
                <w:color w:val="000000"/>
                <w:kern w:val="0"/>
                <w:sz w:val="24"/>
                <w:szCs w:val="24"/>
                <w:lang w:bidi="ar"/>
              </w:rPr>
              <w:t>10千伏</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35千伏</w:t>
            </w:r>
          </w:p>
        </w:tc>
        <w:tc>
          <w:tcPr>
            <w:tcW w:w="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110千伏</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220千伏及以上</w:t>
            </w:r>
          </w:p>
        </w:tc>
        <w:tc>
          <w:tcPr>
            <w:tcW w:w="8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1</w:t>
            </w:r>
            <w:r>
              <w:rPr>
                <w:rFonts w:hint="eastAsia" w:ascii="Times New Roman" w:hAnsi="Times New Roman" w:eastAsia="方正黑体_GBK" w:cs="方正黑体_GBK"/>
                <w:color w:val="000000"/>
                <w:kern w:val="0"/>
                <w:sz w:val="24"/>
                <w:szCs w:val="24"/>
                <w:lang w:eastAsia="zh-CN" w:bidi="ar"/>
              </w:rPr>
              <w:t>—</w:t>
            </w:r>
            <w:r>
              <w:rPr>
                <w:rFonts w:hint="eastAsia" w:ascii="Times New Roman" w:hAnsi="Times New Roman" w:eastAsia="方正黑体_GBK" w:cs="方正黑体_GBK"/>
                <w:color w:val="000000"/>
                <w:kern w:val="0"/>
                <w:sz w:val="24"/>
                <w:szCs w:val="24"/>
                <w:lang w:bidi="ar"/>
              </w:rPr>
              <w:t>10千伏</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eastAsia" w:ascii="Times New Roman" w:hAnsi="Times New Roman" w:eastAsia="方正黑体_GBK" w:cs="方正黑体_GBK"/>
                <w:color w:val="000000"/>
                <w:kern w:val="0"/>
                <w:sz w:val="24"/>
                <w:szCs w:val="24"/>
                <w:lang w:bidi="ar"/>
              </w:rPr>
            </w:pPr>
            <w:r>
              <w:rPr>
                <w:rFonts w:hint="eastAsia" w:ascii="Times New Roman" w:hAnsi="Times New Roman" w:eastAsia="方正黑体_GBK" w:cs="方正黑体_GBK"/>
                <w:color w:val="000000"/>
                <w:kern w:val="0"/>
                <w:sz w:val="24"/>
                <w:szCs w:val="24"/>
                <w:lang w:bidi="ar"/>
              </w:rPr>
              <w:t>35</w:t>
            </w:r>
          </w:p>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千伏</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110千伏</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黑体_GBK" w:cs="方正黑体_GBK"/>
                <w:color w:val="000000"/>
                <w:kern w:val="2"/>
                <w:sz w:val="24"/>
                <w:szCs w:val="24"/>
              </w:rPr>
            </w:pPr>
            <w:r>
              <w:rPr>
                <w:rFonts w:hint="eastAsia" w:ascii="Times New Roman" w:hAnsi="Times New Roman" w:eastAsia="方正黑体_GBK" w:cs="方正黑体_GBK"/>
                <w:color w:val="000000"/>
                <w:kern w:val="0"/>
                <w:sz w:val="24"/>
                <w:szCs w:val="24"/>
                <w:lang w:bidi="ar"/>
              </w:rPr>
              <w:t>220千伏及以上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5" w:hRule="atLeast"/>
        </w:trPr>
        <w:tc>
          <w:tcPr>
            <w:tcW w:w="989"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工商业用电</w:t>
            </w:r>
          </w:p>
        </w:tc>
        <w:tc>
          <w:tcPr>
            <w:tcW w:w="925"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单一制</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0.2321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0.2121</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0.1922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0.1774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6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7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5" w:hRule="atLeast"/>
        </w:trPr>
        <w:tc>
          <w:tcPr>
            <w:tcW w:w="98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两部制</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仿宋_GBK" w:cs="Times New Roman"/>
                <w:color w:val="000000"/>
                <w:kern w:val="2"/>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0.1529 </w:t>
            </w:r>
          </w:p>
        </w:tc>
        <w:tc>
          <w:tcPr>
            <w:tcW w:w="8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0.1271 </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0.1078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0.0885 </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35.2 </w:t>
            </w:r>
          </w:p>
        </w:tc>
        <w:tc>
          <w:tcPr>
            <w:tcW w:w="6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35.2 </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32.0 </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32.0 </w:t>
            </w:r>
          </w:p>
        </w:tc>
        <w:tc>
          <w:tcPr>
            <w:tcW w:w="8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22.0 </w:t>
            </w:r>
          </w:p>
        </w:tc>
        <w:tc>
          <w:tcPr>
            <w:tcW w:w="8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22.0 </w:t>
            </w:r>
          </w:p>
        </w:tc>
        <w:tc>
          <w:tcPr>
            <w:tcW w:w="7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20.0 </w:t>
            </w:r>
          </w:p>
        </w:tc>
        <w:tc>
          <w:tcPr>
            <w:tcW w:w="11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after="0" w:line="240" w:lineRule="exact"/>
              <w:jc w:val="center"/>
              <w:textAlignment w:val="center"/>
              <w:rPr>
                <w:rFonts w:hint="default" w:ascii="Times New Roman" w:hAnsi="Times New Roman" w:eastAsia="方正仿宋_GBK" w:cs="Times New Roman"/>
                <w:color w:val="000000"/>
                <w:kern w:val="2"/>
                <w:sz w:val="24"/>
                <w:szCs w:val="24"/>
              </w:rPr>
            </w:pPr>
            <w:r>
              <w:rPr>
                <w:rFonts w:hint="default" w:ascii="Times New Roman" w:hAnsi="Times New Roman" w:eastAsia="方正仿宋_GBK" w:cs="Times New Roman"/>
                <w:color w:val="000000"/>
                <w:kern w:val="0"/>
                <w:sz w:val="24"/>
                <w:szCs w:val="24"/>
                <w:lang w:bidi="ar"/>
              </w:rPr>
              <w:t xml:space="preserve">20.0 </w:t>
            </w:r>
          </w:p>
        </w:tc>
      </w:tr>
    </w:tbl>
    <w:p>
      <w:pPr>
        <w:tabs>
          <w:tab w:val="left" w:pos="927"/>
        </w:tabs>
        <w:adjustRightInd/>
        <w:spacing w:before="0" w:after="0" w:line="420" w:lineRule="exact"/>
        <w:ind w:left="0" w:leftChars="0" w:firstLine="480" w:firstLineChars="200"/>
        <w:jc w:val="both"/>
        <w:textAlignment w:val="baseline"/>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注：1</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表中各电价含增值税、区域电网容量电费、对居民和农业用户的基期交叉补贴，不含政府性基金及附加、上网环节线损费用、抽水蓄能容量电费。</w:t>
      </w:r>
    </w:p>
    <w:p>
      <w:pPr>
        <w:adjustRightInd/>
        <w:spacing w:before="0" w:after="0" w:line="420" w:lineRule="exact"/>
        <w:ind w:left="254" w:leftChars="121" w:firstLine="547" w:firstLineChars="228"/>
        <w:jc w:val="left"/>
        <w:textAlignment w:val="baseline"/>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原包含在输配电价内的上网环节线损费用在输配电价外单列，上网环节综合线损率为4.25%。</w:t>
      </w:r>
    </w:p>
    <w:p>
      <w:pPr>
        <w:adjustRightInd/>
        <w:spacing w:before="0" w:after="0" w:line="420" w:lineRule="exact"/>
        <w:ind w:left="0" w:leftChars="0" w:firstLine="938" w:firstLineChars="391"/>
        <w:jc w:val="left"/>
        <w:textAlignment w:val="baseline"/>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spacing w:val="-6"/>
          <w:kern w:val="0"/>
          <w:sz w:val="24"/>
          <w:szCs w:val="24"/>
        </w:rPr>
        <w:t>原包含在输配电价内的抽水蓄能容量电费在输配电价外单列，第三监管周期各年度容量电费分别为3.08亿元、7.05亿元和7.05亿元（含税）。</w:t>
      </w:r>
    </w:p>
    <w:p>
      <w:pPr>
        <w:adjustRightInd/>
        <w:spacing w:before="0" w:after="0" w:line="420" w:lineRule="exact"/>
        <w:ind w:left="0" w:leftChars="0" w:firstLine="912" w:firstLineChars="380"/>
        <w:jc w:val="left"/>
        <w:textAlignment w:val="baseline"/>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工商业用户执行上述输配电价表，居民生活、农业生产用电继续执行现行目录销售电价政策。</w:t>
      </w:r>
    </w:p>
    <w:p>
      <w:pPr>
        <w:adjustRightInd/>
        <w:spacing w:before="0" w:after="0" w:line="420" w:lineRule="exact"/>
        <w:ind w:left="0" w:leftChars="0" w:firstLine="912" w:firstLineChars="380"/>
        <w:jc w:val="left"/>
        <w:textAlignment w:val="baseline"/>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kern w:val="0"/>
          <w:sz w:val="24"/>
          <w:szCs w:val="24"/>
        </w:rPr>
        <w:t>500千</w:t>
      </w:r>
      <w:r>
        <w:rPr>
          <w:rFonts w:hint="eastAsia" w:ascii="方正仿宋_GBK" w:hAnsi="方正仿宋_GBK" w:eastAsia="方正仿宋_GBK" w:cs="方正仿宋_GBK"/>
          <w:kern w:val="0"/>
          <w:sz w:val="24"/>
          <w:szCs w:val="24"/>
        </w:rPr>
        <w:t>伏“网对网”</w:t>
      </w:r>
      <w:r>
        <w:rPr>
          <w:rFonts w:hint="default" w:ascii="Times New Roman" w:hAnsi="Times New Roman" w:eastAsia="方正仿宋_GBK" w:cs="Times New Roman"/>
          <w:kern w:val="0"/>
          <w:sz w:val="24"/>
          <w:szCs w:val="24"/>
        </w:rPr>
        <w:t>外送电省外购电用户承担的送出省输电价格为不超过每千瓦时0.0242元（含税、含线损）。</w:t>
      </w:r>
    </w:p>
    <w:p>
      <w:pPr>
        <w:adjustRightInd/>
        <w:spacing w:before="0" w:after="0" w:line="580" w:lineRule="exact"/>
        <w:ind w:left="420" w:leftChars="0" w:hanging="420" w:hangingChars="200"/>
        <w:jc w:val="both"/>
        <w:textAlignment w:val="baseline"/>
        <w:rPr>
          <w:rFonts w:hint="eastAsia" w:ascii="Times New Roman" w:hAnsi="Times New Roman" w:eastAsia="方正黑体_GBK" w:cs="方正黑体_GBK"/>
          <w:kern w:val="0"/>
          <w:sz w:val="32"/>
          <w:szCs w:val="32"/>
          <w:lang w:val="en-US" w:eastAsia="zh-CN"/>
        </w:rPr>
      </w:pPr>
      <w:r>
        <w:rPr>
          <w:rFonts w:hint="eastAsia" w:ascii="Times New Roman" w:hAnsi="Times New Roman" w:eastAsia="宋体" w:cs="Times New Roman"/>
          <w:kern w:val="0"/>
          <w:sz w:val="21"/>
          <w:szCs w:val="32"/>
        </w:rPr>
        <w:br w:type="page"/>
      </w:r>
      <w:r>
        <w:rPr>
          <w:rFonts w:hint="eastAsia" w:ascii="Times New Roman" w:hAnsi="Times New Roman" w:eastAsia="方正黑体_GBK" w:cs="方正黑体_GBK"/>
          <w:kern w:val="0"/>
          <w:sz w:val="32"/>
          <w:szCs w:val="32"/>
          <w:lang w:eastAsia="zh-CN"/>
        </w:rPr>
        <w:t>附件</w:t>
      </w:r>
      <w:r>
        <w:rPr>
          <w:rFonts w:hint="eastAsia" w:ascii="Times New Roman" w:hAnsi="Times New Roman" w:eastAsia="方正黑体_GBK" w:cs="方正黑体_GBK"/>
          <w:kern w:val="0"/>
          <w:sz w:val="32"/>
          <w:szCs w:val="32"/>
          <w:lang w:val="en-US" w:eastAsia="zh-CN"/>
        </w:rPr>
        <w:t>2</w:t>
      </w:r>
    </w:p>
    <w:p>
      <w:pPr>
        <w:adjustRightInd/>
        <w:spacing w:before="0" w:after="0" w:line="580" w:lineRule="exact"/>
        <w:ind w:left="880" w:leftChars="0" w:hanging="880" w:hangingChars="200"/>
        <w:jc w:val="center"/>
        <w:textAlignment w:val="baseline"/>
        <w:rPr>
          <w:rFonts w:hint="eastAsia" w:ascii="Times New Roman" w:hAnsi="Times New Roman" w:eastAsia="方正小标宋_GBK" w:cs="宋体"/>
          <w:color w:val="000000"/>
          <w:kern w:val="0"/>
          <w:sz w:val="40"/>
          <w:szCs w:val="40"/>
        </w:rPr>
      </w:pPr>
      <w:r>
        <w:rPr>
          <w:rFonts w:hint="eastAsia" w:ascii="Times New Roman" w:hAnsi="Times New Roman" w:eastAsia="方正小标宋_GBK" w:cs="宋体"/>
          <w:color w:val="000000"/>
          <w:kern w:val="0"/>
          <w:sz w:val="44"/>
          <w:szCs w:val="44"/>
        </w:rPr>
        <w:t>重庆电网销售电价表</w:t>
      </w:r>
    </w:p>
    <w:tbl>
      <w:tblPr>
        <w:tblStyle w:val="4"/>
        <w:tblW w:w="12966" w:type="dxa"/>
        <w:tblInd w:w="0" w:type="dxa"/>
        <w:tblLayout w:type="fixed"/>
        <w:tblCellMar>
          <w:top w:w="0" w:type="dxa"/>
          <w:left w:w="108" w:type="dxa"/>
          <w:bottom w:w="0" w:type="dxa"/>
          <w:right w:w="108" w:type="dxa"/>
        </w:tblCellMar>
      </w:tblPr>
      <w:tblGrid>
        <w:gridCol w:w="6739"/>
        <w:gridCol w:w="1424"/>
        <w:gridCol w:w="1291"/>
        <w:gridCol w:w="1258"/>
        <w:gridCol w:w="1066"/>
        <w:gridCol w:w="1188"/>
      </w:tblGrid>
      <w:tr>
        <w:tblPrEx>
          <w:tblLayout w:type="fixed"/>
          <w:tblCellMar>
            <w:top w:w="0" w:type="dxa"/>
            <w:left w:w="108" w:type="dxa"/>
            <w:bottom w:w="0" w:type="dxa"/>
            <w:right w:w="108" w:type="dxa"/>
          </w:tblCellMar>
        </w:tblPrEx>
        <w:trPr>
          <w:trHeight w:val="389" w:hRule="atLeast"/>
        </w:trPr>
        <w:tc>
          <w:tcPr>
            <w:tcW w:w="67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用   电  分  类</w:t>
            </w:r>
          </w:p>
        </w:tc>
        <w:tc>
          <w:tcPr>
            <w:tcW w:w="6227"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default"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电  度  电  价（元/千瓦时）</w:t>
            </w:r>
          </w:p>
        </w:tc>
      </w:tr>
      <w:tr>
        <w:tblPrEx>
          <w:tblLayout w:type="fixed"/>
          <w:tblCellMar>
            <w:top w:w="0" w:type="dxa"/>
            <w:left w:w="108" w:type="dxa"/>
            <w:bottom w:w="0" w:type="dxa"/>
            <w:right w:w="108" w:type="dxa"/>
          </w:tblCellMar>
        </w:tblPrEx>
        <w:trPr>
          <w:trHeight w:val="397" w:hRule="atLeast"/>
        </w:trPr>
        <w:tc>
          <w:tcPr>
            <w:tcW w:w="6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left"/>
              <w:textAlignment w:val="auto"/>
              <w:rPr>
                <w:rFonts w:hint="eastAsia" w:ascii="Times New Roman" w:hAnsi="Times New Roman" w:eastAsia="方正黑体_GBK" w:cs="方正黑体_GBK"/>
                <w:b w:val="0"/>
                <w:bCs w:val="0"/>
                <w:color w:val="000000"/>
                <w:kern w:val="0"/>
                <w:sz w:val="24"/>
                <w:szCs w:val="24"/>
              </w:rPr>
            </w:pPr>
          </w:p>
        </w:tc>
        <w:tc>
          <w:tcPr>
            <w:tcW w:w="14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不满1千伏</w:t>
            </w:r>
          </w:p>
        </w:tc>
        <w:tc>
          <w:tcPr>
            <w:tcW w:w="1291"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1</w:t>
            </w:r>
            <w:r>
              <w:rPr>
                <w:rFonts w:hint="eastAsia" w:ascii="Times New Roman" w:hAnsi="Times New Roman" w:eastAsia="方正黑体_GBK" w:cs="方正黑体_GBK"/>
                <w:b w:val="0"/>
                <w:bCs w:val="0"/>
                <w:color w:val="000000"/>
                <w:kern w:val="0"/>
                <w:sz w:val="24"/>
                <w:szCs w:val="24"/>
                <w:lang w:eastAsia="zh-CN"/>
              </w:rPr>
              <w:t>—</w:t>
            </w:r>
            <w:r>
              <w:rPr>
                <w:rFonts w:hint="eastAsia" w:ascii="Times New Roman" w:hAnsi="Times New Roman" w:eastAsia="方正黑体_GBK" w:cs="方正黑体_GBK"/>
                <w:b w:val="0"/>
                <w:bCs w:val="0"/>
                <w:color w:val="000000"/>
                <w:kern w:val="0"/>
                <w:sz w:val="24"/>
                <w:szCs w:val="24"/>
              </w:rPr>
              <w:t>10千伏</w:t>
            </w:r>
          </w:p>
        </w:tc>
        <w:tc>
          <w:tcPr>
            <w:tcW w:w="125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35</w:t>
            </w:r>
            <w:r>
              <w:rPr>
                <w:rFonts w:hint="eastAsia" w:ascii="Times New Roman" w:hAnsi="Times New Roman" w:eastAsia="方正黑体_GBK" w:cs="方正黑体_GBK"/>
                <w:b w:val="0"/>
                <w:bCs w:val="0"/>
                <w:color w:val="000000"/>
                <w:kern w:val="0"/>
                <w:sz w:val="24"/>
                <w:szCs w:val="24"/>
                <w:lang w:eastAsia="zh-CN"/>
              </w:rPr>
              <w:t>—</w:t>
            </w:r>
            <w:r>
              <w:rPr>
                <w:rFonts w:hint="eastAsia" w:ascii="Times New Roman" w:hAnsi="Times New Roman" w:eastAsia="方正黑体_GBK" w:cs="方正黑体_GBK"/>
                <w:b w:val="0"/>
                <w:bCs w:val="0"/>
                <w:color w:val="000000"/>
                <w:kern w:val="0"/>
                <w:sz w:val="24"/>
                <w:szCs w:val="24"/>
              </w:rPr>
              <w:t>110</w:t>
            </w:r>
          </w:p>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千伏以下</w:t>
            </w:r>
          </w:p>
        </w:tc>
        <w:tc>
          <w:tcPr>
            <w:tcW w:w="106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110千伏</w:t>
            </w:r>
          </w:p>
        </w:tc>
        <w:tc>
          <w:tcPr>
            <w:tcW w:w="11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方正黑体_GBK" w:cs="方正黑体_GBK"/>
                <w:b w:val="0"/>
                <w:bCs w:val="0"/>
                <w:color w:val="000000"/>
                <w:kern w:val="0"/>
                <w:sz w:val="24"/>
                <w:szCs w:val="24"/>
              </w:rPr>
            </w:pPr>
            <w:r>
              <w:rPr>
                <w:rFonts w:hint="eastAsia" w:ascii="Times New Roman" w:hAnsi="Times New Roman" w:eastAsia="方正黑体_GBK" w:cs="方正黑体_GBK"/>
                <w:b w:val="0"/>
                <w:bCs w:val="0"/>
                <w:color w:val="000000"/>
                <w:kern w:val="0"/>
                <w:sz w:val="24"/>
                <w:szCs w:val="24"/>
              </w:rPr>
              <w:t>220千伏及以上</w:t>
            </w:r>
          </w:p>
        </w:tc>
      </w:tr>
      <w:tr>
        <w:tblPrEx>
          <w:tblLayout w:type="fixed"/>
          <w:tblCellMar>
            <w:top w:w="0" w:type="dxa"/>
            <w:left w:w="108" w:type="dxa"/>
            <w:bottom w:w="0" w:type="dxa"/>
            <w:right w:w="108" w:type="dxa"/>
          </w:tblCellMar>
        </w:tblPrEx>
        <w:trPr>
          <w:trHeight w:val="312" w:hRule="atLeast"/>
        </w:trPr>
        <w:tc>
          <w:tcPr>
            <w:tcW w:w="67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val="0"/>
              <w:adjustRightInd/>
              <w:spacing w:after="0" w:line="240" w:lineRule="auto"/>
              <w:jc w:val="left"/>
              <w:textAlignment w:val="auto"/>
              <w:rPr>
                <w:rFonts w:hint="default" w:ascii="Times New Roman" w:hAnsi="Times New Roman" w:eastAsia="仿宋" w:cs="宋体"/>
                <w:b/>
                <w:bCs/>
                <w:color w:val="000000"/>
                <w:kern w:val="0"/>
                <w:sz w:val="24"/>
                <w:szCs w:val="24"/>
              </w:rPr>
            </w:pPr>
          </w:p>
        </w:tc>
        <w:tc>
          <w:tcPr>
            <w:tcW w:w="1424" w:type="dxa"/>
            <w:vMerge w:val="continue"/>
            <w:tcBorders>
              <w:top w:val="nil"/>
              <w:left w:val="single" w:color="auto" w:sz="4" w:space="0"/>
              <w:bottom w:val="single" w:color="auto" w:sz="4" w:space="0"/>
              <w:right w:val="single" w:color="auto" w:sz="4" w:space="0"/>
            </w:tcBorders>
            <w:noWrap w:val="0"/>
            <w:vAlign w:val="center"/>
          </w:tcPr>
          <w:p>
            <w:pPr>
              <w:widowControl w:val="0"/>
              <w:adjustRightInd/>
              <w:spacing w:after="0" w:line="240" w:lineRule="auto"/>
              <w:jc w:val="left"/>
              <w:textAlignment w:val="auto"/>
              <w:rPr>
                <w:rFonts w:hint="default" w:ascii="Times New Roman" w:hAnsi="Times New Roman" w:eastAsia="仿宋" w:cs="宋体"/>
                <w:b/>
                <w:bCs/>
                <w:color w:val="000000"/>
                <w:kern w:val="0"/>
                <w:sz w:val="24"/>
                <w:szCs w:val="24"/>
              </w:rPr>
            </w:pPr>
          </w:p>
        </w:tc>
        <w:tc>
          <w:tcPr>
            <w:tcW w:w="1291" w:type="dxa"/>
            <w:vMerge w:val="continue"/>
            <w:tcBorders>
              <w:top w:val="nil"/>
              <w:left w:val="single" w:color="auto" w:sz="4" w:space="0"/>
              <w:bottom w:val="single" w:color="auto" w:sz="4" w:space="0"/>
              <w:right w:val="single" w:color="auto" w:sz="4" w:space="0"/>
            </w:tcBorders>
            <w:noWrap w:val="0"/>
            <w:vAlign w:val="center"/>
          </w:tcPr>
          <w:p>
            <w:pPr>
              <w:widowControl w:val="0"/>
              <w:adjustRightInd/>
              <w:spacing w:after="0" w:line="240" w:lineRule="auto"/>
              <w:jc w:val="left"/>
              <w:textAlignment w:val="auto"/>
              <w:rPr>
                <w:rFonts w:hint="default" w:ascii="Times New Roman" w:hAnsi="Times New Roman" w:eastAsia="仿宋" w:cs="宋体"/>
                <w:b/>
                <w:bCs/>
                <w:color w:val="000000"/>
                <w:kern w:val="0"/>
                <w:sz w:val="24"/>
                <w:szCs w:val="24"/>
              </w:rPr>
            </w:pPr>
          </w:p>
        </w:tc>
        <w:tc>
          <w:tcPr>
            <w:tcW w:w="1258" w:type="dxa"/>
            <w:vMerge w:val="continue"/>
            <w:tcBorders>
              <w:top w:val="nil"/>
              <w:left w:val="single" w:color="auto" w:sz="4" w:space="0"/>
              <w:bottom w:val="single" w:color="auto" w:sz="4" w:space="0"/>
              <w:right w:val="single" w:color="auto" w:sz="4" w:space="0"/>
            </w:tcBorders>
            <w:noWrap w:val="0"/>
            <w:vAlign w:val="center"/>
          </w:tcPr>
          <w:p>
            <w:pPr>
              <w:widowControl w:val="0"/>
              <w:adjustRightInd/>
              <w:spacing w:after="0" w:line="240" w:lineRule="auto"/>
              <w:jc w:val="left"/>
              <w:textAlignment w:val="auto"/>
              <w:rPr>
                <w:rFonts w:hint="default" w:ascii="Times New Roman" w:hAnsi="Times New Roman" w:eastAsia="仿宋" w:cs="宋体"/>
                <w:b/>
                <w:bCs/>
                <w:color w:val="000000"/>
                <w:kern w:val="0"/>
                <w:sz w:val="24"/>
                <w:szCs w:val="24"/>
              </w:rPr>
            </w:pPr>
          </w:p>
        </w:tc>
        <w:tc>
          <w:tcPr>
            <w:tcW w:w="1066" w:type="dxa"/>
            <w:vMerge w:val="continue"/>
            <w:tcBorders>
              <w:top w:val="nil"/>
              <w:left w:val="single" w:color="auto" w:sz="4" w:space="0"/>
              <w:bottom w:val="single" w:color="auto" w:sz="4" w:space="0"/>
              <w:right w:val="single" w:color="auto" w:sz="4" w:space="0"/>
            </w:tcBorders>
            <w:noWrap w:val="0"/>
            <w:vAlign w:val="center"/>
          </w:tcPr>
          <w:p>
            <w:pPr>
              <w:widowControl w:val="0"/>
              <w:adjustRightInd/>
              <w:spacing w:after="0" w:line="240" w:lineRule="auto"/>
              <w:jc w:val="left"/>
              <w:textAlignment w:val="auto"/>
              <w:rPr>
                <w:rFonts w:hint="default" w:ascii="Times New Roman" w:hAnsi="Times New Roman" w:eastAsia="仿宋" w:cs="宋体"/>
                <w:b/>
                <w:bCs/>
                <w:color w:val="000000"/>
                <w:kern w:val="0"/>
                <w:sz w:val="24"/>
                <w:szCs w:val="24"/>
              </w:rPr>
            </w:pPr>
          </w:p>
        </w:tc>
        <w:tc>
          <w:tcPr>
            <w:tcW w:w="1188" w:type="dxa"/>
            <w:vMerge w:val="continue"/>
            <w:tcBorders>
              <w:top w:val="nil"/>
              <w:left w:val="single" w:color="auto" w:sz="4" w:space="0"/>
              <w:bottom w:val="single" w:color="auto" w:sz="4" w:space="0"/>
              <w:right w:val="single" w:color="auto" w:sz="4" w:space="0"/>
            </w:tcBorders>
            <w:noWrap w:val="0"/>
            <w:vAlign w:val="center"/>
          </w:tcPr>
          <w:p>
            <w:pPr>
              <w:widowControl w:val="0"/>
              <w:adjustRightInd/>
              <w:spacing w:after="0" w:line="240" w:lineRule="auto"/>
              <w:jc w:val="left"/>
              <w:textAlignment w:val="auto"/>
              <w:rPr>
                <w:rFonts w:hint="default" w:ascii="Times New Roman" w:hAnsi="Times New Roman" w:eastAsia="仿宋" w:cs="宋体"/>
                <w:b/>
                <w:bCs/>
                <w:color w:val="000000"/>
                <w:kern w:val="0"/>
                <w:sz w:val="24"/>
                <w:szCs w:val="24"/>
              </w:rPr>
            </w:pPr>
          </w:p>
        </w:tc>
      </w:tr>
      <w:tr>
        <w:tblPrEx>
          <w:tblLayout w:type="fixed"/>
          <w:tblCellMar>
            <w:top w:w="0" w:type="dxa"/>
            <w:left w:w="108" w:type="dxa"/>
            <w:bottom w:w="0" w:type="dxa"/>
            <w:right w:w="108" w:type="dxa"/>
          </w:tblCellMar>
        </w:tblPrEx>
        <w:trPr>
          <w:trHeight w:val="49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一、居民生活用电</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r>
      <w:tr>
        <w:tblPrEx>
          <w:tblLayout w:type="fixed"/>
          <w:tblCellMar>
            <w:top w:w="0" w:type="dxa"/>
            <w:left w:w="108" w:type="dxa"/>
            <w:bottom w:w="0" w:type="dxa"/>
            <w:right w:w="108" w:type="dxa"/>
          </w:tblCellMar>
        </w:tblPrEx>
        <w:trPr>
          <w:trHeight w:val="55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其中：城乡“一户一表”居民用户年用电量2400度（含）以内</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0.5200 </w:t>
            </w: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0.5100 </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43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      城乡“一户一表”居民用户年用电量2401度</w:t>
            </w:r>
            <w:r>
              <w:rPr>
                <w:rFonts w:hint="eastAsia" w:ascii="Times New Roman" w:hAnsi="Times New Roman" w:eastAsia="方正仿宋_GBK" w:cs="宋体"/>
                <w:color w:val="000000"/>
                <w:kern w:val="0"/>
                <w:sz w:val="24"/>
                <w:szCs w:val="24"/>
                <w:lang w:eastAsia="zh-CN"/>
              </w:rPr>
              <w:t>-</w:t>
            </w:r>
            <w:r>
              <w:rPr>
                <w:rFonts w:hint="eastAsia" w:ascii="Times New Roman" w:hAnsi="Times New Roman" w:eastAsia="方正仿宋_GBK" w:cs="宋体"/>
                <w:color w:val="000000"/>
                <w:kern w:val="0"/>
                <w:sz w:val="24"/>
                <w:szCs w:val="24"/>
              </w:rPr>
              <w:t>4800度（含）</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0.5700 </w:t>
            </w: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0.5600 </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40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      城乡“一户一表”居民用户年用电量4801度（含）以上</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0.8200 </w:t>
            </w: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0.8100 </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46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      居民合表用户</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0.5400 </w:t>
            </w: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0.5300 </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0.5300 </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0.5300 </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40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      趸售居民生活用电</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0.3340</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0.3340</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0.3340</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r>
      <w:tr>
        <w:tblPrEx>
          <w:tblLayout w:type="fixed"/>
          <w:tblCellMar>
            <w:top w:w="0" w:type="dxa"/>
            <w:left w:w="108" w:type="dxa"/>
            <w:bottom w:w="0" w:type="dxa"/>
            <w:right w:w="108" w:type="dxa"/>
          </w:tblCellMar>
        </w:tblPrEx>
        <w:trPr>
          <w:trHeight w:val="480"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二、农业生产用电</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eastAsia" w:ascii="方正黑体_GBK" w:hAnsi="方正黑体_GBK" w:eastAsia="方正黑体_GBK" w:cs="方正黑体_GBK"/>
                <w:color w:val="000000"/>
                <w:kern w:val="0"/>
                <w:sz w:val="24"/>
                <w:szCs w:val="24"/>
              </w:rPr>
            </w:pPr>
            <w:r>
              <w:rPr>
                <w:rFonts w:hint="eastAsia" w:ascii="方正黑体_GBK" w:hAnsi="方正黑体_GBK" w:eastAsia="方正黑体_GBK" w:cs="方正黑体_GBK"/>
                <w:color w:val="000000"/>
                <w:kern w:val="0"/>
                <w:sz w:val="24"/>
                <w:szCs w:val="24"/>
              </w:rPr>
              <w:t>　</w:t>
            </w:r>
          </w:p>
        </w:tc>
      </w:tr>
      <w:tr>
        <w:tblPrEx>
          <w:tblLayout w:type="fixed"/>
          <w:tblCellMar>
            <w:top w:w="0" w:type="dxa"/>
            <w:left w:w="108" w:type="dxa"/>
            <w:bottom w:w="0" w:type="dxa"/>
            <w:right w:w="108" w:type="dxa"/>
          </w:tblCellMar>
        </w:tblPrEx>
        <w:trPr>
          <w:trHeight w:val="43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1</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color w:val="000000"/>
                <w:kern w:val="0"/>
                <w:sz w:val="24"/>
                <w:szCs w:val="24"/>
              </w:rPr>
              <w:t>一般</w:t>
            </w:r>
            <w:r>
              <w:rPr>
                <w:rFonts w:hint="eastAsia" w:ascii="Times New Roman" w:hAnsi="Times New Roman" w:eastAsia="方正仿宋_GBK" w:cs="宋体"/>
                <w:color w:val="000000"/>
                <w:kern w:val="0"/>
                <w:sz w:val="24"/>
                <w:szCs w:val="24"/>
              </w:rPr>
              <w:t>农业生产用电</w:t>
            </w:r>
          </w:p>
        </w:tc>
        <w:tc>
          <w:tcPr>
            <w:tcW w:w="1424" w:type="dxa"/>
            <w:tcBorders>
              <w:top w:val="nil"/>
              <w:left w:val="nil"/>
              <w:bottom w:val="single" w:color="auto" w:sz="4" w:space="0"/>
              <w:right w:val="single" w:color="auto" w:sz="4" w:space="0"/>
            </w:tcBorders>
            <w:noWrap w:val="0"/>
            <w:vAlign w:val="top"/>
          </w:tcPr>
          <w:p>
            <w:pPr>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0.5680</w:t>
            </w:r>
          </w:p>
        </w:tc>
        <w:tc>
          <w:tcPr>
            <w:tcW w:w="1291" w:type="dxa"/>
            <w:tcBorders>
              <w:top w:val="nil"/>
              <w:left w:val="nil"/>
              <w:bottom w:val="single" w:color="auto" w:sz="4" w:space="0"/>
              <w:right w:val="single" w:color="auto" w:sz="4" w:space="0"/>
            </w:tcBorders>
            <w:noWrap w:val="0"/>
            <w:vAlign w:val="top"/>
          </w:tcPr>
          <w:p>
            <w:pPr>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0.5530</w:t>
            </w:r>
          </w:p>
        </w:tc>
        <w:tc>
          <w:tcPr>
            <w:tcW w:w="1258" w:type="dxa"/>
            <w:tcBorders>
              <w:top w:val="nil"/>
              <w:left w:val="nil"/>
              <w:bottom w:val="single" w:color="auto" w:sz="4" w:space="0"/>
              <w:right w:val="single" w:color="auto" w:sz="4" w:space="0"/>
            </w:tcBorders>
            <w:noWrap w:val="0"/>
            <w:vAlign w:val="top"/>
          </w:tcPr>
          <w:p>
            <w:pPr>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0.5380</w:t>
            </w:r>
          </w:p>
        </w:tc>
        <w:tc>
          <w:tcPr>
            <w:tcW w:w="1066" w:type="dxa"/>
            <w:tcBorders>
              <w:top w:val="single" w:color="auto" w:sz="4" w:space="0"/>
              <w:left w:val="single" w:color="auto" w:sz="4" w:space="0"/>
              <w:bottom w:val="single" w:color="auto" w:sz="4" w:space="0"/>
              <w:right w:val="single" w:color="auto" w:sz="4" w:space="0"/>
            </w:tcBorders>
            <w:noWrap w:val="0"/>
            <w:vAlign w:val="top"/>
          </w:tcPr>
          <w:p>
            <w:pPr>
              <w:adjustRightInd/>
              <w:spacing w:after="0" w:line="240" w:lineRule="auto"/>
              <w:jc w:val="left"/>
              <w:textAlignment w:val="auto"/>
              <w:rPr>
                <w:rFonts w:hint="default" w:ascii="Times New Roman" w:hAnsi="Times New Roman" w:eastAsia="方正仿宋_GBK" w:cs="宋体"/>
                <w:color w:val="000000"/>
                <w:kern w:val="0"/>
                <w:sz w:val="24"/>
                <w:szCs w:val="24"/>
              </w:rPr>
            </w:pP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r>
      <w:tr>
        <w:tblPrEx>
          <w:tblLayout w:type="fixed"/>
          <w:tblCellMar>
            <w:top w:w="0" w:type="dxa"/>
            <w:left w:w="108" w:type="dxa"/>
            <w:bottom w:w="0" w:type="dxa"/>
            <w:right w:w="108" w:type="dxa"/>
          </w:tblCellMar>
        </w:tblPrEx>
        <w:trPr>
          <w:trHeight w:val="40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w:t>
            </w:r>
            <w:r>
              <w:rPr>
                <w:rFonts w:hint="eastAsia" w:ascii="Times New Roman" w:hAnsi="Times New Roman" w:eastAsia="方正仿宋_GBK" w:cs="宋体"/>
                <w:color w:val="000000"/>
                <w:kern w:val="0"/>
                <w:sz w:val="24"/>
                <w:szCs w:val="24"/>
                <w:lang w:eastAsia="zh-CN"/>
              </w:rPr>
              <w:t>：</w:t>
            </w:r>
            <w:r>
              <w:rPr>
                <w:rFonts w:hint="eastAsia" w:ascii="Times New Roman" w:hAnsi="Times New Roman" w:eastAsia="方正仿宋_GBK" w:cs="宋体"/>
                <w:color w:val="000000"/>
                <w:kern w:val="0"/>
                <w:sz w:val="24"/>
                <w:szCs w:val="24"/>
              </w:rPr>
              <w:t>趸售农业生产用电</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0.4278</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0.4178</w:t>
            </w:r>
          </w:p>
        </w:tc>
        <w:tc>
          <w:tcPr>
            <w:tcW w:w="1066"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0.4128</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r>
      <w:tr>
        <w:tblPrEx>
          <w:tblLayout w:type="fixed"/>
          <w:tblCellMar>
            <w:top w:w="0" w:type="dxa"/>
            <w:left w:w="108" w:type="dxa"/>
            <w:bottom w:w="0" w:type="dxa"/>
            <w:right w:w="108" w:type="dxa"/>
          </w:tblCellMar>
        </w:tblPrEx>
        <w:trPr>
          <w:trHeight w:val="46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default" w:ascii="Times New Roman" w:hAnsi="Times New Roman" w:eastAsia="方正仿宋_GBK" w:cs="Times New Roman"/>
                <w:color w:val="000000"/>
                <w:kern w:val="0"/>
                <w:sz w:val="24"/>
                <w:szCs w:val="24"/>
              </w:rPr>
              <w:t>2</w:t>
            </w:r>
            <w:r>
              <w:rPr>
                <w:rFonts w:hint="default" w:ascii="Times New Roman" w:hAnsi="Times New Roman" w:eastAsia="方正仿宋_GBK" w:cs="Times New Roman"/>
                <w:kern w:val="0"/>
                <w:sz w:val="24"/>
                <w:szCs w:val="24"/>
                <w:lang w:eastAsia="zh-CN"/>
              </w:rPr>
              <w:t>．</w:t>
            </w:r>
            <w:r>
              <w:rPr>
                <w:rFonts w:hint="default" w:ascii="Times New Roman" w:hAnsi="Times New Roman" w:eastAsia="方正仿宋_GBK" w:cs="Times New Roman"/>
                <w:color w:val="000000"/>
                <w:kern w:val="0"/>
                <w:sz w:val="24"/>
                <w:szCs w:val="24"/>
              </w:rPr>
              <w:t>农业排灌用</w:t>
            </w:r>
            <w:r>
              <w:rPr>
                <w:rFonts w:hint="eastAsia" w:ascii="Times New Roman" w:hAnsi="Times New Roman" w:eastAsia="方正仿宋_GBK" w:cs="宋体"/>
                <w:color w:val="000000"/>
                <w:kern w:val="0"/>
                <w:sz w:val="24"/>
                <w:szCs w:val="24"/>
              </w:rPr>
              <w:t>电</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0.3342</w:t>
            </w: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0.3192</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0.3042</w:t>
            </w:r>
          </w:p>
        </w:tc>
        <w:tc>
          <w:tcPr>
            <w:tcW w:w="1066"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r>
      <w:tr>
        <w:tblPrEx>
          <w:tblLayout w:type="fixed"/>
          <w:tblCellMar>
            <w:top w:w="0" w:type="dxa"/>
            <w:left w:w="108" w:type="dxa"/>
            <w:bottom w:w="0" w:type="dxa"/>
            <w:right w:w="108" w:type="dxa"/>
          </w:tblCellMar>
        </w:tblPrEx>
        <w:trPr>
          <w:trHeight w:val="495" w:hRule="exact"/>
        </w:trPr>
        <w:tc>
          <w:tcPr>
            <w:tcW w:w="6739" w:type="dxa"/>
            <w:tcBorders>
              <w:top w:val="single" w:color="auto" w:sz="4" w:space="0"/>
              <w:left w:val="single" w:color="auto" w:sz="4" w:space="0"/>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其中</w:t>
            </w:r>
            <w:r>
              <w:rPr>
                <w:rFonts w:hint="eastAsia" w:ascii="Times New Roman" w:hAnsi="Times New Roman" w:eastAsia="方正仿宋_GBK" w:cs="宋体"/>
                <w:color w:val="000000"/>
                <w:kern w:val="0"/>
                <w:sz w:val="24"/>
                <w:szCs w:val="24"/>
                <w:lang w:eastAsia="zh-CN"/>
              </w:rPr>
              <w:t>：</w:t>
            </w:r>
            <w:r>
              <w:rPr>
                <w:rFonts w:hint="eastAsia" w:ascii="Times New Roman" w:hAnsi="Times New Roman" w:eastAsia="方正仿宋_GBK" w:cs="宋体"/>
                <w:color w:val="000000"/>
                <w:kern w:val="0"/>
                <w:sz w:val="24"/>
                <w:szCs w:val="24"/>
              </w:rPr>
              <w:t>趸售农业排灌用电</w:t>
            </w:r>
          </w:p>
        </w:tc>
        <w:tc>
          <w:tcPr>
            <w:tcW w:w="1424"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p>
        </w:tc>
        <w:tc>
          <w:tcPr>
            <w:tcW w:w="1291"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0.2142</w:t>
            </w:r>
          </w:p>
        </w:tc>
        <w:tc>
          <w:tcPr>
            <w:tcW w:w="125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xml:space="preserve">0.2092 </w:t>
            </w:r>
          </w:p>
        </w:tc>
        <w:tc>
          <w:tcPr>
            <w:tcW w:w="1066"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0.2067</w:t>
            </w:r>
          </w:p>
        </w:tc>
        <w:tc>
          <w:tcPr>
            <w:tcW w:w="1188" w:type="dxa"/>
            <w:tcBorders>
              <w:top w:val="nil"/>
              <w:left w:val="nil"/>
              <w:bottom w:val="single" w:color="auto" w:sz="4" w:space="0"/>
              <w:right w:val="single" w:color="auto" w:sz="4" w:space="0"/>
            </w:tcBorders>
            <w:noWrap w:val="0"/>
            <w:vAlign w:val="top"/>
          </w:tcPr>
          <w:p>
            <w:pPr>
              <w:widowControl w:val="0"/>
              <w:adjustRightInd/>
              <w:spacing w:after="0" w:line="240" w:lineRule="auto"/>
              <w:jc w:val="left"/>
              <w:textAlignment w:val="auto"/>
              <w:rPr>
                <w:rFonts w:hint="default" w:ascii="Times New Roman" w:hAnsi="Times New Roman" w:eastAsia="方正仿宋_GBK" w:cs="宋体"/>
                <w:color w:val="000000"/>
                <w:kern w:val="0"/>
                <w:sz w:val="24"/>
                <w:szCs w:val="24"/>
              </w:rPr>
            </w:pPr>
            <w:r>
              <w:rPr>
                <w:rFonts w:hint="eastAsia" w:ascii="Times New Roman" w:hAnsi="Times New Roman" w:eastAsia="方正仿宋_GBK" w:cs="宋体"/>
                <w:color w:val="000000"/>
                <w:kern w:val="0"/>
                <w:sz w:val="24"/>
                <w:szCs w:val="24"/>
              </w:rPr>
              <w:t>　</w:t>
            </w:r>
          </w:p>
        </w:tc>
      </w:tr>
      <w:tr>
        <w:tblPrEx>
          <w:tblLayout w:type="fixed"/>
          <w:tblCellMar>
            <w:top w:w="0" w:type="dxa"/>
            <w:left w:w="108" w:type="dxa"/>
            <w:bottom w:w="0" w:type="dxa"/>
            <w:right w:w="108" w:type="dxa"/>
          </w:tblCellMar>
        </w:tblPrEx>
        <w:trPr>
          <w:trHeight w:val="321" w:hRule="atLeast"/>
        </w:trPr>
        <w:tc>
          <w:tcPr>
            <w:tcW w:w="12966" w:type="dxa"/>
            <w:gridSpan w:val="6"/>
            <w:tcBorders>
              <w:top w:val="nil"/>
              <w:left w:val="nil"/>
              <w:bottom w:val="nil"/>
              <w:right w:val="nil"/>
            </w:tcBorders>
            <w:noWrap w:val="0"/>
            <w:vAlign w:val="center"/>
          </w:tcPr>
          <w:p>
            <w:pPr>
              <w:widowControl w:val="0"/>
              <w:adjustRightInd/>
              <w:spacing w:after="0" w:line="300" w:lineRule="exact"/>
              <w:ind w:firstLine="480" w:firstLineChars="200"/>
              <w:jc w:val="left"/>
              <w:textAlignment w:val="auto"/>
              <w:rPr>
                <w:rFonts w:hint="default" w:ascii="Times New Roman" w:hAnsi="Times New Roman" w:eastAsia="方正仿宋_GBK" w:cs="宋体"/>
                <w:kern w:val="0"/>
                <w:sz w:val="24"/>
                <w:szCs w:val="24"/>
              </w:rPr>
            </w:pPr>
            <w:r>
              <w:rPr>
                <w:rFonts w:hint="eastAsia" w:ascii="Times New Roman" w:hAnsi="Times New Roman" w:eastAsia="方正仿宋_GBK" w:cs="宋体"/>
                <w:kern w:val="0"/>
                <w:sz w:val="24"/>
                <w:szCs w:val="24"/>
              </w:rPr>
              <w:t>注：1</w:t>
            </w:r>
            <w:r>
              <w:rPr>
                <w:rFonts w:hint="eastAsia" w:ascii="Times New Roman" w:hAnsi="Times New Roman" w:eastAsia="宋体" w:cs="Times New Roman"/>
                <w:kern w:val="0"/>
                <w:sz w:val="24"/>
                <w:szCs w:val="24"/>
                <w:lang w:eastAsia="zh-CN"/>
              </w:rPr>
              <w:t>．</w:t>
            </w:r>
            <w:r>
              <w:rPr>
                <w:rFonts w:hint="eastAsia" w:ascii="Times New Roman" w:hAnsi="Times New Roman" w:eastAsia="方正仿宋_GBK" w:cs="宋体"/>
                <w:kern w:val="0"/>
                <w:sz w:val="24"/>
                <w:szCs w:val="24"/>
              </w:rPr>
              <w:t>上表所列价格，均含国家重大水利工程建设基金0.196875分钱；除农业排灌用电外（农业排灌用电基金征收按原政策口径执行），均含农网还贷资金2分钱；除农业生产用电外，均含大中型水库移民后期扶持基金0.6225分钱、地方水库移民后期扶持基金0.05分钱、可再生能源电价附加0.1分钱。</w:t>
            </w:r>
          </w:p>
          <w:p>
            <w:pPr>
              <w:widowControl w:val="0"/>
              <w:numPr>
                <w:ilvl w:val="-1"/>
                <w:numId w:val="0"/>
              </w:numPr>
              <w:adjustRightInd/>
              <w:spacing w:after="0" w:line="300" w:lineRule="exact"/>
              <w:ind w:firstLine="960" w:firstLineChars="400"/>
              <w:jc w:val="left"/>
              <w:textAlignment w:val="auto"/>
              <w:rPr>
                <w:rFonts w:hint="default" w:ascii="Times New Roman" w:hAnsi="Times New Roman" w:eastAsia="方正仿宋_GBK" w:cs="宋体"/>
                <w:kern w:val="0"/>
                <w:sz w:val="24"/>
                <w:szCs w:val="24"/>
              </w:rPr>
            </w:pPr>
            <w:r>
              <w:rPr>
                <w:rFonts w:hint="eastAsia" w:ascii="Times New Roman" w:hAnsi="Times New Roman" w:eastAsia="宋体" w:cs="Times New Roman"/>
                <w:kern w:val="0"/>
                <w:sz w:val="24"/>
                <w:szCs w:val="24"/>
                <w:lang w:val="en-US" w:eastAsia="zh-CN"/>
              </w:rPr>
              <w:t>2</w:t>
            </w:r>
            <w:r>
              <w:rPr>
                <w:rFonts w:hint="eastAsia" w:ascii="Times New Roman" w:hAnsi="Times New Roman" w:eastAsia="宋体" w:cs="Times New Roman"/>
                <w:kern w:val="0"/>
                <w:sz w:val="24"/>
                <w:szCs w:val="24"/>
                <w:lang w:eastAsia="zh-CN"/>
              </w:rPr>
              <w:t>．</w:t>
            </w:r>
            <w:r>
              <w:rPr>
                <w:rFonts w:hint="eastAsia" w:ascii="Times New Roman" w:hAnsi="Times New Roman" w:eastAsia="方正仿宋_GBK" w:cs="宋体"/>
                <w:kern w:val="0"/>
                <w:sz w:val="24"/>
                <w:szCs w:val="24"/>
              </w:rPr>
              <w:t>已摘帽国家级贫困县农业排灌用电按表列分类电价降低0.196875分钱（国家重大水利工程建设基金）执行。</w:t>
            </w:r>
          </w:p>
          <w:p>
            <w:pPr>
              <w:widowControl w:val="0"/>
              <w:numPr>
                <w:ilvl w:val="-1"/>
                <w:numId w:val="0"/>
              </w:numPr>
              <w:adjustRightInd/>
              <w:spacing w:after="0" w:line="300" w:lineRule="exact"/>
              <w:ind w:firstLine="960" w:firstLineChars="400"/>
              <w:jc w:val="left"/>
              <w:textAlignment w:val="auto"/>
              <w:rPr>
                <w:rFonts w:hint="default" w:ascii="Times New Roman" w:hAnsi="Times New Roman" w:eastAsia="方正仿宋_GBK" w:cs="宋体"/>
                <w:kern w:val="0"/>
                <w:sz w:val="24"/>
                <w:szCs w:val="24"/>
              </w:rPr>
            </w:pPr>
            <w:r>
              <w:rPr>
                <w:rFonts w:hint="eastAsia" w:ascii="Times New Roman" w:hAnsi="Times New Roman" w:eastAsia="宋体" w:cs="Times New Roman"/>
                <w:kern w:val="0"/>
                <w:sz w:val="24"/>
                <w:szCs w:val="24"/>
                <w:lang w:val="en-US" w:eastAsia="zh-CN"/>
              </w:rPr>
              <w:t>3</w:t>
            </w:r>
            <w:r>
              <w:rPr>
                <w:rFonts w:hint="eastAsia" w:ascii="Times New Roman" w:hAnsi="Times New Roman" w:eastAsia="宋体" w:cs="Times New Roman"/>
                <w:kern w:val="0"/>
                <w:sz w:val="24"/>
                <w:szCs w:val="24"/>
                <w:lang w:eastAsia="zh-CN"/>
              </w:rPr>
              <w:t>．</w:t>
            </w:r>
            <w:r>
              <w:rPr>
                <w:rFonts w:hint="eastAsia" w:ascii="Times New Roman" w:hAnsi="Times New Roman" w:eastAsia="方正仿宋_GBK" w:cs="宋体"/>
                <w:kern w:val="0"/>
                <w:sz w:val="24"/>
                <w:szCs w:val="24"/>
              </w:rPr>
              <w:t>国网重庆市电力公司对其控股供电公司趸售电量不适用此表所列趸售价格。</w:t>
            </w:r>
          </w:p>
        </w:tc>
      </w:tr>
    </w:tbl>
    <w:p>
      <w:pPr>
        <w:rPr>
          <w:rFonts w:hint="eastAsia" w:eastAsia="方正仿宋_GBK" w:cs="方正仿宋_GBK"/>
          <w:kern w:val="2"/>
        </w:rPr>
      </w:pPr>
    </w:p>
    <w:sectPr>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45DE9"/>
    <w:rsid w:val="2F74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2024-10-10T06:51:00Z</dcterms:created>
  <dc:creator>Administrator</dc:creator>
  <cp:lastModifiedBy>Administrator</cp:lastModifiedBy>
  <dcterms:modified xsi:type="dcterms:W3CDTF">2024-10-10T07:05:08Z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