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69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/>
          <w:bCs w:val="0"/>
          <w:color w:val="auto"/>
          <w:sz w:val="32"/>
          <w:szCs w:val="32"/>
          <w:lang w:val="en-US" w:eastAsia="zh-CN"/>
        </w:rPr>
        <w:t xml:space="preserve">                                            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  <w:t>A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类</w:t>
      </w:r>
    </w:p>
    <w:p w14:paraId="0CAB6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</w:rPr>
      </w:pPr>
    </w:p>
    <w:p w14:paraId="18780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Times New Roman" w:cs="Times New Roman"/>
          <w:b/>
          <w:color w:val="auto"/>
          <w:sz w:val="44"/>
        </w:rPr>
      </w:pPr>
    </w:p>
    <w:p w14:paraId="57191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Times New Roman" w:cs="Times New Roman"/>
          <w:b/>
          <w:color w:val="auto"/>
          <w:sz w:val="44"/>
        </w:rPr>
      </w:pPr>
    </w:p>
    <w:p w14:paraId="2DCE8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</w:p>
    <w:p w14:paraId="0AA4C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</w:p>
    <w:p w14:paraId="71EAF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</w:rPr>
      </w:pPr>
    </w:p>
    <w:p w14:paraId="7EC44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</w:rPr>
        <w:t>铜发改委</w:t>
      </w:r>
      <w:r>
        <w:rPr>
          <w:rFonts w:hint="default" w:ascii="Times New Roman" w:hAnsi="Times New Roman" w:eastAsia="方正仿宋_GBK" w:cs="Times New Roman"/>
          <w:color w:val="auto"/>
          <w:sz w:val="32"/>
          <w:lang w:eastAsia="zh-CN"/>
        </w:rPr>
        <w:t>函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〔20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〕</w:t>
      </w:r>
      <w:r>
        <w:rPr>
          <w:rFonts w:hint="eastAsia" w:ascii="Times New Roman" w:hAnsi="Times New Roman" w:cs="Times New Roman"/>
          <w:color w:val="auto"/>
          <w:sz w:val="32"/>
          <w:lang w:val="en-US" w:eastAsia="zh-CN"/>
        </w:rPr>
        <w:t>36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号</w:t>
      </w:r>
    </w:p>
    <w:p w14:paraId="7797C3B6">
      <w:pPr>
        <w:pStyle w:val="2"/>
        <w:ind w:left="0" w:leftChars="0" w:firstLine="0" w:firstLineChars="0"/>
        <w:rPr>
          <w:rFonts w:hint="default"/>
          <w:lang w:eastAsia="zh-CN"/>
        </w:rPr>
      </w:pPr>
    </w:p>
    <w:p w14:paraId="551546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重庆市铜梁区发展和改革委员会</w:t>
      </w:r>
    </w:p>
    <w:p w14:paraId="50B463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关</w:t>
      </w:r>
      <w:r>
        <w:rPr>
          <w:rFonts w:hint="default" w:ascii="Times New Roman" w:hAnsi="Times New Roman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于区第十八届人民代表大会第</w:t>
      </w:r>
      <w:r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七</w:t>
      </w:r>
      <w:r>
        <w:rPr>
          <w:rFonts w:hint="default" w:ascii="Times New Roman" w:hAnsi="Times New Roman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次会议</w:t>
      </w:r>
    </w:p>
    <w:p w14:paraId="06CFA4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第18070225</w:t>
      </w:r>
      <w:r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号建议的复函</w:t>
      </w:r>
    </w:p>
    <w:p w14:paraId="0AA15F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21BA8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陈树刚代表：</w:t>
      </w:r>
    </w:p>
    <w:p w14:paraId="74D30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您提出的《关于加强重大项目前期论证谋划好铜梁区项目储备的建议》（第18070225号）收悉。经研究办理，现函复如下：</w:t>
      </w:r>
    </w:p>
    <w:p w14:paraId="6EF79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针对我区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重点项目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策划精度不足、储备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项目质量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高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等问题，区发展改革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会同各区级部门、区属重点国有企业通过引入三方咨询机构参与项目策划包装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建立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“三集中”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工作机制等方式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，推动全区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储备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项目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提质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扩容。</w:t>
      </w:r>
    </w:p>
    <w:p w14:paraId="6F266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一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引入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三方机构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提升策划水平</w:t>
      </w:r>
    </w:p>
    <w:p w14:paraId="5E76D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区发展改革委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积极引入三方机构，引导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各区级部门、区属平台公司结合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发展需要、群众诉求及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各类上级资金支持政策，分领域开展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bidi="ar"/>
        </w:rPr>
        <w:t>近3-5年内项目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 w:bidi="ar"/>
        </w:rPr>
        <w:t>策划储备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bidi="ar"/>
        </w:rPr>
        <w:t>。</w:t>
      </w:r>
      <w:r>
        <w:rPr>
          <w:rFonts w:hint="eastAsia" w:ascii="Times New Roman" w:hAnsi="Times New Roman" w:eastAsia="方正仿宋_GBK" w:cs="方正仿宋_GBK"/>
          <w:b/>
          <w:bCs/>
          <w:color w:val="auto"/>
          <w:sz w:val="32"/>
          <w:szCs w:val="32"/>
          <w:lang w:val="en-US" w:eastAsia="zh-CN" w:bidi="ar"/>
        </w:rPr>
        <w:t>一是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 w:bidi="ar"/>
        </w:rPr>
        <w:t>充分发挥三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 w:bidi="ar"/>
        </w:rPr>
        <w:t>方机构在专业领域的优势，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bidi="ar"/>
        </w:rPr>
        <w:t>在项目策划论证、前期手续办理、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 w:bidi="ar"/>
        </w:rPr>
        <w:t>向上争资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bidi="ar"/>
        </w:rPr>
        <w:t>等多个环节开展深度合作，就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 w:bidi="ar"/>
        </w:rPr>
        <w:t>方案设计、可研报告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bidi="ar"/>
        </w:rPr>
        <w:t>概算报告编制等具体事项提供专业意见。</w:t>
      </w:r>
      <w:r>
        <w:rPr>
          <w:rFonts w:hint="eastAsia" w:ascii="Times New Roman" w:hAnsi="Times New Roman" w:eastAsia="方正仿宋_GBK" w:cs="方正仿宋_GBK"/>
          <w:b/>
          <w:bCs/>
          <w:color w:val="auto"/>
          <w:sz w:val="32"/>
          <w:szCs w:val="32"/>
          <w:lang w:val="en-US" w:eastAsia="zh-CN" w:bidi="ar"/>
        </w:rPr>
        <w:t>二是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bidi="ar"/>
        </w:rPr>
        <w:t>利用三方机构信息渠道优势，提早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bidi="ar"/>
        </w:rPr>
        <w:t>掌握政策动向，解决项目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 w:bidi="ar"/>
        </w:rPr>
        <w:t>包装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bidi="ar"/>
        </w:rPr>
        <w:t>策划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 w:bidi="ar"/>
        </w:rPr>
        <w:t>过程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bidi="ar"/>
        </w:rPr>
        <w:t>中“信息滞后、资源错配、响应迟缓”等痛点，实现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 w:bidi="ar"/>
        </w:rPr>
        <w:t>储备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bidi="ar"/>
        </w:rPr>
        <w:t>项目策划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 w:bidi="ar"/>
        </w:rPr>
        <w:t>精准性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bidi="ar"/>
        </w:rPr>
        <w:t>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 w:bidi="ar"/>
        </w:rPr>
        <w:t>前期成熟度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bidi="ar"/>
        </w:rPr>
        <w:t>的双提升。全区23个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区级部门、区属平台公司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现已和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重庆国际投资咨询集团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26家三方机构开展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了深度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合作。</w:t>
      </w:r>
    </w:p>
    <w:p w14:paraId="62AE9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二、建章立制形成部门合力</w:t>
      </w:r>
    </w:p>
    <w:p w14:paraId="30AFA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按照“干着今年、想着明年、谋着后年”的要求，区发展改革委牵头，各区级部门、区属平台公司配合建立“三集中”储备工作机制，形成项目储备库。一是通过“集中培训”针对性解读项目包装策划方式、要点及上级资金政策并开展“一对一”针对性指导，为各部门建立项目策划储备专业人员。二是通过“集中办公”充分挖掘高新区管委会、区水利局、区住房城乡建委等策划空间大、支持政策多的部门的建设需求和包装潜力，提升“储备项目库”广度。三是通过“集中审核”进行由区发展改革委、项目储备单位、三方咨询机构针对初步储备清单的联合审查，强化信息互通，在头脑风暴中进一步优化项目包装策划方向、提升决策质量，做实“储备项目库”深度。全区已策划各类项目共283个，项目总投资约1006亿元。</w:t>
      </w:r>
    </w:p>
    <w:p w14:paraId="463AA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1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三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“一项目一方向”做好储备项目资金保障谋划</w:t>
      </w:r>
    </w:p>
    <w:p w14:paraId="329F9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1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区发展改革委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结合项目实际和最新政策对全区已策划储备的项目进行精准分类，根据中央预算内资金、超长期特别国债、地方政府专项债券资金支付方向，对储备项目争取资金方向进行分类推进，拟争取各类资金约402亿元，截至6月中旬，已争取成功超长期国债资金项目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个，争取资金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2.61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亿元。已通过国家发展改革委、财政部双审核的地方政府专项债券项目13个，争取可发行专项债券额度约22.97亿元，其中已发行项目3个，已到位专项债券资金6.75亿元。</w:t>
      </w:r>
    </w:p>
    <w:p w14:paraId="58F8F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四、做好中远期项目谋划储备</w:t>
      </w:r>
    </w:p>
    <w:p w14:paraId="4974D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区发展改革委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结合全区经济社会发展实际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，围绕“十五五”时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期全区发展环境、发展战略、发展思路、发展目标，以及新质生产力培育、国家战略腹地建设、商贸文旅消费、社会事业发展等重大问题，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结合铜梁未来五年发展需求，对全区中长期项目规划进行了三性（即可行性、必要性、紧迫性）分析、成熟度评估等科学论证。现已储备“十五五”期间重大项目388个，总投资达2382亿元，已上报谋划国家级项目9个、总投资488亿元。拟争取纳入市级重大项目62个、总投资1508亿元。当前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“十五五”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规划项目谋划处于动态调整深化阶段，后续将持续争取更多项目纳入国家、市级规划。</w:t>
      </w:r>
    </w:p>
    <w:p w14:paraId="6FB2C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下一步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区发展改革委将牢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固树立“项目为王”理念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，把项目谋划储备作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为当前和今后项目工作的重中之重，全力以赴抓好储备项目前期工作推进、2026年重点项目谋划等重点工作，为扎实做好项目建设工作奠定坚实基础，为持续扩大有效投资提供强力支撑。</w:t>
      </w:r>
    </w:p>
    <w:p w14:paraId="30248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此复函已经区人民政府分管副区长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廖强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审定，由区发展改革委主任张勇签发。对此答复函您有什么意见，请及时通过人大代表全渝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通应用“代表议案建议功能模块”进行评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价，以便进一步改进工作。</w:t>
      </w:r>
    </w:p>
    <w:p w14:paraId="0C52E144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94" w:lineRule="exact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</w:p>
    <w:p w14:paraId="4E7AA40C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94" w:lineRule="exact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</w:p>
    <w:p w14:paraId="0539F390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 xml:space="preserve">重庆市铜梁区发展和改革委员会  </w:t>
      </w:r>
    </w:p>
    <w:p w14:paraId="009EC8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94" w:lineRule="exact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 xml:space="preserve">2025年6月18日        </w:t>
      </w:r>
    </w:p>
    <w:p w14:paraId="2CB29F75">
      <w:pPr>
        <w:pStyle w:val="2"/>
        <w:wordWrap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</w:p>
    <w:p w14:paraId="648E68DF">
      <w:pP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（此件公开发布）</w:t>
      </w:r>
    </w:p>
    <w:bookmarkEnd w:id="0"/>
    <w:p w14:paraId="4E4F3F44">
      <w:pPr>
        <w:pStyle w:val="2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</w:p>
    <w:p w14:paraId="221ACBB6">
      <w:pP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</w:p>
    <w:p w14:paraId="27426FFE">
      <w:pPr>
        <w:pStyle w:val="2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</w:p>
    <w:p w14:paraId="5BCDDF66">
      <w:pP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</w:p>
    <w:p w14:paraId="547BEF25">
      <w:pPr>
        <w:pStyle w:val="2"/>
        <w:rPr>
          <w:rFonts w:hint="eastAsia"/>
          <w:lang w:val="en-US" w:eastAsia="zh-CN"/>
        </w:rPr>
      </w:pPr>
    </w:p>
    <w:p w14:paraId="0B624F8E">
      <w:pPr>
        <w:rPr>
          <w:rFonts w:hint="eastAsia"/>
          <w:lang w:val="en-US" w:eastAsia="zh-CN"/>
        </w:rPr>
      </w:pPr>
    </w:p>
    <w:p w14:paraId="5206C392">
      <w:pPr>
        <w:pStyle w:val="2"/>
        <w:rPr>
          <w:rFonts w:hint="eastAsia"/>
          <w:lang w:val="en-US" w:eastAsia="zh-CN"/>
        </w:rPr>
      </w:pPr>
    </w:p>
    <w:p w14:paraId="1B7A9D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/>
          <w:sz w:val="10"/>
          <w:szCs w:val="10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3C5D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5CC85">
                          <w:pPr>
                            <w:pStyle w:val="5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05CC85">
                    <w:pPr>
                      <w:pStyle w:val="5"/>
                      <w:rPr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50B26"/>
    <w:rsid w:val="03A13EF0"/>
    <w:rsid w:val="06BA3B9D"/>
    <w:rsid w:val="06C63A95"/>
    <w:rsid w:val="0C7F6978"/>
    <w:rsid w:val="0C8542C2"/>
    <w:rsid w:val="11BB180D"/>
    <w:rsid w:val="156D6C3E"/>
    <w:rsid w:val="16361726"/>
    <w:rsid w:val="172B18E6"/>
    <w:rsid w:val="174753BE"/>
    <w:rsid w:val="1C2A3ADB"/>
    <w:rsid w:val="1D465D4E"/>
    <w:rsid w:val="1F784C8E"/>
    <w:rsid w:val="21470C8B"/>
    <w:rsid w:val="21B17FE2"/>
    <w:rsid w:val="21D656CD"/>
    <w:rsid w:val="23242704"/>
    <w:rsid w:val="25180974"/>
    <w:rsid w:val="29A9603F"/>
    <w:rsid w:val="29C56BF1"/>
    <w:rsid w:val="2F522CD5"/>
    <w:rsid w:val="2F857742"/>
    <w:rsid w:val="31907D14"/>
    <w:rsid w:val="3C544530"/>
    <w:rsid w:val="3DF24001"/>
    <w:rsid w:val="423E6FF4"/>
    <w:rsid w:val="473C0193"/>
    <w:rsid w:val="4BF70A34"/>
    <w:rsid w:val="4DD454D1"/>
    <w:rsid w:val="4FA37350"/>
    <w:rsid w:val="4FB21842"/>
    <w:rsid w:val="51DA548F"/>
    <w:rsid w:val="5B182775"/>
    <w:rsid w:val="5D5F4BD3"/>
    <w:rsid w:val="600734E4"/>
    <w:rsid w:val="64CE7F4B"/>
    <w:rsid w:val="67FD1E64"/>
    <w:rsid w:val="681D761D"/>
    <w:rsid w:val="6CAE6A95"/>
    <w:rsid w:val="6F0C2D17"/>
    <w:rsid w:val="70FB005D"/>
    <w:rsid w:val="75904067"/>
    <w:rsid w:val="769C7265"/>
    <w:rsid w:val="7A794B87"/>
    <w:rsid w:val="7DA51208"/>
    <w:rsid w:val="7E226D6A"/>
    <w:rsid w:val="7E5F61B3"/>
    <w:rsid w:val="7F95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79" w:lineRule="exact"/>
      <w:ind w:firstLine="420" w:firstLineChars="200"/>
    </w:pPr>
    <w:rPr>
      <w:rFonts w:ascii="Calibri" w:hAnsi="Calibri"/>
      <w:szCs w:val="22"/>
    </w:rPr>
  </w:style>
  <w:style w:type="paragraph" w:styleId="4">
    <w:name w:val="Body Text"/>
    <w:basedOn w:val="1"/>
    <w:next w:val="1"/>
    <w:qFormat/>
    <w:uiPriority w:val="0"/>
    <w:pPr>
      <w:spacing w:afterLines="0" w:afterAutospacing="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1552</Words>
  <Characters>1615</Characters>
  <Lines>0</Lines>
  <Paragraphs>0</Paragraphs>
  <TotalTime>2</TotalTime>
  <ScaleCrop>false</ScaleCrop>
  <LinksUpToDate>false</LinksUpToDate>
  <CharactersWithSpaces>1680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2025-06-17T23:36:00Z</dcterms:created>
  <dc:creator>Administrator</dc:creator>
  <cp:lastModifiedBy>Administrator</cp:lastModifiedBy>
  <cp:lastPrinted>2025-06-20T01:22:00Z</cp:lastPrinted>
  <dcterms:modified xsi:type="dcterms:W3CDTF">2025-06-23T01:00:44Z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eyJoZGlkIjoiMDllNGZiNTYzNzU3ZmNlODUzNWFhZjZjODNkN2QxN2MifQ==</vt:lpwstr>
  </property>
  <property fmtid="{D5CDD505-2E9C-101B-9397-08002B2CF9AE}" pid="4" name="ICV">
    <vt:lpwstr>4F4661CBEF0740029980D85A3A5799D5_13</vt:lpwstr>
  </property>
</Properties>
</file>