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center"/>
        <w:outlineLvl w:val="0"/>
        <w:rPr>
          <w:rFonts w:hint="eastAsia" w:ascii="方正小标宋_GBK" w:hAnsi="方正小标宋_GBK" w:eastAsia="方正小标宋_GBK" w:cs="方正小标宋_GBK"/>
          <w:bCs/>
          <w:color w:val="000000"/>
          <w:kern w:val="0"/>
          <w:sz w:val="44"/>
          <w:szCs w:val="44"/>
          <w:lang w:bidi="ar"/>
        </w:rPr>
      </w:pPr>
      <w:r>
        <w:rPr>
          <w:rFonts w:hint="eastAsia" w:ascii="方正小标宋_GBK" w:hAnsi="方正小标宋_GBK" w:eastAsia="方正小标宋_GBK" w:cs="方正小标宋_GBK"/>
          <w:bCs/>
          <w:color w:val="000000"/>
          <w:kern w:val="0"/>
          <w:sz w:val="44"/>
          <w:szCs w:val="44"/>
          <w:lang w:bidi="ar"/>
        </w:rPr>
        <w:t>重庆市</w:t>
      </w:r>
      <w:r>
        <w:rPr>
          <w:rFonts w:hint="eastAsia" w:ascii="方正小标宋_GBK" w:hAnsi="方正小标宋_GBK" w:eastAsia="方正小标宋_GBK" w:cs="方正小标宋_GBK"/>
          <w:bCs/>
          <w:color w:val="000000"/>
          <w:kern w:val="0"/>
          <w:sz w:val="44"/>
          <w:szCs w:val="44"/>
          <w:lang w:eastAsia="zh-CN" w:bidi="ar"/>
        </w:rPr>
        <w:t>“十四五”规划编制工作</w:t>
      </w:r>
      <w:r>
        <w:rPr>
          <w:rFonts w:hint="eastAsia" w:ascii="方正小标宋_GBK" w:hAnsi="方正小标宋_GBK" w:eastAsia="方正小标宋_GBK" w:cs="方正小标宋_GBK"/>
          <w:bCs/>
          <w:color w:val="000000"/>
          <w:kern w:val="0"/>
          <w:sz w:val="44"/>
          <w:szCs w:val="44"/>
          <w:lang w:bidi="ar"/>
        </w:rPr>
        <w:t>先进集体推荐对象汇总表</w:t>
      </w:r>
    </w:p>
    <w:p>
      <w:pPr>
        <w:spacing w:line="579" w:lineRule="exac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bCs/>
          <w:color w:val="000000"/>
          <w:kern w:val="0"/>
          <w:sz w:val="24"/>
          <w:szCs w:val="24"/>
          <w:lang w:bidi="ar"/>
        </w:rPr>
        <w:t>推荐单位（盖章）：</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u w:val="single"/>
          <w:lang w:eastAsia="zh-CN" w:bidi="ar"/>
        </w:rPr>
        <w:t>重庆市铜梁区发展和改革委员会</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lang w:bidi="ar"/>
        </w:rPr>
        <w:t xml:space="preserve">   </w:t>
      </w:r>
    </w:p>
    <w:tbl>
      <w:tblPr>
        <w:tblStyle w:val="5"/>
        <w:tblW w:w="13438" w:type="dxa"/>
        <w:jc w:val="center"/>
        <w:tblInd w:w="0" w:type="dxa"/>
        <w:tblLayout w:type="fixed"/>
        <w:tblCellMar>
          <w:top w:w="15" w:type="dxa"/>
          <w:left w:w="15" w:type="dxa"/>
          <w:bottom w:w="15" w:type="dxa"/>
          <w:right w:w="15" w:type="dxa"/>
        </w:tblCellMar>
      </w:tblPr>
      <w:tblGrid>
        <w:gridCol w:w="748"/>
        <w:gridCol w:w="2227"/>
        <w:gridCol w:w="715"/>
        <w:gridCol w:w="796"/>
        <w:gridCol w:w="877"/>
        <w:gridCol w:w="2181"/>
        <w:gridCol w:w="5227"/>
        <w:gridCol w:w="667"/>
      </w:tblGrid>
      <w:tr>
        <w:tblPrEx>
          <w:tblLayout w:type="fixed"/>
          <w:tblCellMar>
            <w:top w:w="15" w:type="dxa"/>
            <w:left w:w="15" w:type="dxa"/>
            <w:bottom w:w="15" w:type="dxa"/>
            <w:right w:w="15" w:type="dxa"/>
          </w:tblCellMar>
        </w:tblPrEx>
        <w:trPr>
          <w:trHeight w:val="286"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序号</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集体全称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性质</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级别</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人数</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集体负责人</w:t>
            </w:r>
          </w:p>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姓名、职务</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及身份证号码</w:t>
            </w:r>
          </w:p>
        </w:tc>
        <w:tc>
          <w:tcPr>
            <w:tcW w:w="52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简要事迹</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default" w:ascii="Times New Roman" w:hAnsi="Times New Roman" w:eastAsia="方正黑体_GBK" w:cs="Times New Roman"/>
                <w:bCs/>
                <w:color w:val="000000"/>
                <w:sz w:val="24"/>
                <w:szCs w:val="24"/>
              </w:rPr>
              <w:t>（300字</w:t>
            </w:r>
            <w:r>
              <w:rPr>
                <w:rFonts w:hint="eastAsia" w:ascii="方正黑体_GBK" w:hAnsi="方正黑体_GBK" w:eastAsia="方正黑体_GBK" w:cs="方正黑体_GBK"/>
                <w:bCs/>
                <w:color w:val="000000"/>
                <w:sz w:val="24"/>
                <w:szCs w:val="24"/>
              </w:rPr>
              <w:t>以内）</w:t>
            </w:r>
          </w:p>
        </w:tc>
        <w:tc>
          <w:tcPr>
            <w:tcW w:w="667"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备注</w:t>
            </w:r>
          </w:p>
        </w:tc>
      </w:tr>
      <w:tr>
        <w:tblPrEx>
          <w:tblLayout w:type="fixed"/>
          <w:tblCellMar>
            <w:top w:w="15" w:type="dxa"/>
            <w:left w:w="15" w:type="dxa"/>
            <w:bottom w:w="15" w:type="dxa"/>
            <w:right w:w="15" w:type="dxa"/>
          </w:tblCellMar>
        </w:tblPrEx>
        <w:trPr>
          <w:trHeight w:val="4938" w:hRule="exac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rPr>
            </w:pPr>
            <w:r>
              <w:rPr>
                <w:rFonts w:hint="eastAsia" w:ascii="方正仿宋_GBK" w:hAnsi="方正仿宋_GBK" w:eastAsia="方正仿宋_GBK" w:cs="方正仿宋_GBK"/>
                <w:bCs/>
                <w:color w:val="000000"/>
                <w:sz w:val="24"/>
                <w:szCs w:val="24"/>
                <w:u w:val="none"/>
                <w:lang w:eastAsia="zh-CN" w:bidi="ar"/>
              </w:rPr>
              <w:t>重庆市铜梁区发展和改革委员会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机关</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行政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级别</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40</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lang w:val="en-US" w:eastAsia="zh-CN" w:bidi="ar"/>
              </w:rPr>
            </w:pPr>
            <w:r>
              <w:rPr>
                <w:rFonts w:hint="eastAsia" w:ascii="方正仿宋_GBK" w:hAnsi="方正仿宋_GBK" w:eastAsia="方正仿宋_GBK" w:cs="方正仿宋_GBK"/>
                <w:bCs/>
                <w:color w:val="000000"/>
                <w:sz w:val="24"/>
                <w:szCs w:val="24"/>
                <w:u w:val="none"/>
                <w:lang w:eastAsia="zh-CN" w:bidi="ar"/>
              </w:rPr>
              <w:t>张勇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lang w:val="en-US" w:eastAsia="zh-CN" w:bidi="ar"/>
              </w:rPr>
            </w:pPr>
            <w:r>
              <w:rPr>
                <w:rFonts w:hint="eastAsia" w:ascii="方正仿宋_GBK" w:hAnsi="方正仿宋_GBK" w:eastAsia="方正仿宋_GBK" w:cs="方正仿宋_GBK"/>
                <w:bCs/>
                <w:color w:val="000000"/>
                <w:sz w:val="24"/>
                <w:szCs w:val="24"/>
                <w:u w:val="none"/>
                <w:lang w:val="en-US" w:eastAsia="zh-CN" w:bidi="ar"/>
              </w:rPr>
              <w:t>重庆市铜梁区发展和改革委员会主任</w:t>
            </w:r>
          </w:p>
          <w:p>
            <w:pPr>
              <w:pStyle w:val="2"/>
              <w:jc w:val="center"/>
              <w:rPr>
                <w:rFonts w:hint="default"/>
                <w:lang w:val="en-US" w:eastAsia="zh-CN"/>
              </w:rPr>
            </w:pPr>
            <w:r>
              <w:rPr>
                <w:rFonts w:hint="eastAsia" w:ascii="方正仿宋_GBK" w:hAnsi="方正仿宋_GBK" w:eastAsia="方正仿宋_GBK" w:cs="方正仿宋_GBK"/>
                <w:bCs/>
                <w:color w:val="000000"/>
                <w:sz w:val="24"/>
                <w:szCs w:val="24"/>
                <w:lang w:val="en-US" w:eastAsia="zh-CN"/>
              </w:rPr>
              <w:t>5102**********1031</w:t>
            </w:r>
          </w:p>
        </w:tc>
        <w:tc>
          <w:tcPr>
            <w:tcW w:w="5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000000"/>
                <w:sz w:val="24"/>
                <w:szCs w:val="24"/>
                <w:u w:val="none"/>
                <w:lang w:val="en-US" w:eastAsia="zh-CN" w:bidi="ar"/>
              </w:rPr>
              <w:t>围绕“上接天线”，科学谋划一批重大项目、重大政策、重大改革举措积极争取纳入上级规划盘子，团结村至铜梁至成都货运铁路、铜梁城区</w:t>
            </w:r>
            <w:r>
              <w:rPr>
                <w:rFonts w:hint="eastAsia" w:ascii="方正仿宋_GBK" w:hAnsi="方正仿宋_GBK" w:eastAsia="方正仿宋_GBK" w:cs="方正仿宋_GBK"/>
                <w:color w:val="auto"/>
                <w:sz w:val="24"/>
                <w:szCs w:val="24"/>
                <w:lang w:val="en-US" w:eastAsia="zh-CN"/>
              </w:rPr>
              <w:t>至永川金龙高速公路等近36项涉铜重大项目和事项成功挤入全市“十四五”发展规划纲要内容，“铜梁”二字在市“十四五”发展规划纲要中出现20次，频率居全市各区县第四。突出“下接地气”，扎实开展规划调研，完成前期课题研究20余个，采取脱岗集中办公模式，分专题召集各部门业务骨干、咨询机构专家逐项研究，实行开门编规划，通过网络渠道广纳建言，分领域召开座谈会、征求意见会，扎实开展全区“十四五”规划编制工作，全区“十四五”发展规划纲要获得区人代会高票通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rPr>
            </w:pPr>
          </w:p>
        </w:tc>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仿宋" w:hAnsi="仿宋" w:eastAsia="仿宋"/>
                <w:bCs/>
                <w:color w:val="000000"/>
                <w:sz w:val="24"/>
                <w:szCs w:val="24"/>
              </w:rPr>
            </w:pPr>
            <w:r>
              <w:rPr>
                <w:rFonts w:hint="eastAsia" w:ascii="方正仿宋_GBK" w:hAnsi="方正仿宋_GBK" w:eastAsia="方正仿宋_GBK" w:cs="方正仿宋_GBK"/>
                <w:bCs/>
                <w:color w:val="000000"/>
                <w:kern w:val="0"/>
                <w:sz w:val="24"/>
                <w:szCs w:val="24"/>
                <w:lang w:bidi="ar"/>
              </w:rPr>
              <w:t>按推荐顺序填写。</w:t>
            </w:r>
          </w:p>
        </w:tc>
      </w:tr>
    </w:tbl>
    <w:p>
      <w:pPr>
        <w:spacing w:line="600" w:lineRule="exact"/>
        <w:textAlignment w:val="center"/>
        <w:rPr>
          <w:rFonts w:hint="default" w:ascii="Times New Roman" w:hAnsi="Times New Roman" w:eastAsia="方正黑体_GBK" w:cs="Times New Roman"/>
          <w:bCs/>
          <w:color w:val="000000"/>
          <w:kern w:val="0"/>
          <w:szCs w:val="32"/>
          <w:lang w:bidi="ar"/>
        </w:rPr>
      </w:pPr>
    </w:p>
    <w:p>
      <w:pPr>
        <w:spacing w:line="600" w:lineRule="exact"/>
        <w:textAlignment w:val="center"/>
        <w:rPr>
          <w:rFonts w:hint="default" w:ascii="Times New Roman" w:hAnsi="Times New Roman" w:eastAsia="方正黑体_GBK" w:cs="Times New Roman"/>
          <w:bCs/>
          <w:color w:val="000000"/>
          <w:kern w:val="0"/>
          <w:szCs w:val="32"/>
          <w:lang w:bidi="ar"/>
        </w:rPr>
      </w:pPr>
      <w:r>
        <w:rPr>
          <w:rFonts w:hint="default" w:ascii="Times New Roman" w:hAnsi="Times New Roman" w:eastAsia="方正黑体_GBK" w:cs="Times New Roman"/>
          <w:bCs/>
          <w:color w:val="000000"/>
          <w:kern w:val="0"/>
          <w:szCs w:val="32"/>
          <w:lang w:bidi="ar"/>
        </w:rPr>
        <w:t>附件5</w:t>
      </w:r>
    </w:p>
    <w:p>
      <w:pPr>
        <w:spacing w:line="600" w:lineRule="exact"/>
        <w:jc w:val="center"/>
        <w:textAlignment w:val="center"/>
        <w:outlineLvl w:val="0"/>
        <w:rPr>
          <w:rFonts w:hint="eastAsia" w:ascii="方正小标宋_GBK" w:hAnsi="方正小标宋_GBK" w:eastAsia="方正小标宋_GBK" w:cs="方正小标宋_GBK"/>
          <w:bCs/>
          <w:color w:val="000000"/>
          <w:kern w:val="0"/>
          <w:sz w:val="44"/>
          <w:szCs w:val="44"/>
          <w:lang w:bidi="ar"/>
        </w:rPr>
      </w:pPr>
      <w:r>
        <w:rPr>
          <w:rFonts w:hint="eastAsia" w:ascii="方正小标宋_GBK" w:hAnsi="方正小标宋_GBK" w:eastAsia="方正小标宋_GBK" w:cs="方正小标宋_GBK"/>
          <w:bCs/>
          <w:color w:val="000000"/>
          <w:kern w:val="0"/>
          <w:sz w:val="44"/>
          <w:szCs w:val="44"/>
          <w:lang w:bidi="ar"/>
        </w:rPr>
        <w:t>重庆市</w:t>
      </w:r>
      <w:r>
        <w:rPr>
          <w:rFonts w:hint="eastAsia" w:ascii="方正小标宋_GBK" w:hAnsi="方正小标宋_GBK" w:eastAsia="方正小标宋_GBK" w:cs="方正小标宋_GBK"/>
          <w:bCs/>
          <w:color w:val="000000"/>
          <w:kern w:val="0"/>
          <w:sz w:val="44"/>
          <w:szCs w:val="44"/>
          <w:lang w:eastAsia="zh-CN" w:bidi="ar"/>
        </w:rPr>
        <w:t>“十四五”规划编制工作</w:t>
      </w:r>
      <w:r>
        <w:rPr>
          <w:rFonts w:hint="eastAsia" w:ascii="方正小标宋_GBK" w:hAnsi="方正小标宋_GBK" w:eastAsia="方正小标宋_GBK" w:cs="方正小标宋_GBK"/>
          <w:bCs/>
          <w:color w:val="000000"/>
          <w:kern w:val="0"/>
          <w:sz w:val="44"/>
          <w:szCs w:val="44"/>
          <w:lang w:bidi="ar"/>
        </w:rPr>
        <w:t>先进个人推荐对象汇总表</w:t>
      </w:r>
    </w:p>
    <w:p>
      <w:pPr>
        <w:snapToGrid w:val="0"/>
        <w:spacing w:line="600" w:lineRule="exact"/>
        <w:textAlignment w:val="baseline"/>
        <w:rPr>
          <w:rFonts w:hint="eastAsia" w:ascii="方正仿宋_GBK" w:hAnsi="方正仿宋_GBK" w:eastAsia="方正仿宋_GBK" w:cs="方正仿宋_GBK"/>
          <w:sz w:val="18"/>
          <w:szCs w:val="18"/>
        </w:rPr>
      </w:pPr>
      <w:r>
        <w:rPr>
          <w:rFonts w:hint="eastAsia" w:ascii="方正仿宋_GBK" w:hAnsi="方正仿宋_GBK" w:eastAsia="方正仿宋_GBK" w:cs="方正仿宋_GBK"/>
          <w:bCs/>
          <w:color w:val="000000"/>
          <w:kern w:val="0"/>
          <w:sz w:val="24"/>
          <w:szCs w:val="24"/>
          <w:lang w:bidi="ar"/>
        </w:rPr>
        <w:t>推荐单位（盖章）</w:t>
      </w:r>
      <w:r>
        <w:rPr>
          <w:rFonts w:hint="eastAsia" w:ascii="方正仿宋_GBK" w:hAnsi="方正仿宋_GBK" w:eastAsia="方正仿宋_GBK" w:cs="方正仿宋_GBK"/>
          <w:bCs/>
          <w:color w:val="000000"/>
          <w:kern w:val="0"/>
          <w:sz w:val="24"/>
          <w:szCs w:val="24"/>
          <w:lang w:eastAsia="zh-CN" w:bidi="ar"/>
        </w:rPr>
        <w:t>：</w:t>
      </w:r>
      <w:r>
        <w:rPr>
          <w:rFonts w:hint="eastAsia" w:ascii="方正仿宋_GBK" w:hAnsi="方正仿宋_GBK" w:eastAsia="方正仿宋_GBK" w:cs="方正仿宋_GBK"/>
          <w:bCs/>
          <w:color w:val="000000"/>
          <w:sz w:val="24"/>
          <w:szCs w:val="24"/>
          <w:u w:val="single"/>
          <w:lang w:eastAsia="zh-CN" w:bidi="ar"/>
        </w:rPr>
        <w:t>重庆市铜梁区发展和改革委员会</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lang w:bidi="ar"/>
        </w:rPr>
        <w:t xml:space="preserve">  </w:t>
      </w:r>
    </w:p>
    <w:tbl>
      <w:tblPr>
        <w:tblStyle w:val="5"/>
        <w:tblW w:w="13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1"/>
        <w:gridCol w:w="671"/>
        <w:gridCol w:w="513"/>
        <w:gridCol w:w="603"/>
        <w:gridCol w:w="657"/>
        <w:gridCol w:w="657"/>
        <w:gridCol w:w="657"/>
        <w:gridCol w:w="1972"/>
        <w:gridCol w:w="730"/>
        <w:gridCol w:w="900"/>
        <w:gridCol w:w="2857"/>
        <w:gridCol w:w="237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9" w:hRule="atLeast"/>
          <w:tblHeader/>
          <w:jc w:val="center"/>
        </w:trPr>
        <w:tc>
          <w:tcPr>
            <w:tcW w:w="431"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序号</w:t>
            </w:r>
          </w:p>
        </w:tc>
        <w:tc>
          <w:tcPr>
            <w:tcW w:w="671"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姓名</w:t>
            </w:r>
          </w:p>
        </w:tc>
        <w:tc>
          <w:tcPr>
            <w:tcW w:w="513"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性别</w:t>
            </w:r>
          </w:p>
        </w:tc>
        <w:tc>
          <w:tcPr>
            <w:tcW w:w="603"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民族</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出生年月</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政治面貌</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学历</w:t>
            </w:r>
          </w:p>
        </w:tc>
        <w:tc>
          <w:tcPr>
            <w:tcW w:w="1972" w:type="dxa"/>
            <w:noWrap w:val="0"/>
            <w:vAlign w:val="center"/>
          </w:tcPr>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工作单位</w:t>
            </w:r>
          </w:p>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及职务（职级）</w:t>
            </w:r>
          </w:p>
        </w:tc>
        <w:tc>
          <w:tcPr>
            <w:tcW w:w="730"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职称</w:t>
            </w:r>
          </w:p>
        </w:tc>
        <w:tc>
          <w:tcPr>
            <w:tcW w:w="900" w:type="dxa"/>
            <w:noWrap w:val="0"/>
            <w:vAlign w:val="center"/>
          </w:tcPr>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人员</w:t>
            </w:r>
          </w:p>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身份</w:t>
            </w:r>
          </w:p>
        </w:tc>
        <w:tc>
          <w:tcPr>
            <w:tcW w:w="2857" w:type="dxa"/>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简要事迹</w:t>
            </w:r>
          </w:p>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default" w:ascii="Times New Roman" w:hAnsi="Times New Roman" w:eastAsia="方正黑体_GBK" w:cs="Times New Roman"/>
                <w:bCs/>
                <w:color w:val="000000"/>
                <w:sz w:val="24"/>
                <w:szCs w:val="24"/>
              </w:rPr>
              <w:t>（300字</w:t>
            </w:r>
            <w:r>
              <w:rPr>
                <w:rFonts w:hint="eastAsia" w:ascii="方正黑体_GBK" w:hAnsi="方正黑体_GBK" w:eastAsia="方正黑体_GBK" w:cs="方正黑体_GBK"/>
                <w:bCs/>
                <w:color w:val="000000"/>
                <w:sz w:val="24"/>
                <w:szCs w:val="24"/>
              </w:rPr>
              <w:t>以内）</w:t>
            </w:r>
          </w:p>
        </w:tc>
        <w:tc>
          <w:tcPr>
            <w:tcW w:w="2376"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身份证号码</w:t>
            </w:r>
          </w:p>
        </w:tc>
        <w:tc>
          <w:tcPr>
            <w:tcW w:w="643" w:type="dxa"/>
            <w:noWrap w:val="0"/>
            <w:vAlign w:val="center"/>
          </w:tcPr>
          <w:p>
            <w:pPr>
              <w:spacing w:line="240" w:lineRule="exact"/>
              <w:jc w:val="center"/>
              <w:textAlignment w:val="center"/>
              <w:rPr>
                <w:rFonts w:hint="eastAsia" w:ascii="方正黑体_GBK" w:hAnsi="方正黑体_GBK" w:eastAsia="方正黑体_GBK" w:cs="方正黑体_GBK"/>
                <w:color w:val="000000"/>
                <w:kern w:val="0"/>
                <w:sz w:val="24"/>
                <w:szCs w:val="24"/>
                <w:lang w:bidi="ar"/>
              </w:rPr>
            </w:pPr>
            <w:r>
              <w:rPr>
                <w:rFonts w:hint="eastAsia" w:ascii="方正黑体_GBK" w:hAnsi="方正黑体_GBK" w:eastAsia="方正黑体_GBK" w:cs="方正黑体_GBK"/>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restart"/>
            <w:noWrap w:val="0"/>
            <w:vAlign w:val="center"/>
          </w:tcPr>
          <w:p>
            <w:pPr>
              <w:spacing w:line="27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w:t>
            </w:r>
          </w:p>
        </w:tc>
        <w:tc>
          <w:tcPr>
            <w:tcW w:w="671"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叶忠莉</w:t>
            </w:r>
          </w:p>
        </w:tc>
        <w:tc>
          <w:tcPr>
            <w:tcW w:w="513"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女</w:t>
            </w:r>
          </w:p>
        </w:tc>
        <w:tc>
          <w:tcPr>
            <w:tcW w:w="603"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汉</w:t>
            </w:r>
          </w:p>
        </w:tc>
        <w:tc>
          <w:tcPr>
            <w:tcW w:w="657" w:type="dxa"/>
            <w:vMerge w:val="restart"/>
            <w:noWrap w:val="0"/>
            <w:vAlign w:val="center"/>
          </w:tcPr>
          <w:p>
            <w:pPr>
              <w:spacing w:line="270" w:lineRule="exact"/>
              <w:jc w:val="center"/>
              <w:rPr>
                <w:rFonts w:hint="default" w:ascii="仿宋" w:hAnsi="仿宋" w:eastAsia="仿宋"/>
                <w:bCs/>
                <w:color w:val="000000"/>
                <w:sz w:val="24"/>
                <w:szCs w:val="24"/>
                <w:lang w:val="en-US" w:eastAsia="zh-CN"/>
              </w:rPr>
            </w:pPr>
            <w:r>
              <w:rPr>
                <w:rFonts w:hint="default" w:ascii="Times New Roman" w:hAnsi="Times New Roman" w:eastAsia="仿宋" w:cs="Times New Roman"/>
                <w:bCs/>
                <w:color w:val="000000"/>
                <w:sz w:val="24"/>
                <w:szCs w:val="24"/>
                <w:lang w:val="en-US" w:eastAsia="zh-CN"/>
              </w:rPr>
              <w:t>1988.06</w:t>
            </w:r>
          </w:p>
        </w:tc>
        <w:tc>
          <w:tcPr>
            <w:tcW w:w="657"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中共党员</w:t>
            </w:r>
          </w:p>
        </w:tc>
        <w:tc>
          <w:tcPr>
            <w:tcW w:w="657"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大学本科</w:t>
            </w:r>
          </w:p>
        </w:tc>
        <w:tc>
          <w:tcPr>
            <w:tcW w:w="1972" w:type="dxa"/>
            <w:vMerge w:val="restart"/>
            <w:noWrap w:val="0"/>
            <w:vAlign w:val="center"/>
          </w:tcPr>
          <w:p>
            <w:pPr>
              <w:spacing w:line="270" w:lineRule="exact"/>
              <w:jc w:val="left"/>
              <w:rPr>
                <w:rFonts w:hint="eastAsia" w:ascii="仿宋" w:hAnsi="仿宋" w:eastAsia="仿宋"/>
                <w:bCs/>
                <w:color w:val="000000"/>
                <w:sz w:val="24"/>
                <w:szCs w:val="24"/>
                <w:lang w:val="en-US" w:eastAsia="zh-CN"/>
              </w:rPr>
            </w:pPr>
            <w:r>
              <w:rPr>
                <w:rFonts w:hint="eastAsia" w:ascii="仿宋" w:hAnsi="仿宋" w:eastAsia="仿宋"/>
                <w:bCs/>
                <w:color w:val="000000"/>
                <w:sz w:val="24"/>
                <w:szCs w:val="24"/>
                <w:lang w:eastAsia="zh-CN"/>
              </w:rPr>
              <w:t>重庆市铜梁区发展和改革委员会</w:t>
            </w:r>
          </w:p>
          <w:p>
            <w:pPr>
              <w:spacing w:line="270" w:lineRule="exact"/>
              <w:jc w:val="left"/>
              <w:rPr>
                <w:rFonts w:hint="default"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四级主任科员</w:t>
            </w:r>
          </w:p>
        </w:tc>
        <w:tc>
          <w:tcPr>
            <w:tcW w:w="730" w:type="dxa"/>
            <w:vMerge w:val="restart"/>
            <w:noWrap w:val="0"/>
            <w:vAlign w:val="center"/>
          </w:tcPr>
          <w:p>
            <w:pPr>
              <w:spacing w:line="270" w:lineRule="exact"/>
              <w:jc w:val="center"/>
              <w:rPr>
                <w:rFonts w:ascii="仿宋" w:hAnsi="仿宋" w:eastAsia="仿宋"/>
                <w:bCs/>
                <w:color w:val="000000"/>
                <w:sz w:val="24"/>
                <w:szCs w:val="24"/>
              </w:rPr>
            </w:pPr>
          </w:p>
        </w:tc>
        <w:tc>
          <w:tcPr>
            <w:tcW w:w="900"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事业单位职工</w:t>
            </w:r>
          </w:p>
        </w:tc>
        <w:tc>
          <w:tcPr>
            <w:tcW w:w="28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bCs/>
                <w:color w:val="000000"/>
                <w:sz w:val="24"/>
                <w:szCs w:val="24"/>
              </w:rPr>
            </w:pPr>
            <w:r>
              <w:rPr>
                <w:rFonts w:hint="eastAsia" w:ascii="Times New Roman" w:eastAsia="方正仿宋_GBK" w:cs="Times New Roman"/>
                <w:sz w:val="24"/>
                <w:szCs w:val="24"/>
                <w:lang w:eastAsia="zh-CN"/>
              </w:rPr>
              <w:t>在负责《铜梁区新型城镇化规划（2021—2035年）》编制和统筹</w:t>
            </w:r>
            <w:r>
              <w:rPr>
                <w:rFonts w:hint="eastAsia" w:ascii="Times New Roman" w:eastAsia="方正仿宋_GBK" w:cs="Times New Roman"/>
                <w:sz w:val="24"/>
                <w:szCs w:val="24"/>
                <w:lang w:val="en-US" w:eastAsia="zh-CN"/>
              </w:rPr>
              <w:t>20个区级重点专项规划</w:t>
            </w:r>
            <w:r>
              <w:rPr>
                <w:rFonts w:hint="eastAsia" w:ascii="Times New Roman" w:eastAsia="方正仿宋_GBK" w:cs="Times New Roman"/>
                <w:sz w:val="24"/>
                <w:szCs w:val="24"/>
                <w:lang w:eastAsia="zh-CN"/>
              </w:rPr>
              <w:t>时，</w:t>
            </w:r>
            <w:r>
              <w:rPr>
                <w:rFonts w:hint="default" w:ascii="Times New Roman" w:eastAsia="方正仿宋_GBK" w:cs="Times New Roman"/>
                <w:sz w:val="24"/>
                <w:szCs w:val="24"/>
                <w:lang w:val="en-US" w:eastAsia="zh-CN"/>
              </w:rPr>
              <w:t>统筹全区各类规划衔接，</w:t>
            </w:r>
            <w:r>
              <w:rPr>
                <w:rFonts w:hint="eastAsia" w:ascii="Times New Roman" w:eastAsia="方正仿宋_GBK" w:cs="Times New Roman"/>
                <w:sz w:val="24"/>
                <w:szCs w:val="24"/>
                <w:lang w:eastAsia="zh-CN"/>
              </w:rPr>
              <w:t>制定细化落实的时间表和路线图，组织或参与各类调研走访</w:t>
            </w:r>
            <w:r>
              <w:rPr>
                <w:rFonts w:hint="eastAsia" w:ascii="Times New Roman" w:eastAsia="方正仿宋_GBK" w:cs="Times New Roman"/>
                <w:sz w:val="24"/>
                <w:szCs w:val="24"/>
                <w:lang w:val="en-US" w:eastAsia="zh-CN"/>
              </w:rPr>
              <w:t>30余次，开展“双百”城市路径研究、城乡融合发展改革研究等各类课题研究10余项，细化研究“一轴两翼”城镇化空间格局，科学提出“建设重庆西向发展桥头堡、努力争当成渝中部崛起排头兵”城市发展定位，获得区委区政府高度认可。</w:t>
            </w:r>
          </w:p>
        </w:tc>
        <w:tc>
          <w:tcPr>
            <w:tcW w:w="2376" w:type="dxa"/>
            <w:vMerge w:val="restart"/>
            <w:noWrap w:val="0"/>
            <w:vAlign w:val="center"/>
          </w:tcPr>
          <w:p>
            <w:pPr>
              <w:spacing w:line="270" w:lineRule="exact"/>
              <w:jc w:val="center"/>
              <w:rPr>
                <w:rFonts w:hint="default" w:ascii="仿宋" w:hAnsi="仿宋" w:eastAsia="仿宋"/>
                <w:bCs/>
                <w:color w:val="000000"/>
                <w:sz w:val="24"/>
                <w:szCs w:val="24"/>
                <w:lang w:val="en-US" w:eastAsia="zh-CN"/>
              </w:rPr>
            </w:pPr>
            <w:r>
              <w:rPr>
                <w:rFonts w:hint="default" w:ascii="Times New Roman" w:hAnsi="Times New Roman" w:eastAsia="仿宋" w:cs="Times New Roman"/>
                <w:bCs/>
                <w:color w:val="000000"/>
                <w:sz w:val="24"/>
                <w:szCs w:val="24"/>
                <w:lang w:val="en-US" w:eastAsia="zh-CN"/>
              </w:rPr>
              <w:t>5003</w:t>
            </w:r>
            <w:r>
              <w:rPr>
                <w:rFonts w:hint="eastAsia" w:ascii="Times New Roman" w:hAnsi="Times New Roman" w:eastAsia="仿宋" w:cs="Times New Roman"/>
                <w:bCs/>
                <w:color w:val="000000"/>
                <w:sz w:val="24"/>
                <w:szCs w:val="24"/>
                <w:lang w:val="en-US" w:eastAsia="zh-CN"/>
              </w:rPr>
              <w:t>**********</w:t>
            </w:r>
            <w:r>
              <w:rPr>
                <w:rFonts w:hint="default" w:ascii="Times New Roman" w:hAnsi="Times New Roman" w:eastAsia="仿宋" w:cs="Times New Roman"/>
                <w:bCs/>
                <w:color w:val="000000"/>
                <w:sz w:val="24"/>
                <w:szCs w:val="24"/>
                <w:lang w:val="en-US" w:eastAsia="zh-CN"/>
              </w:rPr>
              <w:t>9224</w:t>
            </w:r>
          </w:p>
        </w:tc>
        <w:tc>
          <w:tcPr>
            <w:tcW w:w="643" w:type="dxa"/>
            <w:vMerge w:val="restart"/>
            <w:noWrap w:val="0"/>
            <w:vAlign w:val="center"/>
          </w:tcPr>
          <w:p>
            <w:pPr>
              <w:spacing w:line="270" w:lineRule="exact"/>
              <w:jc w:val="center"/>
              <w:rPr>
                <w:rFonts w:ascii="仿宋" w:hAnsi="仿宋" w:eastAsia="仿宋"/>
                <w:bCs/>
                <w:color w:val="000000"/>
                <w:sz w:val="24"/>
                <w:szCs w:val="24"/>
              </w:rPr>
            </w:pPr>
            <w:r>
              <w:rPr>
                <w:rFonts w:hint="eastAsia" w:ascii="方正仿宋_GBK" w:hAnsi="方正仿宋_GBK" w:eastAsia="方正仿宋_GBK" w:cs="方正仿宋_GBK"/>
                <w:bCs/>
                <w:color w:val="000000"/>
                <w:kern w:val="0"/>
                <w:sz w:val="24"/>
                <w:szCs w:val="24"/>
                <w:lang w:bidi="ar"/>
              </w:rPr>
              <w:t>按推荐顺序填写</w:t>
            </w:r>
            <w:r>
              <w:rPr>
                <w:rFonts w:ascii="仿宋" w:hAnsi="仿宋" w:eastAsia="仿宋"/>
                <w:bCs/>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3"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restart"/>
            <w:noWrap w:val="0"/>
            <w:vAlign w:val="center"/>
          </w:tcPr>
          <w:p>
            <w:pPr>
              <w:spacing w:line="27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w:t>
            </w:r>
          </w:p>
        </w:tc>
        <w:tc>
          <w:tcPr>
            <w:tcW w:w="671"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李晓宏</w:t>
            </w:r>
          </w:p>
        </w:tc>
        <w:tc>
          <w:tcPr>
            <w:tcW w:w="513"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男</w:t>
            </w:r>
          </w:p>
        </w:tc>
        <w:tc>
          <w:tcPr>
            <w:tcW w:w="603"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汉</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1980.10</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群众</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大学</w:t>
            </w:r>
          </w:p>
        </w:tc>
        <w:tc>
          <w:tcPr>
            <w:tcW w:w="1972" w:type="dxa"/>
            <w:vMerge w:val="restart"/>
            <w:noWrap w:val="0"/>
            <w:vAlign w:val="center"/>
          </w:tcPr>
          <w:p>
            <w:pPr>
              <w:spacing w:line="270" w:lineRule="exact"/>
              <w:jc w:val="center"/>
              <w:rPr>
                <w:rFonts w:ascii="仿宋" w:hAnsi="仿宋" w:eastAsia="仿宋"/>
                <w:bCs/>
                <w:color w:val="000000"/>
                <w:sz w:val="24"/>
                <w:szCs w:val="24"/>
              </w:rPr>
            </w:pPr>
            <w:r>
              <w:rPr>
                <w:rFonts w:ascii="Times New Roman" w:eastAsia="方正仿宋_GBK"/>
                <w:spacing w:val="-4"/>
                <w:sz w:val="24"/>
                <w:szCs w:val="24"/>
              </w:rPr>
              <w:t>重庆市铜梁区交通运行监测和应急调度中心</w:t>
            </w:r>
            <w:r>
              <w:rPr>
                <w:rFonts w:hint="eastAsia" w:ascii="Times New Roman" w:eastAsia="方正仿宋_GBK"/>
                <w:spacing w:val="-4"/>
                <w:sz w:val="24"/>
                <w:szCs w:val="24"/>
                <w:lang w:val="en-US" w:eastAsia="zh-CN"/>
              </w:rPr>
              <w:t xml:space="preserve">  专技九级</w:t>
            </w:r>
          </w:p>
        </w:tc>
        <w:tc>
          <w:tcPr>
            <w:tcW w:w="730"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工程师</w:t>
            </w:r>
          </w:p>
        </w:tc>
        <w:tc>
          <w:tcPr>
            <w:tcW w:w="900"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事业单位职工</w:t>
            </w:r>
          </w:p>
        </w:tc>
        <w:tc>
          <w:tcPr>
            <w:tcW w:w="2857" w:type="dxa"/>
            <w:vMerge w:val="restart"/>
            <w:noWrap w:val="0"/>
            <w:vAlign w:val="center"/>
          </w:tcPr>
          <w:p>
            <w:pPr>
              <w:spacing w:line="270" w:lineRule="exact"/>
              <w:ind w:firstLine="464" w:firstLineChars="200"/>
              <w:jc w:val="both"/>
              <w:rPr>
                <w:rFonts w:ascii="仿宋" w:hAnsi="仿宋" w:eastAsia="仿宋"/>
                <w:bCs/>
                <w:color w:val="000000"/>
                <w:sz w:val="24"/>
                <w:szCs w:val="24"/>
              </w:rPr>
            </w:pPr>
            <w:r>
              <w:rPr>
                <w:rFonts w:hint="eastAsia" w:ascii="Times New Roman" w:eastAsia="方正仿宋_GBK" w:cs="Times New Roman"/>
                <w:spacing w:val="-4"/>
                <w:sz w:val="24"/>
                <w:szCs w:val="24"/>
                <w:lang w:val="en-US" w:eastAsia="zh-CN"/>
              </w:rPr>
              <w:t>积极参与编制《重庆市铜梁区综合交通运输“十四五”发展规划》、《铜梁区交通物流“十四五”发展规划》、《铜梁区智慧交通“十四五”发展规划》。会同规划编制单位到</w:t>
            </w:r>
            <w:r>
              <w:rPr>
                <w:rFonts w:hint="eastAsia" w:ascii="Times New Roman" w:eastAsia="方正仿宋_GBK"/>
                <w:spacing w:val="-4"/>
                <w:sz w:val="24"/>
                <w:szCs w:val="24"/>
                <w:lang w:val="en-US" w:eastAsia="zh-CN"/>
              </w:rPr>
              <w:t>全区28个镇街及相关部门进行座谈，收集相关需求及相关资料。形成初稿后分别征求区人大代表、区政协委员、市级相关专家的意见并修改完善后形成送审稿报区政府进行审批。区政府常务会审查通过后进行印发。印发后还编制了简洁易懂的解读小本送与广大群众，还将规划挂在铜梁区政府网上，方便市民进行查阅。</w:t>
            </w:r>
            <w:r>
              <w:rPr>
                <w:rFonts w:hint="eastAsia" w:ascii="Times New Roman" w:eastAsia="方正仿宋_GBK" w:cs="Times New Roman"/>
                <w:spacing w:val="-4"/>
                <w:sz w:val="24"/>
                <w:szCs w:val="24"/>
                <w:lang w:val="en-US" w:eastAsia="zh-CN"/>
              </w:rPr>
              <w:t>参与编了《铜梁区国民经济和社会发展第十四个五年规划和二〇三五年远景目标纲要》中交通部分的编写；参与其他部门相关十四五规划的审查，提出关于交通相面的修改意见。</w:t>
            </w:r>
          </w:p>
        </w:tc>
        <w:tc>
          <w:tcPr>
            <w:tcW w:w="2376"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5102**********</w:t>
            </w:r>
            <w:bookmarkStart w:id="0" w:name="_GoBack"/>
            <w:bookmarkEnd w:id="0"/>
            <w:r>
              <w:rPr>
                <w:rFonts w:hint="eastAsia" w:ascii="Times New Roman" w:eastAsia="方正仿宋_GBK"/>
                <w:sz w:val="24"/>
                <w:szCs w:val="24"/>
                <w:lang w:val="en-US" w:eastAsia="zh-CN"/>
              </w:rPr>
              <w:t>3333</w:t>
            </w: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17"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bl>
    <w:p>
      <w:pPr>
        <w:textAlignment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ZTE0YzhmYzE4YjYwN2JkMGQyYzE2OTYwNGNmMzkifQ=="/>
  </w:docVars>
  <w:rsids>
    <w:rsidRoot w:val="6C284813"/>
    <w:rsid w:val="2D3F22D9"/>
    <w:rsid w:val="5A771ADF"/>
    <w:rsid w:val="63C56B56"/>
    <w:rsid w:val="6C284813"/>
    <w:rsid w:val="7544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szCs w:val="22"/>
    </w:rPr>
  </w:style>
  <w:style w:type="paragraph" w:styleId="3">
    <w:name w:val="toc 5"/>
    <w:basedOn w:val="1"/>
    <w:next w:val="1"/>
    <w:qFormat/>
    <w:uiPriority w:val="39"/>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1178</Characters>
  <Lines>0</Lines>
  <Paragraphs>0</Paragraphs>
  <TotalTime>10</TotalTime>
  <ScaleCrop>false</ScaleCrop>
  <LinksUpToDate>false</LinksUpToDate>
  <CharactersWithSpaces>1189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2022-07-20T02:10:00Z</dcterms:created>
  <dc:creator>NeiWang</dc:creator>
  <cp:lastModifiedBy>Administrator</cp:lastModifiedBy>
  <dcterms:modified xsi:type="dcterms:W3CDTF">2022-07-21T07:02:37Z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2C9F3A0682C44DB89CA33C790169B05E</vt:lpwstr>
  </property>
</Properties>
</file>