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1" w:rightFromText="181" w:horzAnchor="margin" w:tblpXSpec="center" w:tblpYSpec="top"/>
        <w:tblW w:w="8833" w:type="dxa"/>
        <w:jc w:val="center"/>
        <w:tblInd w:w="0" w:type="dxa"/>
        <w:tblLayout w:type="fixed"/>
        <w:tblCellMar>
          <w:top w:w="0" w:type="dxa"/>
          <w:left w:w="108" w:type="dxa"/>
          <w:bottom w:w="0" w:type="dxa"/>
          <w:right w:w="108" w:type="dxa"/>
        </w:tblCellMar>
      </w:tblPr>
      <w:tblGrid>
        <w:gridCol w:w="8833"/>
      </w:tblGrid>
      <w:tr>
        <w:tblPrEx>
          <w:tblLayout w:type="fixed"/>
          <w:tblCellMar>
            <w:top w:w="0" w:type="dxa"/>
            <w:left w:w="108" w:type="dxa"/>
            <w:bottom w:w="0" w:type="dxa"/>
            <w:right w:w="108" w:type="dxa"/>
          </w:tblCellMar>
        </w:tblPrEx>
        <w:trPr>
          <w:trHeight w:val="498" w:hRule="atLeast"/>
          <w:jc w:val="center"/>
        </w:trPr>
        <w:tc>
          <w:tcPr>
            <w:tcW w:w="8833" w:type="dxa"/>
            <w:noWrap w:val="0"/>
            <w:vAlign w:val="top"/>
          </w:tcPr>
          <w:p>
            <w:pPr>
              <w:spacing w:line="520" w:lineRule="exact"/>
              <w:rPr>
                <w:rFonts w:hint="default" w:eastAsia="宋体"/>
                <w:szCs w:val="32"/>
                <w:lang w:val="en-US" w:eastAsia="zh-CN"/>
              </w:rPr>
            </w:pPr>
            <w:r>
              <w:rPr>
                <w:szCs w:val="32"/>
              </w:rPr>
              <w:t xml:space="preserve">                                  </w:t>
            </w:r>
            <w:r>
              <w:rPr>
                <w:rFonts w:hint="eastAsia"/>
                <w:szCs w:val="32"/>
                <w:lang w:val="en-US" w:eastAsia="zh-CN"/>
              </w:rPr>
              <w:t xml:space="preserve">                                          </w:t>
            </w:r>
            <w:r>
              <w:rPr>
                <w:rFonts w:hint="eastAsia" w:ascii="方正黑体_GBK" w:hAnsi="方正黑体_GBK" w:eastAsia="方正黑体_GBK" w:cs="方正黑体_GBK"/>
                <w:sz w:val="32"/>
                <w:szCs w:val="32"/>
                <w:lang w:val="en-US" w:eastAsia="zh-CN"/>
              </w:rPr>
              <w:t>A类</w:t>
            </w:r>
          </w:p>
        </w:tc>
      </w:tr>
      <w:tr>
        <w:tblPrEx>
          <w:tblLayout w:type="fixed"/>
          <w:tblCellMar>
            <w:top w:w="0" w:type="dxa"/>
            <w:left w:w="108" w:type="dxa"/>
            <w:bottom w:w="0" w:type="dxa"/>
            <w:right w:w="108" w:type="dxa"/>
          </w:tblCellMar>
        </w:tblPrEx>
        <w:trPr>
          <w:trHeight w:val="442" w:hRule="atLeast"/>
          <w:jc w:val="center"/>
        </w:trPr>
        <w:tc>
          <w:tcPr>
            <w:tcW w:w="8833" w:type="dxa"/>
            <w:noWrap w:val="0"/>
            <w:vAlign w:val="top"/>
          </w:tcPr>
          <w:p>
            <w:pPr>
              <w:spacing w:line="520" w:lineRule="exact"/>
              <w:rPr>
                <w:rFonts w:eastAsia="方正黑体_GBK"/>
                <w:szCs w:val="32"/>
              </w:rPr>
            </w:pPr>
          </w:p>
        </w:tc>
      </w:tr>
      <w:tr>
        <w:tblPrEx>
          <w:tblLayout w:type="fixed"/>
          <w:tblCellMar>
            <w:top w:w="0" w:type="dxa"/>
            <w:left w:w="108" w:type="dxa"/>
            <w:bottom w:w="0" w:type="dxa"/>
            <w:right w:w="108" w:type="dxa"/>
          </w:tblCellMar>
        </w:tblPrEx>
        <w:trPr>
          <w:trHeight w:val="456" w:hRule="atLeast"/>
          <w:jc w:val="center"/>
        </w:trPr>
        <w:tc>
          <w:tcPr>
            <w:tcW w:w="8833" w:type="dxa"/>
            <w:noWrap w:val="0"/>
            <w:vAlign w:val="center"/>
          </w:tcPr>
          <w:p>
            <w:pPr>
              <w:spacing w:line="520" w:lineRule="exact"/>
              <w:rPr>
                <w:rFonts w:eastAsia="方正黑体_GBK"/>
                <w:color w:val="000000"/>
                <w:szCs w:val="32"/>
              </w:rPr>
            </w:pPr>
          </w:p>
        </w:tc>
      </w:tr>
      <w:tr>
        <w:tblPrEx>
          <w:tblLayout w:type="fixed"/>
          <w:tblCellMar>
            <w:top w:w="0" w:type="dxa"/>
            <w:left w:w="108" w:type="dxa"/>
            <w:bottom w:w="0" w:type="dxa"/>
            <w:right w:w="108" w:type="dxa"/>
          </w:tblCellMar>
        </w:tblPrEx>
        <w:trPr>
          <w:trHeight w:val="2389" w:hRule="atLeast"/>
          <w:jc w:val="center"/>
        </w:trPr>
        <w:tc>
          <w:tcPr>
            <w:tcW w:w="8833" w:type="dxa"/>
            <w:noWrap w:val="0"/>
            <w:vAlign w:val="center"/>
          </w:tcPr>
          <w:p>
            <w:pPr>
              <w:jc w:val="center"/>
              <w:rPr>
                <w:rFonts w:eastAsia="方正小标宋_GBK"/>
                <w:b/>
                <w:color w:val="FF0000"/>
                <w:w w:val="55"/>
                <w:sz w:val="130"/>
                <w:szCs w:val="130"/>
              </w:rPr>
            </w:pPr>
          </w:p>
        </w:tc>
      </w:tr>
      <w:tr>
        <w:tblPrEx>
          <w:tblLayout w:type="fixed"/>
          <w:tblCellMar>
            <w:top w:w="0" w:type="dxa"/>
            <w:left w:w="108" w:type="dxa"/>
            <w:bottom w:w="0" w:type="dxa"/>
            <w:right w:w="108" w:type="dxa"/>
          </w:tblCellMar>
        </w:tblPrEx>
        <w:trPr>
          <w:trHeight w:val="1285" w:hRule="atLeast"/>
          <w:jc w:val="center"/>
        </w:trPr>
        <w:tc>
          <w:tcPr>
            <w:tcW w:w="8833" w:type="dxa"/>
            <w:noWrap w:val="0"/>
            <w:vAlign w:val="bottom"/>
          </w:tcPr>
          <w:p>
            <w:pPr>
              <w:pStyle w:val="4"/>
              <w:spacing w:line="560" w:lineRule="exact"/>
              <w:jc w:val="center"/>
              <w:rPr>
                <w:rFonts w:hint="default" w:eastAsia="方正仿宋_GBK"/>
                <w:szCs w:val="32"/>
                <w:lang w:val="en-US" w:eastAsia="zh-CN"/>
              </w:rPr>
            </w:pPr>
            <w:r>
              <w:rPr>
                <w:rFonts w:ascii="Times New Roman" w:hAnsi="Times New Roman" w:eastAsia="方正仿宋_GBK" w:cs="Times New Roman"/>
                <w:szCs w:val="32"/>
              </w:rPr>
              <w:t>铜</w:t>
            </w:r>
            <w:r>
              <w:rPr>
                <w:rFonts w:hint="eastAsia" w:eastAsia="方正仿宋_GBK" w:cs="Times New Roman"/>
                <w:szCs w:val="32"/>
                <w:lang w:eastAsia="zh-CN"/>
              </w:rPr>
              <w:t>发改委函</w:t>
            </w:r>
            <w:r>
              <w:rPr>
                <w:rFonts w:ascii="Times New Roman" w:hAnsi="Times New Roman" w:eastAsia="方正仿宋_GBK" w:cs="Times New Roman"/>
                <w:szCs w:val="32"/>
              </w:rPr>
              <w:t>〔20</w:t>
            </w:r>
            <w:r>
              <w:rPr>
                <w:rFonts w:hint="eastAsia" w:ascii="Times New Roman" w:hAnsi="Times New Roman" w:eastAsia="方正仿宋_GBK" w:cs="Times New Roman"/>
                <w:szCs w:val="32"/>
                <w:lang w:val="en-US" w:eastAsia="zh-CN"/>
              </w:rPr>
              <w:t>22</w:t>
            </w:r>
            <w:r>
              <w:rPr>
                <w:rFonts w:ascii="Times New Roman" w:hAnsi="Times New Roman" w:eastAsia="方正仿宋_GBK" w:cs="Times New Roman"/>
                <w:szCs w:val="32"/>
              </w:rPr>
              <w:t>〕</w:t>
            </w:r>
            <w:r>
              <w:rPr>
                <w:rFonts w:hint="eastAsia" w:eastAsia="方正仿宋_GBK" w:cs="Times New Roman"/>
                <w:szCs w:val="32"/>
                <w:lang w:val="en-US" w:eastAsia="zh-CN"/>
              </w:rPr>
              <w:t>39</w:t>
            </w:r>
            <w:r>
              <w:rPr>
                <w:rFonts w:ascii="Times New Roman" w:hAnsi="Times New Roman" w:eastAsia="方正仿宋_GBK" w:cs="Times New Roman"/>
                <w:szCs w:val="32"/>
              </w:rPr>
              <w:t>号</w:t>
            </w:r>
          </w:p>
          <w:p>
            <w:pPr>
              <w:spacing w:line="540" w:lineRule="exact"/>
              <w:jc w:val="both"/>
              <w:rPr>
                <w:color w:val="FF0000"/>
                <w:sz w:val="52"/>
                <w:szCs w:val="52"/>
              </w:rPr>
            </w:pPr>
          </w:p>
        </w:tc>
      </w:tr>
    </w:tbl>
    <w:p>
      <w:pPr>
        <w:keepNext w:val="0"/>
        <w:keepLines w:val="0"/>
        <w:pageBreakBefore w:val="0"/>
        <w:widowControl w:val="0"/>
        <w:shd w:val="clear" w:color="auto" w:fill="auto"/>
        <w:kinsoku/>
        <w:wordWrap/>
        <w:overflowPunct/>
        <w:topLinePunct w:val="0"/>
        <w:autoSpaceDE/>
        <w:autoSpaceDN/>
        <w:bidi w:val="0"/>
        <w:adjustRightInd w:val="0"/>
        <w:snapToGrid w:val="0"/>
        <w:spacing w:line="594"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重庆市铜梁区发展和改革委员会</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default" w:ascii="Times New Roman" w:hAnsi="Times New Roman" w:eastAsia="方正小标宋_GBK" w:cs="Times New Roman"/>
          <w:b w:val="0"/>
          <w:bCs/>
          <w:color w:val="auto"/>
          <w:kern w:val="2"/>
          <w:sz w:val="44"/>
          <w:szCs w:val="44"/>
          <w:lang w:val="en-US" w:eastAsia="zh-CN"/>
        </w:rPr>
      </w:pPr>
      <w:r>
        <w:rPr>
          <w:rFonts w:hint="default" w:ascii="Times New Roman" w:hAnsi="Times New Roman" w:eastAsia="方正小标宋_GBK" w:cs="Times New Roman"/>
          <w:b w:val="0"/>
          <w:bCs/>
          <w:color w:val="auto"/>
          <w:kern w:val="2"/>
          <w:sz w:val="44"/>
          <w:szCs w:val="44"/>
          <w:lang w:val="en-US" w:eastAsia="zh-CN"/>
        </w:rPr>
        <w:t>关于区第</w:t>
      </w:r>
      <w:r>
        <w:rPr>
          <w:rFonts w:hint="eastAsia" w:eastAsia="方正小标宋_GBK" w:cs="Times New Roman"/>
          <w:b w:val="0"/>
          <w:bCs/>
          <w:color w:val="auto"/>
          <w:kern w:val="2"/>
          <w:sz w:val="44"/>
          <w:szCs w:val="44"/>
          <w:lang w:val="en-US" w:eastAsia="zh-CN"/>
        </w:rPr>
        <w:t>十八</w:t>
      </w:r>
      <w:r>
        <w:rPr>
          <w:rFonts w:hint="default" w:ascii="Times New Roman" w:hAnsi="Times New Roman" w:eastAsia="方正小标宋_GBK" w:cs="Times New Roman"/>
          <w:b w:val="0"/>
          <w:bCs/>
          <w:color w:val="auto"/>
          <w:kern w:val="2"/>
          <w:sz w:val="44"/>
          <w:szCs w:val="44"/>
          <w:lang w:val="en-US" w:eastAsia="zh-CN"/>
        </w:rPr>
        <w:t>届人民代表大会第</w:t>
      </w:r>
      <w:r>
        <w:rPr>
          <w:rFonts w:hint="eastAsia" w:eastAsia="方正小标宋_GBK" w:cs="Times New Roman"/>
          <w:b w:val="0"/>
          <w:bCs/>
          <w:color w:val="auto"/>
          <w:kern w:val="2"/>
          <w:sz w:val="44"/>
          <w:szCs w:val="44"/>
          <w:lang w:val="en-US" w:eastAsia="zh-CN"/>
        </w:rPr>
        <w:t>一</w:t>
      </w:r>
      <w:r>
        <w:rPr>
          <w:rFonts w:hint="default" w:ascii="Times New Roman" w:hAnsi="Times New Roman" w:eastAsia="方正小标宋_GBK" w:cs="Times New Roman"/>
          <w:b w:val="0"/>
          <w:bCs/>
          <w:color w:val="auto"/>
          <w:kern w:val="2"/>
          <w:sz w:val="44"/>
          <w:szCs w:val="44"/>
          <w:lang w:val="en-US" w:eastAsia="zh-CN"/>
        </w:rPr>
        <w:t>次会议</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default" w:ascii="Times New Roman" w:hAnsi="Times New Roman" w:eastAsia="方正小标宋_GBK" w:cs="Times New Roman"/>
          <w:b w:val="0"/>
          <w:bCs/>
          <w:color w:val="auto"/>
          <w:kern w:val="2"/>
          <w:sz w:val="44"/>
          <w:szCs w:val="44"/>
          <w:lang w:val="en-US" w:eastAsia="zh-CN"/>
        </w:rPr>
      </w:pPr>
      <w:r>
        <w:rPr>
          <w:rFonts w:hint="default" w:ascii="Times New Roman" w:hAnsi="Times New Roman" w:eastAsia="方正小标宋_GBK" w:cs="Times New Roman"/>
          <w:b w:val="0"/>
          <w:bCs/>
          <w:color w:val="auto"/>
          <w:kern w:val="2"/>
          <w:sz w:val="44"/>
          <w:szCs w:val="44"/>
          <w:lang w:val="en-US" w:eastAsia="zh-CN"/>
        </w:rPr>
        <w:t>第</w:t>
      </w:r>
      <w:r>
        <w:rPr>
          <w:rFonts w:hint="eastAsia" w:eastAsia="方正小标宋_GBK" w:cs="Times New Roman"/>
          <w:b w:val="0"/>
          <w:bCs/>
          <w:color w:val="auto"/>
          <w:kern w:val="2"/>
          <w:sz w:val="44"/>
          <w:szCs w:val="44"/>
          <w:lang w:val="en-US" w:eastAsia="zh-CN"/>
        </w:rPr>
        <w:t>76</w:t>
      </w:r>
      <w:r>
        <w:rPr>
          <w:rFonts w:hint="default" w:ascii="Times New Roman" w:hAnsi="Times New Roman" w:eastAsia="方正小标宋_GBK" w:cs="Times New Roman"/>
          <w:b w:val="0"/>
          <w:bCs/>
          <w:color w:val="auto"/>
          <w:kern w:val="2"/>
          <w:sz w:val="44"/>
          <w:szCs w:val="44"/>
          <w:lang w:val="en-US" w:eastAsia="zh-CN"/>
        </w:rPr>
        <w:t>号建议的复函</w:t>
      </w:r>
    </w:p>
    <w:p>
      <w:pPr>
        <w:keepNext w:val="0"/>
        <w:keepLines w:val="0"/>
        <w:pageBreakBefore w:val="0"/>
        <w:widowControl w:val="0"/>
        <w:kinsoku/>
        <w:wordWrap/>
        <w:overflowPunct/>
        <w:topLinePunct w:val="0"/>
        <w:autoSpaceDE/>
        <w:autoSpaceDN/>
        <w:bidi w:val="0"/>
        <w:snapToGrid w:val="0"/>
        <w:spacing w:line="594" w:lineRule="exact"/>
        <w:textAlignment w:val="auto"/>
        <w:rPr>
          <w:rFonts w:hint="default" w:ascii="Times New Roman" w:hAnsi="Times New Roman" w:eastAsia="仿宋_GB2312" w:cs="Times New Roman"/>
          <w:b w:val="0"/>
          <w:bCs/>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eastAsia" w:ascii="方正仿宋_GBK" w:hAnsi="方正仿宋_GBK" w:eastAsia="方正仿宋_GBK" w:cs="方正仿宋_GBK"/>
          <w:b w:val="0"/>
          <w:bCs/>
          <w:color w:val="auto"/>
          <w:kern w:val="2"/>
          <w:sz w:val="32"/>
          <w:szCs w:val="32"/>
          <w:lang w:val="en-US" w:eastAsia="zh-CN"/>
        </w:rPr>
      </w:pPr>
      <w:bookmarkStart w:id="0" w:name="_GoBack"/>
      <w:bookmarkEnd w:id="0"/>
      <w:r>
        <w:rPr>
          <w:rFonts w:hint="eastAsia" w:ascii="方正仿宋_GBK" w:hAnsi="方正仿宋_GBK" w:eastAsia="方正仿宋_GBK" w:cs="方正仿宋_GBK"/>
          <w:b w:val="0"/>
          <w:bCs/>
          <w:color w:val="auto"/>
          <w:kern w:val="2"/>
          <w:sz w:val="32"/>
          <w:szCs w:val="32"/>
          <w:lang w:val="en-US" w:eastAsia="zh-CN"/>
        </w:rPr>
        <w:t>张晓霞代表：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b w:val="0"/>
          <w:bCs/>
          <w:color w:val="auto"/>
          <w:kern w:val="2"/>
          <w:sz w:val="32"/>
          <w:szCs w:val="32"/>
          <w:lang w:val="en-US" w:eastAsia="zh-CN"/>
        </w:rPr>
      </w:pPr>
      <w:r>
        <w:rPr>
          <w:rFonts w:hint="eastAsia" w:ascii="方正仿宋_GBK" w:hAnsi="方正仿宋_GBK" w:eastAsia="方正仿宋_GBK" w:cs="方正仿宋_GBK"/>
          <w:b w:val="0"/>
          <w:bCs/>
          <w:color w:val="auto"/>
          <w:kern w:val="2"/>
          <w:sz w:val="32"/>
          <w:szCs w:val="32"/>
          <w:lang w:val="en-US" w:eastAsia="zh-CN"/>
        </w:rPr>
        <w:t>您提出的《关于加快住宅小区安装电动汽车充电桩的建议》（第</w:t>
      </w:r>
      <w:r>
        <w:rPr>
          <w:rFonts w:hint="default" w:ascii="Times New Roman" w:hAnsi="Times New Roman" w:eastAsia="方正仿宋_GBK" w:cs="Times New Roman"/>
          <w:b w:val="0"/>
          <w:bCs/>
          <w:color w:val="auto"/>
          <w:kern w:val="2"/>
          <w:sz w:val="32"/>
          <w:szCs w:val="32"/>
          <w:lang w:val="en-US" w:eastAsia="zh-CN"/>
        </w:rPr>
        <w:t>76</w:t>
      </w:r>
      <w:r>
        <w:rPr>
          <w:rFonts w:hint="eastAsia" w:ascii="方正仿宋_GBK" w:hAnsi="方正仿宋_GBK" w:eastAsia="方正仿宋_GBK" w:cs="方正仿宋_GBK"/>
          <w:b w:val="0"/>
          <w:bCs/>
          <w:color w:val="auto"/>
          <w:kern w:val="2"/>
          <w:sz w:val="32"/>
          <w:szCs w:val="32"/>
          <w:lang w:val="en-US" w:eastAsia="zh-CN"/>
        </w:rPr>
        <w:t>号）收悉。经研究办理，现函复如下：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一、铜梁区电动自行车（摩托车）建设情况</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rightChars="0" w:firstLine="640" w:firstLineChars="200"/>
        <w:jc w:val="both"/>
        <w:textAlignment w:val="auto"/>
        <w:rPr>
          <w:rFonts w:hint="eastAsia" w:ascii="Times New Roman" w:hAnsi="方正仿宋_GBK" w:eastAsia="方正仿宋_GBK"/>
          <w:color w:val="auto"/>
          <w:sz w:val="32"/>
          <w:szCs w:val="32"/>
          <w:lang w:val="en-US" w:eastAsia="zh-CN"/>
        </w:rPr>
      </w:pPr>
      <w:r>
        <w:rPr>
          <w:rFonts w:hint="default" w:ascii="Times New Roman" w:hAnsi="Times New Roman" w:eastAsia="方正仿宋_GBK" w:cs="Times New Roman"/>
          <w:b w:val="0"/>
          <w:i w:val="0"/>
          <w:caps w:val="0"/>
          <w:spacing w:val="0"/>
          <w:w w:val="100"/>
          <w:sz w:val="32"/>
          <w:szCs w:val="32"/>
        </w:rPr>
        <w:t>为</w:t>
      </w:r>
      <w:r>
        <w:rPr>
          <w:rFonts w:hint="eastAsia" w:ascii="Times New Roman" w:hAnsi="Times New Roman" w:eastAsia="方正仿宋_GBK" w:cs="Times New Roman"/>
          <w:b w:val="0"/>
          <w:i w:val="0"/>
          <w:caps w:val="0"/>
          <w:spacing w:val="0"/>
          <w:w w:val="100"/>
          <w:sz w:val="32"/>
          <w:szCs w:val="32"/>
          <w:lang w:val="en-US" w:eastAsia="zh-CN"/>
        </w:rPr>
        <w:t>加快</w:t>
      </w:r>
      <w:r>
        <w:rPr>
          <w:rFonts w:hint="eastAsia" w:ascii="Times New Roman" w:hAnsi="Times New Roman" w:eastAsia="方正仿宋_GBK" w:cs="Times New Roman"/>
          <w:b w:val="0"/>
          <w:i w:val="0"/>
          <w:caps w:val="0"/>
          <w:spacing w:val="0"/>
          <w:w w:val="100"/>
          <w:sz w:val="32"/>
          <w:szCs w:val="32"/>
          <w:lang w:eastAsia="zh-CN"/>
        </w:rPr>
        <w:t>城</w:t>
      </w:r>
      <w:r>
        <w:rPr>
          <w:rFonts w:hint="default" w:ascii="Times New Roman" w:hAnsi="Times New Roman" w:eastAsia="方正仿宋_GBK" w:cs="Times New Roman"/>
          <w:b w:val="0"/>
          <w:i w:val="0"/>
          <w:caps w:val="0"/>
          <w:spacing w:val="0"/>
          <w:w w:val="100"/>
          <w:sz w:val="32"/>
          <w:szCs w:val="32"/>
          <w:lang w:eastAsia="zh-CN"/>
        </w:rPr>
        <w:t>区</w:t>
      </w:r>
      <w:r>
        <w:rPr>
          <w:rFonts w:hint="default" w:ascii="Times New Roman" w:hAnsi="Times New Roman" w:eastAsia="方正仿宋_GBK" w:cs="Times New Roman"/>
          <w:b w:val="0"/>
          <w:i w:val="0"/>
          <w:caps w:val="0"/>
          <w:spacing w:val="0"/>
          <w:w w:val="100"/>
          <w:sz w:val="32"/>
          <w:szCs w:val="32"/>
        </w:rPr>
        <w:t>电动</w:t>
      </w:r>
      <w:r>
        <w:rPr>
          <w:rFonts w:hint="default" w:ascii="Times New Roman" w:hAnsi="Times New Roman" w:eastAsia="方正仿宋_GBK" w:cs="Times New Roman"/>
          <w:b w:val="0"/>
          <w:i w:val="0"/>
          <w:caps w:val="0"/>
          <w:spacing w:val="0"/>
          <w:w w:val="100"/>
          <w:sz w:val="32"/>
          <w:szCs w:val="32"/>
          <w:lang w:eastAsia="zh-CN"/>
        </w:rPr>
        <w:t>自行车（摩托</w:t>
      </w:r>
      <w:r>
        <w:rPr>
          <w:rFonts w:hint="default" w:ascii="Times New Roman" w:hAnsi="Times New Roman" w:eastAsia="方正仿宋_GBK" w:cs="Times New Roman"/>
          <w:b w:val="0"/>
          <w:i w:val="0"/>
          <w:caps w:val="0"/>
          <w:spacing w:val="0"/>
          <w:w w:val="100"/>
          <w:sz w:val="32"/>
          <w:szCs w:val="32"/>
        </w:rPr>
        <w:t>车</w:t>
      </w:r>
      <w:r>
        <w:rPr>
          <w:rFonts w:hint="default" w:ascii="Times New Roman" w:hAnsi="Times New Roman" w:eastAsia="方正仿宋_GBK" w:cs="Times New Roman"/>
          <w:b w:val="0"/>
          <w:i w:val="0"/>
          <w:caps w:val="0"/>
          <w:spacing w:val="0"/>
          <w:w w:val="100"/>
          <w:sz w:val="32"/>
          <w:szCs w:val="32"/>
          <w:lang w:eastAsia="zh-CN"/>
        </w:rPr>
        <w:t>）</w:t>
      </w:r>
      <w:r>
        <w:rPr>
          <w:rFonts w:hint="default" w:ascii="Times New Roman" w:hAnsi="Times New Roman" w:eastAsia="方正仿宋_GBK" w:cs="Times New Roman"/>
          <w:b w:val="0"/>
          <w:i w:val="0"/>
          <w:caps w:val="0"/>
          <w:spacing w:val="0"/>
          <w:w w:val="100"/>
          <w:sz w:val="32"/>
          <w:szCs w:val="32"/>
        </w:rPr>
        <w:t>充电</w:t>
      </w:r>
      <w:r>
        <w:rPr>
          <w:rFonts w:hint="default" w:ascii="Times New Roman" w:hAnsi="Times New Roman" w:eastAsia="方正仿宋_GBK" w:cs="Times New Roman"/>
          <w:b w:val="0"/>
          <w:i w:val="0"/>
          <w:caps w:val="0"/>
          <w:spacing w:val="0"/>
          <w:w w:val="100"/>
          <w:sz w:val="32"/>
          <w:szCs w:val="32"/>
          <w:lang w:eastAsia="zh-CN"/>
        </w:rPr>
        <w:t>设施建设</w:t>
      </w:r>
      <w:r>
        <w:rPr>
          <w:rFonts w:hint="default" w:ascii="Times New Roman" w:hAnsi="Times New Roman" w:eastAsia="方正仿宋_GBK" w:cs="Times New Roman"/>
          <w:b w:val="0"/>
          <w:i w:val="0"/>
          <w:caps w:val="0"/>
          <w:spacing w:val="0"/>
          <w:w w:val="100"/>
          <w:sz w:val="32"/>
          <w:szCs w:val="32"/>
        </w:rPr>
        <w:t>，</w:t>
      </w:r>
      <w:r>
        <w:rPr>
          <w:rFonts w:hint="eastAsia" w:ascii="Times New Roman" w:hAnsi="Times New Roman" w:eastAsia="方正仿宋_GBK" w:cs="Times New Roman"/>
          <w:b w:val="0"/>
          <w:i w:val="0"/>
          <w:caps w:val="0"/>
          <w:spacing w:val="0"/>
          <w:w w:val="100"/>
          <w:sz w:val="32"/>
          <w:szCs w:val="32"/>
          <w:lang w:val="en-US" w:eastAsia="zh-CN"/>
        </w:rPr>
        <w:t>促进</w:t>
      </w:r>
      <w:r>
        <w:rPr>
          <w:rFonts w:hint="default" w:ascii="Times New Roman" w:hAnsi="Times New Roman" w:eastAsia="方正仿宋_GBK" w:cs="Times New Roman"/>
          <w:b w:val="0"/>
          <w:i w:val="0"/>
          <w:caps w:val="0"/>
          <w:spacing w:val="0"/>
          <w:w w:val="100"/>
          <w:sz w:val="32"/>
          <w:szCs w:val="32"/>
          <w:lang w:eastAsia="zh-CN"/>
        </w:rPr>
        <w:t>充电设施</w:t>
      </w:r>
      <w:r>
        <w:rPr>
          <w:rFonts w:hint="eastAsia" w:ascii="Times New Roman" w:hAnsi="Times New Roman" w:eastAsia="方正仿宋_GBK" w:cs="Times New Roman"/>
          <w:b w:val="0"/>
          <w:i w:val="0"/>
          <w:caps w:val="0"/>
          <w:spacing w:val="0"/>
          <w:w w:val="100"/>
          <w:sz w:val="32"/>
          <w:szCs w:val="32"/>
          <w:lang w:eastAsia="zh-CN"/>
        </w:rPr>
        <w:t>安全运行和规范化</w:t>
      </w:r>
      <w:r>
        <w:rPr>
          <w:rFonts w:hint="default" w:ascii="Times New Roman" w:hAnsi="Times New Roman" w:eastAsia="方正仿宋_GBK" w:cs="Times New Roman"/>
          <w:b w:val="0"/>
          <w:i w:val="0"/>
          <w:caps w:val="0"/>
          <w:spacing w:val="0"/>
          <w:w w:val="100"/>
          <w:sz w:val="32"/>
          <w:szCs w:val="32"/>
          <w:lang w:eastAsia="zh-CN"/>
        </w:rPr>
        <w:t>管理，</w:t>
      </w:r>
      <w:r>
        <w:rPr>
          <w:rFonts w:hint="default" w:ascii="Times New Roman" w:hAnsi="Times New Roman" w:eastAsia="方正仿宋_GBK" w:cs="Times New Roman"/>
          <w:b w:val="0"/>
          <w:i w:val="0"/>
          <w:caps w:val="0"/>
          <w:spacing w:val="0"/>
          <w:w w:val="100"/>
          <w:sz w:val="32"/>
          <w:szCs w:val="32"/>
          <w:shd w:val="clear" w:color="auto" w:fill="auto"/>
        </w:rPr>
        <w:t>预防</w:t>
      </w:r>
      <w:r>
        <w:rPr>
          <w:rFonts w:hint="default" w:ascii="Times New Roman" w:hAnsi="Times New Roman" w:eastAsia="方正仿宋_GBK" w:cs="Times New Roman"/>
          <w:b w:val="0"/>
          <w:i w:val="0"/>
          <w:caps w:val="0"/>
          <w:spacing w:val="0"/>
          <w:w w:val="100"/>
          <w:sz w:val="32"/>
          <w:szCs w:val="32"/>
          <w:lang w:eastAsia="zh-CN"/>
        </w:rPr>
        <w:t>发生</w:t>
      </w:r>
      <w:r>
        <w:rPr>
          <w:rFonts w:hint="default" w:ascii="Times New Roman" w:hAnsi="Times New Roman" w:eastAsia="方正仿宋_GBK" w:cs="Times New Roman"/>
          <w:b w:val="0"/>
          <w:i w:val="0"/>
          <w:caps w:val="0"/>
          <w:spacing w:val="0"/>
          <w:w w:val="100"/>
          <w:sz w:val="32"/>
          <w:szCs w:val="32"/>
          <w:shd w:val="clear" w:color="auto" w:fill="auto"/>
          <w:lang w:eastAsia="zh-CN"/>
        </w:rPr>
        <w:t>充电安全事故</w:t>
      </w:r>
      <w:r>
        <w:rPr>
          <w:rFonts w:hint="eastAsia" w:ascii="Times New Roman" w:hAnsi="方正仿宋_GBK" w:eastAsia="方正仿宋_GBK"/>
          <w:color w:val="auto"/>
          <w:sz w:val="32"/>
          <w:szCs w:val="32"/>
          <w:lang w:val="en-US" w:eastAsia="zh-CN"/>
        </w:rPr>
        <w:t>，我委于2021年8月印发了《关于加快电动自行车（摩托车）充电设施建设的通知》（</w:t>
      </w:r>
      <w:r>
        <w:rPr>
          <w:rFonts w:hint="default" w:ascii="Times New Roman" w:hAnsi="Times New Roman" w:eastAsia="方正仿宋_GBK" w:cs="Times New Roman"/>
          <w:sz w:val="32"/>
          <w:szCs w:val="32"/>
          <w:lang w:eastAsia="zh-CN"/>
        </w:rPr>
        <w:t>铜发改委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rPr>
        <w:t>号</w:t>
      </w:r>
      <w:r>
        <w:rPr>
          <w:rFonts w:hint="eastAsia" w:ascii="Times New Roman" w:hAnsi="方正仿宋_GBK" w:eastAsia="方正仿宋_GBK"/>
          <w:color w:val="auto"/>
          <w:sz w:val="32"/>
          <w:szCs w:val="32"/>
          <w:lang w:val="en-US" w:eastAsia="zh-CN"/>
        </w:rPr>
        <w:t>），明确了充电设施建设主要内容、牵头部门、配合单位等。截至目前，全区116个物业小区共安装440余组充电桩，可同时为5200余台电动自行车进行充电，基本满足物业小区电动自行车充电需求。</w:t>
      </w:r>
    </w:p>
    <w:p>
      <w:pPr>
        <w:pStyle w:val="13"/>
        <w:keepNext w:val="0"/>
        <w:keepLines w:val="0"/>
        <w:pageBreakBefore w:val="0"/>
        <w:kinsoku/>
        <w:wordWrap/>
        <w:overflowPunct/>
        <w:topLinePunct w:val="0"/>
        <w:autoSpaceDE/>
        <w:autoSpaceDN/>
        <w:bidi w:val="0"/>
        <w:adjustRightInd/>
        <w:snapToGrid w:val="0"/>
        <w:spacing w:line="594" w:lineRule="exact"/>
        <w:ind w:firstLine="640"/>
        <w:jc w:val="both"/>
        <w:rPr>
          <w:rFonts w:hint="eastAsia" w:ascii="Times New Roman" w:hAnsi="Times New Roman" w:eastAsia="方正仿宋_GBK" w:cs="宋体"/>
          <w:b/>
          <w:bCs/>
          <w:kern w:val="0"/>
          <w:sz w:val="32"/>
          <w:szCs w:val="32"/>
        </w:rPr>
      </w:pPr>
      <w:r>
        <w:rPr>
          <w:rFonts w:hint="eastAsia" w:ascii="方正黑体_GBK" w:hAnsi="方正黑体_GBK" w:eastAsia="方正黑体_GBK" w:cs="方正黑体_GBK"/>
          <w:color w:val="auto"/>
          <w:kern w:val="2"/>
          <w:sz w:val="32"/>
          <w:szCs w:val="32"/>
          <w:lang w:val="en-US" w:eastAsia="zh-CN" w:bidi="ar-SA"/>
        </w:rPr>
        <w:t>二、存在问题</w:t>
      </w:r>
    </w:p>
    <w:p>
      <w:pPr>
        <w:pStyle w:val="13"/>
        <w:keepNext w:val="0"/>
        <w:keepLines w:val="0"/>
        <w:pageBreakBefore w:val="0"/>
        <w:kinsoku/>
        <w:wordWrap/>
        <w:overflowPunct/>
        <w:topLinePunct w:val="0"/>
        <w:autoSpaceDE/>
        <w:autoSpaceDN/>
        <w:bidi w:val="0"/>
        <w:adjustRightInd/>
        <w:snapToGrid w:val="0"/>
        <w:spacing w:line="594" w:lineRule="exact"/>
        <w:ind w:firstLine="640"/>
        <w:jc w:val="both"/>
        <w:rPr>
          <w:rFonts w:ascii="Times New Roman" w:hAnsi="Times New Roman" w:eastAsia="方正仿宋_GBK" w:cs="宋体"/>
          <w:kern w:val="0"/>
          <w:sz w:val="32"/>
          <w:szCs w:val="32"/>
        </w:rPr>
      </w:pPr>
      <w:r>
        <w:rPr>
          <w:rFonts w:hint="eastAsia" w:ascii="Times New Roman" w:hAnsi="Times New Roman" w:eastAsia="方正仿宋_GBK" w:cs="宋体"/>
          <w:b/>
          <w:bCs/>
          <w:kern w:val="0"/>
          <w:sz w:val="32"/>
          <w:szCs w:val="32"/>
        </w:rPr>
        <w:t>一是</w:t>
      </w:r>
      <w:r>
        <w:rPr>
          <w:rFonts w:hint="eastAsia" w:ascii="Times New Roman" w:hAnsi="Times New Roman" w:eastAsia="方正仿宋_GBK" w:cs="宋体"/>
          <w:kern w:val="0"/>
          <w:sz w:val="32"/>
          <w:szCs w:val="32"/>
        </w:rPr>
        <w:t>新建小区</w:t>
      </w:r>
      <w:r>
        <w:rPr>
          <w:rFonts w:hint="eastAsia" w:ascii="Times New Roman" w:hAnsi="Times New Roman" w:eastAsia="方正仿宋_GBK" w:cs="宋体"/>
          <w:kern w:val="0"/>
          <w:sz w:val="32"/>
          <w:szCs w:val="32"/>
          <w:lang w:eastAsia="zh-CN"/>
        </w:rPr>
        <w:t>电动汽车</w:t>
      </w:r>
      <w:r>
        <w:rPr>
          <w:rFonts w:hint="eastAsia" w:ascii="Times New Roman" w:hAnsi="Times New Roman" w:eastAsia="方正仿宋_GBK" w:cs="宋体"/>
          <w:kern w:val="0"/>
          <w:sz w:val="32"/>
          <w:szCs w:val="32"/>
        </w:rPr>
        <w:t>充电设施建设虽已纳入规划，但受商业因素影响，开发商普遍动力不足，导致新建住宅小区充电桩数量不足。</w:t>
      </w:r>
      <w:r>
        <w:rPr>
          <w:rFonts w:hint="eastAsia" w:ascii="Times New Roman" w:hAnsi="Times New Roman" w:eastAsia="方正仿宋_GBK" w:cs="宋体"/>
          <w:b/>
          <w:bCs/>
          <w:kern w:val="0"/>
          <w:sz w:val="32"/>
          <w:szCs w:val="32"/>
        </w:rPr>
        <w:t>二是</w:t>
      </w:r>
      <w:r>
        <w:rPr>
          <w:rFonts w:hint="eastAsia" w:ascii="Times New Roman" w:hAnsi="Times New Roman" w:eastAsia="方正仿宋_GBK" w:cs="宋体"/>
          <w:kern w:val="0"/>
          <w:sz w:val="32"/>
          <w:szCs w:val="32"/>
        </w:rPr>
        <w:t>大部分老旧小区受电力容量不足、停车位紧张等因素影响，不具备充电桩安装条件。</w:t>
      </w:r>
      <w:r>
        <w:rPr>
          <w:rFonts w:hint="eastAsia" w:ascii="Times New Roman" w:hAnsi="Times New Roman" w:eastAsia="方正仿宋_GBK" w:cs="宋体"/>
          <w:b/>
          <w:bCs/>
          <w:kern w:val="0"/>
          <w:sz w:val="32"/>
          <w:szCs w:val="32"/>
        </w:rPr>
        <w:t>三是</w:t>
      </w:r>
      <w:r>
        <w:rPr>
          <w:rFonts w:hint="eastAsia" w:ascii="Times New Roman" w:hAnsi="Times New Roman" w:eastAsia="方正仿宋_GBK" w:cs="宋体"/>
          <w:kern w:val="0"/>
          <w:sz w:val="32"/>
          <w:szCs w:val="32"/>
        </w:rPr>
        <w:t>受消防、物业等因素影响，</w:t>
      </w:r>
      <w:r>
        <w:rPr>
          <w:rFonts w:hint="eastAsia" w:ascii="Times New Roman" w:hAnsi="Times New Roman" w:eastAsia="方正仿宋_GBK" w:cs="宋体"/>
          <w:kern w:val="0"/>
          <w:sz w:val="32"/>
          <w:szCs w:val="32"/>
          <w:lang w:eastAsia="zh-CN"/>
        </w:rPr>
        <w:t>已建成</w:t>
      </w:r>
      <w:r>
        <w:rPr>
          <w:rFonts w:hint="eastAsia" w:ascii="Times New Roman" w:hAnsi="Times New Roman" w:eastAsia="方正仿宋_GBK" w:cs="宋体"/>
          <w:kern w:val="0"/>
          <w:sz w:val="32"/>
          <w:szCs w:val="32"/>
        </w:rPr>
        <w:t>小区充电桩安装难度较大，部分物业出于安全责任考虑拒绝业主安装充电桩申请。</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三、关注与加快在住宅小区安装电动车充电桩的建议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u w:val="none"/>
          <w:lang w:eastAsia="zh-CN"/>
        </w:rPr>
      </w:pPr>
      <w:r>
        <w:rPr>
          <w:rFonts w:hint="eastAsia" w:ascii="方正楷体_GBK" w:hAnsi="方正楷体_GBK" w:eastAsia="方正楷体_GBK" w:cs="方正楷体_GBK"/>
          <w:color w:val="auto"/>
          <w:sz w:val="32"/>
          <w:szCs w:val="32"/>
          <w:lang w:val="en-US" w:eastAsia="zh-CN"/>
        </w:rPr>
        <w:t>（一）持续推进</w:t>
      </w:r>
      <w:r>
        <w:rPr>
          <w:rFonts w:hint="eastAsia" w:ascii="方正楷体_GBK" w:hAnsi="方正楷体_GBK" w:eastAsia="方正楷体_GBK" w:cs="方正楷体_GBK"/>
          <w:b w:val="0"/>
          <w:bCs/>
          <w:color w:val="auto"/>
          <w:kern w:val="2"/>
          <w:sz w:val="32"/>
          <w:szCs w:val="32"/>
          <w:lang w:val="en-US" w:eastAsia="zh-CN"/>
        </w:rPr>
        <w:t>住宅小区充电设施建设。</w:t>
      </w:r>
      <w:r>
        <w:rPr>
          <w:rFonts w:hint="eastAsia" w:ascii="方正仿宋_GBK" w:hAnsi="方正仿宋_GBK" w:eastAsia="方正仿宋_GBK" w:cs="方正仿宋_GBK"/>
          <w:b/>
          <w:bCs w:val="0"/>
          <w:color w:val="auto"/>
          <w:kern w:val="2"/>
          <w:sz w:val="32"/>
          <w:szCs w:val="32"/>
          <w:lang w:val="en-US" w:eastAsia="zh-CN"/>
        </w:rPr>
        <w:t>一是</w:t>
      </w:r>
      <w:r>
        <w:rPr>
          <w:rFonts w:hint="eastAsia" w:ascii="方正仿宋_GBK" w:hAnsi="方正仿宋_GBK" w:eastAsia="方正仿宋_GBK" w:cs="方正仿宋_GBK"/>
          <w:b w:val="0"/>
          <w:bCs/>
          <w:color w:val="auto"/>
          <w:kern w:val="2"/>
          <w:sz w:val="32"/>
          <w:szCs w:val="32"/>
          <w:lang w:val="en-US" w:eastAsia="zh-CN"/>
        </w:rPr>
        <w:t>结合城镇老旧小区改造及城市居住社区建设，在满足安全、消防和规划的前提下，因地制宜有序推进小区充电设施建设，建设充电桩与集中停放棚。</w:t>
      </w:r>
      <w:r>
        <w:rPr>
          <w:rFonts w:hint="eastAsia" w:ascii="方正仿宋_GBK" w:hAnsi="方正仿宋_GBK" w:eastAsia="方正仿宋_GBK" w:cs="方正仿宋_GBK"/>
          <w:b/>
          <w:bCs/>
          <w:color w:val="auto"/>
          <w:sz w:val="32"/>
          <w:szCs w:val="32"/>
          <w:lang w:eastAsia="zh-CN"/>
        </w:rPr>
        <w:t>二是</w:t>
      </w:r>
      <w:r>
        <w:rPr>
          <w:rFonts w:hint="eastAsia" w:ascii="方正仿宋_GBK" w:hAnsi="方正仿宋_GBK" w:eastAsia="方正仿宋_GBK" w:cs="方正仿宋_GBK"/>
          <w:color w:val="auto"/>
          <w:sz w:val="32"/>
          <w:szCs w:val="32"/>
        </w:rPr>
        <w:t>鼓励新建居住</w:t>
      </w:r>
      <w:r>
        <w:rPr>
          <w:rFonts w:hint="eastAsia" w:ascii="方正仿宋_GBK" w:hAnsi="方正仿宋_GBK" w:eastAsia="方正仿宋_GBK" w:cs="方正仿宋_GBK"/>
          <w:color w:val="auto"/>
          <w:sz w:val="32"/>
          <w:szCs w:val="32"/>
          <w:lang w:eastAsia="zh-CN"/>
        </w:rPr>
        <w:t>小区</w:t>
      </w:r>
      <w:r>
        <w:rPr>
          <w:rFonts w:hint="eastAsia" w:ascii="方正仿宋_GBK" w:hAnsi="方正仿宋_GBK" w:eastAsia="方正仿宋_GBK" w:cs="方正仿宋_GBK"/>
          <w:color w:val="auto"/>
          <w:sz w:val="32"/>
          <w:szCs w:val="32"/>
        </w:rPr>
        <w:t>配建停车场（库），全部具备充电设施安装条件（预</w:t>
      </w:r>
      <w:r>
        <w:rPr>
          <w:rFonts w:hint="eastAsia" w:ascii="方正仿宋_GBK" w:hAnsi="方正仿宋_GBK" w:eastAsia="方正仿宋_GBK" w:cs="方正仿宋_GBK"/>
          <w:color w:val="auto"/>
          <w:sz w:val="32"/>
          <w:szCs w:val="32"/>
          <w:u w:val="none"/>
        </w:rPr>
        <w:t>埋电力管线和预留电力容量）</w:t>
      </w:r>
      <w:r>
        <w:rPr>
          <w:rFonts w:hint="eastAsia" w:ascii="方正仿宋_GBK" w:hAnsi="方正仿宋_GBK" w:eastAsia="方正仿宋_GBK" w:cs="方正仿宋_GBK"/>
          <w:color w:val="auto"/>
          <w:sz w:val="32"/>
          <w:szCs w:val="32"/>
          <w:u w:val="none"/>
          <w:lang w:eastAsia="zh-CN"/>
        </w:rPr>
        <w:t>，满足群众充电需求。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宋体"/>
          <w:kern w:val="0"/>
          <w:sz w:val="32"/>
          <w:szCs w:val="32"/>
          <w:lang w:val="en-US" w:eastAsia="zh-CN"/>
        </w:rPr>
      </w:pPr>
      <w:r>
        <w:rPr>
          <w:rFonts w:hint="eastAsia" w:ascii="方正楷体_GBK" w:hAnsi="方正楷体_GBK" w:eastAsia="方正楷体_GBK" w:cs="方正楷体_GBK"/>
          <w:color w:val="auto"/>
          <w:sz w:val="32"/>
          <w:szCs w:val="32"/>
          <w:lang w:val="en-US" w:eastAsia="zh-CN"/>
        </w:rPr>
        <w:t>（二）持续强化日常管理。</w:t>
      </w:r>
      <w:r>
        <w:rPr>
          <w:rFonts w:hint="eastAsia" w:ascii="方正仿宋_GBK" w:hAnsi="方正仿宋_GBK" w:eastAsia="方正仿宋_GBK" w:cs="方正仿宋_GBK"/>
          <w:b w:val="0"/>
          <w:bCs/>
          <w:color w:val="auto"/>
          <w:kern w:val="2"/>
          <w:sz w:val="32"/>
          <w:szCs w:val="32"/>
          <w:lang w:val="en-US" w:eastAsia="zh-CN"/>
        </w:rPr>
        <w:t>住建、消防等</w:t>
      </w:r>
      <w:r>
        <w:rPr>
          <w:rFonts w:hint="eastAsia" w:eastAsia="方正仿宋_GBK" w:cs="宋体"/>
          <w:kern w:val="0"/>
          <w:sz w:val="32"/>
          <w:szCs w:val="32"/>
          <w:lang w:val="en-US" w:eastAsia="zh-CN" w:bidi="ar-SA"/>
        </w:rPr>
        <w:t>积极</w:t>
      </w:r>
      <w:r>
        <w:rPr>
          <w:rFonts w:hint="default" w:ascii="Times New Roman" w:hAnsi="Times New Roman" w:eastAsia="方正仿宋_GBK" w:cs="宋体"/>
          <w:kern w:val="0"/>
          <w:sz w:val="32"/>
          <w:szCs w:val="32"/>
          <w:lang w:val="en-US" w:eastAsia="zh-CN" w:bidi="ar-SA"/>
        </w:rPr>
        <w:t>开</w:t>
      </w:r>
      <w:r>
        <w:rPr>
          <w:rFonts w:hint="default" w:ascii="Times New Roman" w:hAnsi="Times New Roman" w:eastAsia="方正仿宋_GBK" w:cs="宋体"/>
          <w:kern w:val="0"/>
          <w:sz w:val="32"/>
          <w:szCs w:val="32"/>
          <w:lang w:val="en-US" w:eastAsia="zh-CN"/>
        </w:rPr>
        <w:t>展物业小区电动自行车消防安全隐患排查工作，督促物业服务企业按合同约定落实物业小区电动自行车安全管理责任</w:t>
      </w:r>
      <w:r>
        <w:rPr>
          <w:rFonts w:hint="eastAsia" w:eastAsia="方正仿宋_GBK" w:cs="宋体"/>
          <w:kern w:val="0"/>
          <w:sz w:val="32"/>
          <w:szCs w:val="32"/>
          <w:lang w:val="en-US" w:eastAsia="zh-CN"/>
        </w:rPr>
        <w:t>，</w:t>
      </w:r>
      <w:r>
        <w:rPr>
          <w:rFonts w:hint="default" w:ascii="Times New Roman" w:hAnsi="Times New Roman" w:eastAsia="方正仿宋_GBK" w:cs="宋体"/>
          <w:kern w:val="0"/>
          <w:sz w:val="32"/>
          <w:szCs w:val="32"/>
          <w:lang w:val="en-US" w:eastAsia="zh-CN"/>
        </w:rPr>
        <w:t>规范物业小区电动自行车停放、充电等行为，重点排查电动自行车</w:t>
      </w:r>
      <w:r>
        <w:rPr>
          <w:rFonts w:hint="eastAsia" w:ascii="方正仿宋_GBK" w:hAnsi="方正仿宋_GBK" w:eastAsia="方正仿宋_GBK" w:cs="方正仿宋_GBK"/>
          <w:kern w:val="0"/>
          <w:sz w:val="32"/>
          <w:szCs w:val="32"/>
          <w:lang w:val="en-US" w:eastAsia="zh-CN"/>
        </w:rPr>
        <w:t>“进楼入户”、“人车同屋”、“飞线充电”等突出问题</w:t>
      </w:r>
      <w:r>
        <w:rPr>
          <w:rFonts w:hint="default" w:ascii="Times New Roman" w:hAnsi="Times New Roman" w:eastAsia="方正仿宋_GBK" w:cs="宋体"/>
          <w:kern w:val="0"/>
          <w:sz w:val="32"/>
          <w:szCs w:val="32"/>
          <w:lang w:val="en-US" w:eastAsia="zh-CN"/>
        </w:rPr>
        <w:t>；对发现电动自行车违规停放、充电或占用、堵塞疏散通道、安全出口的，及时劝阻和制止。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宋体"/>
          <w:kern w:val="0"/>
          <w:sz w:val="32"/>
          <w:szCs w:val="32"/>
          <w:lang w:val="en-US" w:eastAsia="zh-CN"/>
        </w:rPr>
      </w:pPr>
      <w:r>
        <w:rPr>
          <w:rFonts w:hint="eastAsia" w:ascii="方正楷体_GBK" w:hAnsi="方正楷体_GBK" w:eastAsia="方正楷体_GBK" w:cs="方正楷体_GBK"/>
          <w:color w:val="auto"/>
          <w:sz w:val="32"/>
          <w:szCs w:val="32"/>
          <w:lang w:val="en-US" w:eastAsia="zh-CN"/>
        </w:rPr>
        <w:t>（三）持续强化</w:t>
      </w:r>
      <w:r>
        <w:rPr>
          <w:rFonts w:hint="eastAsia" w:ascii="方正楷体_GBK" w:hAnsi="方正楷体_GBK" w:eastAsia="方正楷体_GBK" w:cs="方正楷体_GBK"/>
          <w:i w:val="0"/>
          <w:caps w:val="0"/>
          <w:color w:val="333333"/>
          <w:spacing w:val="0"/>
          <w:kern w:val="0"/>
          <w:sz w:val="32"/>
          <w:szCs w:val="32"/>
          <w:shd w:val="clear" w:color="auto" w:fill="FFFFFF"/>
          <w:lang w:val="en-US" w:eastAsia="zh-CN" w:bidi="ar"/>
        </w:rPr>
        <w:t>宣传引导。</w:t>
      </w:r>
      <w:r>
        <w:rPr>
          <w:rFonts w:hint="eastAsia" w:ascii="Times New Roman" w:hAnsi="Times New Roman" w:eastAsia="方正仿宋_GBK" w:cs="宋体"/>
          <w:kern w:val="0"/>
          <w:sz w:val="32"/>
          <w:szCs w:val="32"/>
          <w:lang w:val="en-US" w:eastAsia="zh-CN"/>
        </w:rPr>
        <w:t>区内物业服务企业</w:t>
      </w:r>
      <w:r>
        <w:rPr>
          <w:rFonts w:hint="default" w:ascii="Times New Roman" w:hAnsi="Times New Roman" w:eastAsia="方正仿宋_GBK" w:cs="宋体"/>
          <w:kern w:val="0"/>
          <w:sz w:val="32"/>
          <w:szCs w:val="32"/>
          <w:lang w:val="en-US" w:eastAsia="zh-CN"/>
        </w:rPr>
        <w:t>充分利用广播、电视、报刊等主流媒体和网站、新媒体</w:t>
      </w:r>
      <w:r>
        <w:rPr>
          <w:rFonts w:hint="eastAsia" w:ascii="Times New Roman" w:hAnsi="Times New Roman" w:eastAsia="方正仿宋_GBK" w:cs="宋体"/>
          <w:kern w:val="0"/>
          <w:sz w:val="32"/>
          <w:szCs w:val="32"/>
          <w:lang w:val="en-US" w:eastAsia="zh-CN"/>
        </w:rPr>
        <w:t>，</w:t>
      </w:r>
      <w:r>
        <w:rPr>
          <w:rFonts w:hint="default" w:ascii="Times New Roman" w:hAnsi="Times New Roman" w:eastAsia="方正仿宋_GBK" w:cs="宋体"/>
          <w:kern w:val="0"/>
          <w:sz w:val="32"/>
          <w:szCs w:val="32"/>
          <w:lang w:val="en-US" w:eastAsia="zh-CN"/>
        </w:rPr>
        <w:t>加强电动自行车消防安全宣传教育</w:t>
      </w:r>
      <w:r>
        <w:rPr>
          <w:rFonts w:hint="eastAsia" w:ascii="Times New Roman" w:hAnsi="Times New Roman" w:eastAsia="方正仿宋_GBK" w:cs="宋体"/>
          <w:kern w:val="0"/>
          <w:sz w:val="32"/>
          <w:szCs w:val="32"/>
          <w:lang w:val="en-US" w:eastAsia="zh-CN"/>
        </w:rPr>
        <w:t>；</w:t>
      </w:r>
      <w:r>
        <w:rPr>
          <w:rFonts w:hint="default" w:ascii="Times New Roman" w:hAnsi="Times New Roman" w:eastAsia="方正仿宋_GBK" w:cs="宋体"/>
          <w:kern w:val="0"/>
          <w:sz w:val="32"/>
          <w:szCs w:val="32"/>
          <w:lang w:val="en-US" w:eastAsia="zh-CN"/>
        </w:rPr>
        <w:t>利用企业微信</w:t>
      </w:r>
      <w:r>
        <w:rPr>
          <w:rFonts w:hint="eastAsia" w:ascii="Times New Roman" w:hAnsi="Times New Roman" w:eastAsia="方正仿宋_GBK" w:cs="宋体"/>
          <w:kern w:val="0"/>
          <w:sz w:val="32"/>
          <w:szCs w:val="32"/>
          <w:lang w:val="en-US" w:eastAsia="zh-CN"/>
        </w:rPr>
        <w:t>群</w:t>
      </w:r>
      <w:r>
        <w:rPr>
          <w:rFonts w:hint="default" w:ascii="Times New Roman" w:hAnsi="Times New Roman" w:eastAsia="方正仿宋_GBK" w:cs="宋体"/>
          <w:kern w:val="0"/>
          <w:sz w:val="32"/>
          <w:szCs w:val="32"/>
          <w:lang w:val="en-US" w:eastAsia="zh-CN"/>
        </w:rPr>
        <w:t>、楼宇电视、公示栏等贴近业主生活的宣传阵地，深入宣传电动自行车安全停放、充电知识，普及初起火灾扑救和逃生自救常识，引导业主和快递、外卖企业及配送人员遵守电动自行车安全管理规定，提升消防安全意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b w:val="0"/>
          <w:bCs/>
          <w:color w:val="auto"/>
          <w:kern w:val="2"/>
          <w:sz w:val="32"/>
          <w:szCs w:val="32"/>
          <w:lang w:val="en-US" w:eastAsia="zh-CN"/>
        </w:rPr>
      </w:pPr>
      <w:r>
        <w:rPr>
          <w:rFonts w:hint="eastAsia" w:ascii="方正仿宋_GBK" w:hAnsi="方正仿宋_GBK" w:eastAsia="方正仿宋_GBK" w:cs="方正仿宋_GBK"/>
          <w:b w:val="0"/>
          <w:bCs/>
          <w:color w:val="auto"/>
          <w:kern w:val="2"/>
          <w:sz w:val="32"/>
          <w:szCs w:val="32"/>
          <w:lang w:val="en-US" w:eastAsia="zh-CN"/>
        </w:rPr>
        <w:t>此复函已经区发展改革委张勇主任审签。对此答复函您有什么意见，请填写回执寄给区人大常委会人代工委，以便进一步改进工作。</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right"/>
        <w:textAlignment w:val="auto"/>
        <w:rPr>
          <w:rFonts w:hint="default" w:ascii="Times New Roman" w:hAnsi="Times New Roman" w:eastAsia="方正仿宋_GBK" w:cs="Times New Roman"/>
          <w:b w:val="0"/>
          <w:bCs/>
          <w:color w:val="auto"/>
          <w:kern w:val="2"/>
          <w:sz w:val="32"/>
          <w:szCs w:val="32"/>
          <w:lang w:val="en-US" w:eastAsia="zh-CN"/>
        </w:rPr>
      </w:pPr>
      <w:r>
        <w:rPr>
          <w:rFonts w:hint="default" w:ascii="Times New Roman" w:hAnsi="Times New Roman" w:eastAsia="方正仿宋_GBK" w:cs="Times New Roman"/>
          <w:b w:val="0"/>
          <w:bCs/>
          <w:color w:val="auto"/>
          <w:kern w:val="2"/>
          <w:sz w:val="32"/>
          <w:szCs w:val="32"/>
          <w:lang w:val="en-US" w:eastAsia="zh-CN"/>
        </w:rPr>
        <w:t xml:space="preserve">               </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center"/>
        <w:textAlignment w:val="auto"/>
        <w:rPr>
          <w:rFonts w:hint="default" w:ascii="Times New Roman" w:hAnsi="Times New Roman" w:eastAsia="方正仿宋_GBK" w:cs="Times New Roman"/>
          <w:b w:val="0"/>
          <w:bCs/>
          <w:color w:val="auto"/>
          <w:kern w:val="2"/>
          <w:sz w:val="32"/>
          <w:szCs w:val="32"/>
          <w:lang w:val="en-US" w:eastAsia="zh-CN"/>
        </w:rPr>
      </w:pPr>
      <w:r>
        <w:rPr>
          <w:rFonts w:hint="default" w:ascii="Times New Roman" w:hAnsi="Times New Roman" w:eastAsia="方正仿宋_GBK" w:cs="Times New Roman"/>
          <w:b w:val="0"/>
          <w:bCs/>
          <w:color w:val="auto"/>
          <w:kern w:val="2"/>
          <w:sz w:val="32"/>
          <w:szCs w:val="32"/>
          <w:lang w:val="en-US" w:eastAsia="zh-CN"/>
        </w:rPr>
        <w:t xml:space="preserve">              重庆市铜梁区</w:t>
      </w:r>
      <w:r>
        <w:rPr>
          <w:rFonts w:hint="eastAsia" w:eastAsia="方正仿宋_GBK" w:cs="Times New Roman"/>
          <w:b w:val="0"/>
          <w:bCs/>
          <w:color w:val="auto"/>
          <w:kern w:val="2"/>
          <w:sz w:val="32"/>
          <w:szCs w:val="32"/>
          <w:lang w:val="en-US" w:eastAsia="zh-CN"/>
        </w:rPr>
        <w:t>发展和改革委员会</w:t>
      </w:r>
      <w:r>
        <w:rPr>
          <w:rFonts w:hint="default" w:ascii="Times New Roman" w:hAnsi="Times New Roman" w:eastAsia="方正仿宋_GBK" w:cs="Times New Roman"/>
          <w:b w:val="0"/>
          <w:bCs/>
          <w:color w:val="auto"/>
          <w:kern w:val="2"/>
          <w:sz w:val="32"/>
          <w:szCs w:val="32"/>
          <w:lang w:val="en-US" w:eastAsia="zh-CN"/>
        </w:rPr>
        <w:t xml:space="preserve">                                                                  </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center"/>
        <w:textAlignment w:val="auto"/>
        <w:rPr>
          <w:rFonts w:hint="default" w:ascii="Times New Roman" w:hAnsi="Times New Roman" w:eastAsia="方正仿宋_GBK" w:cs="Times New Roman"/>
          <w:b w:val="0"/>
          <w:bCs/>
          <w:color w:val="auto"/>
          <w:kern w:val="2"/>
          <w:sz w:val="32"/>
          <w:szCs w:val="32"/>
          <w:lang w:val="en-US" w:eastAsia="zh-CN"/>
        </w:rPr>
      </w:pPr>
      <w:r>
        <w:rPr>
          <w:rFonts w:hint="default" w:ascii="Times New Roman" w:hAnsi="Times New Roman" w:eastAsia="方正仿宋_GBK" w:cs="Times New Roman"/>
          <w:b w:val="0"/>
          <w:bCs/>
          <w:color w:val="auto"/>
          <w:kern w:val="2"/>
          <w:sz w:val="32"/>
          <w:szCs w:val="32"/>
          <w:lang w:val="en-US" w:eastAsia="zh-CN"/>
        </w:rPr>
        <w:t xml:space="preserve">           </w:t>
      </w:r>
      <w:r>
        <w:rPr>
          <w:rFonts w:hint="eastAsia" w:eastAsia="方正仿宋_GBK" w:cs="Times New Roman"/>
          <w:b w:val="0"/>
          <w:bCs/>
          <w:color w:val="auto"/>
          <w:kern w:val="2"/>
          <w:sz w:val="32"/>
          <w:szCs w:val="32"/>
          <w:lang w:val="en-US" w:eastAsia="zh-CN"/>
        </w:rPr>
        <w:t>2022</w:t>
      </w:r>
      <w:r>
        <w:rPr>
          <w:rFonts w:hint="default" w:ascii="Times New Roman" w:hAnsi="Times New Roman" w:eastAsia="方正仿宋_GBK" w:cs="Times New Roman"/>
          <w:b w:val="0"/>
          <w:bCs/>
          <w:color w:val="auto"/>
          <w:kern w:val="2"/>
          <w:sz w:val="32"/>
          <w:szCs w:val="32"/>
          <w:lang w:val="en-US" w:eastAsia="zh-CN"/>
        </w:rPr>
        <w:t>年</w:t>
      </w:r>
      <w:r>
        <w:rPr>
          <w:rFonts w:hint="eastAsia" w:eastAsia="方正仿宋_GBK" w:cs="Times New Roman"/>
          <w:b w:val="0"/>
          <w:bCs/>
          <w:color w:val="auto"/>
          <w:kern w:val="2"/>
          <w:sz w:val="32"/>
          <w:szCs w:val="32"/>
          <w:lang w:val="en-US" w:eastAsia="zh-CN"/>
        </w:rPr>
        <w:t>6</w:t>
      </w:r>
      <w:r>
        <w:rPr>
          <w:rFonts w:hint="default" w:ascii="Times New Roman" w:hAnsi="Times New Roman" w:eastAsia="方正仿宋_GBK" w:cs="Times New Roman"/>
          <w:b w:val="0"/>
          <w:bCs/>
          <w:color w:val="auto"/>
          <w:kern w:val="2"/>
          <w:sz w:val="32"/>
          <w:szCs w:val="32"/>
          <w:lang w:val="en-US" w:eastAsia="zh-CN"/>
        </w:rPr>
        <w:t>月</w:t>
      </w:r>
      <w:r>
        <w:rPr>
          <w:rFonts w:hint="eastAsia" w:eastAsia="方正仿宋_GBK" w:cs="Times New Roman"/>
          <w:b w:val="0"/>
          <w:bCs/>
          <w:color w:val="auto"/>
          <w:kern w:val="2"/>
          <w:sz w:val="32"/>
          <w:szCs w:val="32"/>
          <w:lang w:val="en-US" w:eastAsia="zh-CN"/>
        </w:rPr>
        <w:t>10</w:t>
      </w:r>
      <w:r>
        <w:rPr>
          <w:rFonts w:hint="default" w:ascii="Times New Roman" w:hAnsi="Times New Roman" w:eastAsia="方正仿宋_GBK" w:cs="Times New Roman"/>
          <w:b w:val="0"/>
          <w:bCs/>
          <w:color w:val="auto"/>
          <w:kern w:val="2"/>
          <w:sz w:val="32"/>
          <w:szCs w:val="32"/>
          <w:lang w:val="en-US" w:eastAsia="zh-CN"/>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center"/>
        <w:textAlignment w:val="auto"/>
        <w:rPr>
          <w:rFonts w:hint="default" w:ascii="Times New Roman" w:hAnsi="Times New Roman" w:eastAsia="方正仿宋_GBK" w:cs="Times New Roman"/>
          <w:b w:val="0"/>
          <w:bCs/>
          <w:color w:val="auto"/>
          <w:kern w:val="2"/>
          <w:sz w:val="32"/>
          <w:szCs w:val="32"/>
          <w:lang w:val="en-US" w:eastAsia="zh-CN"/>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eastAsia="方正仿宋_GBK" w:cs="Times New Roman"/>
          <w:b w:val="0"/>
          <w:bCs/>
          <w:color w:val="auto"/>
          <w:kern w:val="2"/>
          <w:sz w:val="32"/>
          <w:szCs w:val="32"/>
          <w:lang w:val="en-US" w:eastAsia="zh-CN"/>
        </w:rPr>
      </w:pPr>
      <w:r>
        <w:rPr>
          <w:rFonts w:hint="default" w:ascii="Times New Roman" w:hAnsi="Times New Roman" w:eastAsia="方正仿宋_GBK" w:cs="Times New Roman"/>
          <w:b w:val="0"/>
          <w:bCs/>
          <w:color w:val="auto"/>
          <w:kern w:val="2"/>
          <w:sz w:val="32"/>
          <w:szCs w:val="32"/>
          <w:lang w:val="en-US" w:eastAsia="zh-CN"/>
        </w:rPr>
        <w:t>（联系人：</w:t>
      </w:r>
      <w:r>
        <w:rPr>
          <w:rFonts w:hint="eastAsia" w:eastAsia="方正仿宋_GBK" w:cs="Times New Roman"/>
          <w:b w:val="0"/>
          <w:bCs/>
          <w:color w:val="auto"/>
          <w:kern w:val="2"/>
          <w:sz w:val="32"/>
          <w:szCs w:val="32"/>
          <w:lang w:val="en-US" w:eastAsia="zh-CN"/>
        </w:rPr>
        <w:t>李虹辰</w:t>
      </w:r>
      <w:r>
        <w:rPr>
          <w:rFonts w:hint="default" w:ascii="Times New Roman" w:hAnsi="Times New Roman" w:eastAsia="方正仿宋_GBK" w:cs="Times New Roman"/>
          <w:b w:val="0"/>
          <w:bCs/>
          <w:color w:val="auto"/>
          <w:kern w:val="2"/>
          <w:sz w:val="32"/>
          <w:szCs w:val="32"/>
          <w:lang w:val="en-US" w:eastAsia="zh-CN"/>
        </w:rPr>
        <w:t>，联系电话：</w:t>
      </w:r>
      <w:r>
        <w:rPr>
          <w:rFonts w:hint="eastAsia" w:eastAsia="方正仿宋_GBK" w:cs="Times New Roman"/>
          <w:b w:val="0"/>
          <w:bCs/>
          <w:color w:val="auto"/>
          <w:kern w:val="2"/>
          <w:sz w:val="32"/>
          <w:szCs w:val="32"/>
          <w:lang w:val="en-US" w:eastAsia="zh-CN"/>
        </w:rPr>
        <w:t>18323390336）</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sz w:val="32"/>
          <w:szCs w:val="32"/>
        </w:rPr>
      </w:pPr>
    </w:p>
    <w:p>
      <w:pPr>
        <w:bidi w:val="0"/>
        <w:rPr>
          <w:rFonts w:hint="default"/>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eastAsia"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140" w:firstLineChars="5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45720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6pt;height:0pt;width:450pt;z-index:251660288;mso-width-relative:page;mso-height-relative:page;" filled="f" stroked="t" coordsize="21600,21600" o:gfxdata="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HNLDSAAAABQEAAA8AAAAAAAAAAQAg&#10;AAAAIgAAAGRycy9kb3ducmV2LnhtbFBLAQIUABQAAAAIAIdO4kDK3TuH2wEAAJYDAAAOAAAAAAAA&#10;AAEAIAAAACEBAABkcnMvZTJvRG9jLnhtbFBLBQYAAAAABgAGAFkBAABuBQ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2"/>
          <w:sz w:val="28"/>
          <w:szCs w:val="28"/>
          <w:lang w:val="en-US" w:eastAsia="zh-CN" w:bidi="ar-SA"/>
        </w:rPr>
        <w:t>抄送：区府办、区人大人代工委</w:t>
      </w:r>
    </w:p>
    <w:p>
      <w:pPr>
        <w:pStyle w:val="5"/>
        <w:keepNext w:val="0"/>
        <w:keepLines w:val="0"/>
        <w:pageBreakBefore w:val="0"/>
        <w:widowControl w:val="0"/>
        <w:kinsoku/>
        <w:wordWrap/>
        <w:overflowPunct/>
        <w:topLinePunct w:val="0"/>
        <w:autoSpaceDE/>
        <w:autoSpaceDN/>
        <w:bidi w:val="0"/>
        <w:adjustRightInd/>
        <w:snapToGrid w:val="0"/>
        <w:spacing w:line="594" w:lineRule="exact"/>
        <w:ind w:firstLine="140" w:firstLineChars="5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407670</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1pt;height:0pt;width:450pt;z-index:251658240;mso-width-relative:page;mso-height-relative:page;" filled="f" stroked="t" coordsize="21600,21600" o:gfxdata="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zKQuLTAAAABgEAAA8AAAAAAAAAAQAg&#10;AAAAIgAAAGRycy9kb3ducmV2LnhtbFBLAQIUABQAAAAIAIdO4kDtoRMz2gEAAJYDAAAOAAAAAAAA&#10;AAEAIAAAACIBAABkcnMvZTJvRG9jLnhtbFBLBQYAAAAABgAGAFkBAABu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11430</wp:posOffset>
                </wp:positionV>
                <wp:extent cx="5715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9pt;height:0pt;width:450pt;z-index:251659264;mso-width-relative:page;mso-height-relative:page;" filled="f" stroked="t" coordsize="21600,21600" o:gfxdata="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8j3g10AAAAAQBAAAPAAAAAAAAAAEAIAAA&#10;ACIAAABkcnMvZG93bnJldi54bWxQSwECFAAUAAAACACHTuJA/Mp3XtsBAACWAwAADgAAAAAAAAAB&#10;ACAAAAAfAQAAZHJzL2Uyb0RvYy54bWxQSwUGAAAAAAYABgBZAQAAbA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重庆市铜梁区发展和改革委员会</w:t>
      </w:r>
      <w:r>
        <w:rPr>
          <w:rFonts w:hint="eastAsia" w:ascii="Times New Roman" w:hAnsi="Times New Roman" w:eastAsia="方正仿宋_GBK" w:cs="Times New Roman"/>
          <w:sz w:val="28"/>
          <w:szCs w:val="28"/>
          <w:lang w:eastAsia="zh-CN"/>
        </w:rPr>
        <w:t>办公室</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22</w:t>
      </w:r>
      <w:r>
        <w:rPr>
          <w:rFonts w:hint="eastAsia" w:eastAsia="方正仿宋_GBK" w:cs="Times New Roman"/>
          <w:sz w:val="28"/>
          <w:szCs w:val="28"/>
          <w:lang w:val="en-US" w:eastAsia="zh-CN"/>
        </w:rPr>
        <w:t>年6</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10</w:t>
      </w:r>
      <w:r>
        <w:rPr>
          <w:rFonts w:hint="default" w:ascii="Times New Roman" w:hAnsi="Times New Roman" w:eastAsia="方正仿宋_GBK" w:cs="Times New Roman"/>
          <w:sz w:val="28"/>
          <w:szCs w:val="28"/>
          <w:lang w:val="en-US" w:eastAsia="zh-CN"/>
        </w:rPr>
        <w:t>日印发</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C361F"/>
    <w:rsid w:val="006127FF"/>
    <w:rsid w:val="0065284C"/>
    <w:rsid w:val="0DC576D1"/>
    <w:rsid w:val="0DEC361F"/>
    <w:rsid w:val="1A9819DC"/>
    <w:rsid w:val="1E9030B7"/>
    <w:rsid w:val="1EC40A13"/>
    <w:rsid w:val="213C4BDD"/>
    <w:rsid w:val="24A45D7F"/>
    <w:rsid w:val="29AA27E3"/>
    <w:rsid w:val="2B8E6F8C"/>
    <w:rsid w:val="2FCE0D2B"/>
    <w:rsid w:val="34CC2317"/>
    <w:rsid w:val="3AC51AE0"/>
    <w:rsid w:val="40520E46"/>
    <w:rsid w:val="413D73F9"/>
    <w:rsid w:val="43C645B6"/>
    <w:rsid w:val="44E53BAE"/>
    <w:rsid w:val="4DFB1B91"/>
    <w:rsid w:val="529D3A68"/>
    <w:rsid w:val="568D45CC"/>
    <w:rsid w:val="5E51193B"/>
    <w:rsid w:val="5F49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Body Text"/>
    <w:basedOn w:val="1"/>
    <w:qFormat/>
    <w:uiPriority w:val="0"/>
    <w:pPr>
      <w:spacing w:after="120"/>
    </w:pPr>
  </w:style>
  <w:style w:type="paragraph" w:styleId="4">
    <w:name w:val="Date"/>
    <w:basedOn w:val="1"/>
    <w:next w:val="1"/>
    <w:qFormat/>
    <w:uiPriority w:val="0"/>
    <w:rPr>
      <w:rFonts w:eastAsia="仿宋_GB2312"/>
      <w:sz w:val="32"/>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10">
    <w:name w:val="NormalIndent"/>
    <w:basedOn w:val="1"/>
    <w:next w:val="1"/>
    <w:qFormat/>
    <w:uiPriority w:val="0"/>
    <w:pPr>
      <w:widowControl/>
      <w:ind w:firstLine="200" w:firstLineChars="200"/>
      <w:textAlignment w:val="baseline"/>
    </w:pPr>
    <w:rPr>
      <w:rFonts w:ascii="Calibri" w:hAnsi="Calibri" w:eastAsia="Calibri" w:cs="Times New Roman"/>
    </w:rPr>
  </w:style>
  <w:style w:type="paragraph" w:customStyle="1" w:styleId="11">
    <w:name w:val="正文-公1"/>
    <w:basedOn w:val="1"/>
    <w:qFormat/>
    <w:uiPriority w:val="0"/>
    <w:pPr>
      <w:ind w:firstLine="200" w:firstLineChars="200"/>
      <w:jc w:val="left"/>
    </w:pPr>
    <w:rPr>
      <w:rFonts w:ascii="Calibri" w:hAnsi="Calibri" w:eastAsia="仿宋_GB2312" w:cs="Times New Roman"/>
    </w:rPr>
  </w:style>
  <w:style w:type="paragraph" w:customStyle="1" w:styleId="12">
    <w:name w:val="正文（缩进）"/>
    <w:basedOn w:val="1"/>
    <w:qFormat/>
    <w:uiPriority w:val="0"/>
    <w:pPr>
      <w:spacing w:line="594" w:lineRule="exact"/>
      <w:ind w:firstLine="482"/>
    </w:pPr>
    <w:rPr>
      <w:rFonts w:ascii="Times New Roman" w:hAnsi="Times New Roman" w:eastAsia="方正仿宋_GBK"/>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2022-05-30T07:37:00Z</dcterms:created>
  <dc:creator>靠近一点点</dc:creator>
  <cp:lastModifiedBy>Administrator</cp:lastModifiedBy>
  <cp:lastPrinted>2022-06-10T07:03:00Z</cp:lastPrinted>
  <dcterms:modified xsi:type="dcterms:W3CDTF">2022-06-10T08:18:10Z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