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4" w:lineRule="exact"/>
        <w:textAlignment w:val="auto"/>
        <w:rPr>
          <w:rFonts w:hint="eastAsia" w:ascii="方正小标宋_GBK" w:eastAsia="方正小标宋_GBK"/>
          <w:color w:val="000000"/>
          <w:sz w:val="44"/>
          <w:szCs w:val="44"/>
          <w:lang w:eastAsia="zh-CN"/>
        </w:rPr>
      </w:pPr>
      <w:r>
        <w:rPr>
          <w:rFonts w:hint="eastAsia" w:ascii="方正小标宋_GBK" w:eastAsia="方正小标宋_GBK"/>
          <w:color w:val="000000"/>
          <w:sz w:val="44"/>
          <w:szCs w:val="44"/>
          <w:lang w:eastAsia="zh-CN"/>
        </w:rPr>
        <w:t>铜梁</w:t>
      </w:r>
      <w:r>
        <w:rPr>
          <w:rFonts w:hint="eastAsia" w:ascii="方正小标宋_GBK" w:eastAsia="方正小标宋_GBK"/>
          <w:color w:val="000000"/>
          <w:sz w:val="44"/>
          <w:szCs w:val="44"/>
        </w:rPr>
        <w:t>区居民燃气工程安装收费</w:t>
      </w:r>
      <w:r>
        <w:rPr>
          <w:rFonts w:hint="eastAsia" w:ascii="方正小标宋_GBK" w:eastAsia="方正小标宋_GBK"/>
          <w:color w:val="000000"/>
          <w:sz w:val="44"/>
          <w:szCs w:val="44"/>
          <w:lang w:eastAsia="zh-CN"/>
        </w:rPr>
        <w:t>拟调整方案</w:t>
      </w:r>
    </w:p>
    <w:p>
      <w:pPr>
        <w:keepNext w:val="0"/>
        <w:keepLines w:val="0"/>
        <w:pageBreakBefore w:val="0"/>
        <w:widowControl w:val="0"/>
        <w:kinsoku/>
        <w:wordWrap/>
        <w:overflowPunct/>
        <w:topLinePunct w:val="0"/>
        <w:autoSpaceDE/>
        <w:autoSpaceDN/>
        <w:bidi w:val="0"/>
        <w:spacing w:line="594" w:lineRule="exact"/>
        <w:textAlignment w:val="auto"/>
        <w:rPr>
          <w:rFonts w:hint="default" w:ascii="方正小标宋_GBK" w:eastAsia="方正小标宋_GBK"/>
          <w:color w:val="000000"/>
          <w:sz w:val="44"/>
          <w:szCs w:val="44"/>
          <w:lang w:val="en-US" w:eastAsia="zh-CN"/>
        </w:rPr>
      </w:pPr>
      <w:r>
        <w:rPr>
          <w:rFonts w:hint="eastAsia" w:ascii="方正小标宋_GBK" w:eastAsia="方正小标宋_GBK"/>
          <w:color w:val="000000"/>
          <w:sz w:val="44"/>
          <w:szCs w:val="44"/>
          <w:lang w:val="en-US" w:eastAsia="zh-CN"/>
        </w:rPr>
        <w:t xml:space="preserve">           （征求意见稿）</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color w:val="000000"/>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30"/>
        <w:textAlignment w:val="auto"/>
        <w:rPr>
          <w:rFonts w:hint="eastAsia" w:hAnsi="方正仿宋_GBK" w:cs="方正仿宋_GBK"/>
          <w:color w:val="000000"/>
          <w:sz w:val="32"/>
          <w:szCs w:val="32"/>
          <w:lang w:eastAsia="zh-CN"/>
        </w:rPr>
      </w:pPr>
      <w:r>
        <w:rPr>
          <w:rFonts w:hint="eastAsia" w:hAnsi="方正仿宋_GBK" w:cs="方正仿宋_GBK"/>
          <w:color w:val="000000"/>
          <w:sz w:val="32"/>
          <w:szCs w:val="32"/>
          <w:lang w:eastAsia="zh-CN"/>
        </w:rPr>
        <w:t>根据</w:t>
      </w:r>
      <w:r>
        <w:rPr>
          <w:rFonts w:hint="eastAsia" w:ascii="方正仿宋_GBK" w:hAnsi="方正仿宋_GBK" w:eastAsia="方正仿宋_GBK" w:cs="方正仿宋_GBK"/>
          <w:color w:val="000000"/>
          <w:sz w:val="32"/>
          <w:szCs w:val="32"/>
        </w:rPr>
        <w:t>《重庆市发展和改革委员会 重庆市市场监督管理局转发国家发展和改革委员会 住房城乡建设部 国家市场监督管理总局关于规范城镇燃气工程安装收费的指导意见的通知》（渝发改价格〔2019〕1121号）</w:t>
      </w:r>
      <w:r>
        <w:rPr>
          <w:rFonts w:hint="eastAsia" w:hAnsi="方正仿宋_GBK" w:cs="方正仿宋_GBK"/>
          <w:color w:val="000000"/>
          <w:sz w:val="32"/>
          <w:szCs w:val="32"/>
          <w:lang w:eastAsia="zh-CN"/>
        </w:rPr>
        <w:t>，要求</w:t>
      </w:r>
      <w:r>
        <w:rPr>
          <w:rFonts w:hint="eastAsia"/>
        </w:rPr>
        <w:t>各地发展改革部门要认真组织开展本地燃气工程安装成本调查，按照国家发展改革委提出的成本利润率原则上不超过</w:t>
      </w:r>
      <w:r>
        <w:t>10%</w:t>
      </w:r>
      <w:r>
        <w:rPr>
          <w:rFonts w:hint="eastAsia"/>
        </w:rPr>
        <w:t>的要求，重新合理确定实行政府定价管理的居民燃气安装服务收费标准，切实降低现行偏高的收费标准。</w:t>
      </w:r>
    </w:p>
    <w:p>
      <w:pPr>
        <w:keepNext w:val="0"/>
        <w:keepLines w:val="0"/>
        <w:pageBreakBefore w:val="0"/>
        <w:widowControl w:val="0"/>
        <w:numPr>
          <w:ilvl w:val="0"/>
          <w:numId w:val="1"/>
        </w:numPr>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居民天然气安装现行收费标准</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eastAsia" w:cs="Times New Roman"/>
          <w:sz w:val="32"/>
          <w:szCs w:val="32"/>
          <w:lang w:eastAsia="zh-CN"/>
        </w:rPr>
        <w:t>（一）</w:t>
      </w:r>
      <w:r>
        <w:rPr>
          <w:rFonts w:hint="default" w:ascii="Times New Roman" w:hAnsi="Times New Roman" w:eastAsia="方正仿宋_GBK" w:cs="Times New Roman"/>
          <w:sz w:val="32"/>
          <w:szCs w:val="32"/>
          <w:lang w:eastAsia="zh-CN"/>
        </w:rPr>
        <w:t>巴川</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东城、南城、蒲吕、旧县</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办事处</w:t>
      </w:r>
      <w:r>
        <w:rPr>
          <w:rFonts w:hint="default" w:ascii="Times New Roman" w:hAnsi="Times New Roman" w:eastAsia="方正仿宋_GBK" w:cs="Times New Roman"/>
          <w:sz w:val="32"/>
          <w:szCs w:val="32"/>
        </w:rPr>
        <w:t>建成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规划</w:t>
      </w:r>
      <w:r>
        <w:rPr>
          <w:rFonts w:hint="default" w:ascii="Times New Roman" w:hAnsi="Times New Roman" w:eastAsia="方正仿宋_GBK" w:cs="Times New Roman"/>
          <w:sz w:val="32"/>
          <w:szCs w:val="32"/>
        </w:rPr>
        <w:t>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内</w:t>
      </w:r>
      <w:r>
        <w:rPr>
          <w:rFonts w:hint="default" w:ascii="Times New Roman" w:hAnsi="Times New Roman" w:eastAsia="方正仿宋_GBK" w:cs="Times New Roman"/>
          <w:sz w:val="32"/>
          <w:szCs w:val="32"/>
          <w:lang w:eastAsia="zh-CN"/>
        </w:rPr>
        <w:t>和已通天然气的乡镇场镇</w:t>
      </w:r>
      <w:r>
        <w:rPr>
          <w:rFonts w:hint="default" w:ascii="Times New Roman" w:hAnsi="Times New Roman" w:eastAsia="方正仿宋_GBK" w:cs="Times New Roman"/>
          <w:sz w:val="32"/>
          <w:szCs w:val="32"/>
        </w:rPr>
        <w:t>居民用户安装收费：采取定额包干收费办法，</w:t>
      </w:r>
      <w:r>
        <w:rPr>
          <w:rFonts w:hint="default" w:ascii="Times New Roman" w:hAnsi="Times New Roman" w:eastAsia="方正仿宋_GBK" w:cs="Times New Roman"/>
          <w:color w:val="000000"/>
          <w:sz w:val="32"/>
          <w:szCs w:val="32"/>
        </w:rPr>
        <w:t>每户收费</w:t>
      </w:r>
      <w:r>
        <w:rPr>
          <w:rFonts w:hint="eastAsia" w:ascii="Times New Roman" w:hAnsi="Times New Roman" w:eastAsia="方正仿宋_GBK" w:cs="Times New Roman"/>
          <w:color w:val="000000"/>
          <w:sz w:val="32"/>
          <w:szCs w:val="32"/>
          <w:lang w:eastAsia="zh-CN"/>
        </w:rPr>
        <w:t>不超过</w:t>
      </w:r>
      <w:r>
        <w:rPr>
          <w:rFonts w:hint="default" w:ascii="Times New Roman" w:hAnsi="Times New Roman" w:eastAsia="方正仿宋_GBK" w:cs="Times New Roman"/>
          <w:bCs/>
          <w:color w:val="000000"/>
          <w:sz w:val="32"/>
          <w:szCs w:val="32"/>
          <w:lang w:val="en-US" w:eastAsia="zh-CN"/>
        </w:rPr>
        <w:t>3500</w:t>
      </w:r>
      <w:r>
        <w:rPr>
          <w:rFonts w:hint="default" w:ascii="Times New Roman" w:hAnsi="Times New Roman" w:eastAsia="方正仿宋_GBK" w:cs="Times New Roman"/>
          <w:color w:val="000000"/>
          <w:sz w:val="32"/>
          <w:szCs w:val="32"/>
        </w:rPr>
        <w:t>元</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z w:val="32"/>
          <w:szCs w:val="32"/>
          <w:lang w:val="en-US" w:eastAsia="zh-CN"/>
        </w:rPr>
        <w:t>含</w:t>
      </w:r>
      <w:r>
        <w:rPr>
          <w:rFonts w:hint="eastAsia" w:ascii="Times New Roman" w:hAnsi="Times New Roman" w:eastAsia="方正仿宋_GBK" w:cs="Times New Roman"/>
          <w:sz w:val="32"/>
          <w:szCs w:val="32"/>
          <w:lang w:val="en-US" w:eastAsia="zh-CN"/>
        </w:rPr>
        <w:t>初装费、安装费等一切费用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textAlignment w:val="auto"/>
        <w:outlineLvl w:val="9"/>
        <w:rPr>
          <w:rFonts w:hint="default" w:ascii="Times New Roman" w:hAnsi="Times New Roman" w:eastAsia="方正仿宋_GBK" w:cs="Times New Roman"/>
          <w:color w:val="FF0000"/>
          <w:sz w:val="32"/>
          <w:szCs w:val="32"/>
        </w:rPr>
      </w:pPr>
      <w:r>
        <w:rPr>
          <w:rFonts w:hint="eastAsia" w:cs="Times New Roman"/>
          <w:sz w:val="32"/>
          <w:szCs w:val="32"/>
          <w:lang w:eastAsia="zh-CN"/>
        </w:rPr>
        <w:t>（二）</w:t>
      </w:r>
      <w:r>
        <w:rPr>
          <w:rFonts w:hint="default" w:ascii="Times New Roman" w:hAnsi="Times New Roman" w:eastAsia="方正仿宋_GBK" w:cs="Times New Roman"/>
          <w:sz w:val="32"/>
          <w:szCs w:val="32"/>
          <w:lang w:eastAsia="zh-CN"/>
        </w:rPr>
        <w:t>建</w:t>
      </w:r>
      <w:r>
        <w:rPr>
          <w:rFonts w:hint="default" w:ascii="Times New Roman" w:hAnsi="Times New Roman" w:eastAsia="方正仿宋_GBK" w:cs="Times New Roman"/>
          <w:sz w:val="32"/>
          <w:szCs w:val="32"/>
        </w:rPr>
        <w:t>制镇街场镇建成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规划</w:t>
      </w:r>
      <w:r>
        <w:rPr>
          <w:rFonts w:hint="default" w:ascii="Times New Roman" w:hAnsi="Times New Roman" w:eastAsia="方正仿宋_GBK" w:cs="Times New Roman"/>
          <w:sz w:val="32"/>
          <w:szCs w:val="32"/>
        </w:rPr>
        <w:t>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外经政府批准建设的农民新村以及未通天然气的</w:t>
      </w:r>
      <w:r>
        <w:rPr>
          <w:rFonts w:hint="default" w:ascii="Times New Roman" w:hAnsi="Times New Roman" w:eastAsia="方正仿宋_GBK" w:cs="Times New Roman"/>
          <w:sz w:val="32"/>
          <w:szCs w:val="32"/>
          <w:lang w:eastAsia="zh-CN"/>
        </w:rPr>
        <w:t>乡</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eastAsia="zh-CN"/>
        </w:rPr>
        <w:t>场镇</w:t>
      </w:r>
      <w:r>
        <w:rPr>
          <w:rFonts w:hint="default" w:ascii="Times New Roman" w:hAnsi="Times New Roman" w:eastAsia="方正仿宋_GBK" w:cs="Times New Roman"/>
          <w:sz w:val="32"/>
          <w:szCs w:val="32"/>
        </w:rPr>
        <w:t>居民用户安装收费：由各街道办事处、镇政府组织用户与安装企业协商确定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rPr>
        <w:t>最高收费标准在场镇建成区内居民用户安装收费标准</w:t>
      </w:r>
      <w:r>
        <w:rPr>
          <w:rFonts w:hint="default" w:ascii="Times New Roman" w:hAnsi="Times New Roman" w:eastAsia="方正仿宋_GBK" w:cs="Times New Roman"/>
          <w:bCs/>
          <w:color w:val="000000"/>
          <w:sz w:val="32"/>
          <w:szCs w:val="32"/>
          <w:lang w:val="en-US" w:eastAsia="zh-CN"/>
        </w:rPr>
        <w:t>3500</w:t>
      </w:r>
      <w:r>
        <w:rPr>
          <w:rFonts w:hint="default" w:ascii="Times New Roman" w:hAnsi="Times New Roman" w:eastAsia="方正仿宋_GBK" w:cs="Times New Roman"/>
          <w:color w:val="000000"/>
          <w:sz w:val="32"/>
          <w:szCs w:val="32"/>
        </w:rPr>
        <w:t>元/户的基础上上浮</w:t>
      </w:r>
      <w:r>
        <w:rPr>
          <w:rFonts w:hint="eastAsia" w:ascii="Times New Roman" w:hAnsi="Times New Roman" w:eastAsia="方正仿宋_GBK" w:cs="Times New Roman"/>
          <w:color w:val="000000"/>
          <w:sz w:val="32"/>
          <w:szCs w:val="32"/>
          <w:lang w:eastAsia="zh-CN"/>
        </w:rPr>
        <w:t>不超过</w:t>
      </w:r>
      <w:r>
        <w:rPr>
          <w:rFonts w:hint="default" w:ascii="Times New Roman" w:hAnsi="Times New Roman" w:eastAsia="方正仿宋_GBK" w:cs="Times New Roman"/>
          <w:bCs/>
          <w:color w:val="000000"/>
          <w:sz w:val="32"/>
          <w:szCs w:val="32"/>
          <w:lang w:val="en-US" w:eastAsia="zh-CN"/>
        </w:rPr>
        <w:t>15</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z w:val="32"/>
          <w:szCs w:val="32"/>
          <w:lang w:val="en-US" w:eastAsia="zh-CN"/>
        </w:rPr>
        <w:t>含</w:t>
      </w:r>
      <w:r>
        <w:rPr>
          <w:rFonts w:hint="eastAsia" w:ascii="Times New Roman" w:hAnsi="Times New Roman" w:eastAsia="方正仿宋_GBK" w:cs="Times New Roman"/>
          <w:sz w:val="32"/>
          <w:szCs w:val="32"/>
          <w:lang w:val="en-US" w:eastAsia="zh-CN"/>
        </w:rPr>
        <w:t>初装费、安装费等一切费用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textAlignment w:val="auto"/>
        <w:outlineLvl w:val="9"/>
        <w:rPr>
          <w:rFonts w:hint="default" w:ascii="方正黑体_GBK" w:hAnsi="方正黑体_GBK" w:eastAsia="方正黑体_GBK" w:cs="方正黑体_GBK"/>
          <w:sz w:val="32"/>
          <w:szCs w:val="32"/>
          <w:lang w:val="en-US" w:eastAsia="zh-CN"/>
        </w:rPr>
      </w:pPr>
      <w:r>
        <w:rPr>
          <w:rFonts w:hint="eastAsia" w:cs="Times New Roman"/>
          <w:sz w:val="32"/>
          <w:szCs w:val="32"/>
          <w:lang w:eastAsia="zh-CN"/>
        </w:rPr>
        <w:t>（三）</w:t>
      </w:r>
      <w:r>
        <w:rPr>
          <w:rFonts w:hint="default" w:ascii="Times New Roman" w:hAnsi="Times New Roman" w:eastAsia="方正仿宋_GBK" w:cs="Times New Roman"/>
          <w:sz w:val="32"/>
          <w:szCs w:val="32"/>
          <w:lang w:eastAsia="zh-CN"/>
        </w:rPr>
        <w:t>超出建制镇街场镇规划建成区的农村居民用户安装，其收费标准由双方自行协商制定。</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二、安装收费调整的政策依据</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eastAsia" w:ascii="方正仿宋_GBK" w:hAnsi="方正仿宋_GBK" w:cs="方正仿宋_GBK"/>
          <w:sz w:val="32"/>
          <w:szCs w:val="32"/>
          <w:lang w:eastAsia="zh-CN"/>
        </w:rPr>
      </w:pPr>
      <w:r>
        <w:rPr>
          <w:rFonts w:hint="eastAsia" w:ascii="方正仿宋_GBK" w:hAnsi="方正仿宋_GBK" w:cs="方正仿宋_GBK"/>
          <w:sz w:val="32"/>
          <w:szCs w:val="32"/>
          <w:lang w:eastAsia="zh-CN"/>
        </w:rPr>
        <w:t>（一）《重庆市天然气管理条例》；</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cs="方正仿宋_GBK"/>
          <w:sz w:val="32"/>
          <w:szCs w:val="32"/>
          <w:lang w:eastAsia="zh-CN"/>
        </w:rPr>
        <w:t>（二）</w:t>
      </w:r>
      <w:r>
        <w:rPr>
          <w:rFonts w:hint="eastAsia" w:ascii="方正仿宋_GBK" w:hAnsi="方正仿宋_GBK" w:eastAsia="方正仿宋_GBK" w:cs="方正仿宋_GBK"/>
          <w:sz w:val="32"/>
          <w:szCs w:val="32"/>
        </w:rPr>
        <w:t>《国家发展和改革委员会 住房和城乡建设部 国家市场监督管理总局关于规范城镇燃气工程安装收费的指导意见》（发改价格〔2019〕1131号）</w:t>
      </w:r>
      <w:r>
        <w:rPr>
          <w:rFonts w:hint="eastAsia" w:ascii="方正仿宋_GBK" w:hAnsi="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eastAsia="zh-CN"/>
        </w:rPr>
        <w:t>（三）</w:t>
      </w:r>
      <w:r>
        <w:rPr>
          <w:rFonts w:hint="eastAsia" w:ascii="方正仿宋_GBK" w:hAnsi="方正仿宋_GBK" w:eastAsia="方正仿宋_GBK" w:cs="方正仿宋_GBK"/>
          <w:sz w:val="32"/>
          <w:szCs w:val="32"/>
          <w:lang w:eastAsia="zh-CN"/>
        </w:rPr>
        <w:t>《重庆市发展和改革委员会</w:t>
      </w:r>
      <w:r>
        <w:rPr>
          <w:rFonts w:hint="eastAsia" w:ascii="方正仿宋_GBK" w:hAnsi="方正仿宋_GBK" w:eastAsia="方正仿宋_GBK" w:cs="方正仿宋_GBK"/>
          <w:sz w:val="32"/>
          <w:szCs w:val="32"/>
          <w:lang w:val="en-US" w:eastAsia="zh-CN"/>
        </w:rPr>
        <w:t xml:space="preserve"> 重庆市市场监督管理局转发国家发展和改革委员会 住房和城乡建设部 国家市场监督管理总局关于规范城镇燃气工程安装收费的指导意见的通知</w:t>
      </w:r>
      <w:r>
        <w:rPr>
          <w:rFonts w:hint="eastAsia" w:ascii="方正仿宋_GBK" w:hAnsi="方正仿宋_GBK" w:eastAsia="方正仿宋_GBK" w:cs="方正仿宋_GBK"/>
          <w:sz w:val="32"/>
          <w:szCs w:val="32"/>
          <w:lang w:eastAsia="zh-CN"/>
        </w:rPr>
        <w:t>》（渝</w:t>
      </w:r>
      <w:r>
        <w:rPr>
          <w:rFonts w:hint="eastAsia" w:ascii="方正仿宋_GBK" w:hAnsi="方正仿宋_GBK" w:eastAsia="方正仿宋_GBK" w:cs="方正仿宋_GBK"/>
          <w:sz w:val="32"/>
          <w:szCs w:val="32"/>
        </w:rPr>
        <w:t>发改价格〔2019〕11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1号</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城镇居民燃气工程安装费定义及内涵</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城镇燃气工程安装费是指为保障用户通气，相关企业提供建筑区划红线内燃气工程勘察、设计、施工、监理、验收等服务而收取的与工程建设相关</w:t>
      </w:r>
      <w:r>
        <w:rPr>
          <w:rFonts w:hint="eastAsia" w:ascii="方正仿宋_GBK" w:hAnsi="方正仿宋_GBK" w:cs="方正仿宋_GBK"/>
          <w:sz w:val="32"/>
          <w:szCs w:val="32"/>
          <w:lang w:eastAsia="zh-CN"/>
        </w:rPr>
        <w:t>的</w:t>
      </w:r>
      <w:r>
        <w:rPr>
          <w:rFonts w:hint="eastAsia" w:ascii="方正仿宋_GBK" w:hAnsi="方正仿宋_GBK" w:eastAsia="方正仿宋_GBK" w:cs="方正仿宋_GBK"/>
          <w:sz w:val="32"/>
          <w:szCs w:val="32"/>
        </w:rPr>
        <w:t>服务费和材料费等费用。燃气工程安装收费范围仅限于建筑区划红线内产权属于用户的资产</w:t>
      </w:r>
      <w:r>
        <w:rPr>
          <w:rFonts w:hint="eastAsia" w:ascii="方正仿宋_GBK" w:hAnsi="方正仿宋_GBK" w:cs="方正仿宋_GBK"/>
          <w:sz w:val="32"/>
          <w:szCs w:val="32"/>
          <w:lang w:val="en-US" w:eastAsia="zh-CN"/>
        </w:rPr>
        <w:t>(红线范围内至户表（含户表）)</w:t>
      </w:r>
      <w:r>
        <w:rPr>
          <w:rFonts w:hint="eastAsia" w:ascii="方正仿宋_GBK" w:hAnsi="方正仿宋_GBK" w:eastAsia="方正仿宋_GBK" w:cs="方正仿宋_GBK"/>
          <w:sz w:val="32"/>
          <w:szCs w:val="32"/>
        </w:rPr>
        <w:t>，不得向红线外延伸。</w:t>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定价范围</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sz w:val="32"/>
          <w:szCs w:val="32"/>
          <w:lang w:val="en-US" w:eastAsia="zh-CN"/>
        </w:rPr>
        <w:t>1. 城</w:t>
      </w:r>
      <w:r>
        <w:rPr>
          <w:rFonts w:hint="eastAsia" w:ascii="方正仿宋_GBK" w:hAnsi="方正仿宋_GBK" w:cs="方正仿宋_GBK"/>
          <w:sz w:val="32"/>
          <w:szCs w:val="32"/>
          <w:lang w:val="en-US" w:eastAsia="zh-CN"/>
        </w:rPr>
        <w:t>区及镇街</w:t>
      </w:r>
      <w:r>
        <w:rPr>
          <w:rFonts w:hint="eastAsia" w:ascii="方正仿宋_GBK" w:hAnsi="方正仿宋_GBK" w:eastAsia="方正仿宋_GBK" w:cs="方正仿宋_GBK"/>
          <w:sz w:val="32"/>
          <w:szCs w:val="32"/>
          <w:lang w:val="en-US" w:eastAsia="zh-CN"/>
        </w:rPr>
        <w:t>部分：</w:t>
      </w:r>
      <w:r>
        <w:rPr>
          <w:rFonts w:hint="default" w:ascii="Times New Roman" w:hAnsi="Times New Roman" w:eastAsia="方正仿宋_GBK" w:cs="Times New Roman"/>
          <w:sz w:val="32"/>
          <w:szCs w:val="32"/>
          <w:lang w:eastAsia="zh-CN"/>
        </w:rPr>
        <w:t>巴川</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东城、南城、蒲吕、旧县</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办事处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规划</w:t>
      </w:r>
      <w:r>
        <w:rPr>
          <w:rFonts w:hint="default" w:ascii="Times New Roman" w:hAnsi="Times New Roman" w:eastAsia="方正仿宋_GBK" w:cs="Times New Roman"/>
          <w:color w:val="000000" w:themeColor="text1"/>
          <w:sz w:val="32"/>
          <w:szCs w:val="32"/>
          <w14:textFill>
            <w14:solidFill>
              <w14:schemeClr w14:val="tx1"/>
            </w14:solidFill>
          </w14:textFill>
        </w:rPr>
        <w:t>建成</w:t>
      </w:r>
      <w:r>
        <w:rPr>
          <w:rFonts w:hint="eastAsia"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内</w:t>
      </w:r>
      <w:r>
        <w:rPr>
          <w:rFonts w:hint="default" w:ascii="Times New Roman" w:hAnsi="Times New Roman" w:eastAsia="方正仿宋_GBK" w:cs="Times New Roman"/>
          <w:sz w:val="32"/>
          <w:szCs w:val="32"/>
          <w:lang w:eastAsia="zh-CN"/>
        </w:rPr>
        <w:t>和</w:t>
      </w:r>
      <w:r>
        <w:rPr>
          <w:rFonts w:hint="eastAsia" w:cs="Times New Roman"/>
          <w:sz w:val="32"/>
          <w:szCs w:val="32"/>
          <w:lang w:eastAsia="zh-CN"/>
        </w:rPr>
        <w:t>其它</w:t>
      </w:r>
      <w:r>
        <w:rPr>
          <w:rFonts w:hint="eastAsia" w:cs="Times New Roman"/>
          <w:sz w:val="32"/>
          <w:szCs w:val="32"/>
          <w:lang w:val="en-US" w:eastAsia="zh-CN"/>
        </w:rPr>
        <w:t>23个</w:t>
      </w:r>
      <w:r>
        <w:rPr>
          <w:rFonts w:hint="eastAsia" w:cs="Times New Roman"/>
          <w:color w:val="000000" w:themeColor="text1"/>
          <w:sz w:val="32"/>
          <w:szCs w:val="32"/>
          <w:lang w:eastAsia="zh-CN"/>
          <w14:textFill>
            <w14:solidFill>
              <w14:schemeClr w14:val="tx1"/>
            </w14:solidFill>
          </w14:textFill>
        </w:rPr>
        <w:t>建制镇</w:t>
      </w:r>
      <w:r>
        <w:rPr>
          <w:rFonts w:hint="eastAsia" w:ascii="宋体" w:hAnsi="宋体" w:cs="宋体"/>
          <w:color w:val="000000" w:themeColor="text1"/>
          <w:kern w:val="0"/>
          <w14:textFill>
            <w14:solidFill>
              <w14:schemeClr w14:val="tx1"/>
            </w14:solidFill>
          </w14:textFill>
        </w:rPr>
        <w:t>规划</w:t>
      </w:r>
      <w:r>
        <w:rPr>
          <w:rFonts w:hint="eastAsia" w:ascii="宋体" w:hAnsi="宋体" w:cs="宋体"/>
          <w:color w:val="000000" w:themeColor="text1"/>
          <w:kern w:val="0"/>
          <w:lang w:eastAsia="zh-CN"/>
          <w14:textFill>
            <w14:solidFill>
              <w14:schemeClr w14:val="tx1"/>
            </w14:solidFill>
          </w14:textFill>
        </w:rPr>
        <w:t>建成区</w:t>
      </w:r>
      <w:r>
        <w:rPr>
          <w:rFonts w:hint="eastAsia" w:ascii="宋体" w:hAnsi="宋体" w:cs="宋体"/>
          <w:color w:val="000000" w:themeColor="text1"/>
          <w:kern w:val="0"/>
          <w14:textFill>
            <w14:solidFill>
              <w14:schemeClr w14:val="tx1"/>
            </w14:solidFill>
          </w14:textFill>
        </w:rPr>
        <w:t>内</w:t>
      </w:r>
      <w:r>
        <w:rPr>
          <w:rFonts w:hint="eastAsia" w:ascii="宋体" w:hAnsi="宋体" w:cs="宋体"/>
          <w:color w:val="000000" w:themeColor="text1"/>
          <w:kern w:val="0"/>
          <w:lang w:eastAsia="zh-CN"/>
          <w14:textFill>
            <w14:solidFill>
              <w14:schemeClr w14:val="tx1"/>
            </w14:solidFill>
          </w14:textFill>
        </w:rPr>
        <w:t>用户</w:t>
      </w:r>
      <w:r>
        <w:rPr>
          <w:rFonts w:hint="eastAsia"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经政府批准建设的</w:t>
      </w:r>
      <w:r>
        <w:rPr>
          <w:rFonts w:hint="default" w:ascii="Times New Roman" w:hAnsi="Times New Roman" w:eastAsia="方正仿宋_GBK" w:cs="Times New Roman"/>
          <w:sz w:val="32"/>
          <w:szCs w:val="32"/>
        </w:rPr>
        <w:t>农民新村</w:t>
      </w:r>
      <w:r>
        <w:rPr>
          <w:rFonts w:hint="eastAsia" w:cs="Times New Roman"/>
          <w:sz w:val="32"/>
          <w:szCs w:val="32"/>
          <w:lang w:eastAsia="zh-CN"/>
        </w:rPr>
        <w:t>（</w:t>
      </w:r>
      <w:r>
        <w:rPr>
          <w:rFonts w:hint="eastAsia" w:hAnsi="宋体" w:cs="方正仿宋_GBK"/>
          <w:bCs/>
          <w:lang w:eastAsia="zh-CN"/>
        </w:rPr>
        <w:t>集中搬迁安置点</w:t>
      </w:r>
      <w:r>
        <w:rPr>
          <w:rFonts w:hint="eastAsia" w:cs="Times New Roman"/>
          <w:sz w:val="32"/>
          <w:szCs w:val="32"/>
          <w:lang w:eastAsia="zh-CN"/>
        </w:rPr>
        <w:t>）</w:t>
      </w:r>
      <w:r>
        <w:rPr>
          <w:rFonts w:hint="eastAsia" w:ascii="方正仿宋_GBK" w:hAnsi="方正仿宋_GBK" w:eastAsia="方正仿宋_GBK" w:cs="方正仿宋_GBK"/>
          <w:sz w:val="32"/>
          <w:szCs w:val="32"/>
          <w:lang w:val="en-US" w:eastAsia="zh-CN"/>
        </w:rPr>
        <w:t>和农村零星散户。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color w:val="FF0000"/>
          <w:sz w:val="32"/>
          <w:szCs w:val="32"/>
          <w:lang w:val="en-US" w:eastAsia="zh-CN"/>
        </w:rPr>
      </w:pPr>
      <w:r>
        <w:rPr>
          <w:rFonts w:hint="eastAsia" w:ascii="方正黑体_GBK" w:eastAsia="方正黑体_GBK" w:cs="Arial"/>
          <w:szCs w:val="32"/>
          <w:lang w:val="en-US" w:eastAsia="zh-CN"/>
        </w:rPr>
        <w:t>五、</w:t>
      </w:r>
      <w:r>
        <w:rPr>
          <w:rFonts w:hint="eastAsia" w:ascii="方正黑体_GBK" w:eastAsia="方正黑体_GBK" w:cs="Arial"/>
          <w:szCs w:val="32"/>
          <w:lang w:eastAsia="zh-CN"/>
        </w:rPr>
        <w:t>拟调整</w:t>
      </w:r>
      <w:r>
        <w:rPr>
          <w:rFonts w:hint="eastAsia" w:ascii="方正黑体_GBK" w:eastAsia="方正黑体_GBK" w:cs="Arial"/>
          <w:szCs w:val="32"/>
        </w:rPr>
        <w:t>标准</w:t>
      </w:r>
    </w:p>
    <w:p>
      <w:pPr>
        <w:keepNext w:val="0"/>
        <w:keepLines w:val="0"/>
        <w:pageBreakBefore w:val="0"/>
        <w:widowControl w:val="0"/>
        <w:numPr>
          <w:ilvl w:val="0"/>
          <w:numId w:val="0"/>
        </w:numPr>
        <w:kinsoku/>
        <w:wordWrap/>
        <w:overflowPunct/>
        <w:topLinePunct w:val="0"/>
        <w:bidi w:val="0"/>
        <w:spacing w:line="594" w:lineRule="exact"/>
        <w:ind w:left="0" w:leftChars="0" w:firstLine="640" w:firstLineChars="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方案一</w:t>
      </w:r>
      <w:r>
        <w:rPr>
          <w:rFonts w:hint="eastAsia" w:hAnsi="宋体" w:cs="方正仿宋_GBK"/>
          <w:b/>
          <w:bCs/>
          <w:lang w:eastAsia="zh-CN"/>
        </w:rPr>
        <w:t>（城镇同价）</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cs="方正仿宋_GBK"/>
          <w:sz w:val="32"/>
          <w:szCs w:val="32"/>
          <w:lang w:val="en-US" w:eastAsia="zh-CN"/>
        </w:rPr>
        <w:t>巴川、东城、南城、旧县、蒲吕和23个</w:t>
      </w:r>
      <w:r>
        <w:rPr>
          <w:rFonts w:hint="eastAsia" w:ascii="方正仿宋_GBK" w:hAnsi="方正仿宋_GBK" w:cs="方正仿宋_GBK"/>
          <w:color w:val="000000" w:themeColor="text1"/>
          <w:sz w:val="32"/>
          <w:szCs w:val="32"/>
          <w:lang w:val="en-US" w:eastAsia="zh-CN"/>
          <w14:textFill>
            <w14:solidFill>
              <w14:schemeClr w14:val="tx1"/>
            </w14:solidFill>
          </w14:textFill>
        </w:rPr>
        <w:t>建制场镇</w:t>
      </w:r>
      <w:r>
        <w:rPr>
          <w:rFonts w:hint="eastAsia" w:ascii="Times New Roman" w:hAnsi="宋体" w:cs="方正仿宋_GBK"/>
          <w:bCs/>
          <w:color w:val="000000" w:themeColor="text1"/>
          <w:lang w:val="en-US" w:eastAsia="zh-CN"/>
          <w14:textFill>
            <w14:solidFill>
              <w14:schemeClr w14:val="tx1"/>
            </w14:solidFill>
          </w14:textFill>
        </w:rPr>
        <w:t>规划</w:t>
      </w:r>
      <w:r>
        <w:rPr>
          <w:rFonts w:hint="eastAsia" w:hAnsi="宋体" w:cs="方正仿宋_GBK"/>
          <w:bCs/>
          <w:color w:val="000000" w:themeColor="text1"/>
          <w:lang w:val="en-US" w:eastAsia="zh-CN"/>
          <w14:textFill>
            <w14:solidFill>
              <w14:schemeClr w14:val="tx1"/>
            </w14:solidFill>
          </w14:textFill>
        </w:rPr>
        <w:t>建成</w:t>
      </w:r>
      <w:r>
        <w:rPr>
          <w:rFonts w:hint="eastAsia" w:ascii="Times New Roman" w:hAnsi="宋体" w:cs="方正仿宋_GBK"/>
          <w:bCs/>
          <w:color w:val="000000" w:themeColor="text1"/>
          <w:lang w:val="en-US" w:eastAsia="zh-CN"/>
          <w14:textFill>
            <w14:solidFill>
              <w14:schemeClr w14:val="tx1"/>
            </w14:solidFill>
          </w14:textFill>
        </w:rPr>
        <w:t>区范围内</w:t>
      </w:r>
      <w:r>
        <w:rPr>
          <w:rFonts w:hint="eastAsia" w:hAnsi="宋体" w:cs="方正仿宋_GBK"/>
          <w:bCs/>
          <w:lang w:eastAsia="zh-CN"/>
        </w:rPr>
        <w:t>（含撤乡并镇时</w:t>
      </w:r>
      <w:r>
        <w:rPr>
          <w:rFonts w:hint="eastAsia" w:hAnsi="宋体" w:cs="方正仿宋_GBK"/>
          <w:bCs/>
          <w:lang w:val="en-US" w:eastAsia="zh-CN"/>
        </w:rPr>
        <w:t>撤（并）的原乡政府所在地、</w:t>
      </w:r>
      <w:r>
        <w:rPr>
          <w:rFonts w:hint="eastAsia" w:hAnsi="宋体" w:cs="方正仿宋_GBK"/>
          <w:bCs/>
          <w:lang w:eastAsia="zh-CN"/>
        </w:rPr>
        <w:t>经区政府批准建设的</w:t>
      </w:r>
      <w:r>
        <w:rPr>
          <w:rFonts w:hint="eastAsia" w:hAnsi="宋体" w:cs="方正仿宋_GBK"/>
          <w:bCs/>
          <w:lang w:val="en-US" w:eastAsia="zh-CN"/>
        </w:rPr>
        <w:t>农民</w:t>
      </w:r>
      <w:r>
        <w:rPr>
          <w:rFonts w:hint="eastAsia" w:hAnsi="宋体" w:cs="方正仿宋_GBK"/>
          <w:bCs/>
          <w:lang w:eastAsia="zh-CN"/>
        </w:rPr>
        <w:t>新村、集中搬迁安置点）</w:t>
      </w:r>
      <w:r>
        <w:rPr>
          <w:rFonts w:hint="eastAsia" w:hAnsi="宋体" w:cs="方正仿宋_GBK"/>
          <w:bCs/>
        </w:rPr>
        <w:t>居民燃气工程安装收费实行包干到户，收费标准由用户与燃气企业在</w:t>
      </w:r>
      <w:r>
        <w:rPr>
          <w:rFonts w:hint="eastAsia" w:hAnsi="宋体" w:cs="方正仿宋_GBK"/>
          <w:bCs/>
          <w:lang w:val="en-US" w:eastAsia="zh-CN"/>
        </w:rPr>
        <w:t>2900元/户</w:t>
      </w:r>
      <w:r>
        <w:rPr>
          <w:rFonts w:hint="eastAsia" w:hAnsi="宋体" w:cs="方正仿宋_GBK"/>
          <w:bCs/>
        </w:rPr>
        <w:t>内协商</w:t>
      </w:r>
      <w:r>
        <w:rPr>
          <w:rFonts w:hint="eastAsia" w:ascii="方正仿宋_GBK" w:hAnsi="方正仿宋_GBK" w:eastAsia="方正仿宋_GBK" w:cs="方正仿宋_GBK"/>
          <w:color w:val="000000"/>
          <w:sz w:val="32"/>
          <w:szCs w:val="32"/>
        </w:rPr>
        <w:t>确定。</w:t>
      </w:r>
    </w:p>
    <w:p>
      <w:pPr>
        <w:pStyle w:val="2"/>
        <w:keepNext w:val="0"/>
        <w:keepLines w:val="0"/>
        <w:pageBreakBefore w:val="0"/>
        <w:widowControl w:val="0"/>
        <w:numPr>
          <w:ilvl w:val="0"/>
          <w:numId w:val="2"/>
        </w:numPr>
        <w:kinsoku/>
        <w:wordWrap/>
        <w:overflowPunct/>
        <w:topLinePunct w:val="0"/>
        <w:bidi w:val="0"/>
        <w:spacing w:line="594" w:lineRule="exact"/>
        <w:ind w:left="0" w:leftChars="0" w:firstLine="640" w:firstLineChars="200"/>
        <w:textAlignment w:val="auto"/>
        <w:rPr>
          <w:rFonts w:hint="eastAsia" w:ascii="方正仿宋_GBK" w:hAnsi="宋体" w:eastAsia="方正仿宋_GBK" w:cs="宋体"/>
          <w:color w:val="auto"/>
          <w:kern w:val="0"/>
          <w:sz w:val="32"/>
          <w:szCs w:val="32"/>
          <w:lang w:val="en-US" w:eastAsia="zh-CN" w:bidi="ar-SA"/>
        </w:rPr>
      </w:pPr>
      <w:r>
        <w:rPr>
          <w:rFonts w:hint="default" w:ascii="方正仿宋_GBK" w:hAnsi="宋体" w:eastAsia="方正仿宋_GBK" w:cs="宋体"/>
          <w:color w:val="000000" w:themeColor="text1"/>
          <w:kern w:val="0"/>
          <w:sz w:val="32"/>
          <w:szCs w:val="32"/>
          <w:lang w:val="en-US" w:eastAsia="zh-CN" w:bidi="ar-SA"/>
          <w14:textFill>
            <w14:solidFill>
              <w14:schemeClr w14:val="tx1"/>
            </w14:solidFill>
          </w14:textFill>
        </w:rPr>
        <w:t>建制镇街场镇规划建成区</w:t>
      </w:r>
      <w:r>
        <w:rPr>
          <w:rFonts w:hint="eastAsia" w:ascii="方正仿宋_GBK" w:hAnsi="宋体" w:eastAsia="方正仿宋_GBK" w:cs="宋体"/>
          <w:color w:val="000000" w:themeColor="text1"/>
          <w:kern w:val="0"/>
          <w:sz w:val="32"/>
          <w:szCs w:val="32"/>
          <w:lang w:val="en-US" w:eastAsia="zh-CN" w:bidi="ar-SA"/>
          <w14:textFill>
            <w14:solidFill>
              <w14:schemeClr w14:val="tx1"/>
            </w14:solidFill>
          </w14:textFill>
        </w:rPr>
        <w:t>外</w:t>
      </w:r>
      <w:r>
        <w:rPr>
          <w:rFonts w:hint="default" w:ascii="方正仿宋_GBK" w:hAnsi="宋体" w:eastAsia="方正仿宋_GBK" w:cs="宋体"/>
          <w:color w:val="auto"/>
          <w:kern w:val="0"/>
          <w:sz w:val="32"/>
          <w:szCs w:val="32"/>
          <w:lang w:val="en-US" w:eastAsia="zh-CN" w:bidi="ar-SA"/>
        </w:rPr>
        <w:t>的</w:t>
      </w:r>
      <w:r>
        <w:rPr>
          <w:rFonts w:hint="eastAsia" w:ascii="方正仿宋_GBK" w:hAnsi="宋体" w:eastAsia="方正仿宋_GBK" w:cs="宋体"/>
          <w:color w:val="auto"/>
          <w:kern w:val="0"/>
          <w:sz w:val="32"/>
          <w:szCs w:val="32"/>
          <w:lang w:val="en-US" w:eastAsia="zh-CN" w:bidi="ar-SA"/>
        </w:rPr>
        <w:t>居民用户燃气工程安装</w:t>
      </w:r>
      <w:r>
        <w:rPr>
          <w:rFonts w:hint="default" w:ascii="方正仿宋_GBK" w:hAnsi="宋体" w:eastAsia="方正仿宋_GBK" w:cs="宋体"/>
          <w:color w:val="auto"/>
          <w:kern w:val="0"/>
          <w:sz w:val="32"/>
          <w:szCs w:val="32"/>
          <w:lang w:val="en-US" w:eastAsia="zh-CN" w:bidi="ar-SA"/>
        </w:rPr>
        <w:t>，其收费标准</w:t>
      </w:r>
      <w:r>
        <w:rPr>
          <w:rFonts w:hint="eastAsia" w:ascii="方正仿宋_GBK" w:hAnsi="宋体" w:eastAsia="方正仿宋_GBK" w:cs="宋体"/>
          <w:color w:val="auto"/>
          <w:kern w:val="0"/>
          <w:sz w:val="32"/>
          <w:szCs w:val="32"/>
          <w:lang w:val="en-US" w:eastAsia="zh-CN" w:bidi="ar-SA"/>
        </w:rPr>
        <w:t>由村（居）民委员会、用户和燃气工程安装企业参照“一事一议”的方式协商确定。</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firstLine="640" w:firstLineChars="200"/>
        <w:textAlignment w:val="auto"/>
        <w:rPr>
          <w:rFonts w:hint="eastAsia" w:ascii="方正仿宋_GBK" w:hAnsi="宋体" w:eastAsia="方正仿宋_GBK" w:cs="宋体"/>
          <w:color w:val="auto"/>
          <w:kern w:val="0"/>
          <w:sz w:val="32"/>
          <w:szCs w:val="32"/>
          <w:lang w:val="en-US" w:eastAsia="zh-CN" w:bidi="ar-SA"/>
        </w:rPr>
      </w:pPr>
      <w:r>
        <w:rPr>
          <w:rFonts w:hint="eastAsia" w:ascii="方正仿宋_GBK" w:hAnsi="宋体" w:eastAsia="方正仿宋_GBK" w:cs="宋体"/>
          <w:color w:val="auto"/>
          <w:kern w:val="0"/>
          <w:sz w:val="32"/>
          <w:szCs w:val="32"/>
          <w:lang w:val="en-US" w:eastAsia="zh-CN" w:bidi="ar-SA"/>
        </w:rPr>
        <w:t>别墅、</w:t>
      </w:r>
      <w:r>
        <w:rPr>
          <w:rFonts w:hint="eastAsia" w:ascii="方正仿宋_GBK" w:hAnsi="宋体" w:cs="宋体"/>
          <w:color w:val="auto"/>
          <w:kern w:val="0"/>
          <w:sz w:val="32"/>
          <w:szCs w:val="32"/>
          <w:lang w:val="en-US" w:eastAsia="zh-CN" w:bidi="ar-SA"/>
        </w:rPr>
        <w:t>城镇居民自建房、</w:t>
      </w:r>
      <w:r>
        <w:rPr>
          <w:rFonts w:hint="eastAsia" w:ascii="方正仿宋_GBK" w:hAnsi="宋体" w:eastAsia="方正仿宋_GBK" w:cs="宋体"/>
          <w:color w:val="auto"/>
          <w:kern w:val="0"/>
          <w:sz w:val="32"/>
          <w:szCs w:val="32"/>
          <w:lang w:val="en-US" w:eastAsia="zh-CN" w:bidi="ar-SA"/>
        </w:rPr>
        <w:t>建筑高度大于100米超高层住宅、同一建筑内单层层高超过3米的部分住宅、因采暖需增大供气管径及计量表具型号的燃气安装工程，收费标准由用户与燃气安装企业协商确定。</w:t>
      </w:r>
    </w:p>
    <w:p>
      <w:pPr>
        <w:pStyle w:val="2"/>
        <w:keepNext w:val="0"/>
        <w:keepLines w:val="0"/>
        <w:pageBreakBefore w:val="0"/>
        <w:widowControl w:val="0"/>
        <w:numPr>
          <w:ilvl w:val="0"/>
          <w:numId w:val="0"/>
        </w:numPr>
        <w:kinsoku/>
        <w:wordWrap/>
        <w:overflowPunct/>
        <w:topLinePunct w:val="0"/>
        <w:bidi w:val="0"/>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方案二：</w:t>
      </w:r>
    </w:p>
    <w:p>
      <w:pPr>
        <w:keepNext w:val="0"/>
        <w:keepLines w:val="0"/>
        <w:pageBreakBefore w:val="0"/>
        <w:widowControl w:val="0"/>
        <w:numPr>
          <w:ilvl w:val="0"/>
          <w:numId w:val="3"/>
        </w:numPr>
        <w:kinsoku/>
        <w:wordWrap/>
        <w:overflowPunct/>
        <w:topLinePunct w:val="0"/>
        <w:bidi w:val="0"/>
        <w:spacing w:line="594" w:lineRule="exact"/>
        <w:ind w:left="0" w:leftChars="0" w:firstLine="640" w:firstLineChars="0"/>
        <w:textAlignment w:val="auto"/>
        <w:rPr>
          <w:rFonts w:hint="default" w:ascii="方正黑体_GBK" w:eastAsia="方正黑体_GBK" w:cs="Arial"/>
          <w:color w:val="FF0000"/>
          <w:szCs w:val="32"/>
          <w:lang w:val="en-US" w:eastAsia="zh-CN"/>
        </w:rPr>
      </w:pPr>
      <w:r>
        <w:rPr>
          <w:rFonts w:hint="eastAsia" w:ascii="方正仿宋_GBK" w:hAnsi="方正仿宋_GBK" w:cs="方正仿宋_GBK"/>
          <w:sz w:val="32"/>
          <w:szCs w:val="32"/>
          <w:lang w:val="en-US" w:eastAsia="zh-CN"/>
        </w:rPr>
        <w:t>拟定</w:t>
      </w:r>
      <w:r>
        <w:rPr>
          <w:rFonts w:hint="eastAsia" w:ascii="方正仿宋_GBK" w:hAnsi="方正仿宋_GBK" w:eastAsia="方正仿宋_GBK" w:cs="方正仿宋_GBK"/>
          <w:sz w:val="32"/>
          <w:szCs w:val="32"/>
          <w:lang w:val="en-US" w:eastAsia="zh-CN"/>
        </w:rPr>
        <w:t>城</w:t>
      </w:r>
      <w:r>
        <w:rPr>
          <w:rFonts w:hint="eastAsia" w:ascii="方正仿宋_GBK" w:hAnsi="方正仿宋_GBK" w:cs="方正仿宋_GBK"/>
          <w:sz w:val="32"/>
          <w:szCs w:val="32"/>
          <w:lang w:val="en-US" w:eastAsia="zh-CN"/>
        </w:rPr>
        <w:t>区</w:t>
      </w:r>
      <w:r>
        <w:rPr>
          <w:rFonts w:hint="eastAsia" w:ascii="方正仿宋_GBK" w:hAnsi="方正仿宋_GBK" w:cs="方正仿宋_GBK"/>
          <w:color w:val="000000" w:themeColor="text1"/>
          <w:sz w:val="32"/>
          <w:szCs w:val="32"/>
          <w:lang w:val="en-US" w:eastAsia="zh-CN"/>
          <w14:textFill>
            <w14:solidFill>
              <w14:schemeClr w14:val="tx1"/>
            </w14:solidFill>
          </w14:textFill>
        </w:rPr>
        <w:t>（巴川、东城、南城、旧县、蒲吕规划建成区范围内）居民天然气</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安装</w:t>
      </w:r>
      <w:r>
        <w:rPr>
          <w:rFonts w:hint="eastAsia" w:ascii="方正仿宋_GBK" w:hAnsi="方正仿宋_GBK" w:cs="方正仿宋_GBK"/>
          <w:color w:val="000000" w:themeColor="text1"/>
          <w:sz w:val="32"/>
          <w:szCs w:val="32"/>
          <w:lang w:val="en-US" w:eastAsia="zh-CN"/>
          <w14:textFill>
            <w14:solidFill>
              <w14:schemeClr w14:val="tx1"/>
            </w14:solidFill>
          </w14:textFill>
        </w:rPr>
        <w:t>标准2750元/户；其余23个建制场镇规划建成区内</w:t>
      </w:r>
      <w:r>
        <w:rPr>
          <w:rFonts w:hint="eastAsia" w:ascii="方正仿宋_GBK" w:hAnsi="方正仿宋_GBK" w:cs="方正仿宋_GBK"/>
          <w:sz w:val="32"/>
          <w:szCs w:val="32"/>
          <w:lang w:val="en-US" w:eastAsia="zh-CN"/>
        </w:rPr>
        <w:t>（</w:t>
      </w:r>
      <w:r>
        <w:rPr>
          <w:rFonts w:hint="eastAsia" w:hAnsi="宋体" w:cs="方正仿宋_GBK"/>
          <w:bCs/>
          <w:lang w:eastAsia="zh-CN"/>
        </w:rPr>
        <w:t>含撤乡并镇时</w:t>
      </w:r>
      <w:r>
        <w:rPr>
          <w:rFonts w:hint="eastAsia" w:hAnsi="宋体" w:cs="方正仿宋_GBK"/>
          <w:bCs/>
          <w:lang w:val="en-US" w:eastAsia="zh-CN"/>
        </w:rPr>
        <w:t>撤（并）的原乡政府所在地、</w:t>
      </w:r>
      <w:r>
        <w:rPr>
          <w:rFonts w:hint="eastAsia" w:hAnsi="宋体" w:cs="方正仿宋_GBK"/>
          <w:bCs/>
          <w:lang w:eastAsia="zh-CN"/>
        </w:rPr>
        <w:t>经区政府批准建设的</w:t>
      </w:r>
      <w:r>
        <w:rPr>
          <w:rFonts w:hint="eastAsia" w:hAnsi="宋体" w:cs="方正仿宋_GBK"/>
          <w:bCs/>
          <w:lang w:val="en-US" w:eastAsia="zh-CN"/>
        </w:rPr>
        <w:t>农民</w:t>
      </w:r>
      <w:r>
        <w:rPr>
          <w:rFonts w:hint="eastAsia" w:hAnsi="宋体" w:cs="方正仿宋_GBK"/>
          <w:bCs/>
          <w:lang w:eastAsia="zh-CN"/>
        </w:rPr>
        <w:t>新村、集中搬迁安置点）</w:t>
      </w:r>
      <w:r>
        <w:rPr>
          <w:rFonts w:hint="eastAsia" w:ascii="方正仿宋_GBK" w:hAnsi="方正仿宋_GBK" w:cs="方正仿宋_GBK"/>
          <w:sz w:val="32"/>
          <w:szCs w:val="32"/>
          <w:lang w:val="en-US" w:eastAsia="zh-CN"/>
        </w:rPr>
        <w:t>居民天然气安装收费标准为3100元/户。</w:t>
      </w:r>
    </w:p>
    <w:p>
      <w:pPr>
        <w:keepNext w:val="0"/>
        <w:keepLines w:val="0"/>
        <w:pageBreakBefore w:val="0"/>
        <w:widowControl w:val="0"/>
        <w:numPr>
          <w:ilvl w:val="0"/>
          <w:numId w:val="3"/>
        </w:numPr>
        <w:kinsoku/>
        <w:wordWrap/>
        <w:overflowPunct/>
        <w:topLinePunct w:val="0"/>
        <w:autoSpaceDE/>
        <w:autoSpaceDN/>
        <w:bidi w:val="0"/>
        <w:adjustRightInd w:val="0"/>
        <w:snapToGrid w:val="0"/>
        <w:spacing w:line="594" w:lineRule="exact"/>
        <w:ind w:left="0" w:leftChars="0" w:firstLine="640" w:firstLineChars="0"/>
        <w:jc w:val="left"/>
        <w:textAlignment w:val="auto"/>
        <w:rPr>
          <w:rFonts w:ascii="宋体" w:hAnsi="宋体" w:cs="宋体"/>
          <w:color w:val="000000"/>
          <w:kern w:val="0"/>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建制镇街规划建成区</w:t>
      </w:r>
      <w:r>
        <w:rPr>
          <w:rFonts w:hint="eastAsia" w:cs="Times New Roman"/>
          <w:color w:val="000000" w:themeColor="text1"/>
          <w:sz w:val="32"/>
          <w:szCs w:val="32"/>
          <w:lang w:eastAsia="zh-CN"/>
          <w14:textFill>
            <w14:solidFill>
              <w14:schemeClr w14:val="tx1"/>
            </w14:solidFill>
          </w14:textFill>
        </w:rPr>
        <w:t>外</w:t>
      </w:r>
      <w:r>
        <w:rPr>
          <w:rFonts w:hint="default" w:ascii="Times New Roman" w:hAnsi="Times New Roman" w:eastAsia="方正仿宋_GBK" w:cs="Times New Roman"/>
          <w:sz w:val="32"/>
          <w:szCs w:val="32"/>
          <w:lang w:eastAsia="zh-CN"/>
        </w:rPr>
        <w:t>的</w:t>
      </w:r>
      <w:r>
        <w:rPr>
          <w:rFonts w:hint="eastAsia" w:ascii="宋体" w:hAnsi="宋体" w:cs="宋体"/>
          <w:color w:val="000000"/>
          <w:kern w:val="0"/>
        </w:rPr>
        <w:t>居民用户</w:t>
      </w:r>
      <w:r>
        <w:rPr>
          <w:rFonts w:ascii="宋体" w:hAnsi="宋体" w:cs="宋体"/>
          <w:color w:val="000000"/>
          <w:kern w:val="0"/>
        </w:rPr>
        <w:t>燃气工程</w:t>
      </w:r>
      <w:r>
        <w:rPr>
          <w:rFonts w:hint="eastAsia" w:ascii="宋体" w:hAnsi="宋体" w:cs="宋体"/>
          <w:color w:val="000000"/>
          <w:kern w:val="0"/>
        </w:rPr>
        <w:t>安装</w:t>
      </w:r>
      <w:r>
        <w:rPr>
          <w:rFonts w:hint="default" w:ascii="Times New Roman" w:hAnsi="Times New Roman" w:eastAsia="方正仿宋_GBK" w:cs="Times New Roman"/>
          <w:sz w:val="32"/>
          <w:szCs w:val="32"/>
          <w:lang w:eastAsia="zh-CN"/>
        </w:rPr>
        <w:t>，其收费标准</w:t>
      </w:r>
      <w:r>
        <w:rPr>
          <w:rFonts w:ascii="宋体" w:hAnsi="宋体" w:cs="宋体"/>
          <w:color w:val="000000"/>
          <w:kern w:val="0"/>
        </w:rPr>
        <w:t>由村（居）民委员会、用户和燃气工程安装企业参</w:t>
      </w:r>
      <w:r>
        <w:rPr>
          <w:rFonts w:hint="eastAsia" w:ascii="宋体" w:hAnsi="宋体" w:cs="宋体"/>
          <w:color w:val="000000"/>
          <w:kern w:val="0"/>
        </w:rPr>
        <w:t>照“一事一议”的方式</w:t>
      </w:r>
      <w:r>
        <w:rPr>
          <w:rFonts w:ascii="宋体" w:hAnsi="宋体" w:cs="宋体"/>
          <w:color w:val="000000"/>
          <w:kern w:val="0"/>
        </w:rPr>
        <w:t>协商确定</w:t>
      </w:r>
      <w:r>
        <w:rPr>
          <w:rFonts w:hint="eastAsia" w:ascii="宋体" w:hAnsi="宋体" w:cs="宋体"/>
          <w:color w:val="000000"/>
          <w:kern w:val="0"/>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0" w:leftChars="0" w:firstLine="640" w:firstLineChars="0"/>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宋体" w:eastAsia="方正仿宋_GBK" w:cs="宋体"/>
          <w:color w:val="auto"/>
          <w:kern w:val="0"/>
          <w:sz w:val="32"/>
          <w:szCs w:val="32"/>
          <w:lang w:val="en-US" w:eastAsia="zh-CN" w:bidi="ar-SA"/>
        </w:rPr>
        <w:t>别墅、</w:t>
      </w:r>
      <w:r>
        <w:rPr>
          <w:rFonts w:hint="eastAsia" w:ascii="方正仿宋_GBK" w:hAnsi="宋体" w:cs="宋体"/>
          <w:color w:val="auto"/>
          <w:kern w:val="0"/>
          <w:sz w:val="32"/>
          <w:szCs w:val="32"/>
          <w:lang w:val="en-US" w:eastAsia="zh-CN" w:bidi="ar-SA"/>
        </w:rPr>
        <w:t>城镇居民自建房、</w:t>
      </w:r>
      <w:r>
        <w:rPr>
          <w:rFonts w:hint="eastAsia" w:ascii="方正仿宋_GBK" w:hAnsi="宋体" w:eastAsia="方正仿宋_GBK" w:cs="宋体"/>
          <w:color w:val="auto"/>
          <w:kern w:val="0"/>
          <w:sz w:val="32"/>
          <w:szCs w:val="32"/>
          <w:lang w:val="en-US" w:eastAsia="zh-CN" w:bidi="ar-SA"/>
        </w:rPr>
        <w:t>建筑高度大于100米超高层住宅、同一建筑内单层层高超过3米的部分住宅、因采暖需增大供气管径及计量表具型号的燃气安装工程，收费标准由用户与燃气安装企业协商确定。</w:t>
      </w:r>
    </w:p>
    <w:p>
      <w:pPr>
        <w:keepNext w:val="0"/>
        <w:keepLines w:val="0"/>
        <w:pageBreakBefore w:val="0"/>
        <w:widowControl w:val="0"/>
        <w:numPr>
          <w:ilvl w:val="0"/>
          <w:numId w:val="0"/>
        </w:numPr>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bidi w:val="0"/>
        <w:spacing w:line="594" w:lineRule="exact"/>
        <w:jc w:val="center"/>
        <w:textAlignment w:val="auto"/>
        <w:rPr>
          <w:rFonts w:hint="eastAsia"/>
          <w:szCs w:val="22"/>
          <w:lang w:val="en-US" w:eastAsia="zh-CN"/>
        </w:rPr>
      </w:pPr>
      <w:r>
        <w:rPr>
          <w:rFonts w:hint="eastAsia"/>
          <w:lang w:val="en-US" w:eastAsia="zh-CN"/>
        </w:rPr>
        <w:t xml:space="preserve">  附件：1.</w:t>
      </w:r>
      <w:r>
        <w:rPr>
          <w:rFonts w:hint="eastAsia"/>
          <w:szCs w:val="22"/>
          <w:lang w:val="en-US" w:eastAsia="zh-CN"/>
        </w:rPr>
        <w:t>我区居民燃气安装服务收费标准调整前后比较表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1600" w:leftChars="400" w:hanging="320" w:hangingChars="100"/>
        <w:jc w:val="both"/>
        <w:textAlignment w:val="auto"/>
        <w:rPr>
          <w:rFonts w:hint="eastAsia"/>
          <w:szCs w:val="22"/>
          <w:lang w:val="en-US" w:eastAsia="zh-CN"/>
        </w:rPr>
      </w:pPr>
      <w:r>
        <w:rPr>
          <w:rFonts w:hint="eastAsia"/>
          <w:szCs w:val="22"/>
          <w:lang w:val="en-US" w:eastAsia="zh-CN"/>
        </w:rPr>
        <w:t>2.主城区及周边区县居民天然气安装收费标准比较表</w:t>
      </w:r>
    </w:p>
    <w:p>
      <w:pPr>
        <w:keepNext w:val="0"/>
        <w:keepLines w:val="0"/>
        <w:pageBreakBefore w:val="0"/>
        <w:widowControl w:val="0"/>
        <w:kinsoku/>
        <w:wordWrap/>
        <w:overflowPunct/>
        <w:topLinePunct w:val="0"/>
        <w:autoSpaceDE/>
        <w:autoSpaceDN/>
        <w:bidi w:val="0"/>
        <w:spacing w:line="594" w:lineRule="exact"/>
        <w:textAlignment w:val="auto"/>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adjustRightInd w:val="0"/>
        <w:snapToGrid w:val="0"/>
        <w:spacing w:line="560" w:lineRule="exact"/>
        <w:jc w:val="left"/>
        <w:rPr>
          <w:rFonts w:hint="eastAsia" w:ascii="方正黑体_GBK" w:eastAsia="方正黑体_GBK"/>
          <w:color w:val="000000"/>
        </w:rPr>
      </w:pPr>
    </w:p>
    <w:p>
      <w:pPr>
        <w:pStyle w:val="2"/>
        <w:rPr>
          <w:rFonts w:hint="eastAsia" w:ascii="方正黑体_GBK" w:eastAsia="方正黑体_GBK"/>
          <w:color w:val="000000"/>
        </w:rPr>
      </w:pPr>
    </w:p>
    <w:p>
      <w:pPr>
        <w:pStyle w:val="2"/>
        <w:rPr>
          <w:rFonts w:hint="eastAsia" w:ascii="方正黑体_GBK" w:eastAsia="方正黑体_GBK"/>
          <w:color w:val="000000"/>
        </w:rPr>
      </w:pPr>
    </w:p>
    <w:p>
      <w:pPr>
        <w:pStyle w:val="2"/>
        <w:rPr>
          <w:rFonts w:hint="eastAsia" w:ascii="方正黑体_GBK" w:eastAsia="方正黑体_GBK"/>
          <w:color w:val="000000"/>
        </w:rPr>
      </w:pPr>
    </w:p>
    <w:p>
      <w:pPr>
        <w:pStyle w:val="2"/>
        <w:rPr>
          <w:rFonts w:hint="eastAsia" w:ascii="方正黑体_GBK" w:eastAsia="方正黑体_GBK"/>
          <w:color w:val="000000"/>
        </w:rPr>
      </w:pPr>
    </w:p>
    <w:p>
      <w:pPr>
        <w:pStyle w:val="2"/>
        <w:rPr>
          <w:rFonts w:hint="eastAsia" w:ascii="方正黑体_GBK" w:eastAsia="方正黑体_GBK"/>
          <w:color w:val="000000"/>
        </w:rPr>
      </w:pPr>
    </w:p>
    <w:p>
      <w:pPr>
        <w:pStyle w:val="2"/>
        <w:rPr>
          <w:rFonts w:hint="eastAsia" w:ascii="方正黑体_GBK" w:eastAsia="方正黑体_GBK"/>
          <w:color w:val="000000"/>
        </w:rPr>
      </w:pPr>
    </w:p>
    <w:p>
      <w:pPr>
        <w:pStyle w:val="2"/>
        <w:rPr>
          <w:rFonts w:hint="eastAsia" w:ascii="方正黑体_GBK" w:eastAsia="方正黑体_GBK"/>
          <w:color w:val="000000"/>
        </w:rPr>
      </w:pPr>
    </w:p>
    <w:p>
      <w:pPr>
        <w:spacing w:line="540" w:lineRule="exact"/>
        <w:rPr>
          <w:rFonts w:hint="default" w:hAnsi="宋体" w:cs="方正仿宋_GBK"/>
          <w:bCs/>
          <w:sz w:val="28"/>
          <w:szCs w:val="28"/>
          <w:lang w:val="en-US" w:eastAsia="zh-CN"/>
        </w:rPr>
      </w:pPr>
      <w:r>
        <w:rPr>
          <w:rFonts w:hint="eastAsia" w:ascii="方正黑体_GBK" w:hAnsi="方正黑体_GBK" w:eastAsia="方正黑体_GBK" w:cs="方正黑体_GBK"/>
          <w:bCs/>
          <w:sz w:val="32"/>
          <w:szCs w:val="32"/>
          <w:lang w:val="en-US" w:eastAsia="zh-CN"/>
        </w:rPr>
        <w:t>附件1：</w:t>
      </w:r>
    </w:p>
    <w:p>
      <w:pPr>
        <w:spacing w:line="540" w:lineRule="exact"/>
        <w:rPr>
          <w:rFonts w:hint="eastAsia" w:hAnsi="宋体" w:eastAsia="方正仿宋_GBK" w:cs="方正仿宋_GBK"/>
          <w:bCs/>
          <w:sz w:val="28"/>
          <w:szCs w:val="28"/>
          <w:lang w:eastAsia="zh-CN"/>
        </w:rPr>
      </w:pPr>
      <w:r>
        <w:rPr>
          <w:rFonts w:hint="eastAsia" w:hAnsi="宋体" w:cs="方正仿宋_GBK"/>
          <w:bCs/>
          <w:sz w:val="28"/>
          <w:szCs w:val="28"/>
          <w:lang w:eastAsia="zh-CN"/>
        </w:rPr>
        <w:t>方案一</w:t>
      </w:r>
    </w:p>
    <w:tbl>
      <w:tblPr>
        <w:tblStyle w:val="7"/>
        <w:tblW w:w="10404"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350"/>
        <w:gridCol w:w="960"/>
        <w:gridCol w:w="960"/>
        <w:gridCol w:w="1380"/>
        <w:gridCol w:w="106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3125" w:type="dxa"/>
            <w:vMerge w:val="restart"/>
            <w:noWrap w:val="0"/>
            <w:vAlign w:val="center"/>
          </w:tcPr>
          <w:p>
            <w:pPr>
              <w:numPr>
                <w:ilvl w:val="0"/>
                <w:numId w:val="0"/>
              </w:numPr>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分类</w:t>
            </w:r>
          </w:p>
        </w:tc>
        <w:tc>
          <w:tcPr>
            <w:tcW w:w="1350" w:type="dxa"/>
            <w:vMerge w:val="restart"/>
            <w:noWrap w:val="0"/>
            <w:vAlign w:val="center"/>
          </w:tcPr>
          <w:p>
            <w:pPr>
              <w:numPr>
                <w:ilvl w:val="0"/>
                <w:numId w:val="0"/>
              </w:numPr>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原价格</w:t>
            </w:r>
          </w:p>
          <w:p>
            <w:pPr>
              <w:numPr>
                <w:ilvl w:val="0"/>
                <w:numId w:val="0"/>
              </w:numPr>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标准</w:t>
            </w:r>
          </w:p>
        </w:tc>
        <w:tc>
          <w:tcPr>
            <w:tcW w:w="1920" w:type="dxa"/>
            <w:gridSpan w:val="2"/>
            <w:noWrap w:val="0"/>
            <w:vAlign w:val="center"/>
          </w:tcPr>
          <w:p>
            <w:pPr>
              <w:numPr>
                <w:ilvl w:val="0"/>
                <w:numId w:val="0"/>
              </w:numPr>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成本监测结论</w:t>
            </w:r>
          </w:p>
        </w:tc>
        <w:tc>
          <w:tcPr>
            <w:tcW w:w="1380" w:type="dxa"/>
            <w:vMerge w:val="restart"/>
            <w:noWrap w:val="0"/>
            <w:vAlign w:val="center"/>
          </w:tcPr>
          <w:p>
            <w:pPr>
              <w:numPr>
                <w:ilvl w:val="0"/>
                <w:numId w:val="0"/>
              </w:numPr>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拟调整标准</w:t>
            </w:r>
          </w:p>
        </w:tc>
        <w:tc>
          <w:tcPr>
            <w:tcW w:w="1069" w:type="dxa"/>
            <w:vMerge w:val="restart"/>
            <w:noWrap w:val="0"/>
            <w:vAlign w:val="center"/>
          </w:tcPr>
          <w:p>
            <w:pPr>
              <w:numPr>
                <w:ilvl w:val="0"/>
                <w:numId w:val="0"/>
              </w:numPr>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降低金额</w:t>
            </w:r>
          </w:p>
        </w:tc>
        <w:tc>
          <w:tcPr>
            <w:tcW w:w="1560" w:type="dxa"/>
            <w:vMerge w:val="restart"/>
            <w:noWrap w:val="0"/>
            <w:vAlign w:val="center"/>
          </w:tcPr>
          <w:p>
            <w:pPr>
              <w:numPr>
                <w:ilvl w:val="0"/>
                <w:numId w:val="0"/>
              </w:numPr>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降低幅度</w:t>
            </w:r>
          </w:p>
          <w:p>
            <w:pPr>
              <w:numPr>
                <w:ilvl w:val="0"/>
                <w:numId w:val="0"/>
              </w:numPr>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3125" w:type="dxa"/>
            <w:vMerge w:val="continue"/>
            <w:noWrap w:val="0"/>
            <w:vAlign w:val="center"/>
          </w:tcPr>
          <w:p>
            <w:pPr>
              <w:numPr>
                <w:ilvl w:val="0"/>
                <w:numId w:val="0"/>
              </w:numPr>
              <w:jc w:val="center"/>
              <w:rPr>
                <w:rFonts w:hint="default" w:eastAsia="宋体"/>
                <w:sz w:val="21"/>
                <w:szCs w:val="21"/>
                <w:vertAlign w:val="baseline"/>
                <w:lang w:val="en-US" w:eastAsia="zh-CN"/>
              </w:rPr>
            </w:pPr>
          </w:p>
        </w:tc>
        <w:tc>
          <w:tcPr>
            <w:tcW w:w="1350" w:type="dxa"/>
            <w:vMerge w:val="continue"/>
            <w:noWrap w:val="0"/>
            <w:vAlign w:val="center"/>
          </w:tcPr>
          <w:p>
            <w:pPr>
              <w:numPr>
                <w:ilvl w:val="0"/>
                <w:numId w:val="0"/>
              </w:numPr>
              <w:jc w:val="center"/>
              <w:rPr>
                <w:rFonts w:hint="default" w:eastAsia="宋体"/>
                <w:sz w:val="21"/>
                <w:szCs w:val="21"/>
                <w:vertAlign w:val="baseline"/>
                <w:lang w:val="en-US" w:eastAsia="zh-CN"/>
              </w:rPr>
            </w:pPr>
          </w:p>
        </w:tc>
        <w:tc>
          <w:tcPr>
            <w:tcW w:w="960" w:type="dxa"/>
            <w:noWrap w:val="0"/>
            <w:vAlign w:val="center"/>
          </w:tcPr>
          <w:p>
            <w:pPr>
              <w:numPr>
                <w:ilvl w:val="0"/>
                <w:numId w:val="0"/>
              </w:numPr>
              <w:jc w:val="center"/>
              <w:rPr>
                <w:rFonts w:hint="eastAsia" w:eastAsia="宋体"/>
                <w:sz w:val="21"/>
                <w:szCs w:val="21"/>
                <w:vertAlign w:val="baseline"/>
                <w:lang w:val="en-US" w:eastAsia="zh-CN"/>
              </w:rPr>
            </w:pPr>
            <w:r>
              <w:rPr>
                <w:rFonts w:hint="eastAsia" w:eastAsia="宋体"/>
                <w:sz w:val="21"/>
                <w:szCs w:val="21"/>
                <w:vertAlign w:val="baseline"/>
                <w:lang w:val="en-US" w:eastAsia="zh-CN"/>
              </w:rPr>
              <w:t>成本</w:t>
            </w:r>
          </w:p>
        </w:tc>
        <w:tc>
          <w:tcPr>
            <w:tcW w:w="960" w:type="dxa"/>
            <w:noWrap w:val="0"/>
            <w:vAlign w:val="center"/>
          </w:tcPr>
          <w:p>
            <w:pPr>
              <w:numPr>
                <w:ilvl w:val="0"/>
                <w:numId w:val="0"/>
              </w:numPr>
              <w:jc w:val="center"/>
              <w:rPr>
                <w:rFonts w:hint="eastAsia" w:eastAsia="宋体"/>
                <w:sz w:val="21"/>
                <w:szCs w:val="21"/>
                <w:vertAlign w:val="baseline"/>
                <w:lang w:val="en-US" w:eastAsia="zh-CN"/>
              </w:rPr>
            </w:pPr>
            <w:r>
              <w:rPr>
                <w:rFonts w:hint="eastAsia" w:eastAsia="宋体"/>
                <w:sz w:val="21"/>
                <w:szCs w:val="21"/>
                <w:vertAlign w:val="baseline"/>
                <w:lang w:val="en-US" w:eastAsia="zh-CN"/>
              </w:rPr>
              <w:t>含10%</w:t>
            </w:r>
          </w:p>
          <w:p>
            <w:pPr>
              <w:numPr>
                <w:ilvl w:val="0"/>
                <w:numId w:val="0"/>
              </w:numPr>
              <w:jc w:val="center"/>
              <w:rPr>
                <w:rFonts w:hint="default" w:eastAsia="宋体"/>
                <w:sz w:val="21"/>
                <w:szCs w:val="21"/>
                <w:vertAlign w:val="baseline"/>
                <w:lang w:val="en-US" w:eastAsia="zh-CN"/>
              </w:rPr>
            </w:pPr>
            <w:r>
              <w:rPr>
                <w:rFonts w:hint="eastAsia" w:eastAsia="宋体"/>
                <w:sz w:val="21"/>
                <w:szCs w:val="21"/>
                <w:vertAlign w:val="baseline"/>
                <w:lang w:val="en-US" w:eastAsia="zh-CN"/>
              </w:rPr>
              <w:t>利润</w:t>
            </w:r>
          </w:p>
        </w:tc>
        <w:tc>
          <w:tcPr>
            <w:tcW w:w="1380" w:type="dxa"/>
            <w:vMerge w:val="continue"/>
            <w:noWrap w:val="0"/>
            <w:vAlign w:val="center"/>
          </w:tcPr>
          <w:p>
            <w:pPr>
              <w:numPr>
                <w:ilvl w:val="0"/>
                <w:numId w:val="0"/>
              </w:numPr>
              <w:jc w:val="center"/>
              <w:rPr>
                <w:rFonts w:hint="default" w:eastAsia="宋体"/>
                <w:sz w:val="21"/>
                <w:szCs w:val="21"/>
                <w:vertAlign w:val="baseline"/>
                <w:lang w:val="en-US" w:eastAsia="zh-CN"/>
              </w:rPr>
            </w:pPr>
          </w:p>
        </w:tc>
        <w:tc>
          <w:tcPr>
            <w:tcW w:w="1069" w:type="dxa"/>
            <w:vMerge w:val="continue"/>
            <w:noWrap w:val="0"/>
            <w:vAlign w:val="center"/>
          </w:tcPr>
          <w:p>
            <w:pPr>
              <w:numPr>
                <w:ilvl w:val="0"/>
                <w:numId w:val="0"/>
              </w:numPr>
              <w:jc w:val="center"/>
              <w:rPr>
                <w:rFonts w:hint="default" w:eastAsia="宋体"/>
                <w:sz w:val="21"/>
                <w:szCs w:val="21"/>
                <w:vertAlign w:val="baseline"/>
                <w:lang w:val="en-US" w:eastAsia="zh-CN"/>
              </w:rPr>
            </w:pPr>
          </w:p>
        </w:tc>
        <w:tc>
          <w:tcPr>
            <w:tcW w:w="1560" w:type="dxa"/>
            <w:vMerge w:val="continue"/>
            <w:noWrap w:val="0"/>
            <w:vAlign w:val="center"/>
          </w:tcPr>
          <w:p>
            <w:pPr>
              <w:numPr>
                <w:ilvl w:val="0"/>
                <w:numId w:val="0"/>
              </w:numPr>
              <w:jc w:val="center"/>
              <w:rPr>
                <w:rFonts w:hint="default" w:eastAsia="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1" w:hRule="atLeast"/>
        </w:trPr>
        <w:tc>
          <w:tcPr>
            <w:tcW w:w="3125" w:type="dxa"/>
            <w:noWrap w:val="0"/>
            <w:vAlign w:val="center"/>
          </w:tcPr>
          <w:p>
            <w:pPr>
              <w:spacing w:line="300" w:lineRule="exact"/>
              <w:jc w:val="center"/>
              <w:rPr>
                <w:rFonts w:hint="eastAsia" w:ascii="方正仿宋_GBK"/>
                <w:color w:val="auto"/>
                <w:sz w:val="24"/>
                <w:lang w:val="en-US" w:eastAsia="zh-CN"/>
              </w:rPr>
            </w:pPr>
            <w:r>
              <w:rPr>
                <w:rFonts w:hint="eastAsia" w:ascii="方正仿宋_GBK"/>
                <w:color w:val="auto"/>
                <w:sz w:val="24"/>
                <w:lang w:val="en-US" w:eastAsia="zh-CN"/>
              </w:rPr>
              <w:t>巴川、东城、南城、旧县、蒲吕和23个建制场镇规划区范围内（含各镇街城镇规划区以外撤并的原乡政府所在地、经区政府批准建设的农民新村、集中搬迁安置点）</w:t>
            </w:r>
          </w:p>
        </w:tc>
        <w:tc>
          <w:tcPr>
            <w:tcW w:w="1350" w:type="dxa"/>
            <w:noWrap w:val="0"/>
            <w:vAlign w:val="center"/>
          </w:tcPr>
          <w:p>
            <w:pPr>
              <w:spacing w:line="300" w:lineRule="exact"/>
              <w:jc w:val="center"/>
              <w:rPr>
                <w:rFonts w:hint="eastAsia" w:ascii="方正仿宋_GBK"/>
                <w:color w:val="auto"/>
                <w:sz w:val="24"/>
                <w:lang w:val="en-US" w:eastAsia="zh-CN"/>
              </w:rPr>
            </w:pPr>
            <w:r>
              <w:rPr>
                <w:rFonts w:hint="eastAsia" w:ascii="方正仿宋_GBK"/>
                <w:color w:val="auto"/>
                <w:sz w:val="24"/>
                <w:lang w:val="en-US" w:eastAsia="zh-CN"/>
              </w:rPr>
              <w:t>3500</w:t>
            </w:r>
          </w:p>
          <w:p>
            <w:pPr>
              <w:spacing w:line="300" w:lineRule="exact"/>
              <w:jc w:val="center"/>
              <w:rPr>
                <w:rFonts w:hint="default" w:ascii="方正仿宋_GBK"/>
                <w:color w:val="auto"/>
                <w:sz w:val="24"/>
                <w:lang w:val="en-US" w:eastAsia="zh-CN"/>
              </w:rPr>
            </w:pPr>
          </w:p>
        </w:tc>
        <w:tc>
          <w:tcPr>
            <w:tcW w:w="960"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2632</w:t>
            </w:r>
          </w:p>
        </w:tc>
        <w:tc>
          <w:tcPr>
            <w:tcW w:w="960"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2896</w:t>
            </w:r>
          </w:p>
        </w:tc>
        <w:tc>
          <w:tcPr>
            <w:tcW w:w="1380"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2900</w:t>
            </w:r>
          </w:p>
        </w:tc>
        <w:tc>
          <w:tcPr>
            <w:tcW w:w="1069"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600</w:t>
            </w:r>
          </w:p>
        </w:tc>
        <w:tc>
          <w:tcPr>
            <w:tcW w:w="1560" w:type="dxa"/>
            <w:noWrap w:val="0"/>
            <w:vAlign w:val="center"/>
          </w:tcPr>
          <w:p>
            <w:pPr>
              <w:spacing w:line="300" w:lineRule="exact"/>
              <w:jc w:val="center"/>
              <w:rPr>
                <w:rFonts w:hint="default" w:ascii="方正仿宋_GBK"/>
                <w:color w:val="auto"/>
                <w:sz w:val="24"/>
                <w:lang w:val="en-US" w:eastAsia="zh-CN"/>
              </w:rPr>
            </w:pPr>
            <w:r>
              <w:rPr>
                <w:rFonts w:hint="default" w:ascii="方正仿宋_GBK"/>
                <w:color w:val="auto"/>
                <w:sz w:val="24"/>
                <w:lang w:val="en-US" w:eastAsia="zh-CN"/>
              </w:rPr>
              <w:t>↓</w:t>
            </w:r>
            <w:r>
              <w:rPr>
                <w:rFonts w:hint="eastAsia" w:ascii="方正仿宋_GBK"/>
                <w:color w:val="auto"/>
                <w:sz w:val="24"/>
                <w:lang w:val="en-US" w:eastAsia="zh-CN"/>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3125" w:type="dxa"/>
            <w:noWrap w:val="0"/>
            <w:vAlign w:val="center"/>
          </w:tcPr>
          <w:p>
            <w:pPr>
              <w:spacing w:line="300" w:lineRule="exact"/>
              <w:jc w:val="center"/>
              <w:rPr>
                <w:rFonts w:hint="eastAsia" w:ascii="方正仿宋_GBK"/>
                <w:color w:val="auto"/>
                <w:sz w:val="24"/>
                <w:lang w:val="en-US" w:eastAsia="zh-CN"/>
              </w:rPr>
            </w:pPr>
            <w:r>
              <w:rPr>
                <w:rFonts w:hint="default" w:ascii="方正仿宋_GBK"/>
                <w:color w:val="auto"/>
                <w:sz w:val="24"/>
                <w:lang w:val="en-US" w:eastAsia="zh-CN"/>
              </w:rPr>
              <w:t>超出建制镇街场镇规划建成区的</w:t>
            </w:r>
            <w:r>
              <w:rPr>
                <w:rFonts w:hint="eastAsia" w:ascii="方正仿宋_GBK"/>
                <w:color w:val="auto"/>
                <w:sz w:val="24"/>
                <w:lang w:val="en-US" w:eastAsia="zh-CN"/>
              </w:rPr>
              <w:t>居民用户燃气工程安装</w:t>
            </w:r>
          </w:p>
        </w:tc>
        <w:tc>
          <w:tcPr>
            <w:tcW w:w="1350"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一事一议</w:t>
            </w:r>
          </w:p>
        </w:tc>
        <w:tc>
          <w:tcPr>
            <w:tcW w:w="960" w:type="dxa"/>
            <w:noWrap w:val="0"/>
            <w:vAlign w:val="center"/>
          </w:tcPr>
          <w:p>
            <w:pPr>
              <w:spacing w:line="300" w:lineRule="exact"/>
              <w:jc w:val="center"/>
              <w:rPr>
                <w:rFonts w:hint="eastAsia" w:ascii="方正仿宋_GBK"/>
                <w:color w:val="auto"/>
                <w:sz w:val="24"/>
                <w:lang w:val="en-US" w:eastAsia="zh-CN"/>
              </w:rPr>
            </w:pPr>
          </w:p>
        </w:tc>
        <w:tc>
          <w:tcPr>
            <w:tcW w:w="960" w:type="dxa"/>
            <w:noWrap w:val="0"/>
            <w:vAlign w:val="center"/>
          </w:tcPr>
          <w:p>
            <w:pPr>
              <w:spacing w:line="300" w:lineRule="exact"/>
              <w:jc w:val="center"/>
              <w:rPr>
                <w:rFonts w:hint="eastAsia" w:ascii="方正仿宋_GBK"/>
                <w:color w:val="auto"/>
                <w:sz w:val="24"/>
                <w:lang w:val="en-US" w:eastAsia="zh-CN"/>
              </w:rPr>
            </w:pPr>
          </w:p>
        </w:tc>
        <w:tc>
          <w:tcPr>
            <w:tcW w:w="1380"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一事一议</w:t>
            </w:r>
          </w:p>
        </w:tc>
        <w:tc>
          <w:tcPr>
            <w:tcW w:w="1069" w:type="dxa"/>
            <w:noWrap w:val="0"/>
            <w:vAlign w:val="center"/>
          </w:tcPr>
          <w:p>
            <w:pPr>
              <w:spacing w:line="300" w:lineRule="exact"/>
              <w:jc w:val="center"/>
              <w:rPr>
                <w:rFonts w:hint="default" w:ascii="方正仿宋_GBK"/>
                <w:color w:val="auto"/>
                <w:sz w:val="24"/>
                <w:lang w:val="en-US" w:eastAsia="zh-CN"/>
              </w:rPr>
            </w:pPr>
          </w:p>
        </w:tc>
        <w:tc>
          <w:tcPr>
            <w:tcW w:w="1560" w:type="dxa"/>
            <w:noWrap w:val="0"/>
            <w:vAlign w:val="center"/>
          </w:tcPr>
          <w:p>
            <w:pPr>
              <w:spacing w:line="300" w:lineRule="exact"/>
              <w:jc w:val="center"/>
              <w:rPr>
                <w:rFonts w:hint="default" w:ascii="方正仿宋_GBK"/>
                <w:color w:val="auto"/>
                <w:sz w:val="24"/>
                <w:lang w:val="en-US" w:eastAsia="zh-CN"/>
              </w:rPr>
            </w:pPr>
          </w:p>
        </w:tc>
      </w:tr>
    </w:tbl>
    <w:p>
      <w:pPr>
        <w:pStyle w:val="2"/>
        <w:rPr>
          <w:rFonts w:hint="eastAsia"/>
          <w:lang w:val="en-US" w:eastAsia="zh-CN"/>
        </w:rPr>
      </w:pPr>
    </w:p>
    <w:p>
      <w:pPr>
        <w:numPr>
          <w:ilvl w:val="0"/>
          <w:numId w:val="0"/>
        </w:numPr>
        <w:rPr>
          <w:rFonts w:hint="eastAsia" w:ascii="方正仿宋_GBK" w:hAnsi="方正仿宋_GBK" w:eastAsia="方正仿宋_GBK" w:cs="方正仿宋_GBK"/>
          <w:sz w:val="28"/>
          <w:szCs w:val="28"/>
          <w:lang w:val="en-US" w:eastAsia="zh-CN"/>
        </w:rPr>
      </w:pPr>
    </w:p>
    <w:p>
      <w:pPr>
        <w:numPr>
          <w:ilvl w:val="0"/>
          <w:numId w:val="0"/>
        </w:num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方案二：</w:t>
      </w:r>
    </w:p>
    <w:tbl>
      <w:tblPr>
        <w:tblStyle w:val="7"/>
        <w:tblW w:w="10344"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4"/>
        <w:gridCol w:w="1105"/>
        <w:gridCol w:w="874"/>
        <w:gridCol w:w="1296"/>
        <w:gridCol w:w="1231"/>
        <w:gridCol w:w="1305"/>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2964" w:type="dxa"/>
            <w:vMerge w:val="restart"/>
            <w:noWrap w:val="0"/>
            <w:vAlign w:val="center"/>
          </w:tcPr>
          <w:p>
            <w:pPr>
              <w:numPr>
                <w:ilvl w:val="0"/>
                <w:numId w:val="0"/>
              </w:numPr>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分类</w:t>
            </w:r>
          </w:p>
        </w:tc>
        <w:tc>
          <w:tcPr>
            <w:tcW w:w="1105" w:type="dxa"/>
            <w:vMerge w:val="restart"/>
            <w:noWrap w:val="0"/>
            <w:vAlign w:val="center"/>
          </w:tcPr>
          <w:p>
            <w:pPr>
              <w:numPr>
                <w:ilvl w:val="0"/>
                <w:numId w:val="0"/>
              </w:numPr>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原价格</w:t>
            </w:r>
          </w:p>
          <w:p>
            <w:pPr>
              <w:numPr>
                <w:ilvl w:val="0"/>
                <w:numId w:val="0"/>
              </w:numPr>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标准</w:t>
            </w:r>
          </w:p>
        </w:tc>
        <w:tc>
          <w:tcPr>
            <w:tcW w:w="2170" w:type="dxa"/>
            <w:gridSpan w:val="2"/>
            <w:noWrap w:val="0"/>
            <w:vAlign w:val="center"/>
          </w:tcPr>
          <w:p>
            <w:pPr>
              <w:numPr>
                <w:ilvl w:val="0"/>
                <w:numId w:val="0"/>
              </w:numPr>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成本监测结论</w:t>
            </w:r>
          </w:p>
        </w:tc>
        <w:tc>
          <w:tcPr>
            <w:tcW w:w="1231" w:type="dxa"/>
            <w:vMerge w:val="restart"/>
            <w:noWrap w:val="0"/>
            <w:vAlign w:val="center"/>
          </w:tcPr>
          <w:p>
            <w:pPr>
              <w:numPr>
                <w:ilvl w:val="0"/>
                <w:numId w:val="0"/>
              </w:numPr>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拟调整标准</w:t>
            </w:r>
          </w:p>
        </w:tc>
        <w:tc>
          <w:tcPr>
            <w:tcW w:w="1305" w:type="dxa"/>
            <w:vMerge w:val="restart"/>
            <w:noWrap w:val="0"/>
            <w:vAlign w:val="center"/>
          </w:tcPr>
          <w:p>
            <w:pPr>
              <w:numPr>
                <w:ilvl w:val="0"/>
                <w:numId w:val="0"/>
              </w:numPr>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降低金额</w:t>
            </w:r>
          </w:p>
        </w:tc>
        <w:tc>
          <w:tcPr>
            <w:tcW w:w="1569" w:type="dxa"/>
            <w:vMerge w:val="restart"/>
            <w:noWrap w:val="0"/>
            <w:vAlign w:val="center"/>
          </w:tcPr>
          <w:p>
            <w:pPr>
              <w:numPr>
                <w:ilvl w:val="0"/>
                <w:numId w:val="0"/>
              </w:numPr>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降低幅度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2964" w:type="dxa"/>
            <w:vMerge w:val="continue"/>
            <w:noWrap w:val="0"/>
            <w:vAlign w:val="center"/>
          </w:tcPr>
          <w:p>
            <w:pPr>
              <w:numPr>
                <w:ilvl w:val="0"/>
                <w:numId w:val="0"/>
              </w:numPr>
              <w:jc w:val="center"/>
              <w:rPr>
                <w:rFonts w:hint="default" w:eastAsia="宋体"/>
                <w:sz w:val="21"/>
                <w:szCs w:val="21"/>
                <w:vertAlign w:val="baseline"/>
                <w:lang w:val="en-US" w:eastAsia="zh-CN"/>
              </w:rPr>
            </w:pPr>
          </w:p>
        </w:tc>
        <w:tc>
          <w:tcPr>
            <w:tcW w:w="1105" w:type="dxa"/>
            <w:vMerge w:val="continue"/>
            <w:noWrap w:val="0"/>
            <w:vAlign w:val="center"/>
          </w:tcPr>
          <w:p>
            <w:pPr>
              <w:numPr>
                <w:ilvl w:val="0"/>
                <w:numId w:val="0"/>
              </w:numPr>
              <w:jc w:val="center"/>
              <w:rPr>
                <w:rFonts w:hint="default" w:eastAsia="宋体"/>
                <w:sz w:val="21"/>
                <w:szCs w:val="21"/>
                <w:vertAlign w:val="baseline"/>
                <w:lang w:val="en-US" w:eastAsia="zh-CN"/>
              </w:rPr>
            </w:pPr>
          </w:p>
        </w:tc>
        <w:tc>
          <w:tcPr>
            <w:tcW w:w="874" w:type="dxa"/>
            <w:noWrap w:val="0"/>
            <w:vAlign w:val="center"/>
          </w:tcPr>
          <w:p>
            <w:pPr>
              <w:numPr>
                <w:ilvl w:val="0"/>
                <w:numId w:val="0"/>
              </w:numPr>
              <w:jc w:val="center"/>
              <w:rPr>
                <w:rFonts w:hint="eastAsia" w:eastAsia="宋体"/>
                <w:sz w:val="21"/>
                <w:szCs w:val="21"/>
                <w:vertAlign w:val="baseline"/>
                <w:lang w:val="en-US" w:eastAsia="zh-CN"/>
              </w:rPr>
            </w:pPr>
            <w:r>
              <w:rPr>
                <w:rFonts w:hint="eastAsia" w:eastAsia="宋体"/>
                <w:sz w:val="21"/>
                <w:szCs w:val="21"/>
                <w:vertAlign w:val="baseline"/>
                <w:lang w:val="en-US" w:eastAsia="zh-CN"/>
              </w:rPr>
              <w:t>成本</w:t>
            </w:r>
          </w:p>
        </w:tc>
        <w:tc>
          <w:tcPr>
            <w:tcW w:w="1296" w:type="dxa"/>
            <w:noWrap w:val="0"/>
            <w:vAlign w:val="center"/>
          </w:tcPr>
          <w:p>
            <w:pPr>
              <w:numPr>
                <w:ilvl w:val="0"/>
                <w:numId w:val="0"/>
              </w:numPr>
              <w:jc w:val="center"/>
              <w:rPr>
                <w:rFonts w:hint="default" w:eastAsia="宋体"/>
                <w:sz w:val="21"/>
                <w:szCs w:val="21"/>
                <w:vertAlign w:val="baseline"/>
                <w:lang w:val="en-US" w:eastAsia="zh-CN"/>
              </w:rPr>
            </w:pPr>
            <w:r>
              <w:rPr>
                <w:rFonts w:hint="eastAsia" w:eastAsia="宋体"/>
                <w:sz w:val="21"/>
                <w:szCs w:val="21"/>
                <w:vertAlign w:val="baseline"/>
                <w:lang w:val="en-US" w:eastAsia="zh-CN"/>
              </w:rPr>
              <w:t>含10%利润</w:t>
            </w:r>
          </w:p>
        </w:tc>
        <w:tc>
          <w:tcPr>
            <w:tcW w:w="1231" w:type="dxa"/>
            <w:vMerge w:val="continue"/>
            <w:noWrap w:val="0"/>
            <w:vAlign w:val="center"/>
          </w:tcPr>
          <w:p>
            <w:pPr>
              <w:numPr>
                <w:ilvl w:val="0"/>
                <w:numId w:val="0"/>
              </w:numPr>
              <w:jc w:val="center"/>
              <w:rPr>
                <w:rFonts w:hint="default" w:eastAsia="宋体"/>
                <w:sz w:val="21"/>
                <w:szCs w:val="21"/>
                <w:vertAlign w:val="baseline"/>
                <w:lang w:val="en-US" w:eastAsia="zh-CN"/>
              </w:rPr>
            </w:pPr>
          </w:p>
        </w:tc>
        <w:tc>
          <w:tcPr>
            <w:tcW w:w="1305" w:type="dxa"/>
            <w:vMerge w:val="continue"/>
            <w:noWrap w:val="0"/>
            <w:vAlign w:val="center"/>
          </w:tcPr>
          <w:p>
            <w:pPr>
              <w:numPr>
                <w:ilvl w:val="0"/>
                <w:numId w:val="0"/>
              </w:numPr>
              <w:jc w:val="center"/>
              <w:rPr>
                <w:rFonts w:hint="default" w:eastAsia="宋体"/>
                <w:sz w:val="21"/>
                <w:szCs w:val="21"/>
                <w:vertAlign w:val="baseline"/>
                <w:lang w:val="en-US" w:eastAsia="zh-CN"/>
              </w:rPr>
            </w:pPr>
          </w:p>
        </w:tc>
        <w:tc>
          <w:tcPr>
            <w:tcW w:w="1569" w:type="dxa"/>
            <w:vMerge w:val="continue"/>
            <w:noWrap w:val="0"/>
            <w:vAlign w:val="center"/>
          </w:tcPr>
          <w:p>
            <w:pPr>
              <w:numPr>
                <w:ilvl w:val="0"/>
                <w:numId w:val="0"/>
              </w:numPr>
              <w:jc w:val="center"/>
              <w:rPr>
                <w:rFonts w:hint="default" w:eastAsia="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2964" w:type="dxa"/>
            <w:noWrap w:val="0"/>
            <w:vAlign w:val="center"/>
          </w:tcPr>
          <w:p>
            <w:pPr>
              <w:spacing w:line="300" w:lineRule="exact"/>
              <w:jc w:val="center"/>
              <w:rPr>
                <w:rFonts w:hint="eastAsia" w:ascii="方正仿宋_GBK"/>
                <w:color w:val="auto"/>
                <w:sz w:val="24"/>
                <w:lang w:val="en-US" w:eastAsia="zh-CN"/>
              </w:rPr>
            </w:pPr>
            <w:r>
              <w:rPr>
                <w:rFonts w:hint="eastAsia" w:ascii="方正仿宋_GBK"/>
                <w:color w:val="auto"/>
                <w:sz w:val="24"/>
                <w:lang w:val="en-US" w:eastAsia="zh-CN"/>
              </w:rPr>
              <w:t>城区（巴川、东城、南城、旧县、蒲吕）</w:t>
            </w:r>
          </w:p>
        </w:tc>
        <w:tc>
          <w:tcPr>
            <w:tcW w:w="1105"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3500</w:t>
            </w:r>
          </w:p>
        </w:tc>
        <w:tc>
          <w:tcPr>
            <w:tcW w:w="874"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2509</w:t>
            </w:r>
          </w:p>
        </w:tc>
        <w:tc>
          <w:tcPr>
            <w:tcW w:w="1296"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2760</w:t>
            </w:r>
          </w:p>
        </w:tc>
        <w:tc>
          <w:tcPr>
            <w:tcW w:w="1231"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2750</w:t>
            </w:r>
          </w:p>
        </w:tc>
        <w:tc>
          <w:tcPr>
            <w:tcW w:w="1305"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750</w:t>
            </w:r>
          </w:p>
        </w:tc>
        <w:tc>
          <w:tcPr>
            <w:tcW w:w="1569" w:type="dxa"/>
            <w:noWrap w:val="0"/>
            <w:vAlign w:val="center"/>
          </w:tcPr>
          <w:p>
            <w:pPr>
              <w:spacing w:line="300" w:lineRule="exact"/>
              <w:jc w:val="center"/>
              <w:rPr>
                <w:rFonts w:hint="eastAsia" w:ascii="方正仿宋_GBK"/>
                <w:color w:val="auto"/>
                <w:sz w:val="24"/>
                <w:lang w:val="en-US" w:eastAsia="zh-CN"/>
              </w:rPr>
            </w:pPr>
            <w:r>
              <w:rPr>
                <w:rFonts w:hint="default" w:ascii="方正仿宋_GBK"/>
                <w:color w:val="auto"/>
                <w:sz w:val="24"/>
                <w:lang w:val="en-US" w:eastAsia="zh-CN"/>
              </w:rPr>
              <w:t>↓</w:t>
            </w:r>
            <w:r>
              <w:rPr>
                <w:rFonts w:hint="eastAsia" w:ascii="方正仿宋_GBK"/>
                <w:color w:val="auto"/>
                <w:sz w:val="24"/>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2964" w:type="dxa"/>
            <w:noWrap w:val="0"/>
            <w:vAlign w:val="center"/>
          </w:tcPr>
          <w:p>
            <w:pPr>
              <w:spacing w:line="300" w:lineRule="exact"/>
              <w:jc w:val="center"/>
              <w:rPr>
                <w:rFonts w:hint="eastAsia" w:ascii="方正仿宋_GBK"/>
                <w:color w:val="auto"/>
                <w:sz w:val="24"/>
                <w:lang w:val="en-US" w:eastAsia="zh-CN"/>
              </w:rPr>
            </w:pPr>
            <w:r>
              <w:rPr>
                <w:rFonts w:hint="eastAsia" w:ascii="方正仿宋_GBK"/>
                <w:color w:val="auto"/>
                <w:sz w:val="24"/>
                <w:lang w:val="en-US" w:eastAsia="zh-CN"/>
              </w:rPr>
              <w:t>23个建制场镇规划区范围内（含各镇街城镇规划区以外撤并的原乡政府所在地、经区政府批准建设的新村居民点、集中搬迁安置点）</w:t>
            </w:r>
          </w:p>
        </w:tc>
        <w:tc>
          <w:tcPr>
            <w:tcW w:w="1105"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3500</w:t>
            </w:r>
          </w:p>
        </w:tc>
        <w:tc>
          <w:tcPr>
            <w:tcW w:w="874"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4272</w:t>
            </w:r>
          </w:p>
        </w:tc>
        <w:tc>
          <w:tcPr>
            <w:tcW w:w="1296"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4700</w:t>
            </w:r>
          </w:p>
        </w:tc>
        <w:tc>
          <w:tcPr>
            <w:tcW w:w="1231"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3100</w:t>
            </w:r>
          </w:p>
        </w:tc>
        <w:tc>
          <w:tcPr>
            <w:tcW w:w="1305"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400</w:t>
            </w:r>
          </w:p>
        </w:tc>
        <w:tc>
          <w:tcPr>
            <w:tcW w:w="1569" w:type="dxa"/>
            <w:noWrap w:val="0"/>
            <w:vAlign w:val="center"/>
          </w:tcPr>
          <w:p>
            <w:pPr>
              <w:spacing w:line="300" w:lineRule="exact"/>
              <w:jc w:val="center"/>
              <w:rPr>
                <w:rFonts w:hint="default" w:ascii="方正仿宋_GBK"/>
                <w:color w:val="auto"/>
                <w:sz w:val="24"/>
                <w:lang w:val="en-US" w:eastAsia="zh-CN"/>
              </w:rPr>
            </w:pPr>
            <w:r>
              <w:rPr>
                <w:rFonts w:hint="default" w:ascii="方正仿宋_GBK"/>
                <w:color w:val="auto"/>
                <w:sz w:val="24"/>
                <w:lang w:val="en-US" w:eastAsia="zh-CN"/>
              </w:rPr>
              <w:t>↓</w:t>
            </w:r>
            <w:r>
              <w:rPr>
                <w:rFonts w:hint="eastAsia" w:ascii="方正仿宋_GBK"/>
                <w:color w:val="auto"/>
                <w:sz w:val="24"/>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2964" w:type="dxa"/>
            <w:noWrap w:val="0"/>
            <w:vAlign w:val="center"/>
          </w:tcPr>
          <w:p>
            <w:pPr>
              <w:spacing w:line="300" w:lineRule="exact"/>
              <w:jc w:val="center"/>
              <w:rPr>
                <w:rFonts w:hint="default" w:ascii="方正仿宋_GBK"/>
                <w:color w:val="auto"/>
                <w:sz w:val="24"/>
                <w:lang w:val="en-US" w:eastAsia="zh-CN"/>
              </w:rPr>
            </w:pPr>
            <w:r>
              <w:rPr>
                <w:rFonts w:hint="default" w:ascii="方正仿宋_GBK"/>
                <w:color w:val="auto"/>
                <w:sz w:val="24"/>
                <w:lang w:val="en-US" w:eastAsia="zh-CN"/>
              </w:rPr>
              <w:t>超出建制镇街场镇规划建成区的</w:t>
            </w:r>
            <w:r>
              <w:rPr>
                <w:rFonts w:hint="eastAsia" w:ascii="方正仿宋_GBK"/>
                <w:color w:val="auto"/>
                <w:sz w:val="24"/>
                <w:lang w:val="en-US" w:eastAsia="zh-CN"/>
              </w:rPr>
              <w:t>居民用户燃气工程安装</w:t>
            </w:r>
          </w:p>
        </w:tc>
        <w:tc>
          <w:tcPr>
            <w:tcW w:w="1105"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一事一议</w:t>
            </w:r>
          </w:p>
        </w:tc>
        <w:tc>
          <w:tcPr>
            <w:tcW w:w="874" w:type="dxa"/>
            <w:noWrap w:val="0"/>
            <w:vAlign w:val="center"/>
          </w:tcPr>
          <w:p>
            <w:pPr>
              <w:spacing w:line="300" w:lineRule="exact"/>
              <w:jc w:val="center"/>
              <w:rPr>
                <w:rFonts w:hint="eastAsia" w:ascii="方正仿宋_GBK"/>
                <w:color w:val="auto"/>
                <w:sz w:val="24"/>
                <w:lang w:val="en-US" w:eastAsia="zh-CN"/>
              </w:rPr>
            </w:pPr>
          </w:p>
        </w:tc>
        <w:tc>
          <w:tcPr>
            <w:tcW w:w="1296" w:type="dxa"/>
            <w:noWrap w:val="0"/>
            <w:vAlign w:val="center"/>
          </w:tcPr>
          <w:p>
            <w:pPr>
              <w:spacing w:line="300" w:lineRule="exact"/>
              <w:jc w:val="center"/>
              <w:rPr>
                <w:rFonts w:hint="eastAsia" w:ascii="方正仿宋_GBK"/>
                <w:color w:val="auto"/>
                <w:sz w:val="24"/>
                <w:lang w:val="en-US" w:eastAsia="zh-CN"/>
              </w:rPr>
            </w:pPr>
          </w:p>
        </w:tc>
        <w:tc>
          <w:tcPr>
            <w:tcW w:w="1231" w:type="dxa"/>
            <w:noWrap w:val="0"/>
            <w:vAlign w:val="center"/>
          </w:tcPr>
          <w:p>
            <w:pPr>
              <w:spacing w:line="300" w:lineRule="exact"/>
              <w:jc w:val="center"/>
              <w:rPr>
                <w:rFonts w:hint="default" w:ascii="方正仿宋_GBK"/>
                <w:color w:val="auto"/>
                <w:sz w:val="24"/>
                <w:lang w:val="en-US" w:eastAsia="zh-CN"/>
              </w:rPr>
            </w:pPr>
            <w:r>
              <w:rPr>
                <w:rFonts w:hint="eastAsia" w:ascii="方正仿宋_GBK"/>
                <w:color w:val="auto"/>
                <w:sz w:val="24"/>
                <w:lang w:val="en-US" w:eastAsia="zh-CN"/>
              </w:rPr>
              <w:t>一事一议</w:t>
            </w:r>
          </w:p>
        </w:tc>
        <w:tc>
          <w:tcPr>
            <w:tcW w:w="1305" w:type="dxa"/>
            <w:noWrap w:val="0"/>
            <w:vAlign w:val="center"/>
          </w:tcPr>
          <w:p>
            <w:pPr>
              <w:spacing w:line="300" w:lineRule="exact"/>
              <w:jc w:val="center"/>
              <w:rPr>
                <w:rFonts w:hint="default" w:ascii="方正仿宋_GBK"/>
                <w:color w:val="auto"/>
                <w:sz w:val="24"/>
                <w:lang w:val="en-US" w:eastAsia="zh-CN"/>
              </w:rPr>
            </w:pPr>
          </w:p>
        </w:tc>
        <w:tc>
          <w:tcPr>
            <w:tcW w:w="1569" w:type="dxa"/>
            <w:noWrap w:val="0"/>
            <w:vAlign w:val="center"/>
          </w:tcPr>
          <w:p>
            <w:pPr>
              <w:spacing w:line="300" w:lineRule="exact"/>
              <w:jc w:val="center"/>
              <w:rPr>
                <w:rFonts w:hint="default" w:ascii="方正仿宋_GBK"/>
                <w:color w:val="auto"/>
                <w:sz w:val="24"/>
                <w:lang w:val="en-US" w:eastAsia="zh-CN"/>
              </w:rPr>
            </w:pPr>
          </w:p>
        </w:tc>
      </w:tr>
    </w:tbl>
    <w:p>
      <w:pPr>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附件2：</w:t>
      </w:r>
    </w:p>
    <w:p>
      <w:pPr>
        <w:rPr>
          <w:rFonts w:hint="eastAsia" w:ascii="方正小标宋_GBK" w:eastAsia="方正小标宋_GBK" w:cs="宋体"/>
          <w:color w:val="000000"/>
          <w:kern w:val="0"/>
          <w:sz w:val="36"/>
          <w:szCs w:val="36"/>
        </w:rPr>
      </w:pPr>
      <w:r>
        <w:rPr>
          <w:rFonts w:hint="eastAsia" w:ascii="方正小标宋_GBK" w:eastAsia="方正小标宋_GBK" w:cs="宋体"/>
          <w:color w:val="000000"/>
          <w:kern w:val="0"/>
          <w:sz w:val="36"/>
          <w:szCs w:val="36"/>
        </w:rPr>
        <w:t>主城区及周边区县居民天然气安装</w:t>
      </w:r>
      <w:r>
        <w:rPr>
          <w:rFonts w:hint="eastAsia" w:ascii="方正小标宋_GBK" w:eastAsia="方正小标宋_GBK" w:cs="宋体"/>
          <w:color w:val="000000"/>
          <w:kern w:val="0"/>
          <w:sz w:val="36"/>
          <w:szCs w:val="36"/>
          <w:lang w:val="en-US" w:eastAsia="zh-CN"/>
        </w:rPr>
        <w:t>收费标准</w:t>
      </w:r>
      <w:r>
        <w:rPr>
          <w:rFonts w:hint="eastAsia" w:ascii="方正小标宋_GBK" w:eastAsia="方正小标宋_GBK" w:cs="宋体"/>
          <w:color w:val="000000"/>
          <w:kern w:val="0"/>
          <w:sz w:val="36"/>
          <w:szCs w:val="36"/>
        </w:rPr>
        <w:t>比较表</w:t>
      </w:r>
    </w:p>
    <w:tbl>
      <w:tblPr>
        <w:tblStyle w:val="6"/>
        <w:tblpPr w:leftFromText="180" w:rightFromText="180" w:vertAnchor="text" w:horzAnchor="page" w:tblpX="994" w:tblpY="166"/>
        <w:tblW w:w="10362" w:type="dxa"/>
        <w:tblInd w:w="0" w:type="dxa"/>
        <w:tblLayout w:type="fixed"/>
        <w:tblCellMar>
          <w:top w:w="0" w:type="dxa"/>
          <w:left w:w="108" w:type="dxa"/>
          <w:bottom w:w="0" w:type="dxa"/>
          <w:right w:w="108" w:type="dxa"/>
        </w:tblCellMar>
      </w:tblPr>
      <w:tblGrid>
        <w:gridCol w:w="571"/>
        <w:gridCol w:w="450"/>
        <w:gridCol w:w="875"/>
        <w:gridCol w:w="850"/>
        <w:gridCol w:w="1997"/>
        <w:gridCol w:w="1890"/>
        <w:gridCol w:w="1704"/>
        <w:gridCol w:w="2025"/>
      </w:tblGrid>
      <w:tr>
        <w:tblPrEx>
          <w:tblLayout w:type="fixed"/>
          <w:tblCellMar>
            <w:top w:w="0" w:type="dxa"/>
            <w:left w:w="108" w:type="dxa"/>
            <w:bottom w:w="0" w:type="dxa"/>
            <w:right w:w="108" w:type="dxa"/>
          </w:tblCellMar>
        </w:tblPrEx>
        <w:trPr>
          <w:trHeight w:val="443" w:hRule="atLeast"/>
        </w:trPr>
        <w:tc>
          <w:tcPr>
            <w:tcW w:w="571"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楷体_GBK" w:eastAsia="方正楷体_GBK"/>
                <w:b/>
                <w:color w:val="000000"/>
                <w:sz w:val="24"/>
              </w:rPr>
            </w:pPr>
            <w:r>
              <w:rPr>
                <w:rFonts w:hint="eastAsia" w:ascii="方正楷体_GBK" w:eastAsia="方正楷体_GBK"/>
                <w:b/>
                <w:color w:val="000000"/>
                <w:sz w:val="24"/>
              </w:rPr>
              <w:t>序号</w:t>
            </w:r>
          </w:p>
        </w:tc>
        <w:tc>
          <w:tcPr>
            <w:tcW w:w="2175" w:type="dxa"/>
            <w:gridSpan w:val="3"/>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楷体_GBK" w:eastAsia="方正楷体_GBK"/>
                <w:b/>
                <w:color w:val="000000"/>
                <w:sz w:val="24"/>
              </w:rPr>
            </w:pPr>
            <w:r>
              <w:rPr>
                <w:rFonts w:hint="eastAsia" w:ascii="方正楷体_GBK" w:eastAsia="方正楷体_GBK"/>
                <w:b/>
                <w:color w:val="000000"/>
                <w:sz w:val="24"/>
              </w:rPr>
              <w:t>区县</w:t>
            </w:r>
          </w:p>
          <w:p>
            <w:pPr>
              <w:spacing w:line="300" w:lineRule="exact"/>
              <w:jc w:val="center"/>
              <w:rPr>
                <w:rFonts w:hint="eastAsia" w:ascii="方正楷体_GBK" w:eastAsia="方正楷体_GBK"/>
                <w:b/>
                <w:color w:val="000000"/>
                <w:sz w:val="24"/>
              </w:rPr>
            </w:pPr>
            <w:r>
              <w:rPr>
                <w:rFonts w:hint="eastAsia" w:ascii="方正楷体_GBK" w:eastAsia="方正楷体_GBK"/>
                <w:b/>
                <w:color w:val="000000"/>
                <w:sz w:val="24"/>
              </w:rPr>
              <w:t>名称</w:t>
            </w:r>
          </w:p>
        </w:tc>
        <w:tc>
          <w:tcPr>
            <w:tcW w:w="5591"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楷体_GBK" w:eastAsia="方正楷体_GBK"/>
                <w:b/>
                <w:color w:val="000000"/>
                <w:sz w:val="24"/>
              </w:rPr>
            </w:pPr>
            <w:r>
              <w:rPr>
                <w:rFonts w:hint="eastAsia" w:ascii="方正楷体_GBK" w:eastAsia="方正楷体_GBK"/>
                <w:b/>
                <w:color w:val="000000"/>
                <w:sz w:val="24"/>
              </w:rPr>
              <w:t>审批收费情况（元/户）</w:t>
            </w:r>
          </w:p>
        </w:tc>
        <w:tc>
          <w:tcPr>
            <w:tcW w:w="2025"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楷体_GBK" w:eastAsia="方正楷体_GBK"/>
                <w:b/>
                <w:color w:val="000000"/>
                <w:sz w:val="24"/>
              </w:rPr>
            </w:pPr>
            <w:r>
              <w:rPr>
                <w:rFonts w:hint="eastAsia" w:ascii="方正楷体_GBK" w:eastAsia="方正楷体_GBK"/>
                <w:b/>
                <w:color w:val="000000"/>
                <w:sz w:val="24"/>
              </w:rPr>
              <w:t>备    注</w:t>
            </w:r>
          </w:p>
        </w:tc>
      </w:tr>
      <w:tr>
        <w:tblPrEx>
          <w:tblLayout w:type="fixed"/>
          <w:tblCellMar>
            <w:top w:w="0" w:type="dxa"/>
            <w:left w:w="108" w:type="dxa"/>
            <w:bottom w:w="0" w:type="dxa"/>
            <w:right w:w="108" w:type="dxa"/>
          </w:tblCellMar>
        </w:tblPrEx>
        <w:trPr>
          <w:trHeight w:val="521" w:hRule="atLeast"/>
        </w:trPr>
        <w:tc>
          <w:tcPr>
            <w:tcW w:w="571" w:type="dxa"/>
            <w:vMerge w:val="continue"/>
            <w:tcBorders>
              <w:top w:val="single" w:color="auto" w:sz="4" w:space="0"/>
              <w:left w:val="single" w:color="auto" w:sz="4" w:space="0"/>
              <w:bottom w:val="single" w:color="auto" w:sz="4" w:space="0"/>
              <w:right w:val="single" w:color="auto" w:sz="4" w:space="0"/>
            </w:tcBorders>
            <w:noWrap/>
            <w:vAlign w:val="center"/>
          </w:tcPr>
          <w:p/>
        </w:tc>
        <w:tc>
          <w:tcPr>
            <w:tcW w:w="2175" w:type="dxa"/>
            <w:gridSpan w:val="3"/>
            <w:vMerge w:val="continue"/>
            <w:tcBorders>
              <w:top w:val="single" w:color="auto" w:sz="4" w:space="0"/>
              <w:left w:val="single" w:color="auto" w:sz="4" w:space="0"/>
              <w:bottom w:val="single" w:color="auto" w:sz="4" w:space="0"/>
              <w:right w:val="single" w:color="auto" w:sz="4" w:space="0"/>
            </w:tcBorders>
            <w:noWrap/>
            <w:vAlign w:val="center"/>
          </w:tcP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楷体_GBK" w:eastAsia="方正楷体_GBK"/>
                <w:b/>
                <w:color w:val="000000"/>
                <w:sz w:val="24"/>
                <w:szCs w:val="24"/>
              </w:rPr>
            </w:pPr>
            <w:r>
              <w:rPr>
                <w:rFonts w:hint="eastAsia" w:ascii="方正楷体_GBK" w:eastAsia="方正楷体_GBK"/>
                <w:b/>
                <w:color w:val="000000"/>
                <w:sz w:val="24"/>
                <w:szCs w:val="24"/>
              </w:rPr>
              <w:t>城区</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楷体_GBK" w:eastAsia="方正楷体_GBK"/>
                <w:b/>
                <w:color w:val="000000"/>
                <w:sz w:val="24"/>
                <w:szCs w:val="24"/>
                <w:lang w:val="en-US" w:eastAsia="zh-CN"/>
              </w:rPr>
            </w:pPr>
            <w:r>
              <w:rPr>
                <w:rFonts w:hint="eastAsia" w:ascii="方正楷体_GBK" w:eastAsia="方正楷体_GBK"/>
                <w:b/>
                <w:color w:val="000000"/>
                <w:sz w:val="24"/>
                <w:szCs w:val="24"/>
                <w:lang w:eastAsia="zh-CN"/>
              </w:rPr>
              <w:t>场镇</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楷体_GBK" w:eastAsia="方正楷体_GBK"/>
                <w:b/>
                <w:color w:val="000000"/>
                <w:sz w:val="24"/>
                <w:szCs w:val="24"/>
              </w:rPr>
            </w:pPr>
            <w:r>
              <w:rPr>
                <w:rFonts w:hint="eastAsia" w:ascii="方正楷体_GBK" w:eastAsia="方正楷体_GBK"/>
                <w:b/>
                <w:color w:val="000000"/>
                <w:sz w:val="24"/>
                <w:szCs w:val="24"/>
              </w:rPr>
              <w:t>农村</w:t>
            </w:r>
          </w:p>
        </w:tc>
        <w:tc>
          <w:tcPr>
            <w:tcW w:w="2025"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Layout w:type="fixed"/>
          <w:tblCellMar>
            <w:top w:w="0" w:type="dxa"/>
            <w:left w:w="108" w:type="dxa"/>
            <w:bottom w:w="0" w:type="dxa"/>
            <w:right w:w="108" w:type="dxa"/>
          </w:tblCellMar>
        </w:tblPrEx>
        <w:trPr>
          <w:trHeight w:val="756" w:hRule="atLeast"/>
        </w:trPr>
        <w:tc>
          <w:tcPr>
            <w:tcW w:w="57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auto"/>
                <w:sz w:val="24"/>
              </w:rPr>
            </w:pPr>
            <w:r>
              <w:rPr>
                <w:rFonts w:hint="eastAsia" w:ascii="方正仿宋_GBK"/>
                <w:color w:val="auto"/>
                <w:sz w:val="24"/>
              </w:rPr>
              <w:t>1</w:t>
            </w:r>
          </w:p>
        </w:tc>
        <w:tc>
          <w:tcPr>
            <w:tcW w:w="2175"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auto"/>
                <w:sz w:val="24"/>
              </w:rPr>
            </w:pPr>
            <w:r>
              <w:rPr>
                <w:rFonts w:hint="eastAsia" w:ascii="方正仿宋_GBK"/>
                <w:color w:val="auto"/>
                <w:sz w:val="24"/>
              </w:rPr>
              <w:t xml:space="preserve">重庆   </w:t>
            </w:r>
          </w:p>
          <w:p>
            <w:pPr>
              <w:spacing w:line="300" w:lineRule="exact"/>
              <w:jc w:val="center"/>
              <w:rPr>
                <w:rFonts w:hint="eastAsia" w:ascii="方正仿宋_GBK"/>
                <w:color w:val="auto"/>
                <w:sz w:val="24"/>
              </w:rPr>
            </w:pPr>
            <w:r>
              <w:rPr>
                <w:rFonts w:hint="eastAsia"/>
                <w:color w:val="auto"/>
                <w:sz w:val="24"/>
                <w:lang w:eastAsia="zh-CN"/>
              </w:rPr>
              <w:t>中心</w:t>
            </w:r>
            <w:r>
              <w:rPr>
                <w:rFonts w:hint="eastAsia" w:ascii="方正仿宋_GBK"/>
                <w:color w:val="auto"/>
                <w:sz w:val="24"/>
              </w:rPr>
              <w:t>城区</w:t>
            </w: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2430</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2430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color w:val="auto"/>
                <w:sz w:val="24"/>
              </w:rPr>
            </w:pPr>
            <w:r>
              <w:rPr>
                <w:rFonts w:hint="eastAsia" w:ascii="方正仿宋_GBK"/>
                <w:color w:val="auto"/>
                <w:sz w:val="24"/>
              </w:rPr>
              <w:t>一事一议协商定价</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方正仿宋_GBK"/>
                <w:color w:val="auto"/>
                <w:sz w:val="24"/>
                <w:szCs w:val="24"/>
              </w:rPr>
            </w:pPr>
            <w:r>
              <w:rPr>
                <w:rFonts w:hint="eastAsia" w:ascii="方正仿宋_GBK"/>
                <w:color w:val="auto"/>
                <w:sz w:val="24"/>
                <w:lang w:val="en-US" w:eastAsia="zh-CN"/>
              </w:rPr>
              <w:t>从2020年1月1日起执行。</w:t>
            </w:r>
          </w:p>
        </w:tc>
      </w:tr>
      <w:tr>
        <w:tblPrEx>
          <w:tblLayout w:type="fixed"/>
          <w:tblCellMar>
            <w:top w:w="0" w:type="dxa"/>
            <w:left w:w="108" w:type="dxa"/>
            <w:bottom w:w="0" w:type="dxa"/>
            <w:right w:w="108" w:type="dxa"/>
          </w:tblCellMar>
        </w:tblPrEx>
        <w:trPr>
          <w:trHeight w:val="688" w:hRule="atLeast"/>
        </w:trPr>
        <w:tc>
          <w:tcPr>
            <w:tcW w:w="571" w:type="dxa"/>
            <w:vMerge w:val="restart"/>
            <w:tcBorders>
              <w:top w:val="single" w:color="auto" w:sz="4" w:space="0"/>
              <w:left w:val="single" w:color="auto" w:sz="4" w:space="0"/>
              <w:right w:val="single" w:color="auto" w:sz="4" w:space="0"/>
            </w:tcBorders>
            <w:noWrap/>
            <w:vAlign w:val="center"/>
          </w:tcPr>
          <w:p>
            <w:pPr>
              <w:spacing w:line="300" w:lineRule="exact"/>
              <w:jc w:val="center"/>
              <w:rPr>
                <w:rFonts w:hint="eastAsia" w:ascii="方正仿宋_GBK"/>
                <w:b/>
                <w:color w:val="000000"/>
                <w:sz w:val="24"/>
              </w:rPr>
            </w:pPr>
            <w:r>
              <w:rPr>
                <w:rFonts w:hint="eastAsia" w:ascii="方正仿宋_GBK"/>
                <w:b/>
                <w:color w:val="000000"/>
                <w:sz w:val="24"/>
              </w:rPr>
              <w:t>2</w:t>
            </w:r>
          </w:p>
        </w:tc>
        <w:tc>
          <w:tcPr>
            <w:tcW w:w="450" w:type="dxa"/>
            <w:vMerge w:val="restart"/>
            <w:tcBorders>
              <w:top w:val="single" w:color="auto" w:sz="4" w:space="0"/>
              <w:left w:val="single" w:color="auto" w:sz="4" w:space="0"/>
              <w:right w:val="single" w:color="auto" w:sz="4" w:space="0"/>
            </w:tcBorders>
            <w:noWrap/>
            <w:vAlign w:val="center"/>
          </w:tcPr>
          <w:p>
            <w:pPr>
              <w:spacing w:line="300" w:lineRule="exact"/>
              <w:jc w:val="center"/>
              <w:rPr>
                <w:rFonts w:hint="eastAsia" w:ascii="方正仿宋_GBK"/>
                <w:color w:val="auto"/>
                <w:sz w:val="24"/>
              </w:rPr>
            </w:pPr>
            <w:r>
              <w:rPr>
                <w:rFonts w:hint="eastAsia" w:ascii="方正仿宋_GBK"/>
                <w:color w:val="auto"/>
                <w:sz w:val="24"/>
                <w:lang w:val="en-US" w:eastAsia="zh-CN"/>
              </w:rPr>
              <w:t>铜梁</w:t>
            </w:r>
            <w:r>
              <w:rPr>
                <w:rFonts w:hint="eastAsia" w:ascii="方正仿宋_GBK"/>
                <w:color w:val="auto"/>
                <w:sz w:val="24"/>
              </w:rPr>
              <w:t>区</w:t>
            </w:r>
          </w:p>
        </w:tc>
        <w:tc>
          <w:tcPr>
            <w:tcW w:w="172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color w:val="auto"/>
                <w:sz w:val="24"/>
              </w:rPr>
            </w:pPr>
            <w:r>
              <w:rPr>
                <w:rFonts w:hint="eastAsia" w:ascii="方正仿宋_GBK"/>
                <w:color w:val="auto"/>
                <w:sz w:val="24"/>
              </w:rPr>
              <w:t>现行标准</w:t>
            </w: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3500</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3500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color w:val="auto"/>
                <w:sz w:val="24"/>
                <w:lang w:eastAsia="zh-CN"/>
              </w:rPr>
            </w:pPr>
            <w:r>
              <w:rPr>
                <w:rFonts w:hint="eastAsia" w:ascii="方正仿宋_GBK"/>
                <w:color w:val="auto"/>
                <w:sz w:val="24"/>
              </w:rPr>
              <w:t>一事一议协商定价</w:t>
            </w:r>
          </w:p>
        </w:tc>
        <w:tc>
          <w:tcPr>
            <w:tcW w:w="2025" w:type="dxa"/>
            <w:vMerge w:val="restart"/>
            <w:tcBorders>
              <w:top w:val="single" w:color="auto" w:sz="4" w:space="0"/>
              <w:left w:val="single" w:color="auto" w:sz="4" w:space="0"/>
              <w:right w:val="single" w:color="auto" w:sz="4" w:space="0"/>
            </w:tcBorders>
            <w:noWrap/>
            <w:vAlign w:val="center"/>
          </w:tcPr>
          <w:p>
            <w:pPr>
              <w:spacing w:line="240" w:lineRule="exact"/>
              <w:rPr>
                <w:rFonts w:hint="default" w:ascii="方正仿宋_GBK" w:eastAsia="方正仿宋_GBK"/>
                <w:b/>
                <w:color w:val="000000"/>
                <w:sz w:val="24"/>
                <w:szCs w:val="24"/>
                <w:lang w:val="en-US" w:eastAsia="zh-CN"/>
              </w:rPr>
            </w:pPr>
            <w:r>
              <w:rPr>
                <w:rFonts w:hint="eastAsia" w:ascii="方正仿宋_GBK"/>
                <w:color w:val="auto"/>
                <w:sz w:val="24"/>
                <w:lang w:eastAsia="zh-CN"/>
              </w:rPr>
              <w:t>从</w:t>
            </w:r>
            <w:r>
              <w:rPr>
                <w:rFonts w:hint="eastAsia" w:ascii="方正仿宋_GBK"/>
                <w:color w:val="auto"/>
                <w:sz w:val="24"/>
                <w:lang w:val="en-US" w:eastAsia="zh-CN"/>
              </w:rPr>
              <w:t>2020年1月1日起执行。</w:t>
            </w:r>
          </w:p>
        </w:tc>
      </w:tr>
      <w:tr>
        <w:tblPrEx>
          <w:tblLayout w:type="fixed"/>
          <w:tblCellMar>
            <w:top w:w="0" w:type="dxa"/>
            <w:left w:w="108" w:type="dxa"/>
            <w:bottom w:w="0" w:type="dxa"/>
            <w:right w:w="108" w:type="dxa"/>
          </w:tblCellMar>
        </w:tblPrEx>
        <w:trPr>
          <w:trHeight w:val="760" w:hRule="atLeast"/>
        </w:trPr>
        <w:tc>
          <w:tcPr>
            <w:tcW w:w="571" w:type="dxa"/>
            <w:vMerge w:val="continue"/>
            <w:tcBorders>
              <w:left w:val="single" w:color="auto" w:sz="4" w:space="0"/>
              <w:right w:val="single" w:color="auto" w:sz="4" w:space="0"/>
            </w:tcBorders>
            <w:noWrap/>
            <w:vAlign w:val="center"/>
          </w:tcPr>
          <w:p>
            <w:pPr>
              <w:spacing w:line="300" w:lineRule="exact"/>
              <w:ind w:firstLine="361" w:firstLineChars="150"/>
              <w:rPr>
                <w:rFonts w:hint="eastAsia" w:ascii="方正仿宋_GBK"/>
                <w:b/>
                <w:color w:val="000000"/>
                <w:sz w:val="24"/>
              </w:rPr>
            </w:pPr>
          </w:p>
        </w:tc>
        <w:tc>
          <w:tcPr>
            <w:tcW w:w="450" w:type="dxa"/>
            <w:vMerge w:val="continue"/>
            <w:tcBorders>
              <w:left w:val="single" w:color="auto" w:sz="4" w:space="0"/>
              <w:right w:val="single" w:color="auto" w:sz="4" w:space="0"/>
            </w:tcBorders>
            <w:noWrap/>
            <w:vAlign w:val="center"/>
          </w:tcPr>
          <w:p>
            <w:pPr>
              <w:spacing w:line="300" w:lineRule="exact"/>
              <w:jc w:val="center"/>
              <w:rPr>
                <w:rFonts w:hint="eastAsia" w:ascii="方正仿宋_GBK"/>
                <w:color w:val="auto"/>
                <w:sz w:val="24"/>
              </w:rPr>
            </w:pPr>
          </w:p>
        </w:tc>
        <w:tc>
          <w:tcPr>
            <w:tcW w:w="87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方正仿宋_GBK"/>
                <w:color w:val="auto"/>
                <w:sz w:val="24"/>
              </w:rPr>
            </w:pPr>
          </w:p>
          <w:p>
            <w:pPr>
              <w:spacing w:line="300" w:lineRule="exact"/>
              <w:jc w:val="center"/>
              <w:rPr>
                <w:rFonts w:hint="eastAsia" w:ascii="方正仿宋_GBK"/>
                <w:color w:val="auto"/>
                <w:sz w:val="24"/>
              </w:rPr>
            </w:pPr>
            <w:r>
              <w:rPr>
                <w:rFonts w:hint="eastAsia" w:ascii="方正仿宋_GBK"/>
                <w:color w:val="auto"/>
                <w:sz w:val="24"/>
              </w:rPr>
              <w:t>拟调标准</w:t>
            </w:r>
          </w:p>
          <w:p>
            <w:pPr>
              <w:spacing w:line="300" w:lineRule="exact"/>
              <w:jc w:val="center"/>
              <w:rPr>
                <w:rFonts w:hint="eastAsia" w:ascii="方正仿宋_GBK"/>
                <w:color w:val="auto"/>
                <w:sz w:val="24"/>
              </w:rPr>
            </w:pPr>
          </w:p>
        </w:tc>
        <w:tc>
          <w:tcPr>
            <w:tcW w:w="850"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方正仿宋_GBK"/>
                <w:color w:val="auto"/>
                <w:sz w:val="24"/>
                <w:lang w:val="en-US" w:eastAsia="zh-CN"/>
              </w:rPr>
            </w:pPr>
            <w:r>
              <w:rPr>
                <w:rFonts w:hint="eastAsia" w:ascii="方正仿宋_GBK"/>
                <w:color w:val="auto"/>
                <w:sz w:val="24"/>
                <w:lang w:val="en-US" w:eastAsia="zh-CN"/>
              </w:rPr>
              <w:t>方案一</w:t>
            </w: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2900</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2900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color w:val="auto"/>
                <w:sz w:val="24"/>
                <w:lang w:eastAsia="zh-CN"/>
              </w:rPr>
            </w:pPr>
            <w:r>
              <w:rPr>
                <w:rFonts w:hint="eastAsia" w:ascii="方正仿宋_GBK"/>
                <w:color w:val="auto"/>
                <w:sz w:val="24"/>
              </w:rPr>
              <w:t>一事一议协商定价</w:t>
            </w:r>
          </w:p>
        </w:tc>
        <w:tc>
          <w:tcPr>
            <w:tcW w:w="2025" w:type="dxa"/>
            <w:vMerge w:val="continue"/>
            <w:tcBorders>
              <w:left w:val="single" w:color="auto" w:sz="4" w:space="0"/>
              <w:right w:val="single" w:color="auto" w:sz="4" w:space="0"/>
            </w:tcBorders>
            <w:noWrap/>
            <w:vAlign w:val="center"/>
          </w:tcPr>
          <w:p>
            <w:pPr>
              <w:spacing w:line="240" w:lineRule="exact"/>
              <w:rPr>
                <w:rFonts w:hint="eastAsia" w:ascii="方正仿宋_GBK"/>
                <w:color w:val="000000"/>
                <w:sz w:val="24"/>
                <w:szCs w:val="24"/>
              </w:rPr>
            </w:pPr>
          </w:p>
        </w:tc>
      </w:tr>
      <w:tr>
        <w:tblPrEx>
          <w:tblLayout w:type="fixed"/>
          <w:tblCellMar>
            <w:top w:w="0" w:type="dxa"/>
            <w:left w:w="108" w:type="dxa"/>
            <w:bottom w:w="0" w:type="dxa"/>
            <w:right w:w="108" w:type="dxa"/>
          </w:tblCellMar>
        </w:tblPrEx>
        <w:trPr>
          <w:trHeight w:val="755" w:hRule="atLeast"/>
        </w:trPr>
        <w:tc>
          <w:tcPr>
            <w:tcW w:w="571" w:type="dxa"/>
            <w:vMerge w:val="continue"/>
            <w:tcBorders>
              <w:left w:val="single" w:color="auto" w:sz="4" w:space="0"/>
              <w:right w:val="single" w:color="auto" w:sz="4" w:space="0"/>
            </w:tcBorders>
            <w:noWrap/>
            <w:vAlign w:val="center"/>
          </w:tcPr>
          <w:p>
            <w:pPr>
              <w:spacing w:line="300" w:lineRule="exact"/>
              <w:ind w:firstLine="361" w:firstLineChars="150"/>
              <w:rPr>
                <w:rFonts w:hint="eastAsia" w:ascii="方正仿宋_GBK"/>
                <w:b/>
                <w:color w:val="000000"/>
                <w:sz w:val="24"/>
              </w:rPr>
            </w:pPr>
          </w:p>
        </w:tc>
        <w:tc>
          <w:tcPr>
            <w:tcW w:w="450" w:type="dxa"/>
            <w:vMerge w:val="continue"/>
            <w:tcBorders>
              <w:left w:val="single" w:color="auto" w:sz="4" w:space="0"/>
              <w:right w:val="single" w:color="auto" w:sz="4" w:space="0"/>
            </w:tcBorders>
            <w:noWrap/>
            <w:vAlign w:val="center"/>
          </w:tcPr>
          <w:p>
            <w:pPr>
              <w:spacing w:line="300" w:lineRule="exact"/>
              <w:jc w:val="center"/>
              <w:rPr>
                <w:rFonts w:hint="eastAsia" w:ascii="方正仿宋_GBK"/>
                <w:color w:val="auto"/>
                <w:sz w:val="24"/>
              </w:rPr>
            </w:pPr>
          </w:p>
        </w:tc>
        <w:tc>
          <w:tcPr>
            <w:tcW w:w="875" w:type="dxa"/>
            <w:vMerge w:val="continue"/>
            <w:tcBorders>
              <w:left w:val="single" w:color="auto" w:sz="4" w:space="0"/>
              <w:right w:val="single" w:color="auto" w:sz="4" w:space="0"/>
            </w:tcBorders>
            <w:noWrap w:val="0"/>
            <w:vAlign w:val="center"/>
          </w:tcPr>
          <w:p>
            <w:pPr>
              <w:spacing w:line="300" w:lineRule="exact"/>
              <w:jc w:val="center"/>
              <w:rPr>
                <w:rFonts w:hint="eastAsia" w:ascii="方正仿宋_GBK"/>
                <w:color w:val="auto"/>
                <w:sz w:val="24"/>
              </w:rPr>
            </w:pPr>
          </w:p>
        </w:tc>
        <w:tc>
          <w:tcPr>
            <w:tcW w:w="850"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方正仿宋_GBK"/>
                <w:color w:val="auto"/>
                <w:sz w:val="24"/>
                <w:lang w:eastAsia="zh-CN"/>
              </w:rPr>
            </w:pPr>
            <w:r>
              <w:rPr>
                <w:rFonts w:hint="eastAsia" w:ascii="方正仿宋_GBK"/>
                <w:color w:val="auto"/>
                <w:sz w:val="24"/>
                <w:lang w:eastAsia="zh-CN"/>
              </w:rPr>
              <w:t>方案二</w:t>
            </w: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2750</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3100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color w:val="auto"/>
                <w:sz w:val="24"/>
                <w:lang w:eastAsia="zh-CN"/>
              </w:rPr>
            </w:pPr>
            <w:r>
              <w:rPr>
                <w:rFonts w:hint="eastAsia" w:ascii="方正仿宋_GBK"/>
                <w:color w:val="auto"/>
                <w:sz w:val="24"/>
              </w:rPr>
              <w:t>一事一议协商定价</w:t>
            </w:r>
          </w:p>
        </w:tc>
        <w:tc>
          <w:tcPr>
            <w:tcW w:w="2025" w:type="dxa"/>
            <w:vMerge w:val="continue"/>
            <w:tcBorders>
              <w:left w:val="single" w:color="auto" w:sz="4" w:space="0"/>
              <w:bottom w:val="single" w:color="auto" w:sz="4" w:space="0"/>
              <w:right w:val="single" w:color="auto" w:sz="4" w:space="0"/>
            </w:tcBorders>
            <w:noWrap/>
            <w:vAlign w:val="center"/>
          </w:tcPr>
          <w:p>
            <w:pPr>
              <w:spacing w:line="240" w:lineRule="exact"/>
              <w:rPr>
                <w:rFonts w:hint="eastAsia" w:ascii="方正仿宋_GBK"/>
                <w:color w:val="000000"/>
                <w:sz w:val="24"/>
                <w:szCs w:val="24"/>
              </w:rPr>
            </w:pPr>
          </w:p>
        </w:tc>
      </w:tr>
      <w:tr>
        <w:tblPrEx>
          <w:tblLayout w:type="fixed"/>
          <w:tblCellMar>
            <w:top w:w="0" w:type="dxa"/>
            <w:left w:w="108" w:type="dxa"/>
            <w:bottom w:w="0" w:type="dxa"/>
            <w:right w:w="108" w:type="dxa"/>
          </w:tblCellMar>
        </w:tblPrEx>
        <w:trPr>
          <w:trHeight w:val="856" w:hRule="atLeast"/>
        </w:trPr>
        <w:tc>
          <w:tcPr>
            <w:tcW w:w="57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000000"/>
                <w:sz w:val="24"/>
              </w:rPr>
            </w:pPr>
            <w:r>
              <w:rPr>
                <w:rFonts w:hint="eastAsia" w:ascii="方正仿宋_GBK"/>
                <w:color w:val="000000"/>
                <w:sz w:val="24"/>
              </w:rPr>
              <w:t>3</w:t>
            </w:r>
          </w:p>
        </w:tc>
        <w:tc>
          <w:tcPr>
            <w:tcW w:w="2175"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000000"/>
                <w:sz w:val="24"/>
              </w:rPr>
            </w:pPr>
            <w:r>
              <w:rPr>
                <w:rFonts w:hint="eastAsia" w:ascii="方正仿宋_GBK"/>
                <w:color w:val="000000"/>
                <w:sz w:val="24"/>
              </w:rPr>
              <w:t>江津区</w:t>
            </w: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2450</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3100-3800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color w:val="000000"/>
                <w:sz w:val="24"/>
              </w:rPr>
            </w:pPr>
            <w:r>
              <w:rPr>
                <w:rFonts w:hint="eastAsia" w:ascii="方正仿宋_GBK"/>
                <w:color w:val="000000"/>
                <w:sz w:val="24"/>
              </w:rPr>
              <w:t>一事一议协商定价</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default" w:ascii="方正仿宋_GBK"/>
                <w:color w:val="auto"/>
                <w:sz w:val="24"/>
                <w:lang w:val="en-US" w:eastAsia="zh-CN"/>
              </w:rPr>
            </w:pPr>
            <w:r>
              <w:rPr>
                <w:rFonts w:hint="eastAsia" w:ascii="方正仿宋_GBK"/>
                <w:color w:val="auto"/>
                <w:sz w:val="24"/>
                <w:lang w:val="en-US" w:eastAsia="zh-CN"/>
              </w:rPr>
              <w:t>从2020年1月1日起执行。</w:t>
            </w:r>
          </w:p>
        </w:tc>
      </w:tr>
      <w:tr>
        <w:tblPrEx>
          <w:tblLayout w:type="fixed"/>
          <w:tblCellMar>
            <w:top w:w="0" w:type="dxa"/>
            <w:left w:w="108" w:type="dxa"/>
            <w:bottom w:w="0" w:type="dxa"/>
            <w:right w:w="108" w:type="dxa"/>
          </w:tblCellMar>
        </w:tblPrEx>
        <w:trPr>
          <w:trHeight w:val="884" w:hRule="atLeast"/>
        </w:trPr>
        <w:tc>
          <w:tcPr>
            <w:tcW w:w="57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color w:val="000000"/>
                <w:sz w:val="24"/>
                <w:lang w:val="en-US" w:eastAsia="zh-CN"/>
              </w:rPr>
            </w:pPr>
            <w:r>
              <w:rPr>
                <w:rFonts w:hint="eastAsia"/>
                <w:color w:val="000000"/>
                <w:sz w:val="24"/>
                <w:lang w:val="en-US" w:eastAsia="zh-CN"/>
              </w:rPr>
              <w:t>4</w:t>
            </w:r>
          </w:p>
        </w:tc>
        <w:tc>
          <w:tcPr>
            <w:tcW w:w="2175"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color w:val="000000"/>
                <w:sz w:val="24"/>
                <w:lang w:val="en-US" w:eastAsia="zh-CN"/>
              </w:rPr>
            </w:pPr>
            <w:r>
              <w:rPr>
                <w:rFonts w:hint="eastAsia"/>
                <w:color w:val="000000"/>
                <w:sz w:val="24"/>
                <w:lang w:val="en-US" w:eastAsia="zh-CN"/>
              </w:rPr>
              <w:t>合川区</w:t>
            </w: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2800</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3620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color w:val="000000"/>
                <w:sz w:val="24"/>
                <w:lang w:val="en-US" w:eastAsia="zh-CN"/>
              </w:rPr>
            </w:pPr>
            <w:r>
              <w:rPr>
                <w:rFonts w:hint="eastAsia" w:ascii="方正仿宋_GBK"/>
                <w:color w:val="000000"/>
                <w:sz w:val="24"/>
                <w:lang w:val="en-US" w:eastAsia="zh-CN"/>
              </w:rPr>
              <w:t>4945（一事一议协商定价</w:t>
            </w:r>
            <w:r>
              <w:rPr>
                <w:rFonts w:hint="eastAsia"/>
                <w:color w:val="000000"/>
                <w:sz w:val="24"/>
                <w:lang w:val="en-US" w:eastAsia="zh-CN"/>
              </w:rPr>
              <w:t>）</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方正仿宋_GBK"/>
                <w:color w:val="auto"/>
                <w:sz w:val="24"/>
                <w:lang w:val="en-US" w:eastAsia="zh-CN"/>
              </w:rPr>
            </w:pPr>
            <w:r>
              <w:rPr>
                <w:rFonts w:hint="eastAsia" w:ascii="方正仿宋_GBK"/>
                <w:color w:val="auto"/>
                <w:sz w:val="24"/>
                <w:lang w:val="en-US" w:eastAsia="zh-CN"/>
              </w:rPr>
              <w:t>临时价格。全区共5家企业，城区不含智能表价差。</w:t>
            </w:r>
          </w:p>
        </w:tc>
      </w:tr>
      <w:tr>
        <w:tblPrEx>
          <w:tblLayout w:type="fixed"/>
          <w:tblCellMar>
            <w:top w:w="0" w:type="dxa"/>
            <w:left w:w="108" w:type="dxa"/>
            <w:bottom w:w="0" w:type="dxa"/>
            <w:right w:w="108" w:type="dxa"/>
          </w:tblCellMar>
        </w:tblPrEx>
        <w:trPr>
          <w:trHeight w:val="782" w:hRule="atLeast"/>
        </w:trPr>
        <w:tc>
          <w:tcPr>
            <w:tcW w:w="57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auto"/>
                <w:sz w:val="24"/>
              </w:rPr>
            </w:pPr>
            <w:r>
              <w:rPr>
                <w:rFonts w:hint="eastAsia" w:ascii="方正仿宋_GBK"/>
                <w:color w:val="auto"/>
                <w:sz w:val="24"/>
              </w:rPr>
              <w:t>3</w:t>
            </w:r>
          </w:p>
        </w:tc>
        <w:tc>
          <w:tcPr>
            <w:tcW w:w="2175"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auto"/>
                <w:sz w:val="24"/>
              </w:rPr>
            </w:pPr>
            <w:r>
              <w:rPr>
                <w:rFonts w:hint="eastAsia" w:ascii="方正仿宋_GBK"/>
                <w:color w:val="auto"/>
                <w:sz w:val="24"/>
              </w:rPr>
              <w:t>璧山区</w:t>
            </w: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2750</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3350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color w:val="auto"/>
                <w:sz w:val="24"/>
              </w:rPr>
            </w:pPr>
            <w:r>
              <w:rPr>
                <w:rFonts w:hint="eastAsia" w:ascii="方正仿宋_GBK"/>
                <w:color w:val="auto"/>
                <w:sz w:val="24"/>
              </w:rPr>
              <w:t>一事一议协商定价</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方正仿宋_GBK"/>
                <w:color w:val="auto"/>
                <w:sz w:val="24"/>
                <w:lang w:val="en-US" w:eastAsia="zh-CN"/>
              </w:rPr>
            </w:pPr>
            <w:r>
              <w:rPr>
                <w:rFonts w:hint="eastAsia" w:ascii="方正仿宋_GBK"/>
                <w:color w:val="auto"/>
                <w:sz w:val="24"/>
                <w:lang w:val="en-US" w:eastAsia="zh-CN"/>
              </w:rPr>
              <w:t>2020年1月1日起执行。</w:t>
            </w:r>
          </w:p>
        </w:tc>
      </w:tr>
      <w:tr>
        <w:tblPrEx>
          <w:tblLayout w:type="fixed"/>
          <w:tblCellMar>
            <w:top w:w="0" w:type="dxa"/>
            <w:left w:w="108" w:type="dxa"/>
            <w:bottom w:w="0" w:type="dxa"/>
            <w:right w:w="108" w:type="dxa"/>
          </w:tblCellMar>
        </w:tblPrEx>
        <w:trPr>
          <w:trHeight w:val="786" w:hRule="atLeast"/>
        </w:trPr>
        <w:tc>
          <w:tcPr>
            <w:tcW w:w="57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000000"/>
                <w:sz w:val="24"/>
              </w:rPr>
            </w:pPr>
            <w:r>
              <w:rPr>
                <w:rFonts w:hint="eastAsia" w:ascii="方正仿宋_GBK"/>
                <w:color w:val="000000"/>
                <w:sz w:val="24"/>
              </w:rPr>
              <w:t>4</w:t>
            </w:r>
          </w:p>
        </w:tc>
        <w:tc>
          <w:tcPr>
            <w:tcW w:w="2175"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000000"/>
                <w:sz w:val="24"/>
              </w:rPr>
            </w:pPr>
            <w:r>
              <w:rPr>
                <w:rFonts w:hint="eastAsia" w:ascii="方正仿宋_GBK"/>
                <w:color w:val="000000"/>
                <w:sz w:val="24"/>
              </w:rPr>
              <w:t>綦江区</w:t>
            </w: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2800</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3980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color w:val="000000"/>
                <w:sz w:val="24"/>
              </w:rPr>
            </w:pPr>
            <w:r>
              <w:rPr>
                <w:rFonts w:hint="eastAsia" w:ascii="方正仿宋_GBK"/>
                <w:color w:val="000000"/>
                <w:sz w:val="24"/>
                <w:lang w:val="en-US" w:eastAsia="zh-CN"/>
              </w:rPr>
              <w:t>6700元内</w:t>
            </w:r>
            <w:r>
              <w:rPr>
                <w:rFonts w:hint="eastAsia" w:ascii="方正仿宋_GBK"/>
                <w:color w:val="000000"/>
                <w:sz w:val="24"/>
              </w:rPr>
              <w:t>一事一议协商定价</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default" w:ascii="方正仿宋_GBK"/>
                <w:color w:val="auto"/>
                <w:sz w:val="24"/>
                <w:lang w:val="en-US" w:eastAsia="zh-CN"/>
              </w:rPr>
            </w:pPr>
            <w:r>
              <w:rPr>
                <w:rFonts w:hint="eastAsia" w:ascii="方正仿宋_GBK"/>
                <w:color w:val="auto"/>
                <w:sz w:val="24"/>
                <w:lang w:val="en-US" w:eastAsia="zh-CN"/>
              </w:rPr>
              <w:t>2020年1月1日起执行。</w:t>
            </w:r>
          </w:p>
        </w:tc>
      </w:tr>
      <w:tr>
        <w:tblPrEx>
          <w:tblLayout w:type="fixed"/>
          <w:tblCellMar>
            <w:top w:w="0" w:type="dxa"/>
            <w:left w:w="108" w:type="dxa"/>
            <w:bottom w:w="0" w:type="dxa"/>
            <w:right w:w="108" w:type="dxa"/>
          </w:tblCellMar>
        </w:tblPrEx>
        <w:trPr>
          <w:trHeight w:val="946" w:hRule="atLeast"/>
        </w:trPr>
        <w:tc>
          <w:tcPr>
            <w:tcW w:w="57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000000"/>
                <w:sz w:val="24"/>
              </w:rPr>
            </w:pPr>
            <w:r>
              <w:rPr>
                <w:rFonts w:hint="eastAsia" w:ascii="方正仿宋_GBK"/>
                <w:color w:val="000000"/>
                <w:sz w:val="24"/>
              </w:rPr>
              <w:t>5</w:t>
            </w:r>
          </w:p>
        </w:tc>
        <w:tc>
          <w:tcPr>
            <w:tcW w:w="2175"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000000"/>
                <w:sz w:val="24"/>
              </w:rPr>
            </w:pPr>
            <w:r>
              <w:rPr>
                <w:rFonts w:hint="eastAsia" w:ascii="方正仿宋_GBK"/>
                <w:color w:val="000000"/>
                <w:sz w:val="24"/>
              </w:rPr>
              <w:t>大足区</w:t>
            </w: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2900</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2900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color w:val="000000"/>
                <w:sz w:val="24"/>
              </w:rPr>
            </w:pPr>
            <w:r>
              <w:rPr>
                <w:rFonts w:hint="eastAsia" w:ascii="方正仿宋_GBK"/>
                <w:color w:val="000000"/>
                <w:sz w:val="24"/>
              </w:rPr>
              <w:t>一事一议协商定价</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方正仿宋_GBK"/>
                <w:color w:val="auto"/>
                <w:sz w:val="24"/>
                <w:lang w:val="en-US" w:eastAsia="zh-CN"/>
              </w:rPr>
            </w:pPr>
            <w:r>
              <w:rPr>
                <w:rFonts w:hint="eastAsia" w:ascii="方正仿宋_GBK"/>
                <w:color w:val="auto"/>
                <w:sz w:val="24"/>
                <w:lang w:val="en-US" w:eastAsia="zh-CN"/>
              </w:rPr>
              <w:t>全区共2家企业。城区含新型材料费和远传燃气表。</w:t>
            </w:r>
          </w:p>
        </w:tc>
      </w:tr>
      <w:tr>
        <w:tblPrEx>
          <w:tblLayout w:type="fixed"/>
          <w:tblCellMar>
            <w:top w:w="0" w:type="dxa"/>
            <w:left w:w="108" w:type="dxa"/>
            <w:bottom w:w="0" w:type="dxa"/>
            <w:right w:w="108" w:type="dxa"/>
          </w:tblCellMar>
        </w:tblPrEx>
        <w:trPr>
          <w:trHeight w:val="551" w:hRule="atLeast"/>
        </w:trPr>
        <w:tc>
          <w:tcPr>
            <w:tcW w:w="57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auto"/>
                <w:sz w:val="24"/>
              </w:rPr>
            </w:pPr>
            <w:r>
              <w:rPr>
                <w:rFonts w:hint="eastAsia" w:ascii="方正仿宋_GBK"/>
                <w:color w:val="auto"/>
                <w:sz w:val="24"/>
              </w:rPr>
              <w:t>6</w:t>
            </w:r>
          </w:p>
        </w:tc>
        <w:tc>
          <w:tcPr>
            <w:tcW w:w="2175"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eastAsia="方正仿宋_GBK"/>
                <w:color w:val="auto"/>
                <w:sz w:val="24"/>
                <w:lang w:val="en-US" w:eastAsia="zh-CN"/>
              </w:rPr>
            </w:pPr>
            <w:r>
              <w:rPr>
                <w:rFonts w:hint="eastAsia" w:ascii="方正仿宋_GBK"/>
                <w:color w:val="auto"/>
                <w:sz w:val="24"/>
                <w:lang w:val="en-US" w:eastAsia="zh-CN"/>
              </w:rPr>
              <w:t>永川区</w:t>
            </w: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2900</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2900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color w:val="auto"/>
                <w:sz w:val="24"/>
              </w:rPr>
            </w:pPr>
            <w:r>
              <w:rPr>
                <w:rFonts w:hint="eastAsia" w:ascii="方正仿宋_GBK"/>
                <w:color w:val="auto"/>
                <w:sz w:val="24"/>
              </w:rPr>
              <w:t>一事一议协商定价</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方正仿宋_GBK"/>
                <w:color w:val="auto"/>
                <w:sz w:val="24"/>
                <w:lang w:val="en-US" w:eastAsia="zh-CN"/>
              </w:rPr>
            </w:pPr>
            <w:r>
              <w:rPr>
                <w:rFonts w:hint="eastAsia" w:ascii="方正仿宋_GBK"/>
                <w:color w:val="auto"/>
                <w:sz w:val="24"/>
                <w:lang w:val="en-US" w:eastAsia="zh-CN"/>
              </w:rPr>
              <w:t>2020年1月1日起执行。</w:t>
            </w:r>
          </w:p>
        </w:tc>
      </w:tr>
      <w:tr>
        <w:tblPrEx>
          <w:tblLayout w:type="fixed"/>
          <w:tblCellMar>
            <w:top w:w="0" w:type="dxa"/>
            <w:left w:w="108" w:type="dxa"/>
            <w:bottom w:w="0" w:type="dxa"/>
            <w:right w:w="108" w:type="dxa"/>
          </w:tblCellMar>
        </w:tblPrEx>
        <w:trPr>
          <w:trHeight w:val="715" w:hRule="atLeast"/>
        </w:trPr>
        <w:tc>
          <w:tcPr>
            <w:tcW w:w="57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000000"/>
                <w:sz w:val="24"/>
                <w:lang w:val="en-US" w:eastAsia="zh-CN"/>
              </w:rPr>
            </w:pPr>
            <w:r>
              <w:rPr>
                <w:rFonts w:hint="eastAsia" w:ascii="方正仿宋_GBK"/>
                <w:color w:val="000000"/>
                <w:sz w:val="24"/>
                <w:lang w:val="en-US" w:eastAsia="zh-CN"/>
              </w:rPr>
              <w:t>7</w:t>
            </w:r>
          </w:p>
        </w:tc>
        <w:tc>
          <w:tcPr>
            <w:tcW w:w="2175"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方正仿宋_GBK"/>
                <w:color w:val="000000"/>
                <w:sz w:val="24"/>
                <w:lang w:val="en-US" w:eastAsia="zh-CN"/>
              </w:rPr>
            </w:pPr>
            <w:r>
              <w:rPr>
                <w:rFonts w:hint="eastAsia" w:ascii="方正仿宋_GBK"/>
                <w:color w:val="000000"/>
                <w:sz w:val="24"/>
                <w:lang w:val="en-US" w:eastAsia="zh-CN"/>
              </w:rPr>
              <w:t>荣昌区</w:t>
            </w: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2900</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color w:val="000000"/>
                <w:sz w:val="24"/>
                <w:lang w:val="en-US" w:eastAsia="zh-CN"/>
              </w:rPr>
            </w:pPr>
            <w:r>
              <w:rPr>
                <w:rFonts w:hint="eastAsia" w:ascii="方正仿宋_GBK"/>
                <w:color w:val="000000"/>
                <w:sz w:val="24"/>
                <w:lang w:val="en-US" w:eastAsia="zh-CN"/>
              </w:rPr>
              <w:t>2900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color w:val="000000"/>
                <w:sz w:val="24"/>
                <w:lang w:val="en-US" w:eastAsia="zh-CN"/>
              </w:rPr>
            </w:pPr>
            <w:r>
              <w:rPr>
                <w:rFonts w:hint="eastAsia" w:ascii="方正仿宋_GBK"/>
                <w:color w:val="000000"/>
                <w:sz w:val="24"/>
                <w:lang w:val="en-US" w:eastAsia="zh-CN"/>
              </w:rPr>
              <w:t>一事一议协商定价</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方正仿宋_GBK"/>
                <w:color w:val="auto"/>
                <w:sz w:val="24"/>
                <w:lang w:val="en-US" w:eastAsia="zh-CN"/>
              </w:rPr>
            </w:pPr>
            <w:r>
              <w:rPr>
                <w:rFonts w:hint="eastAsia" w:ascii="方正仿宋_GBK"/>
                <w:color w:val="auto"/>
                <w:sz w:val="24"/>
                <w:lang w:val="en-US" w:eastAsia="zh-CN"/>
              </w:rPr>
              <w:t>2020年1月1日起执行。</w:t>
            </w:r>
          </w:p>
        </w:tc>
      </w:tr>
      <w:tr>
        <w:tblPrEx>
          <w:tblLayout w:type="fixed"/>
          <w:tblCellMar>
            <w:top w:w="0" w:type="dxa"/>
            <w:left w:w="108" w:type="dxa"/>
            <w:bottom w:w="0" w:type="dxa"/>
            <w:right w:w="108" w:type="dxa"/>
          </w:tblCellMar>
        </w:tblPrEx>
        <w:trPr>
          <w:trHeight w:val="751" w:hRule="atLeast"/>
        </w:trPr>
        <w:tc>
          <w:tcPr>
            <w:tcW w:w="57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eastAsia="方正仿宋_GBK"/>
                <w:color w:val="000000"/>
                <w:sz w:val="24"/>
                <w:lang w:val="en-US" w:eastAsia="zh-CN"/>
              </w:rPr>
            </w:pPr>
            <w:r>
              <w:rPr>
                <w:rFonts w:hint="eastAsia" w:ascii="方正仿宋_GBK"/>
                <w:color w:val="000000"/>
                <w:sz w:val="24"/>
                <w:lang w:val="en-US" w:eastAsia="zh-CN"/>
              </w:rPr>
              <w:t>8</w:t>
            </w:r>
          </w:p>
        </w:tc>
        <w:tc>
          <w:tcPr>
            <w:tcW w:w="2175"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eastAsia="方正仿宋_GBK"/>
                <w:color w:val="000000"/>
                <w:sz w:val="24"/>
                <w:lang w:val="en-US" w:eastAsia="zh-CN"/>
              </w:rPr>
            </w:pPr>
            <w:r>
              <w:rPr>
                <w:rFonts w:hint="eastAsia" w:ascii="方正仿宋_GBK"/>
                <w:color w:val="000000"/>
                <w:sz w:val="24"/>
                <w:lang w:val="en-US" w:eastAsia="zh-CN"/>
              </w:rPr>
              <w:t>潼南区</w:t>
            </w:r>
          </w:p>
        </w:tc>
        <w:tc>
          <w:tcPr>
            <w:tcW w:w="19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eastAsia="方正仿宋_GBK"/>
                <w:color w:val="000000"/>
                <w:sz w:val="24"/>
                <w:lang w:val="en-US" w:eastAsia="zh-CN"/>
              </w:rPr>
            </w:pPr>
            <w:r>
              <w:rPr>
                <w:rFonts w:hint="eastAsia" w:ascii="方正仿宋_GBK"/>
                <w:color w:val="000000"/>
                <w:sz w:val="24"/>
                <w:lang w:val="en-US" w:eastAsia="zh-CN"/>
              </w:rPr>
              <w:t>2900</w:t>
            </w:r>
          </w:p>
        </w:tc>
        <w:tc>
          <w:tcPr>
            <w:tcW w:w="18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方正仿宋_GBK" w:eastAsia="方正仿宋_GBK"/>
                <w:color w:val="000000"/>
                <w:sz w:val="24"/>
                <w:lang w:val="en-US" w:eastAsia="zh-CN"/>
              </w:rPr>
            </w:pPr>
            <w:r>
              <w:rPr>
                <w:rFonts w:hint="eastAsia" w:ascii="方正仿宋_GBK"/>
                <w:color w:val="000000"/>
                <w:sz w:val="24"/>
                <w:lang w:val="en-US" w:eastAsia="zh-CN"/>
              </w:rPr>
              <w:t>3335</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color w:val="000000"/>
                <w:sz w:val="24"/>
              </w:rPr>
            </w:pPr>
            <w:r>
              <w:rPr>
                <w:rFonts w:hint="eastAsia" w:ascii="方正仿宋_GBK"/>
                <w:color w:val="000000"/>
                <w:sz w:val="24"/>
                <w:lang w:val="en-US" w:eastAsia="zh-CN"/>
              </w:rPr>
              <w:t>一事一议协商定价</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default" w:ascii="方正仿宋_GBK"/>
                <w:color w:val="auto"/>
                <w:sz w:val="24"/>
                <w:lang w:val="en-US" w:eastAsia="zh-CN"/>
              </w:rPr>
            </w:pPr>
            <w:r>
              <w:rPr>
                <w:rFonts w:hint="eastAsia" w:ascii="方正仿宋_GBK"/>
                <w:color w:val="auto"/>
                <w:sz w:val="24"/>
                <w:lang w:val="en-US" w:eastAsia="zh-CN"/>
              </w:rPr>
              <w:t>全区共2家企业</w:t>
            </w:r>
          </w:p>
        </w:tc>
      </w:tr>
      <w:tr>
        <w:tblPrEx>
          <w:tblLayout w:type="fixed"/>
          <w:tblCellMar>
            <w:top w:w="0" w:type="dxa"/>
            <w:left w:w="108" w:type="dxa"/>
            <w:bottom w:w="0" w:type="dxa"/>
            <w:right w:w="108" w:type="dxa"/>
          </w:tblCellMar>
        </w:tblPrEx>
        <w:trPr>
          <w:trHeight w:val="1001" w:hRule="atLeast"/>
        </w:trPr>
        <w:tc>
          <w:tcPr>
            <w:tcW w:w="10362" w:type="dxa"/>
            <w:gridSpan w:val="8"/>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eastAsia"/>
                <w:color w:val="000000"/>
                <w:sz w:val="24"/>
                <w:szCs w:val="24"/>
                <w:lang w:eastAsia="zh-CN"/>
              </w:rPr>
            </w:pPr>
            <w:r>
              <w:rPr>
                <w:rFonts w:hint="eastAsia"/>
                <w:color w:val="000000"/>
                <w:sz w:val="24"/>
                <w:szCs w:val="24"/>
                <w:lang w:eastAsia="zh-CN"/>
              </w:rPr>
              <w:t>新增市场调节价的范围：</w:t>
            </w:r>
          </w:p>
          <w:p>
            <w:pPr>
              <w:spacing w:line="240" w:lineRule="exact"/>
              <w:rPr>
                <w:rFonts w:hint="eastAsia"/>
                <w:color w:val="000000"/>
                <w:sz w:val="24"/>
                <w:szCs w:val="24"/>
                <w:lang w:eastAsia="zh-CN"/>
              </w:rPr>
            </w:pPr>
            <w:r>
              <w:rPr>
                <w:rFonts w:hint="eastAsia"/>
                <w:color w:val="000000"/>
                <w:sz w:val="24"/>
                <w:szCs w:val="24"/>
                <w:lang w:val="en-US" w:eastAsia="zh-CN"/>
              </w:rPr>
              <w:t>1.</w:t>
            </w:r>
            <w:r>
              <w:rPr>
                <w:rFonts w:hint="eastAsia"/>
                <w:color w:val="000000"/>
                <w:sz w:val="24"/>
                <w:szCs w:val="24"/>
                <w:lang w:eastAsia="zh-CN"/>
              </w:rPr>
              <w:t>别墅、建筑高度大于100米超高层住宅；</w:t>
            </w:r>
          </w:p>
          <w:p>
            <w:pPr>
              <w:spacing w:line="240" w:lineRule="exact"/>
              <w:rPr>
                <w:rFonts w:hint="eastAsia"/>
                <w:color w:val="000000"/>
                <w:sz w:val="24"/>
                <w:szCs w:val="24"/>
                <w:lang w:val="en-US" w:eastAsia="zh-CN"/>
              </w:rPr>
            </w:pPr>
            <w:r>
              <w:rPr>
                <w:rFonts w:hint="eastAsia"/>
                <w:color w:val="000000"/>
                <w:sz w:val="24"/>
                <w:szCs w:val="24"/>
                <w:lang w:val="en-US" w:eastAsia="zh-CN"/>
              </w:rPr>
              <w:t>2.城镇自建房；</w:t>
            </w:r>
          </w:p>
          <w:p>
            <w:pPr>
              <w:spacing w:line="240" w:lineRule="exact"/>
              <w:rPr>
                <w:rFonts w:hint="eastAsia"/>
                <w:color w:val="000000"/>
                <w:sz w:val="24"/>
                <w:szCs w:val="24"/>
                <w:lang w:eastAsia="zh-CN"/>
              </w:rPr>
            </w:pPr>
            <w:r>
              <w:rPr>
                <w:rFonts w:hint="eastAsia"/>
                <w:color w:val="000000"/>
                <w:sz w:val="24"/>
                <w:szCs w:val="24"/>
                <w:lang w:val="en-US" w:eastAsia="zh-CN"/>
              </w:rPr>
              <w:t>3.</w:t>
            </w:r>
            <w:r>
              <w:rPr>
                <w:rFonts w:hint="eastAsia"/>
                <w:color w:val="000000"/>
                <w:sz w:val="24"/>
                <w:szCs w:val="24"/>
                <w:lang w:eastAsia="zh-CN"/>
              </w:rPr>
              <w:t>同一建筑内单层层高或户内总层高超过3米的部分住宅；</w:t>
            </w:r>
          </w:p>
          <w:p>
            <w:pPr>
              <w:spacing w:line="240" w:lineRule="exact"/>
              <w:rPr>
                <w:rFonts w:hint="eastAsia" w:ascii="方正仿宋_GBK" w:eastAsia="方正仿宋_GBK"/>
                <w:color w:val="000000"/>
                <w:sz w:val="24"/>
                <w:szCs w:val="24"/>
                <w:lang w:eastAsia="zh-CN"/>
              </w:rPr>
            </w:pPr>
            <w:r>
              <w:rPr>
                <w:rFonts w:hint="eastAsia"/>
                <w:color w:val="000000"/>
                <w:sz w:val="24"/>
                <w:szCs w:val="24"/>
                <w:lang w:val="en-US" w:eastAsia="zh-CN"/>
              </w:rPr>
              <w:t>4.</w:t>
            </w:r>
            <w:r>
              <w:rPr>
                <w:rFonts w:hint="eastAsia"/>
                <w:color w:val="000000"/>
                <w:sz w:val="24"/>
                <w:szCs w:val="24"/>
                <w:lang w:eastAsia="zh-CN"/>
              </w:rPr>
              <w:t>因采暖需增大供气管径及计量表具型号的。</w:t>
            </w:r>
          </w:p>
        </w:tc>
      </w:tr>
    </w:tbl>
    <w:p>
      <w:pPr>
        <w:rPr>
          <w:rFonts w:hint="default"/>
          <w:lang w:val="en-US" w:eastAsia="zh-CN"/>
        </w:rPr>
      </w:pPr>
      <w:r>
        <w:rPr>
          <w:rFonts w:hint="eastAsia" w:ascii="方正仿宋_GBK"/>
          <w:color w:val="000000"/>
          <w:sz w:val="24"/>
        </w:rPr>
        <w:t>注：表中主城和周边各区的收费标准均为城镇规划区范围内的包干执行价。</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AAD48"/>
    <w:multiLevelType w:val="singleLevel"/>
    <w:tmpl w:val="8C2AAD48"/>
    <w:lvl w:ilvl="0" w:tentative="0">
      <w:start w:val="1"/>
      <w:numFmt w:val="decimal"/>
      <w:suff w:val="space"/>
      <w:lvlText w:val="%1."/>
      <w:lvlJc w:val="left"/>
    </w:lvl>
  </w:abstractNum>
  <w:abstractNum w:abstractNumId="1">
    <w:nsid w:val="DE19769C"/>
    <w:multiLevelType w:val="singleLevel"/>
    <w:tmpl w:val="DE19769C"/>
    <w:lvl w:ilvl="0" w:tentative="0">
      <w:start w:val="1"/>
      <w:numFmt w:val="chineseCounting"/>
      <w:suff w:val="nothing"/>
      <w:lvlText w:val="%1、"/>
      <w:lvlJc w:val="left"/>
      <w:rPr>
        <w:rFonts w:hint="eastAsia"/>
      </w:rPr>
    </w:lvl>
  </w:abstractNum>
  <w:abstractNum w:abstractNumId="2">
    <w:nsid w:val="08DFB932"/>
    <w:multiLevelType w:val="singleLevel"/>
    <w:tmpl w:val="08DFB932"/>
    <w:lvl w:ilvl="0" w:tentative="0">
      <w:start w:val="1"/>
      <w:numFmt w:val="decimal"/>
      <w:suff w:val="space"/>
      <w:lvlText w:val="%1."/>
      <w:lvlJc w:val="left"/>
      <w:rPr>
        <w:rFonts w:hint="default"/>
        <w:color w:val="000000" w:themeColor="text1"/>
        <w14:textFill>
          <w14:solidFill>
            <w14:schemeClr w14:val="tx1"/>
          </w14:solidFill>
        </w14:textFil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A0E4D"/>
    <w:rsid w:val="083900C7"/>
    <w:rsid w:val="084518C3"/>
    <w:rsid w:val="0C6029DA"/>
    <w:rsid w:val="0FD3647E"/>
    <w:rsid w:val="15AC77F3"/>
    <w:rsid w:val="15C91664"/>
    <w:rsid w:val="16677027"/>
    <w:rsid w:val="1AD12355"/>
    <w:rsid w:val="1D506E35"/>
    <w:rsid w:val="21D5330E"/>
    <w:rsid w:val="3209619C"/>
    <w:rsid w:val="32820A02"/>
    <w:rsid w:val="35C80D49"/>
    <w:rsid w:val="370E43A0"/>
    <w:rsid w:val="3B5840A9"/>
    <w:rsid w:val="3D102B44"/>
    <w:rsid w:val="3DDB025D"/>
    <w:rsid w:val="3EDA61FD"/>
    <w:rsid w:val="433C197C"/>
    <w:rsid w:val="484A764B"/>
    <w:rsid w:val="4E6A0E4D"/>
    <w:rsid w:val="57082BE8"/>
    <w:rsid w:val="5CEE3E51"/>
    <w:rsid w:val="63B27654"/>
    <w:rsid w:val="63EB0295"/>
    <w:rsid w:val="6560185E"/>
    <w:rsid w:val="69155525"/>
    <w:rsid w:val="6C1D4AB8"/>
    <w:rsid w:val="6EB655C4"/>
    <w:rsid w:val="71E832A4"/>
    <w:rsid w:val="78B61621"/>
    <w:rsid w:val="7A8E5FAC"/>
    <w:rsid w:val="7BF9354B"/>
    <w:rsid w:val="7DD16865"/>
    <w:rsid w:val="7F2C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楷体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qFormat/>
    <w:uiPriority w:val="10"/>
    <w:pPr>
      <w:spacing w:line="660" w:lineRule="exact"/>
      <w:ind w:firstLine="0" w:firstLineChars="0"/>
      <w:jc w:val="center"/>
      <w:outlineLvl w:val="0"/>
    </w:pPr>
    <w:rPr>
      <w:rFonts w:ascii="Arial" w:hAnsi="Arial" w:eastAsia="华文中宋" w:cs="Arial"/>
      <w:b/>
      <w:bCs/>
      <w:sz w:val="44"/>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2498</Words>
  <Characters>2723</Characters>
  <Lines>0</Lines>
  <Paragraphs>0</Paragraphs>
  <TotalTime>9</TotalTime>
  <ScaleCrop>false</ScaleCrop>
  <LinksUpToDate>false</LinksUpToDate>
  <CharactersWithSpaces>2753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2020-10-30T07:03:00Z</dcterms:created>
  <dc:creator>Administrator</dc:creator>
  <cp:lastModifiedBy>Administrator</cp:lastModifiedBy>
  <cp:lastPrinted>2022-04-19T03:22:00Z</cp:lastPrinted>
  <dcterms:modified xsi:type="dcterms:W3CDTF">2022-05-05T02:36:25Z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13CD59903F0C495E9AD86B341B180E1C</vt:lpwstr>
  </property>
</Properties>
</file>