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重庆市铜梁区财政局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OLE_LINK7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下达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年土地指标跨省域调剂收入安排的支出预算表（支持农村厕所革命整村推进财政奖补）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</w:rPr>
        <w:t>铜财〔20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sz w:val="32"/>
        </w:rPr>
        <w:t>〕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295</w:t>
      </w:r>
      <w:r>
        <w:rPr>
          <w:rFonts w:hint="eastAsia" w:ascii="Times New Roman" w:hAnsi="Times New Roman" w:eastAsia="方正仿宋_GBK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农业农村委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根据《重庆市财政局关于下达2023年土地指标跨省域调剂收入安排的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支出预算表（支持农村厕所革命整村推进财政奖补）的通知》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（渝财农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67号）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精神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2023年土地指标跨省域调剂收入安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排的支出（支持农村厕所革命整村推进财政奖补）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下达你单位，其中：新建及问题户厕升级改造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271万元，户厕管护14万元。</w:t>
      </w: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请你单位严格按照市级主管部门、财政部门的相关规定和市级文件明确要求，30日内将资金分解下达到具体项目，加强资金管理，确保资金专款专用，切实提高资金使用效益，并将绩效目标于202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日前报送区财政局农业科。请在组织预算执行中对照绩效目标，做好绩效监控，确保年度绩效目标如期实现。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年终办理决算时，功能科目请列“农业农村（21301）”，经济科目据实列支。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6" w:firstLineChars="1627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重庆市铜梁区财政局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 xml:space="preserve">                              2023年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日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（此件主动公开）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A6A0B"/>
    <w:rsid w:val="2AD75874"/>
    <w:rsid w:val="441E58AD"/>
    <w:rsid w:val="529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uiPriority w:val="0"/>
    <w:pPr>
      <w:spacing w:line="594" w:lineRule="exact"/>
      <w:ind w:firstLine="482"/>
    </w:pPr>
    <w:rPr>
      <w:rFonts w:ascii="Calibri" w:hAnsi="Calibri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2023-08-15T06:27:00Z</dcterms:created>
  <dc:creator>万岁</dc:creator>
  <cp:lastModifiedBy>万岁</cp:lastModifiedBy>
  <dcterms:modified xsi:type="dcterms:W3CDTF">2023-08-15T06:44:16Z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