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jc w:val="center"/>
        <w:textAlignment w:val="auto"/>
        <w:rPr>
          <w:rFonts w:hint="eastAsia" w:ascii="方正小标宋_GBK" w:hAnsi="方正小标宋_GBK" w:eastAsia="方正小标宋_GBK" w:cs="方正小标宋_GBK"/>
          <w:b w:val="0"/>
          <w:bCs/>
          <w:color w:val="auto"/>
          <w:sz w:val="44"/>
          <w:szCs w:val="44"/>
        </w:rPr>
      </w:pPr>
      <w:r>
        <w:rPr>
          <w:rStyle w:val="4"/>
          <w:rFonts w:hint="eastAsia" w:ascii="方正小标宋_GBK" w:hAnsi="方正小标宋_GBK" w:eastAsia="方正小标宋_GBK" w:cs="方正小标宋_GBK"/>
          <w:b w:val="0"/>
          <w:bCs/>
          <w:color w:val="auto"/>
          <w:sz w:val="44"/>
          <w:szCs w:val="44"/>
        </w:rPr>
        <w:t>重庆市铜梁区教育考试中心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jc w:val="center"/>
        <w:textAlignment w:val="auto"/>
        <w:rPr>
          <w:rStyle w:val="4"/>
          <w:rFonts w:hint="eastAsia" w:ascii="方正小标宋_GBK" w:hAnsi="方正小标宋_GBK" w:eastAsia="方正小标宋_GBK" w:cs="方正小标宋_GBK"/>
          <w:b w:val="0"/>
          <w:bCs/>
          <w:color w:val="auto"/>
          <w:sz w:val="44"/>
          <w:szCs w:val="44"/>
        </w:rPr>
      </w:pPr>
      <w:r>
        <w:rPr>
          <w:rStyle w:val="4"/>
          <w:rFonts w:hint="eastAsia" w:ascii="方正小标宋_GBK" w:hAnsi="方正小标宋_GBK" w:eastAsia="方正小标宋_GBK" w:cs="方正小标宋_GBK"/>
          <w:b w:val="0"/>
          <w:bCs/>
          <w:color w:val="auto"/>
          <w:sz w:val="44"/>
          <w:szCs w:val="44"/>
        </w:rPr>
        <w:t>2022年度部门决算情况说明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jc w:val="center"/>
        <w:textAlignment w:val="auto"/>
        <w:rPr>
          <w:rStyle w:val="4"/>
          <w:rFonts w:hint="eastAsia" w:ascii="方正小标宋_GBK" w:hAnsi="方正小标宋_GBK" w:eastAsia="方正小标宋_GBK" w:cs="方正小标宋_GBK"/>
          <w:b w:val="0"/>
          <w:bCs/>
          <w:color w:val="auto"/>
          <w:sz w:val="44"/>
          <w:szCs w:val="44"/>
        </w:rPr>
      </w:pPr>
    </w:p>
    <w:p>
      <w:pPr>
        <w:pStyle w:val="2"/>
        <w:keepNext w:val="0"/>
        <w:keepLines w:val="0"/>
        <w:pageBreakBefore w:val="0"/>
        <w:widowControl/>
        <w:suppressLineNumbers w:val="0"/>
        <w:kinsoku/>
        <w:wordWrap/>
        <w:overflowPunct/>
        <w:topLinePunct w:val="0"/>
        <w:autoSpaceDN/>
        <w:bidi w:val="0"/>
        <w:adjustRightInd/>
        <w:snapToGrid/>
        <w:spacing w:beforeAutospacing="0" w:afterAutospacing="0" w:line="594" w:lineRule="exact"/>
        <w:ind w:right="0" w:firstLine="640" w:firstLineChars="200"/>
        <w:jc w:val="left"/>
        <w:textAlignment w:val="auto"/>
        <w:rPr>
          <w:rStyle w:val="4"/>
          <w:rFonts w:hint="eastAsia" w:ascii="方正黑体_GBK" w:hAnsi="方正黑体_GBK" w:eastAsia="方正黑体_GBK" w:cs="方正黑体_GBK"/>
          <w:b w:val="0"/>
          <w:bCs/>
          <w:color w:val="auto"/>
          <w:sz w:val="32"/>
          <w:szCs w:val="32"/>
          <w:lang w:val="en-US" w:eastAsia="zh-CN"/>
        </w:rPr>
      </w:pPr>
      <w:r>
        <w:rPr>
          <w:rStyle w:val="4"/>
          <w:rFonts w:hint="eastAsia" w:ascii="方正黑体_GBK" w:hAnsi="方正黑体_GBK" w:eastAsia="方正黑体_GBK" w:cs="方正黑体_GBK"/>
          <w:b w:val="0"/>
          <w:bCs/>
          <w:color w:val="auto"/>
          <w:sz w:val="32"/>
          <w:szCs w:val="32"/>
          <w:lang w:val="en-US" w:eastAsia="zh-CN"/>
        </w:rPr>
        <w:t>一、部门基本情况</w:t>
      </w:r>
    </w:p>
    <w:p>
      <w:pPr>
        <w:pStyle w:val="2"/>
        <w:keepNext w:val="0"/>
        <w:keepLines w:val="0"/>
        <w:pageBreakBefore w:val="0"/>
        <w:widowControl/>
        <w:suppressLineNumbers w:val="0"/>
        <w:kinsoku/>
        <w:wordWrap/>
        <w:overflowPunct/>
        <w:topLinePunct w:val="0"/>
        <w:autoSpaceDN/>
        <w:bidi w:val="0"/>
        <w:adjustRightInd/>
        <w:snapToGrid/>
        <w:spacing w:beforeAutospacing="0" w:afterAutospacing="0" w:line="594" w:lineRule="exact"/>
        <w:ind w:right="0" w:firstLine="640" w:firstLineChars="200"/>
        <w:jc w:val="left"/>
        <w:textAlignment w:val="auto"/>
        <w:rPr>
          <w:rStyle w:val="4"/>
          <w:rFonts w:hint="eastAsia" w:ascii="方正楷体_GBK" w:hAnsi="方正楷体_GBK" w:eastAsia="方正楷体_GBK" w:cs="方正楷体_GBK"/>
          <w:b w:val="0"/>
          <w:bCs/>
          <w:color w:val="auto"/>
          <w:sz w:val="32"/>
          <w:szCs w:val="32"/>
          <w:lang w:val="en-US" w:eastAsia="zh-CN"/>
        </w:rPr>
      </w:pPr>
      <w:r>
        <w:rPr>
          <w:rStyle w:val="4"/>
          <w:rFonts w:hint="eastAsia" w:ascii="方正楷体_GBK" w:hAnsi="方正楷体_GBK" w:eastAsia="方正楷体_GBK" w:cs="方正楷体_GBK"/>
          <w:b w:val="0"/>
          <w:bCs/>
          <w:color w:val="auto"/>
          <w:sz w:val="32"/>
          <w:szCs w:val="32"/>
          <w:lang w:val="en-US" w:eastAsia="zh-CN"/>
        </w:rPr>
        <w:t>（一）职能职责</w:t>
      </w:r>
    </w:p>
    <w:p>
      <w:pPr>
        <w:pStyle w:val="2"/>
        <w:keepNext w:val="0"/>
        <w:keepLines w:val="0"/>
        <w:pageBreakBefore w:val="0"/>
        <w:widowControl/>
        <w:suppressLineNumbers w:val="0"/>
        <w:kinsoku/>
        <w:wordWrap/>
        <w:overflowPunct/>
        <w:topLinePunct w:val="0"/>
        <w:autoSpaceDN/>
        <w:bidi w:val="0"/>
        <w:adjustRightInd/>
        <w:snapToGrid/>
        <w:spacing w:beforeAutospacing="0" w:afterAutospacing="0" w:line="594" w:lineRule="exact"/>
        <w:ind w:right="0" w:firstLine="640" w:firstLineChars="200"/>
        <w:jc w:val="left"/>
        <w:textAlignment w:val="auto"/>
        <w:rPr>
          <w:rStyle w:val="4"/>
          <w:rFonts w:hint="eastAsia" w:ascii="方正仿宋_GBK" w:hAnsi="方正仿宋_GBK" w:eastAsia="方正仿宋_GBK" w:cs="方正仿宋_GBK"/>
          <w:b w:val="0"/>
          <w:bCs/>
          <w:color w:val="auto"/>
          <w:sz w:val="32"/>
          <w:szCs w:val="32"/>
        </w:rPr>
      </w:pPr>
      <w:r>
        <w:rPr>
          <w:rStyle w:val="4"/>
          <w:rFonts w:hint="eastAsia" w:ascii="方正仿宋_GBK" w:hAnsi="方正仿宋_GBK" w:eastAsia="方正仿宋_GBK" w:cs="方正仿宋_GBK"/>
          <w:b w:val="0"/>
          <w:bCs/>
          <w:color w:val="auto"/>
          <w:sz w:val="32"/>
          <w:szCs w:val="32"/>
        </w:rPr>
        <w:t>管理普通高校以及成人高校的招生报名、体检、建档、考试、口试；管理自学专科本科考试的报名、建档、考试；管理社会化报名、考试。</w:t>
      </w:r>
    </w:p>
    <w:p>
      <w:pPr>
        <w:pStyle w:val="2"/>
        <w:keepNext w:val="0"/>
        <w:keepLines w:val="0"/>
        <w:pageBreakBefore w:val="0"/>
        <w:widowControl/>
        <w:suppressLineNumbers w:val="0"/>
        <w:kinsoku/>
        <w:wordWrap/>
        <w:overflowPunct/>
        <w:topLinePunct w:val="0"/>
        <w:autoSpaceDN/>
        <w:bidi w:val="0"/>
        <w:adjustRightInd/>
        <w:snapToGrid/>
        <w:spacing w:beforeAutospacing="0" w:afterAutospacing="0" w:line="594" w:lineRule="exact"/>
        <w:ind w:right="0" w:firstLine="640" w:firstLineChars="200"/>
        <w:jc w:val="left"/>
        <w:textAlignment w:val="auto"/>
        <w:rPr>
          <w:rStyle w:val="4"/>
          <w:rFonts w:hint="eastAsia" w:ascii="方正楷体_GBK" w:hAnsi="方正楷体_GBK" w:eastAsia="方正楷体_GBK" w:cs="方正楷体_GBK"/>
          <w:b w:val="0"/>
          <w:bCs/>
          <w:color w:val="auto"/>
          <w:sz w:val="32"/>
          <w:szCs w:val="32"/>
          <w:lang w:val="en-US" w:eastAsia="zh-CN"/>
        </w:rPr>
      </w:pPr>
      <w:r>
        <w:rPr>
          <w:rStyle w:val="4"/>
          <w:rFonts w:hint="eastAsia" w:ascii="方正楷体_GBK" w:hAnsi="方正楷体_GBK" w:eastAsia="方正楷体_GBK" w:cs="方正楷体_GBK"/>
          <w:b w:val="0"/>
          <w:bCs/>
          <w:color w:val="auto"/>
          <w:sz w:val="32"/>
          <w:szCs w:val="32"/>
          <w:lang w:val="en-US" w:eastAsia="zh-CN"/>
        </w:rPr>
        <w:t>（二）机构设置</w:t>
      </w:r>
    </w:p>
    <w:p>
      <w:pPr>
        <w:pStyle w:val="2"/>
        <w:keepNext w:val="0"/>
        <w:keepLines w:val="0"/>
        <w:pageBreakBefore w:val="0"/>
        <w:widowControl/>
        <w:suppressLineNumbers w:val="0"/>
        <w:kinsoku/>
        <w:wordWrap/>
        <w:overflowPunct/>
        <w:topLinePunct w:val="0"/>
        <w:autoSpaceDN/>
        <w:bidi w:val="0"/>
        <w:adjustRightInd/>
        <w:snapToGrid/>
        <w:spacing w:beforeAutospacing="0" w:afterAutospacing="0" w:line="594" w:lineRule="exact"/>
        <w:ind w:right="0"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本单位未进行内部机构设置。</w:t>
      </w:r>
    </w:p>
    <w:p>
      <w:pPr>
        <w:pStyle w:val="2"/>
        <w:keepNext w:val="0"/>
        <w:keepLines w:val="0"/>
        <w:pageBreakBefore w:val="0"/>
        <w:widowControl/>
        <w:suppressLineNumbers w:val="0"/>
        <w:kinsoku/>
        <w:wordWrap/>
        <w:overflowPunct/>
        <w:topLinePunct w:val="0"/>
        <w:autoSpaceDN/>
        <w:bidi w:val="0"/>
        <w:adjustRightInd/>
        <w:snapToGrid/>
        <w:spacing w:beforeAutospacing="0" w:afterAutospacing="0" w:line="594" w:lineRule="exact"/>
        <w:ind w:right="0" w:firstLine="640" w:firstLineChars="200"/>
        <w:textAlignment w:val="auto"/>
        <w:rPr>
          <w:rStyle w:val="7"/>
          <w:rFonts w:hint="eastAsia" w:ascii="方正黑体_GBK" w:hAnsi="方正黑体_GBK" w:eastAsia="方正黑体_GBK" w:cs="方正黑体_GBK"/>
          <w:b w:val="0"/>
          <w:color w:val="auto"/>
          <w:kern w:val="0"/>
          <w:sz w:val="32"/>
          <w:szCs w:val="32"/>
          <w:shd w:val="clear" w:fill="FFFFFF"/>
          <w:lang w:val="en-US" w:eastAsia="zh-CN" w:bidi="ar"/>
        </w:rPr>
      </w:pPr>
      <w:r>
        <w:rPr>
          <w:rStyle w:val="7"/>
          <w:rFonts w:hint="eastAsia" w:ascii="方正黑体_GBK" w:hAnsi="方正黑体_GBK" w:eastAsia="方正黑体_GBK" w:cs="方正黑体_GBK"/>
          <w:b w:val="0"/>
          <w:color w:val="auto"/>
          <w:kern w:val="0"/>
          <w:sz w:val="32"/>
          <w:szCs w:val="32"/>
          <w:shd w:val="clear" w:fill="FFFFFF"/>
          <w:lang w:val="en-US" w:eastAsia="zh-CN" w:bidi="ar"/>
        </w:rPr>
        <w:t>二、部门决算情况说明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right="0" w:firstLine="640" w:firstLineChars="200"/>
        <w:jc w:val="left"/>
        <w:textAlignment w:val="auto"/>
        <w:rPr>
          <w:rFonts w:hint="eastAsia" w:ascii="方正楷体_GBK" w:hAnsi="方正楷体_GBK" w:eastAsia="方正楷体_GBK" w:cs="方正楷体_GBK"/>
          <w:b w:val="0"/>
          <w:bCs/>
          <w:color w:val="auto"/>
          <w:sz w:val="32"/>
          <w:szCs w:val="32"/>
        </w:rPr>
      </w:pPr>
      <w:r>
        <w:rPr>
          <w:rStyle w:val="4"/>
          <w:rFonts w:hint="eastAsia" w:ascii="方正楷体_GBK" w:hAnsi="方正楷体_GBK" w:eastAsia="方正楷体_GBK" w:cs="方正楷体_GBK"/>
          <w:b w:val="0"/>
          <w:bCs/>
          <w:color w:val="auto"/>
          <w:sz w:val="32"/>
          <w:szCs w:val="32"/>
        </w:rPr>
        <w:t>（一）收入支出决算总体情况说明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right="0" w:firstLine="643" w:firstLineChars="200"/>
        <w:jc w:val="left"/>
        <w:textAlignment w:val="auto"/>
        <w:rPr>
          <w:rFonts w:hint="eastAsia" w:ascii="方正仿宋_GBK" w:hAnsi="方正仿宋_GBK" w:eastAsia="方正仿宋_GBK" w:cs="方正仿宋_GBK"/>
          <w:color w:val="auto"/>
          <w:sz w:val="32"/>
          <w:szCs w:val="32"/>
          <w:lang w:val="en-US" w:eastAsia="zh-CN"/>
        </w:rPr>
      </w:pPr>
      <w:r>
        <w:rPr>
          <w:rStyle w:val="4"/>
          <w:rFonts w:hint="eastAsia" w:ascii="方正仿宋_GBK" w:hAnsi="方正仿宋_GBK" w:eastAsia="方正仿宋_GBK" w:cs="方正仿宋_GBK"/>
          <w:b/>
          <w:bCs w:val="0"/>
          <w:color w:val="auto"/>
          <w:sz w:val="32"/>
          <w:szCs w:val="32"/>
        </w:rPr>
        <w:t>1.总体情况。</w:t>
      </w:r>
      <w:r>
        <w:rPr>
          <w:rStyle w:val="4"/>
          <w:rFonts w:hint="eastAsia" w:ascii="方正仿宋_GBK" w:hAnsi="方正仿宋_GBK" w:eastAsia="方正仿宋_GBK" w:cs="方正仿宋_GBK"/>
          <w:b w:val="0"/>
          <w:bCs/>
          <w:color w:val="auto"/>
          <w:sz w:val="32"/>
          <w:szCs w:val="32"/>
        </w:rPr>
        <w:t>2</w:t>
      </w:r>
      <w:r>
        <w:rPr>
          <w:rFonts w:hint="eastAsia" w:ascii="方正仿宋_GBK" w:hAnsi="方正仿宋_GBK" w:eastAsia="方正仿宋_GBK" w:cs="方正仿宋_GBK"/>
          <w:color w:val="auto"/>
          <w:sz w:val="32"/>
          <w:szCs w:val="32"/>
        </w:rPr>
        <w:t>022年度收入总计71.56万元，支出总计71.56万元。收支较上年决算数增加71.56万元,增长</w:t>
      </w:r>
      <w:r>
        <w:rPr>
          <w:rFonts w:hint="eastAsia" w:ascii="方正仿宋_GBK" w:hAnsi="方正仿宋_GBK" w:eastAsia="方正仿宋_GBK" w:cs="方正仿宋_GBK"/>
          <w:color w:val="auto"/>
          <w:sz w:val="32"/>
          <w:szCs w:val="32"/>
          <w:lang w:val="en-US" w:eastAsia="zh-CN"/>
        </w:rPr>
        <w:t>100</w:t>
      </w:r>
      <w:r>
        <w:rPr>
          <w:rFonts w:hint="eastAsia" w:ascii="方正仿宋_GBK" w:hAnsi="方正仿宋_GBK" w:eastAsia="方正仿宋_GBK" w:cs="方正仿宋_GBK"/>
          <w:color w:val="auto"/>
          <w:sz w:val="32"/>
          <w:szCs w:val="32"/>
        </w:rPr>
        <w:t>%，主要原因是</w:t>
      </w:r>
      <w:r>
        <w:rPr>
          <w:rFonts w:hint="eastAsia" w:ascii="方正仿宋_GBK" w:hAnsi="方正仿宋_GBK" w:eastAsia="方正仿宋_GBK" w:cs="方正仿宋_GBK"/>
          <w:color w:val="auto"/>
          <w:sz w:val="32"/>
          <w:szCs w:val="32"/>
          <w:lang w:val="en-US" w:eastAsia="zh-CN"/>
        </w:rPr>
        <w:t>本单位2021年收入支出纳入区教委统一核算，2021年决算数据统一通过教委进行填报，2022年单独进行会计核算。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right="0" w:firstLine="643" w:firstLineChars="200"/>
        <w:jc w:val="left"/>
        <w:textAlignment w:val="auto"/>
        <w:rPr>
          <w:rFonts w:hint="eastAsia" w:ascii="方正仿宋_GBK" w:hAnsi="方正仿宋_GBK" w:eastAsia="方正仿宋_GBK" w:cs="方正仿宋_GBK"/>
          <w:color w:val="auto"/>
          <w:sz w:val="32"/>
          <w:szCs w:val="32"/>
          <w:lang w:eastAsia="zh-CN"/>
        </w:rPr>
      </w:pPr>
      <w:r>
        <w:rPr>
          <w:rStyle w:val="4"/>
          <w:rFonts w:hint="eastAsia" w:ascii="方正仿宋_GBK" w:hAnsi="方正仿宋_GBK" w:eastAsia="方正仿宋_GBK" w:cs="方正仿宋_GBK"/>
          <w:b/>
          <w:bCs w:val="0"/>
          <w:color w:val="auto"/>
          <w:sz w:val="32"/>
          <w:szCs w:val="32"/>
        </w:rPr>
        <w:t>2.收入情况。</w:t>
      </w:r>
      <w:r>
        <w:rPr>
          <w:rFonts w:hint="eastAsia" w:ascii="方正仿宋_GBK" w:hAnsi="方正仿宋_GBK" w:eastAsia="方正仿宋_GBK" w:cs="方正仿宋_GBK"/>
          <w:color w:val="auto"/>
          <w:sz w:val="32"/>
          <w:szCs w:val="32"/>
        </w:rPr>
        <w:t>2022年度收入合计71.56万元，较上年决算数增加71.56万元，增长</w:t>
      </w:r>
      <w:r>
        <w:rPr>
          <w:rFonts w:hint="eastAsia" w:ascii="方正仿宋_GBK" w:hAnsi="方正仿宋_GBK" w:eastAsia="方正仿宋_GBK" w:cs="方正仿宋_GBK"/>
          <w:color w:val="auto"/>
          <w:sz w:val="32"/>
          <w:szCs w:val="32"/>
          <w:lang w:val="en-US" w:eastAsia="zh-CN"/>
        </w:rPr>
        <w:t>100</w:t>
      </w:r>
      <w:r>
        <w:rPr>
          <w:rFonts w:hint="eastAsia" w:ascii="方正仿宋_GBK" w:hAnsi="方正仿宋_GBK" w:eastAsia="方正仿宋_GBK" w:cs="方正仿宋_GBK"/>
          <w:color w:val="auto"/>
          <w:sz w:val="32"/>
          <w:szCs w:val="32"/>
        </w:rPr>
        <w:t>%，主要原因是</w:t>
      </w:r>
      <w:r>
        <w:rPr>
          <w:rFonts w:hint="eastAsia" w:ascii="方正仿宋_GBK" w:hAnsi="方正仿宋_GBK" w:eastAsia="方正仿宋_GBK" w:cs="方正仿宋_GBK"/>
          <w:color w:val="auto"/>
          <w:sz w:val="32"/>
          <w:szCs w:val="32"/>
          <w:lang w:val="en-US" w:eastAsia="zh-CN"/>
        </w:rPr>
        <w:t>本单位2021年收入支出纳入区教委统一核算，2021年决算数据统一通过教委进行填报，2022年单独进行会计核算。</w:t>
      </w:r>
      <w:r>
        <w:rPr>
          <w:rFonts w:hint="eastAsia" w:ascii="方正仿宋_GBK" w:hAnsi="方正仿宋_GBK" w:eastAsia="方正仿宋_GBK" w:cs="方正仿宋_GBK"/>
          <w:color w:val="auto"/>
          <w:sz w:val="32"/>
          <w:szCs w:val="32"/>
        </w:rPr>
        <w:t>其中：财政拨款收入71.56万元，占100%</w:t>
      </w:r>
      <w:r>
        <w:rPr>
          <w:rFonts w:hint="eastAsia" w:ascii="方正仿宋_GBK" w:hAnsi="方正仿宋_GBK" w:eastAsia="方正仿宋_GBK" w:cs="方正仿宋_GBK"/>
          <w:color w:val="auto"/>
          <w:sz w:val="32"/>
          <w:szCs w:val="32"/>
          <w:lang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right="0" w:firstLine="643" w:firstLineChars="200"/>
        <w:jc w:val="left"/>
        <w:textAlignment w:val="auto"/>
        <w:rPr>
          <w:rFonts w:hint="eastAsia" w:ascii="方正仿宋_GBK" w:hAnsi="方正仿宋_GBK" w:eastAsia="方正仿宋_GBK" w:cs="方正仿宋_GBK"/>
          <w:color w:val="auto"/>
          <w:sz w:val="32"/>
          <w:szCs w:val="32"/>
          <w:lang w:eastAsia="zh-CN"/>
        </w:rPr>
      </w:pPr>
      <w:r>
        <w:rPr>
          <w:rStyle w:val="4"/>
          <w:rFonts w:hint="eastAsia" w:ascii="方正仿宋_GBK" w:hAnsi="方正仿宋_GBK" w:eastAsia="方正仿宋_GBK" w:cs="方正仿宋_GBK"/>
          <w:b/>
          <w:bCs w:val="0"/>
          <w:color w:val="auto"/>
          <w:sz w:val="32"/>
          <w:szCs w:val="32"/>
        </w:rPr>
        <w:t>3.支出情况。</w:t>
      </w:r>
      <w:r>
        <w:rPr>
          <w:rFonts w:hint="eastAsia" w:ascii="方正仿宋_GBK" w:hAnsi="方正仿宋_GBK" w:eastAsia="方正仿宋_GBK" w:cs="方正仿宋_GBK"/>
          <w:color w:val="auto"/>
          <w:sz w:val="32"/>
          <w:szCs w:val="32"/>
        </w:rPr>
        <w:t>2022年度支出合计71.56万元，较上年决算增加71.56万元，增长</w:t>
      </w:r>
      <w:r>
        <w:rPr>
          <w:rFonts w:hint="eastAsia" w:ascii="方正仿宋_GBK" w:hAnsi="方正仿宋_GBK" w:eastAsia="方正仿宋_GBK" w:cs="方正仿宋_GBK"/>
          <w:color w:val="auto"/>
          <w:sz w:val="32"/>
          <w:szCs w:val="32"/>
          <w:lang w:val="en-US" w:eastAsia="zh-CN"/>
        </w:rPr>
        <w:t>100</w:t>
      </w:r>
      <w:r>
        <w:rPr>
          <w:rFonts w:hint="eastAsia" w:ascii="方正仿宋_GBK" w:hAnsi="方正仿宋_GBK" w:eastAsia="方正仿宋_GBK" w:cs="方正仿宋_GBK"/>
          <w:color w:val="auto"/>
          <w:sz w:val="32"/>
          <w:szCs w:val="32"/>
        </w:rPr>
        <w:t>%，主要原因是</w:t>
      </w:r>
      <w:r>
        <w:rPr>
          <w:rFonts w:hint="eastAsia" w:ascii="方正仿宋_GBK" w:hAnsi="方正仿宋_GBK" w:eastAsia="方正仿宋_GBK" w:cs="方正仿宋_GBK"/>
          <w:color w:val="auto"/>
          <w:sz w:val="32"/>
          <w:szCs w:val="32"/>
          <w:lang w:val="en-US" w:eastAsia="zh-CN"/>
        </w:rPr>
        <w:t>本单位2021年收入支出纳入区教委统一核算，2021年决算数据统一通过教委进行填报，2022年单独进行会计核算。</w:t>
      </w:r>
      <w:r>
        <w:rPr>
          <w:rFonts w:hint="eastAsia" w:ascii="方正仿宋_GBK" w:hAnsi="方正仿宋_GBK" w:eastAsia="方正仿宋_GBK" w:cs="方正仿宋_GBK"/>
          <w:color w:val="auto"/>
          <w:sz w:val="32"/>
          <w:szCs w:val="32"/>
        </w:rPr>
        <w:t>其中：基本支出44.40万元，占62%；项目支出27.16万元，占38%</w:t>
      </w:r>
      <w:r>
        <w:rPr>
          <w:rFonts w:hint="eastAsia" w:ascii="方正仿宋_GBK" w:hAnsi="方正仿宋_GBK" w:eastAsia="方正仿宋_GBK" w:cs="方正仿宋_GBK"/>
          <w:color w:val="auto"/>
          <w:sz w:val="32"/>
          <w:szCs w:val="32"/>
          <w:lang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right="0" w:firstLine="643" w:firstLineChars="200"/>
        <w:jc w:val="left"/>
        <w:textAlignment w:val="auto"/>
        <w:rPr>
          <w:rFonts w:hint="eastAsia" w:ascii="方正仿宋_GBK" w:hAnsi="方正仿宋_GBK" w:eastAsia="方正仿宋_GBK" w:cs="方正仿宋_GBK"/>
          <w:color w:val="auto"/>
          <w:sz w:val="32"/>
          <w:szCs w:val="32"/>
        </w:rPr>
      </w:pPr>
      <w:r>
        <w:rPr>
          <w:rStyle w:val="4"/>
          <w:rFonts w:hint="eastAsia" w:ascii="方正仿宋_GBK" w:hAnsi="方正仿宋_GBK" w:eastAsia="方正仿宋_GBK" w:cs="方正仿宋_GBK"/>
          <w:b/>
          <w:bCs w:val="0"/>
          <w:color w:val="auto"/>
          <w:sz w:val="32"/>
          <w:szCs w:val="32"/>
        </w:rPr>
        <w:t>4.结转结余情况。</w:t>
      </w:r>
      <w:r>
        <w:rPr>
          <w:rStyle w:val="4"/>
          <w:rFonts w:hint="eastAsia" w:ascii="方正仿宋_GBK" w:hAnsi="方正仿宋_GBK" w:eastAsia="方正仿宋_GBK" w:cs="方正仿宋_GBK"/>
          <w:b w:val="0"/>
          <w:bCs/>
          <w:color w:val="auto"/>
          <w:sz w:val="32"/>
          <w:szCs w:val="32"/>
        </w:rPr>
        <w:t>2</w:t>
      </w:r>
      <w:r>
        <w:rPr>
          <w:rFonts w:hint="eastAsia" w:ascii="方正仿宋_GBK" w:hAnsi="方正仿宋_GBK" w:eastAsia="方正仿宋_GBK" w:cs="方正仿宋_GBK"/>
          <w:color w:val="auto"/>
          <w:sz w:val="32"/>
          <w:szCs w:val="32"/>
        </w:rPr>
        <w:t>022年度年末结转和结余0.00万元，较上年决算数增加0.00万元，主要原因是</w:t>
      </w:r>
      <w:r>
        <w:rPr>
          <w:rFonts w:hint="eastAsia" w:ascii="方正仿宋_GBK" w:hAnsi="方正仿宋_GBK" w:eastAsia="方正仿宋_GBK" w:cs="方正仿宋_GBK"/>
          <w:color w:val="auto"/>
          <w:sz w:val="32"/>
          <w:szCs w:val="32"/>
          <w:lang w:val="en-US" w:eastAsia="zh-CN"/>
        </w:rPr>
        <w:t>本单位2021年收入支出纳入区教委统一核算，2021年决算数据统一通过教委进行填报，2022年单独进行会计核算。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right="0" w:firstLine="640" w:firstLineChars="200"/>
        <w:jc w:val="left"/>
        <w:textAlignment w:val="auto"/>
        <w:rPr>
          <w:rStyle w:val="4"/>
          <w:rFonts w:hint="eastAsia" w:ascii="方正楷体_GBK" w:hAnsi="方正楷体_GBK" w:eastAsia="方正楷体_GBK" w:cs="方正楷体_GBK"/>
          <w:b w:val="0"/>
          <w:bCs/>
          <w:color w:val="auto"/>
          <w:sz w:val="32"/>
          <w:szCs w:val="32"/>
        </w:rPr>
      </w:pPr>
      <w:r>
        <w:rPr>
          <w:rStyle w:val="4"/>
          <w:rFonts w:hint="eastAsia" w:ascii="方正楷体_GBK" w:hAnsi="方正楷体_GBK" w:eastAsia="方正楷体_GBK" w:cs="方正楷体_GBK"/>
          <w:b w:val="0"/>
          <w:bCs/>
          <w:color w:val="auto"/>
          <w:sz w:val="32"/>
          <w:szCs w:val="32"/>
        </w:rPr>
        <w:t>（二）财政拨款收入支出决算总体情况说明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right="0" w:firstLine="640" w:firstLineChars="200"/>
        <w:jc w:val="left"/>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rPr>
        <w:t>2022年度财政拨款收、支总计71.56万元。与2021年相比，财政拨款收、支总计各增加71.56万元，增长</w:t>
      </w:r>
      <w:r>
        <w:rPr>
          <w:rFonts w:hint="eastAsia" w:ascii="方正仿宋_GBK" w:hAnsi="方正仿宋_GBK" w:eastAsia="方正仿宋_GBK" w:cs="方正仿宋_GBK"/>
          <w:color w:val="auto"/>
          <w:sz w:val="32"/>
          <w:szCs w:val="32"/>
          <w:lang w:val="en-US" w:eastAsia="zh-CN"/>
        </w:rPr>
        <w:t>100</w:t>
      </w:r>
      <w:r>
        <w:rPr>
          <w:rFonts w:hint="eastAsia" w:ascii="方正仿宋_GBK" w:hAnsi="方正仿宋_GBK" w:eastAsia="方正仿宋_GBK" w:cs="方正仿宋_GBK"/>
          <w:color w:val="auto"/>
          <w:sz w:val="32"/>
          <w:szCs w:val="32"/>
        </w:rPr>
        <w:t>%。主要原因是</w:t>
      </w:r>
      <w:r>
        <w:rPr>
          <w:rFonts w:hint="eastAsia" w:ascii="方正仿宋_GBK" w:hAnsi="方正仿宋_GBK" w:eastAsia="方正仿宋_GBK" w:cs="方正仿宋_GBK"/>
          <w:color w:val="auto"/>
          <w:sz w:val="32"/>
          <w:szCs w:val="32"/>
          <w:lang w:val="en-US" w:eastAsia="zh-CN"/>
        </w:rPr>
        <w:t>本单位2021年收入支出纳入区教委统一核算，2021年决算数据统一通过教委进行填报，2022年单独进行会计核算。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right="0" w:firstLine="640" w:firstLineChars="200"/>
        <w:jc w:val="left"/>
        <w:textAlignment w:val="auto"/>
        <w:rPr>
          <w:rStyle w:val="4"/>
          <w:rFonts w:hint="eastAsia" w:ascii="方正楷体_GBK" w:hAnsi="方正楷体_GBK" w:eastAsia="方正楷体_GBK" w:cs="方正楷体_GBK"/>
          <w:b w:val="0"/>
          <w:bCs/>
          <w:color w:val="auto"/>
          <w:sz w:val="32"/>
          <w:szCs w:val="32"/>
        </w:rPr>
      </w:pPr>
      <w:r>
        <w:rPr>
          <w:rStyle w:val="4"/>
          <w:rFonts w:hint="eastAsia" w:ascii="方正楷体_GBK" w:hAnsi="方正楷体_GBK" w:eastAsia="方正楷体_GBK" w:cs="方正楷体_GBK"/>
          <w:b w:val="0"/>
          <w:bCs/>
          <w:color w:val="auto"/>
          <w:sz w:val="32"/>
          <w:szCs w:val="32"/>
        </w:rPr>
        <w:t>（三）一般公共预算财政拨款收入支出决算情况说明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right="0" w:firstLine="643" w:firstLineChars="200"/>
        <w:jc w:val="left"/>
        <w:textAlignment w:val="auto"/>
        <w:rPr>
          <w:rFonts w:hint="eastAsia" w:ascii="方正仿宋_GBK" w:hAnsi="方正仿宋_GBK" w:eastAsia="方正仿宋_GBK" w:cs="方正仿宋_GBK"/>
          <w:color w:val="auto"/>
          <w:sz w:val="32"/>
          <w:szCs w:val="32"/>
        </w:rPr>
      </w:pPr>
      <w:r>
        <w:rPr>
          <w:rStyle w:val="4"/>
          <w:rFonts w:hint="eastAsia" w:ascii="方正仿宋_GBK" w:hAnsi="方正仿宋_GBK" w:eastAsia="方正仿宋_GBK" w:cs="方正仿宋_GBK"/>
          <w:b/>
          <w:bCs w:val="0"/>
          <w:color w:val="auto"/>
          <w:sz w:val="32"/>
          <w:szCs w:val="32"/>
        </w:rPr>
        <w:t>1.收入情况。</w:t>
      </w:r>
      <w:r>
        <w:rPr>
          <w:rFonts w:hint="eastAsia" w:ascii="方正仿宋_GBK" w:hAnsi="方正仿宋_GBK" w:eastAsia="方正仿宋_GBK" w:cs="方正仿宋_GBK"/>
          <w:color w:val="auto"/>
          <w:sz w:val="32"/>
          <w:szCs w:val="32"/>
        </w:rPr>
        <w:t>2022年度一般公共预算财政拨款收入71.56万元，较上年决算数增加71.56万元，增长</w:t>
      </w:r>
      <w:r>
        <w:rPr>
          <w:rFonts w:hint="eastAsia" w:ascii="方正仿宋_GBK" w:hAnsi="方正仿宋_GBK" w:eastAsia="方正仿宋_GBK" w:cs="方正仿宋_GBK"/>
          <w:color w:val="auto"/>
          <w:sz w:val="32"/>
          <w:szCs w:val="32"/>
          <w:lang w:val="en-US" w:eastAsia="zh-CN"/>
        </w:rPr>
        <w:t>100</w:t>
      </w:r>
      <w:r>
        <w:rPr>
          <w:rFonts w:hint="eastAsia" w:ascii="方正仿宋_GBK" w:hAnsi="方正仿宋_GBK" w:eastAsia="方正仿宋_GBK" w:cs="方正仿宋_GBK"/>
          <w:color w:val="auto"/>
          <w:sz w:val="32"/>
          <w:szCs w:val="32"/>
        </w:rPr>
        <w:t>%。主要原因是</w:t>
      </w:r>
      <w:r>
        <w:rPr>
          <w:rFonts w:hint="eastAsia" w:ascii="方正仿宋_GBK" w:hAnsi="方正仿宋_GBK" w:eastAsia="方正仿宋_GBK" w:cs="方正仿宋_GBK"/>
          <w:color w:val="auto"/>
          <w:sz w:val="32"/>
          <w:szCs w:val="32"/>
          <w:lang w:val="en-US" w:eastAsia="zh-CN"/>
        </w:rPr>
        <w:t>本单位2021年收入支出纳入区教委统一核算，2021年决算数据统一通过教委进行填报，2022年单独进行会计核算。</w:t>
      </w:r>
      <w:r>
        <w:rPr>
          <w:rFonts w:hint="eastAsia" w:ascii="方正仿宋_GBK" w:hAnsi="方正仿宋_GBK" w:eastAsia="方正仿宋_GBK" w:cs="方正仿宋_GBK"/>
          <w:color w:val="auto"/>
          <w:sz w:val="32"/>
          <w:szCs w:val="32"/>
        </w:rPr>
        <w:t>较年初预算数减少0.23万元，下降0.3%。主要原因是</w:t>
      </w:r>
      <w:r>
        <w:rPr>
          <w:rFonts w:hint="eastAsia" w:ascii="方正仿宋_GBK" w:hAnsi="方正仿宋_GBK" w:eastAsia="方正仿宋_GBK" w:cs="方正仿宋_GBK"/>
          <w:color w:val="auto"/>
          <w:sz w:val="32"/>
          <w:szCs w:val="32"/>
          <w:lang w:val="en-US" w:eastAsia="zh-CN"/>
        </w:rPr>
        <w:t>实际支出减少。</w:t>
      </w:r>
      <w:r>
        <w:rPr>
          <w:rFonts w:hint="eastAsia" w:ascii="方正仿宋_GBK" w:hAnsi="方正仿宋_GBK" w:eastAsia="方正仿宋_GBK" w:cs="方正仿宋_GBK"/>
          <w:color w:val="auto"/>
          <w:sz w:val="32"/>
          <w:szCs w:val="32"/>
        </w:rPr>
        <w:t>此外，年初财政拨款结转和结余0.00万元。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right="0" w:firstLine="643" w:firstLineChars="200"/>
        <w:jc w:val="left"/>
        <w:textAlignment w:val="auto"/>
        <w:rPr>
          <w:rFonts w:hint="eastAsia" w:ascii="方正仿宋_GBK" w:hAnsi="方正仿宋_GBK" w:eastAsia="方正仿宋_GBK" w:cs="方正仿宋_GBK"/>
          <w:color w:val="auto"/>
          <w:sz w:val="32"/>
          <w:szCs w:val="32"/>
          <w:lang w:val="en-US" w:eastAsia="zh-CN"/>
        </w:rPr>
      </w:pPr>
      <w:r>
        <w:rPr>
          <w:rStyle w:val="4"/>
          <w:rFonts w:hint="eastAsia" w:ascii="方正仿宋_GBK" w:hAnsi="方正仿宋_GBK" w:eastAsia="方正仿宋_GBK" w:cs="方正仿宋_GBK"/>
          <w:b/>
          <w:bCs w:val="0"/>
          <w:color w:val="auto"/>
          <w:sz w:val="32"/>
          <w:szCs w:val="32"/>
        </w:rPr>
        <w:t>2.支出情况。</w:t>
      </w:r>
      <w:r>
        <w:rPr>
          <w:rFonts w:hint="eastAsia" w:ascii="方正仿宋_GBK" w:hAnsi="方正仿宋_GBK" w:eastAsia="方正仿宋_GBK" w:cs="方正仿宋_GBK"/>
          <w:color w:val="auto"/>
          <w:sz w:val="32"/>
          <w:szCs w:val="32"/>
        </w:rPr>
        <w:t>2022年度一般公共预算财政拨款支出71.56万元，较上年决算数增加71.56万元，增长</w:t>
      </w:r>
      <w:r>
        <w:rPr>
          <w:rFonts w:hint="eastAsia" w:ascii="方正仿宋_GBK" w:hAnsi="方正仿宋_GBK" w:eastAsia="方正仿宋_GBK" w:cs="方正仿宋_GBK"/>
          <w:color w:val="auto"/>
          <w:sz w:val="32"/>
          <w:szCs w:val="32"/>
          <w:lang w:val="en-US" w:eastAsia="zh-CN"/>
        </w:rPr>
        <w:t>100</w:t>
      </w:r>
      <w:r>
        <w:rPr>
          <w:rFonts w:hint="eastAsia" w:ascii="方正仿宋_GBK" w:hAnsi="方正仿宋_GBK" w:eastAsia="方正仿宋_GBK" w:cs="方正仿宋_GBK"/>
          <w:color w:val="auto"/>
          <w:sz w:val="32"/>
          <w:szCs w:val="32"/>
        </w:rPr>
        <w:t>%。主要原因是</w:t>
      </w:r>
      <w:r>
        <w:rPr>
          <w:rFonts w:hint="eastAsia" w:ascii="方正仿宋_GBK" w:hAnsi="方正仿宋_GBK" w:eastAsia="方正仿宋_GBK" w:cs="方正仿宋_GBK"/>
          <w:color w:val="auto"/>
          <w:sz w:val="32"/>
          <w:szCs w:val="32"/>
          <w:lang w:val="en-US" w:eastAsia="zh-CN"/>
        </w:rPr>
        <w:t>本单位2021年收入支出纳入区教委统一核算，2021年决算数据统一通过教委进行填报，2022年单独进行会计核算。</w:t>
      </w:r>
      <w:r>
        <w:rPr>
          <w:rFonts w:hint="eastAsia" w:ascii="方正仿宋_GBK" w:hAnsi="方正仿宋_GBK" w:eastAsia="方正仿宋_GBK" w:cs="方正仿宋_GBK"/>
          <w:color w:val="auto"/>
          <w:sz w:val="32"/>
          <w:szCs w:val="32"/>
        </w:rPr>
        <w:t>较年初预算数减少0.23万元，下降0.3%。主要原因是</w:t>
      </w:r>
      <w:r>
        <w:rPr>
          <w:rFonts w:hint="eastAsia" w:ascii="方正仿宋_GBK" w:hAnsi="方正仿宋_GBK" w:eastAsia="方正仿宋_GBK" w:cs="方正仿宋_GBK"/>
          <w:color w:val="auto"/>
          <w:sz w:val="32"/>
          <w:szCs w:val="32"/>
          <w:lang w:val="en-US" w:eastAsia="zh-CN"/>
        </w:rPr>
        <w:t>实际支出减少。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right="0" w:firstLine="643" w:firstLineChars="200"/>
        <w:jc w:val="left"/>
        <w:textAlignment w:val="auto"/>
        <w:rPr>
          <w:rFonts w:hint="eastAsia" w:ascii="方正仿宋_GBK" w:hAnsi="方正仿宋_GBK" w:eastAsia="方正仿宋_GBK" w:cs="方正仿宋_GBK"/>
          <w:color w:val="auto"/>
          <w:sz w:val="32"/>
          <w:szCs w:val="32"/>
          <w:lang w:val="en-US" w:eastAsia="zh-CN"/>
        </w:rPr>
      </w:pPr>
      <w:r>
        <w:rPr>
          <w:rStyle w:val="4"/>
          <w:rFonts w:hint="eastAsia" w:ascii="方正仿宋_GBK" w:hAnsi="方正仿宋_GBK" w:eastAsia="方正仿宋_GBK" w:cs="方正仿宋_GBK"/>
          <w:b/>
          <w:bCs w:val="0"/>
          <w:color w:val="auto"/>
          <w:sz w:val="32"/>
          <w:szCs w:val="32"/>
        </w:rPr>
        <w:t>3.结转结余情况。</w:t>
      </w:r>
      <w:r>
        <w:rPr>
          <w:rFonts w:hint="eastAsia" w:ascii="方正仿宋_GBK" w:hAnsi="方正仿宋_GBK" w:eastAsia="方正仿宋_GBK" w:cs="方正仿宋_GBK"/>
          <w:color w:val="auto"/>
          <w:sz w:val="32"/>
          <w:szCs w:val="32"/>
        </w:rPr>
        <w:t>2022年度年末一般公共预算财政拨款结转和结余0.00万元，较上年决算数增加0.00万元，主要原因是</w:t>
      </w:r>
      <w:r>
        <w:rPr>
          <w:rFonts w:hint="eastAsia" w:ascii="方正仿宋_GBK" w:hAnsi="方正仿宋_GBK" w:eastAsia="方正仿宋_GBK" w:cs="方正仿宋_GBK"/>
          <w:color w:val="auto"/>
          <w:sz w:val="32"/>
          <w:szCs w:val="32"/>
          <w:lang w:val="en-US" w:eastAsia="zh-CN"/>
        </w:rPr>
        <w:t>本单位2021年收入支出纳入区教委统一核算，2021年决算数据统一通过教委进行填报，2022年单独进行会计核算。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right="0" w:firstLine="643" w:firstLineChars="200"/>
        <w:jc w:val="left"/>
        <w:textAlignment w:val="auto"/>
        <w:rPr>
          <w:rFonts w:hint="eastAsia" w:ascii="方正仿宋_GBK" w:hAnsi="方正仿宋_GBK" w:eastAsia="方正仿宋_GBK" w:cs="方正仿宋_GBK"/>
          <w:color w:val="auto"/>
          <w:sz w:val="32"/>
          <w:szCs w:val="32"/>
        </w:rPr>
      </w:pPr>
      <w:r>
        <w:rPr>
          <w:rStyle w:val="4"/>
          <w:rFonts w:hint="eastAsia" w:ascii="方正仿宋_GBK" w:hAnsi="方正仿宋_GBK" w:eastAsia="方正仿宋_GBK" w:cs="方正仿宋_GBK"/>
          <w:b/>
          <w:bCs w:val="0"/>
          <w:color w:val="auto"/>
          <w:sz w:val="32"/>
          <w:szCs w:val="32"/>
        </w:rPr>
        <w:t>4.比较情况。</w:t>
      </w:r>
      <w:r>
        <w:rPr>
          <w:rStyle w:val="4"/>
          <w:rFonts w:hint="eastAsia" w:ascii="方正仿宋_GBK" w:hAnsi="方正仿宋_GBK" w:eastAsia="方正仿宋_GBK" w:cs="方正仿宋_GBK"/>
          <w:b w:val="0"/>
          <w:bCs/>
          <w:color w:val="auto"/>
          <w:sz w:val="32"/>
          <w:szCs w:val="32"/>
        </w:rPr>
        <w:t>本</w:t>
      </w:r>
      <w:r>
        <w:rPr>
          <w:rFonts w:hint="eastAsia" w:ascii="方正仿宋_GBK" w:hAnsi="方正仿宋_GBK" w:eastAsia="方正仿宋_GBK" w:cs="方正仿宋_GBK"/>
          <w:color w:val="auto"/>
          <w:sz w:val="32"/>
          <w:szCs w:val="32"/>
        </w:rPr>
        <w:t>部门2022年度一般公共预算财政拨款支出主要用于以下几个方面：</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right="0" w:firstLine="640" w:firstLineChars="200"/>
        <w:jc w:val="left"/>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rPr>
        <w:t>）教育支出63.75万元，占89.1%，较年初预算数减少0.23，下降0.4%，主要原因是</w:t>
      </w:r>
      <w:r>
        <w:rPr>
          <w:rFonts w:hint="eastAsia" w:ascii="方正仿宋_GBK" w:hAnsi="方正仿宋_GBK" w:eastAsia="方正仿宋_GBK" w:cs="方正仿宋_GBK"/>
          <w:color w:val="auto"/>
          <w:sz w:val="32"/>
          <w:szCs w:val="32"/>
          <w:lang w:val="en-US" w:eastAsia="zh-CN"/>
        </w:rPr>
        <w:t>实际支出减少。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right="0" w:firstLine="640" w:firstLineChars="200"/>
        <w:jc w:val="left"/>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rPr>
        <w:t>）社会保障与就业支出3.57万元，占5%，较年初预算数增加0.00万元</w:t>
      </w:r>
      <w:r>
        <w:rPr>
          <w:rFonts w:hint="eastAsia" w:ascii="方正仿宋_GBK" w:hAnsi="方正仿宋_GBK" w:eastAsia="方正仿宋_GBK" w:cs="方正仿宋_GBK"/>
          <w:color w:val="auto"/>
          <w:sz w:val="32"/>
          <w:szCs w:val="32"/>
          <w:lang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right="0" w:firstLine="640" w:firstLineChars="200"/>
        <w:jc w:val="left"/>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3</w:t>
      </w:r>
      <w:r>
        <w:rPr>
          <w:rFonts w:hint="eastAsia" w:ascii="方正仿宋_GBK" w:hAnsi="方正仿宋_GBK" w:eastAsia="方正仿宋_GBK" w:cs="方正仿宋_GBK"/>
          <w:color w:val="auto"/>
          <w:sz w:val="32"/>
          <w:szCs w:val="32"/>
        </w:rPr>
        <w:t>）卫生健康支出1.18万元，占1.6%，较年初预算数增加0.00万元</w:t>
      </w:r>
      <w:r>
        <w:rPr>
          <w:rFonts w:hint="eastAsia" w:ascii="方正仿宋_GBK" w:hAnsi="方正仿宋_GBK" w:eastAsia="方正仿宋_GBK" w:cs="方正仿宋_GBK"/>
          <w:color w:val="auto"/>
          <w:sz w:val="32"/>
          <w:szCs w:val="32"/>
          <w:lang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right="0" w:firstLine="640" w:firstLineChars="200"/>
        <w:jc w:val="left"/>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4</w:t>
      </w:r>
      <w:r>
        <w:rPr>
          <w:rFonts w:hint="eastAsia" w:ascii="方正仿宋_GBK" w:hAnsi="方正仿宋_GBK" w:eastAsia="方正仿宋_GBK" w:cs="方正仿宋_GBK"/>
          <w:color w:val="auto"/>
          <w:sz w:val="32"/>
          <w:szCs w:val="32"/>
        </w:rPr>
        <w:t>）住房保障支出3.07万元，占4.3%，较年初预算数增加0.00万元</w:t>
      </w:r>
      <w:r>
        <w:rPr>
          <w:rFonts w:hint="eastAsia" w:ascii="方正仿宋_GBK" w:hAnsi="方正仿宋_GBK" w:eastAsia="方正仿宋_GBK" w:cs="方正仿宋_GBK"/>
          <w:color w:val="auto"/>
          <w:sz w:val="32"/>
          <w:szCs w:val="32"/>
          <w:lang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right="0" w:firstLine="640" w:firstLineChars="200"/>
        <w:jc w:val="left"/>
        <w:textAlignment w:val="auto"/>
        <w:rPr>
          <w:rStyle w:val="4"/>
          <w:rFonts w:hint="eastAsia" w:ascii="方正楷体_GBK" w:hAnsi="方正楷体_GBK" w:eastAsia="方正楷体_GBK" w:cs="方正楷体_GBK"/>
          <w:b w:val="0"/>
          <w:bCs/>
          <w:color w:val="auto"/>
          <w:sz w:val="32"/>
          <w:szCs w:val="32"/>
        </w:rPr>
      </w:pPr>
      <w:r>
        <w:rPr>
          <w:rStyle w:val="4"/>
          <w:rFonts w:hint="eastAsia" w:ascii="方正楷体_GBK" w:hAnsi="方正楷体_GBK" w:eastAsia="方正楷体_GBK" w:cs="方正楷体_GBK"/>
          <w:b w:val="0"/>
          <w:bCs/>
          <w:color w:val="auto"/>
          <w:sz w:val="32"/>
          <w:szCs w:val="32"/>
        </w:rPr>
        <w:t>（四）一般公共预算财政拨款基本支出决算情况说明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right="0" w:firstLine="640" w:firstLineChars="200"/>
        <w:jc w:val="left"/>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2022年度一般公共预算财政拨款基本支出44.40万元。其中：人员经费41.15万元，较上年决算数增加41.15万元，增长</w:t>
      </w:r>
      <w:r>
        <w:rPr>
          <w:rFonts w:hint="eastAsia" w:ascii="方正仿宋_GBK" w:hAnsi="方正仿宋_GBK" w:eastAsia="方正仿宋_GBK" w:cs="方正仿宋_GBK"/>
          <w:color w:val="auto"/>
          <w:sz w:val="32"/>
          <w:szCs w:val="32"/>
          <w:lang w:val="en-US" w:eastAsia="zh-CN"/>
        </w:rPr>
        <w:t>100</w:t>
      </w:r>
      <w:r>
        <w:rPr>
          <w:rFonts w:hint="eastAsia" w:ascii="方正仿宋_GBK" w:hAnsi="方正仿宋_GBK" w:eastAsia="方正仿宋_GBK" w:cs="方正仿宋_GBK"/>
          <w:color w:val="auto"/>
          <w:sz w:val="32"/>
          <w:szCs w:val="32"/>
        </w:rPr>
        <w:t>%，主要原因是</w:t>
      </w:r>
      <w:r>
        <w:rPr>
          <w:rFonts w:hint="eastAsia" w:ascii="方正仿宋_GBK" w:hAnsi="方正仿宋_GBK" w:eastAsia="方正仿宋_GBK" w:cs="方正仿宋_GBK"/>
          <w:color w:val="auto"/>
          <w:sz w:val="32"/>
          <w:szCs w:val="32"/>
          <w:lang w:val="en-US" w:eastAsia="zh-CN"/>
        </w:rPr>
        <w:t>本单位2021年收入支出纳入区教委统一核算，2021年决算数据统一通过教委进行填报，2022年单独进行会计核算。</w:t>
      </w:r>
      <w:r>
        <w:rPr>
          <w:rFonts w:hint="eastAsia" w:ascii="方正仿宋_GBK" w:hAnsi="方正仿宋_GBK" w:eastAsia="方正仿宋_GBK" w:cs="方正仿宋_GBK"/>
          <w:color w:val="auto"/>
          <w:kern w:val="0"/>
          <w:sz w:val="32"/>
          <w:szCs w:val="32"/>
          <w:shd w:val="clear" w:fill="FFFFFF"/>
        </w:rPr>
        <w:t>人员经费用途主要包括基本工资、津贴补贴、奖金、社会保障缴费、绩效工资、住房公积金缴费。</w:t>
      </w:r>
      <w:r>
        <w:rPr>
          <w:rFonts w:hint="eastAsia" w:ascii="方正仿宋_GBK" w:hAnsi="方正仿宋_GBK" w:eastAsia="方正仿宋_GBK" w:cs="方正仿宋_GBK"/>
          <w:color w:val="auto"/>
          <w:sz w:val="32"/>
          <w:szCs w:val="32"/>
        </w:rPr>
        <w:t>公用经费3.25万元，较上年决算数增加3.25万元，增长</w:t>
      </w:r>
      <w:r>
        <w:rPr>
          <w:rFonts w:hint="eastAsia" w:ascii="方正仿宋_GBK" w:hAnsi="方正仿宋_GBK" w:eastAsia="方正仿宋_GBK" w:cs="方正仿宋_GBK"/>
          <w:color w:val="auto"/>
          <w:sz w:val="32"/>
          <w:szCs w:val="32"/>
          <w:lang w:val="en-US" w:eastAsia="zh-CN"/>
        </w:rPr>
        <w:t>100</w:t>
      </w:r>
      <w:r>
        <w:rPr>
          <w:rFonts w:hint="eastAsia" w:ascii="方正仿宋_GBK" w:hAnsi="方正仿宋_GBK" w:eastAsia="方正仿宋_GBK" w:cs="方正仿宋_GBK"/>
          <w:color w:val="auto"/>
          <w:sz w:val="32"/>
          <w:szCs w:val="32"/>
        </w:rPr>
        <w:t>%，主要原因是</w:t>
      </w:r>
      <w:r>
        <w:rPr>
          <w:rFonts w:hint="eastAsia" w:ascii="方正仿宋_GBK" w:hAnsi="方正仿宋_GBK" w:eastAsia="方正仿宋_GBK" w:cs="方正仿宋_GBK"/>
          <w:color w:val="auto"/>
          <w:sz w:val="32"/>
          <w:szCs w:val="32"/>
          <w:lang w:val="en-US" w:eastAsia="zh-CN"/>
        </w:rPr>
        <w:t>本单位2021年收入支出纳入区教委统一核算，2021年决算数据统一通过教委进行填报，2022年单独进行会计核算。</w:t>
      </w:r>
      <w:r>
        <w:rPr>
          <w:rFonts w:hint="eastAsia" w:ascii="方正仿宋_GBK" w:hAnsi="方正仿宋_GBK" w:eastAsia="方正仿宋_GBK" w:cs="方正仿宋_GBK"/>
          <w:color w:val="auto"/>
          <w:kern w:val="0"/>
          <w:sz w:val="32"/>
          <w:szCs w:val="32"/>
          <w:shd w:val="clear" w:fill="FFFFFF"/>
        </w:rPr>
        <w:t>公用经费用途主要包括办公费、印刷费、咨询费、手续费、差旅费、邮电费、租赁费</w:t>
      </w:r>
      <w:bookmarkStart w:id="0" w:name="_GoBack"/>
      <w:bookmarkEnd w:id="0"/>
      <w:r>
        <w:rPr>
          <w:rFonts w:hint="eastAsia" w:ascii="方正仿宋_GBK" w:hAnsi="方正仿宋_GBK" w:eastAsia="方正仿宋_GBK" w:cs="方正仿宋_GBK"/>
          <w:color w:val="auto"/>
          <w:kern w:val="0"/>
          <w:sz w:val="32"/>
          <w:szCs w:val="32"/>
          <w:shd w:val="clear" w:fill="FFFFFF"/>
        </w:rPr>
        <w:t>。</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right="0" w:firstLine="640" w:firstLineChars="200"/>
        <w:jc w:val="left"/>
        <w:textAlignment w:val="auto"/>
        <w:rPr>
          <w:rStyle w:val="4"/>
          <w:rFonts w:hint="eastAsia" w:ascii="方正楷体_GBK" w:hAnsi="方正楷体_GBK" w:eastAsia="方正楷体_GBK" w:cs="方正楷体_GBK"/>
          <w:b w:val="0"/>
          <w:bCs/>
          <w:color w:val="auto"/>
          <w:sz w:val="32"/>
          <w:szCs w:val="32"/>
          <w:lang w:val="en-US" w:eastAsia="zh-CN"/>
        </w:rPr>
      </w:pPr>
      <w:r>
        <w:rPr>
          <w:rStyle w:val="4"/>
          <w:rFonts w:hint="eastAsia" w:ascii="方正楷体_GBK" w:hAnsi="方正楷体_GBK" w:eastAsia="方正楷体_GBK" w:cs="方正楷体_GBK"/>
          <w:b w:val="0"/>
          <w:bCs/>
          <w:color w:val="auto"/>
          <w:sz w:val="32"/>
          <w:szCs w:val="32"/>
          <w:lang w:eastAsia="zh-CN"/>
        </w:rPr>
        <w:t>（</w:t>
      </w:r>
      <w:r>
        <w:rPr>
          <w:rStyle w:val="4"/>
          <w:rFonts w:hint="eastAsia" w:ascii="方正楷体_GBK" w:hAnsi="方正楷体_GBK" w:eastAsia="方正楷体_GBK" w:cs="方正楷体_GBK"/>
          <w:b w:val="0"/>
          <w:bCs/>
          <w:color w:val="auto"/>
          <w:sz w:val="32"/>
          <w:szCs w:val="32"/>
          <w:lang w:val="en-US" w:eastAsia="zh-CN"/>
        </w:rPr>
        <w:t>五</w:t>
      </w:r>
      <w:r>
        <w:rPr>
          <w:rStyle w:val="4"/>
          <w:rFonts w:hint="eastAsia" w:ascii="方正楷体_GBK" w:hAnsi="方正楷体_GBK" w:eastAsia="方正楷体_GBK" w:cs="方正楷体_GBK"/>
          <w:b w:val="0"/>
          <w:bCs/>
          <w:color w:val="auto"/>
          <w:sz w:val="32"/>
          <w:szCs w:val="32"/>
          <w:lang w:eastAsia="zh-CN"/>
        </w:rPr>
        <w:t>）</w:t>
      </w:r>
      <w:r>
        <w:rPr>
          <w:rStyle w:val="4"/>
          <w:rFonts w:hint="eastAsia" w:ascii="方正楷体_GBK" w:hAnsi="方正楷体_GBK" w:eastAsia="方正楷体_GBK" w:cs="方正楷体_GBK"/>
          <w:b w:val="0"/>
          <w:bCs/>
          <w:color w:val="auto"/>
          <w:sz w:val="32"/>
          <w:szCs w:val="32"/>
        </w:rPr>
        <w:t>政府性基金预算收支决算情况说明。</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94" w:lineRule="exact"/>
        <w:ind w:right="0" w:rightChars="0" w:firstLine="640" w:firstLineChars="200"/>
        <w:jc w:val="left"/>
        <w:textAlignment w:val="auto"/>
        <w:rPr>
          <w:rStyle w:val="4"/>
          <w:rFonts w:hint="eastAsia" w:ascii="方正仿宋_GBK" w:hAnsi="方正仿宋_GBK" w:eastAsia="方正仿宋_GBK" w:cs="方正仿宋_GBK"/>
          <w:b w:val="0"/>
          <w:bCs/>
          <w:color w:val="auto"/>
          <w:sz w:val="32"/>
          <w:szCs w:val="32"/>
          <w:shd w:val="clear" w:fill="FFFF00"/>
          <w:lang w:val="en-US" w:eastAsia="zh-CN"/>
        </w:rPr>
      </w:pPr>
      <w:r>
        <w:rPr>
          <w:rStyle w:val="4"/>
          <w:rFonts w:hint="eastAsia" w:ascii="方正仿宋_GBK" w:hAnsi="方正仿宋_GBK" w:eastAsia="方正仿宋_GBK" w:cs="方正仿宋_GBK"/>
          <w:b w:val="0"/>
          <w:bCs/>
          <w:color w:val="auto"/>
          <w:sz w:val="32"/>
          <w:szCs w:val="32"/>
          <w:lang w:val="en-US" w:eastAsia="zh-CN"/>
        </w:rPr>
        <w:t>本部门2022年度无政府性基金预算财政拨款收支。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right="0" w:firstLine="640" w:firstLineChars="200"/>
        <w:jc w:val="left"/>
        <w:textAlignment w:val="auto"/>
        <w:rPr>
          <w:rStyle w:val="4"/>
          <w:rFonts w:hint="eastAsia" w:ascii="方正楷体_GBK" w:hAnsi="方正楷体_GBK" w:eastAsia="方正楷体_GBK" w:cs="方正楷体_GBK"/>
          <w:b w:val="0"/>
          <w:bCs/>
          <w:color w:val="auto"/>
          <w:sz w:val="32"/>
          <w:szCs w:val="32"/>
        </w:rPr>
      </w:pPr>
      <w:r>
        <w:rPr>
          <w:rStyle w:val="4"/>
          <w:rFonts w:hint="eastAsia" w:ascii="方正楷体_GBK" w:hAnsi="方正楷体_GBK" w:eastAsia="方正楷体_GBK" w:cs="方正楷体_GBK"/>
          <w:b w:val="0"/>
          <w:bCs/>
          <w:color w:val="auto"/>
          <w:sz w:val="32"/>
          <w:szCs w:val="32"/>
        </w:rPr>
        <w:t>（六）国有资本经营预算财政拨款支出决算情况说明。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right="0" w:firstLine="640" w:firstLineChars="200"/>
        <w:jc w:val="left"/>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本部门2022年度无国有资本经营预算财政拨款支出。</w:t>
      </w:r>
    </w:p>
    <w:p>
      <w:pPr>
        <w:pStyle w:val="2"/>
        <w:keepNext w:val="0"/>
        <w:keepLines w:val="0"/>
        <w:pageBreakBefore w:val="0"/>
        <w:widowControl/>
        <w:suppressLineNumbers w:val="0"/>
        <w:kinsoku/>
        <w:wordWrap/>
        <w:overflowPunct/>
        <w:topLinePunct w:val="0"/>
        <w:autoSpaceDN/>
        <w:bidi w:val="0"/>
        <w:adjustRightInd/>
        <w:snapToGrid/>
        <w:spacing w:beforeAutospacing="0" w:afterAutospacing="0" w:line="594" w:lineRule="exact"/>
        <w:ind w:right="0" w:firstLine="640" w:firstLineChars="200"/>
        <w:textAlignment w:val="auto"/>
        <w:rPr>
          <w:rStyle w:val="7"/>
          <w:rFonts w:hint="eastAsia" w:ascii="方正黑体_GBK" w:hAnsi="方正黑体_GBK" w:eastAsia="方正黑体_GBK" w:cs="方正黑体_GBK"/>
          <w:b w:val="0"/>
          <w:color w:val="auto"/>
          <w:kern w:val="0"/>
          <w:sz w:val="32"/>
          <w:szCs w:val="32"/>
          <w:shd w:val="clear" w:fill="FFFFFF"/>
          <w:lang w:val="en-US" w:eastAsia="zh-CN" w:bidi="ar"/>
        </w:rPr>
      </w:pPr>
      <w:r>
        <w:rPr>
          <w:rStyle w:val="7"/>
          <w:rFonts w:hint="eastAsia" w:ascii="方正黑体_GBK" w:hAnsi="方正黑体_GBK" w:eastAsia="方正黑体_GBK" w:cs="方正黑体_GBK"/>
          <w:b w:val="0"/>
          <w:color w:val="auto"/>
          <w:kern w:val="0"/>
          <w:sz w:val="32"/>
          <w:szCs w:val="32"/>
          <w:shd w:val="clear" w:fill="FFFFFF"/>
          <w:lang w:val="en-US" w:eastAsia="zh-CN" w:bidi="ar"/>
        </w:rPr>
        <w:t>三、“三公”经费情况说明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right="0" w:firstLine="640" w:firstLineChars="200"/>
        <w:jc w:val="left"/>
        <w:textAlignment w:val="auto"/>
        <w:rPr>
          <w:rStyle w:val="4"/>
          <w:rFonts w:hint="eastAsia" w:ascii="方正楷体_GBK" w:hAnsi="方正楷体_GBK" w:eastAsia="方正楷体_GBK" w:cs="方正楷体_GBK"/>
          <w:b w:val="0"/>
          <w:bCs/>
          <w:color w:val="auto"/>
          <w:sz w:val="32"/>
          <w:szCs w:val="32"/>
        </w:rPr>
      </w:pPr>
      <w:r>
        <w:rPr>
          <w:rStyle w:val="4"/>
          <w:rFonts w:hint="eastAsia" w:ascii="方正楷体_GBK" w:hAnsi="方正楷体_GBK" w:eastAsia="方正楷体_GBK" w:cs="方正楷体_GBK"/>
          <w:b w:val="0"/>
          <w:bCs/>
          <w:color w:val="auto"/>
          <w:sz w:val="32"/>
          <w:szCs w:val="32"/>
        </w:rPr>
        <w:t>（一）“三公”经费支出总体情况说明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right="0" w:firstLine="640" w:firstLineChars="200"/>
        <w:jc w:val="left"/>
        <w:textAlignment w:val="auto"/>
        <w:rPr>
          <w:color w:val="auto"/>
        </w:rPr>
      </w:pPr>
      <w:r>
        <w:rPr>
          <w:rFonts w:hint="eastAsia" w:ascii="方正仿宋_GBK" w:hAnsi="方正仿宋_GBK" w:eastAsia="方正仿宋_GBK" w:cs="方正仿宋_GBK"/>
          <w:color w:val="auto"/>
          <w:sz w:val="32"/>
          <w:szCs w:val="32"/>
        </w:rPr>
        <w:t>2022年度“三公”经费支出共计27.16万元，较年初预算数减少2.84万元，下降9.5%，主要原因是</w:t>
      </w:r>
      <w:r>
        <w:rPr>
          <w:rFonts w:hint="eastAsia" w:ascii="方正仿宋_GBK" w:hAnsi="方正仿宋_GBK" w:eastAsia="方正仿宋_GBK" w:cs="方正仿宋_GBK"/>
          <w:color w:val="auto"/>
          <w:kern w:val="0"/>
          <w:sz w:val="32"/>
          <w:szCs w:val="32"/>
          <w:shd w:val="clear" w:fill="FFFFFF"/>
        </w:rPr>
        <w:t>严格落实公车使用规定，公车运行维护成本大幅下降。</w:t>
      </w:r>
      <w:r>
        <w:rPr>
          <w:rFonts w:hint="eastAsia" w:ascii="方正仿宋_GBK" w:hAnsi="方正仿宋_GBK" w:eastAsia="方正仿宋_GBK" w:cs="方正仿宋_GBK"/>
          <w:color w:val="auto"/>
          <w:sz w:val="32"/>
          <w:szCs w:val="32"/>
        </w:rPr>
        <w:t>较上年支出数增加27.16万元，增长</w:t>
      </w:r>
      <w:r>
        <w:rPr>
          <w:rFonts w:hint="eastAsia" w:ascii="方正仿宋_GBK" w:hAnsi="方正仿宋_GBK" w:eastAsia="方正仿宋_GBK" w:cs="方正仿宋_GBK"/>
          <w:color w:val="auto"/>
          <w:sz w:val="32"/>
          <w:szCs w:val="32"/>
          <w:lang w:val="en-US" w:eastAsia="zh-CN"/>
        </w:rPr>
        <w:t>100</w:t>
      </w:r>
      <w:r>
        <w:rPr>
          <w:rFonts w:hint="eastAsia" w:ascii="方正仿宋_GBK" w:hAnsi="方正仿宋_GBK" w:eastAsia="方正仿宋_GBK" w:cs="方正仿宋_GBK"/>
          <w:color w:val="auto"/>
          <w:sz w:val="32"/>
          <w:szCs w:val="32"/>
        </w:rPr>
        <w:t>%，主要原因是</w:t>
      </w:r>
      <w:r>
        <w:rPr>
          <w:rFonts w:hint="eastAsia" w:ascii="方正仿宋_GBK" w:hAnsi="方正仿宋_GBK" w:eastAsia="方正仿宋_GBK" w:cs="方正仿宋_GBK"/>
          <w:color w:val="auto"/>
          <w:sz w:val="32"/>
          <w:szCs w:val="32"/>
          <w:lang w:val="en-US" w:eastAsia="zh-CN"/>
        </w:rPr>
        <w:t>本单位2021年收入支出纳入区教委统一核算，2021年决算数据统一通过教委进行填报，2022年单独进行会计核算。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right="0" w:firstLine="640" w:firstLineChars="200"/>
        <w:jc w:val="left"/>
        <w:textAlignment w:val="auto"/>
        <w:rPr>
          <w:rStyle w:val="4"/>
          <w:rFonts w:hint="eastAsia" w:ascii="方正楷体_GBK" w:hAnsi="方正楷体_GBK" w:eastAsia="方正楷体_GBK" w:cs="方正楷体_GBK"/>
          <w:b w:val="0"/>
          <w:bCs/>
          <w:color w:val="auto"/>
          <w:sz w:val="32"/>
          <w:szCs w:val="32"/>
        </w:rPr>
      </w:pPr>
      <w:r>
        <w:rPr>
          <w:rStyle w:val="4"/>
          <w:rFonts w:hint="eastAsia" w:ascii="方正楷体_GBK" w:hAnsi="方正楷体_GBK" w:eastAsia="方正楷体_GBK" w:cs="方正楷体_GBK"/>
          <w:b w:val="0"/>
          <w:bCs/>
          <w:color w:val="auto"/>
          <w:sz w:val="32"/>
          <w:szCs w:val="32"/>
        </w:rPr>
        <w:t>（二）“三公”经费分项支出情况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right="0" w:firstLine="640" w:firstLineChars="200"/>
        <w:jc w:val="left"/>
        <w:textAlignment w:val="auto"/>
        <w:rPr>
          <w:color w:val="auto"/>
        </w:rPr>
      </w:pPr>
      <w:r>
        <w:rPr>
          <w:rFonts w:hint="eastAsia" w:ascii="方正仿宋_GBK" w:hAnsi="方正仿宋_GBK" w:eastAsia="方正仿宋_GBK" w:cs="方正仿宋_GBK"/>
          <w:color w:val="auto"/>
          <w:kern w:val="0"/>
          <w:sz w:val="32"/>
          <w:szCs w:val="32"/>
          <w:shd w:val="clear" w:fill="FFFFFF"/>
        </w:rPr>
        <w:t>本</w:t>
      </w:r>
      <w:r>
        <w:rPr>
          <w:rFonts w:hint="eastAsia" w:ascii="方正仿宋_GBK" w:hAnsi="方正仿宋_GBK" w:eastAsia="方正仿宋_GBK" w:cs="方正仿宋_GBK"/>
          <w:color w:val="auto"/>
          <w:kern w:val="0"/>
          <w:sz w:val="32"/>
          <w:szCs w:val="32"/>
          <w:shd w:val="clear" w:fill="FFFFFF"/>
          <w:lang w:val="en-US" w:eastAsia="zh-CN"/>
        </w:rPr>
        <w:t>单位</w:t>
      </w:r>
      <w:r>
        <w:rPr>
          <w:rFonts w:hint="eastAsia" w:ascii="方正仿宋_GBK" w:hAnsi="方正仿宋_GBK" w:eastAsia="方正仿宋_GBK" w:cs="方正仿宋_GBK"/>
          <w:color w:val="auto"/>
          <w:kern w:val="0"/>
          <w:sz w:val="32"/>
          <w:szCs w:val="32"/>
          <w:shd w:val="clear" w:fill="FFFFFF"/>
        </w:rPr>
        <w:t>202</w:t>
      </w:r>
      <w:r>
        <w:rPr>
          <w:rFonts w:hint="eastAsia" w:ascii="方正仿宋_GBK" w:hAnsi="方正仿宋_GBK" w:eastAsia="方正仿宋_GBK" w:cs="方正仿宋_GBK"/>
          <w:color w:val="auto"/>
          <w:kern w:val="0"/>
          <w:sz w:val="32"/>
          <w:szCs w:val="32"/>
          <w:shd w:val="clear" w:fill="FFFFFF"/>
          <w:lang w:val="en-US" w:eastAsia="zh-CN"/>
        </w:rPr>
        <w:t>2</w:t>
      </w:r>
      <w:r>
        <w:rPr>
          <w:rFonts w:hint="eastAsia" w:ascii="方正仿宋_GBK" w:hAnsi="方正仿宋_GBK" w:eastAsia="方正仿宋_GBK" w:cs="方正仿宋_GBK"/>
          <w:color w:val="auto"/>
          <w:kern w:val="0"/>
          <w:sz w:val="32"/>
          <w:szCs w:val="32"/>
          <w:shd w:val="clear" w:fill="FFFFFF"/>
        </w:rPr>
        <w:t>年度未发生因公出国（境）费用。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right="0" w:firstLine="640" w:firstLineChars="200"/>
        <w:jc w:val="left"/>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公务车购置费24.80万元，</w:t>
      </w:r>
      <w:r>
        <w:rPr>
          <w:rFonts w:hint="eastAsia" w:ascii="方正仿宋_GBK" w:hAnsi="方正仿宋_GBK" w:eastAsia="方正仿宋_GBK" w:cs="方正仿宋_GBK"/>
          <w:color w:val="auto"/>
          <w:sz w:val="32"/>
          <w:szCs w:val="32"/>
          <w:highlight w:val="none"/>
        </w:rPr>
        <w:t>主要用于</w:t>
      </w:r>
      <w:r>
        <w:rPr>
          <w:rFonts w:hint="eastAsia" w:ascii="方正仿宋_GBK" w:hAnsi="方正仿宋_GBK" w:eastAsia="方正仿宋_GBK" w:cs="方正仿宋_GBK"/>
          <w:color w:val="auto"/>
          <w:sz w:val="32"/>
          <w:szCs w:val="32"/>
          <w:highlight w:val="none"/>
          <w:lang w:val="en-US" w:eastAsia="zh-CN"/>
        </w:rPr>
        <w:t>考试试卷护送</w:t>
      </w:r>
      <w:r>
        <w:rPr>
          <w:rFonts w:hint="eastAsia" w:ascii="方正仿宋_GBK" w:hAnsi="方正仿宋_GBK" w:eastAsia="方正仿宋_GBK" w:cs="方正仿宋_GBK"/>
          <w:color w:val="auto"/>
          <w:sz w:val="32"/>
          <w:szCs w:val="32"/>
          <w:highlight w:val="none"/>
        </w:rPr>
        <w:t>。</w:t>
      </w:r>
      <w:r>
        <w:rPr>
          <w:rFonts w:hint="eastAsia" w:ascii="方正仿宋_GBK" w:hAnsi="方正仿宋_GBK" w:eastAsia="方正仿宋_GBK" w:cs="方正仿宋_GBK"/>
          <w:color w:val="auto"/>
          <w:sz w:val="32"/>
          <w:szCs w:val="32"/>
        </w:rPr>
        <w:t>费用支出较年初预算数减少0.20万元，下降0.8%，</w:t>
      </w:r>
      <w:r>
        <w:rPr>
          <w:rFonts w:hint="eastAsia" w:ascii="方正仿宋_GBK" w:hAnsi="方正仿宋_GBK" w:eastAsia="方正仿宋_GBK" w:cs="方正仿宋_GBK"/>
          <w:color w:val="auto"/>
          <w:kern w:val="0"/>
          <w:sz w:val="32"/>
          <w:szCs w:val="32"/>
          <w:highlight w:val="none"/>
          <w:shd w:val="clear" w:fill="FFFFFF"/>
        </w:rPr>
        <w:t>主要</w:t>
      </w:r>
      <w:r>
        <w:rPr>
          <w:rFonts w:hint="eastAsia" w:ascii="方正仿宋_GBK" w:hAnsi="方正仿宋_GBK" w:eastAsia="方正仿宋_GBK" w:cs="方正仿宋_GBK"/>
          <w:color w:val="auto"/>
          <w:kern w:val="0"/>
          <w:sz w:val="32"/>
          <w:szCs w:val="32"/>
          <w:highlight w:val="none"/>
          <w:shd w:val="clear" w:fill="FFFFFF"/>
          <w:lang w:val="en-US" w:eastAsia="zh-CN"/>
        </w:rPr>
        <w:t>厉行节约，实际采购价格较年初预算低</w:t>
      </w:r>
      <w:r>
        <w:rPr>
          <w:rFonts w:hint="eastAsia" w:ascii="方正仿宋_GBK" w:hAnsi="方正仿宋_GBK" w:eastAsia="方正仿宋_GBK" w:cs="方正仿宋_GBK"/>
          <w:color w:val="auto"/>
          <w:kern w:val="0"/>
          <w:sz w:val="32"/>
          <w:szCs w:val="32"/>
          <w:highlight w:val="none"/>
          <w:shd w:val="clear" w:fill="FFFFFF"/>
          <w:lang w:eastAsia="zh-CN"/>
        </w:rPr>
        <w:t>。</w:t>
      </w:r>
      <w:r>
        <w:rPr>
          <w:rFonts w:hint="eastAsia" w:ascii="方正仿宋_GBK" w:hAnsi="方正仿宋_GBK" w:eastAsia="方正仿宋_GBK" w:cs="方正仿宋_GBK"/>
          <w:color w:val="auto"/>
          <w:sz w:val="32"/>
          <w:szCs w:val="32"/>
          <w:highlight w:val="none"/>
        </w:rPr>
        <w:t>较</w:t>
      </w:r>
      <w:r>
        <w:rPr>
          <w:rFonts w:hint="eastAsia" w:ascii="方正仿宋_GBK" w:hAnsi="方正仿宋_GBK" w:eastAsia="方正仿宋_GBK" w:cs="方正仿宋_GBK"/>
          <w:color w:val="auto"/>
          <w:sz w:val="32"/>
          <w:szCs w:val="32"/>
        </w:rPr>
        <w:t>上年支出数增加24.80万元，增长</w:t>
      </w:r>
      <w:r>
        <w:rPr>
          <w:rFonts w:hint="eastAsia" w:ascii="方正仿宋_GBK" w:hAnsi="方正仿宋_GBK" w:eastAsia="方正仿宋_GBK" w:cs="方正仿宋_GBK"/>
          <w:color w:val="auto"/>
          <w:sz w:val="32"/>
          <w:szCs w:val="32"/>
          <w:lang w:val="en-US" w:eastAsia="zh-CN"/>
        </w:rPr>
        <w:t>100</w:t>
      </w:r>
      <w:r>
        <w:rPr>
          <w:rFonts w:hint="eastAsia" w:ascii="方正仿宋_GBK" w:hAnsi="方正仿宋_GBK" w:eastAsia="方正仿宋_GBK" w:cs="方正仿宋_GBK"/>
          <w:color w:val="auto"/>
          <w:sz w:val="32"/>
          <w:szCs w:val="32"/>
        </w:rPr>
        <w:t>%，主要原因是</w:t>
      </w:r>
      <w:r>
        <w:rPr>
          <w:rFonts w:hint="eastAsia" w:ascii="方正仿宋_GBK" w:hAnsi="方正仿宋_GBK" w:eastAsia="方正仿宋_GBK" w:cs="方正仿宋_GBK"/>
          <w:color w:val="auto"/>
          <w:sz w:val="32"/>
          <w:szCs w:val="32"/>
          <w:lang w:val="en-US" w:eastAsia="zh-CN"/>
        </w:rPr>
        <w:t>本单位2021年收入支出纳入区教委统一核算，2021年决算数据统一通过教委进行填报，2022年单独进行会计核算。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right="0" w:firstLine="640" w:firstLineChars="200"/>
        <w:jc w:val="left"/>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公务车运行维护费2.36万元，主要用于</w:t>
      </w:r>
      <w:r>
        <w:rPr>
          <w:rFonts w:hint="eastAsia" w:ascii="方正仿宋_GBK" w:hAnsi="方正仿宋_GBK" w:eastAsia="方正仿宋_GBK" w:cs="方正仿宋_GBK"/>
          <w:color w:val="auto"/>
          <w:kern w:val="0"/>
          <w:sz w:val="32"/>
          <w:szCs w:val="32"/>
          <w:highlight w:val="none"/>
          <w:shd w:val="clear" w:fill="FFFFFF"/>
          <w:lang w:val="en-US" w:eastAsia="zh-CN"/>
        </w:rPr>
        <w:t>考试试卷护送</w:t>
      </w:r>
      <w:r>
        <w:rPr>
          <w:rFonts w:hint="eastAsia" w:ascii="方正仿宋_GBK" w:hAnsi="方正仿宋_GBK" w:eastAsia="方正仿宋_GBK" w:cs="方正仿宋_GBK"/>
          <w:color w:val="auto"/>
          <w:kern w:val="0"/>
          <w:sz w:val="32"/>
          <w:szCs w:val="32"/>
          <w:shd w:val="clear" w:fill="FFFFFF"/>
        </w:rPr>
        <w:t>所需车辆的燃料费、维修费、过桥过路费、保险费等。</w:t>
      </w:r>
      <w:r>
        <w:rPr>
          <w:rFonts w:hint="eastAsia" w:ascii="方正仿宋_GBK" w:hAnsi="方正仿宋_GBK" w:eastAsia="方正仿宋_GBK" w:cs="方正仿宋_GBK"/>
          <w:color w:val="auto"/>
          <w:sz w:val="32"/>
          <w:szCs w:val="32"/>
        </w:rPr>
        <w:t>费用支出较年初预算数减少2.64万元，下降52.8%，</w:t>
      </w:r>
      <w:r>
        <w:rPr>
          <w:rFonts w:hint="eastAsia" w:ascii="方正仿宋_GBK" w:hAnsi="方正仿宋_GBK" w:eastAsia="方正仿宋_GBK" w:cs="方正仿宋_GBK"/>
          <w:color w:val="auto"/>
          <w:kern w:val="0"/>
          <w:sz w:val="32"/>
          <w:szCs w:val="32"/>
          <w:shd w:val="clear" w:fill="FFFFFF"/>
        </w:rPr>
        <w:t>主要原因是在不影响工作效率的前提下，厉行节约</w:t>
      </w:r>
      <w:r>
        <w:rPr>
          <w:rFonts w:hint="eastAsia" w:ascii="方正仿宋_GBK" w:hAnsi="方正仿宋_GBK" w:eastAsia="方正仿宋_GBK" w:cs="方正仿宋_GBK"/>
          <w:color w:val="auto"/>
          <w:kern w:val="0"/>
          <w:sz w:val="32"/>
          <w:szCs w:val="32"/>
          <w:shd w:val="clear" w:fill="FFFFFF"/>
          <w:lang w:eastAsia="zh-CN"/>
        </w:rPr>
        <w:t>。</w:t>
      </w:r>
      <w:r>
        <w:rPr>
          <w:rFonts w:hint="eastAsia" w:ascii="方正仿宋_GBK" w:hAnsi="方正仿宋_GBK" w:eastAsia="方正仿宋_GBK" w:cs="方正仿宋_GBK"/>
          <w:color w:val="auto"/>
          <w:sz w:val="32"/>
          <w:szCs w:val="32"/>
        </w:rPr>
        <w:t>较上年支出数增加2.36万元，增长</w:t>
      </w:r>
      <w:r>
        <w:rPr>
          <w:rFonts w:hint="eastAsia" w:ascii="方正仿宋_GBK" w:hAnsi="方正仿宋_GBK" w:eastAsia="方正仿宋_GBK" w:cs="方正仿宋_GBK"/>
          <w:color w:val="auto"/>
          <w:sz w:val="32"/>
          <w:szCs w:val="32"/>
          <w:lang w:val="en-US" w:eastAsia="zh-CN"/>
        </w:rPr>
        <w:t>100</w:t>
      </w:r>
      <w:r>
        <w:rPr>
          <w:rFonts w:hint="eastAsia" w:ascii="方正仿宋_GBK" w:hAnsi="方正仿宋_GBK" w:eastAsia="方正仿宋_GBK" w:cs="方正仿宋_GBK"/>
          <w:color w:val="auto"/>
          <w:sz w:val="32"/>
          <w:szCs w:val="32"/>
        </w:rPr>
        <w:t>%，主要原因是</w:t>
      </w:r>
      <w:r>
        <w:rPr>
          <w:rFonts w:hint="eastAsia" w:ascii="方正仿宋_GBK" w:hAnsi="方正仿宋_GBK" w:eastAsia="方正仿宋_GBK" w:cs="方正仿宋_GBK"/>
          <w:color w:val="auto"/>
          <w:sz w:val="32"/>
          <w:szCs w:val="32"/>
          <w:lang w:val="en-US" w:eastAsia="zh-CN"/>
        </w:rPr>
        <w:t>本单位2021年收入支出纳入区教委统一核算，2021年决算数据统一通过教委进行填报，2022年单独进行会计核算。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right="0" w:firstLine="640" w:firstLineChars="200"/>
        <w:jc w:val="left"/>
        <w:textAlignment w:val="auto"/>
        <w:rPr>
          <w:rFonts w:hint="eastAsia" w:eastAsia="方正仿宋_GBK"/>
          <w:color w:val="auto"/>
          <w:lang w:eastAsia="zh-CN"/>
        </w:rPr>
      </w:pPr>
      <w:r>
        <w:rPr>
          <w:rFonts w:hint="eastAsia" w:ascii="方正仿宋_GBK" w:hAnsi="方正仿宋_GBK" w:eastAsia="方正仿宋_GBK" w:cs="方正仿宋_GBK"/>
          <w:color w:val="auto"/>
          <w:kern w:val="0"/>
          <w:sz w:val="32"/>
          <w:szCs w:val="32"/>
          <w:shd w:val="clear" w:fill="FFFFFF"/>
        </w:rPr>
        <w:t>本</w:t>
      </w:r>
      <w:r>
        <w:rPr>
          <w:rFonts w:hint="eastAsia" w:ascii="方正仿宋_GBK" w:hAnsi="方正仿宋_GBK" w:eastAsia="方正仿宋_GBK" w:cs="方正仿宋_GBK"/>
          <w:color w:val="auto"/>
          <w:kern w:val="0"/>
          <w:sz w:val="32"/>
          <w:szCs w:val="32"/>
          <w:shd w:val="clear" w:fill="FFFFFF"/>
          <w:lang w:val="en-US" w:eastAsia="zh-CN"/>
        </w:rPr>
        <w:t>单位</w:t>
      </w:r>
      <w:r>
        <w:rPr>
          <w:rFonts w:hint="eastAsia" w:ascii="方正仿宋_GBK" w:hAnsi="方正仿宋_GBK" w:eastAsia="方正仿宋_GBK" w:cs="方正仿宋_GBK"/>
          <w:color w:val="auto"/>
          <w:kern w:val="0"/>
          <w:sz w:val="32"/>
          <w:szCs w:val="32"/>
          <w:shd w:val="clear" w:fill="FFFFFF"/>
        </w:rPr>
        <w:t>202</w:t>
      </w:r>
      <w:r>
        <w:rPr>
          <w:rFonts w:hint="eastAsia" w:ascii="方正仿宋_GBK" w:hAnsi="方正仿宋_GBK" w:eastAsia="方正仿宋_GBK" w:cs="方正仿宋_GBK"/>
          <w:color w:val="auto"/>
          <w:kern w:val="0"/>
          <w:sz w:val="32"/>
          <w:szCs w:val="32"/>
          <w:shd w:val="clear" w:fill="FFFFFF"/>
          <w:lang w:val="en-US" w:eastAsia="zh-CN"/>
        </w:rPr>
        <w:t>2</w:t>
      </w:r>
      <w:r>
        <w:rPr>
          <w:rFonts w:hint="eastAsia" w:ascii="方正仿宋_GBK" w:hAnsi="方正仿宋_GBK" w:eastAsia="方正仿宋_GBK" w:cs="方正仿宋_GBK"/>
          <w:color w:val="auto"/>
          <w:kern w:val="0"/>
          <w:sz w:val="32"/>
          <w:szCs w:val="32"/>
          <w:shd w:val="clear" w:fill="FFFFFF"/>
        </w:rPr>
        <w:t>年度</w:t>
      </w:r>
      <w:r>
        <w:rPr>
          <w:rFonts w:hint="eastAsia" w:ascii="方正仿宋_GBK" w:hAnsi="方正仿宋_GBK" w:eastAsia="方正仿宋_GBK" w:cs="方正仿宋_GBK"/>
          <w:color w:val="auto"/>
          <w:kern w:val="0"/>
          <w:sz w:val="32"/>
          <w:szCs w:val="32"/>
          <w:shd w:val="clear" w:fill="FFFFFF"/>
          <w:lang w:val="en-US" w:eastAsia="zh-CN"/>
        </w:rPr>
        <w:t>无</w:t>
      </w:r>
      <w:r>
        <w:rPr>
          <w:rFonts w:hint="eastAsia" w:ascii="方正仿宋_GBK" w:hAnsi="方正仿宋_GBK" w:eastAsia="方正仿宋_GBK" w:cs="方正仿宋_GBK"/>
          <w:color w:val="auto"/>
          <w:kern w:val="0"/>
          <w:sz w:val="32"/>
          <w:szCs w:val="32"/>
          <w:shd w:val="clear" w:fill="FFFFFF"/>
        </w:rPr>
        <w:t>公务接待费</w:t>
      </w:r>
      <w:r>
        <w:rPr>
          <w:rFonts w:hint="eastAsia" w:ascii="方正仿宋_GBK" w:hAnsi="方正仿宋_GBK" w:eastAsia="方正仿宋_GBK" w:cs="方正仿宋_GBK"/>
          <w:color w:val="auto"/>
          <w:kern w:val="0"/>
          <w:sz w:val="32"/>
          <w:szCs w:val="32"/>
          <w:shd w:val="clear" w:fill="FFFFFF"/>
          <w:lang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right="0" w:firstLine="640" w:firstLineChars="200"/>
        <w:jc w:val="left"/>
        <w:textAlignment w:val="auto"/>
        <w:rPr>
          <w:rStyle w:val="4"/>
          <w:rFonts w:hint="eastAsia" w:ascii="方正楷体_GBK" w:hAnsi="方正楷体_GBK" w:eastAsia="方正楷体_GBK" w:cs="方正楷体_GBK"/>
          <w:b w:val="0"/>
          <w:bCs/>
          <w:color w:val="auto"/>
          <w:sz w:val="32"/>
          <w:szCs w:val="32"/>
        </w:rPr>
      </w:pPr>
      <w:r>
        <w:rPr>
          <w:rStyle w:val="4"/>
          <w:rFonts w:hint="eastAsia" w:ascii="方正楷体_GBK" w:hAnsi="方正楷体_GBK" w:eastAsia="方正楷体_GBK" w:cs="方正楷体_GBK"/>
          <w:b w:val="0"/>
          <w:bCs/>
          <w:color w:val="auto"/>
          <w:sz w:val="32"/>
          <w:szCs w:val="32"/>
        </w:rPr>
        <w:t>（三）“三公”经费实物量情况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right="0" w:firstLine="640" w:firstLineChars="200"/>
        <w:jc w:val="left"/>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2022年度本部门因公出国（境）共计0个团组，0人；公务用车购置1辆，公务车保有量为1辆；国内公务接待0批次0人，其中：国内外事接待0批次，0人；国（境）外公务接待0批次，0人。2022年本部门人均接待费0.00元，车均购置费24.80万元，车均维护费2.36万元。</w:t>
      </w:r>
    </w:p>
    <w:p>
      <w:pPr>
        <w:pStyle w:val="2"/>
        <w:keepNext w:val="0"/>
        <w:keepLines w:val="0"/>
        <w:pageBreakBefore w:val="0"/>
        <w:widowControl/>
        <w:suppressLineNumbers w:val="0"/>
        <w:kinsoku/>
        <w:wordWrap/>
        <w:overflowPunct/>
        <w:topLinePunct w:val="0"/>
        <w:autoSpaceDN/>
        <w:bidi w:val="0"/>
        <w:adjustRightInd/>
        <w:snapToGrid/>
        <w:spacing w:beforeAutospacing="0" w:afterAutospacing="0" w:line="594" w:lineRule="exact"/>
        <w:ind w:right="0" w:firstLine="640" w:firstLineChars="200"/>
        <w:textAlignment w:val="auto"/>
        <w:rPr>
          <w:rStyle w:val="7"/>
          <w:rFonts w:hint="eastAsia" w:ascii="方正黑体_GBK" w:hAnsi="方正黑体_GBK" w:eastAsia="方正黑体_GBK" w:cs="方正黑体_GBK"/>
          <w:b w:val="0"/>
          <w:color w:val="auto"/>
          <w:kern w:val="0"/>
          <w:sz w:val="32"/>
          <w:szCs w:val="32"/>
          <w:shd w:val="clear" w:fill="FFFFFF"/>
          <w:lang w:val="en-US" w:eastAsia="zh-CN" w:bidi="ar"/>
        </w:rPr>
      </w:pPr>
      <w:r>
        <w:rPr>
          <w:rStyle w:val="7"/>
          <w:rFonts w:hint="eastAsia" w:ascii="方正黑体_GBK" w:hAnsi="方正黑体_GBK" w:eastAsia="方正黑体_GBK" w:cs="方正黑体_GBK"/>
          <w:b w:val="0"/>
          <w:color w:val="auto"/>
          <w:kern w:val="0"/>
          <w:sz w:val="32"/>
          <w:szCs w:val="32"/>
          <w:shd w:val="clear" w:fill="FFFFFF"/>
          <w:lang w:val="en-US" w:eastAsia="zh-CN" w:bidi="ar"/>
        </w:rPr>
        <w:t>四、其他需要说明的事项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right="0" w:firstLine="640" w:firstLineChars="200"/>
        <w:jc w:val="left"/>
        <w:textAlignment w:val="auto"/>
        <w:rPr>
          <w:rStyle w:val="4"/>
          <w:rFonts w:hint="eastAsia" w:ascii="方正楷体_GBK" w:hAnsi="方正楷体_GBK" w:eastAsia="方正楷体_GBK" w:cs="方正楷体_GBK"/>
          <w:b w:val="0"/>
          <w:bCs/>
          <w:color w:val="auto"/>
          <w:sz w:val="32"/>
          <w:szCs w:val="32"/>
        </w:rPr>
      </w:pPr>
      <w:r>
        <w:rPr>
          <w:rStyle w:val="4"/>
          <w:rFonts w:hint="eastAsia" w:ascii="方正楷体_GBK" w:hAnsi="方正楷体_GBK" w:eastAsia="方正楷体_GBK" w:cs="方正楷体_GBK"/>
          <w:b w:val="0"/>
          <w:bCs/>
          <w:color w:val="auto"/>
          <w:sz w:val="32"/>
          <w:szCs w:val="32"/>
        </w:rPr>
        <w:t>（一）财政拨款会议费和培训费情况说明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right="0" w:firstLine="640" w:firstLineChars="200"/>
        <w:jc w:val="left"/>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本单位2022年度无会议费和培训费。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right="0" w:firstLine="640" w:firstLineChars="200"/>
        <w:jc w:val="left"/>
        <w:textAlignment w:val="auto"/>
        <w:rPr>
          <w:rStyle w:val="4"/>
          <w:rFonts w:hint="eastAsia" w:ascii="方正楷体_GBK" w:hAnsi="方正楷体_GBK" w:eastAsia="方正楷体_GBK" w:cs="方正楷体_GBK"/>
          <w:b w:val="0"/>
          <w:bCs/>
          <w:color w:val="auto"/>
          <w:sz w:val="32"/>
          <w:szCs w:val="32"/>
        </w:rPr>
      </w:pPr>
      <w:r>
        <w:rPr>
          <w:rStyle w:val="4"/>
          <w:rFonts w:hint="eastAsia" w:ascii="方正楷体_GBK" w:hAnsi="方正楷体_GBK" w:eastAsia="方正楷体_GBK" w:cs="方正楷体_GBK"/>
          <w:b w:val="0"/>
          <w:bCs/>
          <w:color w:val="auto"/>
          <w:sz w:val="32"/>
          <w:szCs w:val="32"/>
        </w:rPr>
        <w:t>（二）机关运行经费支出情况说明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right="0" w:firstLine="640" w:firstLineChars="200"/>
        <w:jc w:val="left"/>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按照部门决算列报口径，我单位不在机关运行经费统计范围之内。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right="0" w:firstLine="640" w:firstLineChars="200"/>
        <w:jc w:val="left"/>
        <w:textAlignment w:val="auto"/>
        <w:rPr>
          <w:rStyle w:val="4"/>
          <w:rFonts w:hint="eastAsia" w:ascii="方正楷体_GBK" w:hAnsi="方正楷体_GBK" w:eastAsia="方正楷体_GBK" w:cs="方正楷体_GBK"/>
          <w:b w:val="0"/>
          <w:bCs/>
          <w:color w:val="auto"/>
          <w:sz w:val="32"/>
          <w:szCs w:val="32"/>
        </w:rPr>
      </w:pPr>
      <w:r>
        <w:rPr>
          <w:rStyle w:val="4"/>
          <w:rFonts w:hint="eastAsia" w:ascii="方正楷体_GBK" w:hAnsi="方正楷体_GBK" w:eastAsia="方正楷体_GBK" w:cs="方正楷体_GBK"/>
          <w:b w:val="0"/>
          <w:bCs/>
          <w:color w:val="auto"/>
          <w:sz w:val="32"/>
          <w:szCs w:val="32"/>
        </w:rPr>
        <w:t>（三）国有资产占用情况说明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right="0" w:firstLine="640" w:firstLineChars="200"/>
        <w:jc w:val="left"/>
        <w:textAlignment w:val="auto"/>
        <w:rPr>
          <w:color w:val="auto"/>
        </w:rPr>
      </w:pPr>
      <w:r>
        <w:rPr>
          <w:rFonts w:hint="eastAsia" w:ascii="方正仿宋_GBK" w:hAnsi="方正仿宋_GBK" w:eastAsia="方正仿宋_GBK" w:cs="方正仿宋_GBK"/>
          <w:color w:val="auto"/>
          <w:sz w:val="32"/>
          <w:szCs w:val="32"/>
        </w:rPr>
        <w:t>截至2022年12月31日，本部门共有车辆1辆，其中，副部（省）级及以上领导用车0辆、主要领导干部用车0辆、机要通信用车0辆、应急保障用车0辆、执法执勤用车0辆，特种专业技术用车1辆，离退休干部用车0辆，其他用车0辆。单价100万元（含）以上设备（不含车辆）0台（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right="0" w:firstLine="640" w:firstLineChars="200"/>
        <w:jc w:val="left"/>
        <w:textAlignment w:val="auto"/>
        <w:rPr>
          <w:rStyle w:val="4"/>
          <w:rFonts w:hint="eastAsia" w:ascii="方正楷体_GBK" w:hAnsi="方正楷体_GBK" w:eastAsia="方正楷体_GBK" w:cs="方正楷体_GBK"/>
          <w:b w:val="0"/>
          <w:bCs/>
          <w:color w:val="auto"/>
          <w:sz w:val="32"/>
          <w:szCs w:val="32"/>
        </w:rPr>
      </w:pPr>
      <w:r>
        <w:rPr>
          <w:rStyle w:val="4"/>
          <w:rFonts w:hint="eastAsia" w:ascii="方正楷体_GBK" w:hAnsi="方正楷体_GBK" w:eastAsia="方正楷体_GBK" w:cs="方正楷体_GBK"/>
          <w:b w:val="0"/>
          <w:bCs/>
          <w:color w:val="auto"/>
          <w:sz w:val="32"/>
          <w:szCs w:val="32"/>
        </w:rPr>
        <w:t>（四）政府采购支出说明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right="0" w:firstLine="640" w:firstLineChars="200"/>
        <w:jc w:val="left"/>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2022年度我单位未发生政府采购事项，无相关经费支出。</w:t>
      </w:r>
    </w:p>
    <w:p>
      <w:pPr>
        <w:pStyle w:val="2"/>
        <w:keepNext w:val="0"/>
        <w:keepLines w:val="0"/>
        <w:pageBreakBefore w:val="0"/>
        <w:widowControl/>
        <w:suppressLineNumbers w:val="0"/>
        <w:kinsoku/>
        <w:wordWrap/>
        <w:overflowPunct/>
        <w:topLinePunct w:val="0"/>
        <w:autoSpaceDN/>
        <w:bidi w:val="0"/>
        <w:adjustRightInd/>
        <w:snapToGrid/>
        <w:spacing w:beforeAutospacing="0" w:afterAutospacing="0" w:line="594" w:lineRule="exact"/>
        <w:ind w:right="0" w:firstLine="640" w:firstLineChars="200"/>
        <w:textAlignment w:val="auto"/>
        <w:rPr>
          <w:rStyle w:val="7"/>
          <w:rFonts w:hint="eastAsia" w:ascii="方正黑体_GBK" w:hAnsi="方正黑体_GBK" w:eastAsia="方正黑体_GBK" w:cs="方正黑体_GBK"/>
          <w:b w:val="0"/>
          <w:color w:val="auto"/>
          <w:kern w:val="0"/>
          <w:sz w:val="32"/>
          <w:szCs w:val="32"/>
          <w:shd w:val="clear" w:fill="FFFFFF"/>
          <w:lang w:val="en-US" w:eastAsia="zh-CN" w:bidi="ar"/>
        </w:rPr>
      </w:pPr>
      <w:r>
        <w:rPr>
          <w:rStyle w:val="7"/>
          <w:rFonts w:hint="eastAsia" w:ascii="方正黑体_GBK" w:hAnsi="方正黑体_GBK" w:eastAsia="方正黑体_GBK" w:cs="方正黑体_GBK"/>
          <w:b w:val="0"/>
          <w:color w:val="auto"/>
          <w:kern w:val="0"/>
          <w:sz w:val="32"/>
          <w:szCs w:val="32"/>
          <w:shd w:val="clear" w:fill="FFFFFF"/>
          <w:lang w:val="en-US" w:eastAsia="zh-CN" w:bidi="ar"/>
        </w:rPr>
        <w:t>五、预算绩效管理情况说明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right="0" w:firstLine="640" w:firstLineChars="200"/>
        <w:jc w:val="left"/>
        <w:textAlignment w:val="auto"/>
        <w:rPr>
          <w:rStyle w:val="4"/>
          <w:rFonts w:hint="eastAsia" w:ascii="方正楷体_GBK" w:hAnsi="方正楷体_GBK" w:eastAsia="方正楷体_GBK" w:cs="方正楷体_GBK"/>
          <w:b w:val="0"/>
          <w:bCs/>
          <w:color w:val="auto"/>
          <w:sz w:val="32"/>
          <w:szCs w:val="32"/>
        </w:rPr>
      </w:pPr>
      <w:r>
        <w:rPr>
          <w:rStyle w:val="4"/>
          <w:rFonts w:hint="eastAsia" w:ascii="方正楷体_GBK" w:hAnsi="方正楷体_GBK" w:eastAsia="方正楷体_GBK" w:cs="方正楷体_GBK"/>
          <w:b w:val="0"/>
          <w:bCs/>
          <w:color w:val="auto"/>
          <w:sz w:val="32"/>
          <w:szCs w:val="32"/>
        </w:rPr>
        <w:t>（一）预算绩效管理工作开展情况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right="0" w:firstLine="640" w:firstLineChars="200"/>
        <w:jc w:val="left"/>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根据预算绩效管理要求，我单位对</w:t>
      </w: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rPr>
        <w:t>个项目开展了绩效自评，其中，以填报自评表形式开展自评</w:t>
      </w: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rPr>
        <w:t>项，涉及资金</w:t>
      </w:r>
      <w:r>
        <w:rPr>
          <w:rFonts w:hint="eastAsia" w:ascii="方正仿宋_GBK" w:hAnsi="方正仿宋_GBK" w:eastAsia="方正仿宋_GBK" w:cs="方正仿宋_GBK"/>
          <w:color w:val="auto"/>
          <w:sz w:val="32"/>
          <w:szCs w:val="32"/>
          <w:lang w:val="en-US" w:eastAsia="zh-CN"/>
        </w:rPr>
        <w:t>27.16</w:t>
      </w:r>
      <w:r>
        <w:rPr>
          <w:rFonts w:hint="eastAsia" w:ascii="方正仿宋_GBK" w:hAnsi="方正仿宋_GBK" w:eastAsia="方正仿宋_GBK" w:cs="方正仿宋_GBK"/>
          <w:color w:val="auto"/>
          <w:sz w:val="32"/>
          <w:szCs w:val="32"/>
        </w:rPr>
        <w:t>万元。</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line="594" w:lineRule="exact"/>
        <w:ind w:leftChars="0" w:right="0" w:rightChars="0" w:firstLine="640" w:firstLineChars="200"/>
        <w:jc w:val="left"/>
        <w:textAlignment w:val="auto"/>
        <w:rPr>
          <w:rStyle w:val="4"/>
          <w:rFonts w:hint="eastAsia" w:ascii="方正楷体_GBK" w:hAnsi="方正楷体_GBK" w:eastAsia="方正楷体_GBK" w:cs="方正楷体_GBK"/>
          <w:b w:val="0"/>
          <w:bCs/>
          <w:color w:val="auto"/>
          <w:sz w:val="32"/>
          <w:szCs w:val="32"/>
        </w:rPr>
      </w:pPr>
      <w:r>
        <w:rPr>
          <w:rStyle w:val="4"/>
          <w:rFonts w:hint="eastAsia" w:ascii="方正楷体_GBK" w:hAnsi="方正楷体_GBK" w:eastAsia="方正楷体_GBK" w:cs="方正楷体_GBK"/>
          <w:b w:val="0"/>
          <w:bCs/>
          <w:color w:val="auto"/>
          <w:sz w:val="32"/>
          <w:szCs w:val="32"/>
        </w:rPr>
        <w:t>绩效自评结果。</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94" w:lineRule="exact"/>
        <w:ind w:left="0" w:leftChars="0" w:right="0" w:rightChars="0" w:firstLine="643" w:firstLineChars="200"/>
        <w:jc w:val="both"/>
        <w:textAlignment w:val="auto"/>
        <w:rPr>
          <w:rStyle w:val="4"/>
          <w:rFonts w:hint="eastAsia" w:ascii="方正仿宋_GBK" w:hAnsi="方正仿宋_GBK" w:eastAsia="方正仿宋_GBK" w:cs="方正仿宋_GBK"/>
          <w:b/>
          <w:bCs w:val="0"/>
          <w:color w:val="auto"/>
          <w:sz w:val="32"/>
          <w:szCs w:val="32"/>
          <w:lang w:eastAsia="zh-CN"/>
        </w:rPr>
      </w:pPr>
      <w:r>
        <w:rPr>
          <w:rStyle w:val="4"/>
          <w:rFonts w:hint="eastAsia" w:ascii="方正仿宋_GBK" w:hAnsi="方正仿宋_GBK" w:eastAsia="方正仿宋_GBK" w:cs="方正仿宋_GBK"/>
          <w:b/>
          <w:bCs w:val="0"/>
          <w:color w:val="auto"/>
          <w:sz w:val="32"/>
          <w:szCs w:val="32"/>
          <w:lang w:val="en-US" w:eastAsia="zh-CN"/>
        </w:rPr>
        <w:t>1.</w:t>
      </w:r>
      <w:r>
        <w:rPr>
          <w:rStyle w:val="4"/>
          <w:rFonts w:hint="eastAsia" w:ascii="方正仿宋_GBK" w:hAnsi="方正仿宋_GBK" w:eastAsia="方正仿宋_GBK" w:cs="方正仿宋_GBK"/>
          <w:b/>
          <w:bCs w:val="0"/>
          <w:color w:val="auto"/>
          <w:sz w:val="32"/>
          <w:szCs w:val="32"/>
        </w:rPr>
        <w:t>绩效目标自评表</w:t>
      </w:r>
      <w:r>
        <w:rPr>
          <w:rStyle w:val="4"/>
          <w:rFonts w:hint="eastAsia" w:ascii="方正仿宋_GBK" w:hAnsi="方正仿宋_GBK" w:eastAsia="方正仿宋_GBK" w:cs="方正仿宋_GBK"/>
          <w:b/>
          <w:bCs w:val="0"/>
          <w:color w:val="auto"/>
          <w:sz w:val="32"/>
          <w:szCs w:val="32"/>
          <w:lang w:eastAsia="zh-CN"/>
        </w:rPr>
        <w:t>。</w:t>
      </w:r>
    </w:p>
    <w:p>
      <w:pPr>
        <w:pStyle w:val="2"/>
        <w:keepNext w:val="0"/>
        <w:keepLines w:val="0"/>
        <w:pageBreakBefore w:val="0"/>
        <w:widowControl/>
        <w:numPr>
          <w:ilvl w:val="0"/>
          <w:numId w:val="2"/>
        </w:numPr>
        <w:suppressLineNumbers w:val="0"/>
        <w:kinsoku/>
        <w:wordWrap/>
        <w:overflowPunct/>
        <w:topLinePunct w:val="0"/>
        <w:autoSpaceDE/>
        <w:autoSpaceDN/>
        <w:bidi w:val="0"/>
        <w:adjustRightInd/>
        <w:snapToGrid/>
        <w:spacing w:beforeAutospacing="0" w:afterAutospacing="0" w:line="594" w:lineRule="exact"/>
        <w:ind w:left="0" w:leftChars="0" w:right="0" w:rightChars="0" w:firstLine="640" w:firstLineChars="200"/>
        <w:jc w:val="both"/>
        <w:textAlignment w:val="auto"/>
        <w:rPr>
          <w:rStyle w:val="4"/>
          <w:rFonts w:hint="eastAsia" w:ascii="方正仿宋_GBK" w:hAnsi="方正仿宋_GBK" w:eastAsia="方正仿宋_GBK" w:cs="方正仿宋_GBK"/>
          <w:b w:val="0"/>
          <w:bCs/>
          <w:color w:val="auto"/>
          <w:kern w:val="2"/>
          <w:sz w:val="32"/>
          <w:szCs w:val="32"/>
          <w:lang w:bidi="ar-SA"/>
        </w:rPr>
      </w:pPr>
      <w:r>
        <w:rPr>
          <w:rStyle w:val="4"/>
          <w:rFonts w:hint="eastAsia" w:ascii="方正仿宋_GBK" w:hAnsi="方正仿宋_GBK" w:eastAsia="方正仿宋_GBK" w:cs="方正仿宋_GBK"/>
          <w:b w:val="0"/>
          <w:bCs/>
          <w:color w:val="auto"/>
          <w:kern w:val="2"/>
          <w:sz w:val="32"/>
          <w:szCs w:val="32"/>
          <w:lang w:bidi="ar-SA"/>
        </w:rPr>
        <w:t>部门整体绩效自评表</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94" w:lineRule="exact"/>
        <w:ind w:left="0" w:leftChars="0" w:right="0" w:rightChars="0" w:firstLine="640" w:firstLineChars="200"/>
        <w:jc w:val="both"/>
        <w:textAlignment w:val="auto"/>
        <w:rPr>
          <w:rStyle w:val="4"/>
          <w:rFonts w:hint="eastAsia" w:ascii="方正仿宋_GBK" w:hAnsi="方正仿宋_GBK" w:eastAsia="方正仿宋_GBK" w:cs="方正仿宋_GBK"/>
          <w:b w:val="0"/>
          <w:bCs w:val="0"/>
          <w:color w:val="auto"/>
          <w:kern w:val="2"/>
          <w:sz w:val="32"/>
          <w:szCs w:val="32"/>
          <w:lang w:bidi="ar-SA"/>
        </w:rPr>
      </w:pPr>
      <w:r>
        <w:rPr>
          <w:rFonts w:hint="eastAsia" w:ascii="方正仿宋_GBK" w:hAnsi="方正仿宋_GBK" w:eastAsia="方正仿宋_GBK" w:cs="方正仿宋_GBK"/>
          <w:color w:val="auto"/>
          <w:sz w:val="32"/>
          <w:szCs w:val="32"/>
        </w:rPr>
        <w:t>我单位为二级预算单位，未进行部门整体绩效目标管理。</w:t>
      </w:r>
      <w:r>
        <w:rPr>
          <w:rFonts w:hint="eastAsia" w:ascii="方正仿宋_GBK" w:hAnsi="方正仿宋_GBK" w:eastAsia="方正仿宋_GBK" w:cs="方正仿宋_GBK"/>
          <w:b w:val="0"/>
          <w:bCs w:val="0"/>
          <w:color w:val="auto"/>
          <w:sz w:val="32"/>
          <w:szCs w:val="32"/>
        </w:rPr>
        <w:t> </w:t>
      </w:r>
      <w:r>
        <w:rPr>
          <w:rStyle w:val="4"/>
          <w:rFonts w:hint="eastAsia" w:ascii="方正仿宋_GBK" w:hAnsi="方正仿宋_GBK" w:eastAsia="方正仿宋_GBK" w:cs="方正仿宋_GBK"/>
          <w:b w:val="0"/>
          <w:bCs w:val="0"/>
          <w:color w:val="auto"/>
          <w:kern w:val="2"/>
          <w:sz w:val="32"/>
          <w:szCs w:val="32"/>
          <w:lang w:bidi="ar-SA"/>
        </w:rPr>
        <w:t xml:space="preserve">   </w:t>
      </w:r>
    </w:p>
    <w:p>
      <w:pPr>
        <w:pStyle w:val="2"/>
        <w:keepNext w:val="0"/>
        <w:keepLines w:val="0"/>
        <w:pageBreakBefore w:val="0"/>
        <w:widowControl/>
        <w:numPr>
          <w:ilvl w:val="0"/>
          <w:numId w:val="2"/>
        </w:numPr>
        <w:suppressLineNumbers w:val="0"/>
        <w:kinsoku/>
        <w:wordWrap/>
        <w:overflowPunct/>
        <w:topLinePunct w:val="0"/>
        <w:autoSpaceDE/>
        <w:autoSpaceDN/>
        <w:bidi w:val="0"/>
        <w:adjustRightInd/>
        <w:snapToGrid/>
        <w:spacing w:beforeAutospacing="0" w:afterAutospacing="0" w:line="594"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rPr>
      </w:pPr>
      <w:r>
        <w:rPr>
          <w:rStyle w:val="4"/>
          <w:rFonts w:hint="eastAsia" w:ascii="方正仿宋_GBK" w:hAnsi="方正仿宋_GBK" w:eastAsia="方正仿宋_GBK" w:cs="方正仿宋_GBK"/>
          <w:b w:val="0"/>
          <w:bCs w:val="0"/>
          <w:color w:val="auto"/>
          <w:kern w:val="2"/>
          <w:sz w:val="32"/>
          <w:szCs w:val="32"/>
          <w:lang w:bidi="ar-SA"/>
        </w:rPr>
        <w:t>项目绩效自评表</w:t>
      </w:r>
      <w:r>
        <w:rPr>
          <w:rFonts w:hint="eastAsia" w:ascii="方正仿宋_GBK" w:hAnsi="方正仿宋_GBK" w:eastAsia="方正仿宋_GBK" w:cs="方正仿宋_GBK"/>
          <w:color w:val="auto"/>
          <w:sz w:val="32"/>
          <w:szCs w:val="32"/>
        </w:rPr>
        <w:t xml:space="preserve">     </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94"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详见附件。</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94" w:lineRule="exact"/>
        <w:ind w:leftChars="200" w:right="0" w:rightChars="0" w:firstLine="321" w:firstLineChars="100"/>
        <w:jc w:val="left"/>
        <w:textAlignment w:val="auto"/>
        <w:rPr>
          <w:rFonts w:hint="eastAsia" w:ascii="方正仿宋_GBK" w:hAnsi="方正仿宋_GBK" w:eastAsia="方正仿宋_GBK" w:cs="方正仿宋_GBK"/>
          <w:color w:val="auto"/>
          <w:sz w:val="32"/>
          <w:szCs w:val="32"/>
        </w:rPr>
      </w:pPr>
      <w:r>
        <w:rPr>
          <w:rStyle w:val="4"/>
          <w:rFonts w:hint="eastAsia" w:ascii="方正仿宋_GBK" w:hAnsi="方正仿宋_GBK" w:eastAsia="方正仿宋_GBK" w:cs="方正仿宋_GBK"/>
          <w:b/>
          <w:bCs w:val="0"/>
          <w:color w:val="auto"/>
          <w:sz w:val="32"/>
          <w:szCs w:val="32"/>
        </w:rPr>
        <w:t>2.绩效自评报告或案例</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94" w:lineRule="exact"/>
        <w:ind w:leftChars="0" w:right="0" w:rightChars="0" w:firstLine="640" w:firstLineChars="200"/>
        <w:jc w:val="left"/>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rPr>
        <w:t>我单位未委托第三方开展绩效评价</w:t>
      </w:r>
      <w:r>
        <w:rPr>
          <w:rFonts w:hint="eastAsia" w:ascii="方正仿宋_GBK" w:hAnsi="方正仿宋_GBK" w:eastAsia="方正仿宋_GBK" w:cs="方正仿宋_GBK"/>
          <w:color w:val="auto"/>
          <w:sz w:val="32"/>
          <w:szCs w:val="32"/>
          <w:lang w:eastAsia="zh-CN"/>
        </w:rPr>
        <w:t>。</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94" w:lineRule="exact"/>
        <w:ind w:leftChars="0" w:right="0" w:rightChars="0" w:firstLine="643" w:firstLineChars="200"/>
        <w:jc w:val="left"/>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3.关于绩效自评结果的说明</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94" w:lineRule="exact"/>
        <w:ind w:leftChars="0" w:right="0" w:rightChars="0" w:firstLine="640" w:firstLineChars="200"/>
        <w:jc w:val="left"/>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我单位对</w:t>
      </w: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rPr>
        <w:t>项目进行绩效自评，其中</w:t>
      </w: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rPr>
        <w:t>个已完成年度绩效目标，</w:t>
      </w:r>
      <w:r>
        <w:rPr>
          <w:rFonts w:hint="eastAsia" w:ascii="方正仿宋_GBK" w:hAnsi="方正仿宋_GBK" w:eastAsia="方正仿宋_GBK" w:cs="方正仿宋_GBK"/>
          <w:color w:val="auto"/>
          <w:sz w:val="32"/>
          <w:szCs w:val="32"/>
          <w:lang w:val="en-US" w:eastAsia="zh-CN"/>
        </w:rPr>
        <w:t>0</w:t>
      </w:r>
      <w:r>
        <w:rPr>
          <w:rFonts w:hint="eastAsia" w:ascii="方正仿宋_GBK" w:hAnsi="方正仿宋_GBK" w:eastAsia="方正仿宋_GBK" w:cs="方正仿宋_GBK"/>
          <w:color w:val="auto"/>
          <w:sz w:val="32"/>
          <w:szCs w:val="32"/>
        </w:rPr>
        <w:t>个未完成年度绩效目标。</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line="594" w:lineRule="exact"/>
        <w:ind w:left="0" w:leftChars="0" w:right="0" w:rightChars="0" w:firstLine="640" w:firstLineChars="200"/>
        <w:jc w:val="left"/>
        <w:textAlignment w:val="auto"/>
        <w:rPr>
          <w:rStyle w:val="4"/>
          <w:rFonts w:hint="eastAsia" w:ascii="方正楷体_GBK" w:hAnsi="方正楷体_GBK" w:eastAsia="方正楷体_GBK" w:cs="方正楷体_GBK"/>
          <w:b w:val="0"/>
          <w:bCs/>
          <w:color w:val="auto"/>
          <w:sz w:val="32"/>
          <w:szCs w:val="32"/>
        </w:rPr>
      </w:pPr>
      <w:r>
        <w:rPr>
          <w:rStyle w:val="4"/>
          <w:rFonts w:hint="eastAsia" w:ascii="方正楷体_GBK" w:hAnsi="方正楷体_GBK" w:eastAsia="方正楷体_GBK" w:cs="方正楷体_GBK"/>
          <w:b w:val="0"/>
          <w:bCs/>
          <w:color w:val="auto"/>
          <w:sz w:val="32"/>
          <w:szCs w:val="32"/>
        </w:rPr>
        <w:t>重点绩效评价结果</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94" w:lineRule="exact"/>
        <w:ind w:leftChars="0" w:right="0" w:rightChars="0" w:firstLine="640" w:firstLineChars="200"/>
        <w:jc w:val="left"/>
        <w:textAlignment w:val="auto"/>
        <w:rPr>
          <w:color w:val="auto"/>
        </w:rPr>
      </w:pPr>
      <w:r>
        <w:rPr>
          <w:rFonts w:hint="eastAsia" w:ascii="方正仿宋_GBK" w:hAnsi="方正仿宋_GBK" w:eastAsia="方正仿宋_GBK" w:cs="方正仿宋_GBK"/>
          <w:color w:val="auto"/>
          <w:sz w:val="32"/>
          <w:szCs w:val="32"/>
        </w:rPr>
        <w:t>我单位未开展重点绩效评价。</w:t>
      </w:r>
    </w:p>
    <w:p>
      <w:pPr>
        <w:pStyle w:val="2"/>
        <w:keepNext w:val="0"/>
        <w:keepLines w:val="0"/>
        <w:pageBreakBefore w:val="0"/>
        <w:widowControl/>
        <w:suppressLineNumbers w:val="0"/>
        <w:kinsoku/>
        <w:wordWrap/>
        <w:overflowPunct/>
        <w:topLinePunct w:val="0"/>
        <w:autoSpaceDN/>
        <w:bidi w:val="0"/>
        <w:adjustRightInd/>
        <w:snapToGrid/>
        <w:spacing w:beforeAutospacing="0" w:afterAutospacing="0" w:line="594" w:lineRule="exact"/>
        <w:ind w:right="0" w:firstLine="640" w:firstLineChars="200"/>
        <w:jc w:val="left"/>
        <w:textAlignment w:val="auto"/>
        <w:rPr>
          <w:rFonts w:hint="eastAsia" w:ascii="方正黑体_GBK" w:hAnsi="方正黑体_GBK" w:eastAsia="方正黑体_GBK" w:cs="方正黑体_GBK"/>
          <w:b w:val="0"/>
          <w:bCs/>
          <w:color w:val="auto"/>
          <w:sz w:val="32"/>
          <w:szCs w:val="32"/>
        </w:rPr>
      </w:pPr>
      <w:r>
        <w:rPr>
          <w:rStyle w:val="4"/>
          <w:rFonts w:hint="eastAsia" w:ascii="方正黑体_GBK" w:hAnsi="方正黑体_GBK" w:eastAsia="方正黑体_GBK" w:cs="方正黑体_GBK"/>
          <w:b w:val="0"/>
          <w:bCs/>
          <w:color w:val="auto"/>
          <w:sz w:val="32"/>
          <w:szCs w:val="32"/>
        </w:rPr>
        <w:t>六、专业名词解释</w:t>
      </w:r>
    </w:p>
    <w:p>
      <w:pPr>
        <w:pStyle w:val="2"/>
        <w:keepNext w:val="0"/>
        <w:keepLines w:val="0"/>
        <w:pageBreakBefore w:val="0"/>
        <w:widowControl/>
        <w:suppressLineNumbers w:val="0"/>
        <w:kinsoku/>
        <w:wordWrap/>
        <w:overflowPunct/>
        <w:topLinePunct w:val="0"/>
        <w:autoSpaceDN/>
        <w:bidi w:val="0"/>
        <w:adjustRightInd/>
        <w:snapToGrid/>
        <w:spacing w:beforeAutospacing="0" w:afterAutospacing="0" w:line="594" w:lineRule="exact"/>
        <w:ind w:right="0" w:firstLine="640" w:firstLineChars="200"/>
        <w:jc w:val="left"/>
        <w:textAlignment w:val="auto"/>
        <w:rPr>
          <w:rFonts w:hint="eastAsia" w:ascii="方正仿宋_GBK" w:hAnsi="方正仿宋_GBK" w:eastAsia="方正仿宋_GBK" w:cs="方正仿宋_GBK"/>
          <w:color w:val="auto"/>
          <w:sz w:val="32"/>
          <w:szCs w:val="32"/>
        </w:rPr>
      </w:pPr>
      <w:r>
        <w:rPr>
          <w:rStyle w:val="4"/>
          <w:rFonts w:hint="eastAsia" w:ascii="方正楷体_GBK" w:hAnsi="方正楷体_GBK" w:eastAsia="方正楷体_GBK" w:cs="方正楷体_GBK"/>
          <w:b w:val="0"/>
          <w:bCs/>
          <w:color w:val="auto"/>
          <w:sz w:val="32"/>
          <w:szCs w:val="32"/>
        </w:rPr>
        <w:t>（一）财政拨款收入：</w:t>
      </w:r>
      <w:r>
        <w:rPr>
          <w:rFonts w:hint="eastAsia" w:ascii="方正仿宋_GBK" w:hAnsi="方正仿宋_GBK" w:eastAsia="方正仿宋_GBK" w:cs="方正仿宋_GBK"/>
          <w:color w:val="auto"/>
          <w:sz w:val="32"/>
          <w:szCs w:val="32"/>
        </w:rPr>
        <w:t>指本年度从本级财政部门取得的财政拨款，包括一般公共预算财政拨款和政府性基金预算财政拨款。</w:t>
      </w:r>
    </w:p>
    <w:p>
      <w:pPr>
        <w:pStyle w:val="2"/>
        <w:keepNext w:val="0"/>
        <w:keepLines w:val="0"/>
        <w:pageBreakBefore w:val="0"/>
        <w:widowControl/>
        <w:suppressLineNumbers w:val="0"/>
        <w:kinsoku/>
        <w:wordWrap/>
        <w:overflowPunct/>
        <w:topLinePunct w:val="0"/>
        <w:autoSpaceDN/>
        <w:bidi w:val="0"/>
        <w:adjustRightInd/>
        <w:snapToGrid/>
        <w:spacing w:beforeAutospacing="0" w:afterAutospacing="0" w:line="594" w:lineRule="exact"/>
        <w:ind w:right="0" w:firstLine="640" w:firstLineChars="200"/>
        <w:jc w:val="left"/>
        <w:textAlignment w:val="auto"/>
        <w:rPr>
          <w:rFonts w:hint="eastAsia" w:ascii="方正仿宋_GBK" w:hAnsi="方正仿宋_GBK" w:eastAsia="方正仿宋_GBK" w:cs="方正仿宋_GBK"/>
          <w:color w:val="auto"/>
          <w:sz w:val="32"/>
          <w:szCs w:val="32"/>
        </w:rPr>
      </w:pPr>
      <w:r>
        <w:rPr>
          <w:rStyle w:val="4"/>
          <w:rFonts w:hint="eastAsia" w:ascii="方正楷体_GBK" w:hAnsi="方正楷体_GBK" w:eastAsia="方正楷体_GBK" w:cs="方正楷体_GBK"/>
          <w:b w:val="0"/>
          <w:bCs/>
          <w:color w:val="auto"/>
          <w:sz w:val="32"/>
          <w:szCs w:val="32"/>
        </w:rPr>
        <w:t>（二）事业收入：</w:t>
      </w:r>
      <w:r>
        <w:rPr>
          <w:rFonts w:hint="eastAsia" w:ascii="方正仿宋_GBK" w:hAnsi="方正仿宋_GBK" w:eastAsia="方正仿宋_GBK" w:cs="方正仿宋_GBK"/>
          <w:color w:val="auto"/>
          <w:sz w:val="32"/>
          <w:szCs w:val="32"/>
        </w:rPr>
        <w:t>指事业单位开展专业业务活动及其辅助活动取得的现金流入；事业单位收到的财政专户实际核拨的教育收费等资金在此反映。</w:t>
      </w:r>
    </w:p>
    <w:p>
      <w:pPr>
        <w:pStyle w:val="2"/>
        <w:keepNext w:val="0"/>
        <w:keepLines w:val="0"/>
        <w:pageBreakBefore w:val="0"/>
        <w:widowControl/>
        <w:suppressLineNumbers w:val="0"/>
        <w:kinsoku/>
        <w:wordWrap/>
        <w:overflowPunct/>
        <w:topLinePunct w:val="0"/>
        <w:autoSpaceDN/>
        <w:bidi w:val="0"/>
        <w:adjustRightInd/>
        <w:snapToGrid/>
        <w:spacing w:beforeAutospacing="0" w:afterAutospacing="0" w:line="594" w:lineRule="exact"/>
        <w:ind w:right="0" w:firstLine="640" w:firstLineChars="200"/>
        <w:jc w:val="left"/>
        <w:textAlignment w:val="auto"/>
        <w:rPr>
          <w:rFonts w:hint="eastAsia" w:ascii="方正仿宋_GBK" w:hAnsi="方正仿宋_GBK" w:eastAsia="方正仿宋_GBK" w:cs="方正仿宋_GBK"/>
          <w:color w:val="auto"/>
          <w:sz w:val="32"/>
          <w:szCs w:val="32"/>
        </w:rPr>
      </w:pPr>
      <w:r>
        <w:rPr>
          <w:rStyle w:val="4"/>
          <w:rFonts w:hint="eastAsia" w:ascii="方正楷体_GBK" w:hAnsi="方正楷体_GBK" w:eastAsia="方正楷体_GBK" w:cs="方正楷体_GBK"/>
          <w:b w:val="0"/>
          <w:bCs/>
          <w:color w:val="auto"/>
          <w:sz w:val="32"/>
          <w:szCs w:val="32"/>
        </w:rPr>
        <w:t>（三）经营收入：</w:t>
      </w:r>
      <w:r>
        <w:rPr>
          <w:rFonts w:hint="eastAsia" w:ascii="方正仿宋_GBK" w:hAnsi="方正仿宋_GBK" w:eastAsia="方正仿宋_GBK" w:cs="方正仿宋_GBK"/>
          <w:color w:val="auto"/>
          <w:sz w:val="32"/>
          <w:szCs w:val="32"/>
        </w:rPr>
        <w:t>指事业单位在专业业务活动及其辅助活动之外开展非独立核算经营活动取得的现金流入。</w:t>
      </w:r>
    </w:p>
    <w:p>
      <w:pPr>
        <w:pStyle w:val="2"/>
        <w:keepNext w:val="0"/>
        <w:keepLines w:val="0"/>
        <w:pageBreakBefore w:val="0"/>
        <w:widowControl/>
        <w:suppressLineNumbers w:val="0"/>
        <w:kinsoku/>
        <w:wordWrap/>
        <w:overflowPunct/>
        <w:topLinePunct w:val="0"/>
        <w:autoSpaceDN/>
        <w:bidi w:val="0"/>
        <w:adjustRightInd/>
        <w:snapToGrid/>
        <w:spacing w:beforeAutospacing="0" w:afterAutospacing="0" w:line="594" w:lineRule="exact"/>
        <w:ind w:right="0" w:firstLine="640" w:firstLineChars="200"/>
        <w:jc w:val="left"/>
        <w:textAlignment w:val="auto"/>
        <w:rPr>
          <w:rFonts w:hint="eastAsia" w:ascii="方正仿宋_GBK" w:hAnsi="方正仿宋_GBK" w:eastAsia="方正仿宋_GBK" w:cs="方正仿宋_GBK"/>
          <w:color w:val="auto"/>
          <w:sz w:val="32"/>
          <w:szCs w:val="32"/>
        </w:rPr>
      </w:pPr>
      <w:r>
        <w:rPr>
          <w:rStyle w:val="4"/>
          <w:rFonts w:hint="eastAsia" w:ascii="方正楷体_GBK" w:hAnsi="方正楷体_GBK" w:eastAsia="方正楷体_GBK" w:cs="方正楷体_GBK"/>
          <w:b w:val="0"/>
          <w:bCs/>
          <w:color w:val="auto"/>
          <w:sz w:val="32"/>
          <w:szCs w:val="32"/>
        </w:rPr>
        <w:t>（四）其他收入：</w:t>
      </w:r>
      <w:r>
        <w:rPr>
          <w:rFonts w:hint="eastAsia" w:ascii="方正仿宋_GBK" w:hAnsi="方正仿宋_GBK" w:eastAsia="方正仿宋_GBK" w:cs="方正仿宋_GBK"/>
          <w:color w:val="auto"/>
          <w:sz w:val="32"/>
          <w:szCs w:val="32"/>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2"/>
        <w:keepNext w:val="0"/>
        <w:keepLines w:val="0"/>
        <w:pageBreakBefore w:val="0"/>
        <w:widowControl/>
        <w:suppressLineNumbers w:val="0"/>
        <w:kinsoku/>
        <w:wordWrap/>
        <w:overflowPunct/>
        <w:topLinePunct w:val="0"/>
        <w:autoSpaceDN/>
        <w:bidi w:val="0"/>
        <w:adjustRightInd/>
        <w:snapToGrid/>
        <w:spacing w:beforeAutospacing="0" w:afterAutospacing="0" w:line="594" w:lineRule="exact"/>
        <w:ind w:right="0" w:firstLine="640" w:firstLineChars="200"/>
        <w:jc w:val="left"/>
        <w:textAlignment w:val="auto"/>
        <w:rPr>
          <w:color w:val="auto"/>
        </w:rPr>
      </w:pPr>
      <w:r>
        <w:rPr>
          <w:rStyle w:val="4"/>
          <w:rFonts w:hint="eastAsia" w:ascii="方正楷体_GBK" w:hAnsi="方正楷体_GBK" w:eastAsia="方正楷体_GBK" w:cs="方正楷体_GBK"/>
          <w:b w:val="0"/>
          <w:bCs/>
          <w:color w:val="auto"/>
          <w:sz w:val="32"/>
          <w:szCs w:val="32"/>
        </w:rPr>
        <w:t>（五）使用非财政拨款结余：</w:t>
      </w:r>
      <w:r>
        <w:rPr>
          <w:rFonts w:hint="eastAsia" w:ascii="方正仿宋_GBK" w:hAnsi="方正仿宋_GBK" w:eastAsia="方正仿宋_GBK" w:cs="方正仿宋_GBK"/>
          <w:color w:val="auto"/>
          <w:sz w:val="32"/>
          <w:szCs w:val="32"/>
        </w:rPr>
        <w:t>指单位在当年的“财政拨款收入”、“事业收入”、“经营收入”、“其他收入”等不足以安排当年支出的情况下，使用以前年度积累的非财政拨款结余弥补本年度收支缺口的资金。</w:t>
      </w:r>
    </w:p>
    <w:p>
      <w:pPr>
        <w:pStyle w:val="2"/>
        <w:keepNext w:val="0"/>
        <w:keepLines w:val="0"/>
        <w:pageBreakBefore w:val="0"/>
        <w:widowControl/>
        <w:suppressLineNumbers w:val="0"/>
        <w:kinsoku/>
        <w:wordWrap/>
        <w:overflowPunct/>
        <w:topLinePunct w:val="0"/>
        <w:autoSpaceDN/>
        <w:bidi w:val="0"/>
        <w:adjustRightInd/>
        <w:snapToGrid/>
        <w:spacing w:beforeAutospacing="0" w:afterAutospacing="0" w:line="594" w:lineRule="exact"/>
        <w:ind w:right="0" w:firstLine="640" w:firstLineChars="200"/>
        <w:jc w:val="left"/>
        <w:textAlignment w:val="auto"/>
        <w:rPr>
          <w:rFonts w:hint="eastAsia" w:ascii="方正仿宋_GBK" w:hAnsi="方正仿宋_GBK" w:eastAsia="方正仿宋_GBK" w:cs="方正仿宋_GBK"/>
          <w:color w:val="auto"/>
          <w:sz w:val="32"/>
          <w:szCs w:val="32"/>
        </w:rPr>
      </w:pPr>
      <w:r>
        <w:rPr>
          <w:rStyle w:val="4"/>
          <w:rFonts w:hint="eastAsia" w:ascii="方正楷体_GBK" w:hAnsi="方正楷体_GBK" w:eastAsia="方正楷体_GBK" w:cs="方正楷体_GBK"/>
          <w:b w:val="0"/>
          <w:bCs/>
          <w:color w:val="auto"/>
          <w:sz w:val="32"/>
          <w:szCs w:val="32"/>
        </w:rPr>
        <w:t>（六）年初结转和结余：</w:t>
      </w:r>
      <w:r>
        <w:rPr>
          <w:rFonts w:hint="eastAsia" w:ascii="方正仿宋_GBK" w:hAnsi="方正仿宋_GBK" w:eastAsia="方正仿宋_GBK" w:cs="方正仿宋_GBK"/>
          <w:color w:val="auto"/>
          <w:sz w:val="32"/>
          <w:szCs w:val="32"/>
        </w:rPr>
        <w:t>指单位上年结转本年使用的基本支出结转、项目支出结转和结余、经营结余。</w:t>
      </w:r>
    </w:p>
    <w:p>
      <w:pPr>
        <w:pStyle w:val="2"/>
        <w:keepNext w:val="0"/>
        <w:keepLines w:val="0"/>
        <w:pageBreakBefore w:val="0"/>
        <w:widowControl/>
        <w:suppressLineNumbers w:val="0"/>
        <w:kinsoku/>
        <w:wordWrap/>
        <w:overflowPunct/>
        <w:topLinePunct w:val="0"/>
        <w:autoSpaceDN/>
        <w:bidi w:val="0"/>
        <w:adjustRightInd/>
        <w:snapToGrid/>
        <w:spacing w:beforeAutospacing="0" w:afterAutospacing="0" w:line="594" w:lineRule="exact"/>
        <w:ind w:right="0" w:firstLine="640" w:firstLineChars="200"/>
        <w:jc w:val="left"/>
        <w:textAlignment w:val="auto"/>
        <w:rPr>
          <w:rFonts w:hint="eastAsia" w:ascii="方正仿宋_GBK" w:hAnsi="方正仿宋_GBK" w:eastAsia="方正仿宋_GBK" w:cs="方正仿宋_GBK"/>
          <w:color w:val="auto"/>
          <w:sz w:val="32"/>
          <w:szCs w:val="32"/>
        </w:rPr>
      </w:pPr>
      <w:r>
        <w:rPr>
          <w:rStyle w:val="4"/>
          <w:rFonts w:hint="eastAsia" w:ascii="方正楷体_GBK" w:hAnsi="方正楷体_GBK" w:eastAsia="方正楷体_GBK" w:cs="方正楷体_GBK"/>
          <w:b w:val="0"/>
          <w:bCs/>
          <w:color w:val="auto"/>
          <w:sz w:val="32"/>
          <w:szCs w:val="32"/>
        </w:rPr>
        <w:t>（七）结余分配：</w:t>
      </w:r>
      <w:r>
        <w:rPr>
          <w:rFonts w:hint="eastAsia" w:ascii="方正仿宋_GBK" w:hAnsi="方正仿宋_GBK" w:eastAsia="方正仿宋_GBK" w:cs="方正仿宋_GBK"/>
          <w:color w:val="auto"/>
          <w:sz w:val="32"/>
          <w:szCs w:val="32"/>
        </w:rPr>
        <w:t>指单位按照国家有关规定，缴纳所得税、提取专用基金、转入非财政拨款结余等当年结余的分配情况。</w:t>
      </w:r>
    </w:p>
    <w:p>
      <w:pPr>
        <w:pStyle w:val="2"/>
        <w:keepNext w:val="0"/>
        <w:keepLines w:val="0"/>
        <w:pageBreakBefore w:val="0"/>
        <w:widowControl/>
        <w:suppressLineNumbers w:val="0"/>
        <w:kinsoku/>
        <w:wordWrap/>
        <w:overflowPunct/>
        <w:topLinePunct w:val="0"/>
        <w:autoSpaceDN/>
        <w:bidi w:val="0"/>
        <w:adjustRightInd/>
        <w:snapToGrid/>
        <w:spacing w:beforeAutospacing="0" w:afterAutospacing="0" w:line="594" w:lineRule="exact"/>
        <w:ind w:right="0" w:firstLine="640" w:firstLineChars="200"/>
        <w:jc w:val="left"/>
        <w:textAlignment w:val="auto"/>
        <w:rPr>
          <w:rFonts w:hint="eastAsia" w:ascii="方正仿宋_GBK" w:hAnsi="方正仿宋_GBK" w:eastAsia="方正仿宋_GBK" w:cs="方正仿宋_GBK"/>
          <w:color w:val="auto"/>
          <w:sz w:val="32"/>
          <w:szCs w:val="32"/>
        </w:rPr>
      </w:pPr>
      <w:r>
        <w:rPr>
          <w:rStyle w:val="4"/>
          <w:rFonts w:hint="eastAsia" w:ascii="方正楷体_GBK" w:hAnsi="方正楷体_GBK" w:eastAsia="方正楷体_GBK" w:cs="方正楷体_GBK"/>
          <w:b w:val="0"/>
          <w:bCs/>
          <w:color w:val="auto"/>
          <w:sz w:val="32"/>
          <w:szCs w:val="32"/>
        </w:rPr>
        <w:t>（八）年末结转和结余：</w:t>
      </w:r>
      <w:r>
        <w:rPr>
          <w:rFonts w:hint="eastAsia" w:ascii="方正仿宋_GBK" w:hAnsi="方正仿宋_GBK" w:eastAsia="方正仿宋_GBK" w:cs="方正仿宋_GBK"/>
          <w:color w:val="auto"/>
          <w:sz w:val="32"/>
          <w:szCs w:val="32"/>
        </w:rPr>
        <w:t>指单位结转下年的基本支出结转、项目支出结转和结余、经营结余。</w:t>
      </w:r>
    </w:p>
    <w:p>
      <w:pPr>
        <w:pStyle w:val="2"/>
        <w:keepNext w:val="0"/>
        <w:keepLines w:val="0"/>
        <w:pageBreakBefore w:val="0"/>
        <w:widowControl/>
        <w:suppressLineNumbers w:val="0"/>
        <w:kinsoku/>
        <w:wordWrap/>
        <w:overflowPunct/>
        <w:topLinePunct w:val="0"/>
        <w:autoSpaceDN/>
        <w:bidi w:val="0"/>
        <w:adjustRightInd/>
        <w:snapToGrid/>
        <w:spacing w:beforeAutospacing="0" w:afterAutospacing="0" w:line="594" w:lineRule="exact"/>
        <w:ind w:right="0" w:firstLine="640" w:firstLineChars="200"/>
        <w:jc w:val="left"/>
        <w:textAlignment w:val="auto"/>
        <w:rPr>
          <w:rFonts w:hint="eastAsia" w:ascii="方正仿宋_GBK" w:hAnsi="方正仿宋_GBK" w:eastAsia="方正仿宋_GBK" w:cs="方正仿宋_GBK"/>
          <w:color w:val="auto"/>
          <w:sz w:val="32"/>
          <w:szCs w:val="32"/>
        </w:rPr>
      </w:pPr>
      <w:r>
        <w:rPr>
          <w:rStyle w:val="4"/>
          <w:rFonts w:hint="eastAsia" w:ascii="方正楷体_GBK" w:hAnsi="方正楷体_GBK" w:eastAsia="方正楷体_GBK" w:cs="方正楷体_GBK"/>
          <w:b w:val="0"/>
          <w:bCs/>
          <w:color w:val="auto"/>
          <w:sz w:val="32"/>
          <w:szCs w:val="32"/>
        </w:rPr>
        <w:t>（九）基本支出：</w:t>
      </w:r>
      <w:r>
        <w:rPr>
          <w:rFonts w:hint="eastAsia" w:ascii="方正仿宋_GBK" w:hAnsi="方正仿宋_GBK" w:eastAsia="方正仿宋_GBK" w:cs="方正仿宋_GBK"/>
          <w:color w:val="auto"/>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2"/>
        <w:keepNext w:val="0"/>
        <w:keepLines w:val="0"/>
        <w:pageBreakBefore w:val="0"/>
        <w:widowControl/>
        <w:suppressLineNumbers w:val="0"/>
        <w:kinsoku/>
        <w:wordWrap/>
        <w:overflowPunct/>
        <w:topLinePunct w:val="0"/>
        <w:autoSpaceDN/>
        <w:bidi w:val="0"/>
        <w:adjustRightInd/>
        <w:snapToGrid/>
        <w:spacing w:beforeAutospacing="0" w:afterAutospacing="0" w:line="594" w:lineRule="exact"/>
        <w:ind w:right="0" w:firstLine="640" w:firstLineChars="200"/>
        <w:jc w:val="left"/>
        <w:textAlignment w:val="auto"/>
        <w:rPr>
          <w:rFonts w:hint="eastAsia" w:ascii="方正仿宋_GBK" w:hAnsi="方正仿宋_GBK" w:eastAsia="方正仿宋_GBK" w:cs="方正仿宋_GBK"/>
          <w:color w:val="auto"/>
          <w:sz w:val="32"/>
          <w:szCs w:val="32"/>
        </w:rPr>
      </w:pPr>
      <w:r>
        <w:rPr>
          <w:rStyle w:val="4"/>
          <w:rFonts w:hint="eastAsia" w:ascii="方正楷体_GBK" w:hAnsi="方正楷体_GBK" w:eastAsia="方正楷体_GBK" w:cs="方正楷体_GBK"/>
          <w:b w:val="0"/>
          <w:bCs/>
          <w:color w:val="auto"/>
          <w:sz w:val="32"/>
          <w:szCs w:val="32"/>
        </w:rPr>
        <w:t>（十）项目支出：</w:t>
      </w:r>
      <w:r>
        <w:rPr>
          <w:rFonts w:hint="eastAsia" w:ascii="方正仿宋_GBK" w:hAnsi="方正仿宋_GBK" w:eastAsia="方正仿宋_GBK" w:cs="方正仿宋_GBK"/>
          <w:color w:val="auto"/>
          <w:sz w:val="32"/>
          <w:szCs w:val="32"/>
        </w:rPr>
        <w:t>指在基本支出之外为完成特定行政任务和事业发展目标所发生的支出。</w:t>
      </w:r>
    </w:p>
    <w:p>
      <w:pPr>
        <w:pStyle w:val="2"/>
        <w:keepNext w:val="0"/>
        <w:keepLines w:val="0"/>
        <w:pageBreakBefore w:val="0"/>
        <w:widowControl/>
        <w:suppressLineNumbers w:val="0"/>
        <w:kinsoku/>
        <w:wordWrap/>
        <w:overflowPunct/>
        <w:topLinePunct w:val="0"/>
        <w:autoSpaceDN/>
        <w:bidi w:val="0"/>
        <w:adjustRightInd/>
        <w:snapToGrid/>
        <w:spacing w:beforeAutospacing="0" w:afterAutospacing="0" w:line="594" w:lineRule="exact"/>
        <w:ind w:right="0" w:firstLine="640" w:firstLineChars="200"/>
        <w:jc w:val="left"/>
        <w:textAlignment w:val="auto"/>
        <w:rPr>
          <w:color w:val="auto"/>
        </w:rPr>
      </w:pPr>
      <w:r>
        <w:rPr>
          <w:rStyle w:val="4"/>
          <w:rFonts w:hint="eastAsia" w:ascii="方正楷体_GBK" w:hAnsi="方正楷体_GBK" w:eastAsia="方正楷体_GBK" w:cs="方正楷体_GBK"/>
          <w:b w:val="0"/>
          <w:bCs/>
          <w:color w:val="auto"/>
          <w:sz w:val="32"/>
          <w:szCs w:val="32"/>
        </w:rPr>
        <w:t>（十一）经营支出：</w:t>
      </w:r>
      <w:r>
        <w:rPr>
          <w:rFonts w:hint="eastAsia" w:ascii="方正仿宋_GBK" w:hAnsi="方正仿宋_GBK" w:eastAsia="方正仿宋_GBK" w:cs="方正仿宋_GBK"/>
          <w:color w:val="auto"/>
          <w:sz w:val="32"/>
          <w:szCs w:val="32"/>
        </w:rPr>
        <w:t>指事业单位在专业业务活动及其辅助活动之外开展非独立核算经营活动发生的支出。</w:t>
      </w:r>
    </w:p>
    <w:p>
      <w:pPr>
        <w:pStyle w:val="2"/>
        <w:keepNext w:val="0"/>
        <w:keepLines w:val="0"/>
        <w:pageBreakBefore w:val="0"/>
        <w:widowControl/>
        <w:suppressLineNumbers w:val="0"/>
        <w:kinsoku/>
        <w:wordWrap/>
        <w:overflowPunct/>
        <w:topLinePunct w:val="0"/>
        <w:autoSpaceDN/>
        <w:bidi w:val="0"/>
        <w:adjustRightInd/>
        <w:snapToGrid/>
        <w:spacing w:beforeAutospacing="0" w:afterAutospacing="0" w:line="594" w:lineRule="exact"/>
        <w:ind w:right="0" w:firstLine="640" w:firstLineChars="200"/>
        <w:jc w:val="left"/>
        <w:textAlignment w:val="auto"/>
        <w:rPr>
          <w:rFonts w:hint="eastAsia" w:ascii="方正仿宋_GBK" w:hAnsi="方正仿宋_GBK" w:eastAsia="方正仿宋_GBK" w:cs="方正仿宋_GBK"/>
          <w:color w:val="auto"/>
          <w:sz w:val="32"/>
          <w:szCs w:val="32"/>
        </w:rPr>
      </w:pPr>
      <w:r>
        <w:rPr>
          <w:rStyle w:val="4"/>
          <w:rFonts w:hint="eastAsia" w:ascii="方正楷体_GBK" w:hAnsi="方正楷体_GBK" w:eastAsia="方正楷体_GBK" w:cs="方正楷体_GBK"/>
          <w:b w:val="0"/>
          <w:bCs/>
          <w:color w:val="auto"/>
          <w:sz w:val="32"/>
          <w:szCs w:val="32"/>
        </w:rPr>
        <w:t>（十二）“三公”经费：</w:t>
      </w:r>
      <w:r>
        <w:rPr>
          <w:rFonts w:hint="eastAsia" w:ascii="方正仿宋_GBK" w:hAnsi="方正仿宋_GBK" w:eastAsia="方正仿宋_GBK" w:cs="方正仿宋_GBK"/>
          <w:color w:val="auto"/>
          <w:sz w:val="32"/>
          <w:szCs w:val="32"/>
        </w:rPr>
        <w:t>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2"/>
        <w:keepNext w:val="0"/>
        <w:keepLines w:val="0"/>
        <w:pageBreakBefore w:val="0"/>
        <w:widowControl/>
        <w:suppressLineNumbers w:val="0"/>
        <w:kinsoku/>
        <w:wordWrap/>
        <w:overflowPunct/>
        <w:topLinePunct w:val="0"/>
        <w:autoSpaceDN/>
        <w:bidi w:val="0"/>
        <w:adjustRightInd/>
        <w:snapToGrid/>
        <w:spacing w:beforeAutospacing="0" w:afterAutospacing="0" w:line="594" w:lineRule="exact"/>
        <w:ind w:right="0" w:firstLine="640" w:firstLineChars="200"/>
        <w:jc w:val="left"/>
        <w:textAlignment w:val="auto"/>
        <w:rPr>
          <w:rFonts w:hint="eastAsia" w:ascii="方正仿宋_GBK" w:hAnsi="方正仿宋_GBK" w:eastAsia="方正仿宋_GBK" w:cs="方正仿宋_GBK"/>
          <w:color w:val="auto"/>
          <w:sz w:val="32"/>
          <w:szCs w:val="32"/>
        </w:rPr>
      </w:pPr>
      <w:r>
        <w:rPr>
          <w:rStyle w:val="4"/>
          <w:rFonts w:hint="eastAsia" w:ascii="方正楷体_GBK" w:hAnsi="方正楷体_GBK" w:eastAsia="方正楷体_GBK" w:cs="方正楷体_GBK"/>
          <w:b w:val="0"/>
          <w:bCs/>
          <w:color w:val="auto"/>
          <w:sz w:val="32"/>
          <w:szCs w:val="32"/>
        </w:rPr>
        <w:t>（十三）机关运行经费：</w:t>
      </w:r>
      <w:r>
        <w:rPr>
          <w:rFonts w:hint="eastAsia" w:ascii="方正仿宋_GBK" w:hAnsi="方正仿宋_GBK" w:eastAsia="方正仿宋_GBK" w:cs="方正仿宋_GBK"/>
          <w:color w:val="auto"/>
          <w:sz w:val="32"/>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2"/>
        <w:keepNext w:val="0"/>
        <w:keepLines w:val="0"/>
        <w:pageBreakBefore w:val="0"/>
        <w:widowControl/>
        <w:suppressLineNumbers w:val="0"/>
        <w:kinsoku/>
        <w:wordWrap/>
        <w:overflowPunct/>
        <w:topLinePunct w:val="0"/>
        <w:autoSpaceDN/>
        <w:bidi w:val="0"/>
        <w:adjustRightInd/>
        <w:snapToGrid/>
        <w:spacing w:beforeAutospacing="0" w:afterAutospacing="0" w:line="594" w:lineRule="exact"/>
        <w:ind w:right="0" w:firstLine="640" w:firstLineChars="200"/>
        <w:jc w:val="left"/>
        <w:textAlignment w:val="auto"/>
        <w:rPr>
          <w:rFonts w:hint="eastAsia" w:ascii="方正仿宋_GBK" w:hAnsi="方正仿宋_GBK" w:eastAsia="方正仿宋_GBK" w:cs="方正仿宋_GBK"/>
          <w:color w:val="auto"/>
          <w:sz w:val="32"/>
          <w:szCs w:val="32"/>
        </w:rPr>
      </w:pPr>
      <w:r>
        <w:rPr>
          <w:rStyle w:val="4"/>
          <w:rFonts w:hint="eastAsia" w:ascii="方正楷体_GBK" w:hAnsi="方正楷体_GBK" w:eastAsia="方正楷体_GBK" w:cs="方正楷体_GBK"/>
          <w:b w:val="0"/>
          <w:bCs/>
          <w:color w:val="auto"/>
          <w:sz w:val="32"/>
          <w:szCs w:val="32"/>
        </w:rPr>
        <w:t>（十四）工资福利支出（支出经济分类科目类级）：</w:t>
      </w:r>
      <w:r>
        <w:rPr>
          <w:rFonts w:hint="eastAsia" w:ascii="方正仿宋_GBK" w:hAnsi="方正仿宋_GBK" w:eastAsia="方正仿宋_GBK" w:cs="方正仿宋_GBK"/>
          <w:color w:val="auto"/>
          <w:sz w:val="32"/>
          <w:szCs w:val="32"/>
        </w:rPr>
        <w:t>反映单位开支的在职职工和编制外长期聘用人员的各类劳动报酬，以及为上述人员缴纳的各项社会保险费等。</w:t>
      </w:r>
    </w:p>
    <w:p>
      <w:pPr>
        <w:pStyle w:val="2"/>
        <w:keepNext w:val="0"/>
        <w:keepLines w:val="0"/>
        <w:pageBreakBefore w:val="0"/>
        <w:widowControl/>
        <w:suppressLineNumbers w:val="0"/>
        <w:kinsoku/>
        <w:wordWrap/>
        <w:overflowPunct/>
        <w:topLinePunct w:val="0"/>
        <w:autoSpaceDN/>
        <w:bidi w:val="0"/>
        <w:adjustRightInd/>
        <w:snapToGrid/>
        <w:spacing w:beforeAutospacing="0" w:afterAutospacing="0" w:line="594" w:lineRule="exact"/>
        <w:ind w:right="0" w:firstLine="640" w:firstLineChars="200"/>
        <w:jc w:val="left"/>
        <w:textAlignment w:val="auto"/>
        <w:rPr>
          <w:rFonts w:hint="eastAsia" w:ascii="方正仿宋_GBK" w:hAnsi="方正仿宋_GBK" w:eastAsia="方正仿宋_GBK" w:cs="方正仿宋_GBK"/>
          <w:color w:val="auto"/>
          <w:sz w:val="32"/>
          <w:szCs w:val="32"/>
        </w:rPr>
      </w:pPr>
      <w:r>
        <w:rPr>
          <w:rStyle w:val="4"/>
          <w:rFonts w:hint="eastAsia" w:ascii="方正楷体_GBK" w:hAnsi="方正楷体_GBK" w:eastAsia="方正楷体_GBK" w:cs="方正楷体_GBK"/>
          <w:b w:val="0"/>
          <w:bCs/>
          <w:color w:val="auto"/>
          <w:sz w:val="32"/>
          <w:szCs w:val="32"/>
        </w:rPr>
        <w:t>（十五）商品和服务支出（支出经济分类科目类级）：</w:t>
      </w:r>
      <w:r>
        <w:rPr>
          <w:rFonts w:hint="eastAsia" w:ascii="方正仿宋_GBK" w:hAnsi="方正仿宋_GBK" w:eastAsia="方正仿宋_GBK" w:cs="方正仿宋_GBK"/>
          <w:color w:val="auto"/>
          <w:sz w:val="32"/>
          <w:szCs w:val="32"/>
        </w:rPr>
        <w:t>反映单位购买商品和服务的支出（不包括用于购置固定资产的支出、战略性和应急储备支出）。</w:t>
      </w:r>
    </w:p>
    <w:p>
      <w:pPr>
        <w:pStyle w:val="2"/>
        <w:keepNext w:val="0"/>
        <w:keepLines w:val="0"/>
        <w:pageBreakBefore w:val="0"/>
        <w:widowControl/>
        <w:suppressLineNumbers w:val="0"/>
        <w:kinsoku/>
        <w:wordWrap/>
        <w:overflowPunct/>
        <w:topLinePunct w:val="0"/>
        <w:autoSpaceDN/>
        <w:bidi w:val="0"/>
        <w:adjustRightInd/>
        <w:snapToGrid/>
        <w:spacing w:beforeAutospacing="0" w:afterAutospacing="0" w:line="594" w:lineRule="exact"/>
        <w:ind w:right="0" w:firstLine="640" w:firstLineChars="200"/>
        <w:jc w:val="left"/>
        <w:textAlignment w:val="auto"/>
        <w:rPr>
          <w:rFonts w:hint="eastAsia" w:ascii="方正仿宋_GBK" w:hAnsi="方正仿宋_GBK" w:eastAsia="方正仿宋_GBK" w:cs="方正仿宋_GBK"/>
          <w:color w:val="auto"/>
          <w:sz w:val="32"/>
          <w:szCs w:val="32"/>
        </w:rPr>
      </w:pPr>
      <w:r>
        <w:rPr>
          <w:rStyle w:val="4"/>
          <w:rFonts w:hint="eastAsia" w:ascii="方正楷体_GBK" w:hAnsi="方正楷体_GBK" w:eastAsia="方正楷体_GBK" w:cs="方正楷体_GBK"/>
          <w:b w:val="0"/>
          <w:bCs/>
          <w:color w:val="auto"/>
          <w:sz w:val="32"/>
          <w:szCs w:val="32"/>
        </w:rPr>
        <w:t>（十六）对个人和家庭的补助（支出经济分类科目类级）：</w:t>
      </w:r>
      <w:r>
        <w:rPr>
          <w:rFonts w:hint="eastAsia" w:ascii="方正仿宋_GBK" w:hAnsi="方正仿宋_GBK" w:eastAsia="方正仿宋_GBK" w:cs="方正仿宋_GBK"/>
          <w:color w:val="auto"/>
          <w:sz w:val="32"/>
          <w:szCs w:val="32"/>
        </w:rPr>
        <w:t>反映用于对个人和家庭的补助支出。</w:t>
      </w:r>
    </w:p>
    <w:p>
      <w:pPr>
        <w:pStyle w:val="2"/>
        <w:keepNext w:val="0"/>
        <w:keepLines w:val="0"/>
        <w:pageBreakBefore w:val="0"/>
        <w:widowControl/>
        <w:suppressLineNumbers w:val="0"/>
        <w:kinsoku/>
        <w:wordWrap/>
        <w:overflowPunct/>
        <w:topLinePunct w:val="0"/>
        <w:autoSpaceDN/>
        <w:bidi w:val="0"/>
        <w:adjustRightInd/>
        <w:snapToGrid/>
        <w:spacing w:beforeAutospacing="0" w:afterAutospacing="0" w:line="594" w:lineRule="exact"/>
        <w:ind w:right="0" w:firstLine="640" w:firstLineChars="200"/>
        <w:jc w:val="left"/>
        <w:textAlignment w:val="auto"/>
        <w:rPr>
          <w:rFonts w:hint="eastAsia" w:ascii="方正仿宋_GBK" w:hAnsi="方正仿宋_GBK" w:eastAsia="方正仿宋_GBK" w:cs="方正仿宋_GBK"/>
          <w:color w:val="auto"/>
          <w:sz w:val="32"/>
          <w:szCs w:val="32"/>
        </w:rPr>
      </w:pPr>
      <w:r>
        <w:rPr>
          <w:rStyle w:val="4"/>
          <w:rFonts w:hint="eastAsia" w:ascii="方正楷体_GBK" w:hAnsi="方正楷体_GBK" w:eastAsia="方正楷体_GBK" w:cs="方正楷体_GBK"/>
          <w:b w:val="0"/>
          <w:bCs/>
          <w:color w:val="auto"/>
          <w:sz w:val="32"/>
          <w:szCs w:val="32"/>
        </w:rPr>
        <w:t>（十七）其他资本性支出（支出经济分类科目类级）：</w:t>
      </w:r>
      <w:r>
        <w:rPr>
          <w:rFonts w:hint="eastAsia" w:ascii="方正仿宋_GBK" w:hAnsi="方正仿宋_GBK" w:eastAsia="方正仿宋_GBK" w:cs="方正仿宋_GBK"/>
          <w:color w:val="auto"/>
          <w:sz w:val="32"/>
          <w:szCs w:val="32"/>
        </w:rPr>
        <w:t>反映非各级发展与改革部门集中安排的用于购置固定资产、战略性和应急性储备、土地和无形资产，以及构建基础设施、大型修缮和财政支持企业更新改造所发生的支出。</w:t>
      </w:r>
    </w:p>
    <w:p>
      <w:pPr>
        <w:pStyle w:val="2"/>
        <w:keepNext w:val="0"/>
        <w:keepLines w:val="0"/>
        <w:pageBreakBefore w:val="0"/>
        <w:widowControl/>
        <w:suppressLineNumbers w:val="0"/>
        <w:kinsoku/>
        <w:wordWrap/>
        <w:overflowPunct/>
        <w:topLinePunct w:val="0"/>
        <w:autoSpaceDN/>
        <w:bidi w:val="0"/>
        <w:adjustRightInd/>
        <w:snapToGrid/>
        <w:spacing w:beforeAutospacing="0" w:afterAutospacing="0" w:line="594" w:lineRule="exact"/>
        <w:ind w:right="0" w:firstLine="640" w:firstLineChars="200"/>
        <w:jc w:val="left"/>
        <w:textAlignment w:val="auto"/>
        <w:rPr>
          <w:rStyle w:val="4"/>
          <w:rFonts w:hint="eastAsia" w:ascii="方正黑体_GBK" w:hAnsi="方正黑体_GBK" w:eastAsia="方正黑体_GBK" w:cs="方正黑体_GBK"/>
          <w:b w:val="0"/>
          <w:bCs/>
          <w:color w:val="auto"/>
          <w:sz w:val="32"/>
          <w:szCs w:val="32"/>
        </w:rPr>
      </w:pPr>
      <w:r>
        <w:rPr>
          <w:rStyle w:val="4"/>
          <w:rFonts w:hint="eastAsia" w:ascii="方正黑体_GBK" w:hAnsi="方正黑体_GBK" w:eastAsia="方正黑体_GBK" w:cs="方正黑体_GBK"/>
          <w:b w:val="0"/>
          <w:bCs/>
          <w:color w:val="auto"/>
          <w:sz w:val="32"/>
          <w:szCs w:val="32"/>
        </w:rPr>
        <w:t>七、决算公开联系方式及信息反馈渠道</w:t>
      </w:r>
    </w:p>
    <w:p>
      <w:pPr>
        <w:pStyle w:val="2"/>
        <w:keepNext w:val="0"/>
        <w:keepLines w:val="0"/>
        <w:pageBreakBefore w:val="0"/>
        <w:widowControl/>
        <w:suppressLineNumbers w:val="0"/>
        <w:kinsoku/>
        <w:wordWrap/>
        <w:overflowPunct/>
        <w:topLinePunct w:val="0"/>
        <w:autoSpaceDN/>
        <w:bidi w:val="0"/>
        <w:adjustRightInd/>
        <w:snapToGrid/>
        <w:spacing w:beforeAutospacing="0" w:afterAutospacing="0" w:line="594" w:lineRule="exact"/>
        <w:ind w:firstLine="640" w:firstLineChars="200"/>
        <w:jc w:val="left"/>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本单位决算公开信息反馈和联系方式：</w:t>
      </w:r>
    </w:p>
    <w:p>
      <w:pPr>
        <w:pStyle w:val="2"/>
        <w:keepNext w:val="0"/>
        <w:keepLines w:val="0"/>
        <w:pageBreakBefore w:val="0"/>
        <w:widowControl/>
        <w:suppressLineNumbers w:val="0"/>
        <w:kinsoku/>
        <w:wordWrap/>
        <w:overflowPunct/>
        <w:topLinePunct w:val="0"/>
        <w:autoSpaceDN/>
        <w:bidi w:val="0"/>
        <w:adjustRightInd/>
        <w:snapToGrid/>
        <w:spacing w:beforeAutospacing="0" w:afterAutospacing="0" w:line="594" w:lineRule="exact"/>
        <w:ind w:firstLine="640" w:firstLineChars="200"/>
        <w:jc w:val="left"/>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田建伟</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kern w:val="0"/>
          <w:sz w:val="32"/>
          <w:szCs w:val="32"/>
          <w:shd w:val="clear" w:fill="FFFFFF"/>
        </w:rPr>
        <w:t>023-45677870</w:t>
      </w:r>
    </w:p>
    <w:p>
      <w:pPr>
        <w:pStyle w:val="6"/>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94" w:lineRule="exact"/>
        <w:ind w:left="0" w:firstLine="480" w:firstLineChars="200"/>
        <w:textAlignment w:val="auto"/>
        <w:rPr>
          <w:color w:val="auto"/>
        </w:rPr>
      </w:pPr>
    </w:p>
    <w:sectPr>
      <w:pgSz w:w="11906" w:h="16838"/>
      <w:pgMar w:top="1984" w:right="1446" w:bottom="1417"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56E463A"/>
    <w:multiLevelType w:val="singleLevel"/>
    <w:tmpl w:val="D56E463A"/>
    <w:lvl w:ilvl="0" w:tentative="0">
      <w:start w:val="2"/>
      <w:numFmt w:val="chineseCounting"/>
      <w:suff w:val="nothing"/>
      <w:lvlText w:val="（%1）"/>
      <w:lvlJc w:val="left"/>
      <w:rPr>
        <w:rFonts w:hint="eastAsia"/>
      </w:rPr>
    </w:lvl>
  </w:abstractNum>
  <w:abstractNum w:abstractNumId="1">
    <w:nsid w:val="5310A117"/>
    <w:multiLevelType w:val="singleLevel"/>
    <w:tmpl w:val="5310A117"/>
    <w:lvl w:ilvl="0" w:tentative="0">
      <w:start w:val="1"/>
      <w:numFmt w:val="decimal"/>
      <w:suff w:val="nothing"/>
      <w:lvlText w:val="（%1）"/>
      <w:lvlJc w:val="left"/>
      <w:pPr>
        <w:ind w:left="1057" w:leftChars="0" w:firstLine="0" w:firstLineChars="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4519B1"/>
    <w:rsid w:val="0A0246AB"/>
    <w:rsid w:val="0B573D51"/>
    <w:rsid w:val="0BA62E73"/>
    <w:rsid w:val="0BD51096"/>
    <w:rsid w:val="0E1B608C"/>
    <w:rsid w:val="11F875C4"/>
    <w:rsid w:val="12666FD3"/>
    <w:rsid w:val="141A5AA2"/>
    <w:rsid w:val="17226AA0"/>
    <w:rsid w:val="187A1D9E"/>
    <w:rsid w:val="1AB11FD2"/>
    <w:rsid w:val="1BD87330"/>
    <w:rsid w:val="1DBB7D16"/>
    <w:rsid w:val="1ECE002B"/>
    <w:rsid w:val="21D14A39"/>
    <w:rsid w:val="233D51EB"/>
    <w:rsid w:val="24B07C8C"/>
    <w:rsid w:val="24D250A8"/>
    <w:rsid w:val="266B780A"/>
    <w:rsid w:val="2A1B39A1"/>
    <w:rsid w:val="2D96074E"/>
    <w:rsid w:val="2EF039C5"/>
    <w:rsid w:val="33226FAA"/>
    <w:rsid w:val="33457EE0"/>
    <w:rsid w:val="34841945"/>
    <w:rsid w:val="35A9703F"/>
    <w:rsid w:val="363624CF"/>
    <w:rsid w:val="3BDB547B"/>
    <w:rsid w:val="3DBC62DF"/>
    <w:rsid w:val="3F966D63"/>
    <w:rsid w:val="3FAFEA1C"/>
    <w:rsid w:val="41864B84"/>
    <w:rsid w:val="4222518C"/>
    <w:rsid w:val="42ED4FA9"/>
    <w:rsid w:val="43C83EB2"/>
    <w:rsid w:val="44444E8A"/>
    <w:rsid w:val="446A0749"/>
    <w:rsid w:val="44CA644C"/>
    <w:rsid w:val="450C74F7"/>
    <w:rsid w:val="45E43E54"/>
    <w:rsid w:val="47836F6F"/>
    <w:rsid w:val="4DB043E9"/>
    <w:rsid w:val="4E372EA7"/>
    <w:rsid w:val="4E7F7832"/>
    <w:rsid w:val="503506A3"/>
    <w:rsid w:val="547C6782"/>
    <w:rsid w:val="55F61E80"/>
    <w:rsid w:val="59D57D3A"/>
    <w:rsid w:val="5B2300BE"/>
    <w:rsid w:val="5E315EEB"/>
    <w:rsid w:val="5F601577"/>
    <w:rsid w:val="5FA83778"/>
    <w:rsid w:val="600E5FD3"/>
    <w:rsid w:val="62D01FC8"/>
    <w:rsid w:val="67A9D768"/>
    <w:rsid w:val="6838638F"/>
    <w:rsid w:val="686018B9"/>
    <w:rsid w:val="68DD07DB"/>
    <w:rsid w:val="68FB795E"/>
    <w:rsid w:val="69314228"/>
    <w:rsid w:val="6CB85BF5"/>
    <w:rsid w:val="6E861DEE"/>
    <w:rsid w:val="72F56D22"/>
    <w:rsid w:val="74923C14"/>
    <w:rsid w:val="757E0D68"/>
    <w:rsid w:val="792E048A"/>
    <w:rsid w:val="79E43AB9"/>
    <w:rsid w:val="7A007016"/>
    <w:rsid w:val="7AD27314"/>
    <w:rsid w:val="7B1C3D58"/>
    <w:rsid w:val="7BB81105"/>
    <w:rsid w:val="7EFF4D5C"/>
    <w:rsid w:val="7FBE570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paragraph" w:customStyle="1" w:styleId="6">
    <w:name w:val="普通(网站) Char Char Char"/>
    <w:basedOn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7">
    <w:name w:val="18"/>
    <w:basedOn w:val="3"/>
    <w:qFormat/>
    <w:uiPriority w:val="0"/>
    <w:rPr>
      <w:rFonts w:hint="default" w:ascii="Times New Roman" w:hAnsi="Times New Roman" w:cs="Times New Roman"/>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2014-10-30T20:08:00Z</dcterms:created>
  <dc:creator>Administrator</dc:creator>
  <cp:lastModifiedBy>Administrator</cp:lastModifiedBy>
  <dcterms:modified xsi:type="dcterms:W3CDTF">2023-10-20T06:12:02Z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477B71E7E4E727A9E6E22C65F28B43B5</vt:lpwstr>
  </property>
</Properties>
</file>