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jc w:val="center"/>
        <w:textAlignment w:val="auto"/>
        <w:rPr>
          <w:rStyle w:val="7"/>
          <w:rFonts w:hint="default" w:ascii="Times New Roman" w:hAnsi="Times New Roman" w:eastAsia="方正小标宋_GBK" w:cs="Times New Roman"/>
          <w:b w:val="0"/>
          <w:bCs w:val="0"/>
          <w:sz w:val="44"/>
          <w:szCs w:val="44"/>
        </w:rPr>
      </w:pPr>
      <w:r>
        <w:rPr>
          <w:rStyle w:val="7"/>
          <w:rFonts w:hint="default" w:ascii="Times New Roman" w:hAnsi="Times New Roman" w:eastAsia="方正小标宋_GBK" w:cs="Times New Roman"/>
          <w:b w:val="0"/>
          <w:bCs w:val="0"/>
          <w:sz w:val="44"/>
          <w:szCs w:val="44"/>
        </w:rPr>
        <w:t>重庆市铜梁区文化和旅游发展委员会（本级）</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jc w:val="center"/>
        <w:textAlignment w:val="auto"/>
        <w:rPr>
          <w:rStyle w:val="7"/>
          <w:rFonts w:hint="default" w:ascii="Times New Roman" w:hAnsi="Times New Roman" w:eastAsia="方正小标宋_GBK" w:cs="Times New Roman"/>
          <w:b w:val="0"/>
          <w:bCs w:val="0"/>
          <w:sz w:val="44"/>
          <w:szCs w:val="44"/>
        </w:rPr>
      </w:pPr>
      <w:r>
        <w:rPr>
          <w:rStyle w:val="7"/>
          <w:rFonts w:hint="default" w:ascii="Times New Roman" w:hAnsi="Times New Roman" w:eastAsia="方正小标宋_GBK" w:cs="Times New Roman"/>
          <w:b w:val="0"/>
          <w:bCs w:val="0"/>
          <w:sz w:val="44"/>
          <w:szCs w:val="44"/>
          <w:lang w:eastAsia="zh-CN"/>
        </w:rPr>
        <w:t>2022年度部门决算</w:t>
      </w:r>
      <w:r>
        <w:rPr>
          <w:rStyle w:val="7"/>
          <w:rFonts w:hint="default" w:ascii="Times New Roman" w:hAnsi="Times New Roman" w:eastAsia="方正小标宋_GBK" w:cs="Times New Roman"/>
          <w:b w:val="0"/>
          <w:bCs w:val="0"/>
          <w:sz w:val="44"/>
          <w:szCs w:val="44"/>
          <w:lang w:eastAsia="zh-CN"/>
        </w:rPr>
        <w:t>公开</w:t>
      </w:r>
      <w:r>
        <w:rPr>
          <w:rStyle w:val="7"/>
          <w:rFonts w:hint="default" w:ascii="Times New Roman" w:hAnsi="Times New Roman" w:eastAsia="方正小标宋_GBK" w:cs="Times New Roman"/>
          <w:b w:val="0"/>
          <w:bCs w:val="0"/>
          <w:sz w:val="44"/>
          <w:szCs w:val="44"/>
        </w:rPr>
        <w:t>说明</w:t>
      </w:r>
    </w:p>
    <w:p>
      <w:pPr>
        <w:pStyle w:val="4"/>
        <w:keepNext w:val="0"/>
        <w:keepLines w:val="0"/>
        <w:pageBreakBefore w:val="0"/>
        <w:widowControl/>
        <w:kinsoku/>
        <w:wordWrap/>
        <w:overflowPunct/>
        <w:topLinePunct w:val="0"/>
        <w:autoSpaceDE/>
        <w:autoSpaceDN/>
        <w:bidi w:val="0"/>
        <w:adjustRightInd/>
        <w:snapToGrid w:val="0"/>
        <w:spacing w:beforeAutospacing="0" w:afterAutospacing="0" w:line="594" w:lineRule="exact"/>
        <w:ind w:firstLine="640" w:firstLineChars="200"/>
        <w:textAlignment w:val="auto"/>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bCs/>
          <w:color w:val="000000" w:themeColor="text1"/>
          <w:sz w:val="32"/>
          <w:szCs w:val="32"/>
          <w14:textFill>
            <w14:solidFill>
              <w14:schemeClr w14:val="tx1"/>
            </w14:solidFill>
          </w14:textFill>
        </w:rPr>
      </w:pPr>
      <w:r>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一、部门基本情况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（一）职能职责</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0"/>
          <w:rFonts w:hint="default" w:ascii="Times New Roman" w:hAnsi="Times New Roman" w:eastAsia="方正仿宋_GBK" w:cs="Times New Roman"/>
          <w:b w:val="0"/>
          <w:color w:val="000000" w:themeColor="text1"/>
          <w:sz w:val="32"/>
          <w:szCs w:val="32"/>
          <w:shd w:val="clear" w:color="auto" w:fill="FFFFFF"/>
          <w14:textFill>
            <w14:solidFill>
              <w14:schemeClr w14:val="tx1"/>
            </w14:solidFill>
          </w14:textFill>
        </w:rPr>
      </w:pPr>
      <w:r>
        <w:rPr>
          <w:rStyle w:val="10"/>
          <w:rFonts w:hint="default" w:ascii="Times New Roman" w:hAnsi="Times New Roman" w:eastAsia="方正仿宋_GBK" w:cs="Times New Roman"/>
          <w:b w:val="0"/>
          <w:color w:val="000000" w:themeColor="text1"/>
          <w:sz w:val="32"/>
          <w:szCs w:val="32"/>
          <w:shd w:val="clear" w:color="auto" w:fill="FFFFFF"/>
          <w14:textFill>
            <w14:solidFill>
              <w14:schemeClr w14:val="tx1"/>
            </w14:solidFill>
          </w14:textFill>
        </w:rPr>
        <w:t>贯彻执行党和国家宣传、文化和旅游、广播电视、体育事业、文物和博物馆工作的方针政策和法律法规，拟订全区文化和旅游、广播电视、文物和博物馆政策措施并组织实施;统筹规划全区文化体育事业、文化产业、体育和旅游业发展，拟订文化体育和旅游、广播电视、文化和博物馆事业发展规划并组织实施，推进文化和旅游融合发展，推进体制机制改革;管理全区重大文化活动，指导区级重点文化设施建设。负责全区旅游整体形象宣传和推广，促进文化体育产业和旅游产业对外合作和市场推广，拟订旅游市场开发政策并组织实施，指导、推进全域旅游。指导、协调广播电视领域产业发展;负责管理全区文艺事业，指导艺术创作生产，扶持体现社会主义核心价值观、具有导向性代表性示范性的文艺作品，推动各门类艺术、各艺术品种发展;负责全区公共文化体育事业发展，推进全区公共文化服务体系建设、旅游公共服务建设和体育公共服务建设，深入实施文化体育惠民工程，统筹推进基本公共文化体育服务标准化、均等化。指导实施全区广播电视领域公共服务重大公益工程和公益活动。指导、推进全区文化体育和旅游、广播电视、文物和博物馆行业科技创新发展，推进文化和旅游、体育行业信息化、标准化建设;负责全区非物质文化遗产保护，推动非物质文化遗产的保护、传承、普及、弘扬和振兴。负责指导全区文物和博物馆业务工作。负责管理和指导全区考古工作，组织、协调重大文物保护和考古项目的实施。组织开展文物资源调查，履行文物、博物馆安全督察职责。指导协调博物馆建设及博物馆间的交流与协作。负责全区文化遗产保护和管理监督工作，协同住房和城乡建设部门负责历史文化名城（镇、村）保护和监督管理工作;统筹规划全区文化产业、旅游产业和体育产业，组织实施文化和旅游、体育资源普查、挖掘、保护和利用工作，承担文化市场和旅游经济运行监测体系建设工作，促进文化产业、旅游产业和体育产业发展;指导全区文化、旅游和体育市场发展，对文化、旅游和体育市场经营进行行业监管，推进文化体育和旅游行业信用体系建设，依法规范文化体育和旅游市场。负责文化体育和旅游市场安全的综合协调和监督管理，指导应急救援工作;指导全区文化市场综合执法，组织查处全区文化、文物、出版、广播电视、电影、旅游等市场的违法行为，维护市场秩序。具体执法由区文化市场综合执法队伍承担;负责电视剧行业发展和电视剧创作生产。监督管理广播电视节目、网络视听节目的内容和质量。指导、监管广播电视广告播放。实施广播电视节目评价工作，指导全区广播电视与新媒体新技术新业态融合发展，指导广电网与电信网、互联网三网融合;负责对全区各类广播电视机构进行业务指导和行业监管，会同有关部门对网络视听节目服务机构进行管理。指导全区广播电视重点基础设施建设。负责对广播电视节目传输覆盖、监测和安全播出进行监管，负责全区应急广播体系建设，指导全区广播电视系统的安全工作;指导、管理文化和旅游、广播电视、体育、文物和博物馆对外及对港澳台交流、合作和宣传、推广工作，组织全区大型文化、旅游和体育等对外及对港澳台交流活动;拟订全区文化、旅游和体育行业人才队伍建设规划并组织实施，管理全区性重大体育赛事活动，指导、实施体育设施建设，监督检查体育设施的管理和使用，负责区级文化体育社团资格审查、业务指导和从业人员职业资格管理;完成区委、区政府交办的其他任务。</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（二）机构设置</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10"/>
          <w:rFonts w:hint="default" w:ascii="Times New Roman" w:hAnsi="Times New Roman" w:eastAsia="方正仿宋_GBK" w:cs="Times New Roman"/>
          <w:b w:val="0"/>
          <w:color w:val="000000" w:themeColor="text1"/>
          <w:sz w:val="32"/>
          <w:szCs w:val="32"/>
          <w:shd w:val="clear" w:color="auto" w:fill="FFFFFF"/>
          <w14:textFill>
            <w14:solidFill>
              <w14:schemeClr w14:val="tx1"/>
            </w14:solidFill>
          </w14:textFill>
        </w:rPr>
        <w:t>重庆市铜梁区文化和旅游发展委员会内设办公室、公共服务科、文艺科、产业发展科（行政审批科）、体育科、综合指导科6个职能科室，下设旅游营销促进中心、文化市场综合行政执法支队、文化馆、图书馆、</w:t>
      </w:r>
      <w:r>
        <w:rPr>
          <w:rStyle w:val="10"/>
          <w:rFonts w:hint="default" w:ascii="Times New Roman" w:hAnsi="Times New Roman" w:eastAsia="方正仿宋_GBK" w:cs="Times New Roman"/>
          <w:b w:val="0"/>
          <w:color w:val="000000" w:themeColor="text1"/>
          <w:sz w:val="32"/>
          <w:szCs w:val="32"/>
          <w:shd w:val="clear" w:color="auto" w:fill="FFFFFF"/>
          <w:lang w:eastAsia="zh-CN"/>
          <w14:textFill>
            <w14:solidFill>
              <w14:schemeClr w14:val="tx1"/>
            </w14:solidFill>
          </w14:textFill>
        </w:rPr>
        <w:t>文物管理所</w:t>
      </w:r>
      <w:r>
        <w:rPr>
          <w:rStyle w:val="10"/>
          <w:rFonts w:hint="default" w:ascii="Times New Roman" w:hAnsi="Times New Roman" w:eastAsia="方正仿宋_GBK" w:cs="Times New Roman"/>
          <w:b w:val="0"/>
          <w:color w:val="000000" w:themeColor="text1"/>
          <w:sz w:val="32"/>
          <w:szCs w:val="32"/>
          <w:shd w:val="clear" w:color="auto" w:fill="FFFFFF"/>
          <w14:textFill>
            <w14:solidFill>
              <w14:schemeClr w14:val="tx1"/>
            </w14:solidFill>
          </w14:textFill>
        </w:rPr>
        <w:t>、体育事业发展中心6个事业单位。</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（三）单位构成</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themeColor="text1"/>
          <w:sz w:val="32"/>
          <w:szCs w:val="32"/>
          <w:shd w:val="clear" w:fill="FFFFFF"/>
          <w:lang w:val="en-US" w:eastAsia="zh-CN"/>
          <w14:textFill>
            <w14:solidFill>
              <w14:schemeClr w14:val="tx1"/>
            </w14:solidFill>
          </w14:textFill>
        </w:rPr>
        <w:t>从预算单位构成看，纳入本部门2022年度决算编制的二级预算单位主要包括文化市场综合行政执法支队、文化馆、图书馆、</w:t>
      </w:r>
      <w:r>
        <w:rPr>
          <w:rStyle w:val="10"/>
          <w:rFonts w:hint="default" w:ascii="Times New Roman" w:hAnsi="Times New Roman" w:eastAsia="方正仿宋_GBK" w:cs="Times New Roman"/>
          <w:b w:val="0"/>
          <w:sz w:val="32"/>
          <w:szCs w:val="32"/>
          <w:shd w:val="clear" w:color="auto" w:fill="FFFFFF"/>
          <w:lang w:eastAsia="zh-CN"/>
        </w:rPr>
        <w:t>文物管理所</w:t>
      </w:r>
      <w:r>
        <w:rPr>
          <w:rStyle w:val="10"/>
          <w:rFonts w:hint="default" w:ascii="Times New Roman" w:hAnsi="Times New Roman" w:eastAsia="方正仿宋_GBK" w:cs="Times New Roman"/>
          <w:b w:val="0"/>
          <w:sz w:val="32"/>
          <w:szCs w:val="32"/>
          <w:shd w:val="clear" w:color="auto" w:fill="FFFFFF"/>
        </w:rPr>
        <w:t>、体育事业发展中心</w:t>
      </w:r>
      <w:r>
        <w:rPr>
          <w:rStyle w:val="10"/>
          <w:rFonts w:hint="default" w:ascii="Times New Roman" w:hAnsi="Times New Roman" w:eastAsia="方正仿宋_GBK" w:cs="Times New Roman"/>
          <w:b w:val="0"/>
          <w:sz w:val="32"/>
          <w:szCs w:val="32"/>
          <w:shd w:val="clear" w:color="auto" w:fill="FFFFFF"/>
          <w:lang w:eastAsia="zh-CN"/>
        </w:rPr>
        <w:t>、旅游营销中心。</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二、部门决算情况说明</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（一）收入支出决算总体情况说明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7"/>
          <w:rFonts w:hint="default" w:ascii="Times New Roman" w:hAnsi="Times New Roman" w:eastAsia="方正仿宋_GBK" w:cs="Times New Roman"/>
          <w:sz w:val="32"/>
          <w:szCs w:val="32"/>
        </w:rPr>
        <w:t>1.总体情况。</w:t>
      </w:r>
      <w:r>
        <w:rPr>
          <w:rFonts w:hint="default" w:ascii="Times New Roman" w:hAnsi="Times New Roman" w:eastAsia="方正仿宋_GBK" w:cs="Times New Roman"/>
          <w:sz w:val="32"/>
          <w:szCs w:val="32"/>
        </w:rPr>
        <w:t>2022年度收入总计21,070.08万元，支出总计21,070.08万元。收支较上年决算数增加16,249.83万元,增长337.1%，主要原因是</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2022年工作安排和项目需求，预算项目明显比2021年增多</w:t>
      </w:r>
      <w:r>
        <w:rPr>
          <w:rFonts w:hint="default" w:ascii="Times New Roman" w:hAnsi="Times New Roman" w:eastAsia="方正仿宋_GBK" w:cs="Times New Roman"/>
          <w:sz w:val="32"/>
          <w:szCs w:val="32"/>
          <w:lang w:eastAsia="zh-CN"/>
        </w:rPr>
        <w:t>，如：铜梁区第五届全民健身运动会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7"/>
          <w:rFonts w:hint="default" w:ascii="Times New Roman" w:hAnsi="Times New Roman" w:eastAsia="方正仿宋_GBK" w:cs="Times New Roman"/>
          <w:sz w:val="32"/>
          <w:szCs w:val="32"/>
        </w:rPr>
        <w:t>2.收入情况。</w:t>
      </w:r>
      <w:r>
        <w:rPr>
          <w:rFonts w:hint="default" w:ascii="Times New Roman" w:hAnsi="Times New Roman" w:eastAsia="方正仿宋_GBK" w:cs="Times New Roman"/>
          <w:sz w:val="32"/>
          <w:szCs w:val="32"/>
        </w:rPr>
        <w:t>2022年度收入合计21,070.08万元，较上年决算数增加16,414.01万元，增长352.5%，主要原因是</w:t>
      </w: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2022年工作安排和项目需求，预算项目明显比2021年增多。</w:t>
      </w:r>
      <w:r>
        <w:rPr>
          <w:rFonts w:hint="default" w:ascii="Times New Roman" w:hAnsi="Times New Roman" w:eastAsia="方正仿宋_GBK" w:cs="Times New Roman"/>
          <w:sz w:val="32"/>
          <w:szCs w:val="32"/>
          <w:lang w:eastAsia="zh-CN"/>
        </w:rPr>
        <w:t>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r>
        <w:rPr>
          <w:rFonts w:hint="default" w:ascii="Times New Roman" w:hAnsi="Times New Roman" w:eastAsia="方正仿宋_GBK" w:cs="Times New Roman"/>
          <w:sz w:val="32"/>
          <w:szCs w:val="32"/>
        </w:rPr>
        <w:t>其中：财政拨款收入21,070.08万元，占100%</w:t>
      </w:r>
      <w:r>
        <w:rPr>
          <w:rFonts w:hint="default" w:ascii="Times New Roman" w:hAnsi="Times New Roman" w:eastAsia="方正仿宋_GBK" w:cs="Times New Roman"/>
          <w:sz w:val="32"/>
          <w:szCs w:val="32"/>
          <w:lang w:val="en-US"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7"/>
          <w:rFonts w:hint="default" w:ascii="Times New Roman" w:hAnsi="Times New Roman" w:eastAsia="方正仿宋_GBK" w:cs="Times New Roman"/>
          <w:sz w:val="32"/>
          <w:szCs w:val="32"/>
        </w:rPr>
        <w:t>3.支出情况。</w:t>
      </w:r>
      <w:r>
        <w:rPr>
          <w:rFonts w:hint="default" w:ascii="Times New Roman" w:hAnsi="Times New Roman" w:eastAsia="方正仿宋_GBK" w:cs="Times New Roman"/>
          <w:sz w:val="32"/>
          <w:szCs w:val="32"/>
        </w:rPr>
        <w:t>2022年度支出合计21,070.08万元，较上年决算增加16,249.83万元，增长337.1%，主要原因是</w:t>
      </w:r>
      <w:r>
        <w:rPr>
          <w:rFonts w:hint="default" w:ascii="Times New Roman" w:hAnsi="Times New Roman" w:eastAsia="方正仿宋_GBK" w:cs="Times New Roman"/>
          <w:sz w:val="32"/>
          <w:szCs w:val="32"/>
          <w:lang w:eastAsia="zh-CN"/>
        </w:rPr>
        <w:t>比</w:t>
      </w:r>
      <w:r>
        <w:rPr>
          <w:rFonts w:hint="default" w:ascii="Times New Roman" w:hAnsi="Times New Roman" w:eastAsia="方正仿宋_GBK" w:cs="Times New Roman"/>
          <w:sz w:val="32"/>
          <w:szCs w:val="32"/>
          <w:lang w:val="en-US" w:eastAsia="zh-CN"/>
        </w:rPr>
        <w:t>2021年</w:t>
      </w:r>
      <w:r>
        <w:rPr>
          <w:rFonts w:hint="default" w:ascii="Times New Roman" w:hAnsi="Times New Roman" w:eastAsia="方正仿宋_GBK" w:cs="Times New Roman"/>
          <w:sz w:val="32"/>
          <w:szCs w:val="32"/>
          <w:lang w:eastAsia="zh-CN"/>
        </w:rPr>
        <w:t>增加实施了部分项目，如：铜梁区第五届全民健身运动会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r>
        <w:rPr>
          <w:rFonts w:hint="default" w:ascii="Times New Roman" w:hAnsi="Times New Roman" w:eastAsia="方正仿宋_GBK" w:cs="Times New Roman"/>
          <w:sz w:val="32"/>
          <w:szCs w:val="32"/>
        </w:rPr>
        <w:t>其中：基本支出451.74万元，占2.1%；项目支出20,618.35万元，占97.9%</w:t>
      </w:r>
      <w:r>
        <w:rPr>
          <w:rFonts w:hint="default" w:ascii="Times New Roman" w:hAnsi="Times New Roman" w:eastAsia="方正仿宋_GBK" w:cs="Times New Roman"/>
          <w:sz w:val="32"/>
          <w:szCs w:val="32"/>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7"/>
          <w:rFonts w:hint="default" w:ascii="Times New Roman" w:hAnsi="Times New Roman" w:eastAsia="方正仿宋_GBK" w:cs="Times New Roman"/>
          <w:sz w:val="32"/>
          <w:szCs w:val="32"/>
        </w:rPr>
        <w:t>4.结转结余情况。</w:t>
      </w:r>
      <w:r>
        <w:rPr>
          <w:rFonts w:hint="default" w:ascii="Times New Roman" w:hAnsi="Times New Roman" w:eastAsia="方正仿宋_GBK" w:cs="Times New Roman"/>
          <w:sz w:val="32"/>
          <w:szCs w:val="32"/>
        </w:rPr>
        <w:t>2022年度年末结转和结</w:t>
      </w:r>
      <w:bookmarkStart w:id="0" w:name="_GoBack"/>
      <w:bookmarkEnd w:id="0"/>
      <w:r>
        <w:rPr>
          <w:rFonts w:hint="default" w:ascii="Times New Roman" w:hAnsi="Times New Roman" w:eastAsia="方正仿宋_GBK" w:cs="Times New Roman"/>
          <w:sz w:val="32"/>
          <w:szCs w:val="32"/>
        </w:rPr>
        <w:t>余0.00万元，较上年决算数增加0.00万元</w:t>
      </w:r>
      <w:r>
        <w:rPr>
          <w:rFonts w:hint="default" w:ascii="Times New Roman" w:hAnsi="Times New Roman" w:eastAsia="方正仿宋_GBK" w:cs="Times New Roman"/>
          <w:sz w:val="32"/>
          <w:szCs w:val="32"/>
          <w:lang w:eastAsia="zh-CN"/>
        </w:rPr>
        <w:t>。</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（二）财政拨款收入支出决算总体情况说明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2022年度财政拨款收、支总计21,070.08万元。与2021年相比，财政拨款收、支总计各增加16,249.83万元，增长337.1%。主要原因是</w:t>
      </w:r>
      <w:r>
        <w:rPr>
          <w:rFonts w:hint="default" w:ascii="Times New Roman" w:hAnsi="Times New Roman" w:eastAsia="方正仿宋_GBK" w:cs="Times New Roman"/>
          <w:sz w:val="32"/>
          <w:szCs w:val="32"/>
          <w:lang w:eastAsia="zh-CN"/>
        </w:rPr>
        <w:t>项目增加，如：铜梁区第五届全民健身运动会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（三）一般公共预算财政拨款收入支出决算情况说明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7"/>
          <w:rFonts w:hint="default" w:ascii="Times New Roman" w:hAnsi="Times New Roman" w:eastAsia="方正仿宋_GBK" w:cs="Times New Roman"/>
          <w:sz w:val="32"/>
          <w:szCs w:val="32"/>
        </w:rPr>
        <w:t>1.收入情况。</w:t>
      </w:r>
      <w:r>
        <w:rPr>
          <w:rFonts w:hint="default" w:ascii="Times New Roman" w:hAnsi="Times New Roman" w:eastAsia="方正仿宋_GBK" w:cs="Times New Roman"/>
          <w:sz w:val="32"/>
          <w:szCs w:val="32"/>
        </w:rPr>
        <w:t>2022年度一般公共预算财政拨款收入20,941.29万元，较上年决算数增加16,374.84万元，增长358.6%。主要原因是</w:t>
      </w:r>
      <w:r>
        <w:rPr>
          <w:rFonts w:hint="default" w:ascii="Times New Roman" w:hAnsi="Times New Roman" w:eastAsia="方正仿宋_GBK" w:cs="Times New Roman"/>
          <w:sz w:val="32"/>
          <w:szCs w:val="32"/>
          <w:lang w:eastAsia="zh-CN"/>
        </w:rPr>
        <w:t>项目增加，如：铜梁区第五届全民健身运动会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r>
        <w:rPr>
          <w:rFonts w:hint="default" w:ascii="Times New Roman" w:hAnsi="Times New Roman" w:eastAsia="方正仿宋_GBK" w:cs="Times New Roman"/>
          <w:sz w:val="32"/>
          <w:szCs w:val="32"/>
        </w:rPr>
        <w:t>较年初预算数增加14,584.68万元，增长229.4%。主要原因是</w:t>
      </w:r>
      <w:r>
        <w:rPr>
          <w:rFonts w:hint="default" w:ascii="Times New Roman" w:hAnsi="Times New Roman" w:eastAsia="方正仿宋_GBK" w:cs="Times New Roman"/>
          <w:sz w:val="32"/>
          <w:szCs w:val="32"/>
          <w:lang w:eastAsia="zh-CN"/>
        </w:rPr>
        <w:t>项目增加，如：铜梁区第五届全民健身运动会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Style w:val="7"/>
          <w:rFonts w:hint="default" w:ascii="Times New Roman" w:hAnsi="Times New Roman" w:eastAsia="方正仿宋_GBK" w:cs="Times New Roman"/>
          <w:sz w:val="32"/>
          <w:szCs w:val="32"/>
        </w:rPr>
        <w:t>2.支出情况。</w:t>
      </w:r>
      <w:r>
        <w:rPr>
          <w:rFonts w:hint="default" w:ascii="Times New Roman" w:hAnsi="Times New Roman" w:eastAsia="方正仿宋_GBK" w:cs="Times New Roman"/>
          <w:sz w:val="32"/>
          <w:szCs w:val="32"/>
        </w:rPr>
        <w:t>2022年度一般公共预算财政拨款支出20,941.29万元，较上年决算数增加16,252.51万元，增长346.6%。主要原因是</w:t>
      </w:r>
      <w:r>
        <w:rPr>
          <w:rFonts w:hint="default" w:ascii="Times New Roman" w:hAnsi="Times New Roman" w:eastAsia="方正仿宋_GBK" w:cs="Times New Roman"/>
          <w:sz w:val="32"/>
          <w:szCs w:val="32"/>
          <w:lang w:eastAsia="zh-CN"/>
        </w:rPr>
        <w:t>项目增加，如：铜梁区第五届全民健身运动会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r>
        <w:rPr>
          <w:rFonts w:hint="default" w:ascii="Times New Roman" w:hAnsi="Times New Roman" w:eastAsia="方正仿宋_GBK" w:cs="Times New Roman"/>
          <w:sz w:val="32"/>
          <w:szCs w:val="32"/>
        </w:rPr>
        <w:t>较年初预算数增加14,584.68万元，增长229.4%。主要原因是</w:t>
      </w:r>
      <w:r>
        <w:rPr>
          <w:rFonts w:hint="default" w:ascii="Times New Roman" w:hAnsi="Times New Roman" w:eastAsia="方正仿宋_GBK" w:cs="Times New Roman"/>
          <w:sz w:val="32"/>
          <w:szCs w:val="32"/>
          <w:lang w:eastAsia="zh-CN"/>
        </w:rPr>
        <w:t>项目增加，如：铜梁区第五届全民健身运动会</w:t>
      </w:r>
      <w:r>
        <w:rPr>
          <w:rFonts w:hint="default" w:ascii="Times New Roman" w:hAnsi="Times New Roman" w:eastAsia="方正仿宋_GBK" w:cs="Times New Roman"/>
          <w:sz w:val="32"/>
          <w:szCs w:val="32"/>
          <w:lang w:val="en-US" w:eastAsia="zh-CN"/>
        </w:rPr>
        <w:t>90万元、2022年中华龙狮大赛80万元、运动场12个门面解除协议补偿款323.8万元、原川剧团退休职工生活补助82万元、健康疗养费79.8万元、第七届惠民消费季80万元、全国文化和旅游信用经济发展试点190万元、解决乡镇文化站解聘人员遗留问题30万元、宣传营销项目666.7万元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7"/>
          <w:rFonts w:hint="default" w:ascii="Times New Roman" w:hAnsi="Times New Roman" w:eastAsia="方正仿宋_GBK" w:cs="Times New Roman"/>
          <w:sz w:val="32"/>
          <w:szCs w:val="32"/>
        </w:rPr>
        <w:t>3.结转结余情况。</w:t>
      </w:r>
      <w:r>
        <w:rPr>
          <w:rFonts w:hint="default" w:ascii="Times New Roman" w:hAnsi="Times New Roman" w:eastAsia="方正仿宋_GBK" w:cs="Times New Roman"/>
          <w:sz w:val="32"/>
          <w:szCs w:val="32"/>
        </w:rPr>
        <w:t>2022年度年末一般公共预算财政拨款结转和结余0.00万元，较上年决算数增加0.00万元</w:t>
      </w:r>
      <w:r>
        <w:rPr>
          <w:rFonts w:hint="default" w:ascii="Times New Roman" w:hAnsi="Times New Roman" w:eastAsia="方正仿宋_GBK" w:cs="Times New Roman"/>
          <w:sz w:val="32"/>
          <w:szCs w:val="32"/>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rPr>
        <w:t>4.比较情况。</w:t>
      </w:r>
      <w:r>
        <w:rPr>
          <w:rFonts w:hint="default" w:ascii="Times New Roman" w:hAnsi="Times New Roman" w:eastAsia="方正仿宋_GBK" w:cs="Times New Roman"/>
          <w:sz w:val="32"/>
          <w:szCs w:val="32"/>
        </w:rPr>
        <w:t>本部门2022年度一般公共预算财政拨款支出主要用于以下几个方面：</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）文化旅游体育与传媒支出5,831.93万元，占27.8%，较年初预算数减少426.88万元，下降6.8%，主要原因是</w:t>
      </w:r>
      <w:r>
        <w:rPr>
          <w:rFonts w:hint="default" w:ascii="Times New Roman" w:hAnsi="Times New Roman" w:eastAsia="方正仿宋_GBK" w:cs="Times New Roman"/>
          <w:sz w:val="32"/>
          <w:szCs w:val="32"/>
          <w:lang w:eastAsia="zh-CN"/>
        </w:rPr>
        <w:t>疫情影响，部分文化、体育活动未开展。</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）社会保障与就业支出15,082.49万元，占72%，较年初预算数增加15,017.90万元，增长23251.1%，主要原因是</w:t>
      </w:r>
      <w:r>
        <w:rPr>
          <w:rFonts w:hint="default" w:ascii="Times New Roman" w:hAnsi="Times New Roman" w:eastAsia="方正仿宋_GBK" w:cs="Times New Roman"/>
          <w:sz w:val="32"/>
          <w:szCs w:val="32"/>
          <w:lang w:eastAsia="zh-CN"/>
        </w:rPr>
        <w:t>安居古城门票补贴。</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）卫生健康支出12.24万元，占0.1%，较年初预算数减少6.32万元，下降34.1%，主要原因是</w:t>
      </w:r>
      <w:r>
        <w:rPr>
          <w:rFonts w:hint="default" w:ascii="Times New Roman" w:hAnsi="Times New Roman" w:eastAsia="方正仿宋_GBK" w:cs="Times New Roman"/>
          <w:sz w:val="32"/>
          <w:szCs w:val="32"/>
          <w:lang w:eastAsia="zh-CN"/>
        </w:rPr>
        <w:t>购买疫情药品支出减少。</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）住房保障支出14.64万元，占0.1%，较年初预算数增加0.00万元，增长0%，主要原因是</w:t>
      </w:r>
      <w:r>
        <w:rPr>
          <w:rFonts w:hint="default" w:ascii="Times New Roman" w:hAnsi="Times New Roman" w:eastAsia="方正仿宋_GBK" w:cs="Times New Roman"/>
          <w:sz w:val="32"/>
          <w:szCs w:val="32"/>
          <w:lang w:eastAsia="zh-CN"/>
        </w:rPr>
        <w:t>资金规划比较合理，严格使用住房公积金。</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（四）一般公共预算财政拨款基本支出决算情况说明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2022年度一般公共预算财政拨款基本支出451.74万元。其中：人员经费377.84万元，较上年决算数减少373.99万元，下降49.7%，主要原因是</w:t>
      </w:r>
      <w:r>
        <w:rPr>
          <w:rFonts w:hint="default" w:ascii="Times New Roman" w:hAnsi="Times New Roman" w:eastAsia="方正仿宋_GBK" w:cs="Times New Roman"/>
          <w:sz w:val="32"/>
          <w:szCs w:val="32"/>
          <w:lang w:val="en-US" w:eastAsia="zh-CN"/>
        </w:rPr>
        <w:t>2021年补缴中人职业年金（原文化委和原旅游局），增加了退休人员（含原川剧团）的健康疗养费和补缴职业年金。</w:t>
      </w:r>
      <w:r>
        <w:rPr>
          <w:rFonts w:hint="default" w:ascii="Times New Roman" w:hAnsi="Times New Roman" w:eastAsia="方正仿宋_GBK" w:cs="Times New Roman"/>
          <w:sz w:val="32"/>
          <w:szCs w:val="32"/>
        </w:rPr>
        <w:t>人员经费用途主要包括</w:t>
      </w:r>
      <w:r>
        <w:rPr>
          <w:rFonts w:hint="default" w:ascii="Times New Roman" w:hAnsi="Times New Roman" w:eastAsia="方正仿宋_GBK" w:cs="Times New Roman"/>
          <w:sz w:val="32"/>
          <w:szCs w:val="32"/>
          <w:lang w:eastAsia="zh-CN"/>
        </w:rPr>
        <w:t>基本工资、津贴补贴、奖金、绩效工资。</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公用经费73.89万元，较上年决算数减少42.86万元，下降36.7%，主要原因是</w:t>
      </w:r>
      <w:r>
        <w:rPr>
          <w:rFonts w:hint="default" w:ascii="Times New Roman" w:hAnsi="Times New Roman" w:eastAsia="方正仿宋_GBK" w:cs="Times New Roman"/>
          <w:sz w:val="32"/>
          <w:szCs w:val="32"/>
          <w:lang w:eastAsia="zh-CN"/>
        </w:rPr>
        <w:t>节约开支，人员调出（原旅游执法检查大队</w:t>
      </w:r>
      <w:r>
        <w:rPr>
          <w:rFonts w:hint="default" w:ascii="Times New Roman" w:hAnsi="Times New Roman" w:eastAsia="方正仿宋_GBK" w:cs="Times New Roman"/>
          <w:sz w:val="32"/>
          <w:szCs w:val="32"/>
          <w:lang w:val="en-US" w:eastAsia="zh-CN"/>
        </w:rPr>
        <w:t>8人、营销中心5人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公用经费用途主要包括</w:t>
      </w:r>
      <w:r>
        <w:rPr>
          <w:rFonts w:hint="default" w:ascii="Times New Roman" w:hAnsi="Times New Roman" w:eastAsia="方正仿宋_GBK" w:cs="Times New Roman"/>
          <w:sz w:val="32"/>
          <w:szCs w:val="32"/>
          <w:lang w:eastAsia="zh-CN"/>
        </w:rPr>
        <w:t>办公费、印刷费、咨询费、邮电费、差旅费、维修费、租赁费、会议费、培训费等。</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（五）政府性基金预算收支决算情况说明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2022年度政府性基金预算财政拨款年初结转结余0.00万元，年末结转结余0.00万元。本年收入128.79万元，较上年决算数增加39.17万元，增长43.7%，主要原因是</w:t>
      </w:r>
      <w:r>
        <w:rPr>
          <w:rFonts w:hint="default" w:ascii="Times New Roman" w:hAnsi="Times New Roman" w:eastAsia="方正仿宋_GBK" w:cs="Times New Roman"/>
          <w:sz w:val="32"/>
          <w:szCs w:val="32"/>
          <w:lang w:eastAsia="zh-CN"/>
        </w:rPr>
        <w:t>体育公益金分成增加。</w:t>
      </w:r>
      <w:r>
        <w:rPr>
          <w:rFonts w:hint="default" w:ascii="Times New Roman" w:hAnsi="Times New Roman" w:eastAsia="方正仿宋_GBK" w:cs="Times New Roman"/>
          <w:sz w:val="32"/>
          <w:szCs w:val="32"/>
        </w:rPr>
        <w:t>本年支出128.79万元，较上年决算数减少2.68万元，下降2%，主要原因是</w:t>
      </w:r>
      <w:r>
        <w:rPr>
          <w:rFonts w:hint="default" w:ascii="Times New Roman" w:hAnsi="Times New Roman" w:eastAsia="方正仿宋_GBK" w:cs="Times New Roman"/>
          <w:sz w:val="32"/>
          <w:szCs w:val="32"/>
          <w:lang w:eastAsia="zh-CN"/>
        </w:rPr>
        <w:t>疫情原因，体育活动减少。</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（六）国有资本经营预算财政拨款支出决算情况说明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本部门</w:t>
      </w:r>
      <w:r>
        <w:rPr>
          <w:rFonts w:hint="default" w:ascii="Times New Roman" w:hAnsi="Times New Roman" w:eastAsia="方正仿宋_GBK" w:cs="Times New Roman"/>
          <w:sz w:val="32"/>
          <w:szCs w:val="32"/>
          <w:lang w:val="en-US" w:eastAsia="zh-CN"/>
        </w:rPr>
        <w:t xml:space="preserve">2022年度无国有资本经营预算财政拨款支出。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三、“三公”经费情况说明</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（一）“三公”经费支出总体情况说明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2022年度“三公”经费支出共计6.78万元，较年初预算数减少15.02万元，下降68.9%，主要原因是</w:t>
      </w:r>
      <w:r>
        <w:rPr>
          <w:rFonts w:hint="default" w:ascii="Times New Roman" w:hAnsi="Times New Roman" w:eastAsia="方正仿宋_GBK" w:cs="Times New Roman"/>
          <w:sz w:val="32"/>
          <w:szCs w:val="32"/>
          <w:lang w:eastAsia="zh-CN"/>
        </w:rPr>
        <w:t>疫情原因，车辆开支、接待费用不同程度减少。</w:t>
      </w:r>
      <w:r>
        <w:rPr>
          <w:rFonts w:hint="default" w:ascii="Times New Roman" w:hAnsi="Times New Roman" w:eastAsia="方正仿宋_GBK" w:cs="Times New Roman"/>
          <w:sz w:val="32"/>
          <w:szCs w:val="32"/>
        </w:rPr>
        <w:t>较上年支出数减少10.32万元，下降60.4%，主要原因是</w:t>
      </w:r>
      <w:r>
        <w:rPr>
          <w:rFonts w:hint="default" w:ascii="Times New Roman" w:hAnsi="Times New Roman" w:eastAsia="方正仿宋_GBK" w:cs="Times New Roman"/>
          <w:sz w:val="32"/>
          <w:szCs w:val="32"/>
          <w:lang w:eastAsia="zh-CN"/>
        </w:rPr>
        <w:t>疫情影响，进一步遵循科学统筹，厉行节约原则。</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（二）“三公”经费分项支出情况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本单位本年度未</w:t>
      </w:r>
      <w:r>
        <w:rPr>
          <w:rFonts w:hint="default" w:ascii="Times New Roman" w:hAnsi="Times New Roman" w:eastAsia="方正仿宋_GBK" w:cs="Times New Roman"/>
          <w:sz w:val="32"/>
          <w:szCs w:val="32"/>
          <w:lang w:val="en-US" w:eastAsia="zh-CN"/>
        </w:rPr>
        <w:t>发生</w:t>
      </w:r>
      <w:r>
        <w:rPr>
          <w:rFonts w:hint="default" w:ascii="Times New Roman" w:hAnsi="Times New Roman" w:eastAsia="方正仿宋_GBK" w:cs="Times New Roman"/>
          <w:sz w:val="32"/>
          <w:szCs w:val="32"/>
        </w:rPr>
        <w:t>因公出国（境）</w:t>
      </w:r>
      <w:r>
        <w:rPr>
          <w:rFonts w:hint="default" w:ascii="Times New Roman" w:hAnsi="Times New Roman" w:eastAsia="方正仿宋_GBK" w:cs="Times New Roman"/>
          <w:sz w:val="32"/>
          <w:szCs w:val="32"/>
          <w:lang w:eastAsia="zh-CN"/>
        </w:rPr>
        <w:t>费用。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本单位本年度未</w:t>
      </w:r>
      <w:r>
        <w:rPr>
          <w:rFonts w:hint="default" w:ascii="Times New Roman" w:hAnsi="Times New Roman" w:eastAsia="方正仿宋_GBK" w:cs="Times New Roman"/>
          <w:sz w:val="32"/>
          <w:szCs w:val="32"/>
          <w:lang w:val="en-US" w:eastAsia="zh-CN"/>
        </w:rPr>
        <w:t>发生公务车购置费。</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公务车运行维护费5.67万元，主要用于</w:t>
      </w:r>
      <w:r>
        <w:rPr>
          <w:rFonts w:hint="default" w:ascii="Times New Roman" w:hAnsi="Times New Roman" w:eastAsia="方正仿宋_GBK" w:cs="Times New Roman"/>
          <w:sz w:val="32"/>
          <w:szCs w:val="32"/>
          <w:lang w:eastAsia="zh-CN"/>
        </w:rPr>
        <w:t>汽车的维修维护、过路费、油费、洗车费等。</w:t>
      </w:r>
      <w:r>
        <w:rPr>
          <w:rFonts w:hint="default" w:ascii="Times New Roman" w:hAnsi="Times New Roman" w:eastAsia="方正仿宋_GBK" w:cs="Times New Roman"/>
          <w:sz w:val="32"/>
          <w:szCs w:val="32"/>
        </w:rPr>
        <w:t>费用支出较年初预算数减少5.13万元，下降47.5%，主要原因是</w:t>
      </w:r>
      <w:r>
        <w:rPr>
          <w:rFonts w:hint="default" w:ascii="Times New Roman" w:hAnsi="Times New Roman" w:eastAsia="方正仿宋_GBK" w:cs="Times New Roman"/>
          <w:sz w:val="32"/>
          <w:szCs w:val="32"/>
          <w:lang w:eastAsia="zh-CN"/>
        </w:rPr>
        <w:t>疫情影响，出车数量降低。</w:t>
      </w:r>
      <w:r>
        <w:rPr>
          <w:rFonts w:hint="default" w:ascii="Times New Roman" w:hAnsi="Times New Roman" w:eastAsia="方正仿宋_GBK" w:cs="Times New Roman"/>
          <w:sz w:val="32"/>
          <w:szCs w:val="32"/>
        </w:rPr>
        <w:t>较上年支出数减少0.83万元，下降12.8%，主要原因是</w:t>
      </w:r>
      <w:r>
        <w:rPr>
          <w:rFonts w:hint="default" w:ascii="Times New Roman" w:hAnsi="Times New Roman" w:eastAsia="方正仿宋_GBK" w:cs="Times New Roman"/>
          <w:sz w:val="32"/>
          <w:szCs w:val="32"/>
          <w:lang w:eastAsia="zh-CN"/>
        </w:rPr>
        <w:t>节约开支，维修维护费减少。</w:t>
      </w:r>
      <w:r>
        <w:rPr>
          <w:rFonts w:hint="default" w:ascii="Times New Roman" w:hAnsi="Times New Roman" w:eastAsia="方正仿宋_GBK" w:cs="Times New Roman"/>
          <w:sz w:val="32"/>
          <w:szCs w:val="32"/>
        </w:rPr>
        <w:t>公务接待费1.11万元，主要用于接待</w:t>
      </w:r>
      <w:r>
        <w:rPr>
          <w:rFonts w:hint="default" w:ascii="Times New Roman" w:hAnsi="Times New Roman" w:eastAsia="方正仿宋_GBK" w:cs="Times New Roman"/>
          <w:sz w:val="32"/>
          <w:szCs w:val="32"/>
          <w:lang w:eastAsia="zh-CN"/>
        </w:rPr>
        <w:t>各区县相关业务部门。</w:t>
      </w:r>
      <w:r>
        <w:rPr>
          <w:rFonts w:hint="default" w:ascii="Times New Roman" w:hAnsi="Times New Roman" w:eastAsia="方正仿宋_GBK" w:cs="Times New Roman"/>
          <w:sz w:val="32"/>
          <w:szCs w:val="32"/>
        </w:rPr>
        <w:t>费用支出较年初预算数减少9.89万元，下降89.9%，主要原因是</w:t>
      </w:r>
      <w:r>
        <w:rPr>
          <w:rFonts w:hint="default" w:ascii="Times New Roman" w:hAnsi="Times New Roman" w:eastAsia="方正仿宋_GBK" w:cs="Times New Roman"/>
          <w:sz w:val="32"/>
          <w:szCs w:val="32"/>
          <w:lang w:eastAsia="zh-CN"/>
        </w:rPr>
        <w:t>疫情原因，招商引资等公务接待减少。</w:t>
      </w:r>
      <w:r>
        <w:rPr>
          <w:rFonts w:hint="default" w:ascii="Times New Roman" w:hAnsi="Times New Roman" w:eastAsia="方正仿宋_GBK" w:cs="Times New Roman"/>
          <w:sz w:val="32"/>
          <w:szCs w:val="32"/>
        </w:rPr>
        <w:t>较上年支出数减少9.48万元，下降89.5%，主要原因是</w:t>
      </w:r>
      <w:r>
        <w:rPr>
          <w:rFonts w:hint="default" w:ascii="Times New Roman" w:hAnsi="Times New Roman" w:eastAsia="方正仿宋_GBK" w:cs="Times New Roman"/>
          <w:sz w:val="32"/>
          <w:szCs w:val="32"/>
          <w:lang w:eastAsia="zh-CN"/>
        </w:rPr>
        <w:t>招商引资接待减少。</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（三）“三公”经费实物量情况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2022年度本部门因公出国（境）共计0个团组，0人；公务用车购置0辆，公务车保有量为3辆；国内公务接待8批次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112人。2022年本部门人均接待费99.49元，车均购置费0.00万元，车均维护费1.89万元。</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四、其他需要说明的事项</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（一）财政拨款会议费和培训费情况说明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本年度会议费支出17.60万元，较上年决算数减少46.45万元，下降72.5%，主要原因是</w:t>
      </w:r>
      <w:r>
        <w:rPr>
          <w:rFonts w:hint="default" w:ascii="Times New Roman" w:hAnsi="Times New Roman" w:eastAsia="方正仿宋_GBK" w:cs="Times New Roman"/>
          <w:sz w:val="32"/>
          <w:szCs w:val="32"/>
          <w:lang w:eastAsia="zh-CN"/>
        </w:rPr>
        <w:t>疫情原因，旅游推介会减少。</w:t>
      </w:r>
      <w:r>
        <w:rPr>
          <w:rFonts w:hint="default" w:ascii="Times New Roman" w:hAnsi="Times New Roman" w:eastAsia="方正仿宋_GBK" w:cs="Times New Roman"/>
          <w:sz w:val="32"/>
          <w:szCs w:val="32"/>
        </w:rPr>
        <w:t>本年度培训费支出0.30万元，较上年决算数减少0.46万元，下降60.5%，主要原因是</w:t>
      </w:r>
      <w:r>
        <w:rPr>
          <w:rFonts w:hint="default" w:ascii="Times New Roman" w:hAnsi="Times New Roman" w:eastAsia="方正仿宋_GBK" w:cs="Times New Roman"/>
          <w:sz w:val="32"/>
          <w:szCs w:val="32"/>
          <w:lang w:eastAsia="zh-CN"/>
        </w:rPr>
        <w:t>培训次数减少。</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（二）机关运行经费支出情况说明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2022年度本部门机关运行经费支出73.89万元，主要用于开支</w:t>
      </w:r>
      <w:r>
        <w:rPr>
          <w:rFonts w:hint="default" w:ascii="Times New Roman" w:hAnsi="Times New Roman" w:eastAsia="方正仿宋_GBK" w:cs="Times New Roman"/>
          <w:sz w:val="32"/>
          <w:szCs w:val="32"/>
          <w:lang w:eastAsia="zh-CN"/>
        </w:rPr>
        <w:t>办公费、印刷费、咨询费、邮电费、差旅费、维修费、租赁费、会议费、培训费等。</w:t>
      </w:r>
      <w:r>
        <w:rPr>
          <w:rFonts w:hint="default" w:ascii="Times New Roman" w:hAnsi="Times New Roman" w:eastAsia="方正仿宋_GBK" w:cs="Times New Roman"/>
          <w:sz w:val="32"/>
          <w:szCs w:val="32"/>
        </w:rPr>
        <w:t>机关运行经费较上年决算数减少42.86万元，下降36.7%，主要原因是</w:t>
      </w:r>
      <w:r>
        <w:rPr>
          <w:rFonts w:hint="default" w:ascii="Times New Roman" w:hAnsi="Times New Roman" w:eastAsia="方正仿宋_GBK" w:cs="Times New Roman"/>
          <w:sz w:val="32"/>
          <w:szCs w:val="32"/>
          <w:lang w:eastAsia="zh-CN"/>
        </w:rPr>
        <w:t>会议费减少。</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（三）国有资产占用情况说明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截至2022年12月31日，本部门共有车辆3辆，其中，机要通信用车3辆</w:t>
      </w:r>
      <w:r>
        <w:rPr>
          <w:rFonts w:hint="default" w:ascii="Times New Roman" w:hAnsi="Times New Roman" w:eastAsia="方正仿宋_GBK" w:cs="Times New Roman"/>
          <w:sz w:val="32"/>
          <w:szCs w:val="32"/>
          <w:lang w:eastAsia="zh-CN"/>
        </w:rPr>
        <w:t>。</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（四）政府采购支出说明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2022年度本部门政府采购支出总额768.80万元，其中：政府采购货物支出0.00万元、政府采购工程支出0.00万元、政府采购服务支出768.80万元。授予中小企业合同金额625.40万元，占政府采购支出总额的81.3%，其中：授予小微企业合同金额490.80万元，占政府采购支出总额的63.8%。主要用于采购</w:t>
      </w:r>
      <w:r>
        <w:rPr>
          <w:rFonts w:hint="default" w:ascii="Times New Roman" w:hAnsi="Times New Roman" w:eastAsia="方正仿宋_GBK" w:cs="Times New Roman"/>
          <w:sz w:val="32"/>
          <w:szCs w:val="32"/>
          <w:lang w:eastAsia="zh-CN"/>
        </w:rPr>
        <w:t>机场灯箱平面广告；高速路户外广告大牌平面广告；电信、移动入境关怀短信等。</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五、预算绩效管理情况说明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left="638" w:leftChars="304" w:firstLine="0" w:firstLineChars="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（一）预算绩效管理工作开展情况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根据预算绩效管理要求，我单位对部门整体和</w:t>
      </w:r>
      <w:r>
        <w:rPr>
          <w:rFonts w:hint="default"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rPr>
        <w:t>个项目</w:t>
      </w:r>
      <w:r>
        <w:rPr>
          <w:rFonts w:hint="default" w:ascii="Times New Roman" w:hAnsi="Times New Roman" w:eastAsia="方正仿宋_GBK" w:cs="Times New Roman"/>
          <w:sz w:val="32"/>
          <w:szCs w:val="32"/>
          <w:lang w:eastAsia="zh-CN"/>
        </w:rPr>
        <w:t>开展</w:t>
      </w:r>
      <w:r>
        <w:rPr>
          <w:rFonts w:hint="default" w:ascii="Times New Roman" w:hAnsi="Times New Roman" w:eastAsia="方正仿宋_GBK" w:cs="Times New Roman"/>
          <w:sz w:val="32"/>
          <w:szCs w:val="32"/>
        </w:rPr>
        <w:t>了绩效自评，其中，以填报自评表形式开展自评</w:t>
      </w:r>
      <w:r>
        <w:rPr>
          <w:rFonts w:hint="default"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rPr>
        <w:t>项，涉及资金</w:t>
      </w:r>
      <w:r>
        <w:rPr>
          <w:rFonts w:hint="default" w:ascii="Times New Roman" w:hAnsi="Times New Roman" w:eastAsia="方正仿宋_GBK" w:cs="Times New Roman"/>
          <w:sz w:val="32"/>
          <w:szCs w:val="32"/>
          <w:lang w:val="en-US" w:eastAsia="zh-CN"/>
        </w:rPr>
        <w:t>21388</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lang w:eastAsia="zh-CN"/>
        </w:rPr>
        <w:t>。</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（二）绩效自评结果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rPr>
        <w:t>1.绩效目标自评表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（1）部门整体绩效自评表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我单位为一级预算单位，对部门整体进行目标管理。</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（2）项目绩效自评表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详见</w:t>
      </w: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rPr>
        <w:t>。</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Style w:val="7"/>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lang w:val="en-US" w:eastAsia="zh-CN"/>
        </w:rPr>
        <w:t>2.</w:t>
      </w:r>
      <w:r>
        <w:rPr>
          <w:rStyle w:val="7"/>
          <w:rFonts w:hint="default" w:ascii="Times New Roman" w:hAnsi="Times New Roman" w:eastAsia="方正仿宋_GBK" w:cs="Times New Roman"/>
          <w:sz w:val="32"/>
          <w:szCs w:val="32"/>
        </w:rPr>
        <w:t>绩效自评报告或案例</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我单位未委托第三方开展绩效评价。</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7"/>
          <w:rFonts w:hint="default" w:ascii="Times New Roman" w:hAnsi="Times New Roman" w:eastAsia="方正仿宋_GBK" w:cs="Times New Roman"/>
          <w:sz w:val="32"/>
          <w:szCs w:val="32"/>
        </w:rPr>
        <w:t>3.关于绩效自评结果的说明</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我单位对</w:t>
      </w:r>
      <w:r>
        <w:rPr>
          <w:rFonts w:hint="default" w:ascii="Times New Roman" w:hAnsi="Times New Roman" w:eastAsia="方正仿宋_GBK" w:cs="Times New Roman"/>
          <w:sz w:val="32"/>
          <w:szCs w:val="32"/>
          <w:lang w:val="en-US" w:eastAsia="zh-CN"/>
        </w:rPr>
        <w:t>62</w:t>
      </w:r>
      <w:r>
        <w:rPr>
          <w:rFonts w:hint="default" w:ascii="Times New Roman" w:hAnsi="Times New Roman" w:eastAsia="方正仿宋_GBK" w:cs="Times New Roman"/>
          <w:sz w:val="32"/>
          <w:szCs w:val="32"/>
        </w:rPr>
        <w:t>个项目进行绩效自评，</w:t>
      </w:r>
      <w:r>
        <w:rPr>
          <w:rFonts w:hint="default" w:ascii="Times New Roman" w:hAnsi="Times New Roman" w:eastAsia="方正仿宋_GBK" w:cs="Times New Roman"/>
          <w:sz w:val="32"/>
          <w:szCs w:val="32"/>
          <w:lang w:eastAsia="zh-CN"/>
        </w:rPr>
        <w:t>均已完</w:t>
      </w:r>
      <w:r>
        <w:rPr>
          <w:rFonts w:hint="default" w:ascii="Times New Roman" w:hAnsi="Times New Roman" w:eastAsia="方正仿宋_GBK" w:cs="Times New Roman"/>
          <w:sz w:val="32"/>
          <w:szCs w:val="32"/>
        </w:rPr>
        <w:t>成年度绩效目标。对</w:t>
      </w:r>
      <w:r>
        <w:rPr>
          <w:rFonts w:hint="default" w:ascii="Times New Roman" w:hAnsi="Times New Roman" w:eastAsia="方正仿宋_GBK" w:cs="Times New Roman"/>
          <w:sz w:val="32"/>
          <w:szCs w:val="32"/>
          <w:lang w:eastAsia="zh-CN"/>
        </w:rPr>
        <w:t>每个项目的绩效都取得了较好的绩效成果。</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（三）重点绩效评价结果</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我单位未开展重点绩效评价。</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pPr>
      <w:r>
        <w:rPr>
          <w:rStyle w:val="11"/>
          <w:rFonts w:hint="default" w:ascii="Times New Roman" w:hAnsi="Times New Roman" w:eastAsia="方正黑体_GBK" w:cs="Times New Roman"/>
          <w:b w:val="0"/>
          <w:bCs/>
          <w:color w:val="000000" w:themeColor="text1"/>
          <w:sz w:val="32"/>
          <w:szCs w:val="32"/>
          <w:shd w:val="clear" w:color="auto" w:fill="FFFFFF"/>
          <w14:textFill>
            <w14:solidFill>
              <w14:schemeClr w14:val="tx1"/>
            </w14:solidFill>
          </w14:textFill>
        </w:rPr>
        <w:t>六、专业名词解释</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（四）其他收入：</w:t>
      </w:r>
      <w:r>
        <w:rPr>
          <w:rFonts w:hint="default" w:ascii="Times New Roman" w:hAnsi="Times New Roman" w:eastAsia="方正仿宋_GBK" w:cs="Times New Roman"/>
          <w:sz w:val="32"/>
          <w:szCs w:val="32"/>
        </w:rPr>
        <w:t>指单位取得的除“财政拨款收入”、“事业收入”、“经营收</w:t>
      </w:r>
      <w:r>
        <w:rPr>
          <w:rFonts w:hint="default" w:ascii="Times New Roman" w:hAnsi="Times New Roman" w:eastAsia="方正仿宋_GBK" w:cs="Times New Roman"/>
          <w:sz w:val="32"/>
          <w:szCs w:val="32"/>
          <w:lang w:eastAsia="zh-CN"/>
        </w:rPr>
        <w:t>入</w:t>
      </w:r>
      <w:r>
        <w:rPr>
          <w:rFonts w:hint="default" w:ascii="Times New Roman" w:hAnsi="Times New Roman" w:eastAsia="方正仿宋_GBK"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（五）使用非财政拨款结余：指单位在当年的“财政拨款收入”、“事业收入”、“经营收入”、“其他收入”等不足以安排当年</w:t>
      </w:r>
      <w:r>
        <w:rPr>
          <w:rFonts w:hint="default" w:ascii="Times New Roman" w:hAnsi="Times New Roman" w:eastAsia="方正仿宋_GBK" w:cs="Times New Roman"/>
          <w:sz w:val="32"/>
          <w:szCs w:val="32"/>
        </w:rPr>
        <w:t>支出的情况下，使用以前年度积累的非财政拨款结余弥补本年度收支缺口的资金。</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（十二）“三公”经费：</w:t>
      </w:r>
      <w:r>
        <w:rPr>
          <w:rFonts w:hint="default" w:ascii="Times New Roman" w:hAnsi="Times New Roman" w:eastAsia="方正仿宋_GBK" w:cs="Times New Roman"/>
          <w:sz w:val="32"/>
          <w:szCs w:val="3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楷体_GBK" w:cs="Times New Roman"/>
          <w:b w:val="0"/>
          <w:bCs/>
          <w:color w:val="000000" w:themeColor="text1"/>
          <w:sz w:val="32"/>
          <w:szCs w:val="32"/>
          <w:shd w:val="clear" w:color="auto" w:fill="FFFFFF"/>
          <w14:textFill>
            <w14:solidFill>
              <w14:schemeClr w14:val="tx1"/>
            </w14:solidFill>
          </w14:textFill>
        </w:rPr>
        <w:t>（十七）其他资本性支出（支出经济分类科目类级）：</w:t>
      </w:r>
      <w:r>
        <w:rPr>
          <w:rFonts w:hint="default" w:ascii="Times New Roman" w:hAnsi="Times New Roman" w:eastAsia="方正仿宋_GBK" w:cs="Times New Roman"/>
          <w:sz w:val="32"/>
          <w:szCs w:val="32"/>
        </w:rPr>
        <w:t>反映非各级发展与改革部门集中安排的用于购置固定资产、战略性和应急性储备、土地和无形资产，以及构建基础设施、大型修缮和财政支持企业更新改造所发生的支出。</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黑体_GBK" w:cs="Times New Roman"/>
          <w:b w:val="0"/>
          <w:bCs w:val="0"/>
          <w:sz w:val="32"/>
          <w:szCs w:val="32"/>
        </w:rPr>
      </w:pPr>
      <w:r>
        <w:rPr>
          <w:rStyle w:val="7"/>
          <w:rFonts w:hint="default" w:ascii="Times New Roman" w:hAnsi="Times New Roman" w:eastAsia="方正黑体_GBK" w:cs="Times New Roman"/>
          <w:b w:val="0"/>
          <w:bCs w:val="0"/>
          <w:sz w:val="32"/>
          <w:szCs w:val="32"/>
        </w:rPr>
        <w:t>七、决算公开联系方式及信息反馈渠道</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w:t>
      </w:r>
    </w:p>
    <w:p>
      <w:pPr>
        <w:pStyle w:val="4"/>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何青美</w:t>
      </w:r>
      <w:r>
        <w:rPr>
          <w:rFonts w:hint="default" w:ascii="Times New Roman" w:hAnsi="Times New Roman" w:eastAsia="方正仿宋_GBK" w:cs="Times New Roman"/>
          <w:color w:val="FF0000"/>
          <w:sz w:val="32"/>
          <w:szCs w:val="32"/>
        </w:rPr>
        <w:t> </w:t>
      </w:r>
      <w:r>
        <w:rPr>
          <w:rFonts w:hint="default" w:ascii="Times New Roman" w:hAnsi="Times New Roman" w:eastAsia="方正仿宋_GBK" w:cs="Times New Roman"/>
          <w:sz w:val="32"/>
          <w:szCs w:val="32"/>
        </w:rPr>
        <w:t> </w:t>
      </w:r>
      <w:r>
        <w:rPr>
          <w:rFonts w:hint="default" w:ascii="Times New Roman" w:hAnsi="Times New Roman" w:eastAsia="方正仿宋_GBK" w:cs="Times New Roman"/>
          <w:sz w:val="32"/>
          <w:szCs w:val="32"/>
          <w:lang w:val="en-US" w:eastAsia="zh-CN"/>
        </w:rPr>
        <w:t>023--64408600</w:t>
      </w: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cs="Times New Roma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TljYTY0NjNiMGM1YjEzYmRlMTQ0OTZhNTc1YTYifQ=="/>
  </w:docVars>
  <w:rsids>
    <w:rsidRoot w:val="00944009"/>
    <w:rsid w:val="0036289E"/>
    <w:rsid w:val="00944009"/>
    <w:rsid w:val="01D47F8D"/>
    <w:rsid w:val="04AA019D"/>
    <w:rsid w:val="0509607B"/>
    <w:rsid w:val="05572C44"/>
    <w:rsid w:val="075179C9"/>
    <w:rsid w:val="07CE1B66"/>
    <w:rsid w:val="09D27186"/>
    <w:rsid w:val="0BE7192D"/>
    <w:rsid w:val="0DC8603B"/>
    <w:rsid w:val="0DCA4984"/>
    <w:rsid w:val="0F8724D7"/>
    <w:rsid w:val="10EB3BB8"/>
    <w:rsid w:val="1A4A7ACD"/>
    <w:rsid w:val="1B44703D"/>
    <w:rsid w:val="1B910656"/>
    <w:rsid w:val="1F7A08D5"/>
    <w:rsid w:val="20442638"/>
    <w:rsid w:val="22BF31CF"/>
    <w:rsid w:val="22F5790A"/>
    <w:rsid w:val="282A573F"/>
    <w:rsid w:val="28C13D3E"/>
    <w:rsid w:val="2B715282"/>
    <w:rsid w:val="2F7B0E03"/>
    <w:rsid w:val="2FF040B7"/>
    <w:rsid w:val="31F00636"/>
    <w:rsid w:val="32544018"/>
    <w:rsid w:val="34241C94"/>
    <w:rsid w:val="344F4E2B"/>
    <w:rsid w:val="352B46F4"/>
    <w:rsid w:val="35F80CE0"/>
    <w:rsid w:val="370A07AD"/>
    <w:rsid w:val="39530FFB"/>
    <w:rsid w:val="3A893992"/>
    <w:rsid w:val="3C10509C"/>
    <w:rsid w:val="3DCE31CF"/>
    <w:rsid w:val="3ECB607D"/>
    <w:rsid w:val="40C546D7"/>
    <w:rsid w:val="40F0013F"/>
    <w:rsid w:val="416F4A8C"/>
    <w:rsid w:val="4171089B"/>
    <w:rsid w:val="42E95B58"/>
    <w:rsid w:val="43D9445E"/>
    <w:rsid w:val="44F06DD9"/>
    <w:rsid w:val="46F55EAD"/>
    <w:rsid w:val="485E2584"/>
    <w:rsid w:val="4B272E10"/>
    <w:rsid w:val="4F672375"/>
    <w:rsid w:val="4F6E6165"/>
    <w:rsid w:val="506653C0"/>
    <w:rsid w:val="512917E8"/>
    <w:rsid w:val="51664890"/>
    <w:rsid w:val="525C7467"/>
    <w:rsid w:val="54B4145C"/>
    <w:rsid w:val="56707D61"/>
    <w:rsid w:val="568F5F28"/>
    <w:rsid w:val="5AB4212D"/>
    <w:rsid w:val="5DBF3E87"/>
    <w:rsid w:val="5F41673E"/>
    <w:rsid w:val="603D6B9E"/>
    <w:rsid w:val="61D83452"/>
    <w:rsid w:val="62D94D3F"/>
    <w:rsid w:val="64DC67CC"/>
    <w:rsid w:val="65F15D01"/>
    <w:rsid w:val="696708A9"/>
    <w:rsid w:val="6BDA7CFF"/>
    <w:rsid w:val="776A0748"/>
    <w:rsid w:val="7CF3540E"/>
    <w:rsid w:val="7E725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character" w:customStyle="1" w:styleId="10">
    <w:name w:val="17"/>
    <w:basedOn w:val="6"/>
    <w:qFormat/>
    <w:uiPriority w:val="0"/>
    <w:rPr>
      <w:rFonts w:hint="default" w:ascii="Times New Roman" w:hAnsi="Times New Roman" w:cs="Times New Roman"/>
      <w:b/>
    </w:rPr>
  </w:style>
  <w:style w:type="character" w:customStyle="1" w:styleId="11">
    <w:name w:val="15"/>
    <w:basedOn w:val="6"/>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1448</Words>
  <Characters>8256</Characters>
  <Lines>68</Lines>
  <Paragraphs>19</Paragraphs>
  <TotalTime>8</TotalTime>
  <ScaleCrop>false</ScaleCrop>
  <LinksUpToDate>false</LinksUpToDate>
  <CharactersWithSpaces>9685</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2023-10-11T08:08:00Z</dcterms:created>
  <dc:creator>AutoBV</dc:creator>
  <cp:lastModifiedBy>四十四</cp:lastModifiedBy>
  <dcterms:modified xsi:type="dcterms:W3CDTF">2023-10-26T06:36:05Z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68239108306A42629480847724EB706C_13</vt:lpwstr>
  </property>
</Properties>
</file>