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880" w:firstLineChars="200"/>
        <w:jc w:val="both"/>
        <w:textAlignment w:val="auto"/>
        <w:rPr>
          <w:rFonts w:ascii="方正小标宋_GBK" w:eastAsia="方正小标宋_GBK"/>
          <w:b w:val="0"/>
          <w:bCs w:val="0"/>
          <w:sz w:val="44"/>
          <w:szCs w:val="44"/>
        </w:rPr>
      </w:pPr>
      <w:bookmarkStart w:id="0" w:name="_GoBack"/>
      <w:r>
        <w:rPr>
          <w:rStyle w:val="8"/>
          <w:rFonts w:hint="eastAsia" w:ascii="方正小标宋_GBK" w:eastAsia="方正小标宋_GBK"/>
          <w:b w:val="0"/>
          <w:bCs w:val="0"/>
          <w:sz w:val="44"/>
          <w:szCs w:val="44"/>
        </w:rPr>
        <w:t>重庆市铜梁区交通局</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880" w:firstLineChars="200"/>
        <w:jc w:val="both"/>
        <w:textAlignment w:val="auto"/>
        <w:rPr>
          <w:rFonts w:ascii="方正小标宋_GBK" w:eastAsia="方正小标宋_GBK"/>
          <w:b w:val="0"/>
          <w:bCs w:val="0"/>
          <w:sz w:val="44"/>
          <w:szCs w:val="44"/>
        </w:rPr>
      </w:pPr>
      <w:r>
        <w:rPr>
          <w:rStyle w:val="8"/>
          <w:rFonts w:hint="eastAsia" w:ascii="方正小标宋_GBK" w:eastAsia="方正小标宋_GBK"/>
          <w:b w:val="0"/>
          <w:bCs w:val="0"/>
          <w:sz w:val="44"/>
          <w:szCs w:val="44"/>
        </w:rPr>
        <w:t>2022年度部门决算情况说明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Style w:val="8"/>
          <w:rFonts w:ascii="方正黑体_GBK" w:eastAsia="方正黑体_GBK"/>
          <w:sz w:val="32"/>
          <w:szCs w:val="32"/>
        </w:rPr>
      </w:pP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ascii="方正黑体_GBK" w:eastAsia="方正黑体_GBK"/>
          <w:sz w:val="32"/>
          <w:szCs w:val="32"/>
        </w:rPr>
      </w:pPr>
      <w:r>
        <w:rPr>
          <w:rStyle w:val="8"/>
          <w:rFonts w:hint="eastAsia" w:ascii="方正黑体_GBK" w:eastAsia="方正黑体_GBK"/>
          <w:sz w:val="32"/>
          <w:szCs w:val="32"/>
        </w:rPr>
        <w:t>一、部门基本情况</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楷体_GBK" w:eastAsia="方正楷体_GBK"/>
          <w:b/>
          <w:sz w:val="32"/>
          <w:szCs w:val="32"/>
        </w:rPr>
      </w:pPr>
      <w:r>
        <w:rPr>
          <w:rStyle w:val="8"/>
          <w:rFonts w:hint="eastAsia" w:ascii="方正楷体_GBK" w:eastAsia="方正楷体_GBK"/>
          <w:b w:val="0"/>
          <w:sz w:val="32"/>
          <w:szCs w:val="32"/>
        </w:rPr>
        <w:t>（一）职能职责</w:t>
      </w:r>
    </w:p>
    <w:p>
      <w:pPr>
        <w:keepNext w:val="0"/>
        <w:keepLines w:val="0"/>
        <w:pageBreakBefore w:val="0"/>
        <w:widowControl/>
        <w:kinsoku/>
        <w:wordWrap/>
        <w:overflowPunct/>
        <w:topLinePunct w:val="0"/>
        <w:autoSpaceDE/>
        <w:bidi w:val="0"/>
        <w:adjustRightInd/>
        <w:snapToGrid/>
        <w:spacing w:line="560" w:lineRule="exact"/>
        <w:ind w:firstLine="640" w:firstLineChars="200"/>
        <w:jc w:val="both"/>
        <w:textAlignment w:val="auto"/>
        <w:rPr>
          <w:rFonts w:ascii="方正仿宋_GBK" w:hAnsi="方正仿宋_GBK" w:eastAsia="方正仿宋_GBK" w:cs="方正仿宋_GBK"/>
          <w:bCs/>
          <w:sz w:val="32"/>
          <w:szCs w:val="32"/>
        </w:rPr>
      </w:pPr>
      <w:r>
        <w:rPr>
          <w:rFonts w:hint="eastAsia" w:ascii="方正仿宋_GBK" w:eastAsia="方正仿宋_GBK"/>
          <w:sz w:val="32"/>
          <w:szCs w:val="32"/>
          <w:shd w:val="clear" w:color="auto" w:fill="FFFFFF"/>
        </w:rPr>
        <w:t>主要职能是：</w:t>
      </w:r>
      <w:r>
        <w:rPr>
          <w:rFonts w:hint="eastAsia" w:ascii="方正仿宋_GBK" w:hAnsi="仿宋_GB2312" w:eastAsia="方正仿宋_GBK" w:cs="仿宋_GB2312"/>
          <w:sz w:val="32"/>
        </w:rPr>
        <w:t>拟订全区综合交通发展战备，负责组织编制全区公路发展和建设规划；负责全区交通基础设施建设和交通重点项目建设；负责平衡全区交通运力，构建全区综合交通运输体系；负责全区道路运输、水上运输、公路养护等行业管理工作；负责</w:t>
      </w:r>
      <w:r>
        <w:rPr>
          <w:rFonts w:hint="eastAsia" w:ascii="方正仿宋_GBK" w:hAnsi="方正仿宋_GBK" w:eastAsia="方正仿宋_GBK" w:cs="方正仿宋_GBK"/>
          <w:bCs/>
          <w:sz w:val="32"/>
          <w:szCs w:val="32"/>
        </w:rPr>
        <w:t>公路路政、道路运政、水路运政、地方港口码头、地方海事行政、公路超限超载的执法工作；负责公路、水运等交通建设工程质量和安全生产监督管理的执法工作；负责全区</w:t>
      </w:r>
      <w:r>
        <w:rPr>
          <w:rFonts w:hint="eastAsia" w:ascii="方正仿宋_GBK" w:hAnsi="华文仿宋" w:eastAsia="方正仿宋_GBK"/>
          <w:sz w:val="32"/>
          <w:szCs w:val="32"/>
        </w:rPr>
        <w:t>路网运行、道路运输、水路运输等交通行业运行状况监测及交通行业数据收集、分析、统计工作。</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ascii="方正楷体_GBK" w:eastAsia="方正楷体_GBK"/>
          <w:b w:val="0"/>
        </w:rPr>
      </w:pPr>
      <w:r>
        <w:rPr>
          <w:rStyle w:val="8"/>
          <w:rFonts w:hint="eastAsia" w:ascii="方正楷体_GBK" w:eastAsia="方正楷体_GBK"/>
          <w:b w:val="0"/>
          <w:sz w:val="32"/>
          <w:szCs w:val="32"/>
        </w:rPr>
        <w:t>（二）机构设置</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pPr>
      <w:r>
        <w:rPr>
          <w:rFonts w:hint="eastAsia" w:ascii="方正仿宋_GBK" w:hAnsi="仿宋_GB2312" w:eastAsia="方正仿宋_GBK" w:cs="仿宋_GB2312"/>
          <w:sz w:val="32"/>
        </w:rPr>
        <w:t>交通局单位内设7个机构科室，分别是办公室、财务科、综合运输科、法制安全科、行政审批科、综合规划科（铁路民航办）、建设管理科。下属5个二级预算单位，分别是重庆市铜梁区交通运输综合行政执法支队、重庆市铜梁区交通运输事务中心、重庆市铜梁区交通工程质量安全事务中心、重庆市铜梁区公路事务中心、重庆市铜梁区交通运行监测和应急调度中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楷体_GBK" w:eastAsia="方正楷体_GBK"/>
          <w:b/>
          <w:sz w:val="32"/>
          <w:szCs w:val="32"/>
        </w:rPr>
      </w:pPr>
      <w:r>
        <w:rPr>
          <w:rStyle w:val="8"/>
          <w:rFonts w:hint="eastAsia" w:ascii="方正楷体_GBK" w:eastAsia="方正楷体_GBK"/>
          <w:b w:val="0"/>
          <w:sz w:val="32"/>
          <w:szCs w:val="32"/>
        </w:rPr>
        <w:t>（三）单位构成</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pPr>
      <w:r>
        <w:rPr>
          <w:rFonts w:hint="eastAsia" w:ascii="方正仿宋_GBK" w:hAnsi="仿宋_GB2312" w:eastAsia="方正仿宋_GBK" w:cs="仿宋_GB2312"/>
          <w:sz w:val="32"/>
        </w:rPr>
        <w:t>从预算单位构成看，纳入本部门2022年度决算编制的二级预算单位分别是重庆市铜梁区交通运输综合行政执法支队、重庆市铜梁区交通运输事务中心、重庆市铜梁区交通工程质量安全事务中心、重庆市铜梁区公路事务中心、重庆市铜梁区交通运行监测和应急调度中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ascii="方正黑体_GBK" w:eastAsia="方正黑体_GBK"/>
          <w:sz w:val="32"/>
          <w:szCs w:val="32"/>
        </w:rPr>
      </w:pPr>
      <w:r>
        <w:rPr>
          <w:rStyle w:val="8"/>
          <w:rFonts w:hint="eastAsia" w:ascii="方正黑体_GBK" w:eastAsia="方正黑体_GBK"/>
          <w:sz w:val="32"/>
          <w:szCs w:val="32"/>
        </w:rPr>
        <w:t>二、部门决算情况说明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楷体_GBK" w:eastAsia="方正楷体_GBK"/>
          <w:b/>
          <w:sz w:val="32"/>
          <w:szCs w:val="32"/>
        </w:rPr>
      </w:pPr>
      <w:r>
        <w:rPr>
          <w:rStyle w:val="8"/>
          <w:rFonts w:hint="eastAsia" w:ascii="方正楷体_GBK" w:eastAsia="方正楷体_GBK"/>
          <w:b w:val="0"/>
          <w:sz w:val="32"/>
          <w:szCs w:val="32"/>
        </w:rPr>
        <w:t>（一）收入支出决算总体情况说明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仿宋_GBK" w:eastAsia="方正仿宋_GBK"/>
          <w:b w:val="0"/>
          <w:sz w:val="32"/>
          <w:szCs w:val="32"/>
        </w:rPr>
        <w:t>1.总体情况</w:t>
      </w:r>
      <w:r>
        <w:rPr>
          <w:rStyle w:val="8"/>
          <w:rFonts w:hint="eastAsia" w:ascii="方正仿宋_GBK" w:eastAsia="方正仿宋_GBK"/>
          <w:sz w:val="32"/>
          <w:szCs w:val="32"/>
        </w:rPr>
        <w:t>。</w:t>
      </w:r>
      <w:r>
        <w:rPr>
          <w:rFonts w:hint="eastAsia" w:ascii="方正仿宋_GBK" w:eastAsia="方正仿宋_GBK"/>
          <w:sz w:val="32"/>
          <w:szCs w:val="32"/>
        </w:rPr>
        <w:t>2022年度收入总计65,675.58万元，支出总计65,675.58万元。收支较上年决算数增加35,504.01万元,增长117.7%，</w:t>
      </w:r>
      <w:r>
        <w:rPr>
          <w:rFonts w:hint="eastAsia" w:ascii="方正仿宋_GBK" w:hAnsi="仿宋" w:eastAsia="方正仿宋_GBK" w:cs="仿宋"/>
          <w:color w:val="000000"/>
          <w:sz w:val="32"/>
          <w:szCs w:val="32"/>
        </w:rPr>
        <w:t>主要原因一是基础设施项目资金增加。二是增加铜安、渝遂复线高速公路项目征地拆迁执行新政策资金27262.75万元。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ascii="方正仿宋_GBK" w:eastAsia="方正仿宋_GBK"/>
          <w:sz w:val="32"/>
          <w:szCs w:val="32"/>
        </w:rPr>
      </w:pPr>
      <w:r>
        <w:rPr>
          <w:rStyle w:val="8"/>
          <w:rFonts w:hint="eastAsia" w:ascii="方正仿宋_GBK" w:eastAsia="方正仿宋_GBK"/>
          <w:sz w:val="32"/>
          <w:szCs w:val="32"/>
        </w:rPr>
        <w:t>2.收入情况。</w:t>
      </w:r>
      <w:r>
        <w:rPr>
          <w:rFonts w:hint="eastAsia" w:ascii="方正仿宋_GBK" w:eastAsia="方正仿宋_GBK"/>
          <w:sz w:val="32"/>
          <w:szCs w:val="32"/>
        </w:rPr>
        <w:t>2022年度收入合计65,570.47万元，较上年决算数增加35,982.48万元，增长121.6%，</w:t>
      </w:r>
      <w:r>
        <w:rPr>
          <w:rFonts w:hint="eastAsia" w:ascii="方正仿宋_GBK" w:hAnsi="仿宋" w:eastAsia="方正仿宋_GBK" w:cs="仿宋"/>
          <w:color w:val="000000"/>
          <w:sz w:val="32"/>
          <w:szCs w:val="32"/>
        </w:rPr>
        <w:t>主要原因一是基础设施项目资金增加。二是增加铜安、渝遂复线高速公路项目征地拆迁执行新政策资金27262.75万元。</w:t>
      </w:r>
      <w:r>
        <w:rPr>
          <w:rFonts w:hint="eastAsia" w:ascii="方正仿宋_GBK" w:eastAsia="方正仿宋_GBK"/>
          <w:sz w:val="32"/>
          <w:szCs w:val="32"/>
        </w:rPr>
        <w:t>其中：财政拨款收入65,570.47万元，占100%；年初结转和结余105.11万元。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仿宋_GBK" w:eastAsia="方正仿宋_GBK"/>
          <w:b w:val="0"/>
          <w:sz w:val="32"/>
          <w:szCs w:val="32"/>
        </w:rPr>
        <w:t>3.支出情况</w:t>
      </w:r>
      <w:r>
        <w:rPr>
          <w:rStyle w:val="8"/>
          <w:rFonts w:hint="eastAsia" w:ascii="方正仿宋_GBK" w:eastAsia="方正仿宋_GBK"/>
          <w:sz w:val="32"/>
          <w:szCs w:val="32"/>
        </w:rPr>
        <w:t>。</w:t>
      </w:r>
      <w:r>
        <w:rPr>
          <w:rFonts w:hint="eastAsia" w:ascii="方正仿宋_GBK" w:eastAsia="方正仿宋_GBK"/>
          <w:sz w:val="32"/>
          <w:szCs w:val="32"/>
        </w:rPr>
        <w:t>2022年度支出合计65,591.75万元，较上年决算增加35,525.29万元，增长118.2%，</w:t>
      </w:r>
      <w:r>
        <w:rPr>
          <w:rFonts w:hint="eastAsia" w:ascii="方正仿宋_GBK" w:hAnsi="仿宋" w:eastAsia="方正仿宋_GBK" w:cs="仿宋"/>
          <w:color w:val="000000"/>
          <w:sz w:val="32"/>
          <w:szCs w:val="32"/>
        </w:rPr>
        <w:t>主要原因一是基础设施项目资金增加。二是增加铜安、渝遂复线高速公路项目征地拆迁执行新政策资金27262.75万元。</w:t>
      </w:r>
      <w:r>
        <w:rPr>
          <w:rFonts w:hint="eastAsia" w:ascii="方正仿宋_GBK" w:eastAsia="方正仿宋_GBK"/>
          <w:sz w:val="32"/>
          <w:szCs w:val="32"/>
        </w:rPr>
        <w:t>其中：基本支出3,982.39万元，占6.1%；项目支出61,609.36万元，占93.9%。</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仿宋_GBK" w:eastAsia="方正仿宋_GBK"/>
          <w:b w:val="0"/>
          <w:sz w:val="32"/>
          <w:szCs w:val="32"/>
        </w:rPr>
        <w:t>4.结转结余情况。</w:t>
      </w:r>
      <w:r>
        <w:rPr>
          <w:rFonts w:hint="eastAsia" w:ascii="方正仿宋_GBK" w:eastAsia="方正仿宋_GBK"/>
          <w:sz w:val="32"/>
          <w:szCs w:val="32"/>
        </w:rPr>
        <w:t>2022年度年末结转和结余83.83万元，较上年决算数减少21.28万元，下降20.2%，</w:t>
      </w:r>
      <w:r>
        <w:rPr>
          <w:rFonts w:hint="eastAsia" w:ascii="方正仿宋_GBK" w:hAnsi="仿宋" w:eastAsia="方正仿宋_GBK" w:cs="仿宋"/>
          <w:color w:val="000000"/>
          <w:sz w:val="32"/>
          <w:szCs w:val="32"/>
        </w:rPr>
        <w:t>主要原因是年末结转和结余为项目资金结转结余，2022年使用年末结转结余支付相关项目资金21.28万元。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（二）财政拨款收入支出决算总体情况说明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ascii="方正仿宋_GBK" w:eastAsia="方正仿宋_GBK"/>
          <w:sz w:val="32"/>
          <w:szCs w:val="32"/>
        </w:rPr>
        <w:t>2022年度财政拨款收、支总计65,577.31万元。与2021年相比，财政拨款收、支总计各增加35,505.13万元，增长118.1%。</w:t>
      </w:r>
      <w:r>
        <w:rPr>
          <w:rFonts w:hint="eastAsia" w:ascii="方正仿宋_GBK" w:eastAsia="方正仿宋_GBK"/>
          <w:sz w:val="32"/>
          <w:szCs w:val="32"/>
        </w:rPr>
        <w:t>主要原因一是基础设施项目资金增加。二是增加铜安、渝遂复线高速公路项目征地拆迁执行新政策资金</w:t>
      </w:r>
      <w:r>
        <w:rPr>
          <w:rFonts w:hint="eastAsia" w:ascii="方正仿宋_GBK" w:hAnsi="仿宋" w:eastAsia="方正仿宋_GBK" w:cs="仿宋"/>
          <w:color w:val="000000"/>
          <w:sz w:val="32"/>
          <w:szCs w:val="32"/>
        </w:rPr>
        <w:t>27262.75</w:t>
      </w:r>
      <w:r>
        <w:rPr>
          <w:rFonts w:hint="eastAsia" w:ascii="方正仿宋_GBK" w:eastAsia="方正仿宋_GBK"/>
          <w:sz w:val="32"/>
          <w:szCs w:val="32"/>
        </w:rPr>
        <w:t>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（三）一般公共预算财政拨款收入支出决算情况说明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ascii="方正仿宋_GBK" w:eastAsia="方正仿宋_GBK"/>
          <w:bCs/>
          <w:sz w:val="32"/>
          <w:szCs w:val="32"/>
        </w:rPr>
        <w:t>1.收入情况。</w:t>
      </w:r>
      <w:r>
        <w:rPr>
          <w:rFonts w:ascii="方正仿宋_GBK" w:eastAsia="方正仿宋_GBK"/>
          <w:sz w:val="32"/>
          <w:szCs w:val="32"/>
        </w:rPr>
        <w:t>2022年度一般公共预算财政拨款收入38,307.72万元，较上年决算数增加16,660.21万元，增长77%。主要原因是</w:t>
      </w:r>
      <w:r>
        <w:rPr>
          <w:rFonts w:hint="eastAsia" w:ascii="方正仿宋_GBK" w:eastAsia="方正仿宋_GBK"/>
          <w:sz w:val="32"/>
          <w:szCs w:val="32"/>
        </w:rPr>
        <w:t>基础设施项目资金增加；</w:t>
      </w:r>
      <w:r>
        <w:rPr>
          <w:rFonts w:ascii="方正仿宋_GBK" w:eastAsia="方正仿宋_GBK"/>
          <w:sz w:val="32"/>
          <w:szCs w:val="32"/>
        </w:rPr>
        <w:t>较年初预算数减少9,420.64万元，下降19.7%。主要原因是</w:t>
      </w:r>
      <w:r>
        <w:rPr>
          <w:rFonts w:hint="eastAsia" w:ascii="方正仿宋_GBK" w:eastAsia="方正仿宋_GBK"/>
          <w:sz w:val="32"/>
          <w:szCs w:val="32"/>
        </w:rPr>
        <w:t>工程部分项目进度未达到支付节点，年末未能完成支付。</w:t>
      </w:r>
      <w:r>
        <w:rPr>
          <w:rFonts w:ascii="方正仿宋_GBK" w:eastAsia="方正仿宋_GBK"/>
          <w:sz w:val="32"/>
          <w:szCs w:val="32"/>
        </w:rPr>
        <w:t>此外，年初财政拨款结转和结余6.83万元。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ascii="方正仿宋_GBK" w:eastAsia="方正仿宋_GBK"/>
          <w:sz w:val="32"/>
          <w:szCs w:val="32"/>
        </w:rPr>
        <w:t>2.支出情况。</w:t>
      </w:r>
      <w:r>
        <w:rPr>
          <w:rFonts w:ascii="方正仿宋_GBK" w:eastAsia="方正仿宋_GBK"/>
          <w:bCs/>
          <w:sz w:val="32"/>
          <w:szCs w:val="32"/>
        </w:rPr>
        <w:t>2022年度一般公共预算财政拨款支出38,311.00万元，较上年决算数增加16,324.15万元，增长74.2%。主要原因</w:t>
      </w:r>
      <w:r>
        <w:rPr>
          <w:rFonts w:hint="eastAsia" w:ascii="方正仿宋_GBK" w:eastAsia="方正仿宋_GBK"/>
          <w:bCs/>
          <w:sz w:val="32"/>
          <w:szCs w:val="32"/>
        </w:rPr>
        <w:t>是</w:t>
      </w:r>
      <w:r>
        <w:rPr>
          <w:rFonts w:hint="eastAsia" w:ascii="方正仿宋_GBK" w:eastAsia="方正仿宋_GBK"/>
          <w:sz w:val="32"/>
          <w:szCs w:val="32"/>
        </w:rPr>
        <w:t>基础设施项目资金增加；</w:t>
      </w:r>
      <w:r>
        <w:rPr>
          <w:rFonts w:ascii="方正仿宋_GBK" w:eastAsia="方正仿宋_GBK"/>
          <w:bCs/>
          <w:sz w:val="32"/>
          <w:szCs w:val="32"/>
        </w:rPr>
        <w:t>较年初预算数减少9,417.36万元，下降19.7%。</w:t>
      </w:r>
      <w:r>
        <w:rPr>
          <w:rFonts w:ascii="方正仿宋_GBK" w:eastAsia="方正仿宋_GBK"/>
          <w:sz w:val="32"/>
          <w:szCs w:val="32"/>
        </w:rPr>
        <w:t>主要原因是</w:t>
      </w:r>
      <w:r>
        <w:rPr>
          <w:rFonts w:hint="eastAsia" w:ascii="方正仿宋_GBK" w:eastAsia="方正仿宋_GBK"/>
          <w:sz w:val="32"/>
          <w:szCs w:val="32"/>
        </w:rPr>
        <w:t>工程部分项目进度未达到支付节点，年末未能完成支付。</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sz w:val="32"/>
          <w:szCs w:val="32"/>
        </w:rPr>
        <w:t>3.结转结余情况。</w:t>
      </w:r>
      <w:r>
        <w:rPr>
          <w:rFonts w:ascii="方正仿宋_GBK" w:eastAsia="方正仿宋_GBK"/>
          <w:bCs/>
          <w:sz w:val="32"/>
          <w:szCs w:val="32"/>
        </w:rPr>
        <w:t>2022年度年末一般公共预算财政拨款结转和结余3.56万元，较上年决算数减少3.27万元，下降47.9%，</w:t>
      </w:r>
      <w:r>
        <w:rPr>
          <w:rFonts w:hint="eastAsia" w:ascii="方正仿宋_GBK" w:eastAsia="方正仿宋_GBK"/>
          <w:bCs/>
          <w:sz w:val="32"/>
          <w:szCs w:val="32"/>
        </w:rPr>
        <w:t>主要原因是</w:t>
      </w:r>
      <w:r>
        <w:rPr>
          <w:rFonts w:hint="eastAsia" w:ascii="方正仿宋_GBK" w:eastAsia="方正仿宋_GBK"/>
          <w:sz w:val="32"/>
          <w:szCs w:val="32"/>
        </w:rPr>
        <w:t>2022年支付上年结转和结余资金3.27万元。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ascii="方正仿宋_GBK" w:eastAsia="方正仿宋_GBK"/>
          <w:bCs/>
          <w:sz w:val="32"/>
          <w:szCs w:val="32"/>
        </w:rPr>
        <w:t>4.比较情况</w:t>
      </w:r>
      <w:r>
        <w:rPr>
          <w:rFonts w:ascii="方正仿宋_GBK" w:eastAsia="方正仿宋_GBK"/>
          <w:b/>
          <w:bCs/>
          <w:sz w:val="32"/>
          <w:szCs w:val="32"/>
        </w:rPr>
        <w:t>。</w:t>
      </w:r>
      <w:r>
        <w:rPr>
          <w:rFonts w:ascii="方正仿宋_GBK" w:eastAsia="方正仿宋_GBK"/>
          <w:sz w:val="32"/>
          <w:szCs w:val="32"/>
        </w:rPr>
        <w:t>本部门2022年度一般公共预算财政拨款支出主要用于以下几个方面：</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（1）一般公共服务支出2.00万元，占0%，较年初预算数增加2.00万元，增长</w:t>
      </w:r>
      <w:r>
        <w:rPr>
          <w:rFonts w:hint="eastAsia" w:ascii="方正仿宋_GBK" w:eastAsia="方正仿宋_GBK"/>
          <w:bCs/>
          <w:sz w:val="32"/>
          <w:szCs w:val="32"/>
        </w:rPr>
        <w:t>0</w:t>
      </w:r>
      <w:r>
        <w:rPr>
          <w:rFonts w:ascii="方正仿宋_GBK" w:eastAsia="方正仿宋_GBK"/>
          <w:bCs/>
          <w:sz w:val="32"/>
          <w:szCs w:val="32"/>
        </w:rPr>
        <w:t>%，主要原因是</w:t>
      </w:r>
      <w:r>
        <w:rPr>
          <w:rFonts w:hint="eastAsia" w:ascii="方正仿宋_GBK" w:eastAsia="方正仿宋_GBK"/>
          <w:bCs/>
          <w:sz w:val="32"/>
          <w:szCs w:val="32"/>
        </w:rPr>
        <w:t>我部门下属事业单位铜梁区交通运输事务中心增加一般公共服务支出2.00万元。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sz w:val="32"/>
          <w:szCs w:val="32"/>
        </w:rPr>
        <w:t>（</w:t>
      </w:r>
      <w:r>
        <w:rPr>
          <w:rFonts w:hint="eastAsia" w:ascii="方正仿宋_GBK" w:eastAsia="方正仿宋_GBK"/>
          <w:sz w:val="32"/>
          <w:szCs w:val="32"/>
        </w:rPr>
        <w:t>2</w:t>
      </w:r>
      <w:r>
        <w:rPr>
          <w:rFonts w:ascii="方正仿宋_GBK" w:eastAsia="方正仿宋_GBK"/>
          <w:sz w:val="32"/>
          <w:szCs w:val="32"/>
        </w:rPr>
        <w:t>）国防支出2.67万元，占0%，较年初预算数减少2.33万元，下降46.6%，</w:t>
      </w:r>
      <w:r>
        <w:rPr>
          <w:rFonts w:hint="eastAsia" w:ascii="方正仿宋_GBK" w:eastAsia="方正仿宋_GBK"/>
          <w:sz w:val="32"/>
          <w:szCs w:val="32"/>
        </w:rPr>
        <w:t>主要原因是近两年因疫情演练减少，培训减少。</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w:t>
      </w:r>
      <w:r>
        <w:rPr>
          <w:rFonts w:hint="eastAsia" w:ascii="方正仿宋_GBK" w:eastAsia="方正仿宋_GBK"/>
          <w:bCs/>
          <w:sz w:val="32"/>
          <w:szCs w:val="32"/>
        </w:rPr>
        <w:t>3</w:t>
      </w:r>
      <w:r>
        <w:rPr>
          <w:rFonts w:ascii="方正仿宋_GBK" w:eastAsia="方正仿宋_GBK"/>
          <w:bCs/>
          <w:sz w:val="32"/>
          <w:szCs w:val="32"/>
        </w:rPr>
        <w:t>）社会保障与就业支出1,040.15万元，占2.7%，较年初预算数增加58.96万元，增长6%，主要原因</w:t>
      </w:r>
      <w:r>
        <w:rPr>
          <w:rFonts w:hint="eastAsia" w:ascii="方正仿宋_GBK" w:eastAsia="方正仿宋_GBK"/>
          <w:bCs/>
          <w:sz w:val="32"/>
          <w:szCs w:val="32"/>
        </w:rPr>
        <w:t>一是</w:t>
      </w:r>
      <w:r>
        <w:rPr>
          <w:rFonts w:hint="eastAsia" w:ascii="方正仿宋_GBK" w:hAnsi="仿宋_GB2312" w:eastAsia="方正仿宋_GBK" w:cs="仿宋_GB2312"/>
          <w:sz w:val="32"/>
        </w:rPr>
        <w:t>重庆市铜梁区交通运行监测和应急调度中心增加人员2名，二</w:t>
      </w:r>
      <w:r>
        <w:rPr>
          <w:rFonts w:hint="eastAsia" w:ascii="方正仿宋_GBK" w:eastAsia="方正仿宋_GBK"/>
          <w:bCs/>
          <w:sz w:val="32"/>
          <w:szCs w:val="32"/>
        </w:rPr>
        <w:t>是五险一金基数增加，各类保险支出增加。</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w:t>
      </w:r>
      <w:r>
        <w:rPr>
          <w:rFonts w:hint="eastAsia" w:ascii="方正仿宋_GBK" w:eastAsia="方正仿宋_GBK"/>
          <w:bCs/>
          <w:sz w:val="32"/>
          <w:szCs w:val="32"/>
        </w:rPr>
        <w:t>4</w:t>
      </w:r>
      <w:r>
        <w:rPr>
          <w:rFonts w:ascii="方正仿宋_GBK" w:eastAsia="方正仿宋_GBK"/>
          <w:bCs/>
          <w:sz w:val="32"/>
          <w:szCs w:val="32"/>
        </w:rPr>
        <w:t>）卫生健康支出107.43万元，占0.3%，较年初预算数减少63.20万元，下降37%，主要原因是</w:t>
      </w:r>
      <w:r>
        <w:rPr>
          <w:rFonts w:hint="eastAsia" w:ascii="方正仿宋_GBK" w:eastAsia="方正仿宋_GBK"/>
          <w:bCs/>
          <w:sz w:val="32"/>
          <w:szCs w:val="32"/>
        </w:rPr>
        <w:t>2022年在职公务员医疗补助及退休人员公务员医疗补助未支付。</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w:t>
      </w:r>
      <w:r>
        <w:rPr>
          <w:rFonts w:hint="eastAsia" w:ascii="方正仿宋_GBK" w:eastAsia="方正仿宋_GBK"/>
          <w:bCs/>
          <w:sz w:val="32"/>
          <w:szCs w:val="32"/>
        </w:rPr>
        <w:t>5</w:t>
      </w:r>
      <w:r>
        <w:rPr>
          <w:rFonts w:ascii="方正仿宋_GBK" w:eastAsia="方正仿宋_GBK"/>
          <w:bCs/>
          <w:sz w:val="32"/>
          <w:szCs w:val="32"/>
        </w:rPr>
        <w:t>）城乡社区支出0.00万元，占0%，较年初预算数减少4,286.50万元，下降100%，</w:t>
      </w:r>
      <w:r>
        <w:rPr>
          <w:rFonts w:hint="eastAsia" w:ascii="方正仿宋_GBK" w:eastAsia="方正仿宋_GBK"/>
          <w:bCs/>
          <w:sz w:val="32"/>
          <w:szCs w:val="32"/>
        </w:rPr>
        <w:t>主要原因是年中调整项目预算。</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w:t>
      </w:r>
      <w:r>
        <w:rPr>
          <w:rFonts w:hint="eastAsia" w:ascii="方正仿宋_GBK" w:eastAsia="方正仿宋_GBK"/>
          <w:bCs/>
          <w:sz w:val="32"/>
          <w:szCs w:val="32"/>
        </w:rPr>
        <w:t>6</w:t>
      </w:r>
      <w:r>
        <w:rPr>
          <w:rFonts w:ascii="方正仿宋_GBK" w:eastAsia="方正仿宋_GBK"/>
          <w:bCs/>
          <w:sz w:val="32"/>
          <w:szCs w:val="32"/>
        </w:rPr>
        <w:t>）农林水支出4,013.99万元，占10.5%，较年初预算数增加3,844.33万元，增长2265.9%，</w:t>
      </w:r>
      <w:r>
        <w:rPr>
          <w:rFonts w:hint="eastAsia" w:ascii="方正仿宋_GBK" w:eastAsia="方正仿宋_GBK"/>
          <w:bCs/>
          <w:sz w:val="32"/>
          <w:szCs w:val="32"/>
        </w:rPr>
        <w:t>主要原因是年中调整项目预算。</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w:t>
      </w:r>
      <w:r>
        <w:rPr>
          <w:rFonts w:hint="eastAsia" w:ascii="方正仿宋_GBK" w:eastAsia="方正仿宋_GBK"/>
          <w:bCs/>
          <w:sz w:val="32"/>
          <w:szCs w:val="32"/>
        </w:rPr>
        <w:t>7</w:t>
      </w:r>
      <w:r>
        <w:rPr>
          <w:rFonts w:ascii="方正仿宋_GBK" w:eastAsia="方正仿宋_GBK"/>
          <w:bCs/>
          <w:sz w:val="32"/>
          <w:szCs w:val="32"/>
        </w:rPr>
        <w:t>）交通运输支出33,016.66万元，占86.2%，较年初预算数减少8,973.01万元，下降21.4%，</w:t>
      </w:r>
      <w:r>
        <w:rPr>
          <w:rFonts w:hint="eastAsia" w:ascii="方正仿宋_GBK" w:eastAsia="方正仿宋_GBK"/>
          <w:bCs/>
          <w:sz w:val="32"/>
          <w:szCs w:val="32"/>
        </w:rPr>
        <w:t>主要原因是年中调整项目预算。</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bCs/>
          <w:sz w:val="32"/>
          <w:szCs w:val="32"/>
        </w:rPr>
      </w:pPr>
      <w:r>
        <w:rPr>
          <w:rFonts w:ascii="方正仿宋_GBK" w:eastAsia="方正仿宋_GBK"/>
          <w:bCs/>
          <w:sz w:val="32"/>
          <w:szCs w:val="32"/>
        </w:rPr>
        <w:t>（</w:t>
      </w:r>
      <w:r>
        <w:rPr>
          <w:rFonts w:hint="eastAsia" w:ascii="方正仿宋_GBK" w:eastAsia="方正仿宋_GBK"/>
          <w:bCs/>
          <w:sz w:val="32"/>
          <w:szCs w:val="32"/>
        </w:rPr>
        <w:t>8</w:t>
      </w:r>
      <w:r>
        <w:rPr>
          <w:rFonts w:ascii="方正仿宋_GBK" w:eastAsia="方正仿宋_GBK"/>
          <w:bCs/>
          <w:sz w:val="32"/>
          <w:szCs w:val="32"/>
        </w:rPr>
        <w:t>）住房保障支出128.10万元，占0.3%，较年初预算数增加2.39万元，增长1.9%，主要原因</w:t>
      </w:r>
      <w:r>
        <w:rPr>
          <w:rFonts w:hint="eastAsia" w:ascii="方正仿宋_GBK" w:eastAsia="方正仿宋_GBK"/>
          <w:bCs/>
          <w:sz w:val="32"/>
          <w:szCs w:val="32"/>
        </w:rPr>
        <w:t>一是</w:t>
      </w:r>
      <w:r>
        <w:rPr>
          <w:rFonts w:hint="eastAsia" w:ascii="方正仿宋_GBK" w:hAnsi="仿宋_GB2312" w:eastAsia="方正仿宋_GBK" w:cs="仿宋_GB2312"/>
          <w:sz w:val="32"/>
        </w:rPr>
        <w:t>重庆市铜梁区交通运行监测和应急调度中心增加人员2名，二</w:t>
      </w:r>
      <w:r>
        <w:rPr>
          <w:rFonts w:hint="eastAsia" w:ascii="方正仿宋_GBK" w:eastAsia="方正仿宋_GBK"/>
          <w:bCs/>
          <w:sz w:val="32"/>
          <w:szCs w:val="32"/>
        </w:rPr>
        <w:t>是基数增加，住房公积金支出增加。</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楷体_GBK" w:eastAsia="方正楷体_GBK"/>
          <w:b/>
          <w:sz w:val="32"/>
          <w:szCs w:val="32"/>
        </w:rPr>
      </w:pPr>
      <w:r>
        <w:rPr>
          <w:rStyle w:val="8"/>
          <w:rFonts w:hint="eastAsia" w:ascii="方正楷体_GBK" w:eastAsia="方正楷体_GBK"/>
          <w:b w:val="0"/>
          <w:sz w:val="32"/>
          <w:szCs w:val="32"/>
        </w:rPr>
        <w:t>（四）一般公共预算财政拨款基本支出决算情况说明</w:t>
      </w:r>
    </w:p>
    <w:p>
      <w:pPr>
        <w:pStyle w:val="11"/>
        <w:keepNext w:val="0"/>
        <w:keepLines w:val="0"/>
        <w:pageBreakBefore w:val="0"/>
        <w:widowControl/>
        <w:shd w:val="clear" w:color="auto" w:fill="FFFFFF"/>
        <w:kinsoku/>
        <w:wordWrap/>
        <w:overflowPunct/>
        <w:topLinePunct w:val="0"/>
        <w:autoSpaceDE/>
        <w:autoSpaceDN w:val="0"/>
        <w:bidi w:val="0"/>
        <w:adjustRightInd/>
        <w:snapToGrid/>
        <w:spacing w:line="560" w:lineRule="exact"/>
        <w:ind w:firstLine="640" w:firstLineChars="200"/>
        <w:jc w:val="both"/>
        <w:textAlignment w:val="auto"/>
        <w:rPr>
          <w:rFonts w:ascii="方正仿宋_GBK" w:eastAsia="方正仿宋_GBK"/>
          <w:sz w:val="32"/>
          <w:szCs w:val="32"/>
          <w:shd w:val="clear" w:color="auto" w:fill="FFFFFF"/>
        </w:rPr>
      </w:pPr>
      <w:r>
        <w:rPr>
          <w:rFonts w:ascii="方正仿宋_GBK" w:eastAsia="方正仿宋_GBK"/>
          <w:bCs/>
          <w:sz w:val="32"/>
          <w:szCs w:val="32"/>
        </w:rPr>
        <w:t>2022年度一般公共预算财政拨款基本支出3,982.39万元。其中：人员经费3,331.39万元，较上年决算数减少401.55万元，下降10.8%，</w:t>
      </w:r>
      <w:r>
        <w:rPr>
          <w:rFonts w:hint="eastAsia" w:ascii="方正仿宋_GBK" w:eastAsia="方正仿宋_GBK"/>
          <w:bCs/>
          <w:sz w:val="32"/>
          <w:szCs w:val="32"/>
        </w:rPr>
        <w:t>主要原因是一是铜梁区交通工程质量安全事务中心退休1人，铜梁区公路事务中心退休6人；二是2021年度中纳入基本支出的企业三类人员困难补助及乡镇邮递员医疗补助2022年纳入项目支出。人员经费用途主要</w:t>
      </w:r>
      <w:r>
        <w:rPr>
          <w:rFonts w:hint="eastAsia" w:ascii="方正仿宋_GBK" w:hAnsi="方正仿宋_GBK" w:eastAsia="方正仿宋_GBK" w:cs="方正仿宋_GBK"/>
          <w:sz w:val="32"/>
          <w:szCs w:val="32"/>
        </w:rPr>
        <w:t>包括基本工资、津贴补贴、奖金、绩效工资、社会保障缴费、</w:t>
      </w:r>
      <w:r>
        <w:rPr>
          <w:rFonts w:hint="eastAsia" w:ascii="方正仿宋_GBK" w:eastAsia="方正仿宋_GBK"/>
          <w:sz w:val="32"/>
          <w:szCs w:val="32"/>
          <w:shd w:val="clear" w:color="auto" w:fill="FFFFFF"/>
        </w:rPr>
        <w:t>住房公积金、医疗费、抚恤金、生活补助等</w:t>
      </w:r>
      <w:r>
        <w:rPr>
          <w:rFonts w:ascii="方正仿宋_GBK" w:eastAsia="方正仿宋_GBK"/>
          <w:bCs/>
          <w:sz w:val="32"/>
          <w:szCs w:val="32"/>
        </w:rPr>
        <w:t>。公用经费651.00万元，较上年决算数减少188.35万元，下降22.4%，</w:t>
      </w:r>
      <w:r>
        <w:rPr>
          <w:rFonts w:hint="eastAsia" w:ascii="方正仿宋_GBK" w:eastAsia="方正仿宋_GBK"/>
          <w:sz w:val="32"/>
          <w:szCs w:val="32"/>
          <w:shd w:val="clear" w:color="auto" w:fill="FFFFFF"/>
        </w:rPr>
        <w:t>主要原因是办公费、培训费、会议费均减少</w:t>
      </w:r>
      <w:r>
        <w:rPr>
          <w:rFonts w:hint="eastAsia" w:ascii="方正仿宋_GBK" w:eastAsia="方正仿宋_GBK"/>
          <w:bCs/>
          <w:sz w:val="32"/>
          <w:szCs w:val="32"/>
        </w:rPr>
        <w:t>。</w:t>
      </w:r>
      <w:r>
        <w:rPr>
          <w:rFonts w:hint="eastAsia" w:ascii="方正仿宋_GBK" w:eastAsia="方正仿宋_GBK"/>
          <w:sz w:val="32"/>
          <w:szCs w:val="32"/>
          <w:shd w:val="clear" w:color="auto" w:fill="FFFFFF"/>
        </w:rPr>
        <w:t>公用经费用途主要包括办公费、印刷费、咨询费、水费、电费、邮电费、差旅费、维修（护）费、公务接待费、劳务费、工会经费、其他交通费等。</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楷体_GBK" w:eastAsia="方正楷体_GBK"/>
          <w:b/>
          <w:sz w:val="32"/>
          <w:szCs w:val="32"/>
        </w:rPr>
      </w:pPr>
      <w:r>
        <w:rPr>
          <w:rStyle w:val="8"/>
          <w:rFonts w:hint="eastAsia" w:ascii="方正楷体_GBK" w:eastAsia="方正楷体_GBK"/>
          <w:b w:val="0"/>
          <w:sz w:val="32"/>
          <w:szCs w:val="32"/>
        </w:rPr>
        <w:t>（五）政府性基金预算收支决算情况说明。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bCs/>
          <w:sz w:val="32"/>
          <w:szCs w:val="32"/>
        </w:rPr>
      </w:pPr>
      <w:r>
        <w:rPr>
          <w:rFonts w:ascii="方正仿宋_GBK" w:hAnsi="Times New Roman" w:eastAsia="方正仿宋_GBK" w:cs="Times New Roman"/>
          <w:bCs/>
          <w:sz w:val="32"/>
          <w:szCs w:val="32"/>
        </w:rPr>
        <w:t>2022年度政府性基金预算财政拨款年初结转结余0.00万元，年末结转结余0.00万元。本年收入27,262.75万元，较上年决算数增加19,322.27万元，增长243.3%，</w:t>
      </w:r>
      <w:r>
        <w:rPr>
          <w:rFonts w:hint="eastAsia" w:ascii="方正仿宋_GBK" w:hAnsi="Times New Roman" w:eastAsia="方正仿宋_GBK" w:cs="Times New Roman"/>
          <w:bCs/>
          <w:sz w:val="32"/>
          <w:szCs w:val="32"/>
        </w:rPr>
        <w:t>主要原因是增加铜安、渝遂复线高速公路项目征地拆迁执行新政策资金27262.75万元。</w:t>
      </w:r>
      <w:r>
        <w:rPr>
          <w:rFonts w:ascii="方正仿宋_GBK" w:hAnsi="Times New Roman" w:eastAsia="方正仿宋_GBK" w:cs="Times New Roman"/>
          <w:bCs/>
          <w:sz w:val="32"/>
          <w:szCs w:val="32"/>
        </w:rPr>
        <w:t>本年支出27,262.75万元，较上年决算数增加19,184.26万元，增长237.5%，</w:t>
      </w:r>
      <w:r>
        <w:rPr>
          <w:rFonts w:hint="eastAsia" w:ascii="方正仿宋_GBK" w:hAnsi="Times New Roman" w:eastAsia="方正仿宋_GBK" w:cs="Times New Roman"/>
          <w:bCs/>
          <w:sz w:val="32"/>
          <w:szCs w:val="32"/>
        </w:rPr>
        <w:t>主要原因是增加铜安、渝遂复线高速公路项目征地拆迁执行新政策资金27262.75万元。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ascii="方正楷体_GBK" w:eastAsia="方正楷体_GBK"/>
          <w:sz w:val="32"/>
          <w:szCs w:val="32"/>
        </w:rPr>
      </w:pPr>
      <w:r>
        <w:rPr>
          <w:rStyle w:val="8"/>
          <w:rFonts w:ascii="方正楷体_GBK" w:eastAsia="方正楷体_GBK"/>
          <w:b w:val="0"/>
          <w:sz w:val="32"/>
          <w:szCs w:val="32"/>
        </w:rPr>
        <w:t>（六）国有资本经营预算财政拨款支出决算情况说明。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本部门2022年无国有资本经营预算财政拨款支出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ascii="方正黑体_GBK" w:eastAsia="方正黑体_GBK"/>
          <w:sz w:val="32"/>
          <w:szCs w:val="32"/>
        </w:rPr>
      </w:pPr>
      <w:r>
        <w:rPr>
          <w:rStyle w:val="8"/>
          <w:rFonts w:hint="eastAsia" w:ascii="方正黑体_GBK" w:eastAsia="方正黑体_GBK"/>
          <w:sz w:val="32"/>
          <w:szCs w:val="32"/>
        </w:rPr>
        <w:t>三、“三公”经费情况说明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（一）“三公”经费支出总体情况说明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shd w:val="clear" w:color="auto" w:fill="FFFFFF"/>
        </w:rPr>
      </w:pPr>
      <w:r>
        <w:rPr>
          <w:rFonts w:ascii="方正仿宋_GBK" w:eastAsia="方正仿宋_GBK"/>
          <w:sz w:val="32"/>
          <w:szCs w:val="32"/>
          <w:shd w:val="clear" w:color="auto" w:fill="FFFFFF"/>
        </w:rPr>
        <w:t>2022年度“三公”经费支出共计72.57万元，较年初预算数减少69.03万元，下降48.8%，</w:t>
      </w:r>
      <w:r>
        <w:rPr>
          <w:rFonts w:hint="eastAsia" w:ascii="方正仿宋_GBK" w:eastAsia="方正仿宋_GBK"/>
          <w:sz w:val="32"/>
          <w:szCs w:val="32"/>
          <w:shd w:val="clear" w:color="auto" w:fill="FFFFFF"/>
        </w:rPr>
        <w:t>主要原因一是认真贯彻落实中央八项规定精神和厉行节约要求，强化公务接待支出管理，二是严格遵守公务接待开支范围和开支标准，严格控制陪餐人数；三是进一步规范因公出国（境）活动，今年未安排单位人员出国出访。</w:t>
      </w:r>
      <w:r>
        <w:rPr>
          <w:rFonts w:ascii="方正仿宋_GBK" w:eastAsia="方正仿宋_GBK"/>
          <w:sz w:val="32"/>
          <w:szCs w:val="32"/>
          <w:shd w:val="clear" w:color="auto" w:fill="FFFFFF"/>
        </w:rPr>
        <w:t>较上年支出数增加7.37万元，增长11.3%，</w:t>
      </w:r>
      <w:r>
        <w:rPr>
          <w:rFonts w:hint="eastAsia" w:ascii="方正仿宋_GBK" w:eastAsia="方正仿宋_GBK"/>
          <w:sz w:val="32"/>
          <w:szCs w:val="32"/>
          <w:shd w:val="clear" w:color="auto" w:fill="FFFFFF"/>
        </w:rPr>
        <w:t>主要原因一是大部分车辆陈旧维修（护）费增加，二是加大执法力度执法车维修及燃油费增加。</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（二）“三公”经费分项支出情况</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shd w:val="clear" w:color="auto" w:fill="FFFFFF"/>
        </w:rPr>
      </w:pPr>
      <w:r>
        <w:rPr>
          <w:rFonts w:ascii="方正仿宋_GBK" w:eastAsia="方正仿宋_GBK"/>
          <w:sz w:val="32"/>
          <w:szCs w:val="32"/>
          <w:shd w:val="clear" w:color="auto" w:fill="FFFFFF"/>
        </w:rPr>
        <w:t>2022年度本部门因公出国（境）费用0.00万元，费用支出较年初预算数增加0.00万元，较上年支出数增加0.00万元</w:t>
      </w:r>
      <w:r>
        <w:rPr>
          <w:rFonts w:hint="eastAsia" w:ascii="方正仿宋_GBK" w:eastAsia="方正仿宋_GBK"/>
          <w:sz w:val="32"/>
          <w:szCs w:val="32"/>
          <w:shd w:val="clear" w:color="auto" w:fill="FFFFFF"/>
        </w:rPr>
        <w:t>。（本部门2022年未发生因公出国（境）费用）。</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ascii="方正仿宋_GBK" w:eastAsia="方正仿宋_GBK"/>
          <w:sz w:val="32"/>
          <w:szCs w:val="32"/>
          <w:shd w:val="clear" w:color="auto" w:fill="FFFFFF"/>
        </w:rPr>
        <w:t>公务车购置费0.00万元</w:t>
      </w:r>
      <w:r>
        <w:rPr>
          <w:rFonts w:hint="eastAsia" w:ascii="方正仿宋_GBK" w:eastAsia="方正仿宋_GBK"/>
          <w:sz w:val="32"/>
          <w:szCs w:val="32"/>
          <w:shd w:val="clear" w:color="auto" w:fill="FFFFFF"/>
        </w:rPr>
        <w:t>，</w:t>
      </w:r>
      <w:r>
        <w:rPr>
          <w:rFonts w:ascii="方正仿宋_GBK" w:eastAsia="方正仿宋_GBK"/>
          <w:sz w:val="32"/>
          <w:szCs w:val="32"/>
          <w:shd w:val="clear" w:color="auto" w:fill="FFFFFF"/>
        </w:rPr>
        <w:t>费用支出较年初预算数增加0.00万元，较上年支出数增加0.00万元</w:t>
      </w:r>
      <w:r>
        <w:rPr>
          <w:rFonts w:hint="eastAsia" w:ascii="方正仿宋_GBK" w:eastAsia="方正仿宋_GBK"/>
          <w:sz w:val="32"/>
          <w:szCs w:val="32"/>
          <w:shd w:val="clear" w:color="auto" w:fill="FFFFFF"/>
        </w:rPr>
        <w:t>。</w:t>
      </w:r>
      <w:r>
        <w:rPr>
          <w:rFonts w:hint="eastAsia" w:ascii="方正仿宋_GBK" w:eastAsia="方正仿宋_GBK"/>
          <w:sz w:val="32"/>
          <w:szCs w:val="32"/>
        </w:rPr>
        <w:t>（本部门2022年未发生公务车购置费）</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shd w:val="clear" w:color="auto" w:fill="FFFFFF"/>
        </w:rPr>
      </w:pPr>
      <w:r>
        <w:rPr>
          <w:rFonts w:ascii="方正仿宋_GBK" w:eastAsia="方正仿宋_GBK"/>
          <w:sz w:val="32"/>
          <w:szCs w:val="32"/>
          <w:shd w:val="clear" w:color="auto" w:fill="FFFFFF"/>
        </w:rPr>
        <w:t>公务车运行维护费71.72万元，</w:t>
      </w:r>
      <w:r>
        <w:rPr>
          <w:rFonts w:hint="eastAsia" w:ascii="方正仿宋_GBK" w:hAnsi="方正仿宋_GBK" w:eastAsia="方正仿宋_GBK" w:cs="方正仿宋_GBK"/>
          <w:sz w:val="32"/>
          <w:szCs w:val="32"/>
        </w:rPr>
        <w:t>主要用于机要文件交换、市内因公出行、公路巡查、检查、运管、路政、公路质监交通执法、海事巡逻等工作所需车辆的燃料费、维修费、过桥过路费、保险费等。</w:t>
      </w:r>
      <w:r>
        <w:rPr>
          <w:rFonts w:ascii="方正仿宋_GBK" w:eastAsia="方正仿宋_GBK"/>
          <w:sz w:val="32"/>
          <w:szCs w:val="32"/>
          <w:shd w:val="clear" w:color="auto" w:fill="FFFFFF"/>
        </w:rPr>
        <w:t>费用支出较年初预算数减少61.38万元，下降46.1%，</w:t>
      </w:r>
      <w:r>
        <w:rPr>
          <w:rFonts w:hint="eastAsia" w:ascii="方正仿宋_GBK" w:hAnsi="方正仿宋_GBK" w:eastAsia="方正仿宋_GBK" w:cs="方正仿宋_GBK"/>
          <w:sz w:val="32"/>
          <w:szCs w:val="32"/>
        </w:rPr>
        <w:t>主要原因</w:t>
      </w:r>
      <w:r>
        <w:rPr>
          <w:rFonts w:hint="eastAsia" w:ascii="方正仿宋_GBK" w:eastAsia="方正仿宋_GBK"/>
          <w:sz w:val="32"/>
          <w:szCs w:val="32"/>
          <w:shd w:val="clear" w:color="auto" w:fill="FFFFFF"/>
        </w:rPr>
        <w:t>是认真贯彻落实中央八项规定精神和厉行节约要求；</w:t>
      </w:r>
      <w:r>
        <w:rPr>
          <w:rFonts w:ascii="方正仿宋_GBK" w:eastAsia="方正仿宋_GBK"/>
          <w:sz w:val="32"/>
          <w:szCs w:val="32"/>
          <w:shd w:val="clear" w:color="auto" w:fill="FFFFFF"/>
        </w:rPr>
        <w:t>较上年支出数增加7.92万元，增长12.4%，</w:t>
      </w:r>
      <w:r>
        <w:rPr>
          <w:rFonts w:hint="eastAsia" w:ascii="方正仿宋_GBK" w:eastAsia="方正仿宋_GBK"/>
          <w:sz w:val="32"/>
          <w:szCs w:val="32"/>
          <w:shd w:val="clear" w:color="auto" w:fill="FFFFFF"/>
        </w:rPr>
        <w:t>一是大部分车辆陈旧维修（护）费增加，二是加大执法力度执法车维修及燃油费增加。</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shd w:val="clear" w:color="auto" w:fill="FFFFFF"/>
        </w:rPr>
      </w:pPr>
      <w:r>
        <w:rPr>
          <w:rFonts w:ascii="方正仿宋_GBK" w:eastAsia="方正仿宋_GBK"/>
          <w:sz w:val="32"/>
          <w:szCs w:val="32"/>
          <w:shd w:val="clear" w:color="auto" w:fill="FFFFFF"/>
        </w:rPr>
        <w:t>公务接待费0.85万元，</w:t>
      </w:r>
      <w:r>
        <w:rPr>
          <w:rFonts w:hint="eastAsia" w:ascii="方正仿宋_GBK" w:hAnsi="方正仿宋_GBK" w:eastAsia="方正仿宋_GBK" w:cs="方正仿宋_GBK"/>
          <w:sz w:val="32"/>
          <w:szCs w:val="32"/>
        </w:rPr>
        <w:t>主要用于接待市交通局、市公路局等市级交通行业主管部门检查指导工作，接受兄弟区县交通部门交流学习工作发生的接待支出等</w:t>
      </w:r>
      <w:r>
        <w:rPr>
          <w:rFonts w:hint="eastAsia" w:ascii="方正仿宋_GBK" w:eastAsia="方正仿宋_GBK"/>
          <w:sz w:val="32"/>
          <w:szCs w:val="32"/>
          <w:shd w:val="clear" w:color="auto" w:fill="FFFFFF"/>
        </w:rPr>
        <w:t>。</w:t>
      </w:r>
      <w:r>
        <w:rPr>
          <w:rFonts w:ascii="方正仿宋_GBK" w:eastAsia="方正仿宋_GBK"/>
          <w:sz w:val="32"/>
          <w:szCs w:val="32"/>
          <w:shd w:val="clear" w:color="auto" w:fill="FFFFFF"/>
        </w:rPr>
        <w:t>费用支出较年初预算数减少7.65万元，下降90%</w:t>
      </w:r>
      <w:r>
        <w:rPr>
          <w:rFonts w:hint="eastAsia" w:ascii="方正仿宋_GBK" w:eastAsia="方正仿宋_GBK"/>
          <w:sz w:val="32"/>
          <w:szCs w:val="32"/>
          <w:shd w:val="clear" w:color="auto" w:fill="FFFFFF"/>
        </w:rPr>
        <w:t>；</w:t>
      </w:r>
      <w:r>
        <w:rPr>
          <w:rFonts w:ascii="方正仿宋_GBK" w:eastAsia="方正仿宋_GBK"/>
          <w:sz w:val="32"/>
          <w:szCs w:val="32"/>
          <w:shd w:val="clear" w:color="auto" w:fill="FFFFFF"/>
        </w:rPr>
        <w:t>较上年支出数减少0.55万元，下降39.3%，</w:t>
      </w:r>
      <w:r>
        <w:rPr>
          <w:rFonts w:hint="eastAsia" w:ascii="方正仿宋_GBK" w:eastAsia="方正仿宋_GBK"/>
          <w:sz w:val="32"/>
          <w:szCs w:val="32"/>
          <w:shd w:val="clear" w:color="auto" w:fill="FFFFFF"/>
        </w:rPr>
        <w:t>主要原因一是认真贯彻落实中央八项规定精神和厉行节约要求，二是强化公务接待支出管理，严格遵守公务接待开支范围和开支标准，严格控制陪餐人数。</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（三）“三公”经费实物量情况</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sz w:val="32"/>
          <w:szCs w:val="32"/>
          <w:shd w:val="clear" w:color="auto" w:fill="FFFFFF"/>
        </w:rPr>
        <w:t>2022年度本部门因公出国（境）共计0个团组，0人；公务用车购置0辆，公务车保有量为19辆；国内公务接待12批次112人，其中：国内外事接待0批次，0人；国（境）外公务接待0批次，0人。2022年本部门人均接待费76.30元，车均购置费0.00万元，车均维护费3.77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562" w:firstLineChars="200"/>
        <w:jc w:val="both"/>
        <w:textAlignment w:val="auto"/>
        <w:rPr>
          <w:rStyle w:val="8"/>
          <w:rFonts w:ascii="方正黑体_GBK" w:eastAsia="方正黑体_GBK"/>
          <w:sz w:val="28"/>
          <w:szCs w:val="32"/>
        </w:rPr>
      </w:pPr>
      <w:r>
        <w:rPr>
          <w:rStyle w:val="8"/>
          <w:rFonts w:ascii="方正黑体_GBK" w:eastAsia="方正黑体_GBK"/>
          <w:sz w:val="28"/>
          <w:szCs w:val="32"/>
        </w:rPr>
        <w:t>四、其他需要说明的事项</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（一）财政拨款会议费和培训费情况说明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pPr>
      <w:r>
        <w:rPr>
          <w:rFonts w:ascii="方正仿宋_GBK" w:hAnsi="Times New Roman" w:eastAsia="方正仿宋_GBK" w:cs="Times New Roman"/>
          <w:sz w:val="32"/>
          <w:szCs w:val="32"/>
          <w:shd w:val="clear" w:color="auto" w:fill="FFFFFF"/>
        </w:rPr>
        <w:t>本年度会议费支出0.18万元，较上年决算数减少3.93万元，下降95.6%</w:t>
      </w:r>
      <w:r>
        <w:rPr>
          <w:rFonts w:hint="eastAsia" w:ascii="方正仿宋_GBK" w:hAnsi="Times New Roman" w:eastAsia="方正仿宋_GBK" w:cs="Times New Roman"/>
          <w:sz w:val="32"/>
          <w:szCs w:val="32"/>
          <w:shd w:val="clear" w:color="auto" w:fill="FFFFFF"/>
        </w:rPr>
        <w:t>；</w:t>
      </w:r>
      <w:r>
        <w:rPr>
          <w:rFonts w:ascii="方正仿宋_GBK" w:hAnsi="Times New Roman" w:eastAsia="方正仿宋_GBK" w:cs="Times New Roman"/>
          <w:sz w:val="32"/>
          <w:szCs w:val="32"/>
          <w:shd w:val="clear" w:color="auto" w:fill="FFFFFF"/>
        </w:rPr>
        <w:t>本年度培训费支出11.93万元，较上年决算数减少16.76万元，下降58.4%，</w:t>
      </w:r>
      <w:r>
        <w:rPr>
          <w:rFonts w:hint="eastAsia" w:ascii="方正仿宋_GBK" w:hAnsi="方正仿宋_GBK" w:eastAsia="方正仿宋_GBK" w:cs="方正仿宋_GBK"/>
          <w:sz w:val="32"/>
          <w:szCs w:val="32"/>
        </w:rPr>
        <w:t>主要原因是</w:t>
      </w:r>
      <w:r>
        <w:rPr>
          <w:rFonts w:hint="eastAsia" w:ascii="方正仿宋_GBK" w:eastAsia="方正仿宋_GBK"/>
          <w:sz w:val="32"/>
          <w:szCs w:val="32"/>
          <w:shd w:val="clear" w:color="auto" w:fill="FFFFFF"/>
        </w:rPr>
        <w:t>一是认真贯彻落实中央八项规定精神和厉行节约要求，二是</w:t>
      </w:r>
      <w:r>
        <w:rPr>
          <w:rFonts w:hint="eastAsia" w:ascii="方正仿宋_GBK" w:hAnsi="方正仿宋_GBK" w:eastAsia="方正仿宋_GBK" w:cs="方正仿宋_GBK"/>
          <w:sz w:val="32"/>
          <w:szCs w:val="32"/>
        </w:rPr>
        <w:t>疫情原因大型会议及培训减少。</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（二）机关运行经费支出情况说明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color w:val="000000"/>
          <w:shd w:val="clear" w:color="auto" w:fill="FFFFFF"/>
        </w:rPr>
      </w:pPr>
      <w:r>
        <w:rPr>
          <w:rFonts w:ascii="方正仿宋_GBK" w:hAnsi="Times New Roman" w:eastAsia="方正仿宋_GBK" w:cs="Times New Roman"/>
          <w:sz w:val="32"/>
          <w:szCs w:val="32"/>
          <w:shd w:val="clear" w:color="auto" w:fill="FFFFFF"/>
        </w:rPr>
        <w:t>2022年度本部门机关运行经费支出316.69万元，</w:t>
      </w:r>
      <w:r>
        <w:rPr>
          <w:rFonts w:hint="eastAsia" w:ascii="方正仿宋_GBK" w:eastAsia="方正仿宋_GBK"/>
          <w:color w:val="000000"/>
          <w:sz w:val="32"/>
          <w:szCs w:val="32"/>
          <w:shd w:val="clear" w:color="auto" w:fill="FFFFFF"/>
        </w:rPr>
        <w:t>机关运行经费主要用于开支办公费、印刷费、咨询费、水费、电费、邮电费、差旅费、维修（护）费、公务接待费、劳务费、工会经费、其他交通费等</w:t>
      </w:r>
      <w:r>
        <w:rPr>
          <w:rFonts w:ascii="方正仿宋_GBK" w:hAnsi="Times New Roman" w:eastAsia="方正仿宋_GBK" w:cs="Times New Roman"/>
          <w:sz w:val="32"/>
          <w:szCs w:val="32"/>
          <w:shd w:val="clear" w:color="auto" w:fill="FFFFFF"/>
        </w:rPr>
        <w:t>。机关运行经费较上年决算数减少96.92万元，下降23.4%，</w:t>
      </w:r>
      <w:r>
        <w:rPr>
          <w:rFonts w:hint="eastAsia" w:ascii="方正仿宋_GBK" w:eastAsia="方正仿宋_GBK"/>
          <w:color w:val="000000"/>
          <w:sz w:val="32"/>
          <w:szCs w:val="32"/>
          <w:shd w:val="clear" w:color="auto" w:fill="FFFFFF"/>
        </w:rPr>
        <w:t>主要原因是认真贯彻落实中央八项规定精神和厉行节约要求。</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（三）国有资产占用情况说明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sz w:val="32"/>
          <w:szCs w:val="32"/>
          <w:shd w:val="clear" w:color="auto" w:fill="FFFFFF"/>
        </w:rPr>
        <w:t>截至2022年12月31日，本部门共有车辆26辆，其中，副部（省）级及以上领导用车0辆、主要领导干部用车0辆、机要通信用车0辆、应急保障用车8辆、执法执勤用车12辆，特种专业技术用车6辆，离退休干部用车0辆，其他用车0辆。单价100万元（含）以上设备（不含车辆）1台（套）。</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（四）政府采购支出说明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sz w:val="32"/>
          <w:szCs w:val="32"/>
          <w:shd w:val="clear" w:color="auto" w:fill="FFFFFF"/>
        </w:rPr>
        <w:t>2022年度本部门政府采购支出总额490.80万元，其中：政府采购货物支出80.20万元、政府采购工程支出185.00万元、政府采购服务支出225.60万元。授予中小企业合同金额323.80万元，占政府采购支出总额的66%，其中：授予小微企业合同金额105.20万元，占政府采购支出总额的21.4%。主要用于采购</w:t>
      </w:r>
      <w:r>
        <w:rPr>
          <w:rFonts w:hint="eastAsia" w:ascii="方正仿宋_GBK" w:hAnsi="Times New Roman" w:eastAsia="方正仿宋_GBK" w:cs="Times New Roman"/>
          <w:sz w:val="32"/>
          <w:szCs w:val="32"/>
          <w:shd w:val="clear" w:color="auto" w:fill="FFFFFF"/>
        </w:rPr>
        <w:t>办公设施设备及执法装备。</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Style w:val="8"/>
          <w:rFonts w:ascii="方正黑体_GBK" w:eastAsia="方正黑体_GBK"/>
          <w:sz w:val="32"/>
          <w:szCs w:val="32"/>
        </w:rPr>
      </w:pPr>
      <w:r>
        <w:rPr>
          <w:rStyle w:val="8"/>
          <w:rFonts w:ascii="方正黑体_GBK" w:eastAsia="方正黑体_GBK"/>
          <w:sz w:val="32"/>
          <w:szCs w:val="32"/>
        </w:rPr>
        <w:t>五、预算绩效管理情况说明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Style w:val="8"/>
          <w:rFonts w:hint="eastAsia" w:ascii="方正楷体_GBK" w:eastAsia="方正楷体_GBK"/>
          <w:b w:val="0"/>
          <w:sz w:val="32"/>
          <w:szCs w:val="32"/>
        </w:rPr>
        <w:t>（一）算绩效管理工作开展情况</w:t>
      </w:r>
      <w:r>
        <w:rPr>
          <w:rStyle w:val="8"/>
          <w:rFonts w:hint="eastAsia" w:ascii="方正楷体_GBK" w:eastAsia="方正楷体_GBK"/>
          <w:b w:val="0"/>
          <w:sz w:val="32"/>
          <w:szCs w:val="32"/>
        </w:rPr>
        <w:br w:type="textWrapping"/>
      </w:r>
      <w:r>
        <w:rPr>
          <w:rFonts w:ascii="方正仿宋_GBK" w:hAnsi="Times New Roman" w:eastAsia="方正仿宋_GBK" w:cs="Times New Roman"/>
          <w:sz w:val="32"/>
          <w:szCs w:val="32"/>
          <w:shd w:val="clear" w:color="auto" w:fill="FFFFFF"/>
        </w:rPr>
        <w:t xml:space="preserve">   </w:t>
      </w:r>
      <w:r>
        <w:rPr>
          <w:rFonts w:ascii="方正仿宋_GBK" w:hAnsi="Times New Roman" w:eastAsia="方正仿宋_GBK" w:cs="Times New Roman"/>
          <w:sz w:val="32"/>
          <w:szCs w:val="32"/>
          <w:shd w:val="clear" w:color="auto" w:fill="FFFFFF"/>
        </w:rPr>
        <w:t>根据预算绩效管理要求，我单位对部门整体和</w:t>
      </w:r>
      <w:r>
        <w:rPr>
          <w:rFonts w:hint="eastAsia" w:ascii="方正仿宋_GBK" w:hAnsi="Times New Roman" w:eastAsia="方正仿宋_GBK" w:cs="Times New Roman"/>
          <w:sz w:val="32"/>
          <w:szCs w:val="32"/>
          <w:shd w:val="clear" w:color="auto" w:fill="FFFFFF"/>
        </w:rPr>
        <w:t>6个二级预算单位123个</w:t>
      </w:r>
      <w:r>
        <w:rPr>
          <w:rFonts w:ascii="方正仿宋_GBK" w:hAnsi="Times New Roman" w:eastAsia="方正仿宋_GBK" w:cs="Times New Roman"/>
          <w:sz w:val="32"/>
          <w:szCs w:val="32"/>
          <w:shd w:val="clear" w:color="auto" w:fill="FFFFFF"/>
        </w:rPr>
        <w:t>项目开展了绩效自评，其中，以填报自评表形式开展自评</w:t>
      </w:r>
      <w:r>
        <w:rPr>
          <w:rFonts w:hint="eastAsia" w:ascii="方正仿宋_GBK" w:hAnsi="Times New Roman" w:eastAsia="方正仿宋_GBK" w:cs="Times New Roman"/>
          <w:sz w:val="32"/>
          <w:szCs w:val="32"/>
          <w:shd w:val="clear" w:color="auto" w:fill="FFFFFF"/>
        </w:rPr>
        <w:t>123</w:t>
      </w:r>
      <w:r>
        <w:rPr>
          <w:rFonts w:ascii="方正仿宋_GBK" w:hAnsi="Times New Roman" w:eastAsia="方正仿宋_GBK" w:cs="Times New Roman"/>
          <w:sz w:val="32"/>
          <w:szCs w:val="32"/>
          <w:shd w:val="clear" w:color="auto" w:fill="FFFFFF"/>
        </w:rPr>
        <w:t>项，涉及资金</w:t>
      </w:r>
      <w:r>
        <w:rPr>
          <w:rFonts w:hint="eastAsia" w:ascii="方正仿宋_GBK" w:hAnsi="Times New Roman" w:eastAsia="方正仿宋_GBK" w:cs="Times New Roman"/>
          <w:sz w:val="32"/>
          <w:szCs w:val="32"/>
          <w:shd w:val="clear" w:color="auto" w:fill="FFFFFF"/>
        </w:rPr>
        <w:t>61580.14</w:t>
      </w:r>
      <w:r>
        <w:rPr>
          <w:rFonts w:ascii="方正仿宋_GBK" w:hAnsi="Times New Roman" w:eastAsia="方正仿宋_GBK" w:cs="Times New Roman"/>
          <w:sz w:val="32"/>
          <w:szCs w:val="32"/>
          <w:shd w:val="clear" w:color="auto" w:fill="FFFFFF"/>
        </w:rPr>
        <w:t>万元；以委托第三方出具报告的方式开展绩效评价</w:t>
      </w:r>
      <w:r>
        <w:rPr>
          <w:rFonts w:hint="eastAsia" w:ascii="方正仿宋_GBK" w:hAnsi="Times New Roman" w:eastAsia="方正仿宋_GBK" w:cs="Times New Roman"/>
          <w:sz w:val="32"/>
          <w:szCs w:val="32"/>
          <w:shd w:val="clear" w:color="auto" w:fill="FFFFFF"/>
        </w:rPr>
        <w:t>1</w:t>
      </w:r>
      <w:r>
        <w:rPr>
          <w:rFonts w:ascii="方正仿宋_GBK" w:hAnsi="Times New Roman" w:eastAsia="方正仿宋_GBK" w:cs="Times New Roman"/>
          <w:sz w:val="32"/>
          <w:szCs w:val="32"/>
          <w:shd w:val="clear" w:color="auto" w:fill="FFFFFF"/>
        </w:rPr>
        <w:t>项</w:t>
      </w:r>
      <w:r>
        <w:rPr>
          <w:rFonts w:hint="eastAsia" w:ascii="方正仿宋_GBK" w:hAnsi="Times New Roman" w:eastAsia="方正仿宋_GBK" w:cs="Times New Roman"/>
          <w:sz w:val="32"/>
          <w:szCs w:val="32"/>
          <w:shd w:val="clear" w:color="auto" w:fill="FFFFFF"/>
        </w:rPr>
        <w:t>（此项也填报了自评表）</w:t>
      </w:r>
      <w:r>
        <w:rPr>
          <w:rFonts w:ascii="方正仿宋_GBK" w:hAnsi="Times New Roman" w:eastAsia="方正仿宋_GBK" w:cs="Times New Roman"/>
          <w:sz w:val="32"/>
          <w:szCs w:val="32"/>
          <w:shd w:val="clear" w:color="auto" w:fill="FFFFFF"/>
        </w:rPr>
        <w:t>，涉及资</w:t>
      </w:r>
      <w:r>
        <w:rPr>
          <w:rFonts w:hint="eastAsia" w:ascii="方正仿宋_GBK" w:hAnsi="Times New Roman" w:eastAsia="方正仿宋_GBK" w:cs="Times New Roman"/>
          <w:sz w:val="32"/>
          <w:szCs w:val="32"/>
          <w:shd w:val="clear" w:color="auto" w:fill="FFFFFF"/>
        </w:rPr>
        <w:t>金1080.45</w:t>
      </w:r>
      <w:r>
        <w:rPr>
          <w:rFonts w:ascii="方正仿宋_GBK" w:hAnsi="Times New Roman" w:eastAsia="方正仿宋_GBK" w:cs="Times New Roman"/>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（二）绩效自评结果</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bCs/>
          <w:sz w:val="32"/>
          <w:szCs w:val="32"/>
          <w:shd w:val="clear" w:color="auto" w:fill="FFFFFF"/>
        </w:rPr>
        <w:t>1.绩效目标自评表。</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bCs/>
          <w:sz w:val="32"/>
          <w:szCs w:val="32"/>
          <w:shd w:val="clear" w:color="auto" w:fill="FFFFFF"/>
        </w:rPr>
        <w:t>（1）</w:t>
      </w:r>
      <w:r>
        <w:rPr>
          <w:rFonts w:ascii="方正仿宋_GBK" w:hAnsi="Times New Roman" w:eastAsia="方正仿宋_GBK" w:cs="Times New Roman"/>
          <w:sz w:val="32"/>
          <w:szCs w:val="32"/>
          <w:shd w:val="clear" w:color="auto" w:fill="FFFFFF"/>
        </w:rPr>
        <w:t>部门整体绩效自评表。</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bCs/>
          <w:sz w:val="32"/>
          <w:szCs w:val="32"/>
          <w:shd w:val="clear" w:color="auto" w:fill="FFFFFF"/>
        </w:rPr>
        <w:t>详见</w:t>
      </w:r>
      <w:r>
        <w:rPr>
          <w:rFonts w:hint="eastAsia" w:ascii="方正仿宋_GBK" w:hAnsi="Times New Roman" w:eastAsia="方正仿宋_GBK" w:cs="Times New Roman"/>
          <w:bCs/>
          <w:sz w:val="32"/>
          <w:szCs w:val="32"/>
          <w:shd w:val="clear" w:color="auto" w:fill="FFFFFF"/>
        </w:rPr>
        <w:t>重庆市铜梁区交通局整体绩效自评表</w:t>
      </w:r>
      <w:r>
        <w:rPr>
          <w:rFonts w:ascii="方正仿宋_GBK" w:hAnsi="Times New Roman" w:eastAsia="方正仿宋_GBK" w:cs="Times New Roman"/>
          <w:bCs/>
          <w:sz w:val="32"/>
          <w:szCs w:val="32"/>
          <w:shd w:val="clear" w:color="auto" w:fill="FFFFFF"/>
        </w:rPr>
        <w:t>。</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bCs/>
          <w:sz w:val="32"/>
          <w:szCs w:val="32"/>
          <w:shd w:val="clear" w:color="auto" w:fill="FFFFFF"/>
        </w:rPr>
      </w:pPr>
      <w:r>
        <w:rPr>
          <w:rFonts w:ascii="方正仿宋_GBK" w:hAnsi="Times New Roman" w:eastAsia="方正仿宋_GBK" w:cs="Times New Roman"/>
          <w:sz w:val="32"/>
          <w:szCs w:val="32"/>
          <w:shd w:val="clear" w:color="auto" w:fill="FFFFFF"/>
        </w:rPr>
        <w:t>（2）</w:t>
      </w:r>
      <w:r>
        <w:rPr>
          <w:rFonts w:ascii="方正仿宋_GBK" w:hAnsi="Times New Roman" w:eastAsia="方正仿宋_GBK" w:cs="Times New Roman"/>
          <w:bCs/>
          <w:sz w:val="32"/>
          <w:szCs w:val="32"/>
          <w:shd w:val="clear" w:color="auto" w:fill="FFFFFF"/>
        </w:rPr>
        <w:t>项目绩效自评表。</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bCs/>
          <w:sz w:val="32"/>
          <w:szCs w:val="32"/>
          <w:shd w:val="clear" w:color="auto" w:fill="FFFFFF"/>
        </w:rPr>
      </w:pPr>
      <w:r>
        <w:rPr>
          <w:rFonts w:ascii="方正仿宋_GBK" w:hAnsi="Times New Roman" w:eastAsia="方正仿宋_GBK" w:cs="Times New Roman"/>
          <w:bCs/>
          <w:sz w:val="32"/>
          <w:szCs w:val="32"/>
          <w:shd w:val="clear" w:color="auto" w:fill="FFFFFF"/>
        </w:rPr>
        <w:t>详见各二级预算单位决算公开报告。</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bCs/>
          <w:sz w:val="32"/>
          <w:szCs w:val="32"/>
          <w:shd w:val="clear" w:color="auto" w:fill="FFFFFF"/>
        </w:rPr>
      </w:pPr>
      <w:r>
        <w:rPr>
          <w:rFonts w:ascii="方正仿宋_GBK" w:hAnsi="Times New Roman" w:eastAsia="方正仿宋_GBK" w:cs="Times New Roman"/>
          <w:sz w:val="32"/>
          <w:szCs w:val="32"/>
          <w:shd w:val="clear" w:color="auto" w:fill="FFFFFF"/>
        </w:rPr>
        <w:t>2.绩效自评报告或案例。</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bCs/>
          <w:sz w:val="32"/>
          <w:szCs w:val="32"/>
          <w:shd w:val="clear" w:color="auto" w:fill="FFFFFF"/>
        </w:rPr>
      </w:pPr>
      <w:r>
        <w:rPr>
          <w:rFonts w:hint="eastAsia" w:ascii="方正仿宋_GBK" w:hAnsi="Times New Roman" w:eastAsia="方正仿宋_GBK" w:cs="Times New Roman"/>
          <w:bCs/>
          <w:sz w:val="32"/>
          <w:szCs w:val="32"/>
          <w:shd w:val="clear" w:color="auto" w:fill="FFFFFF"/>
        </w:rPr>
        <w:t>详见绩效自评报告</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Times New Roman" w:eastAsia="方正仿宋_GBK" w:cs="Times New Roman"/>
          <w:sz w:val="32"/>
          <w:szCs w:val="32"/>
          <w:shd w:val="clear" w:color="auto" w:fill="FFFFFF"/>
        </w:rPr>
      </w:pPr>
      <w:r>
        <w:rPr>
          <w:rFonts w:ascii="方正仿宋_GBK" w:hAnsi="Times New Roman" w:eastAsia="方正仿宋_GBK" w:cs="Times New Roman"/>
          <w:bCs/>
          <w:sz w:val="32"/>
          <w:szCs w:val="32"/>
          <w:shd w:val="clear" w:color="auto" w:fill="FFFFFF"/>
        </w:rPr>
        <w:t>3.关于绩效自评结果的说明。</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color w:val="000000"/>
          <w:sz w:val="32"/>
          <w:szCs w:val="32"/>
          <w:shd w:val="clear" w:color="auto" w:fill="FFFFFF"/>
        </w:rPr>
      </w:pPr>
      <w:r>
        <w:rPr>
          <w:rFonts w:hint="eastAsia" w:ascii="方正仿宋_GBK" w:hAnsi="方正仿宋_GBK" w:eastAsia="方正仿宋_GBK" w:cs="方正仿宋_GBK"/>
          <w:color w:val="000000"/>
          <w:sz w:val="32"/>
          <w:szCs w:val="32"/>
        </w:rPr>
        <w:t>根据预算绩效管理要求，本部门对123个项目开展了绩效自评，</w:t>
      </w:r>
      <w:r>
        <w:rPr>
          <w:rFonts w:hint="eastAsia" w:ascii="方正仿宋_GBK" w:hAnsi="方正仿宋_GBK" w:eastAsia="方正仿宋_GBK" w:cs="方正仿宋_GBK"/>
          <w:sz w:val="32"/>
          <w:szCs w:val="32"/>
        </w:rPr>
        <w:t>其中  110 个项目已完成年度绩效目标，13个项目未完成年</w:t>
      </w:r>
      <w:r>
        <w:rPr>
          <w:rFonts w:hint="eastAsia" w:ascii="方正仿宋_GBK" w:hAnsi="方正仿宋_GBK" w:eastAsia="方正仿宋_GBK" w:cs="方正仿宋_GBK"/>
          <w:color w:val="000000"/>
          <w:sz w:val="32"/>
          <w:szCs w:val="32"/>
        </w:rPr>
        <w:t>度绩效目标。</w:t>
      </w:r>
      <w:r>
        <w:rPr>
          <w:rFonts w:hint="eastAsia" w:ascii="方正仿宋_GBK" w:hAnsi="方正仿宋_GBK" w:eastAsia="方正仿宋_GBK" w:cs="方正仿宋_GBK"/>
          <w:sz w:val="32"/>
          <w:szCs w:val="32"/>
        </w:rPr>
        <w:t>未完成年</w:t>
      </w:r>
      <w:r>
        <w:rPr>
          <w:rFonts w:hint="eastAsia" w:ascii="方正仿宋_GBK" w:hAnsi="方正仿宋_GBK" w:eastAsia="方正仿宋_GBK" w:cs="方正仿宋_GBK"/>
          <w:color w:val="000000"/>
          <w:sz w:val="32"/>
          <w:szCs w:val="32"/>
        </w:rPr>
        <w:t>度绩效目标的主要原因</w:t>
      </w:r>
      <w:r>
        <w:rPr>
          <w:rFonts w:hint="eastAsia" w:ascii="方正仿宋_GBK" w:eastAsia="方正仿宋_GBK"/>
          <w:sz w:val="32"/>
          <w:szCs w:val="32"/>
          <w:shd w:val="clear" w:color="auto" w:fill="FFFFFF"/>
        </w:rPr>
        <w:t>一是市级下达的农村水路燃油补贴资金，该资金已在2023年1月完成补贴；二是市级下达的2022年港口船舶污染物接收装置建设资金未支付完成，由于2022年港口船舶污染物接收装置建设项目尚未完工，因此结转至2023年支付；三是市级下达的2022年航道日常维护费未支付完成，结转至2023年使用;四是</w:t>
      </w:r>
      <w:r>
        <w:rPr>
          <w:rFonts w:hint="eastAsia" w:ascii="方正仿宋_GBK" w:eastAsia="方正仿宋_GBK"/>
          <w:color w:val="000000"/>
          <w:sz w:val="32"/>
          <w:szCs w:val="32"/>
          <w:shd w:val="clear" w:color="auto" w:fill="FFFFFF"/>
        </w:rPr>
        <w:t>工程建设项目未如期完工，未按合同约定时间达到支付节点；五是施工单位申报资金资料准备不及时不完善，未能按时申报资金需求。下一步我单位一是要加强资金管理，</w:t>
      </w:r>
      <w:r>
        <w:rPr>
          <w:rFonts w:hint="eastAsia" w:ascii="方正仿宋_GBK" w:hAnsi="方正仿宋_GBK" w:eastAsia="方正仿宋_GBK" w:cs="方正仿宋_GBK"/>
          <w:sz w:val="32"/>
          <w:szCs w:val="32"/>
        </w:rPr>
        <w:t>不论是政策性的民生补贴、工程建设资金，或是工作性经费项目资金，均严格按照规定执行相应审批制度，资金申请拨付必须严格符合相关要求。二是</w:t>
      </w:r>
      <w:r>
        <w:rPr>
          <w:rFonts w:hint="eastAsia" w:ascii="方正仿宋_GBK" w:eastAsia="方正仿宋_GBK"/>
          <w:color w:val="000000"/>
          <w:sz w:val="32"/>
          <w:szCs w:val="32"/>
          <w:shd w:val="clear" w:color="auto" w:fill="FFFFFF"/>
        </w:rPr>
        <w:t>要加强工程项目管理工作，在保证工程质量的同时保证工程进度。三是监督施工单位按进度及时申报资金需求。</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Style w:val="8"/>
          <w:rFonts w:hint="eastAsia" w:ascii="方正楷体_GBK" w:eastAsia="方正楷体_GBK"/>
          <w:b w:val="0"/>
          <w:sz w:val="32"/>
          <w:szCs w:val="32"/>
        </w:rPr>
      </w:pPr>
      <w:r>
        <w:rPr>
          <w:rStyle w:val="8"/>
          <w:rFonts w:hint="eastAsia" w:ascii="方正楷体_GBK" w:eastAsia="方正楷体_GBK"/>
          <w:b w:val="0"/>
          <w:sz w:val="32"/>
          <w:szCs w:val="32"/>
        </w:rPr>
        <w:t>（三）重点绩效评价结果</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详见各二级预算单位决算公开报告</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3" w:firstLineChars="200"/>
        <w:jc w:val="both"/>
        <w:textAlignment w:val="auto"/>
        <w:rPr>
          <w:rFonts w:ascii="方正黑体_GBK" w:eastAsia="方正黑体_GBK"/>
          <w:sz w:val="32"/>
          <w:szCs w:val="32"/>
        </w:rPr>
      </w:pPr>
      <w:r>
        <w:rPr>
          <w:rStyle w:val="8"/>
          <w:rFonts w:hint="eastAsia" w:ascii="方正黑体_GBK" w:eastAsia="方正黑体_GBK"/>
          <w:sz w:val="32"/>
          <w:szCs w:val="32"/>
        </w:rPr>
        <w:t>六、专业名词解释</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（一）财政拨款收入：</w:t>
      </w:r>
      <w:r>
        <w:rPr>
          <w:rFonts w:hint="eastAsia" w:ascii="方正仿宋_GBK" w:eastAsia="方正仿宋_GBK"/>
          <w:sz w:val="32"/>
          <w:szCs w:val="32"/>
        </w:rPr>
        <w:t>指本年度从本级财政部门取得的财政拨款，包括一般公共预算财政拨款和政府性基金预算财政拨款。</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w:t>
      </w:r>
      <w:r>
        <w:rPr>
          <w:rStyle w:val="8"/>
          <w:rFonts w:hint="eastAsia" w:ascii="方正楷体_GBK" w:eastAsia="方正楷体_GBK"/>
          <w:b w:val="0"/>
          <w:sz w:val="32"/>
          <w:szCs w:val="32"/>
        </w:rPr>
        <w:t>二）事业收入：</w:t>
      </w:r>
      <w:r>
        <w:rPr>
          <w:rFonts w:hint="eastAsia" w:ascii="方正仿宋_GBK" w:eastAsia="方正仿宋_GBK"/>
          <w:sz w:val="32"/>
          <w:szCs w:val="32"/>
        </w:rPr>
        <w:t>指事业单位开展专业业务活动及其辅助活动取得的现金流入；事业单位收到的财政专户实际核拨的教育收费等资金在此反映。</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（三）经营收入：</w:t>
      </w:r>
      <w:r>
        <w:rPr>
          <w:rFonts w:hint="eastAsia" w:ascii="方正仿宋_GBK" w:eastAsia="方正仿宋_GBK"/>
          <w:sz w:val="32"/>
          <w:szCs w:val="32"/>
        </w:rPr>
        <w:t>指事业单位在专业业务活动及其辅助活动之外开展非独立核算经营活动取得的现金流入。</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w:t>
      </w:r>
      <w:r>
        <w:rPr>
          <w:rStyle w:val="8"/>
          <w:rFonts w:hint="eastAsia" w:ascii="方正楷体_GBK" w:eastAsia="方正楷体_GBK"/>
          <w:b w:val="0"/>
          <w:sz w:val="32"/>
          <w:szCs w:val="32"/>
        </w:rPr>
        <w:t>四）其他收入：</w:t>
      </w:r>
      <w:r>
        <w:rPr>
          <w:rFonts w:hint="eastAsia"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（五）使用非财政拨款结余：</w:t>
      </w:r>
      <w:r>
        <w:rPr>
          <w:rFonts w:hint="eastAsia"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（六）年初结转和结余：</w:t>
      </w:r>
      <w:r>
        <w:rPr>
          <w:rFonts w:hint="eastAsia" w:ascii="方正仿宋_GBK" w:eastAsia="方正仿宋_GBK"/>
          <w:sz w:val="32"/>
          <w:szCs w:val="32"/>
        </w:rPr>
        <w:t>指单位上年结转本年使用的基本支出结转、项目支出结转和结余、经营结余。</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（七）结余分配：</w:t>
      </w:r>
      <w:r>
        <w:rPr>
          <w:rFonts w:hint="eastAsia" w:ascii="方正仿宋_GBK" w:eastAsia="方正仿宋_GBK"/>
          <w:sz w:val="32"/>
          <w:szCs w:val="32"/>
        </w:rPr>
        <w:t>指单位按照国家有关规定，缴纳所得税、提取专用基金、转入非财政拨款结余等当年结余的分配情况。</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（八）年末结转和结余：</w:t>
      </w:r>
      <w:r>
        <w:rPr>
          <w:rFonts w:hint="eastAsia" w:ascii="方正仿宋_GBK" w:eastAsia="方正仿宋_GBK"/>
          <w:sz w:val="32"/>
          <w:szCs w:val="32"/>
        </w:rPr>
        <w:t>指单位结转下年的基本支出结转、项目支出结转和结余、经营结余。</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（九）基本支出：</w:t>
      </w:r>
      <w:r>
        <w:rPr>
          <w:rFonts w:hint="eastAsia"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（十）项目支出：</w:t>
      </w:r>
      <w:r>
        <w:rPr>
          <w:rFonts w:hint="eastAsia" w:ascii="方正仿宋_GBK" w:eastAsia="方正仿宋_GBK"/>
          <w:sz w:val="32"/>
          <w:szCs w:val="32"/>
        </w:rPr>
        <w:t>指在基本支出之外为完成特定行政任务和事业发展目标所发生的支出。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（十一）经营支出：</w:t>
      </w:r>
      <w:r>
        <w:rPr>
          <w:rFonts w:hint="eastAsia" w:ascii="方正仿宋_GBK" w:eastAsia="方正仿宋_GBK"/>
          <w:sz w:val="32"/>
          <w:szCs w:val="32"/>
        </w:rPr>
        <w:t>指事业单位在专业业务活动及其辅助活动之外开展非独立核算经营活动发生的支出。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（十二）“三公”经费：</w:t>
      </w:r>
      <w:r>
        <w:rPr>
          <w:rFonts w:hint="eastAsia" w:ascii="方正仿宋_GBK" w:eastAsia="方正仿宋_GBK"/>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（十三）机关运行经费：</w:t>
      </w:r>
      <w:r>
        <w:rPr>
          <w:rFonts w:hint="eastAsia"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（十四）工资福利支出（支出经济分类科目类级）：</w:t>
      </w:r>
      <w:r>
        <w:rPr>
          <w:rFonts w:hint="eastAsia" w:ascii="方正仿宋_GBK" w:eastAsia="方正仿宋_GBK"/>
          <w:sz w:val="32"/>
          <w:szCs w:val="32"/>
        </w:rPr>
        <w:t>反映单位开支的在职职工和编制外长期聘用人员的各类劳动报酬，以及为上述人员缴纳的各项社会保险费等。</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（十五）商品和服务支出（支出经济分类科目类级）：</w:t>
      </w:r>
      <w:r>
        <w:rPr>
          <w:rFonts w:hint="eastAsia" w:ascii="方正仿宋_GBK" w:eastAsia="方正仿宋_GBK"/>
          <w:sz w:val="32"/>
          <w:szCs w:val="32"/>
        </w:rPr>
        <w:t>反映单位购买商品和服务的支出（不包括用于购置固定资产的支出、战略性和应急储备支出）。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（十六）对个人和家庭的补助（支出经济分类科目类级）：</w:t>
      </w:r>
      <w:r>
        <w:rPr>
          <w:rFonts w:hint="eastAsia" w:ascii="方正仿宋_GBK" w:eastAsia="方正仿宋_GBK"/>
          <w:sz w:val="32"/>
          <w:szCs w:val="32"/>
        </w:rPr>
        <w:t>反映用于对个人和家庭的补助支出。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Style w:val="8"/>
          <w:rFonts w:hint="eastAsia" w:ascii="方正楷体_GBK" w:eastAsia="方正楷体_GBK"/>
          <w:b w:val="0"/>
          <w:sz w:val="32"/>
          <w:szCs w:val="32"/>
        </w:rPr>
        <w:t>（十七）其他资本性支出（支出经济分类科目类级）：</w:t>
      </w:r>
      <w:r>
        <w:rPr>
          <w:rFonts w:hint="eastAsia"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楷体_GBK" w:eastAsia="方正楷体_GBK"/>
          <w:b/>
          <w:sz w:val="32"/>
          <w:szCs w:val="32"/>
        </w:rPr>
      </w:pPr>
      <w:r>
        <w:rPr>
          <w:rStyle w:val="8"/>
          <w:rFonts w:hint="eastAsia" w:ascii="方正楷体_GBK" w:eastAsia="方正楷体_GBK"/>
          <w:b w:val="0"/>
          <w:sz w:val="32"/>
          <w:szCs w:val="32"/>
        </w:rPr>
        <w:t>七、决算公开联系方式及信息反馈渠道</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ascii="方正仿宋_GBK" w:eastAsia="方正仿宋_GBK"/>
          <w:sz w:val="32"/>
          <w:szCs w:val="32"/>
        </w:rPr>
      </w:pPr>
      <w:r>
        <w:rPr>
          <w:rFonts w:hint="eastAsia" w:ascii="方正仿宋_GBK" w:eastAsia="方正仿宋_GBK"/>
          <w:sz w:val="32"/>
          <w:szCs w:val="32"/>
        </w:rPr>
        <w:t>本单位决算公开信息反馈和联系方式：</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eastAsia" w:ascii="方正仿宋_GBK" w:eastAsia="方正仿宋_GBK"/>
          <w:sz w:val="32"/>
          <w:szCs w:val="32"/>
        </w:rPr>
      </w:pPr>
      <w:r>
        <w:rPr>
          <w:rFonts w:hint="eastAsia" w:ascii="方正仿宋_GBK" w:eastAsia="方正仿宋_GBK"/>
          <w:sz w:val="32"/>
          <w:szCs w:val="32"/>
        </w:rPr>
        <w:t>舒静</w:t>
      </w:r>
      <w:r>
        <w:rPr>
          <w:rFonts w:hint="eastAsia" w:eastAsia="方正仿宋_GBK"/>
          <w:sz w:val="32"/>
          <w:szCs w:val="32"/>
        </w:rPr>
        <w:t> </w:t>
      </w:r>
      <w:r>
        <w:rPr>
          <w:rFonts w:hint="eastAsia" w:ascii="方正仿宋_GBK" w:eastAsia="方正仿宋_GBK"/>
          <w:sz w:val="32"/>
          <w:szCs w:val="32"/>
        </w:rPr>
        <w:t>023-45879160</w:t>
      </w:r>
    </w:p>
    <w:p>
      <w:pPr>
        <w:pStyle w:val="5"/>
        <w:keepNext w:val="0"/>
        <w:keepLines w:val="0"/>
        <w:pageBreakBefore w:val="0"/>
        <w:widowControl/>
        <w:shd w:val="clear" w:color="auto" w:fill="FFFFFF"/>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eastAsia" w:ascii="方正仿宋_GBK" w:eastAsia="方正仿宋_GBK"/>
          <w:sz w:val="32"/>
          <w:szCs w:val="32"/>
        </w:rPr>
      </w:pPr>
    </w:p>
    <w:bookmarkEnd w:id="0"/>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rsids>
    <w:rsidRoot w:val="009A59CA"/>
    <w:rsid w:val="000114C1"/>
    <w:rsid w:val="00031ADC"/>
    <w:rsid w:val="0006721A"/>
    <w:rsid w:val="00075DBF"/>
    <w:rsid w:val="00141343"/>
    <w:rsid w:val="001422A3"/>
    <w:rsid w:val="00147749"/>
    <w:rsid w:val="00180A7E"/>
    <w:rsid w:val="00182848"/>
    <w:rsid w:val="001B2FAD"/>
    <w:rsid w:val="001C1B05"/>
    <w:rsid w:val="001F7A8D"/>
    <w:rsid w:val="00204919"/>
    <w:rsid w:val="00312AF1"/>
    <w:rsid w:val="003136F4"/>
    <w:rsid w:val="003249A1"/>
    <w:rsid w:val="003409DB"/>
    <w:rsid w:val="00364578"/>
    <w:rsid w:val="003731F8"/>
    <w:rsid w:val="00386298"/>
    <w:rsid w:val="00387FB9"/>
    <w:rsid w:val="00405051"/>
    <w:rsid w:val="00421733"/>
    <w:rsid w:val="00454E4B"/>
    <w:rsid w:val="0046535C"/>
    <w:rsid w:val="004C6EBE"/>
    <w:rsid w:val="004E6EB7"/>
    <w:rsid w:val="004F4CB9"/>
    <w:rsid w:val="00532C1B"/>
    <w:rsid w:val="005640EA"/>
    <w:rsid w:val="005924E0"/>
    <w:rsid w:val="005B01B9"/>
    <w:rsid w:val="005F0A5B"/>
    <w:rsid w:val="006234E9"/>
    <w:rsid w:val="00723CE4"/>
    <w:rsid w:val="00727797"/>
    <w:rsid w:val="00765B2C"/>
    <w:rsid w:val="007A759A"/>
    <w:rsid w:val="007D344F"/>
    <w:rsid w:val="008145E0"/>
    <w:rsid w:val="00872CFC"/>
    <w:rsid w:val="00887044"/>
    <w:rsid w:val="00942CD0"/>
    <w:rsid w:val="00964560"/>
    <w:rsid w:val="00967ACF"/>
    <w:rsid w:val="009A59CA"/>
    <w:rsid w:val="00A156BF"/>
    <w:rsid w:val="00A8146C"/>
    <w:rsid w:val="00A845F8"/>
    <w:rsid w:val="00B53331"/>
    <w:rsid w:val="00B62F50"/>
    <w:rsid w:val="00B64BE2"/>
    <w:rsid w:val="00BC32A4"/>
    <w:rsid w:val="00C37610"/>
    <w:rsid w:val="00C47C6F"/>
    <w:rsid w:val="00C50771"/>
    <w:rsid w:val="00C70515"/>
    <w:rsid w:val="00D43681"/>
    <w:rsid w:val="00D60725"/>
    <w:rsid w:val="00D75C62"/>
    <w:rsid w:val="00D83298"/>
    <w:rsid w:val="00DC20C4"/>
    <w:rsid w:val="00E81B69"/>
    <w:rsid w:val="00E851F4"/>
    <w:rsid w:val="00F341C0"/>
    <w:rsid w:val="00FE562B"/>
    <w:rsid w:val="02A238FD"/>
    <w:rsid w:val="13C52639"/>
    <w:rsid w:val="343D4CF8"/>
    <w:rsid w:val="44941753"/>
    <w:rsid w:val="647C1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pPr>
  </w:style>
  <w:style w:type="character" w:styleId="8">
    <w:name w:val="Strong"/>
    <w:basedOn w:val="7"/>
    <w:qFormat/>
    <w:uiPriority w:val="22"/>
    <w:rPr>
      <w:b/>
      <w:bCs/>
    </w:rPr>
  </w:style>
  <w:style w:type="character" w:customStyle="1" w:styleId="9">
    <w:name w:val="页眉 Char"/>
    <w:basedOn w:val="7"/>
    <w:link w:val="4"/>
    <w:semiHidden/>
    <w:uiPriority w:val="99"/>
    <w:rPr>
      <w:rFonts w:ascii="宋体" w:hAnsi="宋体" w:eastAsia="宋体" w:cs="宋体"/>
      <w:sz w:val="18"/>
      <w:szCs w:val="18"/>
    </w:rPr>
  </w:style>
  <w:style w:type="character" w:customStyle="1" w:styleId="10">
    <w:name w:val="页脚 Char"/>
    <w:basedOn w:val="7"/>
    <w:link w:val="3"/>
    <w:semiHidden/>
    <w:uiPriority w:val="99"/>
    <w:rPr>
      <w:rFonts w:ascii="宋体" w:hAnsi="宋体" w:eastAsia="宋体" w:cs="宋体"/>
      <w:sz w:val="18"/>
      <w:szCs w:val="18"/>
    </w:rPr>
  </w:style>
  <w:style w:type="paragraph" w:customStyle="1" w:styleId="11">
    <w:name w:val="p0"/>
    <w:basedOn w:val="1"/>
    <w:semiHidden/>
    <w:uiPriority w:val="99"/>
    <w:rPr>
      <w:rFonts w:ascii="Times New Roman" w:hAnsi="Times New Roman" w:cs="Times New Roman"/>
      <w:sz w:val="20"/>
      <w:szCs w:val="20"/>
    </w:rPr>
  </w:style>
  <w:style w:type="character" w:customStyle="1" w:styleId="12">
    <w:name w:val="标题 1 Char"/>
    <w:basedOn w:val="7"/>
    <w:link w:val="2"/>
    <w:uiPriority w:val="9"/>
    <w:rPr>
      <w:rFonts w:ascii="宋体" w:hAnsi="宋体" w:eastAsia="宋体" w:cs="宋体"/>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1028</Words>
  <Characters>5860</Characters>
  <Lines>48</Lines>
  <Paragraphs>13</Paragraphs>
  <TotalTime>381</TotalTime>
  <ScaleCrop>false</ScaleCrop>
  <LinksUpToDate>false</LinksUpToDate>
  <CharactersWithSpaces>6875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2023-10-13T11:43:00Z</dcterms:created>
  <dc:creator>Administrator</dc:creator>
  <cp:lastModifiedBy>四十四</cp:lastModifiedBy>
  <dcterms:modified xsi:type="dcterms:W3CDTF">2023-10-26T07:40:34Z</dcterms:modified>
  <dc:title>公开报告模板</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