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5D2F" w:rsidRDefault="00D474FB">
      <w:pPr>
        <w:pStyle w:val="Char"/>
        <w:autoSpaceDE w:val="0"/>
        <w:spacing w:beforeAutospacing="0" w:afterAutospacing="0" w:line="594" w:lineRule="exact"/>
        <w:jc w:val="center"/>
        <w:rPr>
          <w:rFonts w:ascii="方正小标宋_GBK" w:eastAsia="方正小标宋_GBK" w:hAnsi="方正小标宋_GBK" w:cs="方正小标宋_GBK" w:hint="default"/>
          <w:sz w:val="44"/>
          <w:szCs w:val="44"/>
        </w:rPr>
      </w:pPr>
      <w:r>
        <w:rPr>
          <w:rStyle w:val="19"/>
          <w:rFonts w:ascii="方正小标宋_GBK" w:eastAsia="方正小标宋_GBK" w:hAnsi="方正小标宋_GBK" w:cs="方正小标宋_GBK" w:hint="eastAsia"/>
          <w:b w:val="0"/>
          <w:sz w:val="44"/>
          <w:szCs w:val="44"/>
          <w:shd w:val="clear" w:color="auto" w:fill="FFFFFF"/>
        </w:rPr>
        <w:t>重庆市铜梁区发展和改革委员会</w:t>
      </w:r>
    </w:p>
    <w:p w:rsidR="00015D2F" w:rsidRDefault="00D474FB">
      <w:pPr>
        <w:pStyle w:val="Char"/>
        <w:autoSpaceDE w:val="0"/>
        <w:spacing w:beforeAutospacing="0" w:afterAutospacing="0" w:line="594" w:lineRule="exact"/>
        <w:jc w:val="center"/>
        <w:rPr>
          <w:rFonts w:ascii="方正小标宋_GBK" w:eastAsia="方正小标宋_GBK" w:hAnsi="方正小标宋_GBK" w:cs="方正小标宋_GBK" w:hint="default"/>
          <w:sz w:val="44"/>
          <w:szCs w:val="44"/>
          <w:shd w:val="clear" w:color="auto" w:fill="FFFFFF"/>
        </w:rPr>
      </w:pPr>
      <w:r>
        <w:rPr>
          <w:rStyle w:val="19"/>
          <w:rFonts w:ascii="方正小标宋_GBK" w:eastAsia="方正小标宋_GBK" w:hAnsi="方正小标宋_GBK" w:cs="方正小标宋_GBK" w:hint="eastAsia"/>
          <w:b w:val="0"/>
          <w:sz w:val="44"/>
          <w:szCs w:val="44"/>
          <w:shd w:val="clear" w:color="auto" w:fill="FFFFFF"/>
        </w:rPr>
        <w:t>2022</w:t>
      </w:r>
      <w:r>
        <w:rPr>
          <w:rStyle w:val="19"/>
          <w:rFonts w:ascii="方正小标宋_GBK" w:eastAsia="方正小标宋_GBK" w:hAnsi="方正小标宋_GBK" w:cs="方正小标宋_GBK" w:hint="eastAsia"/>
          <w:b w:val="0"/>
          <w:sz w:val="44"/>
          <w:szCs w:val="44"/>
          <w:shd w:val="clear" w:color="auto" w:fill="FFFFFF"/>
        </w:rPr>
        <w:t>年度部门决算情况说明</w:t>
      </w:r>
    </w:p>
    <w:p w:rsidR="00015D2F" w:rsidRDefault="00015D2F">
      <w:pPr>
        <w:pStyle w:val="Char"/>
        <w:autoSpaceDE w:val="0"/>
        <w:spacing w:beforeAutospacing="0" w:afterAutospacing="0" w:line="594" w:lineRule="exact"/>
        <w:jc w:val="center"/>
        <w:rPr>
          <w:rStyle w:val="19"/>
          <w:rFonts w:ascii="方正小标宋_GBK" w:eastAsia="方正小标宋_GBK" w:hAnsi="方正小标宋_GBK" w:cs="方正小标宋_GBK" w:hint="eastAsia"/>
          <w:b w:val="0"/>
          <w:sz w:val="44"/>
          <w:szCs w:val="44"/>
          <w:shd w:val="clear" w:color="auto" w:fill="FFFFFF"/>
        </w:rPr>
      </w:pPr>
    </w:p>
    <w:p w:rsidR="00015D2F" w:rsidRDefault="00015D2F">
      <w:pPr>
        <w:pStyle w:val="Char"/>
        <w:autoSpaceDE w:val="0"/>
        <w:spacing w:beforeAutospacing="0" w:afterAutospacing="0" w:line="594" w:lineRule="exact"/>
        <w:jc w:val="center"/>
        <w:rPr>
          <w:rFonts w:ascii="方正小标宋_GBK" w:eastAsia="方正小标宋_GBK" w:hAnsi="方正小标宋_GBK" w:cs="方正小标宋_GBK" w:hint="default"/>
          <w:sz w:val="44"/>
          <w:szCs w:val="44"/>
          <w:shd w:val="clear" w:color="auto" w:fill="FFFFFF"/>
        </w:rPr>
      </w:pP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sz w:val="32"/>
          <w:szCs w:val="32"/>
        </w:rPr>
      </w:pPr>
      <w:r>
        <w:rPr>
          <w:rStyle w:val="19"/>
          <w:rFonts w:ascii="方正黑体_GBK" w:eastAsia="方正黑体_GBK" w:hAnsi="方正黑体_GBK" w:cs="方正黑体_GBK" w:hint="eastAsia"/>
          <w:sz w:val="32"/>
          <w:szCs w:val="32"/>
          <w:shd w:val="clear" w:color="auto" w:fill="FFFFFF"/>
        </w:rPr>
        <w:t>一、部门基本情况</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（一）职能职责</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sz w:val="32"/>
          <w:szCs w:val="32"/>
        </w:rPr>
        <w:t>拟订并组织实施国民经济和社会发展战略、中长期规划和年度计划。综合协调城乡总体规划及各专项建设规划。组织开展重大战略规划、重大政策、重大工程等评估督导，提出相关调整建议。统筹提出国民经济和社会发展主要目标，监测预测预警宏观经济和社会发展态势趋势，提出宏观调控政策建议。研究经济运行中的重大问题并及时提出相关政策建议，协调解决经济运行中的重大问题。</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rPr>
        <w:t>指导推进和综合协调经济体制改革有关工作，提出相关改革建议。牵头推进供给侧结构性改革。协调推进产权制度和要素市场化配置改革。组织拟订并协调实施综合性经济体制改革方案及有关专项改革方案，会同有关部门做好重要专项改革之间的衔接。</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sz w:val="32"/>
          <w:szCs w:val="32"/>
        </w:rPr>
        <w:t>贯彻执行有关价格政策，提出价格改革方案，按照重庆市地方定价目录制定少数由政府管理的重要商品、服务价格和重要收费标准并组织实施，健全反映市场供求的定价机制。</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sz w:val="32"/>
          <w:szCs w:val="32"/>
        </w:rPr>
        <w:t>负责投资综合管理，贯彻落实全区固定资产投资总规</w:t>
      </w:r>
      <w:r>
        <w:rPr>
          <w:rFonts w:ascii="方正仿宋_GBK" w:eastAsia="方正仿宋_GBK" w:hAnsi="方正仿宋_GBK" w:cs="方正仿宋_GBK"/>
          <w:sz w:val="32"/>
          <w:szCs w:val="32"/>
        </w:rPr>
        <w:lastRenderedPageBreak/>
        <w:t>模和投资结构的调控目标、政策及措施。组织编制全区重大项目投融资规划。按规定权限审批、核准、备案重大建设项目。规划重大建设项目和生产力布局。负责统筹、调度和督促重大项目，研究提出年度重点项目名单。</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5.</w:t>
      </w:r>
      <w:r>
        <w:rPr>
          <w:rFonts w:ascii="方正仿宋_GBK" w:eastAsia="方正仿宋_GBK" w:hAnsi="方正仿宋_GBK" w:cs="方正仿宋_GBK"/>
          <w:sz w:val="32"/>
          <w:szCs w:val="32"/>
        </w:rPr>
        <w:t>推进落实区域协调发展战略、新型城镇化战略和重大政策，组织拟订相关区域规划和政策。统筹推进实施全区重大区域发展战略。统筹协调区域合作和对口支援工作。</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sz w:val="32"/>
          <w:szCs w:val="32"/>
        </w:rPr>
        <w:t>协调一二三产业发展重大问题并统筹衔接相关发展规划和重大政策，协调推进重大基础设施建设发展，组织拟订并推动实施服</w:t>
      </w:r>
      <w:r>
        <w:rPr>
          <w:rFonts w:ascii="方正仿宋_GBK" w:eastAsia="方正仿宋_GBK" w:hAnsi="方正仿宋_GBK" w:cs="方正仿宋_GBK"/>
          <w:sz w:val="32"/>
          <w:szCs w:val="32"/>
        </w:rPr>
        <w:t>务业战略规划和重大政策。协调农业和农村经济社会发展的重大问题。推动实施创新驱动发展战略。</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7.</w:t>
      </w:r>
      <w:r>
        <w:rPr>
          <w:rFonts w:ascii="方正仿宋_GBK" w:eastAsia="方正仿宋_GBK" w:hAnsi="方正仿宋_GBK" w:cs="方正仿宋_GBK"/>
          <w:sz w:val="32"/>
          <w:szCs w:val="32"/>
        </w:rPr>
        <w:t>负责重要商品总量平衡和宏观调控。承担粮食总量平衡和宏观调控工作，提出粮食流通发展的政策建议。负责粮食流通的行业管理和区级储备粮油管理。承担粮食监测、应急调控、军粮供应管理和监督检查等工作。</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8.</w:t>
      </w:r>
      <w:r>
        <w:rPr>
          <w:rFonts w:ascii="方正仿宋_GBK" w:eastAsia="方正仿宋_GBK" w:hAnsi="方正仿宋_GBK" w:cs="方正仿宋_GBK"/>
          <w:sz w:val="32"/>
          <w:szCs w:val="32"/>
        </w:rPr>
        <w:t>负责社会发展与国民经济发展的政策衔接，协调有关重大问题。深入推进简政放权，全面实施市场准入负面清单制度。牵头开展社会信用体系建设，加快推进政府监管和公共信用信息共享。</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b/>
          <w:sz w:val="32"/>
          <w:szCs w:val="32"/>
          <w:shd w:val="clear" w:color="auto" w:fill="FFFFFF"/>
        </w:rPr>
      </w:pPr>
      <w:r>
        <w:rPr>
          <w:rFonts w:ascii="方正仿宋_GBK" w:eastAsia="方正仿宋_GBK" w:hAnsi="方正仿宋_GBK" w:cs="方正仿宋_GBK"/>
          <w:sz w:val="32"/>
          <w:szCs w:val="32"/>
        </w:rPr>
        <w:t>9.</w:t>
      </w:r>
      <w:r>
        <w:rPr>
          <w:rFonts w:ascii="方正仿宋_GBK" w:eastAsia="方正仿宋_GBK" w:hAnsi="方正仿宋_GBK" w:cs="方正仿宋_GBK"/>
          <w:sz w:val="32"/>
          <w:szCs w:val="32"/>
        </w:rPr>
        <w:t>组织拟订能源资源节约和综合利用的战略、规划、计划、政</w:t>
      </w:r>
      <w:r>
        <w:rPr>
          <w:rFonts w:ascii="方正仿宋_GBK" w:eastAsia="方正仿宋_GBK" w:hAnsi="方正仿宋_GBK" w:cs="方正仿宋_GBK"/>
          <w:sz w:val="32"/>
          <w:szCs w:val="32"/>
        </w:rPr>
        <w:t>策，并协调实施。</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（二）机构设置</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lastRenderedPageBreak/>
        <w:t>区发展改革委共设</w:t>
      </w:r>
      <w:r>
        <w:rPr>
          <w:rFonts w:ascii="方正仿宋_GBK" w:eastAsia="方正仿宋_GBK" w:hAnsi="方正仿宋_GBK" w:cs="方正仿宋_GBK"/>
          <w:sz w:val="32"/>
          <w:szCs w:val="32"/>
        </w:rPr>
        <w:t>9</w:t>
      </w:r>
      <w:r>
        <w:rPr>
          <w:rFonts w:ascii="方正仿宋_GBK" w:eastAsia="方正仿宋_GBK" w:hAnsi="方正仿宋_GBK" w:cs="方正仿宋_GBK"/>
          <w:sz w:val="32"/>
          <w:szCs w:val="32"/>
        </w:rPr>
        <w:t>个科室：办公室、投资科、国民经济综合科、招投标监管科、能源科、粮食管理科、价格管理科、</w:t>
      </w:r>
      <w:r>
        <w:rPr>
          <w:rFonts w:ascii="方正仿宋_GBK" w:eastAsia="方正仿宋_GBK" w:hAnsi="方正仿宋_GBK" w:cs="方正仿宋_GBK"/>
          <w:sz w:val="32"/>
          <w:szCs w:val="32"/>
          <w:shd w:val="clear" w:color="auto" w:fill="FFFFFF"/>
        </w:rPr>
        <w:t>行政执法科、国防动员科</w:t>
      </w:r>
      <w:r>
        <w:rPr>
          <w:rFonts w:ascii="方正仿宋_GBK" w:eastAsia="方正仿宋_GBK" w:hAnsi="方正仿宋_GBK" w:cs="方正仿宋_GBK"/>
          <w:sz w:val="32"/>
          <w:szCs w:val="32"/>
        </w:rPr>
        <w:t>。</w:t>
      </w:r>
    </w:p>
    <w:p w:rsidR="00015D2F" w:rsidRDefault="00D474FB">
      <w:pPr>
        <w:pStyle w:val="Char"/>
        <w:shd w:val="clear" w:color="auto" w:fill="FFFFFF"/>
        <w:autoSpaceDE w:val="0"/>
        <w:spacing w:beforeAutospacing="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区发展和改革委员会下设参一个公事业单位：价格认证中心；一个事业单位：经济运行监测中心。</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（三）单位构成</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从预算单位构成看，纳入本部门</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年度决算编制的二级预算单位主要包括：</w:t>
      </w:r>
      <w:r>
        <w:rPr>
          <w:rFonts w:ascii="方正仿宋_GBK" w:eastAsia="方正仿宋_GBK" w:hAnsi="方正仿宋_GBK" w:cs="方正仿宋_GBK"/>
          <w:sz w:val="32"/>
          <w:szCs w:val="32"/>
          <w:shd w:val="clear" w:color="auto" w:fill="FFFFFF"/>
        </w:rPr>
        <w:t>重庆市铜梁区发展和改革委员会（本级）、重庆市铜梁区价格认证中心、重庆市铜梁区经济运行监测中心三个单位。</w:t>
      </w: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b/>
          <w:sz w:val="32"/>
          <w:szCs w:val="32"/>
          <w:shd w:val="clear" w:color="auto" w:fill="FFFFFF"/>
        </w:rPr>
      </w:pPr>
      <w:r>
        <w:rPr>
          <w:rStyle w:val="19"/>
          <w:rFonts w:ascii="方正黑体_GBK" w:eastAsia="方正黑体_GBK" w:hAnsi="方正黑体_GBK" w:cs="方正黑体_GBK" w:hint="eastAsia"/>
          <w:sz w:val="32"/>
          <w:szCs w:val="32"/>
          <w:shd w:val="clear" w:color="auto" w:fill="FFFFFF"/>
        </w:rPr>
        <w:t>二、部门决算情况说明</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（一）收入支出决算总体情况说明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1.</w:t>
      </w:r>
      <w:r>
        <w:rPr>
          <w:rStyle w:val="19"/>
          <w:rFonts w:ascii="方正仿宋_GBK" w:eastAsia="方正仿宋_GBK" w:hAnsi="方正仿宋_GBK" w:cs="方正仿宋_GBK" w:hint="eastAsia"/>
          <w:b w:val="0"/>
          <w:sz w:val="32"/>
          <w:szCs w:val="32"/>
          <w:shd w:val="clear" w:color="auto" w:fill="FFFFFF"/>
        </w:rPr>
        <w:t>总体情况。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万元。收支较上年决算数增加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，主要原因是今年的决算数据是首次由三个二级预算单位合并而成的汇总数据，无上年数据作对比。</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2.</w:t>
      </w:r>
      <w:r>
        <w:rPr>
          <w:rStyle w:val="19"/>
          <w:rFonts w:ascii="方正仿宋_GBK" w:eastAsia="方正仿宋_GBK" w:hAnsi="方正仿宋_GBK" w:cs="方正仿宋_GBK" w:hint="eastAsia"/>
          <w:b w:val="0"/>
          <w:sz w:val="32"/>
          <w:szCs w:val="32"/>
          <w:shd w:val="clear" w:color="auto" w:fill="FFFFFF"/>
        </w:rPr>
        <w:t>收入情况。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，主要原因是今年的收入决算数据是首次由三个二级预算单位合并而成的汇总数据，无上年数据作对比。其中：财政拨款收入</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3.</w:t>
      </w:r>
      <w:r>
        <w:rPr>
          <w:rStyle w:val="19"/>
          <w:rFonts w:ascii="方正仿宋_GBK" w:eastAsia="方正仿宋_GBK" w:hAnsi="方正仿宋_GBK" w:cs="方正仿宋_GBK" w:hint="eastAsia"/>
          <w:b w:val="0"/>
          <w:sz w:val="32"/>
          <w:szCs w:val="32"/>
          <w:shd w:val="clear" w:color="auto" w:fill="FFFFFF"/>
        </w:rPr>
        <w:t>支出情况。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shd w:val="clear" w:color="auto" w:fill="FFFFFF"/>
        </w:rPr>
        <w:t>4,032</w:t>
      </w:r>
      <w:r>
        <w:rPr>
          <w:rFonts w:ascii="方正仿宋_GBK" w:eastAsia="方正仿宋_GBK" w:hAnsi="方正仿宋_GBK" w:cs="方正仿宋_GBK"/>
          <w:sz w:val="32"/>
          <w:szCs w:val="32"/>
          <w:shd w:val="clear" w:color="auto" w:fill="FFFFFF"/>
        </w:rPr>
        <w:t>.43</w:t>
      </w:r>
      <w:r>
        <w:rPr>
          <w:rFonts w:ascii="方正仿宋_GBK" w:eastAsia="方正仿宋_GBK" w:hAnsi="方正仿宋_GBK" w:cs="方正仿宋_GBK"/>
          <w:sz w:val="32"/>
          <w:szCs w:val="32"/>
          <w:shd w:val="clear" w:color="auto" w:fill="FFFFFF"/>
        </w:rPr>
        <w:t>万元，较上年决算增加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w:t>
      </w:r>
      <w:r>
        <w:rPr>
          <w:rFonts w:ascii="方正仿宋_GBK" w:eastAsia="方正仿宋_GBK" w:hAnsi="方正仿宋_GBK" w:cs="方正仿宋_GBK"/>
          <w:sz w:val="32"/>
          <w:szCs w:val="32"/>
          <w:shd w:val="clear" w:color="auto" w:fill="FFFFFF"/>
        </w:rPr>
        <w:lastRenderedPageBreak/>
        <w:t>支出决算数据是首次由三个二级预算单位合并而成的汇总数据，无上年数据作对比。其中：基本支出</w:t>
      </w:r>
      <w:r>
        <w:rPr>
          <w:rFonts w:ascii="方正仿宋_GBK" w:eastAsia="方正仿宋_GBK" w:hAnsi="方正仿宋_GBK" w:cs="方正仿宋_GBK"/>
          <w:sz w:val="32"/>
          <w:szCs w:val="32"/>
          <w:shd w:val="clear" w:color="auto" w:fill="FFFFFF"/>
        </w:rPr>
        <w:t>959.83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23.8%</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shd w:val="clear" w:color="auto" w:fill="FFFFFF"/>
        </w:rPr>
        <w:t>3,072.60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76.2%</w:t>
      </w:r>
      <w:r>
        <w:rPr>
          <w:rFonts w:ascii="方正仿宋_GBK" w:eastAsia="方正仿宋_GBK" w:hAnsi="方正仿宋_GBK" w:cs="方正仿宋_GBK"/>
          <w:sz w:val="32"/>
          <w:szCs w:val="32"/>
          <w:shd w:val="clear" w:color="auto" w:fill="FFFFFF"/>
        </w:rPr>
        <w:t>。</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t>4.</w:t>
      </w:r>
      <w:r>
        <w:rPr>
          <w:rStyle w:val="19"/>
          <w:rFonts w:ascii="方正仿宋_GBK" w:eastAsia="方正仿宋_GBK" w:hAnsi="方正仿宋_GBK" w:cs="方正仿宋_GBK" w:hint="eastAsia"/>
          <w:b w:val="0"/>
          <w:sz w:val="32"/>
          <w:szCs w:val="32"/>
          <w:shd w:val="clear" w:color="auto" w:fill="FFFFFF"/>
        </w:rPr>
        <w:t>结转结余情况。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（二）财政拨款收入支出决算总体情况说明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2021</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。主要原因是今年的决算数据是首次由三个二级预算单位合并而成的汇总数据，无上年数据作对比。</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（三）一般公共预算财政拨款收入支出决算情况说明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t>1.</w:t>
      </w:r>
      <w:r>
        <w:rPr>
          <w:rStyle w:val="19"/>
          <w:rFonts w:ascii="方正仿宋_GBK" w:eastAsia="方正仿宋_GBK" w:hAnsi="方正仿宋_GBK" w:cs="方正仿宋_GBK" w:hint="eastAsia"/>
          <w:b w:val="0"/>
          <w:sz w:val="32"/>
          <w:szCs w:val="32"/>
          <w:shd w:val="clear" w:color="auto" w:fill="FFFFFF"/>
        </w:rPr>
        <w:t>收入情况。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。主要原因是今年的收入决算数据是首次由三个二级预算单位合并而成的汇总数据，无上年数据作对比。较年初预算数减少</w:t>
      </w:r>
      <w:r>
        <w:rPr>
          <w:rFonts w:ascii="方正仿宋_GBK" w:eastAsia="方正仿宋_GBK" w:hAnsi="方正仿宋_GBK" w:cs="方正仿宋_GBK"/>
          <w:sz w:val="32"/>
          <w:szCs w:val="32"/>
          <w:shd w:val="clear" w:color="auto" w:fill="FFFFFF"/>
        </w:rPr>
        <w:t>2,051.80</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33.7%</w:t>
      </w:r>
      <w:r>
        <w:rPr>
          <w:rFonts w:ascii="方正仿宋_GBK" w:eastAsia="方正仿宋_GBK" w:hAnsi="方正仿宋_GBK" w:cs="方正仿宋_GBK"/>
          <w:sz w:val="32"/>
          <w:szCs w:val="32"/>
          <w:shd w:val="clear" w:color="auto" w:fill="FFFFFF"/>
        </w:rPr>
        <w:t>。主要原因是按要求压减了项目收入。此外，年初财政拨款结转和结余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t>2.</w:t>
      </w:r>
      <w:r>
        <w:rPr>
          <w:rStyle w:val="19"/>
          <w:rFonts w:ascii="方正仿宋_GBK" w:eastAsia="方正仿宋_GBK" w:hAnsi="方正仿宋_GBK" w:cs="方正仿宋_GBK" w:hint="eastAsia"/>
          <w:b w:val="0"/>
          <w:sz w:val="32"/>
          <w:szCs w:val="32"/>
          <w:shd w:val="clear" w:color="auto" w:fill="FFFFFF"/>
        </w:rPr>
        <w:t>支出情况。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4,032.43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。主要原因是今年的支出决算数据是首次由三个二级预算单位合并而成的汇总数据，无上年数据作对比。较年</w:t>
      </w:r>
      <w:r>
        <w:rPr>
          <w:rFonts w:ascii="方正仿宋_GBK" w:eastAsia="方正仿宋_GBK" w:hAnsi="方正仿宋_GBK" w:cs="方正仿宋_GBK"/>
          <w:sz w:val="32"/>
          <w:szCs w:val="32"/>
          <w:shd w:val="clear" w:color="auto" w:fill="FFFFFF"/>
        </w:rPr>
        <w:lastRenderedPageBreak/>
        <w:t>初预算数减少</w:t>
      </w:r>
      <w:r>
        <w:rPr>
          <w:rFonts w:ascii="方正仿宋_GBK" w:eastAsia="方正仿宋_GBK" w:hAnsi="方正仿宋_GBK" w:cs="方正仿宋_GBK"/>
          <w:sz w:val="32"/>
          <w:szCs w:val="32"/>
          <w:shd w:val="clear" w:color="auto" w:fill="FFFFFF"/>
        </w:rPr>
        <w:t>2,051.80</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33.7%</w:t>
      </w:r>
      <w:r>
        <w:rPr>
          <w:rFonts w:ascii="方正仿宋_GBK" w:eastAsia="方正仿宋_GBK" w:hAnsi="方正仿宋_GBK" w:cs="方正仿宋_GBK"/>
          <w:sz w:val="32"/>
          <w:szCs w:val="32"/>
          <w:shd w:val="clear" w:color="auto" w:fill="FFFFFF"/>
        </w:rPr>
        <w:t>。主要原因是按要求压减了部分项目支出，部分项目进度达不到付款要求。</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3.</w:t>
      </w:r>
      <w:r>
        <w:rPr>
          <w:rStyle w:val="19"/>
          <w:rFonts w:ascii="方正仿宋_GBK" w:eastAsia="方正仿宋_GBK" w:hAnsi="方正仿宋_GBK" w:cs="方正仿宋_GBK" w:hint="eastAsia"/>
          <w:b w:val="0"/>
          <w:sz w:val="32"/>
          <w:szCs w:val="32"/>
          <w:shd w:val="clear" w:color="auto" w:fill="FFFFFF"/>
        </w:rPr>
        <w:t>结转结余情况。</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w:t>
      </w:r>
      <w:r>
        <w:rPr>
          <w:rFonts w:ascii="方正仿宋_GBK" w:eastAsia="方正仿宋_GBK" w:hAnsi="方正仿宋_GBK" w:cs="方正仿宋_GBK"/>
          <w:sz w:val="32"/>
          <w:szCs w:val="32"/>
          <w:shd w:val="clear" w:color="auto" w:fill="FFFFFF"/>
        </w:rPr>
        <w:t>上年决算数增加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w:t>
      </w:r>
      <w:r>
        <w:rPr>
          <w:rStyle w:val="18"/>
          <w:rFonts w:ascii="方正仿宋_GBK" w:eastAsia="方正仿宋_GBK" w:hAnsi="方正仿宋_GBK" w:cs="方正仿宋_GBK" w:hint="eastAsia"/>
          <w:b w:val="0"/>
          <w:sz w:val="32"/>
          <w:szCs w:val="32"/>
          <w:shd w:val="clear" w:color="auto" w:fill="FFFFFF"/>
        </w:rPr>
        <w:t>与上年持平。</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t>4.</w:t>
      </w:r>
      <w:r>
        <w:rPr>
          <w:rStyle w:val="19"/>
          <w:rFonts w:ascii="方正仿宋_GBK" w:eastAsia="方正仿宋_GBK" w:hAnsi="方正仿宋_GBK" w:cs="方正仿宋_GBK" w:hint="eastAsia"/>
          <w:b w:val="0"/>
          <w:sz w:val="32"/>
          <w:szCs w:val="32"/>
          <w:shd w:val="clear" w:color="auto" w:fill="FFFFFF"/>
        </w:rPr>
        <w:t>比较情况。</w:t>
      </w: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年度一般公共预算财政拨款支出主要用于以下几个方面：</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shd w:val="clear" w:color="auto" w:fill="FFFFFF"/>
        </w:rPr>
        <w:t>1,829.45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45.4%</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2,393.30</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56.7%</w:t>
      </w:r>
      <w:r>
        <w:rPr>
          <w:rFonts w:ascii="方正仿宋_GBK" w:eastAsia="方正仿宋_GBK" w:hAnsi="方正仿宋_GBK" w:cs="方正仿宋_GBK"/>
          <w:sz w:val="32"/>
          <w:szCs w:val="32"/>
          <w:shd w:val="clear" w:color="auto" w:fill="FFFFFF"/>
        </w:rPr>
        <w:t>，主要原因是按要求压减了部分项目支出，部分项目进度达不到付款要求。</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shd w:val="clear" w:color="auto" w:fill="FFFFFF"/>
        </w:rPr>
        <w:t>177.40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4.4%</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26.38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17.5%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社保基数调整、人员变动。</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25.56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0.6%</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13</w:t>
      </w:r>
      <w:r>
        <w:rPr>
          <w:rFonts w:ascii="方正仿宋_GBK" w:eastAsia="方正仿宋_GBK" w:hAnsi="方正仿宋_GBK" w:cs="方正仿宋_GBK"/>
          <w:sz w:val="32"/>
          <w:szCs w:val="32"/>
          <w:shd w:val="clear" w:color="auto" w:fill="FFFFFF"/>
        </w:rPr>
        <w:t>.20</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缴费基数调整、人员变动。</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shd w:val="clear" w:color="auto" w:fill="FFFFFF"/>
        </w:rPr>
        <w:t>1,333.00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33.1%</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309.00</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18.8%</w:t>
      </w:r>
      <w:r>
        <w:rPr>
          <w:rFonts w:ascii="方正仿宋_GBK" w:eastAsia="方正仿宋_GBK" w:hAnsi="方正仿宋_GBK" w:cs="方正仿宋_GBK"/>
          <w:sz w:val="32"/>
          <w:szCs w:val="32"/>
          <w:shd w:val="clear" w:color="auto" w:fill="FFFFFF"/>
        </w:rPr>
        <w:t>，主要原因是部分项目进度达不到付款要求。</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）商业服务业等支出</w:t>
      </w:r>
      <w:r>
        <w:rPr>
          <w:rFonts w:ascii="方正仿宋_GBK" w:eastAsia="方正仿宋_GBK" w:hAnsi="方正仿宋_GBK" w:cs="方正仿宋_GBK"/>
          <w:sz w:val="32"/>
          <w:szCs w:val="32"/>
          <w:shd w:val="clear" w:color="auto" w:fill="FFFFFF"/>
        </w:rPr>
        <w:t>39.26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39.26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，主要原因是兑现商贸发展专项补助。</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）住房保障支出</w:t>
      </w:r>
      <w:r>
        <w:rPr>
          <w:rFonts w:ascii="方正仿宋_GBK" w:eastAsia="方正仿宋_GBK" w:hAnsi="方正仿宋_GBK" w:cs="方正仿宋_GBK"/>
          <w:sz w:val="32"/>
          <w:szCs w:val="32"/>
          <w:shd w:val="clear" w:color="auto" w:fill="FFFFFF"/>
        </w:rPr>
        <w:t>30.66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0.96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3.2%</w:t>
      </w:r>
      <w:r>
        <w:rPr>
          <w:rFonts w:ascii="方正仿宋_GBK" w:eastAsia="方正仿宋_GBK" w:hAnsi="方正仿宋_GBK" w:cs="方正仿宋_GBK"/>
          <w:sz w:val="32"/>
          <w:szCs w:val="32"/>
          <w:shd w:val="clear" w:color="auto" w:fill="FFFFFF"/>
        </w:rPr>
        <w:t>，主要原因是人员增加。</w:t>
      </w:r>
    </w:p>
    <w:p w:rsidR="00015D2F" w:rsidRDefault="00D474FB">
      <w:pPr>
        <w:pStyle w:val="CharChar"/>
        <w:autoSpaceDE w:val="0"/>
        <w:spacing w:beforeAutospacing="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）粮油物资储备支出</w:t>
      </w:r>
      <w:r>
        <w:rPr>
          <w:rFonts w:ascii="方正仿宋_GBK" w:eastAsia="方正仿宋_GBK" w:hAnsi="方正仿宋_GBK" w:cs="方正仿宋_GBK"/>
          <w:sz w:val="32"/>
          <w:szCs w:val="32"/>
          <w:shd w:val="clear" w:color="auto" w:fill="FFFFFF"/>
        </w:rPr>
        <w:t>597.11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14.8%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597.11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，主要原因是为确保粮食安全，增加了粮油的储备量。</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（四）一般公共预算财政拨款基本支出决算情况说明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年度一般公共预算财政拨款基本支出</w:t>
      </w:r>
      <w:r>
        <w:rPr>
          <w:rFonts w:ascii="方正仿宋_GBK" w:eastAsia="方正仿宋_GBK" w:hAnsi="方正仿宋_GBK" w:cs="方正仿宋_GBK"/>
          <w:sz w:val="32"/>
          <w:szCs w:val="32"/>
          <w:shd w:val="clear" w:color="auto" w:fill="FFFFFF"/>
        </w:rPr>
        <w:t>959.83</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shd w:val="clear" w:color="auto" w:fill="FFFFFF"/>
        </w:rPr>
        <w:t>818.21</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818.21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，主要原因是今年的决算数据是首次由三个二级预算单位合并而成的汇总数据，无上年数据作对比。人员经费用途主要包括是</w:t>
      </w:r>
      <w:r>
        <w:rPr>
          <w:rFonts w:ascii="方正仿宋_GBK" w:eastAsia="方正仿宋_GBK" w:hAnsi="方正仿宋_GBK" w:cs="方正仿宋_GBK"/>
          <w:sz w:val="32"/>
          <w:szCs w:val="32"/>
        </w:rPr>
        <w:t>人员调整、调整待遇等</w:t>
      </w:r>
      <w:r>
        <w:rPr>
          <w:rFonts w:ascii="方正仿宋_GBK" w:eastAsia="方正仿宋_GBK" w:hAnsi="方正仿宋_GBK" w:cs="方正仿宋_GBK"/>
          <w:sz w:val="32"/>
          <w:szCs w:val="32"/>
        </w:rPr>
        <w:t>.</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rPr>
        <w:t>基本工资、津贴补贴、奖金、社会保</w:t>
      </w:r>
      <w:r>
        <w:rPr>
          <w:rFonts w:ascii="方正仿宋_GBK" w:eastAsia="方正仿宋_GBK" w:hAnsi="方正仿宋_GBK" w:cs="方正仿宋_GBK"/>
          <w:sz w:val="32"/>
          <w:szCs w:val="32"/>
        </w:rPr>
        <w:t>障缴费等。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shd w:val="clear" w:color="auto" w:fill="FFFFFF"/>
        </w:rPr>
        <w:t>141.62</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141.62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，主要原因是今年的数据是首次由三个二级预算单位合并而成的汇总数据，无上年数据作对比。公用经费用途主要包括</w:t>
      </w:r>
      <w:r>
        <w:rPr>
          <w:rFonts w:ascii="方正仿宋_GBK" w:eastAsia="方正仿宋_GBK" w:hAnsi="方正仿宋_GBK" w:cs="方正仿宋_GBK"/>
          <w:sz w:val="32"/>
          <w:szCs w:val="32"/>
        </w:rPr>
        <w:t>办公费、印刷费、咨询费、手续费、水费、电费、邮电费、劳务费、培训费、公务接待费、会议费、公务车运行维护费、宣传费等。</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（五）政府性基金预算收支决算情况说明。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rPr>
        <w:t>本部门</w:t>
      </w:r>
      <w:r>
        <w:rPr>
          <w:rStyle w:val="19"/>
          <w:rFonts w:ascii="方正仿宋_GBK" w:eastAsia="方正仿宋_GBK" w:hAnsi="方正仿宋_GBK" w:cs="方正仿宋_GBK" w:hint="eastAsia"/>
          <w:b w:val="0"/>
          <w:sz w:val="32"/>
          <w:szCs w:val="32"/>
        </w:rPr>
        <w:t>2022</w:t>
      </w:r>
      <w:r>
        <w:rPr>
          <w:rStyle w:val="19"/>
          <w:rFonts w:ascii="方正仿宋_GBK" w:eastAsia="方正仿宋_GBK" w:hAnsi="方正仿宋_GBK" w:cs="方正仿宋_GBK" w:hint="eastAsia"/>
          <w:b w:val="0"/>
          <w:sz w:val="32"/>
          <w:szCs w:val="32"/>
        </w:rPr>
        <w:t>年度无政府性基金预算财政拨款收支。</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（六）国有资本经营预算财政拨款支出决算情况说明。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rPr>
        <w:t>本部门</w:t>
      </w:r>
      <w:r>
        <w:rPr>
          <w:rStyle w:val="19"/>
          <w:rFonts w:ascii="方正仿宋_GBK" w:eastAsia="方正仿宋_GBK" w:hAnsi="方正仿宋_GBK" w:cs="方正仿宋_GBK" w:hint="eastAsia"/>
          <w:b w:val="0"/>
          <w:sz w:val="32"/>
          <w:szCs w:val="32"/>
        </w:rPr>
        <w:t>2022</w:t>
      </w:r>
      <w:r>
        <w:rPr>
          <w:rStyle w:val="19"/>
          <w:rFonts w:ascii="方正仿宋_GBK" w:eastAsia="方正仿宋_GBK" w:hAnsi="方正仿宋_GBK" w:cs="方正仿宋_GBK" w:hint="eastAsia"/>
          <w:b w:val="0"/>
          <w:sz w:val="32"/>
          <w:szCs w:val="32"/>
        </w:rPr>
        <w:t>年度无国有资本经营预算财政拨款支出。</w:t>
      </w: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b/>
          <w:sz w:val="32"/>
          <w:szCs w:val="32"/>
          <w:shd w:val="clear" w:color="auto" w:fill="FFFFFF"/>
        </w:rPr>
      </w:pPr>
      <w:r>
        <w:rPr>
          <w:rStyle w:val="19"/>
          <w:rFonts w:ascii="方正黑体_GBK" w:eastAsia="方正黑体_GBK" w:hAnsi="方正黑体_GBK" w:cs="方正黑体_GBK" w:hint="eastAsia"/>
          <w:sz w:val="32"/>
          <w:szCs w:val="32"/>
          <w:shd w:val="clear" w:color="auto" w:fill="FFFFFF"/>
        </w:rPr>
        <w:t>三、“三公”经费情况说明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lastRenderedPageBreak/>
        <w:t>（一）“三公”经费支出总体情况说明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shd w:val="clear" w:color="auto" w:fill="FFFFFF"/>
        </w:rPr>
        <w:t>17.45</w:t>
      </w:r>
      <w:r>
        <w:rPr>
          <w:rFonts w:ascii="方正仿宋_GBK" w:eastAsia="方正仿宋_GBK" w:hAnsi="方正仿宋_GBK" w:cs="方正仿宋_GBK"/>
          <w:sz w:val="32"/>
          <w:szCs w:val="32"/>
          <w:shd w:val="clear" w:color="auto" w:fill="FFFFFF"/>
        </w:rPr>
        <w:t>万元，较年初预算数减少</w:t>
      </w:r>
      <w:r>
        <w:rPr>
          <w:rFonts w:ascii="方正仿宋_GBK" w:eastAsia="方正仿宋_GBK" w:hAnsi="方正仿宋_GBK" w:cs="方正仿宋_GBK"/>
          <w:sz w:val="32"/>
          <w:szCs w:val="32"/>
          <w:shd w:val="clear" w:color="auto" w:fill="FFFFFF"/>
        </w:rPr>
        <w:t>13.95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44.4%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今年无公务车购置费用，厉行节约。</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17.45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，主要原因是工作量增加，费用增加。</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（二）“三公”经费分项支出情况</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年度本部门因公出国（境）费用</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万元，费用支出较年初预算数增加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年度未发生因公出国（境）支出</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p>
    <w:p w:rsidR="00015D2F" w:rsidRDefault="00D474FB">
      <w:pPr>
        <w:pStyle w:val="Char"/>
        <w:autoSpaceDE w:val="0"/>
        <w:spacing w:beforeAutospacing="0" w:afterAutospacing="0" w:line="594" w:lineRule="exact"/>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万元，费用支出较年初预算数增加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年度未发生公务车购置支出</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shd w:val="clear" w:color="auto" w:fill="FFFFFF"/>
        </w:rPr>
        <w:t>4.61</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rPr>
        <w:t>机要文件交换、市内因公出行、科室业务检查等工作所需车辆的燃料费、维修费、过桥过路费、保险费等。</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sz w:val="32"/>
          <w:szCs w:val="32"/>
          <w:shd w:val="clear" w:color="auto" w:fill="FFFFFF"/>
        </w:rPr>
        <w:t>0.79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14.6%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对公务车的管理更加规范，厉行节约。</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4.61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，主要原因是今年的数据是首次由三个二级预算单位合并而成的汇总数据，无上年数据</w:t>
      </w:r>
      <w:r>
        <w:rPr>
          <w:rFonts w:ascii="方正仿宋_GBK" w:eastAsia="方正仿宋_GBK" w:hAnsi="方正仿宋_GBK" w:cs="方正仿宋_GBK"/>
          <w:sz w:val="32"/>
          <w:szCs w:val="32"/>
          <w:shd w:val="clear" w:color="auto" w:fill="FFFFFF"/>
        </w:rPr>
        <w:t>作对比。</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shd w:val="clear" w:color="auto" w:fill="FFFFFF"/>
        </w:rPr>
        <w:t>12.83</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sz w:val="32"/>
          <w:szCs w:val="32"/>
        </w:rPr>
        <w:t>国内其他省市发改委到我单位学习调研工作，接受相关部门检查指导工作发生的接待支出。</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sz w:val="32"/>
          <w:szCs w:val="32"/>
          <w:shd w:val="clear" w:color="auto" w:fill="FFFFFF"/>
        </w:rPr>
        <w:t>13.17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下降</w:t>
      </w:r>
      <w:r>
        <w:rPr>
          <w:rFonts w:ascii="方正仿宋_GBK" w:eastAsia="方正仿宋_GBK" w:hAnsi="方正仿宋_GBK" w:cs="方正仿宋_GBK"/>
          <w:sz w:val="32"/>
          <w:szCs w:val="32"/>
          <w:shd w:val="clear" w:color="auto" w:fill="FFFFFF"/>
        </w:rPr>
        <w:t>50.7%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强化公务接待支出管理，严格遵守公务接待开支范围和开支标准，严格控制陪餐人数，对应由接待对象承担的费用一律由接待对象自行支付。</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12.83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，主要原因是工作量增加，接待增加。</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（三）“三公”经费实物量情况</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年度本部门因公出国（境）共计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w:t>
      </w:r>
      <w:r>
        <w:rPr>
          <w:rFonts w:ascii="方正仿宋_GBK" w:eastAsia="方正仿宋_GBK" w:hAnsi="方正仿宋_GBK" w:cs="方正仿宋_GBK"/>
          <w:sz w:val="32"/>
          <w:szCs w:val="32"/>
          <w:shd w:val="clear" w:color="auto" w:fill="FFFFFF"/>
        </w:rPr>
        <w:t>国内公务接待</w:t>
      </w:r>
      <w:r>
        <w:rPr>
          <w:rFonts w:ascii="方正仿宋_GBK" w:eastAsia="方正仿宋_GBK" w:hAnsi="方正仿宋_GBK" w:cs="方正仿宋_GBK"/>
          <w:sz w:val="32"/>
          <w:szCs w:val="32"/>
          <w:shd w:val="clear" w:color="auto" w:fill="FFFFFF"/>
        </w:rPr>
        <w:t>139</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1,480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年本部门人均接待费</w:t>
      </w:r>
      <w:r>
        <w:rPr>
          <w:rFonts w:ascii="方正仿宋_GBK" w:eastAsia="方正仿宋_GBK" w:hAnsi="方正仿宋_GBK" w:cs="方正仿宋_GBK"/>
          <w:sz w:val="32"/>
          <w:szCs w:val="32"/>
          <w:shd w:val="clear" w:color="auto" w:fill="FFFFFF"/>
        </w:rPr>
        <w:t>86.72</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shd w:val="clear" w:color="auto" w:fill="FFFFFF"/>
        </w:rPr>
        <w:t>4.61</w:t>
      </w:r>
      <w:r>
        <w:rPr>
          <w:rFonts w:ascii="方正仿宋_GBK" w:eastAsia="方正仿宋_GBK" w:hAnsi="方正仿宋_GBK" w:cs="方正仿宋_GBK"/>
          <w:sz w:val="32"/>
          <w:szCs w:val="32"/>
          <w:shd w:val="clear" w:color="auto" w:fill="FFFFFF"/>
        </w:rPr>
        <w:t>万元。</w:t>
      </w: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b/>
          <w:sz w:val="32"/>
          <w:szCs w:val="32"/>
          <w:shd w:val="clear" w:color="auto" w:fill="FFFFFF"/>
        </w:rPr>
      </w:pPr>
      <w:r>
        <w:rPr>
          <w:rStyle w:val="19"/>
          <w:rFonts w:ascii="方正黑体_GBK" w:eastAsia="方正黑体_GBK" w:hAnsi="方正黑体_GBK" w:cs="方正黑体_GBK" w:hint="eastAsia"/>
          <w:sz w:val="32"/>
          <w:szCs w:val="32"/>
          <w:shd w:val="clear" w:color="auto" w:fill="FFFFFF"/>
        </w:rPr>
        <w:t>四、其他需要说明的事项</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（一）财政拨款会议费和培训费情况说明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shd w:val="clear" w:color="auto" w:fill="FFFFFF"/>
        </w:rPr>
        <w:t>2.01</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2.01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，主要原因是严格控制会议数量、</w:t>
      </w:r>
      <w:r>
        <w:rPr>
          <w:rFonts w:ascii="方正仿宋_GBK" w:eastAsia="方正仿宋_GBK" w:hAnsi="方正仿宋_GBK" w:cs="方正仿宋_GBK"/>
          <w:sz w:val="32"/>
          <w:szCs w:val="32"/>
        </w:rPr>
        <w:t>厉行节约。</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shd w:val="clear" w:color="auto" w:fill="FFFFFF"/>
        </w:rPr>
        <w:t>1.28</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1.28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，主要原因是今年的数据是首次由三个二级预算单位合并而成的汇总数据，无上年数据作对比。</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（二）机关运行经费支出情况说明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年度本部门机关运行经费支出</w:t>
      </w:r>
      <w:r>
        <w:rPr>
          <w:rFonts w:ascii="方正仿宋_GBK" w:eastAsia="方正仿宋_GBK" w:hAnsi="方正仿宋_GBK" w:cs="方正仿宋_GBK"/>
          <w:sz w:val="32"/>
          <w:szCs w:val="32"/>
          <w:shd w:val="clear" w:color="auto" w:fill="FFFFFF"/>
        </w:rPr>
        <w:t>139.42</w:t>
      </w:r>
      <w:r>
        <w:rPr>
          <w:rFonts w:ascii="方正仿宋_GBK" w:eastAsia="方正仿宋_GBK" w:hAnsi="方正仿宋_GBK" w:cs="方正仿宋_GBK"/>
          <w:sz w:val="32"/>
          <w:szCs w:val="32"/>
          <w:shd w:val="clear" w:color="auto" w:fill="FFFFFF"/>
        </w:rPr>
        <w:t>万元，主要用于开支开支</w:t>
      </w:r>
      <w:r>
        <w:rPr>
          <w:rFonts w:ascii="方正仿宋_GBK" w:eastAsia="方正仿宋_GBK" w:hAnsi="方正仿宋_GBK" w:cs="方正仿宋_GBK"/>
          <w:sz w:val="32"/>
          <w:szCs w:val="32"/>
        </w:rPr>
        <w:t>办公费、差旅费、劳务费、宣传费、公务车运行维护费、信息网络费。</w:t>
      </w:r>
      <w:r>
        <w:rPr>
          <w:rFonts w:ascii="方正仿宋_GBK" w:eastAsia="方正仿宋_GBK" w:hAnsi="方正仿宋_GBK" w:cs="方正仿宋_GBK"/>
          <w:sz w:val="32"/>
          <w:szCs w:val="32"/>
          <w:shd w:val="clear" w:color="auto" w:fill="FFFFFF"/>
        </w:rPr>
        <w:t>机关运行经费较上年决算数增加</w:t>
      </w:r>
      <w:r>
        <w:rPr>
          <w:rFonts w:ascii="方正仿宋_GBK" w:eastAsia="方正仿宋_GBK" w:hAnsi="方正仿宋_GBK" w:cs="方正仿宋_GBK"/>
          <w:sz w:val="32"/>
          <w:szCs w:val="32"/>
          <w:shd w:val="clear" w:color="auto" w:fill="FFFFFF"/>
        </w:rPr>
        <w:t>139.42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，主要原因是今年的数据是首次</w:t>
      </w:r>
      <w:r>
        <w:rPr>
          <w:rFonts w:ascii="方正仿宋_GBK" w:eastAsia="方正仿宋_GBK" w:hAnsi="方正仿宋_GBK" w:cs="方正仿宋_GBK"/>
          <w:sz w:val="32"/>
          <w:szCs w:val="32"/>
          <w:shd w:val="clear" w:color="auto" w:fill="FFFFFF"/>
        </w:rPr>
        <w:lastRenderedPageBreak/>
        <w:t>由三个二级预算单位合并而成的汇总数据，无上年数据作对比。</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（三）国有资产占用情况说明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辆、主要领导干部用车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辆，其他用车</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万元（含）以上设备（不含车辆）</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（四）政府采购支出说明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年度本部门政府采购支出总额</w:t>
      </w:r>
      <w:r>
        <w:rPr>
          <w:rFonts w:ascii="方正仿宋_GBK" w:eastAsia="方正仿宋_GBK" w:hAnsi="方正仿宋_GBK" w:cs="方正仿宋_GBK"/>
          <w:sz w:val="32"/>
          <w:szCs w:val="32"/>
          <w:shd w:val="clear" w:color="auto" w:fill="FFFFFF"/>
        </w:rPr>
        <w:t>277.80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shd w:val="clear" w:color="auto" w:fill="FFFFFF"/>
        </w:rPr>
        <w:t>277.80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shd w:val="clear" w:color="auto" w:fill="FFFFFF"/>
        </w:rPr>
        <w:t>234.80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shd w:val="clear" w:color="auto" w:fill="FFFFFF"/>
        </w:rPr>
        <w:t>84.5%</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shd w:val="clear" w:color="auto" w:fill="FFFFFF"/>
        </w:rPr>
        <w:t>234.80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shd w:val="clear" w:color="auto" w:fill="FFFFFF"/>
        </w:rPr>
        <w:t>84.5%</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rPr>
        <w:t>业务工作所需的第三方机构服务。</w:t>
      </w: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b/>
          <w:sz w:val="32"/>
          <w:szCs w:val="32"/>
          <w:shd w:val="clear" w:color="auto" w:fill="FFFFFF"/>
        </w:rPr>
      </w:pPr>
      <w:r>
        <w:rPr>
          <w:rStyle w:val="19"/>
          <w:rFonts w:ascii="方正黑体_GBK" w:eastAsia="方正黑体_GBK" w:hAnsi="方正黑体_GBK" w:cs="方正黑体_GBK" w:hint="eastAsia"/>
          <w:sz w:val="32"/>
          <w:szCs w:val="32"/>
          <w:shd w:val="clear" w:color="auto" w:fill="FFFFFF"/>
        </w:rPr>
        <w:t>五、预算绩效管理情况说明</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（一）预算绩效管理工作开展</w:t>
      </w:r>
      <w:r>
        <w:rPr>
          <w:rStyle w:val="19"/>
          <w:rFonts w:ascii="方正楷体_GBK" w:eastAsia="方正楷体_GBK" w:hAnsi="方正楷体_GBK" w:cs="方正楷体_GBK" w:hint="eastAsia"/>
          <w:b w:val="0"/>
          <w:sz w:val="32"/>
          <w:szCs w:val="32"/>
          <w:shd w:val="clear" w:color="auto" w:fill="FFFFFF"/>
        </w:rPr>
        <w:t>情况</w:t>
      </w:r>
      <w:r>
        <w:rPr>
          <w:rStyle w:val="19"/>
          <w:rFonts w:ascii="方正楷体_GBK" w:eastAsia="方正楷体_GBK" w:hAnsi="方正楷体_GBK" w:cs="方正楷体_GBK" w:hint="eastAsia"/>
          <w:b w:val="0"/>
          <w:sz w:val="32"/>
          <w:szCs w:val="32"/>
          <w:shd w:val="clear" w:color="auto" w:fill="FFFFFF"/>
        </w:rPr>
        <w:br/>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2022</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部门整体绩效和</w:t>
      </w:r>
      <w:r>
        <w:rPr>
          <w:rFonts w:ascii="方正仿宋_GBK" w:eastAsia="方正仿宋_GBK" w:hAnsi="方正仿宋_GBK" w:cs="方正仿宋_GBK"/>
          <w:sz w:val="32"/>
          <w:szCs w:val="32"/>
          <w:shd w:val="clear" w:color="auto" w:fill="FFFFFF"/>
        </w:rPr>
        <w:t>47</w:t>
      </w:r>
      <w:r>
        <w:rPr>
          <w:rFonts w:ascii="方正仿宋_GBK" w:eastAsia="方正仿宋_GBK" w:hAnsi="方正仿宋_GBK" w:cs="方正仿宋_GBK"/>
          <w:sz w:val="32"/>
          <w:szCs w:val="32"/>
          <w:shd w:val="clear" w:color="auto" w:fill="FFFFFF"/>
        </w:rPr>
        <w:t>个项目开展了绩效自评，其中，以填报自评表形式开展自评</w:t>
      </w:r>
      <w:r>
        <w:rPr>
          <w:rFonts w:ascii="方正仿宋_GBK" w:eastAsia="方正仿宋_GBK" w:hAnsi="方正仿宋_GBK" w:cs="方正仿宋_GBK"/>
          <w:sz w:val="32"/>
          <w:szCs w:val="32"/>
          <w:shd w:val="clear" w:color="auto" w:fill="FFFFFF"/>
        </w:rPr>
        <w:t>47</w:t>
      </w:r>
      <w:r>
        <w:rPr>
          <w:rFonts w:ascii="方正仿宋_GBK" w:eastAsia="方正仿宋_GBK" w:hAnsi="方正仿宋_GBK" w:cs="方正仿宋_GBK"/>
          <w:sz w:val="32"/>
          <w:szCs w:val="32"/>
          <w:shd w:val="clear" w:color="auto" w:fill="FFFFFF"/>
        </w:rPr>
        <w:t>项，涉及资金</w:t>
      </w:r>
      <w:r>
        <w:rPr>
          <w:rFonts w:ascii="方正仿宋_GBK" w:eastAsia="方正仿宋_GBK" w:hAnsi="方正仿宋_GBK" w:cs="方正仿宋_GBK"/>
          <w:sz w:val="32"/>
          <w:szCs w:val="32"/>
          <w:shd w:val="clear" w:color="auto" w:fill="FFFFFF"/>
        </w:rPr>
        <w:t>2087.95</w:t>
      </w:r>
      <w:r>
        <w:rPr>
          <w:rFonts w:ascii="方正仿宋_GBK" w:eastAsia="方正仿宋_GBK" w:hAnsi="方正仿宋_GBK" w:cs="方正仿宋_GBK"/>
          <w:sz w:val="32"/>
          <w:szCs w:val="32"/>
          <w:shd w:val="clear" w:color="auto" w:fill="FFFFFF"/>
        </w:rPr>
        <w:t>万元；以委托第三方出具报告的方式开展绩效评价</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项，涉及资金</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15D2F" w:rsidRDefault="00D474FB">
      <w:pPr>
        <w:pStyle w:val="Char"/>
        <w:autoSpaceDE w:val="0"/>
        <w:spacing w:beforeAutospacing="0" w:afterAutospacing="0" w:line="594" w:lineRule="exact"/>
        <w:ind w:firstLineChars="200" w:firstLine="640"/>
        <w:rPr>
          <w:rFonts w:ascii="方正楷体_GBK" w:eastAsia="方正楷体_GBK" w:hAnsi="方正楷体_GBK" w:cs="方正楷体_GBK" w:hint="default"/>
          <w:sz w:val="32"/>
          <w:szCs w:val="32"/>
          <w:shd w:val="clear" w:color="auto" w:fill="FFFFFF"/>
        </w:rPr>
      </w:pPr>
      <w:r>
        <w:rPr>
          <w:rStyle w:val="19"/>
          <w:rFonts w:ascii="方正楷体_GBK" w:eastAsia="方正楷体_GBK" w:hAnsi="方正楷体_GBK" w:cs="方正楷体_GBK" w:hint="eastAsia"/>
          <w:b w:val="0"/>
          <w:sz w:val="32"/>
          <w:szCs w:val="32"/>
          <w:shd w:val="clear" w:color="auto" w:fill="FFFFFF"/>
        </w:rPr>
        <w:t>（二）绩效自评结果。</w:t>
      </w:r>
      <w:bookmarkStart w:id="0" w:name="_GoBack"/>
      <w:bookmarkEnd w:id="0"/>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lastRenderedPageBreak/>
        <w:t>1.</w:t>
      </w:r>
      <w:r>
        <w:rPr>
          <w:rStyle w:val="19"/>
          <w:rFonts w:ascii="方正仿宋_GBK" w:eastAsia="方正仿宋_GBK" w:hAnsi="方正仿宋_GBK" w:cs="方正仿宋_GBK" w:hint="eastAsia"/>
          <w:b w:val="0"/>
          <w:sz w:val="32"/>
          <w:szCs w:val="32"/>
          <w:shd w:val="clear" w:color="auto" w:fill="FFFFFF"/>
        </w:rPr>
        <w:t>绩效目标自评表。</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rPr>
        <w:t>（</w:t>
      </w:r>
      <w:r>
        <w:rPr>
          <w:rStyle w:val="19"/>
          <w:rFonts w:ascii="方正仿宋_GBK" w:eastAsia="方正仿宋_GBK" w:hAnsi="方正仿宋_GBK" w:cs="方正仿宋_GBK" w:hint="eastAsia"/>
          <w:b w:val="0"/>
          <w:sz w:val="32"/>
          <w:szCs w:val="32"/>
        </w:rPr>
        <w:t>1</w:t>
      </w:r>
      <w:r>
        <w:rPr>
          <w:rStyle w:val="19"/>
          <w:rFonts w:ascii="方正仿宋_GBK" w:eastAsia="方正仿宋_GBK" w:hAnsi="方正仿宋_GBK" w:cs="方正仿宋_GBK" w:hint="eastAsia"/>
          <w:b w:val="0"/>
          <w:sz w:val="32"/>
          <w:szCs w:val="32"/>
        </w:rPr>
        <w:t>）</w:t>
      </w:r>
      <w:r>
        <w:rPr>
          <w:rFonts w:ascii="方正仿宋_GBK" w:eastAsia="方正仿宋_GBK" w:hAnsi="方正仿宋_GBK" w:cs="方正仿宋_GBK"/>
          <w:sz w:val="32"/>
          <w:szCs w:val="32"/>
          <w:shd w:val="clear" w:color="auto" w:fill="FFFFFF"/>
        </w:rPr>
        <w:t>部门整体绩效自评表。</w:t>
      </w:r>
    </w:p>
    <w:p w:rsidR="00015D2F" w:rsidRDefault="00D474FB">
      <w:pPr>
        <w:pStyle w:val="Char"/>
        <w:autoSpaceDE w:val="0"/>
        <w:spacing w:beforeAutospacing="0" w:afterAutospacing="0" w:line="594" w:lineRule="exact"/>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详见附件。</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rPr>
        <w:t>（</w:t>
      </w:r>
      <w:r>
        <w:rPr>
          <w:rStyle w:val="19"/>
          <w:rFonts w:ascii="方正仿宋_GBK" w:eastAsia="方正仿宋_GBK" w:hAnsi="方正仿宋_GBK" w:cs="方正仿宋_GBK" w:hint="eastAsia"/>
          <w:b w:val="0"/>
          <w:sz w:val="32"/>
          <w:szCs w:val="32"/>
        </w:rPr>
        <w:t>2</w:t>
      </w:r>
      <w:r>
        <w:rPr>
          <w:rStyle w:val="19"/>
          <w:rFonts w:ascii="方正仿宋_GBK" w:eastAsia="方正仿宋_GBK" w:hAnsi="方正仿宋_GBK" w:cs="方正仿宋_GBK" w:hint="eastAsia"/>
          <w:b w:val="0"/>
          <w:sz w:val="32"/>
          <w:szCs w:val="32"/>
        </w:rPr>
        <w:t>）</w:t>
      </w:r>
      <w:r>
        <w:rPr>
          <w:rFonts w:ascii="方正仿宋_GBK" w:eastAsia="方正仿宋_GBK" w:hAnsi="方正仿宋_GBK" w:cs="方正仿宋_GBK"/>
          <w:sz w:val="32"/>
          <w:szCs w:val="32"/>
          <w:shd w:val="clear" w:color="auto" w:fill="FFFFFF"/>
        </w:rPr>
        <w:t>项目绩效自评表。</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详见各二级预算单位决算公开报告。</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2.</w:t>
      </w:r>
      <w:r>
        <w:rPr>
          <w:rStyle w:val="19"/>
          <w:rFonts w:ascii="方正仿宋_GBK" w:eastAsia="方正仿宋_GBK" w:hAnsi="方正仿宋_GBK" w:cs="方正仿宋_GBK" w:hint="eastAsia"/>
          <w:b w:val="0"/>
          <w:sz w:val="32"/>
          <w:szCs w:val="32"/>
          <w:shd w:val="clear" w:color="auto" w:fill="FFFFFF"/>
        </w:rPr>
        <w:t>绩效自评报告或案例。</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Style w:val="19"/>
          <w:rFonts w:ascii="方正仿宋_GBK" w:eastAsia="方正仿宋_GBK" w:hAnsi="方正仿宋_GBK" w:cs="方正仿宋_GBK" w:hint="eastAsia"/>
          <w:b w:val="0"/>
          <w:sz w:val="32"/>
          <w:szCs w:val="32"/>
          <w:shd w:val="clear" w:color="auto" w:fill="FFFFFF"/>
        </w:rPr>
        <w:t>无</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Style w:val="19"/>
          <w:rFonts w:ascii="方正仿宋_GBK" w:eastAsia="方正仿宋_GBK" w:hAnsi="方正仿宋_GBK" w:cs="方正仿宋_GBK" w:hint="eastAsia"/>
          <w:b w:val="0"/>
          <w:sz w:val="32"/>
          <w:szCs w:val="32"/>
          <w:shd w:val="clear" w:color="auto" w:fill="FFFFFF"/>
        </w:rPr>
        <w:t>3.</w:t>
      </w:r>
      <w:r>
        <w:rPr>
          <w:rStyle w:val="19"/>
          <w:rFonts w:ascii="方正仿宋_GBK" w:eastAsia="方正仿宋_GBK" w:hAnsi="方正仿宋_GBK" w:cs="方正仿宋_GBK" w:hint="eastAsia"/>
          <w:b w:val="0"/>
          <w:sz w:val="32"/>
          <w:szCs w:val="32"/>
          <w:shd w:val="clear" w:color="auto" w:fill="FFFFFF"/>
        </w:rPr>
        <w:t>关于绩效自评结果的说明。</w:t>
      </w:r>
    </w:p>
    <w:p w:rsidR="00015D2F" w:rsidRDefault="00D474FB">
      <w:pPr>
        <w:pStyle w:val="Char"/>
        <w:autoSpaceDE w:val="0"/>
        <w:spacing w:beforeAutospacing="0" w:afterAutospacing="0" w:line="594" w:lineRule="exact"/>
        <w:rPr>
          <w:rFonts w:ascii="方正楷体_GBK" w:eastAsia="方正楷体_GBK" w:hAnsi="方正楷体_GBK" w:cs="方正楷体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我单位对</w:t>
      </w:r>
      <w:r>
        <w:rPr>
          <w:rFonts w:ascii="方正仿宋_GBK" w:eastAsia="方正仿宋_GBK" w:hAnsi="方正仿宋_GBK" w:cs="方正仿宋_GBK"/>
          <w:sz w:val="32"/>
          <w:szCs w:val="32"/>
          <w:shd w:val="clear" w:color="auto" w:fill="FFFFFF"/>
        </w:rPr>
        <w:t>47</w:t>
      </w:r>
      <w:r>
        <w:rPr>
          <w:rFonts w:ascii="方正仿宋_GBK" w:eastAsia="方正仿宋_GBK" w:hAnsi="方正仿宋_GBK" w:cs="方正仿宋_GBK"/>
          <w:sz w:val="32"/>
          <w:szCs w:val="32"/>
          <w:shd w:val="clear" w:color="auto" w:fill="FFFFFF"/>
        </w:rPr>
        <w:t>项目进行绩效自评，其中</w:t>
      </w:r>
      <w:r>
        <w:rPr>
          <w:rFonts w:ascii="方正仿宋_GBK" w:eastAsia="方正仿宋_GBK" w:hAnsi="方正仿宋_GBK" w:cs="方正仿宋_GBK"/>
          <w:sz w:val="32"/>
          <w:szCs w:val="32"/>
          <w:shd w:val="clear" w:color="auto" w:fill="FFFFFF"/>
        </w:rPr>
        <w:t>47</w:t>
      </w:r>
      <w:r>
        <w:rPr>
          <w:rFonts w:ascii="方正仿宋_GBK" w:eastAsia="方正仿宋_GBK" w:hAnsi="方正仿宋_GBK" w:cs="方正仿宋_GBK"/>
          <w:sz w:val="32"/>
          <w:szCs w:val="32"/>
          <w:shd w:val="clear" w:color="auto" w:fill="FFFFFF"/>
        </w:rPr>
        <w:t>个已完成年度绩效目标</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个未完成年度绩效目标。全部完成年度绩效目标。</w:t>
      </w:r>
      <w:r>
        <w:rPr>
          <w:rFonts w:ascii="方正仿宋_GBK" w:eastAsia="方正仿宋_GBK" w:hAnsi="方正仿宋_GBK" w:cs="方正仿宋_GBK"/>
          <w:sz w:val="32"/>
          <w:szCs w:val="32"/>
          <w:shd w:val="clear" w:color="auto" w:fill="FFFFFF"/>
        </w:rPr>
        <w:br/>
      </w:r>
      <w:r>
        <w:rPr>
          <w:rStyle w:val="19"/>
          <w:rFonts w:ascii="方正楷体_GBK" w:eastAsia="方正楷体_GBK" w:hAnsi="方正楷体_GBK" w:cs="方正楷体_GBK" w:hint="eastAsia"/>
          <w:b w:val="0"/>
          <w:sz w:val="32"/>
          <w:szCs w:val="32"/>
          <w:shd w:val="clear" w:color="auto" w:fill="FFFFFF"/>
        </w:rPr>
        <w:t>（三）重点绩效评价结果。</w:t>
      </w:r>
    </w:p>
    <w:p w:rsidR="00015D2F" w:rsidRDefault="00D474FB">
      <w:pPr>
        <w:pStyle w:val="CharChar"/>
        <w:autoSpaceDE w:val="0"/>
        <w:spacing w:beforeAutospacing="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我单位未开展重点绩效评价。</w:t>
      </w:r>
    </w:p>
    <w:p w:rsidR="00015D2F" w:rsidRDefault="00D474FB">
      <w:pPr>
        <w:pStyle w:val="Char"/>
        <w:autoSpaceDE w:val="0"/>
        <w:spacing w:beforeAutospacing="0" w:afterAutospacing="0" w:line="594" w:lineRule="exact"/>
        <w:ind w:firstLineChars="200" w:firstLine="643"/>
        <w:rPr>
          <w:rFonts w:ascii="方正仿宋_GBK" w:eastAsia="方正仿宋_GBK" w:hAnsi="方正仿宋_GBK" w:cs="方正仿宋_GBK" w:hint="default"/>
          <w:sz w:val="32"/>
          <w:szCs w:val="32"/>
        </w:rPr>
      </w:pPr>
      <w:r>
        <w:rPr>
          <w:rStyle w:val="19"/>
          <w:rFonts w:ascii="方正黑体_GBK" w:eastAsia="方正黑体_GBK" w:hAnsi="方正黑体_GBK" w:cs="方正黑体_GBK" w:hint="eastAsia"/>
          <w:sz w:val="32"/>
          <w:szCs w:val="32"/>
          <w:shd w:val="clear" w:color="auto" w:fill="FFFFFF"/>
        </w:rPr>
        <w:t>六、专业名词解释</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lastRenderedPageBreak/>
        <w:t>（四）其他收入：</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（五）使用非财政拨款结余：</w:t>
      </w:r>
      <w:r>
        <w:rPr>
          <w:rFonts w:ascii="方正仿宋_GBK" w:eastAsia="方正仿宋_GBK" w:hAnsi="方正仿宋_GBK" w:cs="方正仿宋_GBK"/>
          <w:sz w:val="32"/>
          <w:szCs w:val="32"/>
          <w:shd w:val="clear" w:color="auto" w:fill="FFFFFF"/>
        </w:rPr>
        <w:t>指单位在当年的“财政拨款收入</w:t>
      </w:r>
      <w:r>
        <w:rPr>
          <w:rFonts w:ascii="方正仿宋_GBK" w:eastAsia="方正仿宋_GBK" w:hAnsi="方正仿宋_GBK" w:cs="方正仿宋_GBK"/>
          <w:sz w:val="32"/>
          <w:szCs w:val="32"/>
          <w:shd w:val="clear" w:color="auto" w:fill="FFFFFF"/>
        </w:rPr>
        <w:t>”、“事业收入”、“经营收入”、“其他收入”等不足以安排当年支出的情况下，使用以前年度积累的非财政拨款结余弥补本年度收支缺口的资金。</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（六）年初结转和结余：</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（七）结余分配：</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（八）年末结转和结余：</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（九）基本支出：</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w:t>
      </w:r>
      <w:r>
        <w:rPr>
          <w:rFonts w:ascii="方正仿宋_GBK" w:eastAsia="方正仿宋_GBK" w:hAnsi="方正仿宋_GBK" w:cs="方正仿宋_GBK"/>
          <w:sz w:val="32"/>
          <w:szCs w:val="32"/>
          <w:shd w:val="clear" w:color="auto" w:fill="FFFFFF"/>
        </w:rPr>
        <w:t>费指政府收支分类经济科目中的“工资福利支出”和“对个人和家庭的补助”；公用经费指政府收支分类经济科目中除</w:t>
      </w:r>
      <w:r>
        <w:rPr>
          <w:rFonts w:ascii="方正仿宋_GBK" w:eastAsia="方正仿宋_GBK" w:hAnsi="方正仿宋_GBK" w:cs="方正仿宋_GBK"/>
          <w:sz w:val="32"/>
          <w:szCs w:val="32"/>
          <w:shd w:val="clear" w:color="auto" w:fill="FFFFFF"/>
        </w:rPr>
        <w:lastRenderedPageBreak/>
        <w:t>“工资福利支出”和“对个人和家庭的补助”外的其他支出。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（十）项目支出：</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（十一）经营支出：</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（十二）“三公”经费：</w:t>
      </w:r>
      <w:r>
        <w:rPr>
          <w:rFonts w:ascii="方正仿宋_GBK" w:eastAsia="方正仿宋_GBK" w:hAnsi="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（十三）机关运行经费：</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w:t>
      </w:r>
      <w:r>
        <w:rPr>
          <w:rFonts w:ascii="方正仿宋_GBK" w:eastAsia="方正仿宋_GBK" w:hAnsi="方正仿宋_GBK" w:cs="方正仿宋_GBK"/>
          <w:sz w:val="32"/>
          <w:szCs w:val="32"/>
          <w:shd w:val="clear" w:color="auto" w:fill="FFFFFF"/>
        </w:rPr>
        <w:t>费，包括办公及印刷费、邮电费、差旅费、会议费、福利费、日常维护费、专用材料及一般设备购置费、办公用房水电费、办公用房取暖费、办公用房物业管理费、公务用车运行维护费以及其他费用。</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lastRenderedPageBreak/>
        <w:t>（十四）工资福利支出（支出经济分类科目类级）：</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（十五）商品和服务支出（支出经济分类科目类级）：</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（十六）对个人和家庭的补助（支出经济分类科目类级）：</w:t>
      </w:r>
      <w:r>
        <w:rPr>
          <w:rFonts w:ascii="方正仿宋_GBK" w:eastAsia="方正仿宋_GBK" w:hAnsi="方正仿宋_GBK" w:cs="方正仿宋_GBK"/>
          <w:sz w:val="32"/>
          <w:szCs w:val="32"/>
          <w:shd w:val="clear" w:color="auto" w:fill="FFFFFF"/>
        </w:rPr>
        <w:t>反映</w:t>
      </w:r>
      <w:r>
        <w:rPr>
          <w:rFonts w:ascii="方正仿宋_GBK" w:eastAsia="方正仿宋_GBK" w:hAnsi="方正仿宋_GBK" w:cs="方正仿宋_GBK"/>
          <w:sz w:val="32"/>
          <w:szCs w:val="32"/>
          <w:shd w:val="clear" w:color="auto" w:fill="FFFFFF"/>
        </w:rPr>
        <w:t>用于对个人和家庭的补助支出。</w:t>
      </w:r>
    </w:p>
    <w:p w:rsidR="00015D2F" w:rsidRDefault="00D474FB">
      <w:pPr>
        <w:pStyle w:val="Char"/>
        <w:autoSpaceDE w:val="0"/>
        <w:spacing w:beforeAutospacing="0" w:afterAutospacing="0" w:line="594" w:lineRule="exact"/>
        <w:ind w:firstLineChars="100" w:firstLine="320"/>
        <w:rPr>
          <w:rFonts w:ascii="方正仿宋_GBK" w:eastAsia="方正仿宋_GBK" w:hAnsi="方正仿宋_GBK" w:cs="方正仿宋_GBK" w:hint="default"/>
          <w:sz w:val="32"/>
          <w:szCs w:val="32"/>
        </w:rPr>
      </w:pPr>
      <w:r>
        <w:rPr>
          <w:rStyle w:val="19"/>
          <w:rFonts w:ascii="方正楷体_GBK" w:eastAsia="方正楷体_GBK" w:hAnsi="方正楷体_GBK" w:cs="方正楷体_GBK" w:hint="eastAsia"/>
          <w:b w:val="0"/>
          <w:sz w:val="32"/>
          <w:szCs w:val="32"/>
          <w:shd w:val="clear" w:color="auto" w:fill="FFFFFF"/>
        </w:rPr>
        <w:t>（十七）其他资本性支出（支出经济分类科目类级）：</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15D2F" w:rsidRDefault="00D474FB">
      <w:pPr>
        <w:pStyle w:val="Char"/>
        <w:autoSpaceDE w:val="0"/>
        <w:spacing w:beforeAutospacing="0" w:afterAutospacing="0" w:line="594" w:lineRule="exact"/>
        <w:ind w:firstLineChars="200" w:firstLine="643"/>
        <w:rPr>
          <w:rFonts w:ascii="方正黑体_GBK" w:eastAsia="方正黑体_GBK" w:hAnsi="方正黑体_GBK" w:cs="方正黑体_GBK" w:hint="default"/>
          <w:b/>
          <w:sz w:val="32"/>
          <w:szCs w:val="32"/>
          <w:shd w:val="clear" w:color="auto" w:fill="FFFFFF"/>
        </w:rPr>
      </w:pPr>
      <w:r>
        <w:rPr>
          <w:rStyle w:val="19"/>
          <w:rFonts w:ascii="方正黑体_GBK" w:eastAsia="方正黑体_GBK" w:hAnsi="方正黑体_GBK" w:cs="方正黑体_GBK" w:hint="eastAsia"/>
          <w:sz w:val="32"/>
          <w:szCs w:val="32"/>
          <w:shd w:val="clear" w:color="auto" w:fill="FFFFFF"/>
        </w:rPr>
        <w:t>七、决算公开联系方式及信息反馈渠道</w:t>
      </w:r>
    </w:p>
    <w:p w:rsidR="00015D2F" w:rsidRDefault="00D474FB">
      <w:pPr>
        <w:pStyle w:val="Char"/>
        <w:autoSpaceDE w:val="0"/>
        <w:spacing w:beforeAutospacing="0" w:afterAutospacing="0" w:line="594" w:lineRule="exact"/>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本单位决算公开信息反馈和联系方式：</w:t>
      </w:r>
    </w:p>
    <w:p w:rsidR="00015D2F" w:rsidRDefault="00D474FB">
      <w:pPr>
        <w:widowControl w:val="0"/>
        <w:autoSpaceDE w:val="0"/>
        <w:spacing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联系电话：</w:t>
      </w:r>
      <w:r>
        <w:rPr>
          <w:rFonts w:ascii="方正仿宋_GBK" w:eastAsia="方正仿宋_GBK" w:hAnsi="方正仿宋_GBK" w:cs="方正仿宋_GBK"/>
          <w:sz w:val="32"/>
          <w:szCs w:val="32"/>
        </w:rPr>
        <w:t>023-64406126</w:t>
      </w:r>
    </w:p>
    <w:p w:rsidR="00015D2F" w:rsidRDefault="00015D2F">
      <w:pPr>
        <w:pStyle w:val="Char"/>
        <w:autoSpaceDE w:val="0"/>
        <w:spacing w:beforeAutospacing="0" w:afterAutospacing="0" w:line="594" w:lineRule="exact"/>
        <w:rPr>
          <w:rFonts w:cs="宋体" w:hint="default"/>
        </w:rPr>
      </w:pPr>
    </w:p>
    <w:sectPr w:rsidR="00015D2F" w:rsidSect="00015D2F">
      <w:pgSz w:w="11915" w:h="16851"/>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4FB" w:rsidRDefault="00D474FB" w:rsidP="00B52FA5">
      <w:r>
        <w:separator/>
      </w:r>
    </w:p>
  </w:endnote>
  <w:endnote w:type="continuationSeparator" w:id="1">
    <w:p w:rsidR="00D474FB" w:rsidRDefault="00D474FB" w:rsidP="00B52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4FB" w:rsidRDefault="00D474FB" w:rsidP="00B52FA5">
      <w:r>
        <w:separator/>
      </w:r>
    </w:p>
  </w:footnote>
  <w:footnote w:type="continuationSeparator" w:id="1">
    <w:p w:rsidR="00D474FB" w:rsidRDefault="00D474FB" w:rsidP="00B52F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7"/>
  <w:displayHorizontalDrawingGridEvery w:val="0"/>
  <w:displayVerticalDrawingGridEvery w:val="2"/>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015D2F"/>
    <w:rsid w:val="00015D2F"/>
    <w:rsid w:val="00263B92"/>
    <w:rsid w:val="00B52FA5"/>
    <w:rsid w:val="00D474FB"/>
    <w:rsid w:val="4CC13071"/>
    <w:rsid w:val="4DAC4C88"/>
    <w:rsid w:val="4F7D1A99"/>
    <w:rsid w:val="56273618"/>
    <w:rsid w:val="7B794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unhideWhenUsed="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rsid w:val="00015D2F"/>
    <w:rPr>
      <w:rFonts w:ascii="宋体" w:hAnsi="宋体" w:hint="eastAsia"/>
      <w:sz w:val="24"/>
      <w:szCs w:val="24"/>
    </w:rPr>
  </w:style>
  <w:style w:type="paragraph" w:styleId="1">
    <w:name w:val="heading 1"/>
    <w:basedOn w:val="a"/>
    <w:next w:val="a"/>
    <w:qFormat/>
    <w:rsid w:val="00015D2F"/>
    <w:pPr>
      <w:spacing w:beforeAutospacing="1" w:afterAutospacing="1"/>
      <w:outlineLvl w:val="0"/>
    </w:pPr>
    <w:rPr>
      <w:b/>
      <w:kern w:val="44"/>
      <w:sz w:val="48"/>
      <w:szCs w:val="48"/>
    </w:rPr>
  </w:style>
  <w:style w:type="paragraph" w:styleId="2">
    <w:name w:val="heading 2"/>
    <w:basedOn w:val="a"/>
    <w:next w:val="a"/>
    <w:qFormat/>
    <w:rsid w:val="00015D2F"/>
    <w:pPr>
      <w:spacing w:beforeAutospacing="1" w:afterAutospacing="1"/>
      <w:outlineLvl w:val="1"/>
    </w:pPr>
    <w:rPr>
      <w:b/>
      <w:sz w:val="36"/>
      <w:szCs w:val="36"/>
    </w:rPr>
  </w:style>
  <w:style w:type="paragraph" w:styleId="3">
    <w:name w:val="heading 3"/>
    <w:basedOn w:val="a"/>
    <w:next w:val="a"/>
    <w:qFormat/>
    <w:rsid w:val="00015D2F"/>
    <w:pPr>
      <w:spacing w:beforeAutospacing="1" w:afterAutospacing="1"/>
      <w:outlineLvl w:val="2"/>
    </w:pPr>
    <w:rPr>
      <w:b/>
      <w:sz w:val="27"/>
      <w:szCs w:val="27"/>
    </w:rPr>
  </w:style>
  <w:style w:type="paragraph" w:styleId="4">
    <w:name w:val="heading 4"/>
    <w:basedOn w:val="a"/>
    <w:next w:val="a"/>
    <w:qFormat/>
    <w:rsid w:val="00015D2F"/>
    <w:pPr>
      <w:spacing w:beforeAutospacing="1" w:afterAutospacing="1"/>
      <w:outlineLvl w:val="3"/>
    </w:pPr>
    <w:rPr>
      <w:b/>
    </w:rPr>
  </w:style>
  <w:style w:type="paragraph" w:styleId="5">
    <w:name w:val="heading 5"/>
    <w:basedOn w:val="a"/>
    <w:next w:val="a"/>
    <w:qFormat/>
    <w:rsid w:val="00015D2F"/>
    <w:pPr>
      <w:spacing w:beforeAutospacing="1" w:afterAutospacing="1"/>
      <w:outlineLvl w:val="4"/>
    </w:pPr>
    <w:rPr>
      <w:b/>
      <w:sz w:val="20"/>
      <w:szCs w:val="20"/>
    </w:rPr>
  </w:style>
  <w:style w:type="paragraph" w:styleId="6">
    <w:name w:val="heading 6"/>
    <w:basedOn w:val="a"/>
    <w:next w:val="a"/>
    <w:qFormat/>
    <w:rsid w:val="00015D2F"/>
    <w:pPr>
      <w:spacing w:beforeAutospacing="1" w:afterAutospacing="1"/>
      <w:outlineLvl w:val="5"/>
    </w:pPr>
    <w:rPr>
      <w:b/>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15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3">
    <w:name w:val="Normal (Web)"/>
    <w:basedOn w:val="a"/>
    <w:rsid w:val="00015D2F"/>
    <w:pPr>
      <w:spacing w:beforeAutospacing="1" w:afterAutospacing="1"/>
    </w:pPr>
  </w:style>
  <w:style w:type="paragraph" w:customStyle="1" w:styleId="Char">
    <w:name w:val="普通(网站) Char"/>
    <w:basedOn w:val="a"/>
    <w:qFormat/>
    <w:rsid w:val="00015D2F"/>
    <w:pPr>
      <w:spacing w:beforeAutospacing="1" w:afterAutospacing="1"/>
    </w:pPr>
  </w:style>
  <w:style w:type="character" w:customStyle="1" w:styleId="18">
    <w:name w:val="18"/>
    <w:basedOn w:val="a0"/>
    <w:qFormat/>
    <w:rsid w:val="00015D2F"/>
    <w:rPr>
      <w:rFonts w:ascii="Times New Roman" w:hAnsi="Times New Roman" w:cs="Times New Roman" w:hint="default"/>
      <w:b/>
    </w:rPr>
  </w:style>
  <w:style w:type="character" w:customStyle="1" w:styleId="10">
    <w:name w:val="10"/>
    <w:basedOn w:val="a0"/>
    <w:qFormat/>
    <w:rsid w:val="00015D2F"/>
    <w:rPr>
      <w:rFonts w:ascii="Times New Roman" w:hAnsi="Times New Roman" w:cs="Times New Roman" w:hint="default"/>
    </w:rPr>
  </w:style>
  <w:style w:type="character" w:customStyle="1" w:styleId="17">
    <w:name w:val="17"/>
    <w:basedOn w:val="a0"/>
    <w:qFormat/>
    <w:rsid w:val="00015D2F"/>
    <w:rPr>
      <w:rFonts w:ascii="Times New Roman" w:hAnsi="Times New Roman" w:cs="Times New Roman" w:hint="default"/>
      <w:b/>
    </w:rPr>
  </w:style>
  <w:style w:type="character" w:customStyle="1" w:styleId="15">
    <w:name w:val="15"/>
    <w:basedOn w:val="a0"/>
    <w:qFormat/>
    <w:rsid w:val="00015D2F"/>
    <w:rPr>
      <w:rFonts w:ascii="Times New Roman" w:hAnsi="Times New Roman" w:cs="Times New Roman" w:hint="default"/>
    </w:rPr>
  </w:style>
  <w:style w:type="paragraph" w:customStyle="1" w:styleId="CharChar">
    <w:name w:val="普通(网站) Char Char"/>
    <w:basedOn w:val="a"/>
    <w:qFormat/>
    <w:rsid w:val="00015D2F"/>
    <w:pPr>
      <w:spacing w:beforeAutospacing="1" w:afterAutospacing="1"/>
    </w:pPr>
  </w:style>
  <w:style w:type="character" w:customStyle="1" w:styleId="16">
    <w:name w:val="16"/>
    <w:basedOn w:val="a0"/>
    <w:qFormat/>
    <w:rsid w:val="00015D2F"/>
    <w:rPr>
      <w:rFonts w:ascii="Times New Roman" w:hAnsi="Times New Roman" w:cs="Times New Roman" w:hint="default"/>
    </w:rPr>
  </w:style>
  <w:style w:type="character" w:customStyle="1" w:styleId="19">
    <w:name w:val="19"/>
    <w:basedOn w:val="a0"/>
    <w:qFormat/>
    <w:rsid w:val="00015D2F"/>
    <w:rPr>
      <w:rFonts w:ascii="Times New Roman" w:hAnsi="Times New Roman" w:cs="Times New Roman" w:hint="default"/>
      <w:b/>
    </w:rPr>
  </w:style>
  <w:style w:type="character" w:customStyle="1" w:styleId="20">
    <w:name w:val="20"/>
    <w:basedOn w:val="a0"/>
    <w:qFormat/>
    <w:rsid w:val="00015D2F"/>
    <w:rPr>
      <w:rFonts w:ascii="Times New Roman" w:hAnsi="Times New Roman" w:cs="Times New Roman" w:hint="default"/>
    </w:rPr>
  </w:style>
  <w:style w:type="paragraph" w:customStyle="1" w:styleId="CharCharChar">
    <w:name w:val="普通(网站) Char Char Char"/>
    <w:basedOn w:val="a"/>
    <w:qFormat/>
    <w:rsid w:val="00015D2F"/>
    <w:pPr>
      <w:spacing w:beforeAutospacing="1" w:afterAutospacing="1"/>
    </w:pPr>
  </w:style>
  <w:style w:type="paragraph" w:customStyle="1" w:styleId="HTMLChar">
    <w:name w:val="HTML 预设格式 Char"/>
    <w:basedOn w:val="a"/>
    <w:qFormat/>
    <w:rsid w:val="00015D2F"/>
  </w:style>
  <w:style w:type="paragraph" w:customStyle="1" w:styleId="preChar">
    <w:name w:val="pre Char"/>
    <w:basedOn w:val="a"/>
    <w:qFormat/>
    <w:rsid w:val="00015D2F"/>
  </w:style>
  <w:style w:type="paragraph" w:styleId="a4">
    <w:name w:val="header"/>
    <w:basedOn w:val="a"/>
    <w:link w:val="Char0"/>
    <w:rsid w:val="00B52F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52FA5"/>
    <w:rPr>
      <w:rFonts w:ascii="宋体" w:hAnsi="宋体"/>
      <w:sz w:val="18"/>
      <w:szCs w:val="18"/>
    </w:rPr>
  </w:style>
  <w:style w:type="paragraph" w:styleId="a5">
    <w:name w:val="footer"/>
    <w:basedOn w:val="a"/>
    <w:link w:val="Char1"/>
    <w:rsid w:val="00B52FA5"/>
    <w:pPr>
      <w:tabs>
        <w:tab w:val="center" w:pos="4153"/>
        <w:tab w:val="right" w:pos="8306"/>
      </w:tabs>
      <w:snapToGrid w:val="0"/>
    </w:pPr>
    <w:rPr>
      <w:sz w:val="18"/>
      <w:szCs w:val="18"/>
    </w:rPr>
  </w:style>
  <w:style w:type="character" w:customStyle="1" w:styleId="Char1">
    <w:name w:val="页脚 Char"/>
    <w:basedOn w:val="a0"/>
    <w:link w:val="a5"/>
    <w:rsid w:val="00B52FA5"/>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AAA</cp:lastModifiedBy>
  <cp:revision>2</cp:revision>
  <dcterms:created xsi:type="dcterms:W3CDTF">2023-10-20T02:42:00Z</dcterms:created>
  <dcterms:modified xsi:type="dcterms:W3CDTF">2023-10-20T02:42:00Z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