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7"/>
          <w:rFonts w:hint="eastAsia" w:ascii="方正小标宋_GBK" w:hAnsi="方正小标宋_GBK" w:eastAsia="方正小标宋_GBK" w:cs="方正小标宋_GBK"/>
          <w:b w:val="0"/>
          <w:bCs w:val="0"/>
          <w:sz w:val="44"/>
          <w:szCs w:val="44"/>
        </w:rPr>
      </w:pPr>
      <w:r>
        <w:rPr>
          <w:rStyle w:val="7"/>
          <w:rFonts w:hint="eastAsia" w:ascii="方正小标宋_GBK" w:hAnsi="方正小标宋_GBK" w:eastAsia="方正小标宋_GBK" w:cs="方正小标宋_GBK"/>
          <w:b w:val="0"/>
          <w:bCs w:val="0"/>
          <w:sz w:val="44"/>
          <w:szCs w:val="44"/>
        </w:rPr>
        <w:t>重庆市铜梁区财政局（本级）</w:t>
      </w:r>
    </w:p>
    <w:p>
      <w:pPr>
        <w:spacing w:line="560" w:lineRule="exact"/>
        <w:jc w:val="center"/>
        <w:rPr>
          <w:rFonts w:hint="eastAsia" w:ascii="方正小标宋_GBK" w:hAnsi="Times New Roman" w:eastAsia="方正小标宋_GBK"/>
          <w:b w:val="0"/>
          <w:bCs w:val="0"/>
          <w:sz w:val="44"/>
          <w:szCs w:val="44"/>
        </w:rPr>
      </w:pPr>
      <w:r>
        <w:rPr>
          <w:rFonts w:hint="eastAsia" w:ascii="方正小标宋_GBK" w:hAnsi="Times New Roman" w:eastAsia="方正小标宋_GBK"/>
          <w:b w:val="0"/>
          <w:bCs w:val="0"/>
          <w:sz w:val="44"/>
          <w:szCs w:val="44"/>
        </w:rPr>
        <w:t>2022年度部门决算公开说明</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883" w:firstLineChars="200"/>
        <w:jc w:val="center"/>
        <w:textAlignment w:val="auto"/>
        <w:rPr>
          <w:rStyle w:val="7"/>
          <w:rFonts w:ascii="方正小标宋_GBK" w:hAnsi="方正小标宋_GBK" w:eastAsia="方正小标宋_GBK" w:cs="方正小标宋_GBK"/>
          <w:sz w:val="44"/>
          <w:szCs w:val="44"/>
        </w:rPr>
      </w:pP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883" w:firstLineChars="200"/>
        <w:jc w:val="center"/>
        <w:textAlignment w:val="auto"/>
        <w:rPr>
          <w:rStyle w:val="7"/>
          <w:rFonts w:ascii="方正小标宋_GBK" w:hAnsi="方正小标宋_GBK" w:eastAsia="方正小标宋_GBK" w:cs="方正小标宋_GBK"/>
          <w:sz w:val="44"/>
          <w:szCs w:val="44"/>
        </w:rPr>
      </w:pP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一、部门基本情况</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（一）职能职责</w:t>
      </w:r>
    </w:p>
    <w:p>
      <w:pPr>
        <w:pStyle w:val="10"/>
        <w:keepNext w:val="0"/>
        <w:keepLines w:val="0"/>
        <w:pageBreakBefore w:val="0"/>
        <w:widowControl w:val="0"/>
        <w:shd w:val="clear" w:color="auto" w:fill="FFFFFF"/>
        <w:kinsoku/>
        <w:wordWrap/>
        <w:overflowPunct w:val="0"/>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主要职能是：贯彻执行财税法律、法规、规章和方针政策；起草财务会计等有关政策和管理制度并组织实施;拟订和执行财政分配政策和分级财政管理体制，拟订全区财政发展战略和中长期规划，管理全区财政收支；负责编制年度预决算草案，组织执行年度预算；负责政府非税收入管理，组织执行国库管理制度、国库集中收付制度；组织实施政府采购制度；负责办理和监督财政的经济发展支出，负责财政投资评审管理工作；会同有关部门管理区级财政社会保障和就业及医疗卫生支出；拟订和执行政府债务管理的制度和政策。负责管理全区会计工作；负责监督检查财税法律、法规、政策的执行情况，查处违反财经法纪的行为。</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（二）机构设置</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color w:val="FF0000"/>
          <w:sz w:val="32"/>
          <w:szCs w:val="32"/>
          <w:shd w:val="clear" w:color="auto" w:fill="FFFFFF"/>
        </w:rPr>
      </w:pPr>
      <w:r>
        <w:rPr>
          <w:rFonts w:hint="eastAsia" w:ascii="方正仿宋_GBK" w:eastAsia="方正仿宋_GBK"/>
          <w:sz w:val="32"/>
          <w:szCs w:val="32"/>
          <w:shd w:val="clear" w:color="auto" w:fill="FFFFFF"/>
        </w:rPr>
        <w:t>重庆市铜梁区财政局为区政府工作部门，</w:t>
      </w:r>
      <w:r>
        <w:rPr>
          <w:rFonts w:hint="eastAsia" w:ascii="方正仿宋_GBK" w:eastAsia="方正仿宋_GBK"/>
          <w:color w:val="000000"/>
          <w:sz w:val="32"/>
          <w:szCs w:val="32"/>
          <w:shd w:val="clear" w:color="auto" w:fill="FFFFFF"/>
        </w:rPr>
        <w:t>内设办公室、预算科、国库科、综合会计法规科、行政经济建设科、企业和资产管理科、农业和基层财政科、社会保障科、债务管理科、政法教科文科10个职能科室。</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二、部门决算情况说明</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（一）收入支出决算总体情况说明</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1.总体情况。2022年度收入总计1,463.34万元，支出总计1,463.34万元。收支较上年决算数减少104.34万元,下降6.7%，主要原因是上年补缴了退休职工2014年至2016年职业年金；压减国库集中支付电子化管理系统及安全等级保护改造经费，政府采购网上超市服务费，预算绩效评价中介费等项目支出。</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2.收入情况。2022年度收入合计1,448.36万元，较上年决算数减少114.02万元，下降7.3%，主要原因是上年补缴了退休职工2014年至2016年职业年金；压减国库集中支付电子化管理系统及安全等级保护改造经费，政府采购网上超市服务费，预算绩效评价中介费等项目支出。其中：财政拨款收入1,448.36万元，占100%；年初结转和结余14.98万元。</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 xml:space="preserve">3.支出情况。2022年度支出合计1,448.81万元，较上年决算减少103.89万元，下降6.7%，主要原因是上年补缴了退休职工2014年至2016年职业年金；压减国库集中支付电子化管理系统及安全等级保护改造经费，政府采购网上超市服务费，预算绩效评价中介费等项目支出。其中：基本支出629.63万元，占43.5%；项目支出819.18万元，占56.5%； </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4.结转结余情况。2022年度年末结转和结余14.53万元，较上年决算数减少0.45万元，下降3%，主要原因是支付了部</w:t>
      </w:r>
      <w:r>
        <w:rPr>
          <w:rFonts w:hint="eastAsia" w:ascii="方正仿宋_GBK" w:eastAsia="方正仿宋_GBK"/>
          <w:sz w:val="32"/>
          <w:szCs w:val="32"/>
          <w:shd w:val="clear" w:color="auto" w:fill="FFFFFF"/>
          <w:lang w:val="en-US" w:eastAsia="zh-CN"/>
        </w:rPr>
        <w:t>分</w:t>
      </w:r>
      <w:r>
        <w:rPr>
          <w:rFonts w:hint="eastAsia" w:ascii="方正仿宋_GBK" w:eastAsia="方正仿宋_GBK"/>
          <w:sz w:val="32"/>
          <w:szCs w:val="32"/>
          <w:shd w:val="clear" w:color="auto" w:fill="FFFFFF"/>
        </w:rPr>
        <w:t>绩效评价经费。</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（二）财政拨款收入支出决算总体情况说明</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2022年度财政拨款收、支总计1,463.34万元。与2021年相比，财政拨款收、支总计各减少104.34万元，下降6.7%。主要原因是上年补缴了退休职工2014年至2016年职业年金；压减国库集中支付电子化管理系统及安全等级保护改造经费，政府采购网上超市服务费，预算绩效评价中介费等项目支出。</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（三）一般公共预算财政拨款收入支出决算情况说明</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1.收入情况。2022年度一般公共预算财政拨款收入1,448.36万元，较上年决算数减少114.02万元，下降7.3%。主要原因是上年补缴了退休职工2014年至2016年职业年金；压减国库集中支付电子化管理系统及安全等级保护改造经费，政府采购网上超市服务费，预算绩效评价中介费等项目支出。较年初预算数减少176.94万元，下降10.9%。主要原因是压减“一事一议”项目中介费，国库集中支付电子化管理系统运维及安全等级保护改造费、预算绩效评价中介费等项目支出。此外，年初财政拨款结转和结余14.98万元。</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2.支出情况。2022年度一般公共预算财政拨款支出1,448.81万元，较上年决算数减少103.89万元，下降6.7%。主要原因是上年补缴了退休职工2014年至2016年职业年金；压减国库集中支付电子化管理系统及安全等级保护改造经费，政府采购网上超市服务费，预算绩效评价中介费等项目支出。较年初预算数减少176.49万元，下降10.9%。主要原因是压减“一事一议”项目中介费，国库集中支付电子化管理系统运维及安全等级保护改造费、预算绩效评价中介费等项目支出。</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3.结转结余情况。2022年度年末一般公共预算财政拨款结转和结余14.53万元，较上年决算数减少0.45万元，下降3%，主要原因是支付了部</w:t>
      </w:r>
      <w:r>
        <w:rPr>
          <w:rFonts w:hint="eastAsia" w:ascii="方正仿宋_GBK" w:eastAsia="方正仿宋_GBK"/>
          <w:sz w:val="32"/>
          <w:szCs w:val="32"/>
          <w:shd w:val="clear" w:color="auto" w:fill="FFFFFF"/>
          <w:lang w:val="en-US" w:eastAsia="zh-CN"/>
        </w:rPr>
        <w:t>分</w:t>
      </w:r>
      <w:r>
        <w:rPr>
          <w:rFonts w:hint="eastAsia" w:ascii="方正仿宋_GBK" w:eastAsia="方正仿宋_GBK"/>
          <w:sz w:val="32"/>
          <w:szCs w:val="32"/>
          <w:shd w:val="clear" w:color="auto" w:fill="FFFFFF"/>
        </w:rPr>
        <w:t>绩效评价经费。</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 xml:space="preserve">4.比较情况。本部门2022年度一般公共预算财政拨款支出主要用于以下几个方面： </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1）一般公共服务支出1,305.87万元，占90.1%，较年初预算数减少177.81万元，下降12%，主要原因是压减“一事一议”项目中介费，国库集中支付电子化管理系统运维及安全等级保护改造费、预算绩效评价中介费等项目支出。</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w:t>
      </w:r>
      <w:r>
        <w:rPr>
          <w:rFonts w:hint="eastAsia" w:ascii="方正仿宋_GBK" w:eastAsia="方正仿宋_GBK"/>
          <w:sz w:val="32"/>
          <w:szCs w:val="32"/>
          <w:shd w:val="clear" w:color="auto" w:fill="FFFFFF"/>
          <w:lang w:val="en-US" w:eastAsia="zh-CN"/>
        </w:rPr>
        <w:t>2</w:t>
      </w:r>
      <w:r>
        <w:rPr>
          <w:rFonts w:hint="eastAsia" w:ascii="方正仿宋_GBK" w:eastAsia="方正仿宋_GBK"/>
          <w:sz w:val="32"/>
          <w:szCs w:val="32"/>
          <w:shd w:val="clear" w:color="auto" w:fill="FFFFFF"/>
        </w:rPr>
        <w:t>）社会保障与就业支出102.50万元，占7.1%，较年初预算数增加12.52万元，增长13.9%，主要原因是职工工资结构调整，社保基数调高。</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shd w:val="clear" w:color="auto" w:fill="FFFFFF"/>
        </w:rPr>
      </w:pPr>
      <w:r>
        <w:rPr>
          <w:rFonts w:hint="eastAsia" w:ascii="方正仿宋_GBK" w:eastAsia="方正仿宋_GBK"/>
          <w:sz w:val="32"/>
          <w:szCs w:val="32"/>
          <w:shd w:val="clear" w:color="auto" w:fill="FFFFFF"/>
        </w:rPr>
        <w:t>（</w:t>
      </w:r>
      <w:r>
        <w:rPr>
          <w:rFonts w:hint="eastAsia" w:ascii="方正仿宋_GBK" w:eastAsia="方正仿宋_GBK"/>
          <w:sz w:val="32"/>
          <w:szCs w:val="32"/>
          <w:shd w:val="clear" w:color="auto" w:fill="FFFFFF"/>
          <w:lang w:val="en-US" w:eastAsia="zh-CN"/>
        </w:rPr>
        <w:t>3</w:t>
      </w:r>
      <w:r>
        <w:rPr>
          <w:rFonts w:hint="eastAsia" w:ascii="方正仿宋_GBK" w:eastAsia="方正仿宋_GBK"/>
          <w:sz w:val="32"/>
          <w:szCs w:val="32"/>
          <w:shd w:val="clear" w:color="auto" w:fill="FFFFFF"/>
        </w:rPr>
        <w:t>）卫生健康支出17.35万元，占1.2%，较年初预算数减少11.20万元，下降39.2%，主要原因是2022年度免征</w:t>
      </w:r>
      <w:r>
        <w:rPr>
          <w:rFonts w:ascii="方正仿宋_GBK" w:hAnsi="方正仿宋_GBK" w:eastAsia="方正仿宋_GBK" w:cs="方正仿宋_GBK"/>
          <w:sz w:val="32"/>
          <w:szCs w:val="32"/>
          <w:shd w:val="clear" w:color="auto" w:fill="FFFFFF"/>
        </w:rPr>
        <w:t>公务员医疗补助缴费</w:t>
      </w:r>
      <w:r>
        <w:rPr>
          <w:rFonts w:hint="eastAsia" w:ascii="方正仿宋_GBK" w:hAnsi="方正仿宋_GBK" w:eastAsia="方正仿宋_GBK" w:cs="方正仿宋_GBK"/>
          <w:sz w:val="32"/>
          <w:szCs w:val="32"/>
          <w:shd w:val="clear" w:color="auto" w:fill="FFFFFF"/>
        </w:rPr>
        <w:t>。</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w:t>
      </w:r>
      <w:r>
        <w:rPr>
          <w:rFonts w:hint="eastAsia" w:ascii="方正仿宋_GBK" w:eastAsia="方正仿宋_GBK"/>
          <w:sz w:val="32"/>
          <w:szCs w:val="32"/>
          <w:shd w:val="clear" w:color="auto" w:fill="FFFFFF"/>
          <w:lang w:val="en-US" w:eastAsia="zh-CN"/>
        </w:rPr>
        <w:t>4</w:t>
      </w:r>
      <w:r>
        <w:rPr>
          <w:rFonts w:hint="eastAsia" w:ascii="方正仿宋_GBK" w:eastAsia="方正仿宋_GBK"/>
          <w:sz w:val="32"/>
          <w:szCs w:val="32"/>
          <w:shd w:val="clear" w:color="auto" w:fill="FFFFFF"/>
        </w:rPr>
        <w:t>）住房保障支出23.09万元，占1.6%，较年初预算数增加0.00万元。</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（四）一般公共预算财政拨款基本支出决算情况说明</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2022年度一般公共预算财政拨款基本支出629.63万元。其中：人员经费534.60万元，较上年决算数减少52.73万元，下降9%，主要原因是上年补缴了退休职工2014年至2016年职业年金。人员经费用途主要包括基本工资、津贴补贴、奖金、社会保障缴费、住房公积金、退休人员健康疗养费等。公用经费95.03万元，较上年决算数增加3.07万元，增长3.3%，主要原因是加大财政资金监督增加了相关费用。公用经费用途主要包括办公费、印刷费、咨询费、水费、电费、邮电费、差旅费、维修（护）费、公务接待费、其他交通费等。</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（五）政府性基金预算收支决算情况说明</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本单位2022年度无政府性基金预算财政拨款收支。</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（六）国有资本经营预算财政拨款支出决算情况说明。</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本单位2022年度无国有资本经营预算财政拨款支出。</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三、“三公”经费情况说明</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（一）“三公”经费支出总体情况说明</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2022年度“三公”经费支出共计0.00万元，较年初预算数增加0.00万元，较上年支出数减少0.44万元，下降100%，主要原因是认真贯彻落实中央八项规定精神和厉行节约要求，强化公务接待支出管理，严格遵守公务接待开支范围。</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（二）“三公”经费分项支出情况</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2022年度本单位因公出国（境）费用0.00万元，费用支出较年初预算数增加0.00万元，较上年支出数增加0.00万元。本单位2022年度未发生因公出国（境）费用。</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公务车购置费0.00万元，费用支出较年初预算数增加0.00万元，较上年支出数增加0.00万元，本单位2022年度未发生公务车购置费。</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公务车运行维护费0.00万元，费用支出较年初预算数增加0.00万元。较上年支出数增加0.00万元。本单位2022年度未发生公务车运行维护费。</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公务接待费0.00万元，费用支出较年初预算数增加0.00万元。较上年支出数减少0.44万元，下降100%，主要原因是认真贯彻落实中央八项规定精神和厉行节约要求，强化公务接待支出管理，严格遵守公务接待开支范围。本单位2022年度未发生公务接待费。</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（三）“三公”经费实物量情况</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2022年度本部门因公出国（境）共计0个团组，0人；公务用车购置0辆，公务车保有量为0辆；国内公务接待0批次0人，其中：国内外事接待0批次，0人；国（境）外公务接待0批次，0人。2022年本部门人均接待费0.00元，车均购置费0.00万元，车均维护费0.00万元。</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四、其他需要说明的事项</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（一）财政拨款会议费和培训费情况说明</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本年度会议费支出3.70万元，较上年决算数增加3.70万元，增长100%，主要原因是召开了职工养老保险全国统筹市与区县分担机制调研会。本年度培训费支出8.22万元，较上年决算数增加0.93万元，增长12.8%，主要原因是本年参加了采购全流程培训。</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（二）机关运行经费支出情况说明</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2022年度本部门机关运行经费支出95.03万元，主要用于开支办公费、印刷费、咨询费、水费、电费、邮电费、差旅费、维修（护）费、公务接待费、其他交通费等。机关运行经费较上年决算数增加3.07万元，增长3.3%，主要原因是加大财政资金监督增加了相关费用。</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（三）国有资产占用情况说明</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不含车辆）1台（套）。</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（四）政府采购支出说明</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2022年度本部门政府采购支出总额6.08万元，其中：政府采购货物支出6.08万元、政府采购工程支出0.00万元、政府采购服务支出0.00万元。授予中小企业合同金额6.08万元，占政府采购支出总额的100%，其中：授予小微企业合同金额6.08万元，占政府采购支出总额的100%。主要用于采购办公用电脑、打印机、复印机、空调等办公设备。</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五、预算绩效管理情况说明</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（一）预算绩效管理工作开展情况</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根据预算绩效管理要求，我局对单位15个项目开展了绩效自评，其中，以填报自评表形式开展自评15项，涉及资金</w:t>
      </w:r>
      <w:r>
        <w:rPr>
          <w:rFonts w:hint="eastAsia" w:ascii="方正仿宋_GBK" w:eastAsia="方正仿宋_GBK"/>
          <w:color w:val="000000" w:themeColor="text1"/>
          <w:sz w:val="32"/>
          <w:szCs w:val="32"/>
          <w:shd w:val="clear" w:color="auto" w:fill="FFFFFF"/>
        </w:rPr>
        <w:t>818.73万元。通过实施预算绩效评价，检查</w:t>
      </w:r>
      <w:r>
        <w:rPr>
          <w:rFonts w:hint="eastAsia" w:ascii="方正仿宋_GBK" w:eastAsia="方正仿宋_GBK"/>
          <w:sz w:val="32"/>
          <w:szCs w:val="32"/>
          <w:shd w:val="clear" w:color="auto" w:fill="FFFFFF"/>
        </w:rPr>
        <w:t>预期目标是否实现，项目是否可持续运行，分析影响项目绩效的主要问题及成因，及时总结经验，改进项目管理措施，提高项目绩效管理水平，为进一步加强财政资金支出管理、提高资金使用效益提供了依据。绩效评价总体上达到既定的任务目标，成效显著。</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（二）绩效自评结果</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1.绩效目标自评表。</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（1）部门整体绩效自评表。</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我单位为二级预算单位，未进行部门整体绩效目标管理。</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（2）项目绩效自评表。</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详见附件。</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 xml:space="preserve"> 2.绩效自评报告或案例。</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我单位仅以自评表形式进行了绩效评价，未形成自评报告，也未委托第三方开展绩效评价。</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3.关于绩效自评结果的说明。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我单位对15</w:t>
      </w:r>
      <w:r>
        <w:rPr>
          <w:rFonts w:hint="eastAsia" w:ascii="方正仿宋_GBK" w:eastAsia="方正仿宋_GBK"/>
          <w:sz w:val="32"/>
          <w:szCs w:val="32"/>
          <w:shd w:val="clear" w:color="auto" w:fill="FFFFFF"/>
          <w:lang w:val="en-US" w:eastAsia="zh-CN"/>
        </w:rPr>
        <w:t>个</w:t>
      </w:r>
      <w:r>
        <w:rPr>
          <w:rFonts w:hint="eastAsia" w:ascii="方正仿宋_GBK" w:eastAsia="方正仿宋_GBK"/>
          <w:sz w:val="32"/>
          <w:szCs w:val="32"/>
          <w:shd w:val="clear" w:color="auto" w:fill="FFFFFF"/>
        </w:rPr>
        <w:t>项目进行绩效自评，其中15个已完成年度绩效目标。</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（三）重点绩效评价结果</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rPr>
      </w:pPr>
      <w:r>
        <w:rPr>
          <w:rFonts w:hint="eastAsia" w:eastAsia="方正仿宋_GBK"/>
          <w:sz w:val="32"/>
          <w:szCs w:val="32"/>
        </w:rPr>
        <w:t>我单位没有重点项目，未开展重点绩效评价</w:t>
      </w:r>
      <w:r>
        <w:rPr>
          <w:rFonts w:hint="eastAsia" w:ascii="方正仿宋_GBK" w:eastAsia="方正仿宋_GBK"/>
          <w:sz w:val="32"/>
          <w:szCs w:val="32"/>
        </w:rPr>
        <w:t>。</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六、专业名词解释</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（一）财政拨款收入：</w:t>
      </w:r>
      <w:r>
        <w:rPr>
          <w:rFonts w:hint="eastAsia" w:ascii="方正仿宋_GBK" w:eastAsia="方正仿宋_GBK"/>
          <w:sz w:val="32"/>
          <w:szCs w:val="32"/>
          <w:shd w:val="clear" w:color="auto" w:fill="FFFFFF"/>
        </w:rPr>
        <w:t>指本年度从本级财政部门取得的财政拨款，包括一般公共预算财政拨款和政府性基金预算财政拨款。</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（二）年初结转和结余：</w:t>
      </w:r>
      <w:r>
        <w:rPr>
          <w:rFonts w:hint="eastAsia" w:ascii="方正仿宋_GBK" w:eastAsia="方正仿宋_GBK"/>
          <w:sz w:val="32"/>
          <w:szCs w:val="32"/>
          <w:shd w:val="clear" w:color="auto" w:fill="FFFFFF"/>
        </w:rPr>
        <w:t>指单位上年结转本年使用的基本支出结转、项目支出结转和结余、经营结余。</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（三）年末结转和结余：</w:t>
      </w:r>
      <w:r>
        <w:rPr>
          <w:rFonts w:hint="eastAsia" w:ascii="方正仿宋_GBK" w:eastAsia="方正仿宋_GBK"/>
          <w:sz w:val="32"/>
          <w:szCs w:val="32"/>
          <w:shd w:val="clear" w:color="auto" w:fill="FFFFFF"/>
        </w:rPr>
        <w:t>指单位结转下年的基本支出结转、项目支出结转和结余、经营结余。</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（四）基本支出：</w:t>
      </w:r>
      <w:r>
        <w:rPr>
          <w:rFonts w:hint="eastAsia" w:ascii="方正仿宋_GBK" w:eastAsia="方正仿宋_GBK"/>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（五）项目支出：</w:t>
      </w:r>
      <w:r>
        <w:rPr>
          <w:rFonts w:hint="eastAsia" w:ascii="方正仿宋_GBK" w:eastAsia="方正仿宋_GBK"/>
          <w:sz w:val="32"/>
          <w:szCs w:val="32"/>
          <w:shd w:val="clear" w:color="auto" w:fill="FFFFFF"/>
        </w:rPr>
        <w:t>指在基本支出之外为完成特定行政任务和事业发展目标所发生的支出。</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（六）“三公”经费：</w:t>
      </w:r>
      <w:r>
        <w:rPr>
          <w:rFonts w:hint="eastAsia" w:ascii="方正仿宋_GBK" w:eastAsia="方正仿宋_GBK"/>
          <w:sz w:val="32"/>
          <w:szCs w:val="32"/>
          <w:shd w:val="clear" w:color="auto"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（七）机关运行经费：</w:t>
      </w:r>
      <w:r>
        <w:rPr>
          <w:rFonts w:hint="eastAsia" w:ascii="方正仿宋_GBK" w:eastAsia="方正仿宋_GBK"/>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（八）工资福利支出（支出经济分类科目类级）：</w:t>
      </w:r>
      <w:r>
        <w:rPr>
          <w:rFonts w:hint="eastAsia" w:ascii="方正仿宋_GBK" w:eastAsia="方正仿宋_GBK"/>
          <w:sz w:val="32"/>
          <w:szCs w:val="32"/>
          <w:shd w:val="clear" w:color="auto" w:fill="FFFFFF"/>
        </w:rPr>
        <w:t>反映单位开支的在职职工和编制外长期聘用人员的各类劳动报酬，以及为上述人员缴纳的各项社会保险费等。</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（九）商品和服务支出（支出经济分类科目类级）：</w:t>
      </w:r>
      <w:r>
        <w:rPr>
          <w:rFonts w:hint="eastAsia" w:ascii="方正仿宋_GBK" w:eastAsia="方正仿宋_GBK"/>
          <w:sz w:val="32"/>
          <w:szCs w:val="32"/>
          <w:shd w:val="clear" w:color="auto" w:fill="FFFFFF"/>
        </w:rPr>
        <w:t>反映单位购买商品和服务的支出（不包括用于购置固定资产的支出、战略性和应急储备支出）。</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（十）对个人和家庭的补助（支出经济分类科目类级）：</w:t>
      </w:r>
      <w:r>
        <w:rPr>
          <w:rFonts w:hint="eastAsia" w:ascii="方正仿宋_GBK" w:eastAsia="方正仿宋_GBK"/>
          <w:sz w:val="32"/>
          <w:szCs w:val="32"/>
          <w:shd w:val="clear" w:color="auto" w:fill="FFFFFF"/>
        </w:rPr>
        <w:t>反映用于对个人和家庭的补助支出。</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（十一）其他资本性支出（支出经济分类科目类级）：</w:t>
      </w:r>
      <w:r>
        <w:rPr>
          <w:rFonts w:hint="eastAsia" w:ascii="方正仿宋_GBK" w:eastAsia="方正仿宋_GBK"/>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Style w:val="7"/>
          <w:rFonts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七、决算公开联系方式及信息反馈渠道</w:t>
      </w:r>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本单位决算公开信息反馈和联系方式：</w:t>
      </w:r>
      <w:bookmarkStart w:id="0" w:name="_GoBack"/>
      <w:bookmarkEnd w:id="0"/>
    </w:p>
    <w:p>
      <w:pPr>
        <w:pStyle w:val="10"/>
        <w:keepNext w:val="0"/>
        <w:keepLines w:val="0"/>
        <w:pageBreakBefore w:val="0"/>
        <w:shd w:val="clear" w:color="auto" w:fill="FFFFFF"/>
        <w:kinsoku/>
        <w:wordWrap/>
        <w:topLinePunct w:val="0"/>
        <w:autoSpaceDE/>
        <w:autoSpaceDN/>
        <w:bidi w:val="0"/>
        <w:adjustRightInd/>
        <w:snapToGrid w:val="0"/>
        <w:spacing w:before="0" w:beforeAutospacing="0" w:after="0" w:afterAutospacing="0" w:line="560" w:lineRule="exact"/>
        <w:ind w:firstLine="640" w:firstLineChars="200"/>
        <w:jc w:val="both"/>
        <w:textAlignment w:val="auto"/>
        <w:rPr>
          <w:rFonts w:ascii="方正仿宋_GBK" w:eastAsia="方正仿宋_GBK"/>
          <w:sz w:val="32"/>
          <w:szCs w:val="32"/>
          <w:shd w:val="clear" w:color="auto" w:fill="FFFFFF"/>
        </w:rPr>
      </w:pPr>
      <w:r>
        <w:rPr>
          <w:rFonts w:hint="eastAsia" w:ascii="方正仿宋_GBK" w:eastAsia="方正仿宋_GBK"/>
          <w:sz w:val="32"/>
          <w:szCs w:val="32"/>
          <w:shd w:val="clear" w:color="auto" w:fill="FFFFFF"/>
          <w:lang w:val="en-US" w:eastAsia="zh-CN"/>
        </w:rPr>
        <w:t>王官群</w:t>
      </w:r>
      <w:r>
        <w:rPr>
          <w:rFonts w:hint="eastAsia" w:ascii="方正仿宋_GBK" w:eastAsia="方正仿宋_GBK"/>
          <w:sz w:val="32"/>
          <w:szCs w:val="32"/>
          <w:shd w:val="clear" w:color="auto" w:fill="FFFFFF"/>
        </w:rPr>
        <w:t>023-45682137</w:t>
      </w:r>
    </w:p>
    <w:p>
      <w:pPr>
        <w:keepNext w:val="0"/>
        <w:keepLines w:val="0"/>
        <w:pageBreakBefore w:val="0"/>
        <w:kinsoku/>
        <w:wordWrap/>
        <w:topLinePunct w:val="0"/>
        <w:autoSpaceDE/>
        <w:autoSpaceDN/>
        <w:bidi w:val="0"/>
        <w:adjustRightInd/>
        <w:snapToGrid w:val="0"/>
        <w:spacing w:line="560" w:lineRule="exact"/>
        <w:ind w:firstLine="640" w:firstLineChars="200"/>
        <w:textAlignment w:val="auto"/>
        <w:rPr>
          <w:rFonts w:ascii="方正仿宋_GBK" w:eastAsia="方正仿宋_GBK"/>
          <w:sz w:val="32"/>
          <w:szCs w:val="32"/>
        </w:rPr>
      </w:pPr>
    </w:p>
    <w:sectPr>
      <w:pgSz w:w="11906" w:h="16838"/>
      <w:pgMar w:top="2098"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3ZTBkZTEzY2Y1ODczNjhkZTFhZmUyY2UwODAxMDgifQ=="/>
  </w:docVars>
  <w:rsids>
    <w:rsidRoot w:val="00B875CC"/>
    <w:rsid w:val="000861A4"/>
    <w:rsid w:val="00093CFC"/>
    <w:rsid w:val="000D5B34"/>
    <w:rsid w:val="00120A4F"/>
    <w:rsid w:val="00124209"/>
    <w:rsid w:val="0015315A"/>
    <w:rsid w:val="001708EA"/>
    <w:rsid w:val="001A530B"/>
    <w:rsid w:val="001C6A08"/>
    <w:rsid w:val="001D14FF"/>
    <w:rsid w:val="001F798F"/>
    <w:rsid w:val="00200561"/>
    <w:rsid w:val="00211013"/>
    <w:rsid w:val="002136A5"/>
    <w:rsid w:val="002350CE"/>
    <w:rsid w:val="00280A7E"/>
    <w:rsid w:val="00286A61"/>
    <w:rsid w:val="002E1FB6"/>
    <w:rsid w:val="003A692F"/>
    <w:rsid w:val="003D6907"/>
    <w:rsid w:val="004B6B34"/>
    <w:rsid w:val="004D2804"/>
    <w:rsid w:val="004D4472"/>
    <w:rsid w:val="00561B8B"/>
    <w:rsid w:val="00570835"/>
    <w:rsid w:val="005C3E76"/>
    <w:rsid w:val="00603A23"/>
    <w:rsid w:val="0064056C"/>
    <w:rsid w:val="00645A97"/>
    <w:rsid w:val="006A0BA2"/>
    <w:rsid w:val="006A1B35"/>
    <w:rsid w:val="00710986"/>
    <w:rsid w:val="0071329E"/>
    <w:rsid w:val="00723AF0"/>
    <w:rsid w:val="00765CF3"/>
    <w:rsid w:val="00795B84"/>
    <w:rsid w:val="007F6D7B"/>
    <w:rsid w:val="00886354"/>
    <w:rsid w:val="0089089A"/>
    <w:rsid w:val="00916740"/>
    <w:rsid w:val="00995BE0"/>
    <w:rsid w:val="009F5F41"/>
    <w:rsid w:val="00A618D3"/>
    <w:rsid w:val="00A62E68"/>
    <w:rsid w:val="00A83005"/>
    <w:rsid w:val="00AC1081"/>
    <w:rsid w:val="00B31F01"/>
    <w:rsid w:val="00B32D8C"/>
    <w:rsid w:val="00B60799"/>
    <w:rsid w:val="00B73092"/>
    <w:rsid w:val="00B875CC"/>
    <w:rsid w:val="00BB634E"/>
    <w:rsid w:val="00BC2197"/>
    <w:rsid w:val="00BC7E49"/>
    <w:rsid w:val="00BF34B2"/>
    <w:rsid w:val="00C07AC1"/>
    <w:rsid w:val="00C76F4A"/>
    <w:rsid w:val="00C844C8"/>
    <w:rsid w:val="00CC70C0"/>
    <w:rsid w:val="00CD51CD"/>
    <w:rsid w:val="00CE6E8E"/>
    <w:rsid w:val="00D67AEB"/>
    <w:rsid w:val="00DD532A"/>
    <w:rsid w:val="00E37B59"/>
    <w:rsid w:val="00E41033"/>
    <w:rsid w:val="00EA3F6C"/>
    <w:rsid w:val="00EC546F"/>
    <w:rsid w:val="00ED4CA0"/>
    <w:rsid w:val="00F60BCF"/>
    <w:rsid w:val="00F90E9C"/>
    <w:rsid w:val="00FF3E98"/>
    <w:rsid w:val="02F9788F"/>
    <w:rsid w:val="0BFE1C09"/>
    <w:rsid w:val="1CB23ECC"/>
    <w:rsid w:val="1F3B54FD"/>
    <w:rsid w:val="1FD16245"/>
    <w:rsid w:val="23FA4DAA"/>
    <w:rsid w:val="270311B0"/>
    <w:rsid w:val="27B34984"/>
    <w:rsid w:val="2B1C0050"/>
    <w:rsid w:val="2DDA0A9B"/>
    <w:rsid w:val="2DFC2AE4"/>
    <w:rsid w:val="364B357C"/>
    <w:rsid w:val="45913C27"/>
    <w:rsid w:val="460F0B7E"/>
    <w:rsid w:val="4812381A"/>
    <w:rsid w:val="4F9547EC"/>
    <w:rsid w:val="58B20BE3"/>
    <w:rsid w:val="5A523817"/>
    <w:rsid w:val="5EB940A2"/>
    <w:rsid w:val="697120A8"/>
    <w:rsid w:val="69DD359F"/>
    <w:rsid w:val="6B5D66AE"/>
    <w:rsid w:val="6E79075A"/>
    <w:rsid w:val="7E1C61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普通(网站) Cha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15"/>
    <w:basedOn w:val="6"/>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4605</Words>
  <Characters>5125</Characters>
  <Lines>36</Lines>
  <Paragraphs>10</Paragraphs>
  <TotalTime>3</TotalTime>
  <ScaleCrop>false</ScaleCrop>
  <LinksUpToDate>false</LinksUpToDate>
  <CharactersWithSpaces>5128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2023-10-11T08:05:00Z</dcterms:created>
  <dc:creator>AutoBV</dc:creator>
  <cp:lastModifiedBy>freedom</cp:lastModifiedBy>
  <cp:lastPrinted>2023-10-12T06:17:00Z</cp:lastPrinted>
  <dcterms:modified xsi:type="dcterms:W3CDTF">2023-10-24T09:36:39Z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70899304162B40E5BAABF19039F92A7B_12</vt:lpwstr>
  </property>
</Properties>
</file>