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560" w:lineRule="exact"/>
        <w:ind w:left="560" w:firstLine="0" w:firstLineChars="0"/>
        <w:jc w:val="center"/>
        <w:rPr>
          <w:b/>
          <w:sz w:val="32"/>
          <w:szCs w:val="32"/>
        </w:rPr>
      </w:pPr>
      <w:r>
        <w:rPr>
          <w:rFonts w:hint="eastAsia"/>
          <w:b/>
          <w:sz w:val="32"/>
          <w:szCs w:val="32"/>
        </w:rPr>
        <w:t>铜梁区土地整理项目</w:t>
      </w:r>
    </w:p>
    <w:p>
      <w:pPr>
        <w:spacing w:line="560" w:lineRule="exact"/>
        <w:ind w:left="560" w:firstLine="0" w:firstLineChars="0"/>
        <w:jc w:val="center"/>
        <w:rPr>
          <w:b/>
          <w:sz w:val="32"/>
          <w:szCs w:val="32"/>
        </w:rPr>
      </w:pPr>
      <w:r>
        <w:rPr>
          <w:rFonts w:hint="eastAsia"/>
          <w:b/>
          <w:sz w:val="32"/>
          <w:szCs w:val="32"/>
        </w:rPr>
        <w:t>绩效评价报告</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632" w:firstLineChars="300"/>
        <w:jc w:val="center"/>
        <w:rPr>
          <w:rFonts w:ascii="Arial Narrow" w:hAnsi="Arial Narrow"/>
          <w:sz w:val="21"/>
        </w:rPr>
      </w:pPr>
      <w:r>
        <w:rPr>
          <w:rFonts w:hint="eastAsia" w:ascii="宋体" w:hAnsi="宋体"/>
          <w:b/>
          <w:bCs/>
          <w:kern w:val="0"/>
          <w:sz w:val="21"/>
          <w:szCs w:val="21"/>
        </w:rPr>
        <w:t>凯弘会所咨[2024]014号</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spacing w:line="240" w:lineRule="auto"/>
        <w:ind w:firstLine="0" w:firstLineChars="0"/>
        <w:jc w:val="center"/>
        <w:rPr>
          <w:rFonts w:ascii="Arial Narrow" w:hAnsi="Arial Narrow"/>
          <w:sz w:val="21"/>
        </w:rPr>
      </w:pPr>
      <w:r>
        <w:rPr>
          <w:rFonts w:hint="eastAsia" w:ascii="Arial Narrow" w:hAnsi="宋体"/>
          <w:b/>
          <w:spacing w:val="40"/>
          <w:sz w:val="30"/>
          <w:szCs w:val="30"/>
        </w:rPr>
        <w:t>重庆凯弘会计师事务所有限公司</w:t>
      </w:r>
    </w:p>
    <w:p>
      <w:pPr>
        <w:spacing w:line="240" w:lineRule="auto"/>
        <w:ind w:firstLine="0" w:firstLineChars="0"/>
        <w:jc w:val="center"/>
        <w:rPr>
          <w:spacing w:val="-8"/>
          <w:sz w:val="24"/>
        </w:rPr>
      </w:pPr>
      <w:r>
        <w:rPr>
          <w:spacing w:val="-8"/>
          <w:sz w:val="24"/>
        </w:rPr>
        <w:t>CHONGQING KAIHONG CERTIFIED PUBLIC ACCOUNTANTS CO.,LTD.</w:t>
      </w:r>
    </w:p>
    <w:p>
      <w:pPr>
        <w:spacing w:line="240" w:lineRule="auto"/>
        <w:ind w:firstLine="0" w:firstLineChars="0"/>
        <w:rPr>
          <w:rFonts w:ascii="Arial Narrow" w:hAnsi="Arial Narrow"/>
          <w:sz w:val="21"/>
        </w:rPr>
      </w:pPr>
    </w:p>
    <w:p>
      <w:pPr>
        <w:spacing w:line="240" w:lineRule="auto"/>
        <w:ind w:firstLine="0" w:firstLineChars="0"/>
        <w:rPr>
          <w:rFonts w:ascii="Arial Narrow" w:hAnsi="Arial Narrow"/>
          <w:sz w:val="21"/>
        </w:rPr>
      </w:pPr>
    </w:p>
    <w:p>
      <w:pPr>
        <w:adjustRightInd w:val="0"/>
        <w:snapToGrid w:val="0"/>
        <w:spacing w:line="560" w:lineRule="exact"/>
        <w:ind w:firstLine="643"/>
        <w:rPr>
          <w:rFonts w:ascii="宋体" w:hAnsi="宋体"/>
          <w:b/>
          <w:sz w:val="32"/>
          <w:szCs w:val="32"/>
        </w:rPr>
      </w:pPr>
    </w:p>
    <w:p>
      <w:pPr>
        <w:spacing w:line="560" w:lineRule="exact"/>
        <w:ind w:left="560" w:firstLine="0" w:firstLineChars="0"/>
        <w:jc w:val="center"/>
        <w:rPr>
          <w:b/>
          <w:sz w:val="32"/>
          <w:szCs w:val="32"/>
        </w:rPr>
      </w:pPr>
      <w:r>
        <w:rPr>
          <w:rFonts w:hint="eastAsia"/>
          <w:b/>
          <w:sz w:val="32"/>
          <w:szCs w:val="32"/>
        </w:rPr>
        <w:t>铜梁区土地整理项目</w:t>
      </w:r>
    </w:p>
    <w:p>
      <w:pPr>
        <w:spacing w:line="560" w:lineRule="exact"/>
        <w:ind w:left="560" w:firstLine="0" w:firstLineChars="0"/>
        <w:jc w:val="center"/>
        <w:rPr>
          <w:b/>
          <w:sz w:val="32"/>
          <w:szCs w:val="32"/>
        </w:rPr>
      </w:pPr>
      <w:r>
        <w:rPr>
          <w:rFonts w:hint="eastAsia"/>
          <w:b/>
          <w:sz w:val="32"/>
          <w:szCs w:val="32"/>
        </w:rPr>
        <w:t>绩效评价报告</w:t>
      </w:r>
    </w:p>
    <w:p>
      <w:pPr>
        <w:adjustRightInd w:val="0"/>
        <w:snapToGrid w:val="0"/>
        <w:spacing w:line="560" w:lineRule="exact"/>
        <w:ind w:firstLine="643"/>
        <w:jc w:val="left"/>
        <w:rPr>
          <w:rFonts w:ascii="宋体" w:hAnsi="宋体"/>
          <w:b/>
          <w:sz w:val="32"/>
          <w:szCs w:val="32"/>
        </w:rPr>
      </w:pPr>
    </w:p>
    <w:tbl>
      <w:tblPr>
        <w:tblStyle w:val="18"/>
        <w:tblW w:w="8647" w:type="dxa"/>
        <w:jc w:val="center"/>
        <w:tblLayout w:type="fixed"/>
        <w:tblCellMar>
          <w:top w:w="0" w:type="dxa"/>
          <w:left w:w="108" w:type="dxa"/>
          <w:bottom w:w="0" w:type="dxa"/>
          <w:right w:w="108" w:type="dxa"/>
        </w:tblCellMar>
      </w:tblPr>
      <w:tblGrid>
        <w:gridCol w:w="883"/>
        <w:gridCol w:w="5838"/>
        <w:gridCol w:w="372"/>
        <w:gridCol w:w="1554"/>
      </w:tblGrid>
      <w:tr>
        <w:tblPrEx>
          <w:tblCellMar>
            <w:top w:w="0" w:type="dxa"/>
            <w:left w:w="108" w:type="dxa"/>
            <w:bottom w:w="0" w:type="dxa"/>
            <w:right w:w="108" w:type="dxa"/>
          </w:tblCellMar>
        </w:tblPrEx>
        <w:trPr>
          <w:jc w:val="center"/>
        </w:trPr>
        <w:tc>
          <w:tcPr>
            <w:tcW w:w="883" w:type="dxa"/>
          </w:tcPr>
          <w:p>
            <w:pPr>
              <w:keepLines/>
              <w:tabs>
                <w:tab w:val="right" w:pos="8280"/>
              </w:tabs>
              <w:spacing w:line="560" w:lineRule="exact"/>
              <w:ind w:firstLine="560"/>
              <w:rPr>
                <w:rFonts w:ascii="宋体" w:hAnsi="宋体"/>
                <w:szCs w:val="28"/>
              </w:rPr>
            </w:pPr>
          </w:p>
        </w:tc>
        <w:tc>
          <w:tcPr>
            <w:tcW w:w="5838" w:type="dxa"/>
          </w:tcPr>
          <w:p>
            <w:pPr>
              <w:keepLines/>
              <w:tabs>
                <w:tab w:val="right" w:pos="8280"/>
              </w:tabs>
              <w:spacing w:line="560" w:lineRule="exact"/>
              <w:ind w:firstLine="562"/>
              <w:jc w:val="center"/>
              <w:rPr>
                <w:rFonts w:ascii="宋体" w:hAnsi="宋体"/>
                <w:b/>
                <w:szCs w:val="28"/>
              </w:rPr>
            </w:pPr>
            <w:r>
              <w:rPr>
                <w:rFonts w:ascii="宋体" w:hAnsi="宋体"/>
                <w:b/>
                <w:szCs w:val="28"/>
              </w:rPr>
              <w:t>目录</w:t>
            </w:r>
          </w:p>
          <w:p>
            <w:pPr>
              <w:keepLines/>
              <w:tabs>
                <w:tab w:val="right" w:pos="8280"/>
              </w:tabs>
              <w:spacing w:line="560" w:lineRule="exact"/>
              <w:ind w:firstLine="562"/>
              <w:jc w:val="center"/>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2"/>
              <w:jc w:val="center"/>
              <w:rPr>
                <w:rFonts w:ascii="宋体" w:hAnsi="宋体"/>
                <w:b/>
                <w:szCs w:val="28"/>
              </w:rPr>
            </w:pPr>
            <w:r>
              <w:rPr>
                <w:rFonts w:ascii="宋体" w:hAnsi="宋体"/>
                <w:b/>
                <w:szCs w:val="28"/>
              </w:rPr>
              <w:t>页次</w:t>
            </w:r>
          </w:p>
        </w:tc>
      </w:tr>
      <w:tr>
        <w:tblPrEx>
          <w:tblCellMar>
            <w:top w:w="0" w:type="dxa"/>
            <w:left w:w="108" w:type="dxa"/>
            <w:bottom w:w="0" w:type="dxa"/>
            <w:right w:w="108" w:type="dxa"/>
          </w:tblCellMar>
        </w:tblPrEx>
        <w:trPr>
          <w:trHeight w:val="90" w:hRule="atLeast"/>
          <w:jc w:val="center"/>
        </w:trPr>
        <w:tc>
          <w:tcPr>
            <w:tcW w:w="883" w:type="dxa"/>
          </w:tcPr>
          <w:p>
            <w:pPr>
              <w:keepLines/>
              <w:tabs>
                <w:tab w:val="right" w:pos="8280"/>
              </w:tabs>
              <w:spacing w:line="560" w:lineRule="exact"/>
              <w:ind w:firstLine="0" w:firstLineChars="0"/>
              <w:rPr>
                <w:rFonts w:ascii="宋体" w:hAnsi="宋体"/>
                <w:b/>
                <w:szCs w:val="28"/>
              </w:rPr>
            </w:pPr>
            <w:r>
              <w:rPr>
                <w:rFonts w:ascii="宋体" w:hAnsi="宋体"/>
                <w:b/>
                <w:szCs w:val="28"/>
              </w:rPr>
              <w:t>一、</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报告正文</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ascii="宋体" w:hAnsi="宋体"/>
                <w:szCs w:val="28"/>
              </w:rPr>
            </w:pPr>
            <w:r>
              <w:rPr>
                <w:rFonts w:ascii="宋体" w:hAnsi="宋体"/>
                <w:szCs w:val="28"/>
              </w:rPr>
              <w:t>1-</w:t>
            </w:r>
            <w:r>
              <w:rPr>
                <w:rFonts w:hint="eastAsia" w:ascii="宋体" w:hAnsi="宋体"/>
                <w:szCs w:val="28"/>
              </w:rPr>
              <w:t>20</w:t>
            </w:r>
          </w:p>
        </w:tc>
      </w:tr>
      <w:tr>
        <w:tblPrEx>
          <w:tblCellMar>
            <w:top w:w="0" w:type="dxa"/>
            <w:left w:w="108" w:type="dxa"/>
            <w:bottom w:w="0" w:type="dxa"/>
            <w:right w:w="108" w:type="dxa"/>
          </w:tblCellMar>
        </w:tblPrEx>
        <w:trPr>
          <w:trHeight w:val="991" w:hRule="atLeast"/>
          <w:jc w:val="center"/>
        </w:trPr>
        <w:tc>
          <w:tcPr>
            <w:tcW w:w="883"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二、</w:t>
            </w:r>
          </w:p>
        </w:tc>
        <w:tc>
          <w:tcPr>
            <w:tcW w:w="5838" w:type="dxa"/>
          </w:tcPr>
          <w:p>
            <w:pPr>
              <w:keepLines/>
              <w:tabs>
                <w:tab w:val="right" w:pos="8280"/>
              </w:tabs>
              <w:spacing w:line="560" w:lineRule="exact"/>
              <w:ind w:firstLine="0" w:firstLineChars="0"/>
              <w:rPr>
                <w:rFonts w:ascii="宋体" w:hAnsi="宋体"/>
                <w:b/>
                <w:szCs w:val="28"/>
              </w:rPr>
            </w:pPr>
            <w:r>
              <w:rPr>
                <w:rFonts w:hint="eastAsia" w:ascii="宋体" w:hAnsi="宋体"/>
                <w:b/>
                <w:szCs w:val="28"/>
              </w:rPr>
              <w:t>报告附件</w:t>
            </w:r>
          </w:p>
        </w:tc>
        <w:tc>
          <w:tcPr>
            <w:tcW w:w="372" w:type="dxa"/>
          </w:tcPr>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0" w:firstLineChars="0"/>
              <w:rPr>
                <w:rFonts w:ascii="宋体" w:hAnsi="宋体"/>
                <w:b/>
                <w:szCs w:val="28"/>
                <w:highlight w:val="yellow"/>
              </w:rPr>
            </w:pPr>
          </w:p>
        </w:tc>
      </w:tr>
      <w:tr>
        <w:tblPrEx>
          <w:tblCellMar>
            <w:top w:w="0" w:type="dxa"/>
            <w:left w:w="108" w:type="dxa"/>
            <w:bottom w:w="0" w:type="dxa"/>
            <w:right w:w="108" w:type="dxa"/>
          </w:tblCellMar>
        </w:tblPrEx>
        <w:trPr>
          <w:jc w:val="center"/>
        </w:trPr>
        <w:tc>
          <w:tcPr>
            <w:tcW w:w="883" w:type="dxa"/>
            <w:vAlign w:val="center"/>
          </w:tcPr>
          <w:p>
            <w:pPr>
              <w:keepLines/>
              <w:tabs>
                <w:tab w:val="right" w:pos="8280"/>
              </w:tabs>
              <w:spacing w:line="560" w:lineRule="exact"/>
              <w:ind w:firstLine="0" w:firstLineChars="0"/>
              <w:rPr>
                <w:rFonts w:ascii="宋体" w:hAnsi="宋体"/>
                <w:szCs w:val="28"/>
              </w:rPr>
            </w:pPr>
            <w:r>
              <w:rPr>
                <w:rFonts w:hint="eastAsia" w:ascii="宋体" w:hAnsi="宋体"/>
                <w:szCs w:val="28"/>
              </w:rPr>
              <w:t>1、</w:t>
            </w:r>
          </w:p>
          <w:p>
            <w:pPr>
              <w:keepLines/>
              <w:tabs>
                <w:tab w:val="right" w:pos="8280"/>
              </w:tabs>
              <w:spacing w:line="560" w:lineRule="exact"/>
              <w:ind w:firstLine="0" w:firstLineChars="0"/>
              <w:rPr>
                <w:rFonts w:ascii="宋体" w:hAnsi="宋体"/>
                <w:szCs w:val="28"/>
              </w:rPr>
            </w:pPr>
          </w:p>
          <w:p>
            <w:pPr>
              <w:keepLines/>
              <w:tabs>
                <w:tab w:val="right" w:pos="8280"/>
              </w:tabs>
              <w:spacing w:line="560" w:lineRule="exact"/>
              <w:ind w:firstLine="0" w:firstLineChars="0"/>
              <w:rPr>
                <w:rFonts w:ascii="宋体" w:hAnsi="宋体"/>
                <w:szCs w:val="28"/>
              </w:rPr>
            </w:pPr>
          </w:p>
        </w:tc>
        <w:tc>
          <w:tcPr>
            <w:tcW w:w="5838" w:type="dxa"/>
          </w:tcPr>
          <w:p>
            <w:pPr>
              <w:keepLines/>
              <w:tabs>
                <w:tab w:val="right" w:pos="8280"/>
              </w:tabs>
              <w:spacing w:line="560" w:lineRule="exact"/>
              <w:ind w:firstLine="0" w:firstLineChars="0"/>
              <w:jc w:val="left"/>
              <w:rPr>
                <w:rFonts w:ascii="宋体" w:hAnsi="宋体"/>
                <w:b/>
                <w:szCs w:val="28"/>
              </w:rPr>
            </w:pPr>
            <w:r>
              <w:rPr>
                <w:rFonts w:hint="eastAsia"/>
                <w:b/>
                <w:sz w:val="32"/>
                <w:szCs w:val="32"/>
              </w:rPr>
              <w:t>铜梁区土地整理项目</w:t>
            </w:r>
            <w:r>
              <w:rPr>
                <w:rFonts w:hint="eastAsia" w:ascii="宋体" w:hAnsi="宋体"/>
                <w:b/>
                <w:szCs w:val="28"/>
              </w:rPr>
              <w:t>绩效评价指标表</w:t>
            </w:r>
          </w:p>
          <w:p>
            <w:pPr>
              <w:keepLines/>
              <w:tabs>
                <w:tab w:val="right" w:pos="8280"/>
              </w:tabs>
              <w:spacing w:line="560" w:lineRule="exact"/>
              <w:ind w:firstLine="0" w:firstLineChars="0"/>
              <w:jc w:val="left"/>
              <w:rPr>
                <w:rFonts w:ascii="宋体" w:hAnsi="宋体"/>
                <w:b/>
                <w:szCs w:val="28"/>
              </w:rPr>
            </w:pPr>
          </w:p>
        </w:tc>
        <w:tc>
          <w:tcPr>
            <w:tcW w:w="372" w:type="dxa"/>
          </w:tcPr>
          <w:p>
            <w:pPr>
              <w:keepLines/>
              <w:tabs>
                <w:tab w:val="right" w:pos="8280"/>
              </w:tabs>
              <w:spacing w:line="560" w:lineRule="exact"/>
              <w:ind w:firstLine="562"/>
              <w:jc w:val="right"/>
              <w:rPr>
                <w:rFonts w:ascii="宋体" w:hAnsi="宋体"/>
                <w:b/>
                <w:szCs w:val="28"/>
              </w:rPr>
            </w:pPr>
          </w:p>
          <w:p>
            <w:pPr>
              <w:keepLines/>
              <w:tabs>
                <w:tab w:val="right" w:pos="8280"/>
              </w:tabs>
              <w:spacing w:line="560" w:lineRule="exact"/>
              <w:ind w:firstLine="562"/>
              <w:jc w:val="right"/>
              <w:rPr>
                <w:rFonts w:ascii="宋体" w:hAnsi="宋体"/>
                <w:b/>
                <w:szCs w:val="28"/>
              </w:rPr>
            </w:pPr>
          </w:p>
        </w:tc>
        <w:tc>
          <w:tcPr>
            <w:tcW w:w="1554" w:type="dxa"/>
          </w:tcPr>
          <w:p>
            <w:pPr>
              <w:keepLines/>
              <w:tabs>
                <w:tab w:val="right" w:pos="8280"/>
              </w:tabs>
              <w:spacing w:line="560" w:lineRule="exact"/>
              <w:ind w:firstLine="560"/>
              <w:jc w:val="center"/>
              <w:rPr>
                <w:rFonts w:ascii="宋体" w:hAnsi="宋体"/>
                <w:szCs w:val="28"/>
                <w:highlight w:val="yellow"/>
              </w:rPr>
            </w:pPr>
          </w:p>
        </w:tc>
      </w:tr>
    </w:tbl>
    <w:p>
      <w:pPr>
        <w:spacing w:line="560" w:lineRule="exact"/>
        <w:ind w:firstLine="723"/>
        <w:rPr>
          <w:rFonts w:ascii="宋体" w:hAnsi="宋体"/>
          <w:b/>
          <w:bCs/>
          <w:sz w:val="36"/>
          <w:szCs w:val="32"/>
        </w:rPr>
      </w:pPr>
    </w:p>
    <w:p>
      <w:pPr>
        <w:ind w:firstLine="723"/>
        <w:jc w:val="center"/>
        <w:rPr>
          <w:rFonts w:ascii="宋体" w:hAnsi="宋体"/>
          <w:b/>
          <w:bCs/>
          <w:sz w:val="36"/>
          <w:szCs w:val="32"/>
        </w:rPr>
      </w:pPr>
    </w:p>
    <w:p>
      <w:pPr>
        <w:tabs>
          <w:tab w:val="center" w:pos="4514"/>
        </w:tabs>
        <w:ind w:firstLine="720"/>
        <w:rPr>
          <w:rFonts w:ascii="宋体" w:hAnsi="宋体"/>
          <w:sz w:val="36"/>
          <w:szCs w:val="32"/>
        </w:rPr>
        <w:sectPr>
          <w:headerReference r:id="rId7" w:type="first"/>
          <w:footerReference r:id="rId10" w:type="first"/>
          <w:headerReference r:id="rId5" w:type="default"/>
          <w:footerReference r:id="rId8" w:type="default"/>
          <w:headerReference r:id="rId6" w:type="even"/>
          <w:footerReference r:id="rId9" w:type="even"/>
          <w:pgSz w:w="11906" w:h="16838"/>
          <w:pgMar w:top="1440" w:right="1800" w:bottom="1440" w:left="1800" w:header="851" w:footer="992" w:gutter="0"/>
          <w:cols w:space="720" w:num="1"/>
          <w:docGrid w:type="lines" w:linePitch="312" w:charSpace="0"/>
        </w:sectPr>
      </w:pPr>
      <w:r>
        <w:rPr>
          <w:rFonts w:ascii="宋体" w:hAnsi="宋体"/>
          <w:sz w:val="36"/>
          <w:szCs w:val="32"/>
        </w:rPr>
        <w:tab/>
      </w:r>
    </w:p>
    <w:p>
      <w:pPr>
        <w:spacing w:line="560" w:lineRule="exact"/>
        <w:ind w:left="560" w:firstLine="0" w:firstLineChars="0"/>
        <w:jc w:val="center"/>
        <w:rPr>
          <w:b/>
          <w:sz w:val="36"/>
          <w:szCs w:val="36"/>
        </w:rPr>
      </w:pPr>
      <w:r>
        <w:rPr>
          <w:rFonts w:hint="eastAsia"/>
          <w:b/>
          <w:sz w:val="36"/>
          <w:szCs w:val="36"/>
        </w:rPr>
        <w:t>铜梁区土地整理项目</w:t>
      </w:r>
    </w:p>
    <w:p>
      <w:pPr>
        <w:spacing w:line="560" w:lineRule="exact"/>
        <w:ind w:left="560" w:firstLine="0" w:firstLineChars="0"/>
        <w:jc w:val="center"/>
        <w:rPr>
          <w:b/>
          <w:sz w:val="36"/>
          <w:szCs w:val="36"/>
        </w:rPr>
      </w:pPr>
      <w:r>
        <w:rPr>
          <w:rFonts w:hint="eastAsia"/>
          <w:b/>
          <w:sz w:val="36"/>
          <w:szCs w:val="36"/>
        </w:rPr>
        <w:t>绩效评价报告</w:t>
      </w:r>
    </w:p>
    <w:p>
      <w:pPr>
        <w:spacing w:line="560" w:lineRule="exact"/>
        <w:ind w:firstLine="640"/>
        <w:jc w:val="center"/>
        <w:rPr>
          <w:rFonts w:ascii="宋体" w:hAnsi="宋体" w:cs="仿宋"/>
          <w:sz w:val="32"/>
          <w:szCs w:val="32"/>
        </w:rPr>
      </w:pPr>
    </w:p>
    <w:p>
      <w:pPr>
        <w:autoSpaceDE w:val="0"/>
        <w:autoSpaceDN w:val="0"/>
        <w:adjustRightInd w:val="0"/>
        <w:snapToGrid w:val="0"/>
        <w:spacing w:line="560" w:lineRule="exact"/>
        <w:ind w:firstLine="422"/>
        <w:jc w:val="center"/>
        <w:rPr>
          <w:rFonts w:ascii="宋体" w:hAnsi="宋体"/>
          <w:b/>
          <w:kern w:val="0"/>
          <w:sz w:val="21"/>
          <w:szCs w:val="21"/>
        </w:rPr>
      </w:pPr>
      <w:r>
        <w:rPr>
          <w:rFonts w:hint="eastAsia" w:ascii="宋体" w:hAnsi="宋体"/>
          <w:b/>
          <w:kern w:val="0"/>
          <w:sz w:val="21"/>
          <w:szCs w:val="21"/>
        </w:rPr>
        <w:t>凯弘会所咨[2024]014号</w:t>
      </w:r>
    </w:p>
    <w:p>
      <w:pPr>
        <w:spacing w:line="560" w:lineRule="exact"/>
        <w:ind w:firstLine="560"/>
        <w:jc w:val="left"/>
        <w:rPr>
          <w:rFonts w:ascii="宋体" w:hAnsi="宋体" w:cs="仿宋"/>
          <w:szCs w:val="28"/>
        </w:rPr>
      </w:pPr>
    </w:p>
    <w:p>
      <w:pPr>
        <w:spacing w:line="560" w:lineRule="exact"/>
        <w:ind w:firstLine="560"/>
        <w:jc w:val="left"/>
        <w:rPr>
          <w:rFonts w:ascii="宋体" w:hAnsi="宋体" w:cs="仿宋"/>
          <w:szCs w:val="28"/>
        </w:rPr>
        <w:sectPr>
          <w:headerReference r:id="rId11" w:type="default"/>
          <w:footerReference r:id="rId12" w:type="default"/>
          <w:pgSz w:w="11906" w:h="16838"/>
          <w:pgMar w:top="1440" w:right="1800" w:bottom="1440" w:left="1800" w:header="851" w:footer="992" w:gutter="0"/>
          <w:pgNumType w:start="1"/>
          <w:cols w:space="425" w:num="1"/>
          <w:docGrid w:type="lines" w:linePitch="312" w:charSpace="0"/>
        </w:sectPr>
      </w:pPr>
    </w:p>
    <w:p>
      <w:pPr>
        <w:spacing w:line="560" w:lineRule="exact"/>
        <w:ind w:firstLine="560"/>
        <w:rPr>
          <w:rFonts w:ascii="宋体" w:hAnsi="宋体"/>
          <w:szCs w:val="28"/>
        </w:rPr>
      </w:pPr>
      <w:r>
        <w:rPr>
          <w:rFonts w:hint="eastAsia" w:ascii="宋体" w:hAnsi="宋体"/>
          <w:szCs w:val="28"/>
        </w:rPr>
        <w:t>我们接受财政局委托，于2024年6月3日至2024年6月28日对</w:t>
      </w:r>
      <w:bookmarkStart w:id="0" w:name="_Hlk170577047"/>
      <w:r>
        <w:rPr>
          <w:rFonts w:hint="eastAsia" w:ascii="宋体" w:hAnsi="宋体"/>
          <w:szCs w:val="28"/>
        </w:rPr>
        <w:t>铜梁区土地整理项目</w:t>
      </w:r>
      <w:bookmarkEnd w:id="0"/>
      <w:r>
        <w:rPr>
          <w:rFonts w:hint="eastAsia" w:ascii="宋体" w:hAnsi="宋体"/>
          <w:szCs w:val="28"/>
        </w:rPr>
        <w:t>进行了绩效评价。现将评价工作报告如下：</w:t>
      </w:r>
    </w:p>
    <w:p>
      <w:pPr>
        <w:spacing w:line="560" w:lineRule="exact"/>
        <w:ind w:firstLine="562"/>
        <w:jc w:val="center"/>
        <w:rPr>
          <w:rFonts w:ascii="宋体" w:hAnsi="宋体"/>
          <w:b/>
          <w:bCs/>
          <w:szCs w:val="28"/>
        </w:rPr>
      </w:pPr>
      <w:r>
        <w:rPr>
          <w:rFonts w:hint="eastAsia" w:ascii="宋体" w:hAnsi="宋体"/>
          <w:b/>
          <w:bCs/>
          <w:szCs w:val="28"/>
        </w:rPr>
        <w:t>摘要</w:t>
      </w:r>
    </w:p>
    <w:p>
      <w:pPr>
        <w:pStyle w:val="25"/>
        <w:snapToGrid w:val="0"/>
        <w:spacing w:line="560" w:lineRule="exact"/>
        <w:ind w:left="562" w:firstLine="0" w:firstLineChars="0"/>
        <w:outlineLvl w:val="0"/>
        <w:rPr>
          <w:rFonts w:ascii="宋体" w:hAnsi="宋体"/>
          <w:b/>
          <w:szCs w:val="28"/>
        </w:rPr>
      </w:pPr>
      <w:r>
        <w:rPr>
          <w:rFonts w:ascii="宋体" w:hAnsi="宋体"/>
          <w:b/>
          <w:szCs w:val="28"/>
        </w:rPr>
        <w:t>一、基本情况</w:t>
      </w:r>
    </w:p>
    <w:p>
      <w:pPr>
        <w:ind w:firstLine="560"/>
        <w:rPr>
          <w:rFonts w:ascii="宋体" w:hAnsi="宋体"/>
          <w:szCs w:val="28"/>
        </w:rPr>
      </w:pPr>
      <w:r>
        <w:rPr>
          <w:rFonts w:ascii="宋体" w:hAnsi="宋体"/>
          <w:szCs w:val="28"/>
        </w:rPr>
        <w:t>土地开发整理是增加有效耕地面积，</w:t>
      </w:r>
      <w:r>
        <w:rPr>
          <w:rFonts w:hint="eastAsia" w:ascii="宋体" w:hAnsi="宋体"/>
          <w:szCs w:val="28"/>
        </w:rPr>
        <w:t>实现耕地总量动态平衡的有效措施，是提高土地质量，促进土地集约化利用，确保粮食安全的重要手段。积极开展土地开发整理，对于缓解人地矛盾，改善农业生产条件和生态环境，提高耕地综合生产能力，特别是粮食生产能力，促进农村现代化建设，提高人民生活水平具有极其重要的意义，也是贯彻中共中央关于建设社会主义新农村重要决策的集中体现。</w:t>
      </w:r>
    </w:p>
    <w:p>
      <w:pPr>
        <w:ind w:firstLine="560"/>
        <w:rPr>
          <w:rFonts w:ascii="宋体" w:hAnsi="宋体"/>
          <w:szCs w:val="28"/>
        </w:rPr>
      </w:pPr>
      <w:r>
        <w:rPr>
          <w:rFonts w:hint="eastAsia" w:ascii="宋体" w:hAnsi="宋体"/>
          <w:szCs w:val="28"/>
        </w:rPr>
        <w:t>为深入贯彻落实党中央、国务院关于严格耕地保护和保障国家粮食安全的重大决策部署。为有效补充耕地数量，提高土地承载能力，推动生态文明建设，助力乡村振兴</w:t>
      </w:r>
      <w:r>
        <w:rPr>
          <w:rFonts w:hint="eastAsia"/>
        </w:rPr>
        <w:t>，根据中共重庆市委农村工作暨实施乡村振兴战略领导小组耕地保护建设工作专班办公室《关于下达2023年度耕地保护任务的通知》（渝耕保专办〔2023〕39号）文件精神，</w:t>
      </w:r>
      <w:r>
        <w:rPr>
          <w:rFonts w:hint="eastAsia" w:ascii="宋体" w:hAnsi="宋体"/>
          <w:szCs w:val="28"/>
        </w:rPr>
        <w:t>经过充分研究、实地勘察和项目前期论证，批准实施“铜梁区土地整理项目”。</w:t>
      </w:r>
    </w:p>
    <w:p>
      <w:pPr>
        <w:snapToGrid w:val="0"/>
        <w:spacing w:line="560" w:lineRule="atLeast"/>
        <w:ind w:firstLine="560"/>
        <w:rPr>
          <w:rFonts w:ascii="宋体" w:hAnsi="宋体"/>
          <w:szCs w:val="28"/>
        </w:rPr>
      </w:pPr>
      <w:r>
        <w:rPr>
          <w:rFonts w:hint="eastAsia" w:ascii="宋体" w:hAnsi="宋体"/>
          <w:szCs w:val="28"/>
        </w:rPr>
        <w:t>铜梁区土地整理项目建设地址为重庆市铜梁区围龙镇合龙等6个村、永嘉镇蓝山等7个村、西河镇双永等4个村、维新镇新堰村、少云镇大佛村、旧县街道宋坪村、侣俸镇太石等3个村。</w:t>
      </w:r>
    </w:p>
    <w:p>
      <w:pPr>
        <w:snapToGrid w:val="0"/>
        <w:spacing w:line="560" w:lineRule="atLeast"/>
        <w:ind w:firstLine="560"/>
        <w:rPr>
          <w:rFonts w:ascii="宋体" w:hAnsi="宋体"/>
          <w:szCs w:val="28"/>
        </w:rPr>
      </w:pPr>
      <w:r>
        <w:rPr>
          <w:rFonts w:hint="eastAsia" w:ascii="宋体" w:hAnsi="宋体"/>
          <w:szCs w:val="28"/>
        </w:rPr>
        <w:t>本次对铜梁区土地整理项目实施效果进行客观、公正的评价，通过绩效评价，找出实施过程中存在的问题，总结经验做法与教训。</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二、绩效评价结果</w:t>
      </w:r>
    </w:p>
    <w:p>
      <w:pPr>
        <w:snapToGrid w:val="0"/>
        <w:spacing w:line="560" w:lineRule="atLeast"/>
        <w:ind w:firstLine="560"/>
        <w:rPr>
          <w:rFonts w:ascii="宋体" w:hAnsi="宋体"/>
          <w:szCs w:val="28"/>
        </w:rPr>
      </w:pPr>
      <w:r>
        <w:rPr>
          <w:rFonts w:hint="eastAsia" w:ascii="宋体" w:hAnsi="宋体"/>
          <w:szCs w:val="28"/>
        </w:rPr>
        <w:t>经对铜梁区土地整理项目投入类、管理类、产出类、效益类四个方面进行综合评价，铜梁区土地整理项目绩效评价得分为83.41分，评定等级为“良”。</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三、发现的主要问题及建议</w:t>
      </w:r>
    </w:p>
    <w:p>
      <w:pPr>
        <w:snapToGrid w:val="0"/>
        <w:spacing w:line="560" w:lineRule="atLeast"/>
        <w:ind w:firstLine="560"/>
        <w:rPr>
          <w:rFonts w:ascii="宋体" w:hAnsi="宋体"/>
          <w:szCs w:val="28"/>
        </w:rPr>
      </w:pPr>
      <w:r>
        <w:rPr>
          <w:rFonts w:hint="eastAsia" w:ascii="宋体" w:hAnsi="宋体"/>
          <w:szCs w:val="28"/>
        </w:rPr>
        <w:t>1.超标准修建田间道路。据现场查勘，铜发改委审〔2022〕663号批准石鱼镇兴红村新建田间道路3.5m宽</w:t>
      </w:r>
      <w:r>
        <w:rPr>
          <w:rFonts w:hint="eastAsia" w:ascii="宋体" w:hAnsi="宋体"/>
          <w:szCs w:val="28"/>
          <w:lang w:eastAsia="zh-CN"/>
        </w:rPr>
        <w:t>，</w:t>
      </w:r>
      <w:r>
        <w:rPr>
          <w:rFonts w:hint="eastAsia" w:ascii="宋体" w:hAnsi="宋体"/>
          <w:szCs w:val="28"/>
        </w:rPr>
        <w:t>690m</w:t>
      </w:r>
      <w:r>
        <w:rPr>
          <w:rFonts w:hint="eastAsia" w:ascii="宋体" w:hAnsi="宋体"/>
          <w:szCs w:val="28"/>
          <w:lang w:eastAsia="zh-CN"/>
        </w:rPr>
        <w:t>长</w:t>
      </w:r>
      <w:r>
        <w:rPr>
          <w:rFonts w:hint="eastAsia" w:ascii="宋体" w:hAnsi="宋体"/>
          <w:szCs w:val="28"/>
        </w:rPr>
        <w:t>，实际建成4.5m宽</w:t>
      </w:r>
      <w:r>
        <w:rPr>
          <w:rFonts w:hint="eastAsia" w:ascii="宋体" w:hAnsi="宋体"/>
          <w:szCs w:val="28"/>
          <w:lang w:eastAsia="zh-CN"/>
        </w:rPr>
        <w:t>，</w:t>
      </w:r>
      <w:r>
        <w:rPr>
          <w:rFonts w:hint="eastAsia" w:ascii="宋体" w:hAnsi="宋体"/>
          <w:szCs w:val="28"/>
        </w:rPr>
        <w:t>480m</w:t>
      </w:r>
      <w:r>
        <w:rPr>
          <w:rFonts w:hint="eastAsia" w:ascii="宋体" w:hAnsi="宋体"/>
          <w:szCs w:val="28"/>
          <w:lang w:eastAsia="zh-CN"/>
        </w:rPr>
        <w:t>长</w:t>
      </w:r>
      <w:r>
        <w:rPr>
          <w:rFonts w:hint="eastAsia" w:ascii="宋体" w:hAnsi="宋体"/>
          <w:szCs w:val="28"/>
        </w:rPr>
        <w:t>，田间道路建成了公路；铜发改委审</w:t>
      </w:r>
      <w:r>
        <w:rPr>
          <w:rFonts w:hint="eastAsia"/>
          <w:szCs w:val="28"/>
        </w:rPr>
        <w:t>〔2022〕</w:t>
      </w:r>
      <w:r>
        <w:rPr>
          <w:rFonts w:hint="eastAsia" w:ascii="宋体" w:hAnsi="宋体"/>
          <w:szCs w:val="28"/>
        </w:rPr>
        <w:t>666号批准永嘉镇蓝山村新建田间道路3.0m宽，实际建成3.5m宽。</w:t>
      </w:r>
    </w:p>
    <w:p>
      <w:pPr>
        <w:snapToGrid w:val="0"/>
        <w:spacing w:line="560" w:lineRule="atLeast"/>
        <w:ind w:firstLine="560"/>
        <w:rPr>
          <w:rFonts w:ascii="宋体" w:hAnsi="宋体"/>
          <w:szCs w:val="28"/>
        </w:rPr>
      </w:pPr>
      <w:r>
        <w:rPr>
          <w:rFonts w:hint="eastAsia" w:ascii="宋体" w:hAnsi="宋体"/>
          <w:szCs w:val="28"/>
        </w:rPr>
        <w:t>建议在以后建设项目中，严格按批准的内容及标准实施。</w:t>
      </w:r>
    </w:p>
    <w:p>
      <w:pPr>
        <w:snapToGrid w:val="0"/>
        <w:spacing w:line="560" w:lineRule="atLeast"/>
        <w:ind w:firstLine="560"/>
        <w:rPr>
          <w:rFonts w:ascii="宋体" w:hAnsi="宋体"/>
          <w:szCs w:val="28"/>
        </w:rPr>
      </w:pPr>
      <w:r>
        <w:rPr>
          <w:rFonts w:hint="eastAsia" w:ascii="宋体" w:hAnsi="宋体"/>
          <w:szCs w:val="28"/>
        </w:rPr>
        <w:t>2.工程建设质量较差。2024年验收的16个项目，一次性验收合格的只有4个，占比25%，项目经整改后合格12个，占比75%。根据调查问卷，永嘉镇万年村村民反映沟渠关不住水,永嘉镇和益村村民反映土地整理质量差。</w:t>
      </w:r>
    </w:p>
    <w:p>
      <w:pPr>
        <w:snapToGrid w:val="0"/>
        <w:spacing w:line="560" w:lineRule="atLeast"/>
        <w:ind w:firstLine="560"/>
        <w:rPr>
          <w:rFonts w:ascii="宋体" w:hAnsi="宋体"/>
          <w:szCs w:val="28"/>
        </w:rPr>
      </w:pPr>
      <w:r>
        <w:rPr>
          <w:rFonts w:hint="eastAsia" w:ascii="宋体" w:hAnsi="宋体"/>
          <w:szCs w:val="28"/>
        </w:rPr>
        <w:t>建议在以后建设项目中，增强工程建设质量意识，加强工程建设质量监督的力度，确保建设工程质量。</w:t>
      </w:r>
    </w:p>
    <w:p>
      <w:pPr>
        <w:snapToGrid w:val="0"/>
        <w:spacing w:line="560" w:lineRule="atLeast"/>
        <w:ind w:firstLine="560"/>
        <w:rPr>
          <w:rFonts w:ascii="宋体" w:hAnsi="宋体"/>
          <w:szCs w:val="28"/>
        </w:rPr>
      </w:pPr>
      <w:r>
        <w:rPr>
          <w:rFonts w:hint="eastAsia" w:ascii="宋体" w:hAnsi="宋体"/>
          <w:szCs w:val="28"/>
        </w:rPr>
        <w:t>3.合同审核不严，引用立项文件文号错误。经查，二标施工合同立项文件文号应为铜发改【2022】666号、667号，写为铜发改【2022】667号、668号、674号，三标施工合同立项文件文号应为铜发改【2022】672号、669号，写为铜发改【2022】667号、668号、674号。</w:t>
      </w:r>
    </w:p>
    <w:p>
      <w:pPr>
        <w:snapToGrid w:val="0"/>
        <w:spacing w:line="560" w:lineRule="atLeast"/>
        <w:ind w:firstLine="560"/>
        <w:rPr>
          <w:rFonts w:ascii="宋体" w:hAnsi="宋体"/>
          <w:szCs w:val="28"/>
        </w:rPr>
      </w:pPr>
      <w:r>
        <w:rPr>
          <w:rFonts w:hint="eastAsia" w:ascii="宋体" w:hAnsi="宋体"/>
          <w:szCs w:val="28"/>
        </w:rPr>
        <w:t>建议在以后建设项目中，加强合同审核。</w:t>
      </w:r>
    </w:p>
    <w:p>
      <w:pPr>
        <w:snapToGrid w:val="0"/>
        <w:spacing w:line="560" w:lineRule="atLeast"/>
        <w:ind w:firstLine="560"/>
        <w:rPr>
          <w:rFonts w:ascii="宋体" w:hAnsi="宋体"/>
          <w:szCs w:val="28"/>
        </w:rPr>
      </w:pPr>
      <w:r>
        <w:rPr>
          <w:rFonts w:ascii="宋体" w:hAnsi="宋体"/>
          <w:szCs w:val="28"/>
        </w:rPr>
        <w:br w:type="page"/>
      </w:r>
    </w:p>
    <w:p>
      <w:pPr>
        <w:spacing w:line="560" w:lineRule="exact"/>
        <w:ind w:left="560" w:firstLine="0" w:firstLineChars="0"/>
        <w:jc w:val="center"/>
        <w:rPr>
          <w:b/>
          <w:sz w:val="32"/>
          <w:szCs w:val="32"/>
        </w:rPr>
      </w:pPr>
    </w:p>
    <w:p>
      <w:pPr>
        <w:spacing w:line="560" w:lineRule="exact"/>
        <w:ind w:firstLine="643"/>
        <w:jc w:val="center"/>
        <w:rPr>
          <w:b/>
          <w:sz w:val="32"/>
          <w:szCs w:val="32"/>
        </w:rPr>
      </w:pPr>
      <w:r>
        <w:rPr>
          <w:rFonts w:hint="eastAsia"/>
          <w:b/>
          <w:sz w:val="32"/>
          <w:szCs w:val="32"/>
        </w:rPr>
        <w:t>铜梁区土地整理项目</w:t>
      </w:r>
    </w:p>
    <w:p>
      <w:pPr>
        <w:spacing w:line="560" w:lineRule="exact"/>
        <w:ind w:firstLine="643"/>
        <w:jc w:val="center"/>
        <w:rPr>
          <w:rFonts w:ascii="宋体" w:hAnsi="宋体" w:cs="仿宋"/>
          <w:sz w:val="32"/>
          <w:szCs w:val="32"/>
        </w:rPr>
      </w:pPr>
      <w:r>
        <w:rPr>
          <w:rFonts w:hint="eastAsia"/>
          <w:b/>
          <w:sz w:val="32"/>
          <w:szCs w:val="32"/>
        </w:rPr>
        <w:t>绩效评价报告</w:t>
      </w:r>
    </w:p>
    <w:p>
      <w:pPr>
        <w:autoSpaceDE w:val="0"/>
        <w:autoSpaceDN w:val="0"/>
        <w:adjustRightInd w:val="0"/>
        <w:snapToGrid w:val="0"/>
        <w:spacing w:line="560" w:lineRule="exact"/>
        <w:ind w:firstLine="422"/>
        <w:jc w:val="right"/>
        <w:rPr>
          <w:rFonts w:ascii="宋体" w:hAnsi="宋体"/>
          <w:b/>
          <w:kern w:val="0"/>
          <w:sz w:val="21"/>
          <w:szCs w:val="21"/>
        </w:rPr>
      </w:pPr>
      <w:r>
        <w:rPr>
          <w:rFonts w:hint="eastAsia" w:ascii="宋体" w:hAnsi="宋体"/>
          <w:b/>
          <w:kern w:val="0"/>
          <w:sz w:val="21"/>
          <w:szCs w:val="21"/>
        </w:rPr>
        <w:t>凯弘会所咨[2024]014号</w:t>
      </w:r>
    </w:p>
    <w:p>
      <w:pPr>
        <w:snapToGrid w:val="0"/>
        <w:spacing w:beforeLines="100" w:line="560" w:lineRule="exact"/>
        <w:ind w:firstLine="0" w:firstLineChars="0"/>
        <w:jc w:val="left"/>
        <w:outlineLvl w:val="0"/>
        <w:rPr>
          <w:rFonts w:ascii="宋体" w:hAnsi="宋体"/>
          <w:b/>
          <w:szCs w:val="28"/>
        </w:rPr>
      </w:pPr>
      <w:r>
        <w:rPr>
          <w:rFonts w:hint="eastAsia" w:ascii="宋体" w:hAnsi="宋体"/>
          <w:b/>
          <w:szCs w:val="28"/>
        </w:rPr>
        <w:t>重庆市铜梁区财政局：</w:t>
      </w:r>
    </w:p>
    <w:p>
      <w:pPr>
        <w:snapToGrid w:val="0"/>
        <w:spacing w:line="560" w:lineRule="atLeast"/>
        <w:ind w:firstLine="560"/>
        <w:rPr>
          <w:rFonts w:ascii="宋体" w:hAnsi="宋体"/>
          <w:szCs w:val="28"/>
        </w:rPr>
      </w:pPr>
      <w:r>
        <w:rPr>
          <w:rFonts w:hint="eastAsia" w:ascii="宋体" w:hAnsi="宋体"/>
          <w:szCs w:val="28"/>
        </w:rPr>
        <w:t>我们受贵局委托，对“铜梁区土地整理项目”的绩效进行评价。该评价项目由</w:t>
      </w:r>
      <w:bookmarkStart w:id="1" w:name="_Hlk170588535"/>
      <w:r>
        <w:rPr>
          <w:rFonts w:hint="eastAsia" w:ascii="宋体" w:hAnsi="宋体"/>
          <w:szCs w:val="28"/>
        </w:rPr>
        <w:t>重庆市铜梁区土地整治中心</w:t>
      </w:r>
      <w:bookmarkEnd w:id="1"/>
      <w:r>
        <w:rPr>
          <w:rFonts w:hint="eastAsia" w:ascii="宋体" w:hAnsi="宋体"/>
          <w:szCs w:val="28"/>
        </w:rPr>
        <w:t>负责提供真实、合法、完整的绩效评价资料。我们的责任是按相关规定和委托协议书的要求出具绩效评价报告，并对绩效评价报告的真实性、合法性负责。在评价过程中，我们遵循客观公正、实事求是的原则，按照财政支出绩效评价管理有关文件规定及标准，结合本项目的实际情况，经过对绩效目标和指标的梳理、实地查验、数据采集、合规性检查、访谈、社会调查等评价程序。现将绩效评价情况报告如下：</w:t>
      </w:r>
    </w:p>
    <w:p>
      <w:pPr>
        <w:pStyle w:val="25"/>
        <w:numPr>
          <w:ilvl w:val="0"/>
          <w:numId w:val="5"/>
        </w:numPr>
        <w:snapToGrid w:val="0"/>
        <w:spacing w:line="560" w:lineRule="exact"/>
        <w:ind w:left="562" w:firstLine="0" w:firstLineChars="0"/>
        <w:outlineLvl w:val="0"/>
        <w:rPr>
          <w:rFonts w:ascii="宋体" w:hAnsi="宋体"/>
          <w:b/>
          <w:szCs w:val="28"/>
        </w:rPr>
      </w:pPr>
      <w:r>
        <w:rPr>
          <w:rFonts w:hint="eastAsia" w:ascii="宋体" w:hAnsi="宋体"/>
          <w:b/>
          <w:szCs w:val="28"/>
        </w:rPr>
        <w:t>基本情况</w:t>
      </w:r>
    </w:p>
    <w:p>
      <w:pPr>
        <w:snapToGrid w:val="0"/>
        <w:spacing w:line="560" w:lineRule="atLeast"/>
        <w:ind w:firstLine="560"/>
        <w:rPr>
          <w:rFonts w:ascii="宋体" w:hAnsi="宋体"/>
          <w:szCs w:val="28"/>
        </w:rPr>
      </w:pPr>
      <w:r>
        <w:rPr>
          <w:rFonts w:hint="eastAsia" w:ascii="宋体" w:hAnsi="宋体"/>
          <w:szCs w:val="28"/>
        </w:rPr>
        <w:t>（一）项目背景</w:t>
      </w:r>
    </w:p>
    <w:p>
      <w:pPr>
        <w:snapToGrid w:val="0"/>
        <w:spacing w:line="560" w:lineRule="atLeast"/>
        <w:ind w:firstLine="560"/>
        <w:rPr>
          <w:rFonts w:ascii="宋体" w:hAnsi="宋体"/>
          <w:szCs w:val="28"/>
        </w:rPr>
      </w:pPr>
      <w:r>
        <w:rPr>
          <w:rFonts w:hint="eastAsia" w:ascii="宋体" w:hAnsi="宋体"/>
          <w:szCs w:val="28"/>
        </w:rPr>
        <w:t>土地开发整理是增加有效耕地面积，实现耕地总量动态平衡的有效措施，是提高土地质量，促进土地集约化利用，确保粮食安全的重要手段。积极开展土地开发整理，对于缓解人地矛盾，改善农业生产条件和生态环境，提高耕地综合生产能力，特别是粮食生产能力，促进农村现代化建设，提高人民生活水平具有极其重要的意义，也是贯彻中共中央关于建设社会主义新农村重要决策的集中体现。</w:t>
      </w:r>
    </w:p>
    <w:p>
      <w:pPr>
        <w:snapToGrid w:val="0"/>
        <w:spacing w:line="560" w:lineRule="atLeast"/>
        <w:ind w:firstLine="560"/>
        <w:rPr>
          <w:rFonts w:ascii="宋体" w:hAnsi="宋体"/>
          <w:szCs w:val="28"/>
        </w:rPr>
      </w:pPr>
      <w:r>
        <w:rPr>
          <w:rFonts w:hint="eastAsia" w:ascii="宋体" w:hAnsi="宋体"/>
          <w:szCs w:val="28"/>
        </w:rPr>
        <w:t>为深入贯彻落实党中央、国务院关于严格耕地保护和保障国家粮食安全的重大决策部署。为有效补充耕地数量，提高土地承载能力，推动生态文明建设，助力乡村振兴，根据中共重庆市委农村工作暨实施乡村振兴战略领导小组耕地保护建设工作专班办公室《关于下达2023年度耕地保护任务的通知》（渝耕保专办〔2023〕39号）文件精神，经过充分研究、实地勘察和项目前期论证，批准实施“铜梁区土地整理项目”。</w:t>
      </w:r>
    </w:p>
    <w:p>
      <w:pPr>
        <w:snapToGrid w:val="0"/>
        <w:spacing w:line="560" w:lineRule="atLeast"/>
        <w:ind w:firstLine="560"/>
        <w:rPr>
          <w:rFonts w:ascii="宋体" w:hAnsi="宋体"/>
          <w:szCs w:val="28"/>
        </w:rPr>
      </w:pPr>
      <w:r>
        <w:rPr>
          <w:rFonts w:hint="eastAsia" w:ascii="宋体" w:hAnsi="宋体"/>
          <w:szCs w:val="28"/>
        </w:rPr>
        <w:t>（二）项目立项</w:t>
      </w:r>
    </w:p>
    <w:p>
      <w:pPr>
        <w:snapToGrid w:val="0"/>
        <w:spacing w:line="560" w:lineRule="atLeast"/>
        <w:ind w:firstLine="560"/>
        <w:rPr>
          <w:rFonts w:ascii="宋体" w:hAnsi="宋体"/>
          <w:szCs w:val="28"/>
        </w:rPr>
      </w:pPr>
      <w:r>
        <w:rPr>
          <w:rFonts w:hint="eastAsia" w:ascii="宋体" w:hAnsi="宋体"/>
          <w:szCs w:val="28"/>
        </w:rPr>
        <w:t>根据中共重庆市委农村工作暨实施乡村振兴战略领导小组耕地保护建设工作专班办公室《关于下达2023年度耕地保护任务的通知》（渝耕保专办〔2023〕39号）文件，下达2023年土地整理前期审查任务1350亩，后期审定任务2850亩。2022年10月24日，重庆市铜梁区发展和改革委员会《关于铜梁区土地整理项目实施方案的批复》（铜发改委审〔2022〕663-678号），16个项目获批立项，项目业主：重庆市铜梁区土地整治中心，项目建设工期：2022年11月至2023年11月。</w:t>
      </w:r>
    </w:p>
    <w:p>
      <w:pPr>
        <w:snapToGrid w:val="0"/>
        <w:spacing w:line="560" w:lineRule="atLeast"/>
        <w:ind w:firstLine="560"/>
        <w:rPr>
          <w:rFonts w:ascii="宋体" w:hAnsi="宋体"/>
          <w:szCs w:val="28"/>
        </w:rPr>
      </w:pPr>
      <w:r>
        <w:rPr>
          <w:rFonts w:hint="eastAsia" w:ascii="宋体" w:hAnsi="宋体"/>
          <w:szCs w:val="28"/>
        </w:rPr>
        <w:t>2023年4月30日，16个项目分六个合同标段通过公开招标确定工程施工单位。于2023年5月12日-7月20日陆续正式开工， 2024年5月陆续完工。2024年5月，区规资局组织区农业、水务等相关专家对16个项目开展了区级竣工验收工作，4个项目验收合格，有12个项目经整改后验收合格。</w:t>
      </w:r>
    </w:p>
    <w:p>
      <w:pPr>
        <w:snapToGrid w:val="0"/>
        <w:spacing w:line="560" w:lineRule="atLeast"/>
        <w:ind w:firstLine="560"/>
        <w:rPr>
          <w:rFonts w:ascii="宋体" w:hAnsi="宋体"/>
          <w:szCs w:val="28"/>
        </w:rPr>
      </w:pPr>
      <w:r>
        <w:rPr>
          <w:rFonts w:hint="eastAsia" w:ascii="宋体" w:hAnsi="宋体"/>
          <w:szCs w:val="28"/>
        </w:rPr>
        <w:t>（三）项目组织实施</w:t>
      </w:r>
    </w:p>
    <w:p>
      <w:pPr>
        <w:snapToGrid w:val="0"/>
        <w:spacing w:line="560" w:lineRule="atLeast"/>
        <w:ind w:firstLine="560"/>
        <w:rPr>
          <w:rFonts w:ascii="宋体" w:hAnsi="宋体"/>
          <w:szCs w:val="28"/>
        </w:rPr>
      </w:pPr>
      <w:r>
        <w:rPr>
          <w:rFonts w:hint="eastAsia" w:ascii="宋体" w:hAnsi="宋体"/>
          <w:szCs w:val="28"/>
        </w:rPr>
        <w:t>重庆市铜梁区规划和自然资源局（简称区规资局)，负责对土地整理项目进行预算管理、项目审核、日常监督和验收管理。</w:t>
      </w:r>
    </w:p>
    <w:p>
      <w:pPr>
        <w:snapToGrid w:val="0"/>
        <w:spacing w:line="560" w:lineRule="atLeast"/>
        <w:ind w:firstLine="560"/>
        <w:rPr>
          <w:rFonts w:ascii="宋体" w:hAnsi="宋体"/>
          <w:szCs w:val="28"/>
        </w:rPr>
      </w:pPr>
      <w:r>
        <w:rPr>
          <w:rFonts w:hint="eastAsia" w:ascii="宋体" w:hAnsi="宋体"/>
          <w:szCs w:val="28"/>
        </w:rPr>
        <w:t>铜梁区土地整治储备中心（简称区土整中心)，负责具体实施，组织进行土地整理规划设计，拟定本区各乡镇的土地整理工作实施方案，明确各乡镇的建设地点、建设内容和规模、工程投资概算及资金来源，建设工期等。实施方案经专家评审后报市整治储备中心进行技术审查，技术审查通过后，报区发展和改革委员会进行立项审批。区土整中心按批复的实施方案委托施工/服务单位进行建设,对工程建设进行监督管理。土地整理项目在完成建设后进行预验收，办理补充耕地审核﹐将新增耕地录入占补平衡系统;办理结算审核，再拨付工程建设资金。</w:t>
      </w:r>
    </w:p>
    <w:p>
      <w:pPr>
        <w:snapToGrid w:val="0"/>
        <w:spacing w:line="560" w:lineRule="atLeast"/>
        <w:ind w:firstLine="560"/>
        <w:rPr>
          <w:rFonts w:ascii="宋体" w:hAnsi="宋体"/>
          <w:szCs w:val="28"/>
        </w:rPr>
      </w:pPr>
      <w:r>
        <w:rPr>
          <w:rFonts w:hint="eastAsia" w:ascii="宋体" w:hAnsi="宋体"/>
          <w:szCs w:val="28"/>
        </w:rPr>
        <w:t>重庆市铜梁区财政局（简称区财政局)，主要负责土地整理项目的预算管理和资金下达、资金审核拨付、资金使用监督以及预算绩效管理工作等。</w:t>
      </w:r>
    </w:p>
    <w:p>
      <w:pPr>
        <w:snapToGrid w:val="0"/>
        <w:spacing w:line="560" w:lineRule="atLeast"/>
        <w:ind w:firstLine="560"/>
        <w:rPr>
          <w:rFonts w:ascii="宋体" w:hAnsi="宋体"/>
          <w:szCs w:val="28"/>
        </w:rPr>
      </w:pPr>
      <w:r>
        <w:rPr>
          <w:rFonts w:hint="eastAsia" w:ascii="宋体" w:hAnsi="宋体"/>
          <w:szCs w:val="28"/>
        </w:rPr>
        <w:t>（四</w:t>
      </w:r>
      <w:r>
        <w:rPr>
          <w:rFonts w:ascii="宋体" w:hAnsi="宋体"/>
          <w:szCs w:val="28"/>
        </w:rPr>
        <w:t>）</w:t>
      </w:r>
      <w:r>
        <w:rPr>
          <w:rFonts w:hint="eastAsia" w:ascii="宋体" w:hAnsi="宋体"/>
          <w:szCs w:val="28"/>
        </w:rPr>
        <w:t>项目资金</w:t>
      </w:r>
    </w:p>
    <w:p>
      <w:pPr>
        <w:snapToGrid w:val="0"/>
        <w:spacing w:line="560" w:lineRule="atLeast"/>
        <w:ind w:firstLine="560"/>
        <w:rPr>
          <w:rFonts w:ascii="宋体" w:hAnsi="宋体"/>
          <w:szCs w:val="28"/>
        </w:rPr>
      </w:pPr>
      <w:r>
        <w:rPr>
          <w:rFonts w:hint="eastAsia" w:ascii="宋体" w:hAnsi="宋体"/>
          <w:szCs w:val="28"/>
        </w:rPr>
        <w:t>调整后2023年土地整理财政资金预算3206万元，全部为区级资金预算，2023年已使用2354.373652万元。</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二、绩效评价工作情况</w:t>
      </w:r>
    </w:p>
    <w:p>
      <w:pPr>
        <w:snapToGrid w:val="0"/>
        <w:spacing w:line="560" w:lineRule="exact"/>
        <w:ind w:firstLine="560" w:firstLineChars="0"/>
        <w:outlineLvl w:val="1"/>
        <w:rPr>
          <w:rFonts w:ascii="宋体" w:hAnsi="宋体"/>
          <w:b/>
          <w:szCs w:val="28"/>
        </w:rPr>
      </w:pPr>
      <w:r>
        <w:rPr>
          <w:rFonts w:hint="eastAsia" w:ascii="宋体" w:hAnsi="宋体"/>
          <w:b/>
          <w:szCs w:val="28"/>
        </w:rPr>
        <w:t>（一）绩效评价目的和范围</w:t>
      </w:r>
    </w:p>
    <w:p>
      <w:pPr>
        <w:snapToGrid w:val="0"/>
        <w:spacing w:line="560" w:lineRule="atLeast"/>
        <w:ind w:firstLine="560"/>
        <w:rPr>
          <w:rFonts w:ascii="宋体" w:hAnsi="宋体"/>
          <w:szCs w:val="28"/>
        </w:rPr>
      </w:pPr>
      <w:r>
        <w:rPr>
          <w:rFonts w:hint="eastAsia" w:ascii="宋体" w:hAnsi="宋体"/>
          <w:szCs w:val="28"/>
        </w:rPr>
        <w:t>本次绩效评价目的是进一步加强铜梁区土地整理项目绩效管理，提高财政资金使用效率和管理水平。本次绩效评价范围为铜梁区土地整理项目的投入、管理、产出和效益情况。</w:t>
      </w:r>
    </w:p>
    <w:p>
      <w:pPr>
        <w:snapToGrid w:val="0"/>
        <w:spacing w:line="560" w:lineRule="exact"/>
        <w:ind w:firstLine="560" w:firstLineChars="0"/>
        <w:outlineLvl w:val="1"/>
        <w:rPr>
          <w:rFonts w:ascii="宋体" w:hAnsi="宋体"/>
          <w:b/>
          <w:szCs w:val="28"/>
        </w:rPr>
      </w:pPr>
      <w:r>
        <w:rPr>
          <w:rFonts w:hint="eastAsia" w:ascii="宋体" w:hAnsi="宋体"/>
          <w:b/>
          <w:szCs w:val="28"/>
        </w:rPr>
        <w:t>（二）绩效评价依据、评价指标体系及其评价方法</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1</w:t>
      </w:r>
      <w:r>
        <w:rPr>
          <w:rFonts w:ascii="宋体" w:hAnsi="宋体" w:cs="宋体"/>
          <w:b/>
          <w:bCs/>
          <w:kern w:val="0"/>
          <w:szCs w:val="28"/>
        </w:rPr>
        <w:t>.</w:t>
      </w:r>
      <w:r>
        <w:rPr>
          <w:rFonts w:hint="eastAsia" w:ascii="宋体" w:hAnsi="宋体" w:cs="宋体"/>
          <w:b/>
          <w:bCs/>
          <w:kern w:val="0"/>
          <w:szCs w:val="28"/>
        </w:rPr>
        <w:t>绩效评价依据</w:t>
      </w:r>
    </w:p>
    <w:p>
      <w:pPr>
        <w:snapToGrid w:val="0"/>
        <w:spacing w:line="560" w:lineRule="exact"/>
        <w:ind w:firstLine="560"/>
        <w:rPr>
          <w:rFonts w:ascii="宋体" w:hAnsi="宋体"/>
          <w:szCs w:val="28"/>
        </w:rPr>
      </w:pPr>
      <w:r>
        <w:rPr>
          <w:rFonts w:hint="eastAsia" w:ascii="宋体" w:hAnsi="宋体"/>
          <w:szCs w:val="28"/>
        </w:rPr>
        <w:t>（1）《中华人民共和国预算法》；</w:t>
      </w:r>
    </w:p>
    <w:p>
      <w:pPr>
        <w:snapToGrid w:val="0"/>
        <w:spacing w:line="560" w:lineRule="exact"/>
        <w:ind w:firstLine="560"/>
        <w:rPr>
          <w:rFonts w:ascii="宋体" w:hAnsi="宋体"/>
          <w:szCs w:val="28"/>
        </w:rPr>
      </w:pPr>
      <w:r>
        <w:rPr>
          <w:rFonts w:hint="eastAsia" w:ascii="宋体" w:hAnsi="宋体"/>
          <w:szCs w:val="28"/>
        </w:rPr>
        <w:t>（2）《中华人民共和国预算法实施条例》；</w:t>
      </w:r>
    </w:p>
    <w:p>
      <w:pPr>
        <w:snapToGrid w:val="0"/>
        <w:spacing w:line="560" w:lineRule="exact"/>
        <w:ind w:firstLine="560"/>
        <w:rPr>
          <w:rFonts w:ascii="宋体" w:hAnsi="宋体"/>
          <w:szCs w:val="28"/>
        </w:rPr>
      </w:pPr>
      <w:r>
        <w:rPr>
          <w:rFonts w:hint="eastAsia" w:ascii="宋体" w:hAnsi="宋体"/>
          <w:szCs w:val="28"/>
        </w:rPr>
        <w:t>（3）《中华人民共和国土地管理法》（十三届全国人大常委</w:t>
      </w:r>
      <w:r>
        <w:rPr>
          <w:rFonts w:hint="eastAsia" w:ascii="宋体" w:hAnsi="宋体"/>
          <w:szCs w:val="28"/>
          <w:lang w:eastAsia="zh-CN"/>
        </w:rPr>
        <w:t>会</w:t>
      </w:r>
      <w:r>
        <w:rPr>
          <w:rFonts w:hint="eastAsia" w:ascii="宋体" w:hAnsi="宋体"/>
          <w:szCs w:val="28"/>
        </w:rPr>
        <w:t>第十二次会议审议通过）；</w:t>
      </w:r>
    </w:p>
    <w:p>
      <w:pPr>
        <w:snapToGrid w:val="0"/>
        <w:spacing w:line="560" w:lineRule="exact"/>
        <w:ind w:firstLine="560"/>
        <w:rPr>
          <w:rFonts w:ascii="宋体" w:hAnsi="宋体"/>
          <w:szCs w:val="28"/>
        </w:rPr>
      </w:pPr>
      <w:r>
        <w:rPr>
          <w:rFonts w:hint="eastAsia" w:ascii="宋体" w:hAnsi="宋体"/>
          <w:szCs w:val="28"/>
        </w:rPr>
        <w:t>（4）《中共中央国务院关于全面实施预算绩效管理的意见》；</w:t>
      </w:r>
    </w:p>
    <w:p>
      <w:pPr>
        <w:snapToGrid w:val="0"/>
        <w:spacing w:line="560" w:lineRule="exact"/>
        <w:ind w:firstLine="560"/>
        <w:rPr>
          <w:rFonts w:ascii="宋体" w:hAnsi="宋体"/>
          <w:szCs w:val="28"/>
        </w:rPr>
      </w:pPr>
      <w:r>
        <w:rPr>
          <w:rFonts w:hint="eastAsia" w:ascii="宋体" w:hAnsi="宋体"/>
          <w:szCs w:val="28"/>
        </w:rPr>
        <w:t>（5）中国注册会计师协会《会计师事务所财政支出绩效评价业务指引》（会协〔2016〕10 号）；</w:t>
      </w:r>
    </w:p>
    <w:p>
      <w:pPr>
        <w:snapToGrid w:val="0"/>
        <w:spacing w:line="560" w:lineRule="exact"/>
        <w:ind w:firstLine="560"/>
        <w:rPr>
          <w:rFonts w:ascii="宋体" w:hAnsi="宋体"/>
          <w:szCs w:val="28"/>
        </w:rPr>
      </w:pPr>
      <w:r>
        <w:rPr>
          <w:rFonts w:hint="eastAsia" w:ascii="宋体" w:hAnsi="宋体"/>
          <w:szCs w:val="28"/>
        </w:rPr>
        <w:t>（6）《项目支出绩效评价管理办法》（财预〔2020〕10号）；</w:t>
      </w:r>
    </w:p>
    <w:p>
      <w:pPr>
        <w:snapToGrid w:val="0"/>
        <w:spacing w:line="560" w:lineRule="exact"/>
        <w:ind w:firstLine="560"/>
        <w:rPr>
          <w:rFonts w:ascii="宋体" w:hAnsi="宋体"/>
          <w:szCs w:val="28"/>
        </w:rPr>
      </w:pPr>
      <w:r>
        <w:rPr>
          <w:rFonts w:hint="eastAsia" w:ascii="宋体" w:hAnsi="宋体"/>
          <w:szCs w:val="28"/>
        </w:rPr>
        <w:t>（7）《重庆市市级政策和项目预算绩效管理办法（试行）》（渝财绩〔2019〕19号）；</w:t>
      </w:r>
    </w:p>
    <w:p>
      <w:pPr>
        <w:snapToGrid w:val="0"/>
        <w:spacing w:line="560" w:lineRule="exact"/>
        <w:ind w:firstLine="560"/>
        <w:rPr>
          <w:rFonts w:ascii="宋体" w:hAnsi="宋体"/>
          <w:szCs w:val="28"/>
        </w:rPr>
      </w:pPr>
      <w:r>
        <w:rPr>
          <w:rFonts w:hint="eastAsia" w:ascii="宋体" w:hAnsi="宋体"/>
          <w:szCs w:val="28"/>
        </w:rPr>
        <w:t>（8）《财政局关于修订铜梁区区级政策和项目预算绩效管理办法（暂行）》（铜财〔2022〕411号）；</w:t>
      </w:r>
    </w:p>
    <w:p>
      <w:pPr>
        <w:snapToGrid w:val="0"/>
        <w:spacing w:line="560" w:lineRule="exact"/>
        <w:ind w:firstLine="560"/>
        <w:rPr>
          <w:rFonts w:ascii="宋体" w:hAnsi="宋体"/>
          <w:szCs w:val="28"/>
        </w:rPr>
      </w:pPr>
      <w:r>
        <w:rPr>
          <w:rFonts w:hint="eastAsia" w:ascii="宋体" w:hAnsi="宋体"/>
          <w:szCs w:val="28"/>
        </w:rPr>
        <w:t>（9）铜梁区土地整理项目相关单位提供的资料；</w:t>
      </w:r>
    </w:p>
    <w:p>
      <w:pPr>
        <w:snapToGrid w:val="0"/>
        <w:spacing w:line="560" w:lineRule="exact"/>
        <w:ind w:firstLine="560"/>
        <w:rPr>
          <w:rFonts w:ascii="宋体" w:hAnsi="宋体"/>
          <w:szCs w:val="28"/>
        </w:rPr>
      </w:pPr>
      <w:r>
        <w:rPr>
          <w:rFonts w:hint="eastAsia" w:ascii="宋体" w:hAnsi="宋体"/>
          <w:szCs w:val="28"/>
        </w:rPr>
        <w:t>（10）其他国家相关法律、法规和规章制度。</w:t>
      </w:r>
    </w:p>
    <w:p>
      <w:pPr>
        <w:snapToGrid w:val="0"/>
        <w:spacing w:line="560" w:lineRule="exact"/>
        <w:ind w:firstLine="561" w:firstLineChars="0"/>
        <w:outlineLvl w:val="3"/>
        <w:rPr>
          <w:b/>
        </w:rPr>
      </w:pPr>
      <w:r>
        <w:rPr>
          <w:rFonts w:hint="eastAsia" w:ascii="宋体" w:hAnsi="宋体" w:cs="宋体"/>
          <w:b/>
          <w:bCs/>
          <w:kern w:val="0"/>
          <w:szCs w:val="28"/>
        </w:rPr>
        <w:t>2.</w:t>
      </w:r>
      <w:r>
        <w:rPr>
          <w:rFonts w:hint="eastAsia"/>
          <w:b/>
        </w:rPr>
        <w:t>绩效评价指标体系的设定原则</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（1） 相关性原则。绩效评价指标体系设定应当与绩效目标有直接的联系，能够恰当反映目标的实现程度。</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（2） 重要性原则。绩效评价指标体系设定应当根据绩效评价的对象和内容优先使用最具代表性、最能反映评价要求的核心指标。</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（3） 可比性原则。绩效评价指标体系设定应当对同类评价对象设定共性的绩效评价指标，以便于评价结果相互比较。</w:t>
      </w:r>
    </w:p>
    <w:p>
      <w:pPr>
        <w:snapToGrid w:val="0"/>
        <w:spacing w:line="560" w:lineRule="exact"/>
        <w:ind w:firstLine="561" w:firstLineChars="0"/>
        <w:outlineLvl w:val="3"/>
        <w:rPr>
          <w:rFonts w:ascii="宋体" w:hAnsi="宋体" w:cs="宋体"/>
          <w:kern w:val="0"/>
          <w:szCs w:val="28"/>
        </w:rPr>
      </w:pPr>
      <w:r>
        <w:rPr>
          <w:rFonts w:hint="eastAsia" w:ascii="宋体" w:hAnsi="宋体" w:cs="宋体"/>
          <w:kern w:val="0"/>
          <w:szCs w:val="28"/>
        </w:rPr>
        <w:t>（4） 系统性原则。绩效评价指标体系设定应当将定量指标与定性指标相结合，系统反映项目所产生的社会效益和可持续影响等。绩效评价标准采用定量评分，满分为100分。</w:t>
      </w:r>
    </w:p>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3.绩效评价指标体系</w:t>
      </w:r>
    </w:p>
    <w:p>
      <w:pPr>
        <w:snapToGrid w:val="0"/>
        <w:spacing w:line="560" w:lineRule="atLeast"/>
        <w:ind w:firstLine="560"/>
        <w:rPr>
          <w:rFonts w:ascii="宋体" w:hAnsi="宋体"/>
          <w:szCs w:val="28"/>
        </w:rPr>
      </w:pPr>
      <w:r>
        <w:rPr>
          <w:rFonts w:hint="eastAsia" w:ascii="宋体" w:hAnsi="宋体"/>
          <w:szCs w:val="28"/>
        </w:rPr>
        <w:t>经过充分的调研和讨论，本次绩效评价指标体系设计如下:</w:t>
      </w:r>
    </w:p>
    <w:p>
      <w:pPr>
        <w:snapToGrid w:val="0"/>
        <w:spacing w:line="560" w:lineRule="atLeast"/>
        <w:ind w:firstLine="560"/>
        <w:rPr>
          <w:rFonts w:ascii="宋体" w:hAnsi="宋体"/>
          <w:szCs w:val="28"/>
        </w:rPr>
      </w:pPr>
      <w:r>
        <w:rPr>
          <w:rFonts w:hint="eastAsia" w:ascii="宋体" w:hAnsi="宋体"/>
          <w:szCs w:val="28"/>
        </w:rPr>
        <w:t>一级指标</w:t>
      </w:r>
      <w:r>
        <w:rPr>
          <w:rFonts w:ascii="宋体" w:hAnsi="宋体"/>
          <w:szCs w:val="28"/>
        </w:rPr>
        <w:t>4</w:t>
      </w:r>
      <w:r>
        <w:rPr>
          <w:rFonts w:hint="eastAsia" w:ascii="宋体" w:hAnsi="宋体"/>
          <w:szCs w:val="28"/>
        </w:rPr>
        <w:t>个，分别为：投入、管理、产出、效益；</w:t>
      </w:r>
    </w:p>
    <w:p>
      <w:pPr>
        <w:snapToGrid w:val="0"/>
        <w:spacing w:line="560" w:lineRule="atLeast"/>
        <w:ind w:firstLine="560"/>
        <w:rPr>
          <w:rFonts w:ascii="宋体" w:hAnsi="宋体"/>
          <w:szCs w:val="28"/>
        </w:rPr>
      </w:pPr>
      <w:r>
        <w:rPr>
          <w:rFonts w:hint="eastAsia" w:ascii="宋体" w:hAnsi="宋体"/>
          <w:szCs w:val="28"/>
        </w:rPr>
        <w:t>二级指标</w:t>
      </w:r>
      <w:r>
        <w:rPr>
          <w:rFonts w:ascii="宋体" w:hAnsi="宋体"/>
          <w:szCs w:val="28"/>
        </w:rPr>
        <w:t>1</w:t>
      </w:r>
      <w:r>
        <w:rPr>
          <w:rFonts w:hint="eastAsia" w:ascii="宋体" w:hAnsi="宋体"/>
          <w:szCs w:val="28"/>
        </w:rPr>
        <w:t>3个，分别为：项目立项、资金落实、业务管理、财务管理、数量指标、时效指标、质量指标、成本指标、经济效益、社会效益、生态效益、可持续性影响、满意度；</w:t>
      </w:r>
    </w:p>
    <w:p>
      <w:pPr>
        <w:snapToGrid w:val="0"/>
        <w:spacing w:line="560" w:lineRule="atLeast"/>
        <w:ind w:firstLine="560"/>
        <w:rPr>
          <w:rFonts w:ascii="宋体" w:hAnsi="宋体"/>
          <w:szCs w:val="28"/>
        </w:rPr>
      </w:pPr>
      <w:r>
        <w:rPr>
          <w:rFonts w:hint="eastAsia" w:ascii="宋体" w:hAnsi="宋体"/>
          <w:szCs w:val="28"/>
        </w:rPr>
        <w:t>三级指标</w:t>
      </w:r>
      <w:r>
        <w:rPr>
          <w:rFonts w:ascii="宋体" w:hAnsi="宋体"/>
          <w:szCs w:val="28"/>
        </w:rPr>
        <w:t>2</w:t>
      </w:r>
      <w:r>
        <w:rPr>
          <w:rFonts w:hint="eastAsia" w:ascii="宋体" w:hAnsi="宋体"/>
          <w:szCs w:val="28"/>
        </w:rPr>
        <w:t>4个，分别为：立项依据充分性、立项程序规范性、绩效目标充分性、绩效指标明确性、资金到位率、到位及时率、预算编制科学性、管理制度健全性（业务）、制度执行有效性、项目质量可控性、管理制度健全性（财务）、资金使用合规性、财务监控有效性、前期任务完成率、后期任务完成率、完成及时率、验收合格率、工程成本控制率、增收情况、社会效益综合影响、施工影响、环境改善、长效机制、受益对象满意度。</w:t>
      </w:r>
    </w:p>
    <w:p>
      <w:pPr>
        <w:snapToGrid w:val="0"/>
        <w:spacing w:line="560" w:lineRule="atLeast"/>
        <w:ind w:firstLine="560"/>
        <w:rPr>
          <w:rFonts w:ascii="宋体" w:hAnsi="宋体"/>
          <w:szCs w:val="28"/>
        </w:rPr>
      </w:pPr>
      <w:r>
        <w:rPr>
          <w:rFonts w:hint="eastAsia" w:ascii="宋体" w:hAnsi="宋体"/>
          <w:szCs w:val="28"/>
        </w:rPr>
        <w:t>绩效评价指标体系具体情况详见附表：铜梁区土地整理项目项目绩效评价指标评分表。</w:t>
      </w:r>
    </w:p>
    <w:p>
      <w:pPr>
        <w:snapToGrid w:val="0"/>
        <w:spacing w:line="560" w:lineRule="atLeast"/>
        <w:ind w:firstLine="560"/>
        <w:rPr>
          <w:rFonts w:ascii="宋体" w:hAnsi="宋体"/>
          <w:szCs w:val="28"/>
        </w:rPr>
      </w:pPr>
      <w:r>
        <w:rPr>
          <w:rFonts w:hint="eastAsia" w:ascii="宋体" w:hAnsi="宋体"/>
          <w:szCs w:val="28"/>
        </w:rPr>
        <w:t>评价结果分为优、良、中、差四等，根据计分结果的分值，确定评价结果对象最后达到的档次，具体见下表。</w:t>
      </w:r>
    </w:p>
    <w:tbl>
      <w:tblPr>
        <w:tblStyle w:val="18"/>
        <w:tblW w:w="8362" w:type="dxa"/>
        <w:tblInd w:w="0" w:type="dxa"/>
        <w:tblBorders>
          <w:top w:val="double" w:color="auto" w:sz="4" w:space="0"/>
          <w:left w:val="none" w:color="auto" w:sz="0" w:space="0"/>
          <w:bottom w:val="double" w:color="auto" w:sz="4" w:space="0"/>
          <w:right w:val="none" w:color="auto" w:sz="0" w:space="0"/>
          <w:insideH w:val="single" w:color="auto" w:sz="4" w:space="0"/>
          <w:insideV w:val="single" w:color="auto" w:sz="4" w:space="0"/>
        </w:tblBorders>
        <w:tblLayout w:type="fixed"/>
        <w:tblCellMar>
          <w:top w:w="0" w:type="dxa"/>
          <w:left w:w="28" w:type="dxa"/>
          <w:bottom w:w="0" w:type="dxa"/>
          <w:right w:w="28" w:type="dxa"/>
        </w:tblCellMar>
      </w:tblPr>
      <w:tblGrid>
        <w:gridCol w:w="1498"/>
        <w:gridCol w:w="1498"/>
        <w:gridCol w:w="1933"/>
        <w:gridCol w:w="1934"/>
        <w:gridCol w:w="1499"/>
      </w:tblGrid>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blHeader/>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档次</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优</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良</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中</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差</w:t>
            </w:r>
          </w:p>
        </w:tc>
      </w:tr>
      <w:tr>
        <w:tblPrEx>
          <w:tblBorders>
            <w:top w:val="double" w:color="auto" w:sz="4" w:space="0"/>
            <w:left w:val="none" w:color="auto" w:sz="0" w:space="0"/>
            <w:bottom w:val="double" w:color="auto" w:sz="4" w:space="0"/>
            <w:right w:val="none" w:color="auto" w:sz="0" w:space="0"/>
            <w:insideH w:val="single" w:color="auto" w:sz="4" w:space="0"/>
            <w:insideV w:val="single" w:color="auto" w:sz="4" w:space="0"/>
          </w:tblBorders>
          <w:tblCellMar>
            <w:top w:w="0" w:type="dxa"/>
            <w:left w:w="28" w:type="dxa"/>
            <w:bottom w:w="0" w:type="dxa"/>
            <w:right w:w="28" w:type="dxa"/>
          </w:tblCellMar>
        </w:tblPrEx>
        <w:trPr>
          <w:cantSplit/>
          <w:trHeight w:val="340" w:hRule="atLeast"/>
        </w:trPr>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分值</w:t>
            </w:r>
          </w:p>
        </w:tc>
        <w:tc>
          <w:tcPr>
            <w:tcW w:w="1498"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≥90</w:t>
            </w:r>
          </w:p>
        </w:tc>
        <w:tc>
          <w:tcPr>
            <w:tcW w:w="1933"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80≤得分＜90</w:t>
            </w:r>
          </w:p>
        </w:tc>
        <w:tc>
          <w:tcPr>
            <w:tcW w:w="1934"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60≤得分＜80</w:t>
            </w:r>
          </w:p>
        </w:tc>
        <w:tc>
          <w:tcPr>
            <w:tcW w:w="1499" w:type="dxa"/>
            <w:tcBorders>
              <w:tl2br w:val="nil"/>
              <w:tr2bl w:val="nil"/>
            </w:tcBorders>
            <w:shd w:val="clear" w:color="auto" w:fill="auto"/>
            <w:noWrap/>
            <w:vAlign w:val="center"/>
          </w:tcPr>
          <w:p>
            <w:pPr>
              <w:widowControl/>
              <w:snapToGrid w:val="0"/>
              <w:spacing w:line="240" w:lineRule="auto"/>
              <w:ind w:left="17" w:right="17" w:firstLine="5" w:firstLineChars="3"/>
              <w:jc w:val="center"/>
              <w:rPr>
                <w:rFonts w:ascii="Arial Narrow" w:hAnsi="宋体" w:cs="宋体"/>
                <w:color w:val="000000"/>
                <w:kern w:val="0"/>
                <w:sz w:val="18"/>
                <w:szCs w:val="24"/>
              </w:rPr>
            </w:pPr>
            <w:r>
              <w:rPr>
                <w:rFonts w:hint="eastAsia" w:ascii="Arial Narrow" w:hAnsi="宋体" w:cs="宋体"/>
                <w:color w:val="000000"/>
                <w:kern w:val="0"/>
                <w:sz w:val="18"/>
                <w:szCs w:val="24"/>
              </w:rPr>
              <w:t>得分＜60</w:t>
            </w:r>
          </w:p>
        </w:tc>
      </w:tr>
    </w:tbl>
    <w:p>
      <w:pPr>
        <w:snapToGrid w:val="0"/>
        <w:spacing w:line="560" w:lineRule="exact"/>
        <w:ind w:firstLine="561" w:firstLineChars="0"/>
        <w:outlineLvl w:val="3"/>
        <w:rPr>
          <w:rFonts w:ascii="宋体" w:hAnsi="宋体" w:cs="宋体"/>
          <w:b/>
          <w:bCs/>
          <w:kern w:val="0"/>
          <w:szCs w:val="28"/>
        </w:rPr>
      </w:pPr>
      <w:r>
        <w:rPr>
          <w:rFonts w:hint="eastAsia" w:ascii="宋体" w:hAnsi="宋体" w:cs="宋体"/>
          <w:b/>
          <w:bCs/>
          <w:kern w:val="0"/>
          <w:szCs w:val="28"/>
        </w:rPr>
        <w:t>4.评价方法</w:t>
      </w:r>
    </w:p>
    <w:p>
      <w:pPr>
        <w:snapToGrid w:val="0"/>
        <w:spacing w:line="560" w:lineRule="atLeast"/>
        <w:ind w:firstLine="560"/>
        <w:rPr>
          <w:rFonts w:ascii="宋体" w:hAnsi="宋体"/>
          <w:szCs w:val="28"/>
        </w:rPr>
      </w:pPr>
      <w:r>
        <w:rPr>
          <w:rFonts w:hint="eastAsia" w:ascii="宋体" w:hAnsi="宋体"/>
          <w:szCs w:val="28"/>
        </w:rPr>
        <w:t>本次绩效评价采用现场和非现场评价相结合的方式，以材料核查、访谈、问卷调查、抽查为基础，综合运用对比分析等方法，对本项目进行评价。</w:t>
      </w:r>
    </w:p>
    <w:p>
      <w:pPr>
        <w:snapToGrid w:val="0"/>
        <w:spacing w:line="560" w:lineRule="atLeast"/>
        <w:ind w:firstLine="560"/>
        <w:rPr>
          <w:rFonts w:ascii="宋体" w:hAnsi="宋体"/>
          <w:szCs w:val="28"/>
        </w:rPr>
      </w:pPr>
      <w:r>
        <w:rPr>
          <w:rFonts w:hint="eastAsia" w:ascii="宋体" w:hAnsi="宋体"/>
          <w:szCs w:val="28"/>
        </w:rPr>
        <w:t>（1）座谈法：组织相关各方集中访谈或座谈，能有效掌握政策实施过程情况以及项目的效果或不足，进而讨论相关各方如何改进不足，并提出确保项目长效运行的各种意见和建议，并将这些情况，整理反映到评价报告中。</w:t>
      </w:r>
    </w:p>
    <w:p>
      <w:pPr>
        <w:snapToGrid w:val="0"/>
        <w:spacing w:line="560" w:lineRule="atLeast"/>
        <w:ind w:firstLine="560"/>
        <w:rPr>
          <w:rFonts w:ascii="宋体" w:hAnsi="宋体"/>
          <w:szCs w:val="28"/>
        </w:rPr>
      </w:pPr>
      <w:r>
        <w:rPr>
          <w:rFonts w:hint="eastAsia" w:ascii="宋体" w:hAnsi="宋体"/>
          <w:szCs w:val="28"/>
        </w:rPr>
        <w:t>（2）查证法：通过书面及口头方式，现场询问相关人员，核查相关资料是否真实、合理，从而对项目做出初步的判断和评价。</w:t>
      </w:r>
    </w:p>
    <w:p>
      <w:pPr>
        <w:snapToGrid w:val="0"/>
        <w:spacing w:line="560" w:lineRule="atLeast"/>
        <w:ind w:firstLine="560"/>
        <w:rPr>
          <w:rFonts w:ascii="宋体" w:hAnsi="宋体"/>
          <w:szCs w:val="28"/>
        </w:rPr>
      </w:pPr>
      <w:r>
        <w:rPr>
          <w:rFonts w:hint="eastAsia" w:ascii="宋体" w:hAnsi="宋体"/>
          <w:szCs w:val="28"/>
        </w:rPr>
        <w:t>（3）比较法：通过对绩效目标与实施效果、历史与当期情况的比较，综合分析绩效目标实现程度。</w:t>
      </w:r>
    </w:p>
    <w:p>
      <w:pPr>
        <w:snapToGrid w:val="0"/>
        <w:spacing w:line="560" w:lineRule="atLeast"/>
        <w:ind w:firstLine="560"/>
        <w:rPr>
          <w:rFonts w:ascii="宋体" w:hAnsi="宋体"/>
          <w:szCs w:val="28"/>
        </w:rPr>
      </w:pPr>
      <w:r>
        <w:rPr>
          <w:rFonts w:hint="eastAsia" w:ascii="宋体" w:hAnsi="宋体"/>
          <w:szCs w:val="28"/>
        </w:rPr>
        <w:t>（</w:t>
      </w:r>
      <w:r>
        <w:rPr>
          <w:rFonts w:ascii="宋体" w:hAnsi="宋体"/>
          <w:szCs w:val="28"/>
        </w:rPr>
        <w:t>4</w:t>
      </w:r>
      <w:r>
        <w:rPr>
          <w:rFonts w:hint="eastAsia" w:ascii="宋体" w:hAnsi="宋体"/>
          <w:szCs w:val="28"/>
        </w:rPr>
        <w:t>）其他评价方法。</w:t>
      </w:r>
    </w:p>
    <w:p>
      <w:pPr>
        <w:pStyle w:val="25"/>
        <w:snapToGrid w:val="0"/>
        <w:spacing w:line="560" w:lineRule="exact"/>
        <w:ind w:left="982" w:hanging="420" w:firstLineChars="0"/>
        <w:outlineLvl w:val="1"/>
        <w:rPr>
          <w:rFonts w:ascii="宋体" w:hAnsi="宋体"/>
          <w:b/>
          <w:szCs w:val="28"/>
        </w:rPr>
      </w:pPr>
      <w:r>
        <w:rPr>
          <w:rFonts w:hint="eastAsia" w:ascii="宋体" w:hAnsi="宋体"/>
          <w:b/>
          <w:szCs w:val="28"/>
        </w:rPr>
        <w:t>（四）绩效评价工作过程</w:t>
      </w:r>
    </w:p>
    <w:p>
      <w:pPr>
        <w:snapToGrid w:val="0"/>
        <w:spacing w:line="560" w:lineRule="exact"/>
        <w:ind w:left="561" w:firstLine="0" w:firstLineChars="0"/>
        <w:outlineLvl w:val="3"/>
        <w:rPr>
          <w:rFonts w:ascii="宋体" w:hAnsi="宋体"/>
          <w:b/>
          <w:bCs/>
          <w:szCs w:val="28"/>
        </w:rPr>
      </w:pPr>
      <w:r>
        <w:rPr>
          <w:rFonts w:hint="eastAsia" w:ascii="宋体" w:hAnsi="宋体"/>
          <w:b/>
          <w:bCs/>
          <w:szCs w:val="28"/>
        </w:rPr>
        <w:t>1.前期准备</w:t>
      </w:r>
    </w:p>
    <w:p>
      <w:pPr>
        <w:snapToGrid w:val="0"/>
        <w:spacing w:line="560" w:lineRule="atLeast"/>
        <w:ind w:firstLine="560"/>
        <w:rPr>
          <w:rFonts w:ascii="宋体" w:hAnsi="宋体"/>
          <w:szCs w:val="28"/>
        </w:rPr>
      </w:pPr>
      <w:r>
        <w:rPr>
          <w:rFonts w:hint="eastAsia" w:ascii="宋体" w:hAnsi="宋体"/>
          <w:szCs w:val="28"/>
        </w:rPr>
        <w:t>（1）确定绩效评价对象。本次评价对象为铜梁区土地整理项目绩效。</w:t>
      </w:r>
    </w:p>
    <w:p>
      <w:pPr>
        <w:snapToGrid w:val="0"/>
        <w:spacing w:line="560" w:lineRule="atLeast"/>
        <w:ind w:firstLine="560"/>
        <w:rPr>
          <w:rFonts w:ascii="宋体" w:hAnsi="宋体"/>
          <w:szCs w:val="28"/>
        </w:rPr>
      </w:pPr>
      <w:r>
        <w:rPr>
          <w:rFonts w:hint="eastAsia" w:ascii="宋体" w:hAnsi="宋体"/>
          <w:szCs w:val="28"/>
        </w:rPr>
        <w:t>（2）制定绩效评价工作方案。本次经过初步调研，在区财政局的指导下根据有关规定和评价对象的特点，拟定详细的绩效评价工作方案。主要内容包括：评价依据、评价工作计划，拟采用的绩效评价指标、评价标准、评价方法及有关工作条件。</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2</w:t>
      </w:r>
      <w:r>
        <w:rPr>
          <w:rFonts w:hint="eastAsia" w:ascii="宋体" w:hAnsi="宋体" w:cs="宋体"/>
          <w:b/>
          <w:bCs/>
          <w:kern w:val="0"/>
          <w:szCs w:val="28"/>
        </w:rPr>
        <w:t>.组织实施</w:t>
      </w:r>
    </w:p>
    <w:p>
      <w:pPr>
        <w:snapToGrid w:val="0"/>
        <w:spacing w:line="560" w:lineRule="atLeast"/>
        <w:ind w:firstLine="560"/>
        <w:rPr>
          <w:rFonts w:ascii="宋体" w:hAnsi="宋体"/>
          <w:szCs w:val="28"/>
        </w:rPr>
      </w:pPr>
      <w:r>
        <w:rPr>
          <w:rFonts w:hint="eastAsia" w:ascii="宋体" w:hAnsi="宋体"/>
          <w:szCs w:val="28"/>
        </w:rPr>
        <w:t>（1）收集并复核资料。被评价单位上报基础资料后，我们组织人员对资料进行复核。</w:t>
      </w:r>
    </w:p>
    <w:p>
      <w:pPr>
        <w:snapToGrid w:val="0"/>
        <w:spacing w:line="560" w:lineRule="atLeast"/>
        <w:ind w:firstLine="560"/>
        <w:rPr>
          <w:rFonts w:ascii="宋体" w:hAnsi="宋体"/>
          <w:szCs w:val="28"/>
        </w:rPr>
      </w:pPr>
      <w:r>
        <w:rPr>
          <w:rFonts w:hint="eastAsia" w:ascii="宋体" w:hAnsi="宋体"/>
          <w:szCs w:val="28"/>
        </w:rPr>
        <w:t>（2）对项目进行现场检查，并对资金的支付情况进行延伸检查。</w:t>
      </w:r>
    </w:p>
    <w:p>
      <w:pPr>
        <w:snapToGrid w:val="0"/>
        <w:spacing w:line="560" w:lineRule="atLeast"/>
        <w:ind w:firstLine="560"/>
        <w:rPr>
          <w:rFonts w:ascii="宋体" w:hAnsi="宋体"/>
          <w:szCs w:val="28"/>
        </w:rPr>
      </w:pPr>
      <w:r>
        <w:rPr>
          <w:rFonts w:hint="eastAsia" w:ascii="宋体" w:hAnsi="宋体"/>
          <w:szCs w:val="28"/>
        </w:rPr>
        <w:t>（3）深入项目单位及工作现场，通过听取情况介绍、实地考察、调查问卷、座谈询问、对照查证复核等方式，对项目有关情况和基础材料进行核实。</w:t>
      </w:r>
    </w:p>
    <w:p>
      <w:pPr>
        <w:snapToGrid w:val="0"/>
        <w:spacing w:line="560" w:lineRule="exact"/>
        <w:ind w:firstLine="561" w:firstLineChars="0"/>
        <w:outlineLvl w:val="3"/>
        <w:rPr>
          <w:rFonts w:ascii="宋体" w:hAnsi="宋体" w:cs="宋体"/>
          <w:b/>
          <w:bCs/>
          <w:kern w:val="0"/>
          <w:szCs w:val="28"/>
        </w:rPr>
      </w:pPr>
      <w:r>
        <w:rPr>
          <w:rFonts w:ascii="宋体" w:hAnsi="宋体" w:cs="宋体"/>
          <w:b/>
          <w:bCs/>
          <w:kern w:val="0"/>
          <w:szCs w:val="28"/>
        </w:rPr>
        <w:t>3</w:t>
      </w:r>
      <w:r>
        <w:rPr>
          <w:rFonts w:hint="eastAsia" w:ascii="宋体" w:hAnsi="宋体" w:cs="宋体"/>
          <w:b/>
          <w:bCs/>
          <w:kern w:val="0"/>
          <w:szCs w:val="28"/>
        </w:rPr>
        <w:t>.分析评价</w:t>
      </w:r>
    </w:p>
    <w:p>
      <w:pPr>
        <w:snapToGrid w:val="0"/>
        <w:spacing w:line="560" w:lineRule="atLeast"/>
        <w:ind w:firstLine="560"/>
        <w:rPr>
          <w:rFonts w:ascii="宋体" w:hAnsi="宋体"/>
          <w:szCs w:val="28"/>
        </w:rPr>
      </w:pPr>
      <w:r>
        <w:rPr>
          <w:rFonts w:hint="eastAsia" w:ascii="宋体" w:hAnsi="宋体"/>
          <w:szCs w:val="28"/>
        </w:rPr>
        <w:t>对评价对象的绩效情况进行全面的定量、定性分析和综合评价，形成绩效评价结论。</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三、绩效评价指标情况</w:t>
      </w:r>
    </w:p>
    <w:p>
      <w:pPr>
        <w:pStyle w:val="25"/>
        <w:snapToGrid w:val="0"/>
        <w:spacing w:line="560" w:lineRule="exact"/>
        <w:ind w:firstLine="562"/>
        <w:outlineLvl w:val="1"/>
        <w:rPr>
          <w:szCs w:val="28"/>
        </w:rPr>
      </w:pPr>
      <w:r>
        <w:rPr>
          <w:rFonts w:hint="eastAsia" w:ascii="宋体" w:hAnsi="宋体"/>
          <w:b/>
          <w:szCs w:val="28"/>
        </w:rPr>
        <w:t>（一）投入类指标</w:t>
      </w:r>
    </w:p>
    <w:p>
      <w:pPr>
        <w:snapToGrid w:val="0"/>
        <w:spacing w:line="560" w:lineRule="atLeast"/>
        <w:ind w:firstLine="560"/>
        <w:rPr>
          <w:rFonts w:ascii="宋体" w:hAnsi="宋体"/>
          <w:szCs w:val="28"/>
        </w:rPr>
      </w:pPr>
      <w:r>
        <w:rPr>
          <w:rFonts w:hint="eastAsia" w:ascii="宋体" w:hAnsi="宋体"/>
          <w:szCs w:val="28"/>
        </w:rPr>
        <w:t>涉及投入的二级指标为：项目立项、绩效目标及资金落实。各二级指标下设三级指标。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该项总分20分，实际得分10.75分，扣分9.25分，主要扣分原因为项目资金到位率和资金到位及时率扣分。具体情况如下：</w:t>
      </w:r>
    </w:p>
    <w:tbl>
      <w:tblPr>
        <w:tblStyle w:val="18"/>
        <w:tblW w:w="8258" w:type="dxa"/>
        <w:tblInd w:w="113"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214"/>
        <w:gridCol w:w="941"/>
        <w:gridCol w:w="4678"/>
        <w:gridCol w:w="709"/>
        <w:gridCol w:w="716"/>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85" w:hRule="atLeast"/>
          <w:tblHeader/>
        </w:trPr>
        <w:tc>
          <w:tcPr>
            <w:tcW w:w="1214"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678" w:type="dxa"/>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7" w:hRule="atLeast"/>
        </w:trPr>
        <w:tc>
          <w:tcPr>
            <w:tcW w:w="1214"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项目立项</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立项依据充分性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"①项目立项是否符合国家法律法规、国民经济发展规划和相关政策，未发现问题得1分，否则不得分。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②项目立项是否与部门职责范围相符，属于部门履职所需。未发现问题得1分，否则不得分。"。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0" w:hRule="atLeast"/>
        </w:trPr>
        <w:tc>
          <w:tcPr>
            <w:tcW w:w="1214"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立项程序</w:t>
            </w:r>
          </w:p>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规范性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"①项目是否按照规定的程序申请设立，审批文件、材料是否符合相关要求；未发现问题得2.5分，否则不得分。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②事前是否已经过必要的可行性研究、专家论证、风险评估、绩效评估、集体决策。未发现问题得2.5分，否则不得分。"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5</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211" w:hRule="atLeast"/>
        </w:trPr>
        <w:tc>
          <w:tcPr>
            <w:tcW w:w="1214" w:type="dxa"/>
            <w:vMerge w:val="restart"/>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绩效目标</w:t>
            </w:r>
          </w:p>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绩效目标</w:t>
            </w:r>
          </w:p>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充分性</w:t>
            </w:r>
          </w:p>
        </w:tc>
        <w:tc>
          <w:tcPr>
            <w:tcW w:w="4678" w:type="dxa"/>
            <w:shd w:val="clear" w:color="auto" w:fill="auto"/>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①与项目实施单位或委托单位职责密切相关的，得1.5分，否则不得分。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②项目预期产出、效益和效果符合正常的业绩水平的，得1.5分，否则不得分。"。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2.25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73" w:hRule="atLeast"/>
        </w:trPr>
        <w:tc>
          <w:tcPr>
            <w:tcW w:w="1214" w:type="dxa"/>
            <w:vMerge w:val="continue"/>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绩效指标明确性</w:t>
            </w:r>
          </w:p>
        </w:tc>
        <w:tc>
          <w:tcPr>
            <w:tcW w:w="4678" w:type="dxa"/>
            <w:shd w:val="clear" w:color="auto" w:fill="auto"/>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①将项目绩效目标细化分解为具体的绩效指标的，得1分，否则不得分。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②指标值是否清晰、可衡量的，是得1分，否则不得分。"。</w:t>
            </w:r>
          </w:p>
        </w:tc>
        <w:tc>
          <w:tcPr>
            <w:tcW w:w="709"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16" w:type="dxa"/>
            <w:shd w:val="clear" w:color="auto" w:fill="auto"/>
            <w:noWrap/>
            <w:vAlign w:val="center"/>
          </w:tcPr>
          <w:p>
            <w:pPr>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214" w:type="dxa"/>
            <w:vMerge w:val="restart"/>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资金落实</w:t>
            </w:r>
          </w:p>
        </w:tc>
        <w:tc>
          <w:tcPr>
            <w:tcW w:w="941"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资金到位率</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①财政资金到位率=100%，得3分。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②财政资金到位率≥85%（含），且&lt;100%（不含），得分=（资金到位率-85%）/(100%-85%)*3。</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③85%以下（不含）得0分。"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214" w:type="dxa"/>
            <w:vMerge w:val="continue"/>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资金到位及时率</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①资金到位及时率=100%，得2.5分；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②资金到位及时率在95%（含）-100%之间，得2分；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③资金到位及时率在90%（含）-95%之间，得1.5分；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④资金到位及时率在85%（含）-90%之间，得1分；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⑤资金到位及时率未达85%，不得分。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3</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047" w:hRule="atLeast"/>
        </w:trPr>
        <w:tc>
          <w:tcPr>
            <w:tcW w:w="1214" w:type="dxa"/>
            <w:vMerge w:val="continue"/>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r>
              <w:rPr>
                <w:rFonts w:hint="eastAsia" w:ascii="微软雅黑" w:hAnsi="微软雅黑" w:eastAsia="微软雅黑" w:cs="微软雅黑"/>
                <w:color w:val="000000"/>
                <w:kern w:val="0"/>
                <w:sz w:val="18"/>
                <w:szCs w:val="18"/>
              </w:rPr>
              <w:t>预算编制科学性</w:t>
            </w: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"①项目收入与支出预算编制经过细致测算，得0.5分，否则不得分。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②预算内容与项目内容匹配，得0.5分，否则不得分。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③预算额度测算依据是否充分，工程造价是否经财政评审，得0.5分，否则不得分。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④预算确定的项目分年度建设投资额或资金量与年度建设任务相匹配，得0.5分，否则不得分。"</w:t>
            </w: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01" w:hRule="atLeast"/>
        </w:trPr>
        <w:tc>
          <w:tcPr>
            <w:tcW w:w="1214" w:type="dxa"/>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41" w:type="dxa"/>
            <w:shd w:val="clear" w:color="auto" w:fill="auto"/>
            <w:vAlign w:val="center"/>
          </w:tcPr>
          <w:p>
            <w:pPr>
              <w:widowControl/>
              <w:spacing w:line="240" w:lineRule="auto"/>
              <w:ind w:firstLine="0" w:firstLineChars="0"/>
              <w:jc w:val="center"/>
              <w:rPr>
                <w:rFonts w:ascii="微软雅黑" w:hAnsi="微软雅黑" w:eastAsia="微软雅黑" w:cs="微软雅黑"/>
                <w:color w:val="000000"/>
                <w:kern w:val="0"/>
                <w:sz w:val="18"/>
                <w:szCs w:val="18"/>
              </w:rPr>
            </w:pPr>
          </w:p>
        </w:tc>
        <w:tc>
          <w:tcPr>
            <w:tcW w:w="4678" w:type="dxa"/>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709"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16" w:type="dxa"/>
            <w:shd w:val="clear" w:color="auto" w:fill="auto"/>
            <w:noWrap/>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10.75</w:t>
            </w:r>
          </w:p>
        </w:tc>
      </w:tr>
    </w:tbl>
    <w:p>
      <w:pPr>
        <w:snapToGrid w:val="0"/>
        <w:spacing w:line="560" w:lineRule="atLeast"/>
        <w:ind w:firstLine="560"/>
        <w:rPr>
          <w:rFonts w:ascii="宋体" w:hAnsi="宋体"/>
          <w:szCs w:val="28"/>
        </w:rPr>
      </w:pPr>
      <w:r>
        <w:rPr>
          <w:rFonts w:ascii="宋体" w:hAnsi="宋体"/>
          <w:szCs w:val="28"/>
        </w:rPr>
        <w:t>1.</w:t>
      </w:r>
      <w:r>
        <w:rPr>
          <w:rFonts w:hint="eastAsia" w:ascii="宋体" w:hAnsi="宋体"/>
          <w:szCs w:val="28"/>
        </w:rPr>
        <w:t>立项依据充分性标准分值为2分。国土资源部颁布并实施了《全国土地开发整理规划（2001-2010年）》《全国土地利用总体规划纲要（2006-2020年）》《国土资源部关于开展土地整治规划编制工作的通知》（国土资发</w:t>
      </w:r>
      <w:r>
        <w:rPr>
          <w:rFonts w:hint="eastAsia"/>
          <w:szCs w:val="28"/>
        </w:rPr>
        <w:t>〔2010〕</w:t>
      </w:r>
      <w:r>
        <w:rPr>
          <w:szCs w:val="28"/>
        </w:rPr>
        <w:t>162</w:t>
      </w:r>
      <w:r>
        <w:rPr>
          <w:rFonts w:hint="eastAsia" w:ascii="宋体" w:hAnsi="宋体"/>
          <w:szCs w:val="28"/>
        </w:rPr>
        <w:t>号）、《全国土地整治规划（2016-2020年）》，并且国土资源部印发通知“‘十三五’全国土地整治规划编制工作启动”，明确区域土地开发整理方向和重点区域，提出规划实施保障措施。根据中共重庆市委农村工作暨实施乡村振兴战略领导小组耕地保护建设工作专班办公室《关于下达2023年度耕地保护目标任务的函》（渝耕保专办〔2023〕39号），下达2023年土地整理前期审查任务1350亩，后期核定任务2850亩。实施本项目与区土整中心通过实施土地整治实现全区耕地占补平衡；储备全区依法取得的土地。进行农村土地开发整理复、垦和国有土地整治、储备”的宗旨和业务范围相符，项目立项依据充分。经综合评价本项得2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立项程序规范性标准分值为5分。2023年土地整理专项资金涉2023年申报的16个项目，均经重庆市国土房局批准入库备案，且前述项目的实施方案已通过区发展改革委批复。区土整中心未提供项目专家评审、集体决策资料，扣相应权重分值2.5分。经综合评价本项得2.5分。</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绩效目标合理性标准分值为3分，经检查，2023年度二级项目绩效自评表“年度补充耕地面积”目标值为“4200亩”，该指标不符合区土地整理正常的业绩水平。扣相应权重分值0.75分。综合评价本项得2.25分。</w:t>
      </w:r>
    </w:p>
    <w:p>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绩效指标明确性标准分值为2分。《铜梁区土地整理项目工作绩效目标表》土地整理项目将绩效目标分解为具体的、清晰的绩效指标，本次绩效评价得分2分。</w:t>
      </w:r>
    </w:p>
    <w:p>
      <w:pPr>
        <w:snapToGrid w:val="0"/>
        <w:spacing w:line="560" w:lineRule="atLeast"/>
        <w:ind w:firstLine="560"/>
        <w:rPr>
          <w:rFonts w:ascii="宋体" w:hAnsi="宋体"/>
          <w:szCs w:val="28"/>
        </w:rPr>
      </w:pPr>
      <w:r>
        <w:rPr>
          <w:rFonts w:hint="eastAsia" w:ascii="宋体" w:hAnsi="宋体"/>
          <w:szCs w:val="28"/>
        </w:rPr>
        <w:t>5</w:t>
      </w:r>
      <w:r>
        <w:rPr>
          <w:rFonts w:ascii="宋体" w:hAnsi="宋体"/>
          <w:szCs w:val="28"/>
        </w:rPr>
        <w:t>.</w:t>
      </w:r>
      <w:r>
        <w:rPr>
          <w:rFonts w:hint="eastAsia" w:ascii="宋体" w:hAnsi="宋体"/>
          <w:szCs w:val="28"/>
        </w:rPr>
        <w:t>资金到位率标准分值为3分。2023年度土地整理专项资金，预算资金3602.00万元，实际到位2354.37万元，项目补助资金到位率=63.63%。扣分3分，经综合评价本项得0分。</w:t>
      </w:r>
    </w:p>
    <w:p>
      <w:pPr>
        <w:snapToGrid w:val="0"/>
        <w:spacing w:line="560" w:lineRule="atLeast"/>
        <w:ind w:firstLine="560"/>
        <w:rPr>
          <w:rFonts w:ascii="宋体" w:hAnsi="宋体"/>
          <w:szCs w:val="28"/>
        </w:rPr>
      </w:pPr>
      <w:r>
        <w:rPr>
          <w:rFonts w:hint="eastAsia" w:ascii="宋体" w:hAnsi="宋体"/>
          <w:szCs w:val="28"/>
        </w:rPr>
        <w:t>6.资金到位及时率标准分值为3分。2023年度土地整理专项资金，预算资金3602.00万元，2023年当年实际到位2354.37万元，项目到位及时率=63.63%。扣分3分，经综合评价本项得0分。</w:t>
      </w:r>
    </w:p>
    <w:p>
      <w:pPr>
        <w:snapToGrid w:val="0"/>
        <w:spacing w:line="560" w:lineRule="atLeast"/>
        <w:ind w:firstLine="560"/>
        <w:rPr>
          <w:rFonts w:ascii="宋体" w:hAnsi="宋体"/>
          <w:szCs w:val="28"/>
        </w:rPr>
      </w:pPr>
      <w:r>
        <w:rPr>
          <w:rFonts w:hint="eastAsia" w:ascii="宋体" w:hAnsi="宋体"/>
          <w:szCs w:val="28"/>
        </w:rPr>
        <w:t>7.预算编制科学性标准分值为2分。项目预算编制参考《重庆市土地开发整理项目预算定额标准</w:t>
      </w:r>
      <w:bookmarkStart w:id="2" w:name="_GoBack"/>
      <w:bookmarkEnd w:id="2"/>
      <w:r>
        <w:rPr>
          <w:rFonts w:hint="eastAsia" w:ascii="宋体" w:hAnsi="宋体"/>
          <w:szCs w:val="28"/>
          <w:lang w:eastAsia="zh-CN"/>
        </w:rPr>
        <w:t>（试行）》</w:t>
      </w:r>
      <w:r>
        <w:rPr>
          <w:rFonts w:hint="eastAsia" w:ascii="宋体" w:hAnsi="宋体"/>
          <w:szCs w:val="28"/>
        </w:rPr>
        <w:t>，预算内容与项目内容匹配，工程造价全部经财政评审，预算确定的项目分年度建设投资额或资金量与年度建设任务相匹配。经综合评价本项得2分。</w:t>
      </w:r>
    </w:p>
    <w:p>
      <w:pPr>
        <w:snapToGrid w:val="0"/>
        <w:spacing w:line="560" w:lineRule="atLeast"/>
        <w:ind w:firstLine="562"/>
        <w:rPr>
          <w:rFonts w:ascii="宋体" w:hAnsi="宋体"/>
          <w:b/>
          <w:szCs w:val="28"/>
        </w:rPr>
      </w:pPr>
      <w:r>
        <w:rPr>
          <w:rFonts w:hint="eastAsia" w:ascii="宋体" w:hAnsi="宋体"/>
          <w:b/>
          <w:szCs w:val="28"/>
        </w:rPr>
        <w:t>（二）管理类指标</w:t>
      </w:r>
    </w:p>
    <w:p>
      <w:pPr>
        <w:snapToGrid w:val="0"/>
        <w:spacing w:line="560" w:lineRule="atLeast"/>
        <w:ind w:firstLine="560"/>
        <w:rPr>
          <w:rFonts w:ascii="宋体" w:hAnsi="宋体"/>
          <w:szCs w:val="28"/>
        </w:rPr>
      </w:pPr>
      <w:r>
        <w:rPr>
          <w:rFonts w:hint="eastAsia" w:ascii="宋体" w:hAnsi="宋体"/>
          <w:szCs w:val="28"/>
        </w:rPr>
        <w:t>涉及管理的二级指标为：业务管理、财务管理。各二级指标下设三级指标。</w:t>
      </w:r>
    </w:p>
    <w:p>
      <w:pPr>
        <w:snapToGrid w:val="0"/>
        <w:spacing w:line="560" w:lineRule="atLeast"/>
        <w:ind w:firstLine="560"/>
        <w:rPr>
          <w:rFonts w:ascii="宋体" w:hAnsi="宋体"/>
          <w:szCs w:val="28"/>
        </w:rPr>
      </w:pPr>
      <w:r>
        <w:rPr>
          <w:rFonts w:hint="eastAsia" w:ascii="宋体" w:hAnsi="宋体"/>
          <w:szCs w:val="28"/>
        </w:rPr>
        <w:t>该项总分20分，实际得分19分，扣分1分。具体情况如下：</w:t>
      </w:r>
    </w:p>
    <w:tbl>
      <w:tblPr>
        <w:tblStyle w:val="18"/>
        <w:tblW w:w="8357" w:type="dxa"/>
        <w:tblInd w:w="0" w:type="dxa"/>
        <w:tblLayout w:type="fixed"/>
        <w:tblCellMar>
          <w:top w:w="0" w:type="dxa"/>
          <w:left w:w="108" w:type="dxa"/>
          <w:bottom w:w="0" w:type="dxa"/>
          <w:right w:w="108" w:type="dxa"/>
        </w:tblCellMar>
      </w:tblPr>
      <w:tblGrid>
        <w:gridCol w:w="1070"/>
        <w:gridCol w:w="960"/>
        <w:gridCol w:w="4781"/>
        <w:gridCol w:w="846"/>
        <w:gridCol w:w="700"/>
      </w:tblGrid>
      <w:tr>
        <w:tblPrEx>
          <w:tblCellMar>
            <w:top w:w="0" w:type="dxa"/>
            <w:left w:w="108" w:type="dxa"/>
            <w:bottom w:w="0" w:type="dxa"/>
            <w:right w:w="108" w:type="dxa"/>
          </w:tblCellMar>
        </w:tblPrEx>
        <w:trPr>
          <w:trHeight w:val="225" w:hRule="atLeast"/>
          <w:tblHeader/>
        </w:trPr>
        <w:tc>
          <w:tcPr>
            <w:tcW w:w="1070" w:type="dxa"/>
            <w:tcBorders>
              <w:top w:val="double" w:color="auto"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二级指标</w:t>
            </w:r>
          </w:p>
        </w:tc>
        <w:tc>
          <w:tcPr>
            <w:tcW w:w="960"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三级指标</w:t>
            </w:r>
          </w:p>
        </w:tc>
        <w:tc>
          <w:tcPr>
            <w:tcW w:w="4781"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评分标准</w:t>
            </w:r>
          </w:p>
        </w:tc>
        <w:tc>
          <w:tcPr>
            <w:tcW w:w="846" w:type="dxa"/>
            <w:tcBorders>
              <w:top w:val="double" w:color="auto"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分值</w:t>
            </w:r>
          </w:p>
        </w:tc>
        <w:tc>
          <w:tcPr>
            <w:tcW w:w="700" w:type="dxa"/>
            <w:tcBorders>
              <w:top w:val="double" w:color="auto"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b/>
                <w:bCs/>
                <w:color w:val="000000"/>
                <w:kern w:val="0"/>
                <w:sz w:val="18"/>
                <w:szCs w:val="18"/>
              </w:rPr>
            </w:pPr>
            <w:r>
              <w:rPr>
                <w:rFonts w:hint="eastAsia" w:ascii="方正仿宋_GBK" w:hAnsi="等线" w:eastAsia="方正仿宋_GBK" w:cs="宋体"/>
                <w:b/>
                <w:bCs/>
                <w:color w:val="000000"/>
                <w:kern w:val="0"/>
                <w:sz w:val="18"/>
                <w:szCs w:val="18"/>
              </w:rPr>
              <w:t>得分</w:t>
            </w:r>
          </w:p>
        </w:tc>
      </w:tr>
      <w:tr>
        <w:tblPrEx>
          <w:tblCellMar>
            <w:top w:w="0" w:type="dxa"/>
            <w:left w:w="108" w:type="dxa"/>
            <w:bottom w:w="0" w:type="dxa"/>
            <w:right w:w="108" w:type="dxa"/>
          </w:tblCellMar>
        </w:tblPrEx>
        <w:trPr>
          <w:trHeight w:val="881" w:hRule="atLeast"/>
        </w:trPr>
        <w:tc>
          <w:tcPr>
            <w:tcW w:w="1070" w:type="dxa"/>
            <w:vMerge w:val="restart"/>
            <w:tcBorders>
              <w:top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业务管理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"①已制定或具有相应的业务管理制度，得1分，否则不得分。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②业务管理制度是否合法、合规、完整，是得1分，否则不得分。"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CellMar>
            <w:top w:w="0" w:type="dxa"/>
            <w:left w:w="108" w:type="dxa"/>
            <w:bottom w:w="0" w:type="dxa"/>
            <w:right w:w="108" w:type="dxa"/>
          </w:tblCellMar>
        </w:tblPrEx>
        <w:trPr>
          <w:trHeight w:val="999" w:hRule="atLeast"/>
        </w:trPr>
        <w:tc>
          <w:tcPr>
            <w:tcW w:w="1070" w:type="dxa"/>
            <w:vMerge w:val="continue"/>
            <w:tcBorders>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制度执行有效性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"①是否遵守相关法律法规和相关管理规定，是得5分，发现一处不符合规定，扣0.5分，扣完为止。</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②项目调整及支出调整手续是否完备，是得1分。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③项目前期资料、项目过程资料和项目验收资料（包括项目合同书、验收报告、技术鉴定）等建设资料是否齐全，是否及时归档，是得1分。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④项目实施的人员条件、场地设备、信息支撑是否落实到位，是得1分。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Cambria Math" w:hAnsi="Cambria Math" w:eastAsia="方正仿宋_GBK" w:cs="宋体"/>
                <w:color w:val="000000"/>
                <w:kern w:val="0"/>
                <w:sz w:val="18"/>
                <w:szCs w:val="18"/>
              </w:rPr>
              <w:t>上述第②-④项发现一处不符合规定，扣相应权重分值，扣完为止。"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8</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7</w:t>
            </w:r>
          </w:p>
        </w:tc>
      </w:tr>
      <w:tr>
        <w:tblPrEx>
          <w:tblCellMar>
            <w:top w:w="0" w:type="dxa"/>
            <w:left w:w="108" w:type="dxa"/>
            <w:bottom w:w="0" w:type="dxa"/>
            <w:right w:w="108" w:type="dxa"/>
          </w:tblCellMar>
        </w:tblPrEx>
        <w:trPr>
          <w:trHeight w:val="999" w:hRule="atLeast"/>
        </w:trPr>
        <w:tc>
          <w:tcPr>
            <w:tcW w:w="1070" w:type="dxa"/>
            <w:vMerge w:val="continue"/>
            <w:tcBorders>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项目质量可控性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"①制定有日常监督考核制度及考核标准，是得1分，否则不得分。</w:t>
            </w:r>
          </w:p>
          <w:p>
            <w:pPr>
              <w:widowControl/>
              <w:spacing w:line="240" w:lineRule="auto"/>
              <w:ind w:firstLine="0" w:firstLineChars="0"/>
              <w:jc w:val="left"/>
              <w:rPr>
                <w:rFonts w:ascii="Cambria Math" w:hAnsi="Cambria Math" w:eastAsia="方正仿宋_GBK" w:cs="宋体"/>
                <w:color w:val="000000"/>
                <w:kern w:val="0"/>
                <w:sz w:val="18"/>
                <w:szCs w:val="18"/>
              </w:rPr>
            </w:pPr>
            <w:r>
              <w:rPr>
                <w:rFonts w:hint="eastAsia" w:ascii="Cambria Math" w:hAnsi="Cambria Math" w:eastAsia="方正仿宋_GBK" w:cs="宋体"/>
                <w:color w:val="000000"/>
                <w:kern w:val="0"/>
                <w:sz w:val="18"/>
                <w:szCs w:val="18"/>
              </w:rPr>
              <w:t>②项目日常监管到位，是得1分，发现一处不符合规定，扣0.2分，扣完为止。"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CellMar>
            <w:top w:w="0" w:type="dxa"/>
            <w:left w:w="108" w:type="dxa"/>
            <w:bottom w:w="0" w:type="dxa"/>
            <w:right w:w="108" w:type="dxa"/>
          </w:tblCellMar>
        </w:tblPrEx>
        <w:trPr>
          <w:trHeight w:val="1575" w:hRule="atLeast"/>
        </w:trPr>
        <w:tc>
          <w:tcPr>
            <w:tcW w:w="1070" w:type="dxa"/>
            <w:vMerge w:val="restart"/>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财务管理</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微软雅黑" w:hAnsi="微软雅黑" w:eastAsia="微软雅黑" w:cs="微软雅黑"/>
                <w:color w:val="000000"/>
                <w:kern w:val="0"/>
                <w:sz w:val="18"/>
                <w:szCs w:val="18"/>
              </w:rPr>
              <w:t>管理制度健全性</w:t>
            </w:r>
          </w:p>
        </w:tc>
        <w:tc>
          <w:tcPr>
            <w:tcW w:w="4781"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①是否已制定或具有相应的财务管理制度，是得1分，否则不得分。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②财务管理制度是否合法、合规、完整，是得1分，否则不得分。</w:t>
            </w:r>
          </w:p>
        </w:tc>
        <w:tc>
          <w:tcPr>
            <w:tcW w:w="846" w:type="dxa"/>
            <w:tcBorders>
              <w:top w:val="single" w:color="000000" w:sz="4" w:space="0"/>
              <w:left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CellMar>
            <w:top w:w="0" w:type="dxa"/>
            <w:left w:w="108" w:type="dxa"/>
            <w:bottom w:w="0" w:type="dxa"/>
            <w:right w:w="108" w:type="dxa"/>
          </w:tblCellMar>
        </w:tblPrEx>
        <w:trPr>
          <w:trHeight w:val="652"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资金使用合规性</w:t>
            </w:r>
          </w:p>
        </w:tc>
        <w:tc>
          <w:tcPr>
            <w:tcW w:w="4781" w:type="dxa"/>
            <w:tcBorders>
              <w:top w:val="single" w:color="000000" w:sz="4" w:space="0"/>
              <w:left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资金是否符合国家财经法规和财务管理制度，以及有关专项资金管理办法的规定，资金的拨付是否有完整的审批程序和手续；项目的重大开支是否经评估认证，是否符合项目预算批复和合同规定的用途；是否存在截留、挤占、挪用、虚拟支出等情况。是得4分；每发现违规一处扣0.5分，扣完为止。</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4</w:t>
            </w:r>
          </w:p>
        </w:tc>
      </w:tr>
      <w:tr>
        <w:tblPrEx>
          <w:tblCellMar>
            <w:top w:w="0" w:type="dxa"/>
            <w:left w:w="108" w:type="dxa"/>
            <w:bottom w:w="0" w:type="dxa"/>
            <w:right w:w="108" w:type="dxa"/>
          </w:tblCellMar>
        </w:tblPrEx>
        <w:trPr>
          <w:trHeight w:val="644" w:hRule="atLeast"/>
        </w:trPr>
        <w:tc>
          <w:tcPr>
            <w:tcW w:w="1070" w:type="dxa"/>
            <w:vMerge w:val="continue"/>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财务监控有效性</w:t>
            </w: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"①项目是否专账、辅助账核算，是得1分，否则不得分。</w:t>
            </w:r>
          </w:p>
          <w:p>
            <w:pPr>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②是否已制定或具有相应的监控机制，是得0.5分，否则不得分。</w:t>
            </w:r>
          </w:p>
          <w:p>
            <w:pPr>
              <w:widowControl/>
              <w:spacing w:line="240" w:lineRule="auto"/>
              <w:ind w:firstLine="0" w:firstLineChars="0"/>
              <w:jc w:val="left"/>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③是否采取了相应的财务检查等监控措施或手段，是得0.5分，否则不得分。"</w:t>
            </w: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w:t>
            </w:r>
          </w:p>
        </w:tc>
      </w:tr>
      <w:tr>
        <w:tblPrEx>
          <w:tblCellMar>
            <w:top w:w="0" w:type="dxa"/>
            <w:left w:w="108" w:type="dxa"/>
            <w:bottom w:w="0" w:type="dxa"/>
            <w:right w:w="108" w:type="dxa"/>
          </w:tblCellMar>
        </w:tblPrEx>
        <w:trPr>
          <w:trHeight w:val="450" w:hRule="atLeast"/>
        </w:trPr>
        <w:tc>
          <w:tcPr>
            <w:tcW w:w="1070" w:type="dxa"/>
            <w:tcBorders>
              <w:top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小计</w:t>
            </w:r>
          </w:p>
        </w:tc>
        <w:tc>
          <w:tcPr>
            <w:tcW w:w="960"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4781"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left"/>
              <w:rPr>
                <w:rFonts w:ascii="方正仿宋_GBK" w:hAnsi="等线" w:eastAsia="方正仿宋_GBK" w:cs="宋体"/>
                <w:color w:val="000000"/>
                <w:kern w:val="0"/>
                <w:sz w:val="18"/>
                <w:szCs w:val="18"/>
              </w:rPr>
            </w:pPr>
          </w:p>
        </w:tc>
        <w:tc>
          <w:tcPr>
            <w:tcW w:w="84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20</w:t>
            </w:r>
          </w:p>
        </w:tc>
        <w:tc>
          <w:tcPr>
            <w:tcW w:w="700" w:type="dxa"/>
            <w:tcBorders>
              <w:top w:val="single" w:color="000000" w:sz="4" w:space="0"/>
              <w:left w:val="single" w:color="000000" w:sz="4" w:space="0"/>
              <w:bottom w:val="single" w:color="000000" w:sz="4" w:space="0"/>
            </w:tcBorders>
            <w:shd w:val="clear" w:color="auto" w:fill="auto"/>
            <w:vAlign w:val="center"/>
          </w:tcPr>
          <w:p>
            <w:pPr>
              <w:widowControl/>
              <w:spacing w:line="240" w:lineRule="auto"/>
              <w:ind w:firstLine="0" w:firstLineChars="0"/>
              <w:jc w:val="center"/>
              <w:rPr>
                <w:rFonts w:ascii="方正仿宋_GBK" w:hAnsi="等线" w:eastAsia="方正仿宋_GBK" w:cs="宋体"/>
                <w:color w:val="000000"/>
                <w:kern w:val="0"/>
                <w:sz w:val="18"/>
                <w:szCs w:val="18"/>
              </w:rPr>
            </w:pPr>
            <w:r>
              <w:rPr>
                <w:rFonts w:hint="eastAsia" w:ascii="方正仿宋_GBK" w:hAnsi="等线" w:eastAsia="方正仿宋_GBK" w:cs="宋体"/>
                <w:color w:val="000000"/>
                <w:kern w:val="0"/>
                <w:sz w:val="18"/>
                <w:szCs w:val="18"/>
              </w:rPr>
              <w:t>19</w:t>
            </w:r>
          </w:p>
        </w:tc>
      </w:tr>
    </w:tbl>
    <w:p>
      <w:pPr>
        <w:snapToGrid w:val="0"/>
        <w:spacing w:line="560" w:lineRule="atLeast"/>
        <w:ind w:firstLine="560"/>
        <w:rPr>
          <w:rFonts w:ascii="宋体" w:hAnsi="宋体"/>
          <w:szCs w:val="28"/>
        </w:rPr>
      </w:pPr>
      <w:r>
        <w:rPr>
          <w:rFonts w:hint="eastAsia" w:ascii="宋体" w:hAnsi="宋体"/>
          <w:szCs w:val="28"/>
        </w:rPr>
        <w:t>1.业务管理制度健全性标准分值为2分，业主单位执行上级下发的相关业务管理制度，如《中华人民共和国招标投标法》、《政府投资项目管理办法》等，根据部门自身实际情况制定了原重庆市铜梁区国土资源和房屋管理局印发的土地整治项目的选址办法、中介服务委托合同范本、项目评审管理办法（试行）、项目评审（验收）专家管理办法（试行）、施工管理办法（试行）、项目变更管理办法（试行）、项目验收管理办法（试行）、项目资料管理办法（试行）、项目安全管理办法（试行）、项目后评价工作的管理制度，业务管理制度健全。经综合评价本项得2分。</w:t>
      </w:r>
    </w:p>
    <w:p>
      <w:pPr>
        <w:snapToGrid w:val="0"/>
        <w:spacing w:line="560" w:lineRule="atLeast"/>
        <w:ind w:firstLine="560"/>
        <w:rPr>
          <w:rFonts w:ascii="宋体" w:hAnsi="宋体"/>
          <w:szCs w:val="28"/>
        </w:rPr>
      </w:pPr>
      <w:r>
        <w:rPr>
          <w:rFonts w:hint="eastAsia" w:ascii="宋体" w:hAnsi="宋体"/>
          <w:szCs w:val="28"/>
        </w:rPr>
        <w:t>2.制度执行有效性标准分值为8分。土地整理项目执行了法人制、监理制、合同制管理；项目调整及支出调整手续完备，审批规范；项目前期资料、项目过程资料和项目验收资料等建设资料齐全，归档及时；项目实施的人员条件、场地设备、信息支撑等落实到位。经查，发现存在项目服务合同审核不严、施工合同立项文件引用错误的情况，如：二标施工合同立项目文件应为铜发改【2022】666号、667号，写为铜发改【2022】667号、668号、674号，三标施工合同立项目文件应为铜发改【2022】672号、669号，写为铜发改【2022】667号、668号、674号，扣1分，经综合评价本项得7分。</w:t>
      </w:r>
    </w:p>
    <w:p>
      <w:pPr>
        <w:snapToGrid w:val="0"/>
        <w:spacing w:line="560" w:lineRule="atLeast"/>
        <w:ind w:firstLine="560"/>
        <w:rPr>
          <w:rFonts w:ascii="宋体" w:hAnsi="宋体"/>
          <w:szCs w:val="28"/>
        </w:rPr>
      </w:pPr>
      <w:r>
        <w:rPr>
          <w:rFonts w:hint="eastAsia" w:ascii="宋体" w:hAnsi="宋体"/>
          <w:szCs w:val="28"/>
        </w:rPr>
        <w:t>3.项目质量可控性标准分值为2分。根据《铜梁区农村土地整治项目施工管理办法</w:t>
      </w:r>
      <w:r>
        <w:rPr>
          <w:rFonts w:hint="eastAsia" w:ascii="宋体" w:hAnsi="宋体"/>
          <w:szCs w:val="28"/>
          <w:lang w:eastAsia="zh-CN"/>
        </w:rPr>
        <w:t>（试行）》</w:t>
      </w:r>
      <w:r>
        <w:rPr>
          <w:rFonts w:hint="eastAsia" w:ascii="宋体" w:hAnsi="宋体"/>
          <w:szCs w:val="28"/>
        </w:rPr>
        <w:t>，规定了日常监督制度：由区土整中心派驻现场人员管理，定期(每周不少于两次)到项目工程现场巡查、检查工程质量，协调处理施工中的有关问题；镇街派驻现场人员管理，协助中心监管项目质量、进度、安全和纠纷协调。项目日常监管到位，未发现有不符合规定情况。同时业主单位聘请工程施工监理单位对项目建设投资控制、质量控制、进度控制、协调等服务工作。本次绩效评得2分。</w:t>
      </w:r>
    </w:p>
    <w:p>
      <w:pPr>
        <w:snapToGrid w:val="0"/>
        <w:spacing w:line="560" w:lineRule="atLeast"/>
        <w:ind w:firstLine="560"/>
        <w:rPr>
          <w:rFonts w:ascii="宋体" w:hAnsi="宋体"/>
          <w:szCs w:val="28"/>
        </w:rPr>
      </w:pPr>
      <w:r>
        <w:rPr>
          <w:rFonts w:hint="eastAsia" w:ascii="宋体" w:hAnsi="宋体"/>
          <w:szCs w:val="28"/>
        </w:rPr>
        <w:t>4.财务制度健全性标准分值为2分。重庆市铜梁区土地整治储备中心印发了《重庆市铜梁区土地整治储备中心财务制度》（铜土储发</w:t>
      </w:r>
      <w:r>
        <w:rPr>
          <w:rFonts w:hint="eastAsia"/>
          <w:szCs w:val="28"/>
        </w:rPr>
        <w:t>〔2021〕</w:t>
      </w:r>
      <w:r>
        <w:rPr>
          <w:rFonts w:hint="eastAsia" w:ascii="宋体" w:hAnsi="宋体"/>
          <w:szCs w:val="28"/>
        </w:rPr>
        <w:t>5号），对工程项目支出进行了规定，加强了内部财务管理与监督。明确工程款支出的审批流程、各级审批权限以及审核要件。财务管理制度合法、合规、完整，未见相关财务制度不合规的情况。本次绩效评价得分2分。</w:t>
      </w:r>
    </w:p>
    <w:p>
      <w:pPr>
        <w:snapToGrid w:val="0"/>
        <w:spacing w:line="560" w:lineRule="atLeast"/>
        <w:ind w:firstLine="560"/>
        <w:rPr>
          <w:rFonts w:ascii="宋体" w:hAnsi="宋体"/>
          <w:szCs w:val="28"/>
        </w:rPr>
      </w:pPr>
      <w:r>
        <w:rPr>
          <w:rFonts w:hint="eastAsia" w:ascii="宋体" w:hAnsi="宋体"/>
          <w:szCs w:val="28"/>
        </w:rPr>
        <w:t>5.资金使用合规性标准分值为4分。项目资金使用遵守《重庆市铜梁区土地整治储备中心财务制度》（铜土储发</w:t>
      </w:r>
      <w:r>
        <w:rPr>
          <w:rFonts w:hint="eastAsia"/>
          <w:szCs w:val="28"/>
        </w:rPr>
        <w:t>〔2021〕</w:t>
      </w:r>
      <w:r>
        <w:rPr>
          <w:rFonts w:hint="eastAsia" w:ascii="宋体" w:hAnsi="宋体"/>
          <w:szCs w:val="28"/>
        </w:rPr>
        <w:t>5号），符合国家财经法规和财务管理制度以及有关专项资金管理办法的规定，资金拨付按照费用报销流程进行审批；重庆市铜梁区财政预算评审中心对各个村镇土整项目的预算审核意见书进行了审核，未发现截留、挤占挪用项目支出的情况。建设项目进行了合规的账务处理，合理反映该项目的资金到位、使用结余及预算执行情况。本次绩效评价得分4分。</w:t>
      </w:r>
    </w:p>
    <w:p>
      <w:pPr>
        <w:snapToGrid w:val="0"/>
        <w:spacing w:line="560" w:lineRule="atLeast"/>
        <w:ind w:firstLine="560"/>
        <w:rPr>
          <w:rFonts w:ascii="宋体" w:hAnsi="宋体"/>
          <w:szCs w:val="28"/>
        </w:rPr>
      </w:pPr>
      <w:r>
        <w:rPr>
          <w:rFonts w:hint="eastAsia" w:ascii="宋体" w:hAnsi="宋体"/>
          <w:szCs w:val="28"/>
        </w:rPr>
        <w:t>6.财务监控有效性标准分值为2分。土地整理项目实施，为保障资金安全，进行了专账、辅助账核算；财务管理制度规定了“局纪检组要加强对项目资金使用管理的监督检查，除了加强培训和指导外，每年要对各组织部门安排的项目进行抽查，及时发现问题并督促整改，有效地对项目资金进行监督管理”。经综合评价本项得2分。</w:t>
      </w:r>
    </w:p>
    <w:p>
      <w:pPr>
        <w:snapToGrid w:val="0"/>
        <w:spacing w:line="560" w:lineRule="atLeast"/>
        <w:ind w:firstLine="562"/>
        <w:outlineLvl w:val="1"/>
        <w:rPr>
          <w:rFonts w:ascii="宋体" w:hAnsi="宋体"/>
          <w:b/>
          <w:szCs w:val="28"/>
        </w:rPr>
      </w:pPr>
      <w:r>
        <w:rPr>
          <w:rFonts w:hint="eastAsia" w:ascii="宋体" w:hAnsi="宋体"/>
          <w:b/>
          <w:szCs w:val="28"/>
        </w:rPr>
        <w:t>（三）产出类指标</w:t>
      </w:r>
    </w:p>
    <w:p>
      <w:pPr>
        <w:snapToGrid w:val="0"/>
        <w:spacing w:line="560" w:lineRule="atLeast"/>
        <w:ind w:firstLine="560"/>
        <w:rPr>
          <w:rFonts w:ascii="宋体" w:hAnsi="宋体"/>
          <w:szCs w:val="28"/>
        </w:rPr>
      </w:pPr>
      <w:r>
        <w:rPr>
          <w:rFonts w:hint="eastAsia" w:ascii="宋体" w:hAnsi="宋体"/>
          <w:szCs w:val="28"/>
        </w:rPr>
        <w:t>涉及管理的二级指标为：数量指标、时效指标、质量指标及成本指标。各二级指标下设三级指标。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该项总30分，实际得分25分，扣分5分，主要扣分原因为完成及时率较低。具体情况如下：</w:t>
      </w:r>
    </w:p>
    <w:tbl>
      <w:tblPr>
        <w:tblStyle w:val="18"/>
        <w:tblW w:w="8522" w:type="dxa"/>
        <w:tblInd w:w="0"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970"/>
        <w:gridCol w:w="1118"/>
        <w:gridCol w:w="4816"/>
        <w:gridCol w:w="731"/>
        <w:gridCol w:w="887"/>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97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二级指标</w:t>
            </w:r>
          </w:p>
        </w:tc>
        <w:tc>
          <w:tcPr>
            <w:tcW w:w="1118" w:type="dxa"/>
            <w:tcBorders>
              <w:tl2br w:val="nil"/>
              <w:tr2bl w:val="nil"/>
            </w:tcBorders>
            <w:shd w:val="clear" w:color="auto" w:fill="auto"/>
            <w:vAlign w:val="center"/>
          </w:tcPr>
          <w:p>
            <w:pPr>
              <w:widowControl/>
              <w:spacing w:line="240" w:lineRule="auto"/>
              <w:ind w:firstLine="0" w:firstLineChars="0"/>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三级指标</w:t>
            </w:r>
          </w:p>
        </w:tc>
        <w:tc>
          <w:tcPr>
            <w:tcW w:w="4816" w:type="dxa"/>
            <w:tcBorders>
              <w:tl2br w:val="nil"/>
              <w:tr2bl w:val="nil"/>
            </w:tcBorders>
            <w:shd w:val="clear" w:color="auto" w:fill="auto"/>
            <w:vAlign w:val="center"/>
          </w:tcPr>
          <w:p>
            <w:pPr>
              <w:widowControl/>
              <w:spacing w:line="240" w:lineRule="auto"/>
              <w:ind w:firstLine="361"/>
              <w:jc w:val="center"/>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评分标准</w:t>
            </w:r>
          </w:p>
        </w:tc>
        <w:tc>
          <w:tcPr>
            <w:tcW w:w="731"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分值</w:t>
            </w:r>
          </w:p>
        </w:tc>
        <w:tc>
          <w:tcPr>
            <w:tcW w:w="887" w:type="dxa"/>
            <w:tcBorders>
              <w:tl2br w:val="nil"/>
              <w:tr2bl w:val="nil"/>
            </w:tcBorders>
            <w:shd w:val="clear" w:color="auto" w:fill="auto"/>
            <w:noWrap/>
            <w:vAlign w:val="center"/>
          </w:tcPr>
          <w:p>
            <w:pPr>
              <w:widowControl/>
              <w:spacing w:line="240" w:lineRule="auto"/>
              <w:ind w:firstLine="199" w:firstLineChars="110"/>
              <w:textAlignment w:val="center"/>
              <w:rPr>
                <w:rFonts w:ascii="方正仿宋_GBK" w:hAnsi="方正仿宋_GBK" w:eastAsia="方正仿宋_GBK" w:cs="方正仿宋_GBK"/>
                <w:b/>
                <w:bCs/>
                <w:sz w:val="18"/>
                <w:szCs w:val="18"/>
              </w:rPr>
            </w:pPr>
            <w:r>
              <w:rPr>
                <w:rFonts w:ascii="方正仿宋_GBK" w:hAnsi="方正仿宋_GBK" w:eastAsia="方正仿宋_GBK" w:cs="方正仿宋_GBK"/>
                <w:b/>
                <w:bCs/>
                <w:kern w:val="0"/>
                <w:sz w:val="18"/>
                <w:szCs w:val="18"/>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970" w:type="dxa"/>
            <w:vMerge w:val="restart"/>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数量指标</w:t>
            </w:r>
          </w:p>
        </w:tc>
        <w:tc>
          <w:tcPr>
            <w:tcW w:w="1118" w:type="dxa"/>
            <w:tcBorders>
              <w:tl2br w:val="nil"/>
              <w:tr2bl w:val="nil"/>
            </w:tcBorders>
            <w:shd w:val="clear" w:color="auto" w:fill="auto"/>
            <w:vAlign w:val="center"/>
          </w:tcPr>
          <w:p>
            <w:pPr>
              <w:widowControl/>
              <w:ind w:firstLine="0" w:firstLineChars="0"/>
              <w:textAlignment w:val="center"/>
              <w:rPr>
                <w:rFonts w:ascii="宋体" w:hAnsi="宋体" w:cs="宋体"/>
                <w:color w:val="000000"/>
                <w:sz w:val="20"/>
              </w:rPr>
            </w:pPr>
            <w:r>
              <w:rPr>
                <w:rFonts w:hint="eastAsia" w:ascii="方正仿宋_GBK" w:hAnsi="方正仿宋_GBK" w:eastAsia="方正仿宋_GBK" w:cs="方正仿宋_GBK"/>
                <w:kern w:val="0"/>
                <w:sz w:val="18"/>
                <w:szCs w:val="18"/>
              </w:rPr>
              <w:t>前期审查任务完成率</w:t>
            </w:r>
          </w:p>
        </w:tc>
        <w:tc>
          <w:tcPr>
            <w:tcW w:w="481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①前期审查任务完成率</w:t>
            </w:r>
            <w:r>
              <w:rPr>
                <w:rFonts w:ascii="方正仿宋_GBK" w:hAnsi="方正仿宋_GBK" w:eastAsia="方正仿宋_GBK" w:cs="方正仿宋_GBK"/>
                <w:kern w:val="0"/>
                <w:sz w:val="18"/>
                <w:szCs w:val="18"/>
              </w:rPr>
              <w:t>≥100%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分。</w:t>
            </w:r>
          </w:p>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②前期审查任务完成率</w:t>
            </w:r>
            <w:r>
              <w:rPr>
                <w:rFonts w:ascii="方正仿宋_GBK" w:hAnsi="方正仿宋_GBK" w:eastAsia="方正仿宋_GBK" w:cs="方正仿宋_GBK"/>
                <w:kern w:val="0"/>
                <w:sz w:val="18"/>
                <w:szCs w:val="18"/>
              </w:rPr>
              <w:t>&lt;100%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整理任务完成率</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100%-85%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w:t>
            </w:r>
            <w:r>
              <w:rPr>
                <w:rFonts w:hint="eastAsia" w:ascii="方正仿宋_GBK" w:hAnsi="方正仿宋_GBK" w:eastAsia="方正仿宋_GBK" w:cs="方正仿宋_GBK"/>
                <w:kern w:val="0"/>
                <w:sz w:val="18"/>
                <w:szCs w:val="18"/>
              </w:rPr>
              <w:t>。</w:t>
            </w:r>
          </w:p>
          <w:p>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kern w:val="0"/>
                <w:sz w:val="18"/>
                <w:szCs w:val="18"/>
              </w:rPr>
              <w:t>③前期审查任务完成率</w:t>
            </w:r>
            <w:r>
              <w:rPr>
                <w:rFonts w:ascii="方正仿宋_GBK" w:hAnsi="方正仿宋_GBK" w:eastAsia="方正仿宋_GBK" w:cs="方正仿宋_GBK"/>
                <w:kern w:val="0"/>
                <w:sz w:val="18"/>
                <w:szCs w:val="18"/>
              </w:rPr>
              <w:t>&lt;85%</w:t>
            </w:r>
            <w:r>
              <w:rPr>
                <w:rFonts w:hint="eastAsia" w:ascii="方正仿宋_GBK" w:hAnsi="方正仿宋_GBK" w:eastAsia="方正仿宋_GBK" w:cs="方正仿宋_GBK"/>
                <w:kern w:val="0"/>
                <w:sz w:val="18"/>
                <w:szCs w:val="18"/>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87"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68" w:hRule="atLeast"/>
        </w:trPr>
        <w:tc>
          <w:tcPr>
            <w:tcW w:w="970" w:type="dxa"/>
            <w:vMerge w:val="continue"/>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p>
        </w:tc>
        <w:tc>
          <w:tcPr>
            <w:tcW w:w="111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后期核定任务完成率</w:t>
            </w:r>
          </w:p>
        </w:tc>
        <w:tc>
          <w:tcPr>
            <w:tcW w:w="481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①后期核定任务完成率</w:t>
            </w:r>
            <w:r>
              <w:rPr>
                <w:rFonts w:ascii="方正仿宋_GBK" w:hAnsi="方正仿宋_GBK" w:eastAsia="方正仿宋_GBK" w:cs="方正仿宋_GBK"/>
                <w:kern w:val="0"/>
                <w:sz w:val="18"/>
                <w:szCs w:val="18"/>
              </w:rPr>
              <w:t>≥100%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分。</w:t>
            </w:r>
          </w:p>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②后期核定任务完成率</w:t>
            </w:r>
            <w:r>
              <w:rPr>
                <w:rFonts w:ascii="方正仿宋_GBK" w:hAnsi="方正仿宋_GBK" w:eastAsia="方正仿宋_GBK" w:cs="方正仿宋_GBK"/>
                <w:kern w:val="0"/>
                <w:sz w:val="18"/>
                <w:szCs w:val="18"/>
              </w:rPr>
              <w:t>&lt;100%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后期核定完成率</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100%-85%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*10</w:t>
            </w:r>
            <w:r>
              <w:rPr>
                <w:rFonts w:hint="eastAsia" w:ascii="方正仿宋_GBK" w:hAnsi="方正仿宋_GBK" w:eastAsia="方正仿宋_GBK" w:cs="方正仿宋_GBK"/>
                <w:kern w:val="0"/>
                <w:sz w:val="18"/>
                <w:szCs w:val="18"/>
              </w:rPr>
              <w:t>。</w:t>
            </w:r>
          </w:p>
          <w:p>
            <w:pPr>
              <w:widowControl/>
              <w:ind w:firstLine="0" w:firstLineChars="0"/>
              <w:jc w:val="left"/>
              <w:textAlignment w:val="center"/>
              <w:rPr>
                <w:color w:val="000000"/>
                <w:sz w:val="20"/>
              </w:rPr>
            </w:pPr>
            <w:r>
              <w:rPr>
                <w:rFonts w:hint="eastAsia" w:ascii="方正仿宋_GBK" w:hAnsi="方正仿宋_GBK" w:eastAsia="方正仿宋_GBK" w:cs="方正仿宋_GBK"/>
                <w:kern w:val="0"/>
                <w:sz w:val="18"/>
                <w:szCs w:val="18"/>
              </w:rPr>
              <w:t>③后期核定任务完成率</w:t>
            </w:r>
            <w:r>
              <w:rPr>
                <w:rFonts w:ascii="方正仿宋_GBK" w:hAnsi="方正仿宋_GBK" w:eastAsia="方正仿宋_GBK" w:cs="方正仿宋_GBK"/>
                <w:kern w:val="0"/>
                <w:sz w:val="18"/>
                <w:szCs w:val="18"/>
              </w:rPr>
              <w:t>&lt;85%</w:t>
            </w:r>
            <w:r>
              <w:rPr>
                <w:rFonts w:hint="eastAsia" w:ascii="方正仿宋_GBK" w:hAnsi="方正仿宋_GBK" w:eastAsia="方正仿宋_GBK" w:cs="方正仿宋_GBK"/>
                <w:kern w:val="0"/>
                <w:sz w:val="18"/>
                <w:szCs w:val="18"/>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87"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928" w:hRule="atLeast"/>
        </w:trPr>
        <w:tc>
          <w:tcPr>
            <w:tcW w:w="97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时效指标</w:t>
            </w:r>
          </w:p>
        </w:tc>
        <w:tc>
          <w:tcPr>
            <w:tcW w:w="111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ascii="方正仿宋_GBK" w:hAnsi="方正仿宋_GBK" w:eastAsia="方正仿宋_GBK" w:cs="方正仿宋_GBK"/>
                <w:kern w:val="0"/>
                <w:sz w:val="18"/>
                <w:szCs w:val="18"/>
              </w:rPr>
              <w:t>完成及时率</w:t>
            </w:r>
          </w:p>
        </w:tc>
        <w:tc>
          <w:tcPr>
            <w:tcW w:w="481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①完成及时率</w:t>
            </w:r>
            <w:r>
              <w:rPr>
                <w:rFonts w:ascii="方正仿宋_GBK" w:hAnsi="方正仿宋_GBK" w:eastAsia="方正仿宋_GBK" w:cs="方正仿宋_GBK"/>
                <w:kern w:val="0"/>
                <w:sz w:val="18"/>
                <w:szCs w:val="18"/>
              </w:rPr>
              <w:t>≥0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分。</w:t>
            </w:r>
          </w:p>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②完成及时率＜</w:t>
            </w:r>
            <w:r>
              <w:rPr>
                <w:rFonts w:ascii="方正仿宋_GBK" w:hAnsi="方正仿宋_GBK" w:eastAsia="方正仿宋_GBK" w:cs="方正仿宋_GBK"/>
                <w:kern w:val="0"/>
                <w:sz w:val="18"/>
                <w:szCs w:val="18"/>
              </w:rPr>
              <w:t>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&gt;-15%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完成及时率</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0%-15%</w:t>
            </w:r>
            <w:r>
              <w:rPr>
                <w:rFonts w:hint="eastAsia" w:ascii="方正仿宋_GBK" w:hAnsi="方正仿宋_GBK" w:eastAsia="方正仿宋_GBK" w:cs="方正仿宋_GBK"/>
                <w:kern w:val="0"/>
                <w:sz w:val="18"/>
                <w:szCs w:val="18"/>
              </w:rPr>
              <w:t>）</w:t>
            </w:r>
            <w:r>
              <w:rPr>
                <w:rFonts w:ascii="方正仿宋_GBK" w:hAnsi="方正仿宋_GBK" w:eastAsia="方正仿宋_GBK" w:cs="方正仿宋_GBK"/>
                <w:kern w:val="0"/>
                <w:sz w:val="18"/>
                <w:szCs w:val="18"/>
              </w:rPr>
              <w:t>*5)</w:t>
            </w:r>
            <w:r>
              <w:rPr>
                <w:rFonts w:hint="eastAsia" w:ascii="方正仿宋_GBK" w:hAnsi="方正仿宋_GBK" w:eastAsia="方正仿宋_GBK" w:cs="方正仿宋_GBK"/>
                <w:kern w:val="0"/>
                <w:sz w:val="18"/>
                <w:szCs w:val="18"/>
              </w:rPr>
              <w:t>。</w:t>
            </w:r>
          </w:p>
          <w:p>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kern w:val="0"/>
                <w:sz w:val="18"/>
                <w:szCs w:val="18"/>
              </w:rPr>
              <w:t>③完成及时率＜</w:t>
            </w:r>
            <w:r>
              <w:rPr>
                <w:rFonts w:ascii="方正仿宋_GBK" w:hAnsi="方正仿宋_GBK" w:eastAsia="方正仿宋_GBK" w:cs="方正仿宋_GBK"/>
                <w:kern w:val="0"/>
                <w:sz w:val="18"/>
                <w:szCs w:val="18"/>
              </w:rPr>
              <w:t>-15%</w:t>
            </w:r>
            <w:r>
              <w:rPr>
                <w:rFonts w:hint="eastAsia" w:ascii="方正仿宋_GBK" w:hAnsi="方正仿宋_GBK" w:eastAsia="方正仿宋_GBK" w:cs="方正仿宋_GBK"/>
                <w:kern w:val="0"/>
                <w:sz w:val="18"/>
                <w:szCs w:val="18"/>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5</w:t>
            </w:r>
          </w:p>
        </w:tc>
        <w:tc>
          <w:tcPr>
            <w:tcW w:w="887"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1156" w:hRule="atLeast"/>
        </w:trPr>
        <w:tc>
          <w:tcPr>
            <w:tcW w:w="970"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kern w:val="0"/>
                <w:sz w:val="18"/>
                <w:szCs w:val="18"/>
              </w:rPr>
              <w:t>质量指标</w:t>
            </w:r>
          </w:p>
        </w:tc>
        <w:tc>
          <w:tcPr>
            <w:tcW w:w="111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验收合格率</w:t>
            </w:r>
          </w:p>
        </w:tc>
        <w:tc>
          <w:tcPr>
            <w:tcW w:w="481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①验收合格率</w:t>
            </w:r>
            <w:r>
              <w:rPr>
                <w:rFonts w:ascii="方正仿宋_GBK" w:hAnsi="方正仿宋_GBK" w:eastAsia="方正仿宋_GBK" w:cs="方正仿宋_GBK"/>
                <w:kern w:val="0"/>
                <w:sz w:val="18"/>
                <w:szCs w:val="18"/>
              </w:rPr>
              <w:t>=100%</w:t>
            </w:r>
            <w:r>
              <w:rPr>
                <w:rFonts w:hint="eastAsia" w:ascii="方正仿宋_GBK" w:hAnsi="方正仿宋_GBK" w:eastAsia="方正仿宋_GBK" w:cs="方正仿宋_GBK"/>
                <w:kern w:val="0"/>
                <w:sz w:val="18"/>
                <w:szCs w:val="18"/>
              </w:rPr>
              <w:t>，得</w:t>
            </w:r>
            <w:r>
              <w:rPr>
                <w:rFonts w:ascii="方正仿宋_GBK" w:hAnsi="方正仿宋_GBK" w:eastAsia="方正仿宋_GBK" w:cs="方正仿宋_GBK"/>
                <w:kern w:val="0"/>
                <w:sz w:val="18"/>
                <w:szCs w:val="18"/>
              </w:rPr>
              <w:t>10</w:t>
            </w:r>
            <w:r>
              <w:rPr>
                <w:rFonts w:hint="eastAsia" w:ascii="方正仿宋_GBK" w:hAnsi="方正仿宋_GBK" w:eastAsia="方正仿宋_GBK" w:cs="方正仿宋_GBK"/>
                <w:kern w:val="0"/>
                <w:sz w:val="18"/>
                <w:szCs w:val="18"/>
              </w:rPr>
              <w:t>分。</w:t>
            </w:r>
          </w:p>
          <w:p>
            <w:pPr>
              <w:widowControl/>
              <w:ind w:firstLine="0" w:firstLineChars="0"/>
              <w:jc w:val="left"/>
              <w:textAlignment w:val="center"/>
              <w:rPr>
                <w:rFonts w:ascii="宋体" w:hAnsi="宋体" w:cs="宋体"/>
                <w:color w:val="000000"/>
                <w:kern w:val="0"/>
                <w:sz w:val="20"/>
              </w:rPr>
            </w:pPr>
            <w:r>
              <w:rPr>
                <w:rFonts w:hint="eastAsia" w:ascii="方正仿宋_GBK" w:hAnsi="方正仿宋_GBK" w:eastAsia="方正仿宋_GBK" w:cs="方正仿宋_GBK"/>
                <w:kern w:val="0"/>
                <w:sz w:val="18"/>
                <w:szCs w:val="18"/>
              </w:rPr>
              <w:t>②验收合格率</w:t>
            </w:r>
            <w:r>
              <w:rPr>
                <w:rFonts w:ascii="方正仿宋_GBK" w:hAnsi="方正仿宋_GBK" w:eastAsia="方正仿宋_GBK" w:cs="方正仿宋_GBK"/>
                <w:kern w:val="0"/>
                <w:sz w:val="18"/>
                <w:szCs w:val="18"/>
              </w:rPr>
              <w:t>&lt;100%</w:t>
            </w:r>
            <w:r>
              <w:rPr>
                <w:rFonts w:hint="eastAsia" w:ascii="方正仿宋_GBK" w:hAnsi="方正仿宋_GBK" w:eastAsia="方正仿宋_GBK" w:cs="方正仿宋_GBK"/>
                <w:kern w:val="0"/>
                <w:sz w:val="18"/>
                <w:szCs w:val="18"/>
              </w:rPr>
              <w:t>，且</w:t>
            </w:r>
            <w:r>
              <w:rPr>
                <w:rFonts w:ascii="方正仿宋_GBK" w:hAnsi="方正仿宋_GBK" w:eastAsia="方正仿宋_GBK" w:cs="方正仿宋_GBK"/>
                <w:kern w:val="0"/>
                <w:sz w:val="18"/>
                <w:szCs w:val="18"/>
              </w:rPr>
              <w:t>≥85%</w:t>
            </w:r>
            <w:r>
              <w:rPr>
                <w:rFonts w:hint="eastAsia" w:ascii="方正仿宋_GBK" w:hAnsi="方正仿宋_GBK" w:eastAsia="方正仿宋_GBK" w:cs="方正仿宋_GBK"/>
                <w:kern w:val="0"/>
                <w:sz w:val="18"/>
                <w:szCs w:val="18"/>
              </w:rPr>
              <w:t>，得分</w:t>
            </w:r>
            <w:r>
              <w:rPr>
                <w:rFonts w:ascii="方正仿宋_GBK" w:hAnsi="方正仿宋_GBK" w:eastAsia="方正仿宋_GBK" w:cs="方正仿宋_GBK"/>
                <w:kern w:val="0"/>
                <w:sz w:val="18"/>
                <w:szCs w:val="18"/>
              </w:rPr>
              <w:t>=(</w:t>
            </w:r>
            <w:r>
              <w:rPr>
                <w:rFonts w:hint="eastAsia" w:ascii="方正仿宋_GBK" w:hAnsi="方正仿宋_GBK" w:eastAsia="方正仿宋_GBK" w:cs="方正仿宋_GBK"/>
                <w:kern w:val="0"/>
                <w:sz w:val="18"/>
                <w:szCs w:val="18"/>
              </w:rPr>
              <w:t>验收合格率</w:t>
            </w:r>
            <w:r>
              <w:rPr>
                <w:color w:val="000000"/>
                <w:kern w:val="0"/>
                <w:sz w:val="20"/>
              </w:rPr>
              <w:t>-85%)/</w:t>
            </w:r>
            <w:r>
              <w:rPr>
                <w:rFonts w:hint="eastAsia" w:ascii="宋体" w:hAnsi="宋体" w:cs="宋体"/>
                <w:color w:val="000000"/>
                <w:kern w:val="0"/>
                <w:sz w:val="20"/>
              </w:rPr>
              <w:t>（</w:t>
            </w:r>
            <w:r>
              <w:rPr>
                <w:color w:val="000000"/>
                <w:kern w:val="0"/>
                <w:sz w:val="20"/>
              </w:rPr>
              <w:t>100%-85%</w:t>
            </w:r>
            <w:r>
              <w:rPr>
                <w:rFonts w:hint="eastAsia" w:ascii="宋体" w:hAnsi="宋体" w:cs="宋体"/>
                <w:color w:val="000000"/>
                <w:kern w:val="0"/>
                <w:sz w:val="20"/>
              </w:rPr>
              <w:t>）</w:t>
            </w:r>
            <w:r>
              <w:rPr>
                <w:color w:val="000000"/>
                <w:kern w:val="0"/>
                <w:sz w:val="20"/>
              </w:rPr>
              <w:t>*10</w:t>
            </w:r>
            <w:r>
              <w:rPr>
                <w:rFonts w:hint="eastAsia" w:ascii="宋体" w:hAnsi="宋体" w:cs="宋体"/>
                <w:color w:val="000000"/>
                <w:kern w:val="0"/>
                <w:sz w:val="20"/>
              </w:rPr>
              <w:t>。</w:t>
            </w:r>
          </w:p>
          <w:p>
            <w:pPr>
              <w:widowControl/>
              <w:ind w:firstLine="0" w:firstLineChars="0"/>
              <w:jc w:val="left"/>
              <w:textAlignment w:val="center"/>
              <w:rPr>
                <w:rFonts w:ascii="宋体" w:hAnsi="宋体" w:cs="宋体"/>
                <w:color w:val="000000"/>
                <w:sz w:val="20"/>
              </w:rPr>
            </w:pPr>
            <w:r>
              <w:rPr>
                <w:rFonts w:hint="eastAsia" w:ascii="宋体" w:hAnsi="宋体" w:cs="宋体"/>
                <w:color w:val="000000"/>
                <w:kern w:val="0"/>
                <w:sz w:val="20"/>
              </w:rPr>
              <w:t>③验收合格率</w:t>
            </w:r>
            <w:r>
              <w:rPr>
                <w:color w:val="000000"/>
                <w:kern w:val="0"/>
                <w:sz w:val="20"/>
              </w:rPr>
              <w:t>&lt;85%</w:t>
            </w:r>
            <w:r>
              <w:rPr>
                <w:rFonts w:hint="eastAsia" w:ascii="宋体" w:hAnsi="宋体" w:cs="宋体"/>
                <w:color w:val="000000"/>
                <w:kern w:val="0"/>
                <w:sz w:val="20"/>
              </w:rPr>
              <w:t>，不得分。</w:t>
            </w:r>
          </w:p>
        </w:tc>
        <w:tc>
          <w:tcPr>
            <w:tcW w:w="731"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c>
          <w:tcPr>
            <w:tcW w:w="887"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10</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94" w:hRule="atLeast"/>
        </w:trPr>
        <w:tc>
          <w:tcPr>
            <w:tcW w:w="970" w:type="dxa"/>
            <w:tcBorders>
              <w:tl2br w:val="nil"/>
              <w:tr2bl w:val="nil"/>
            </w:tcBorders>
            <w:shd w:val="clear" w:color="auto" w:fill="auto"/>
            <w:noWrap/>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成本指标</w:t>
            </w:r>
          </w:p>
        </w:tc>
        <w:tc>
          <w:tcPr>
            <w:tcW w:w="1118"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工程成本控制率</w:t>
            </w:r>
          </w:p>
        </w:tc>
        <w:tc>
          <w:tcPr>
            <w:tcW w:w="4816" w:type="dxa"/>
            <w:tcBorders>
              <w:tl2br w:val="nil"/>
              <w:tr2bl w:val="nil"/>
            </w:tcBorders>
            <w:shd w:val="clear" w:color="auto" w:fill="auto"/>
            <w:vAlign w:val="center"/>
          </w:tcPr>
          <w:p>
            <w:pPr>
              <w:widowControl/>
              <w:ind w:firstLine="0" w:firstLineChars="0"/>
              <w:jc w:val="left"/>
              <w:textAlignment w:val="center"/>
              <w:rPr>
                <w:color w:val="000000"/>
                <w:kern w:val="0"/>
                <w:sz w:val="20"/>
              </w:rPr>
            </w:pPr>
            <w:r>
              <w:rPr>
                <w:rFonts w:hint="eastAsia"/>
                <w:color w:val="000000"/>
                <w:kern w:val="0"/>
                <w:sz w:val="20"/>
              </w:rPr>
              <w:t>①成本控制率</w:t>
            </w:r>
            <w:r>
              <w:rPr>
                <w:color w:val="000000"/>
                <w:kern w:val="0"/>
                <w:sz w:val="20"/>
              </w:rPr>
              <w:t>≤100%</w:t>
            </w:r>
            <w:r>
              <w:rPr>
                <w:rFonts w:hint="eastAsia"/>
                <w:color w:val="000000"/>
                <w:kern w:val="0"/>
                <w:sz w:val="20"/>
              </w:rPr>
              <w:t>，得</w:t>
            </w:r>
            <w:r>
              <w:rPr>
                <w:color w:val="000000"/>
                <w:kern w:val="0"/>
                <w:sz w:val="20"/>
              </w:rPr>
              <w:t>5</w:t>
            </w:r>
            <w:r>
              <w:rPr>
                <w:rFonts w:hint="eastAsia"/>
                <w:color w:val="000000"/>
                <w:kern w:val="0"/>
                <w:sz w:val="20"/>
              </w:rPr>
              <w:t>分。</w:t>
            </w:r>
          </w:p>
          <w:p>
            <w:pPr>
              <w:widowControl/>
              <w:ind w:firstLine="0" w:firstLineChars="0"/>
              <w:jc w:val="left"/>
              <w:textAlignment w:val="center"/>
              <w:rPr>
                <w:color w:val="000000"/>
                <w:kern w:val="0"/>
                <w:sz w:val="20"/>
              </w:rPr>
            </w:pPr>
            <w:r>
              <w:rPr>
                <w:rFonts w:hint="eastAsia"/>
                <w:color w:val="000000"/>
                <w:kern w:val="0"/>
                <w:sz w:val="20"/>
              </w:rPr>
              <w:t>②成本控制率＞</w:t>
            </w:r>
            <w:r>
              <w:rPr>
                <w:color w:val="000000"/>
                <w:kern w:val="0"/>
                <w:sz w:val="20"/>
              </w:rPr>
              <w:t>100%</w:t>
            </w:r>
            <w:r>
              <w:rPr>
                <w:rFonts w:hint="eastAsia"/>
                <w:color w:val="000000"/>
                <w:kern w:val="0"/>
                <w:sz w:val="20"/>
              </w:rPr>
              <w:t>，且</w:t>
            </w:r>
            <w:r>
              <w:rPr>
                <w:color w:val="000000"/>
                <w:kern w:val="0"/>
                <w:sz w:val="20"/>
              </w:rPr>
              <w:t>≤105%</w:t>
            </w:r>
            <w:r>
              <w:rPr>
                <w:rFonts w:hint="eastAsia"/>
                <w:color w:val="000000"/>
                <w:kern w:val="0"/>
                <w:sz w:val="20"/>
              </w:rPr>
              <w:t>，得分</w:t>
            </w:r>
            <w:r>
              <w:rPr>
                <w:color w:val="000000"/>
                <w:kern w:val="0"/>
                <w:sz w:val="20"/>
              </w:rPr>
              <w:t>=(105%-</w:t>
            </w:r>
            <w:r>
              <w:rPr>
                <w:rFonts w:hint="eastAsia"/>
                <w:color w:val="000000"/>
                <w:kern w:val="0"/>
                <w:sz w:val="20"/>
              </w:rPr>
              <w:t>成本控制率</w:t>
            </w:r>
            <w:r>
              <w:rPr>
                <w:color w:val="000000"/>
                <w:kern w:val="0"/>
                <w:sz w:val="20"/>
              </w:rPr>
              <w:t>)/</w:t>
            </w:r>
            <w:r>
              <w:rPr>
                <w:rFonts w:hint="eastAsia"/>
                <w:color w:val="000000"/>
                <w:kern w:val="0"/>
                <w:sz w:val="20"/>
              </w:rPr>
              <w:t>（</w:t>
            </w:r>
            <w:r>
              <w:rPr>
                <w:color w:val="000000"/>
                <w:kern w:val="0"/>
                <w:sz w:val="20"/>
              </w:rPr>
              <w:t>105%-100%</w:t>
            </w:r>
            <w:r>
              <w:rPr>
                <w:rFonts w:hint="eastAsia"/>
                <w:color w:val="000000"/>
                <w:kern w:val="0"/>
                <w:sz w:val="20"/>
              </w:rPr>
              <w:t>）</w:t>
            </w:r>
            <w:r>
              <w:rPr>
                <w:color w:val="000000"/>
                <w:kern w:val="0"/>
                <w:sz w:val="20"/>
              </w:rPr>
              <w:t>*5</w:t>
            </w:r>
            <w:r>
              <w:rPr>
                <w:rFonts w:hint="eastAsia"/>
                <w:color w:val="000000"/>
                <w:kern w:val="0"/>
                <w:sz w:val="20"/>
              </w:rPr>
              <w:t>。</w:t>
            </w:r>
          </w:p>
          <w:p>
            <w:pPr>
              <w:widowControl/>
              <w:ind w:firstLine="0" w:firstLineChars="0"/>
              <w:jc w:val="left"/>
              <w:textAlignment w:val="center"/>
              <w:rPr>
                <w:rFonts w:ascii="宋体" w:hAnsi="宋体" w:cs="宋体"/>
                <w:color w:val="000000"/>
                <w:sz w:val="20"/>
              </w:rPr>
            </w:pPr>
            <w:r>
              <w:rPr>
                <w:rFonts w:hint="eastAsia"/>
                <w:color w:val="000000"/>
                <w:kern w:val="0"/>
                <w:sz w:val="20"/>
              </w:rPr>
              <w:t>③成本控制率＞</w:t>
            </w:r>
            <w:r>
              <w:rPr>
                <w:color w:val="000000"/>
                <w:kern w:val="0"/>
                <w:sz w:val="20"/>
              </w:rPr>
              <w:t>105%</w:t>
            </w:r>
            <w:r>
              <w:rPr>
                <w:rFonts w:hint="eastAsia"/>
                <w:color w:val="000000"/>
                <w:kern w:val="0"/>
                <w:sz w:val="20"/>
              </w:rPr>
              <w:t>，不得分</w:t>
            </w:r>
            <w:r>
              <w:rPr>
                <w:rFonts w:hint="eastAsia" w:ascii="宋体" w:hAnsi="宋体" w:cs="宋体"/>
                <w:color w:val="000000"/>
                <w:kern w:val="0"/>
                <w:sz w:val="20"/>
              </w:rPr>
              <w:t>。</w:t>
            </w:r>
          </w:p>
        </w:tc>
        <w:tc>
          <w:tcPr>
            <w:tcW w:w="731"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c>
          <w:tcPr>
            <w:tcW w:w="887"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kern w:val="0"/>
                <w:sz w:val="18"/>
                <w:szCs w:val="18"/>
              </w:rPr>
            </w:pPr>
            <w:r>
              <w:rPr>
                <w:rFonts w:hint="eastAsia" w:ascii="方正仿宋_GBK" w:hAnsi="方正仿宋_GBK" w:eastAsia="方正仿宋_GBK" w:cs="方正仿宋_GBK"/>
                <w:kern w:val="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rPr>
        <w:tc>
          <w:tcPr>
            <w:tcW w:w="970" w:type="dxa"/>
            <w:tcBorders>
              <w:tl2br w:val="nil"/>
              <w:tr2bl w:val="nil"/>
            </w:tcBorders>
            <w:shd w:val="clear" w:color="auto" w:fill="auto"/>
            <w:noWrap/>
            <w:vAlign w:val="center"/>
          </w:tcPr>
          <w:p>
            <w:pPr>
              <w:widowControl/>
              <w:spacing w:line="240" w:lineRule="auto"/>
              <w:ind w:firstLineChars="111"/>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小计</w:t>
            </w:r>
          </w:p>
        </w:tc>
        <w:tc>
          <w:tcPr>
            <w:tcW w:w="1118"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sz w:val="18"/>
                <w:szCs w:val="18"/>
              </w:rPr>
            </w:pPr>
          </w:p>
        </w:tc>
        <w:tc>
          <w:tcPr>
            <w:tcW w:w="4816"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sz w:val="18"/>
                <w:szCs w:val="18"/>
              </w:rPr>
            </w:pPr>
          </w:p>
        </w:tc>
        <w:tc>
          <w:tcPr>
            <w:tcW w:w="731"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30</w:t>
            </w:r>
          </w:p>
        </w:tc>
        <w:tc>
          <w:tcPr>
            <w:tcW w:w="887"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sz w:val="18"/>
                <w:szCs w:val="18"/>
              </w:rPr>
            </w:pPr>
            <w:r>
              <w:rPr>
                <w:rFonts w:hint="eastAsia" w:ascii="方正仿宋_GBK" w:hAnsi="方正仿宋_GBK" w:eastAsia="方正仿宋_GBK" w:cs="方正仿宋_GBK"/>
                <w:sz w:val="18"/>
                <w:szCs w:val="18"/>
              </w:rPr>
              <w:t>25</w:t>
            </w:r>
          </w:p>
        </w:tc>
      </w:tr>
    </w:tbl>
    <w:p>
      <w:pPr>
        <w:snapToGrid w:val="0"/>
        <w:spacing w:line="560" w:lineRule="atLeast"/>
        <w:ind w:firstLine="560"/>
        <w:rPr>
          <w:rFonts w:ascii="宋体" w:hAnsi="宋体"/>
          <w:szCs w:val="28"/>
        </w:rPr>
      </w:pPr>
      <w:r>
        <w:rPr>
          <w:rFonts w:hint="eastAsia" w:ascii="宋体" w:hAnsi="宋体"/>
          <w:szCs w:val="28"/>
        </w:rPr>
        <w:t>1.前期审查任务完成率标准分值为5分。经检查，2022年完成前期审查项目数为16个，前期审查项目整理土地4204.386亩，前期审查任务为3500亩，前期审查任务完成率为120.13%。经综合评价本项得5分。</w:t>
      </w:r>
    </w:p>
    <w:p>
      <w:pPr>
        <w:snapToGrid w:val="0"/>
        <w:spacing w:line="560" w:lineRule="atLeast"/>
        <w:ind w:firstLine="560"/>
        <w:rPr>
          <w:rFonts w:ascii="宋体" w:hAnsi="宋体"/>
          <w:szCs w:val="28"/>
        </w:rPr>
      </w:pPr>
      <w:r>
        <w:rPr>
          <w:rFonts w:ascii="宋体" w:hAnsi="宋体"/>
          <w:szCs w:val="28"/>
        </w:rPr>
        <w:t>2.</w:t>
      </w:r>
      <w:r>
        <w:rPr>
          <w:rFonts w:hint="eastAsia" w:ascii="宋体" w:hAnsi="宋体"/>
          <w:szCs w:val="28"/>
        </w:rPr>
        <w:t>后期核定任务完成率标准分值为5分。16个项目经后期核定初步评价，新增耕地3594.35亩，后期核定任务为2850亩，后期核定任务完成率为126.13%。经综合评价本项得5分。</w:t>
      </w:r>
    </w:p>
    <w:p>
      <w:pPr>
        <w:snapToGrid w:val="0"/>
        <w:spacing w:line="560" w:lineRule="atLeast"/>
        <w:ind w:firstLine="560"/>
        <w:rPr>
          <w:rFonts w:ascii="宋体" w:hAnsi="宋体"/>
          <w:szCs w:val="28"/>
        </w:rPr>
      </w:pPr>
      <w:r>
        <w:rPr>
          <w:rFonts w:hint="eastAsia" w:ascii="宋体" w:hAnsi="宋体"/>
          <w:szCs w:val="28"/>
        </w:rPr>
        <w:t>3.完成及时率标准分值为5分。2023年土地整理项目有16个，2024年5月全部完工，按资金加权平均完成及时率44.12%。扣5分，经综合评价本项得0分。</w:t>
      </w:r>
    </w:p>
    <w:p>
      <w:pPr>
        <w:snapToGrid w:val="0"/>
        <w:spacing w:line="560" w:lineRule="atLeast"/>
        <w:ind w:firstLine="560"/>
        <w:rPr>
          <w:rFonts w:ascii="宋体" w:hAnsi="宋体"/>
          <w:szCs w:val="28"/>
        </w:rPr>
      </w:pPr>
      <w:r>
        <w:rPr>
          <w:rFonts w:hint="eastAsia" w:ascii="宋体" w:hAnsi="宋体"/>
          <w:szCs w:val="28"/>
        </w:rPr>
        <w:t>4</w:t>
      </w:r>
      <w:r>
        <w:rPr>
          <w:rFonts w:ascii="宋体" w:hAnsi="宋体"/>
          <w:szCs w:val="28"/>
        </w:rPr>
        <w:t>.</w:t>
      </w:r>
      <w:r>
        <w:rPr>
          <w:rFonts w:hint="eastAsia" w:ascii="宋体" w:hAnsi="宋体"/>
          <w:szCs w:val="28"/>
        </w:rPr>
        <w:t>验收合格率标准分值为10分。经查阅施工材料质量抽检结果合格、经质量检测报告、监理日志及现场查看，未发现明显质量问题，2023年土地整理16个项目于24年5月竣工验收，实际竣工项目为16个，4个项目一次性验收合格，12个项目经整改后合格。质量达标率</w:t>
      </w:r>
      <w:r>
        <w:rPr>
          <w:rFonts w:hint="eastAsia" w:ascii="宋体" w:hAnsi="宋体"/>
          <w:szCs w:val="28"/>
          <w:lang w:eastAsia="zh-CN"/>
        </w:rPr>
        <w:t>为</w:t>
      </w:r>
      <w:r>
        <w:rPr>
          <w:rFonts w:hint="eastAsia" w:ascii="宋体" w:hAnsi="宋体"/>
          <w:szCs w:val="28"/>
        </w:rPr>
        <w:t>（16/16）*100%=100%，经综合评价本项得10分。</w:t>
      </w:r>
    </w:p>
    <w:p>
      <w:pPr>
        <w:snapToGrid w:val="0"/>
        <w:spacing w:line="560" w:lineRule="atLeast"/>
        <w:ind w:firstLine="560"/>
        <w:outlineLvl w:val="1"/>
        <w:rPr>
          <w:rFonts w:ascii="宋体" w:hAnsi="宋体"/>
          <w:szCs w:val="28"/>
        </w:rPr>
      </w:pPr>
      <w:r>
        <w:rPr>
          <w:rFonts w:hint="eastAsia" w:ascii="宋体" w:hAnsi="宋体"/>
          <w:szCs w:val="28"/>
        </w:rPr>
        <w:t>5.工程成本控制率标准分值为5分。2023年16个土地整理项目已完工验收，未办理结算，财评预算施工成本金额为12220.22万元，工程实际合同金额为6058.81万元，合同金额占财评预算金额的49.58%。经综合评价本项得5分。</w:t>
      </w:r>
    </w:p>
    <w:p>
      <w:pPr>
        <w:snapToGrid w:val="0"/>
        <w:spacing w:line="560" w:lineRule="atLeast"/>
        <w:ind w:firstLine="562"/>
        <w:outlineLvl w:val="1"/>
        <w:rPr>
          <w:rFonts w:ascii="宋体" w:hAnsi="宋体"/>
          <w:b/>
          <w:szCs w:val="28"/>
        </w:rPr>
      </w:pPr>
      <w:r>
        <w:rPr>
          <w:rFonts w:hint="eastAsia" w:ascii="宋体" w:hAnsi="宋体"/>
          <w:b/>
          <w:szCs w:val="28"/>
        </w:rPr>
        <w:t>（四）效果类指标</w:t>
      </w:r>
    </w:p>
    <w:p>
      <w:pPr>
        <w:snapToGrid w:val="0"/>
        <w:spacing w:line="560" w:lineRule="atLeast"/>
        <w:ind w:firstLine="560"/>
        <w:rPr>
          <w:rFonts w:ascii="宋体" w:hAnsi="宋体"/>
          <w:szCs w:val="28"/>
        </w:rPr>
      </w:pPr>
      <w:r>
        <w:rPr>
          <w:rFonts w:hint="eastAsia" w:ascii="宋体" w:hAnsi="宋体"/>
          <w:szCs w:val="28"/>
        </w:rPr>
        <w:t>涉及效果的二级指标为：经济效益、社会效益、生态效益、可持续影响及满意度。各二级指标下设三级指标。</w:t>
      </w:r>
    </w:p>
    <w:p>
      <w:pPr>
        <w:snapToGrid w:val="0"/>
        <w:spacing w:line="560" w:lineRule="atLeast"/>
        <w:ind w:firstLine="560"/>
        <w:rPr>
          <w:rFonts w:ascii="宋体" w:hAnsi="宋体"/>
          <w:szCs w:val="28"/>
        </w:rPr>
      </w:pPr>
      <w:r>
        <w:rPr>
          <w:rFonts w:hint="eastAsia" w:ascii="宋体" w:hAnsi="宋体"/>
          <w:szCs w:val="28"/>
        </w:rPr>
        <w:t>该项总30分，实际得分28.66分。扣分1.34分，具体情况如下：</w:t>
      </w:r>
    </w:p>
    <w:tbl>
      <w:tblPr>
        <w:tblStyle w:val="18"/>
        <w:tblW w:w="8376" w:type="dxa"/>
        <w:tblInd w:w="96" w:type="dxa"/>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Layout w:type="fixed"/>
        <w:tblCellMar>
          <w:top w:w="0" w:type="dxa"/>
          <w:left w:w="108" w:type="dxa"/>
          <w:bottom w:w="0" w:type="dxa"/>
          <w:right w:w="108" w:type="dxa"/>
        </w:tblCellMar>
      </w:tblPr>
      <w:tblGrid>
        <w:gridCol w:w="1363"/>
        <w:gridCol w:w="1320"/>
        <w:gridCol w:w="4176"/>
        <w:gridCol w:w="756"/>
        <w:gridCol w:w="761"/>
      </w:tblGrid>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276" w:hRule="atLeast"/>
          <w:tblHeader/>
        </w:trPr>
        <w:tc>
          <w:tcPr>
            <w:tcW w:w="1363" w:type="dxa"/>
            <w:tcBorders>
              <w:tl2br w:val="nil"/>
              <w:tr2bl w:val="nil"/>
            </w:tcBorders>
            <w:shd w:val="clear" w:color="auto" w:fill="auto"/>
            <w:vAlign w:val="center"/>
          </w:tcPr>
          <w:p>
            <w:pPr>
              <w:widowControl/>
              <w:spacing w:line="240" w:lineRule="auto"/>
              <w:ind w:firstLine="361"/>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二级指标</w:t>
            </w:r>
          </w:p>
        </w:tc>
        <w:tc>
          <w:tcPr>
            <w:tcW w:w="1320" w:type="dxa"/>
            <w:tcBorders>
              <w:tl2br w:val="nil"/>
              <w:tr2bl w:val="nil"/>
            </w:tcBorders>
            <w:shd w:val="clear" w:color="auto" w:fill="auto"/>
            <w:vAlign w:val="center"/>
          </w:tcPr>
          <w:p>
            <w:pPr>
              <w:widowControl/>
              <w:spacing w:line="240" w:lineRule="auto"/>
              <w:ind w:firstLine="0" w:firstLineChars="0"/>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三级指标</w:t>
            </w:r>
          </w:p>
        </w:tc>
        <w:tc>
          <w:tcPr>
            <w:tcW w:w="4176" w:type="dxa"/>
            <w:tcBorders>
              <w:tl2br w:val="nil"/>
              <w:tr2bl w:val="nil"/>
            </w:tcBorders>
            <w:shd w:val="clear" w:color="auto" w:fill="auto"/>
            <w:vAlign w:val="center"/>
          </w:tcPr>
          <w:p>
            <w:pPr>
              <w:widowControl/>
              <w:spacing w:line="240" w:lineRule="auto"/>
              <w:ind w:firstLine="361"/>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评分标准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分值</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b/>
                <w:bCs/>
                <w:color w:val="000000"/>
                <w:sz w:val="18"/>
                <w:szCs w:val="18"/>
              </w:rPr>
            </w:pPr>
            <w:r>
              <w:rPr>
                <w:rFonts w:ascii="方正仿宋_GBK" w:hAnsi="方正仿宋_GBK" w:eastAsia="方正仿宋_GBK" w:cs="方正仿宋_GBK"/>
                <w:b/>
                <w:bCs/>
                <w:color w:val="000000"/>
                <w:kern w:val="0"/>
                <w:sz w:val="18"/>
                <w:szCs w:val="18"/>
              </w:rPr>
              <w:t>得分</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554"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经济效益</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增收情况</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①项目实施是否增加了耕地，是得2分，否则不得分。</w:t>
            </w:r>
          </w:p>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②项目实施是否增加了村社集体收入，是得2分，否则不得分。</w:t>
            </w:r>
          </w:p>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③项目实施是否增加了受益农户的收入，是得1分，否则不得分。</w:t>
            </w:r>
          </w:p>
        </w:tc>
        <w:tc>
          <w:tcPr>
            <w:tcW w:w="756"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c>
          <w:tcPr>
            <w:tcW w:w="761"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5</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社会效益</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社会效益综合影响</w:t>
            </w:r>
          </w:p>
        </w:tc>
        <w:tc>
          <w:tcPr>
            <w:tcW w:w="417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宋体" w:hAnsi="宋体" w:cs="宋体"/>
                <w:color w:val="000000"/>
                <w:kern w:val="0"/>
                <w:sz w:val="20"/>
              </w:rPr>
              <w:t>①</w:t>
            </w:r>
            <w:r>
              <w:rPr>
                <w:rFonts w:hint="eastAsia" w:ascii="方正仿宋_GBK" w:hAnsi="方正仿宋_GBK" w:eastAsia="方正仿宋_GBK" w:cs="方正仿宋_GBK"/>
                <w:color w:val="000000"/>
                <w:kern w:val="0"/>
                <w:sz w:val="18"/>
                <w:szCs w:val="18"/>
              </w:rPr>
              <w:t>项目社会效益综合影响率</w:t>
            </w:r>
            <w:r>
              <w:rPr>
                <w:rFonts w:ascii="方正仿宋_GBK" w:hAnsi="方正仿宋_GBK" w:eastAsia="方正仿宋_GBK" w:cs="方正仿宋_GBK"/>
                <w:color w:val="000000"/>
                <w:kern w:val="0"/>
                <w:sz w:val="18"/>
                <w:szCs w:val="18"/>
              </w:rPr>
              <w:t>≥90%</w:t>
            </w:r>
            <w:r>
              <w:rPr>
                <w:rFonts w:hint="eastAsia" w:ascii="方正仿宋_GBK" w:hAnsi="方正仿宋_GBK" w:eastAsia="方正仿宋_GBK" w:cs="方正仿宋_GBK"/>
                <w:color w:val="000000"/>
                <w:kern w:val="0"/>
                <w:sz w:val="18"/>
                <w:szCs w:val="18"/>
              </w:rPr>
              <w:t>，得</w:t>
            </w:r>
            <w:r>
              <w:rPr>
                <w:rFonts w:ascii="方正仿宋_GBK" w:hAnsi="方正仿宋_GBK" w:eastAsia="方正仿宋_GBK" w:cs="方正仿宋_GBK"/>
                <w:color w:val="000000"/>
                <w:kern w:val="0"/>
                <w:sz w:val="18"/>
                <w:szCs w:val="18"/>
              </w:rPr>
              <w:t>8</w:t>
            </w:r>
            <w:r>
              <w:rPr>
                <w:rFonts w:hint="eastAsia" w:ascii="方正仿宋_GBK" w:hAnsi="方正仿宋_GBK" w:eastAsia="方正仿宋_GBK" w:cs="方正仿宋_GBK"/>
                <w:color w:val="000000"/>
                <w:kern w:val="0"/>
                <w:sz w:val="18"/>
                <w:szCs w:val="18"/>
              </w:rPr>
              <w:t>分。</w:t>
            </w:r>
          </w:p>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②项目社会效益综合影响率</w:t>
            </w:r>
            <w:r>
              <w:rPr>
                <w:rFonts w:ascii="方正仿宋_GBK" w:hAnsi="方正仿宋_GBK" w:eastAsia="方正仿宋_GBK" w:cs="方正仿宋_GBK"/>
                <w:color w:val="000000"/>
                <w:kern w:val="0"/>
                <w:sz w:val="18"/>
                <w:szCs w:val="18"/>
              </w:rPr>
              <w:t>&lt;90%</w:t>
            </w:r>
            <w:r>
              <w:rPr>
                <w:rFonts w:hint="eastAsia" w:ascii="方正仿宋_GBK" w:hAnsi="方正仿宋_GBK" w:eastAsia="方正仿宋_GBK" w:cs="方正仿宋_GBK"/>
                <w:color w:val="000000"/>
                <w:kern w:val="0"/>
                <w:sz w:val="18"/>
                <w:szCs w:val="18"/>
              </w:rPr>
              <w:t>，且</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，得分</w:t>
            </w:r>
            <w:r>
              <w:rPr>
                <w:rFonts w:ascii="方正仿宋_GBK" w:hAnsi="方正仿宋_GBK" w:eastAsia="方正仿宋_GBK" w:cs="方正仿宋_GBK"/>
                <w:color w:val="000000"/>
                <w:kern w:val="0"/>
                <w:sz w:val="18"/>
                <w:szCs w:val="18"/>
              </w:rPr>
              <w:t>=(</w:t>
            </w:r>
            <w:r>
              <w:rPr>
                <w:rFonts w:hint="eastAsia" w:ascii="方正仿宋_GBK" w:hAnsi="方正仿宋_GBK" w:eastAsia="方正仿宋_GBK" w:cs="方正仿宋_GBK"/>
                <w:color w:val="000000"/>
                <w:kern w:val="0"/>
                <w:sz w:val="18"/>
                <w:szCs w:val="18"/>
              </w:rPr>
              <w:t>项目社会效益综合影响率</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90%-80%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*8</w:t>
            </w:r>
            <w:r>
              <w:rPr>
                <w:rFonts w:hint="eastAsia" w:ascii="方正仿宋_GBK" w:hAnsi="方正仿宋_GBK" w:eastAsia="方正仿宋_GBK" w:cs="方正仿宋_GBK"/>
                <w:color w:val="000000"/>
                <w:kern w:val="0"/>
                <w:sz w:val="18"/>
                <w:szCs w:val="18"/>
              </w:rPr>
              <w:t>。</w:t>
            </w:r>
          </w:p>
          <w:p>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color w:val="000000"/>
                <w:kern w:val="0"/>
                <w:sz w:val="18"/>
                <w:szCs w:val="18"/>
              </w:rPr>
              <w:t>③项目社会效益综合影响率</w:t>
            </w:r>
            <w:r>
              <w:rPr>
                <w:rFonts w:ascii="方正仿宋_GBK" w:hAnsi="方正仿宋_GBK" w:eastAsia="方正仿宋_GBK" w:cs="方正仿宋_GBK"/>
                <w:color w:val="000000"/>
                <w:kern w:val="0"/>
                <w:sz w:val="18"/>
                <w:szCs w:val="18"/>
              </w:rPr>
              <w:t>&lt;80%</w:t>
            </w:r>
            <w:r>
              <w:rPr>
                <w:rFonts w:hint="eastAsia" w:ascii="方正仿宋_GBK" w:hAnsi="方正仿宋_GBK" w:eastAsia="方正仿宋_GBK" w:cs="方正仿宋_GBK"/>
                <w:color w:val="000000"/>
                <w:kern w:val="0"/>
                <w:sz w:val="18"/>
                <w:szCs w:val="18"/>
              </w:rPr>
              <w:t>，不得分</w:t>
            </w:r>
            <w:r>
              <w:rPr>
                <w:rFonts w:hint="eastAsia" w:ascii="宋体" w:hAnsi="宋体" w:cs="宋体"/>
                <w:color w:val="000000"/>
                <w:kern w:val="0"/>
                <w:sz w:val="20"/>
              </w:rPr>
              <w:t>。</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8</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8</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363" w:type="dxa"/>
            <w:vMerge w:val="restart"/>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生态效益</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施工影响</w:t>
            </w:r>
          </w:p>
        </w:tc>
        <w:tc>
          <w:tcPr>
            <w:tcW w:w="417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①施工影响率</w:t>
            </w:r>
            <w:r>
              <w:rPr>
                <w:rFonts w:ascii="方正仿宋_GBK" w:hAnsi="方正仿宋_GBK" w:eastAsia="方正仿宋_GBK" w:cs="方正仿宋_GBK"/>
                <w:color w:val="000000"/>
                <w:kern w:val="0"/>
                <w:sz w:val="18"/>
                <w:szCs w:val="18"/>
              </w:rPr>
              <w:t>≤10%</w:t>
            </w:r>
            <w:r>
              <w:rPr>
                <w:rFonts w:hint="eastAsia" w:ascii="方正仿宋_GBK" w:hAnsi="方正仿宋_GBK" w:eastAsia="方正仿宋_GBK" w:cs="方正仿宋_GBK"/>
                <w:color w:val="000000"/>
                <w:kern w:val="0"/>
                <w:sz w:val="18"/>
                <w:szCs w:val="18"/>
              </w:rPr>
              <w:t>，得</w:t>
            </w:r>
            <w:r>
              <w:rPr>
                <w:rFonts w:ascii="方正仿宋_GBK" w:hAnsi="方正仿宋_GBK" w:eastAsia="方正仿宋_GBK" w:cs="方正仿宋_GBK"/>
                <w:color w:val="000000"/>
                <w:kern w:val="0"/>
                <w:sz w:val="18"/>
                <w:szCs w:val="18"/>
              </w:rPr>
              <w:t>2</w:t>
            </w:r>
            <w:r>
              <w:rPr>
                <w:rFonts w:hint="eastAsia" w:ascii="方正仿宋_GBK" w:hAnsi="方正仿宋_GBK" w:eastAsia="方正仿宋_GBK" w:cs="方正仿宋_GBK"/>
                <w:color w:val="000000"/>
                <w:kern w:val="0"/>
                <w:sz w:val="18"/>
                <w:szCs w:val="18"/>
              </w:rPr>
              <w:t>分。</w:t>
            </w:r>
          </w:p>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②施工影响率</w:t>
            </w:r>
            <w:r>
              <w:rPr>
                <w:rFonts w:ascii="方正仿宋_GBK" w:hAnsi="方正仿宋_GBK" w:eastAsia="方正仿宋_GBK" w:cs="方正仿宋_GBK"/>
                <w:color w:val="000000"/>
                <w:kern w:val="0"/>
                <w:sz w:val="18"/>
                <w:szCs w:val="18"/>
              </w:rPr>
              <w:t>&lt;20%</w:t>
            </w:r>
            <w:r>
              <w:rPr>
                <w:rFonts w:hint="eastAsia" w:ascii="方正仿宋_GBK" w:hAnsi="方正仿宋_GBK" w:eastAsia="方正仿宋_GBK" w:cs="方正仿宋_GBK"/>
                <w:color w:val="000000"/>
                <w:kern w:val="0"/>
                <w:sz w:val="18"/>
                <w:szCs w:val="18"/>
              </w:rPr>
              <w:t>，且大于</w:t>
            </w:r>
            <w:r>
              <w:rPr>
                <w:rFonts w:ascii="方正仿宋_GBK" w:hAnsi="方正仿宋_GBK" w:eastAsia="方正仿宋_GBK" w:cs="方正仿宋_GBK"/>
                <w:color w:val="000000"/>
                <w:kern w:val="0"/>
                <w:sz w:val="18"/>
                <w:szCs w:val="18"/>
              </w:rPr>
              <w:t>10%</w:t>
            </w:r>
            <w:r>
              <w:rPr>
                <w:rFonts w:hint="eastAsia" w:ascii="方正仿宋_GBK" w:hAnsi="方正仿宋_GBK" w:eastAsia="方正仿宋_GBK" w:cs="方正仿宋_GBK"/>
                <w:color w:val="000000"/>
                <w:kern w:val="0"/>
                <w:sz w:val="18"/>
                <w:szCs w:val="18"/>
              </w:rPr>
              <w:t>，得分</w:t>
            </w:r>
            <w:r>
              <w:rPr>
                <w:rFonts w:ascii="方正仿宋_GBK" w:hAnsi="方正仿宋_GBK" w:eastAsia="方正仿宋_GBK" w:cs="方正仿宋_GBK"/>
                <w:color w:val="000000"/>
                <w:kern w:val="0"/>
                <w:sz w:val="18"/>
                <w:szCs w:val="18"/>
              </w:rPr>
              <w:t>=(20%-</w:t>
            </w:r>
            <w:r>
              <w:rPr>
                <w:rFonts w:hint="eastAsia" w:ascii="方正仿宋_GBK" w:hAnsi="方正仿宋_GBK" w:eastAsia="方正仿宋_GBK" w:cs="方正仿宋_GBK"/>
                <w:color w:val="000000"/>
                <w:kern w:val="0"/>
                <w:sz w:val="18"/>
                <w:szCs w:val="18"/>
              </w:rPr>
              <w:t>施工影响率</w:t>
            </w:r>
            <w:r>
              <w:rPr>
                <w:rFonts w:ascii="方正仿宋_GBK" w:hAnsi="方正仿宋_GBK" w:eastAsia="方正仿宋_GBK" w:cs="方正仿宋_GBK"/>
                <w:color w:val="000000"/>
                <w:kern w:val="0"/>
                <w:sz w:val="18"/>
                <w:szCs w:val="18"/>
              </w:rPr>
              <w:t>)/</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20%-10%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*2</w:t>
            </w:r>
            <w:r>
              <w:rPr>
                <w:rFonts w:hint="eastAsia" w:ascii="方正仿宋_GBK" w:hAnsi="方正仿宋_GBK" w:eastAsia="方正仿宋_GBK" w:cs="方正仿宋_GBK"/>
                <w:color w:val="000000"/>
                <w:kern w:val="0"/>
                <w:sz w:val="18"/>
                <w:szCs w:val="18"/>
              </w:rPr>
              <w:t>。</w:t>
            </w:r>
          </w:p>
          <w:p>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color w:val="000000"/>
                <w:kern w:val="0"/>
                <w:sz w:val="18"/>
                <w:szCs w:val="18"/>
              </w:rPr>
              <w:t>③施工影响率</w:t>
            </w:r>
            <w:r>
              <w:rPr>
                <w:rFonts w:ascii="方正仿宋_GBK" w:hAnsi="方正仿宋_GBK" w:eastAsia="方正仿宋_GBK" w:cs="方正仿宋_GBK"/>
                <w:color w:val="000000"/>
                <w:kern w:val="0"/>
                <w:sz w:val="18"/>
                <w:szCs w:val="18"/>
              </w:rPr>
              <w:t>≥20%</w:t>
            </w:r>
            <w:r>
              <w:rPr>
                <w:rFonts w:hint="eastAsia" w:ascii="方正仿宋_GBK" w:hAnsi="方正仿宋_GBK" w:eastAsia="方正仿宋_GBK" w:cs="方正仿宋_GBK"/>
                <w:color w:val="000000"/>
                <w:kern w:val="0"/>
                <w:sz w:val="18"/>
                <w:szCs w:val="18"/>
              </w:rPr>
              <w:t>，不得分</w:t>
            </w:r>
            <w:r>
              <w:rPr>
                <w:rFonts w:hint="eastAsia" w:ascii="宋体" w:hAnsi="宋体" w:cs="宋体"/>
                <w:color w:val="000000"/>
                <w:kern w:val="0"/>
                <w:sz w:val="20"/>
              </w:rPr>
              <w:t>。</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26" w:hRule="atLeast"/>
        </w:trPr>
        <w:tc>
          <w:tcPr>
            <w:tcW w:w="1363" w:type="dxa"/>
            <w:vMerge w:val="continue"/>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kern w:val="0"/>
                <w:sz w:val="18"/>
                <w:szCs w:val="18"/>
              </w:rPr>
            </w:pP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环境改善</w:t>
            </w:r>
          </w:p>
        </w:tc>
        <w:tc>
          <w:tcPr>
            <w:tcW w:w="417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①环境改善率</w:t>
            </w:r>
            <w:r>
              <w:rPr>
                <w:rFonts w:ascii="方正仿宋_GBK" w:hAnsi="方正仿宋_GBK" w:eastAsia="方正仿宋_GBK" w:cs="方正仿宋_GBK"/>
                <w:color w:val="000000"/>
                <w:kern w:val="0"/>
                <w:sz w:val="18"/>
                <w:szCs w:val="18"/>
              </w:rPr>
              <w:t>≥90%</w:t>
            </w:r>
            <w:r>
              <w:rPr>
                <w:rFonts w:hint="eastAsia" w:ascii="方正仿宋_GBK" w:hAnsi="方正仿宋_GBK" w:eastAsia="方正仿宋_GBK" w:cs="方正仿宋_GBK"/>
                <w:color w:val="000000"/>
                <w:kern w:val="0"/>
                <w:sz w:val="18"/>
                <w:szCs w:val="18"/>
              </w:rPr>
              <w:t>，得</w:t>
            </w:r>
            <w:r>
              <w:rPr>
                <w:rFonts w:ascii="方正仿宋_GBK" w:hAnsi="方正仿宋_GBK" w:eastAsia="方正仿宋_GBK" w:cs="方正仿宋_GBK"/>
                <w:color w:val="000000"/>
                <w:kern w:val="0"/>
                <w:sz w:val="18"/>
                <w:szCs w:val="18"/>
              </w:rPr>
              <w:t>3</w:t>
            </w:r>
            <w:r>
              <w:rPr>
                <w:rFonts w:hint="eastAsia" w:ascii="方正仿宋_GBK" w:hAnsi="方正仿宋_GBK" w:eastAsia="方正仿宋_GBK" w:cs="方正仿宋_GBK"/>
                <w:color w:val="000000"/>
                <w:kern w:val="0"/>
                <w:sz w:val="18"/>
                <w:szCs w:val="18"/>
              </w:rPr>
              <w:t>分。</w:t>
            </w:r>
          </w:p>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②环境改善率</w:t>
            </w:r>
            <w:r>
              <w:rPr>
                <w:rFonts w:ascii="方正仿宋_GBK" w:hAnsi="方正仿宋_GBK" w:eastAsia="方正仿宋_GBK" w:cs="方正仿宋_GBK"/>
                <w:color w:val="000000"/>
                <w:kern w:val="0"/>
                <w:sz w:val="18"/>
                <w:szCs w:val="18"/>
              </w:rPr>
              <w:t>&lt;90%</w:t>
            </w:r>
            <w:r>
              <w:rPr>
                <w:rFonts w:hint="eastAsia" w:ascii="方正仿宋_GBK" w:hAnsi="方正仿宋_GBK" w:eastAsia="方正仿宋_GBK" w:cs="方正仿宋_GBK"/>
                <w:color w:val="000000"/>
                <w:kern w:val="0"/>
                <w:sz w:val="18"/>
                <w:szCs w:val="18"/>
              </w:rPr>
              <w:t>，且</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，得分</w:t>
            </w:r>
            <w:r>
              <w:rPr>
                <w:rFonts w:ascii="方正仿宋_GBK" w:hAnsi="方正仿宋_GBK" w:eastAsia="方正仿宋_GBK" w:cs="方正仿宋_GBK"/>
                <w:color w:val="000000"/>
                <w:kern w:val="0"/>
                <w:sz w:val="18"/>
                <w:szCs w:val="18"/>
              </w:rPr>
              <w:t>=(</w:t>
            </w:r>
            <w:r>
              <w:rPr>
                <w:rFonts w:hint="eastAsia" w:ascii="方正仿宋_GBK" w:hAnsi="方正仿宋_GBK" w:eastAsia="方正仿宋_GBK" w:cs="方正仿宋_GBK"/>
                <w:color w:val="000000"/>
                <w:kern w:val="0"/>
                <w:sz w:val="18"/>
                <w:szCs w:val="18"/>
              </w:rPr>
              <w:t>环境改善率</w:t>
            </w:r>
            <w:r>
              <w:rPr>
                <w:rFonts w:ascii="方正仿宋_GBK" w:hAnsi="方正仿宋_GBK" w:eastAsia="方正仿宋_GBK" w:cs="方正仿宋_GBK"/>
                <w:color w:val="000000"/>
                <w:kern w:val="0"/>
                <w:sz w:val="18"/>
                <w:szCs w:val="18"/>
              </w:rPr>
              <w:t>-80%)/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90%-80%</w:t>
            </w:r>
            <w:r>
              <w:rPr>
                <w:rFonts w:hint="eastAsia" w:ascii="方正仿宋_GBK" w:hAnsi="方正仿宋_GBK" w:eastAsia="方正仿宋_GBK" w:cs="方正仿宋_GBK"/>
                <w:color w:val="000000"/>
                <w:kern w:val="0"/>
                <w:sz w:val="18"/>
                <w:szCs w:val="18"/>
              </w:rPr>
              <w:t>）</w:t>
            </w:r>
            <w:r>
              <w:rPr>
                <w:rFonts w:ascii="方正仿宋_GBK" w:hAnsi="方正仿宋_GBK" w:eastAsia="方正仿宋_GBK" w:cs="方正仿宋_GBK"/>
                <w:color w:val="000000"/>
                <w:kern w:val="0"/>
                <w:sz w:val="18"/>
                <w:szCs w:val="18"/>
              </w:rPr>
              <w:t>*3</w:t>
            </w:r>
            <w:r>
              <w:rPr>
                <w:rFonts w:hint="eastAsia" w:ascii="方正仿宋_GBK" w:hAnsi="方正仿宋_GBK" w:eastAsia="方正仿宋_GBK" w:cs="方正仿宋_GBK"/>
                <w:color w:val="000000"/>
                <w:kern w:val="0"/>
                <w:sz w:val="18"/>
                <w:szCs w:val="18"/>
              </w:rPr>
              <w:t>。</w:t>
            </w:r>
          </w:p>
          <w:p>
            <w:pPr>
              <w:widowControl/>
              <w:ind w:firstLine="0" w:firstLineChars="0"/>
              <w:jc w:val="left"/>
              <w:textAlignment w:val="center"/>
              <w:rPr>
                <w:rFonts w:ascii="宋体" w:hAnsi="宋体" w:cs="宋体"/>
                <w:color w:val="000000"/>
                <w:sz w:val="20"/>
              </w:rPr>
            </w:pPr>
            <w:r>
              <w:rPr>
                <w:rFonts w:hint="eastAsia" w:ascii="方正仿宋_GBK" w:hAnsi="方正仿宋_GBK" w:eastAsia="方正仿宋_GBK" w:cs="方正仿宋_GBK"/>
                <w:color w:val="000000"/>
                <w:kern w:val="0"/>
                <w:sz w:val="18"/>
                <w:szCs w:val="18"/>
              </w:rPr>
              <w:t>③环境改善率</w:t>
            </w:r>
            <w:r>
              <w:rPr>
                <w:rFonts w:ascii="方正仿宋_GBK" w:hAnsi="方正仿宋_GBK" w:eastAsia="方正仿宋_GBK" w:cs="方正仿宋_GBK"/>
                <w:color w:val="000000"/>
                <w:kern w:val="0"/>
                <w:sz w:val="18"/>
                <w:szCs w:val="18"/>
              </w:rPr>
              <w:t>&lt;80%</w:t>
            </w:r>
            <w:r>
              <w:rPr>
                <w:rFonts w:hint="eastAsia" w:ascii="方正仿宋_GBK" w:hAnsi="方正仿宋_GBK" w:eastAsia="方正仿宋_GBK" w:cs="方正仿宋_GBK"/>
                <w:color w:val="000000"/>
                <w:kern w:val="0"/>
                <w:sz w:val="18"/>
                <w:szCs w:val="18"/>
              </w:rPr>
              <w:t>，不得分</w:t>
            </w:r>
            <w:r>
              <w:rPr>
                <w:rFonts w:hint="eastAsia" w:ascii="宋体" w:hAnsi="宋体" w:cs="宋体"/>
                <w:color w:val="000000"/>
                <w:kern w:val="0"/>
                <w:sz w:val="20"/>
              </w:rPr>
              <w:t>。</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32" w:hRule="atLeast"/>
        </w:trPr>
        <w:tc>
          <w:tcPr>
            <w:tcW w:w="1363" w:type="dxa"/>
            <w:tcBorders>
              <w:tl2br w:val="nil"/>
              <w:tr2bl w:val="nil"/>
            </w:tcBorders>
            <w:shd w:val="clear" w:color="auto" w:fill="auto"/>
            <w:noWrap/>
            <w:vAlign w:val="center"/>
          </w:tcPr>
          <w:p>
            <w:pPr>
              <w:widowControl/>
              <w:spacing w:line="240" w:lineRule="auto"/>
              <w:ind w:firstLine="0" w:firstLineChars="0"/>
              <w:jc w:val="righ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可持续影响</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长效机制</w:t>
            </w:r>
          </w:p>
        </w:tc>
        <w:tc>
          <w:tcPr>
            <w:tcW w:w="4176" w:type="dxa"/>
            <w:tcBorders>
              <w:tl2br w:val="nil"/>
              <w:tr2bl w:val="nil"/>
            </w:tcBorders>
            <w:shd w:val="clear" w:color="auto" w:fill="auto"/>
            <w:vAlign w:val="center"/>
          </w:tcPr>
          <w:p>
            <w:pPr>
              <w:widowControl/>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①建立长效机制的，得</w:t>
            </w:r>
            <w:r>
              <w:rPr>
                <w:rFonts w:ascii="方正仿宋_GBK" w:hAnsi="方正仿宋_GBK" w:eastAsia="方正仿宋_GBK" w:cs="方正仿宋_GBK"/>
                <w:color w:val="000000"/>
                <w:kern w:val="0"/>
                <w:sz w:val="18"/>
                <w:szCs w:val="18"/>
              </w:rPr>
              <w:t>1</w:t>
            </w:r>
            <w:r>
              <w:rPr>
                <w:rFonts w:hint="eastAsia" w:ascii="方正仿宋_GBK" w:hAnsi="方正仿宋_GBK" w:eastAsia="方正仿宋_GBK" w:cs="方正仿宋_GBK"/>
                <w:color w:val="000000"/>
                <w:kern w:val="0"/>
                <w:sz w:val="18"/>
                <w:szCs w:val="18"/>
              </w:rPr>
              <w:t>分，否不得分。</w:t>
            </w:r>
          </w:p>
          <w:p>
            <w:pPr>
              <w:widowControl/>
              <w:ind w:firstLine="0" w:firstLineChars="0"/>
              <w:jc w:val="left"/>
              <w:textAlignment w:val="center"/>
              <w:rPr>
                <w:color w:val="000000"/>
                <w:sz w:val="20"/>
              </w:rPr>
            </w:pPr>
            <w:r>
              <w:rPr>
                <w:rFonts w:hint="eastAsia" w:ascii="方正仿宋_GBK" w:hAnsi="方正仿宋_GBK" w:eastAsia="方正仿宋_GBK" w:cs="方正仿宋_GBK"/>
                <w:color w:val="000000"/>
                <w:kern w:val="0"/>
                <w:sz w:val="18"/>
                <w:szCs w:val="18"/>
              </w:rPr>
              <w:t>②项目实施结果持续发挥作用的，得</w:t>
            </w:r>
            <w:r>
              <w:rPr>
                <w:rFonts w:ascii="方正仿宋_GBK" w:hAnsi="方正仿宋_GBK" w:eastAsia="方正仿宋_GBK" w:cs="方正仿宋_GBK"/>
                <w:color w:val="000000"/>
                <w:kern w:val="0"/>
                <w:sz w:val="18"/>
                <w:szCs w:val="18"/>
              </w:rPr>
              <w:t>1</w:t>
            </w:r>
            <w:r>
              <w:rPr>
                <w:rFonts w:hint="eastAsia" w:ascii="方正仿宋_GBK" w:hAnsi="方正仿宋_GBK" w:eastAsia="方正仿宋_GBK" w:cs="方正仿宋_GBK"/>
                <w:color w:val="000000"/>
                <w:kern w:val="0"/>
                <w:sz w:val="18"/>
                <w:szCs w:val="18"/>
              </w:rPr>
              <w:t>分，发现一处未发挥作用的，扣</w:t>
            </w:r>
            <w:r>
              <w:rPr>
                <w:rFonts w:ascii="方正仿宋_GBK" w:hAnsi="方正仿宋_GBK" w:eastAsia="方正仿宋_GBK" w:cs="方正仿宋_GBK"/>
                <w:color w:val="000000"/>
                <w:kern w:val="0"/>
                <w:sz w:val="18"/>
                <w:szCs w:val="18"/>
              </w:rPr>
              <w:t>0.2</w:t>
            </w:r>
            <w:r>
              <w:rPr>
                <w:rFonts w:hint="eastAsia" w:ascii="方正仿宋_GBK" w:hAnsi="方正仿宋_GBK" w:eastAsia="方正仿宋_GBK" w:cs="方正仿宋_GBK"/>
                <w:color w:val="000000"/>
                <w:kern w:val="0"/>
                <w:sz w:val="18"/>
                <w:szCs w:val="18"/>
              </w:rPr>
              <w:t>分，扣完为止。</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w:t>
            </w:r>
          </w:p>
        </w:tc>
        <w:tc>
          <w:tcPr>
            <w:tcW w:w="761" w:type="dxa"/>
            <w:tcBorders>
              <w:tl2br w:val="nil"/>
              <w:tr2bl w:val="nil"/>
            </w:tcBorders>
            <w:shd w:val="clear" w:color="auto" w:fill="auto"/>
            <w:noWrap/>
            <w:vAlign w:val="center"/>
          </w:tcPr>
          <w:p>
            <w:pPr>
              <w:widowControl/>
              <w:spacing w:line="240" w:lineRule="auto"/>
              <w:ind w:firstLineChars="111"/>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672" w:hRule="atLeast"/>
        </w:trPr>
        <w:tc>
          <w:tcPr>
            <w:tcW w:w="1363" w:type="dxa"/>
            <w:tcBorders>
              <w:tl2br w:val="nil"/>
              <w:tr2bl w:val="nil"/>
            </w:tcBorders>
            <w:shd w:val="clear" w:color="auto" w:fill="auto"/>
            <w:noWrap/>
            <w:vAlign w:val="center"/>
          </w:tcPr>
          <w:p>
            <w:pPr>
              <w:widowControl/>
              <w:spacing w:line="240" w:lineRule="auto"/>
              <w:ind w:firstLine="360"/>
              <w:jc w:val="left"/>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满意度</w:t>
            </w:r>
          </w:p>
        </w:tc>
        <w:tc>
          <w:tcPr>
            <w:tcW w:w="1320"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受益对象满意度</w:t>
            </w:r>
          </w:p>
        </w:tc>
        <w:tc>
          <w:tcPr>
            <w:tcW w:w="4176" w:type="dxa"/>
            <w:tcBorders>
              <w:tl2br w:val="nil"/>
              <w:tr2bl w:val="nil"/>
            </w:tcBorders>
            <w:shd w:val="clear" w:color="auto" w:fill="auto"/>
            <w:vAlign w:val="center"/>
          </w:tcPr>
          <w:p>
            <w:pPr>
              <w:widowControl/>
              <w:spacing w:line="240" w:lineRule="auto"/>
              <w:ind w:firstLine="0" w:firstLineChars="0"/>
              <w:jc w:val="left"/>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kern w:val="0"/>
                <w:sz w:val="18"/>
                <w:szCs w:val="18"/>
              </w:rPr>
              <w:t>非常满意10分，基本满意8分，一般6分，不满意0分</w:t>
            </w: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10</w:t>
            </w:r>
          </w:p>
        </w:tc>
        <w:tc>
          <w:tcPr>
            <w:tcW w:w="761" w:type="dxa"/>
            <w:tcBorders>
              <w:tl2br w:val="nil"/>
              <w:tr2bl w:val="nil"/>
            </w:tcBorders>
            <w:shd w:val="clear" w:color="auto" w:fill="auto"/>
            <w:noWrap/>
            <w:vAlign w:val="center"/>
          </w:tcPr>
          <w:p>
            <w:pPr>
              <w:widowControl/>
              <w:spacing w:line="240" w:lineRule="auto"/>
              <w:ind w:firstLine="180" w:firstLineChars="100"/>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9.66</w:t>
            </w:r>
          </w:p>
        </w:tc>
      </w:tr>
      <w:tr>
        <w:tblPrEx>
          <w:tblBorders>
            <w:top w:val="double" w:color="000000" w:sz="4" w:space="0"/>
            <w:left w:val="none" w:color="auto" w:sz="0" w:space="0"/>
            <w:bottom w:val="double" w:color="000000" w:sz="4" w:space="0"/>
            <w:right w:val="none" w:color="auto" w:sz="0" w:space="0"/>
            <w:insideH w:val="single" w:color="000000" w:sz="4" w:space="0"/>
            <w:insideV w:val="single" w:color="000000" w:sz="4" w:space="0"/>
          </w:tblBorders>
          <w:tblCellMar>
            <w:top w:w="0" w:type="dxa"/>
            <w:left w:w="108" w:type="dxa"/>
            <w:bottom w:w="0" w:type="dxa"/>
            <w:right w:w="108" w:type="dxa"/>
          </w:tblCellMar>
        </w:tblPrEx>
        <w:trPr>
          <w:trHeight w:val="420" w:hRule="atLeast"/>
        </w:trPr>
        <w:tc>
          <w:tcPr>
            <w:tcW w:w="1363" w:type="dxa"/>
            <w:tcBorders>
              <w:tl2br w:val="nil"/>
              <w:tr2bl w:val="nil"/>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sz w:val="18"/>
                <w:szCs w:val="18"/>
              </w:rPr>
            </w:pPr>
            <w:r>
              <w:rPr>
                <w:rFonts w:ascii="方正仿宋_GBK" w:hAnsi="方正仿宋_GBK" w:eastAsia="方正仿宋_GBK" w:cs="方正仿宋_GBK"/>
                <w:color w:val="000000"/>
                <w:kern w:val="0"/>
                <w:sz w:val="18"/>
                <w:szCs w:val="18"/>
              </w:rPr>
              <w:t>小计</w:t>
            </w:r>
          </w:p>
        </w:tc>
        <w:tc>
          <w:tcPr>
            <w:tcW w:w="1320" w:type="dxa"/>
            <w:tcBorders>
              <w:tl2br w:val="nil"/>
              <w:tr2bl w:val="nil"/>
            </w:tcBorders>
            <w:shd w:val="clear" w:color="auto" w:fill="auto"/>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4176" w:type="dxa"/>
            <w:tcBorders>
              <w:tl2br w:val="nil"/>
              <w:tr2bl w:val="nil"/>
            </w:tcBorders>
            <w:shd w:val="clear" w:color="auto" w:fill="auto"/>
            <w:noWrap/>
            <w:vAlign w:val="center"/>
          </w:tcPr>
          <w:p>
            <w:pPr>
              <w:widowControl/>
              <w:spacing w:line="240" w:lineRule="auto"/>
              <w:ind w:firstLine="360"/>
              <w:jc w:val="center"/>
              <w:rPr>
                <w:rFonts w:ascii="方正仿宋_GBK" w:hAnsi="方正仿宋_GBK" w:eastAsia="方正仿宋_GBK" w:cs="方正仿宋_GBK"/>
                <w:color w:val="000000"/>
                <w:sz w:val="18"/>
                <w:szCs w:val="18"/>
              </w:rPr>
            </w:pPr>
          </w:p>
        </w:tc>
        <w:tc>
          <w:tcPr>
            <w:tcW w:w="756"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30</w:t>
            </w:r>
          </w:p>
        </w:tc>
        <w:tc>
          <w:tcPr>
            <w:tcW w:w="761" w:type="dxa"/>
            <w:tcBorders>
              <w:tl2br w:val="nil"/>
              <w:tr2bl w:val="nil"/>
            </w:tcBorders>
            <w:shd w:val="clear" w:color="auto" w:fill="auto"/>
            <w:noWrap/>
            <w:vAlign w:val="center"/>
          </w:tcPr>
          <w:p>
            <w:pPr>
              <w:widowControl/>
              <w:spacing w:line="240" w:lineRule="auto"/>
              <w:ind w:firstLine="0" w:firstLineChars="0"/>
              <w:jc w:val="center"/>
              <w:textAlignment w:val="center"/>
              <w:rPr>
                <w:rFonts w:ascii="方正仿宋_GBK" w:hAnsi="方正仿宋_GBK" w:eastAsia="方正仿宋_GBK" w:cs="方正仿宋_GBK"/>
                <w:color w:val="000000"/>
                <w:sz w:val="18"/>
                <w:szCs w:val="18"/>
              </w:rPr>
            </w:pPr>
            <w:r>
              <w:rPr>
                <w:rFonts w:hint="eastAsia" w:ascii="方正仿宋_GBK" w:hAnsi="方正仿宋_GBK" w:eastAsia="方正仿宋_GBK" w:cs="方正仿宋_GBK"/>
                <w:color w:val="000000"/>
                <w:sz w:val="18"/>
                <w:szCs w:val="18"/>
              </w:rPr>
              <w:t>28.66</w:t>
            </w:r>
          </w:p>
        </w:tc>
      </w:tr>
    </w:tbl>
    <w:p>
      <w:pPr>
        <w:snapToGrid w:val="0"/>
        <w:spacing w:line="560" w:lineRule="atLeast"/>
        <w:ind w:firstLine="560"/>
        <w:rPr>
          <w:rFonts w:ascii="宋体" w:hAnsi="宋体"/>
          <w:szCs w:val="28"/>
        </w:rPr>
      </w:pPr>
      <w:r>
        <w:rPr>
          <w:rFonts w:hint="eastAsia" w:ascii="宋体" w:hAnsi="宋体"/>
          <w:szCs w:val="28"/>
        </w:rPr>
        <w:t>1.增收情况标准分值为5分。2023年完工的16个项目，新增耕地3594.35亩（包括水田），新增粮食产能3111.805吨，将使项目所在村社和农户受益，增加集体和个人收入。根据问卷调查，160份问卷均不同程度地反映项目实施有助于集体和家庭收入增加。经综合评价本项得5分。</w:t>
      </w:r>
    </w:p>
    <w:p>
      <w:pPr>
        <w:snapToGrid w:val="0"/>
        <w:spacing w:line="560" w:lineRule="atLeast"/>
        <w:ind w:firstLine="560"/>
        <w:rPr>
          <w:rFonts w:ascii="宋体" w:hAnsi="宋体"/>
          <w:szCs w:val="28"/>
        </w:rPr>
      </w:pPr>
      <w:r>
        <w:rPr>
          <w:rFonts w:hint="eastAsia" w:ascii="宋体" w:hAnsi="宋体"/>
          <w:szCs w:val="28"/>
        </w:rPr>
        <w:t>2.社会效益综合影响标准分值为8分。160份调查问卷，反映项目实施对田块规整有改善的160份，反映道路有改善的160份，反映农田基础设施完善度有提高的160份，项目社会效益综合影响率为100%。经综合评价该项得8分。</w:t>
      </w:r>
    </w:p>
    <w:p>
      <w:pPr>
        <w:snapToGrid w:val="0"/>
        <w:spacing w:line="560" w:lineRule="atLeast"/>
        <w:ind w:firstLine="560"/>
        <w:rPr>
          <w:rFonts w:ascii="宋体" w:hAnsi="宋体"/>
          <w:szCs w:val="28"/>
        </w:rPr>
      </w:pPr>
      <w:r>
        <w:rPr>
          <w:rFonts w:ascii="宋体" w:hAnsi="宋体"/>
          <w:szCs w:val="28"/>
        </w:rPr>
        <w:t>3</w:t>
      </w:r>
      <w:r>
        <w:rPr>
          <w:rFonts w:hint="eastAsia" w:ascii="宋体" w:hAnsi="宋体"/>
          <w:szCs w:val="28"/>
        </w:rPr>
        <w:t>.施工影响标准分值为2分。160份调查问卷，反映项目实施对当地居民的生产生活影响基本没有影响137份，有点影响10份，影响不大12份，影响很大1份。经综合评价该项得2分。</w:t>
      </w:r>
    </w:p>
    <w:p>
      <w:pPr>
        <w:snapToGrid w:val="0"/>
        <w:spacing w:line="560" w:lineRule="atLeast"/>
        <w:ind w:firstLine="560"/>
        <w:rPr>
          <w:rFonts w:ascii="宋体" w:hAnsi="宋体"/>
          <w:szCs w:val="28"/>
        </w:rPr>
      </w:pPr>
      <w:r>
        <w:rPr>
          <w:rFonts w:hint="eastAsia" w:ascii="宋体" w:hAnsi="宋体"/>
          <w:szCs w:val="28"/>
        </w:rPr>
        <w:t>4.环境改善标准分值为3分。160份调查问卷，项目完成后对项目所在农村的景观与面貌有改善问卷160份，环境改善率为100%。经综合评价该项得3分。</w:t>
      </w:r>
    </w:p>
    <w:p>
      <w:pPr>
        <w:snapToGrid w:val="0"/>
        <w:spacing w:line="560" w:lineRule="atLeast"/>
        <w:ind w:firstLine="560"/>
        <w:rPr>
          <w:rFonts w:ascii="宋体" w:hAnsi="宋体"/>
          <w:szCs w:val="28"/>
        </w:rPr>
      </w:pPr>
      <w:r>
        <w:rPr>
          <w:rFonts w:hint="eastAsia" w:ascii="宋体" w:hAnsi="宋体"/>
          <w:szCs w:val="28"/>
        </w:rPr>
        <w:t>5.长效机制标准分值为2分。《铜梁区农村土地整治项目施工管理办法</w:t>
      </w:r>
      <w:r>
        <w:rPr>
          <w:rFonts w:hint="eastAsia" w:ascii="宋体" w:hAnsi="宋体"/>
          <w:szCs w:val="28"/>
          <w:lang w:eastAsia="zh-CN"/>
        </w:rPr>
        <w:t>（试行）》</w:t>
      </w:r>
      <w:r>
        <w:rPr>
          <w:rFonts w:hint="eastAsia" w:ascii="宋体" w:hAnsi="宋体"/>
          <w:szCs w:val="28"/>
        </w:rPr>
        <w:t>第九条规定了工程质保及后期管理，要求“项目质保到期后，项目所在地镇、村、社项目监管代表，应对项目工程质量实地检查，出具是否合格的结论意见。项目竣工验收合格后，项目管护责任交由项目所在地集体经济组织，项目所在镇街应与项目所在村、社逐级签订后期管护协议、明确管护责任”，根据调查问卷，永嘉镇万年村村民反映沟渠关不住水,永嘉镇和益村村民反映土地整理质量差。扣1分。经综合评价本项目得1分。</w:t>
      </w:r>
    </w:p>
    <w:p>
      <w:pPr>
        <w:snapToGrid w:val="0"/>
        <w:spacing w:line="560" w:lineRule="atLeast"/>
        <w:ind w:firstLine="560"/>
        <w:rPr>
          <w:rFonts w:ascii="宋体" w:hAnsi="宋体"/>
          <w:szCs w:val="28"/>
        </w:rPr>
      </w:pPr>
      <w:r>
        <w:rPr>
          <w:rFonts w:hint="eastAsia" w:ascii="宋体" w:hAnsi="宋体"/>
          <w:szCs w:val="28"/>
        </w:rPr>
        <w:t>6.受益对象满意度标准分值为10分。本次绩效评价取得调查问卷160份，对土地整理项目表示满意的140份，比较满意的16份，一般3份，不满意的1份。经综合评价本项目得9.66分。</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四、绩效评价综述</w:t>
      </w:r>
    </w:p>
    <w:p>
      <w:pPr>
        <w:snapToGrid w:val="0"/>
        <w:spacing w:line="560" w:lineRule="atLeast"/>
        <w:ind w:firstLine="560"/>
        <w:rPr>
          <w:rFonts w:ascii="宋体" w:hAnsi="宋体"/>
          <w:szCs w:val="28"/>
        </w:rPr>
      </w:pPr>
      <w:r>
        <w:rPr>
          <w:rFonts w:hint="eastAsia" w:ascii="宋体" w:hAnsi="宋体"/>
          <w:szCs w:val="28"/>
        </w:rPr>
        <w:t>根据我们设定的绩效目标，铜梁区土地整理项目绩效评价得分为83.41分，绩效评价等级为：良，各项指标得分情况如下：</w:t>
      </w:r>
    </w:p>
    <w:tbl>
      <w:tblPr>
        <w:tblStyle w:val="18"/>
        <w:tblW w:w="8362" w:type="dxa"/>
        <w:jc w:val="center"/>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Layout w:type="fixed"/>
        <w:tblCellMar>
          <w:top w:w="0" w:type="dxa"/>
          <w:left w:w="28" w:type="dxa"/>
          <w:bottom w:w="0" w:type="dxa"/>
          <w:right w:w="28" w:type="dxa"/>
        </w:tblCellMar>
      </w:tblPr>
      <w:tblGrid>
        <w:gridCol w:w="1392"/>
        <w:gridCol w:w="1395"/>
        <w:gridCol w:w="1395"/>
        <w:gridCol w:w="1393"/>
        <w:gridCol w:w="1395"/>
        <w:gridCol w:w="1392"/>
      </w:tblGrid>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cantSplit/>
          <w:trHeight w:val="340" w:hRule="atLeast"/>
          <w:jc w:val="center"/>
        </w:trPr>
        <w:tc>
          <w:tcPr>
            <w:tcW w:w="1392" w:type="dxa"/>
            <w:tcBorders>
              <w:top w:val="doub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项目</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投入指标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管理指标</w:t>
            </w:r>
          </w:p>
        </w:tc>
        <w:tc>
          <w:tcPr>
            <w:tcW w:w="1393"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产出指标</w:t>
            </w:r>
          </w:p>
        </w:tc>
        <w:tc>
          <w:tcPr>
            <w:tcW w:w="1395" w:type="dxa"/>
            <w:tcBorders>
              <w:top w:val="double" w:color="auto" w:sz="4" w:space="0"/>
              <w:left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效果指标</w:t>
            </w:r>
          </w:p>
        </w:tc>
        <w:tc>
          <w:tcPr>
            <w:tcW w:w="1392" w:type="dxa"/>
            <w:tcBorders>
              <w:top w:val="double" w:color="auto" w:sz="4" w:space="0"/>
              <w:left w:val="single" w:color="auto" w:sz="4" w:space="0"/>
              <w:bottom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合计</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cantSplit/>
          <w:trHeight w:val="340" w:hRule="atLeast"/>
          <w:jc w:val="center"/>
        </w:trPr>
        <w:tc>
          <w:tcPr>
            <w:tcW w:w="1392" w:type="dxa"/>
            <w:tcBorders>
              <w:top w:val="single" w:color="auto" w:sz="4" w:space="0"/>
              <w:bottom w:val="sing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标准分</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20.00</w:t>
            </w:r>
          </w:p>
        </w:tc>
        <w:tc>
          <w:tcPr>
            <w:tcW w:w="139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30.00</w:t>
            </w:r>
          </w:p>
        </w:tc>
        <w:tc>
          <w:tcPr>
            <w:tcW w:w="1395"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30.00</w:t>
            </w:r>
          </w:p>
        </w:tc>
        <w:tc>
          <w:tcPr>
            <w:tcW w:w="1392" w:type="dxa"/>
            <w:tcBorders>
              <w:top w:val="single" w:color="auto" w:sz="4" w:space="0"/>
              <w:left w:val="single" w:color="auto" w:sz="4" w:space="0"/>
              <w:bottom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100.00</w:t>
            </w:r>
          </w:p>
        </w:tc>
      </w:tr>
      <w:tr>
        <w:tblPrEx>
          <w:tblBorders>
            <w:top w:val="single" w:color="auto" w:sz="12" w:space="0"/>
            <w:left w:val="none" w:color="auto" w:sz="0" w:space="0"/>
            <w:bottom w:val="single" w:color="auto" w:sz="12" w:space="0"/>
            <w:right w:val="none" w:color="auto" w:sz="0" w:space="0"/>
            <w:insideH w:val="dotted" w:color="auto" w:sz="4" w:space="0"/>
            <w:insideV w:val="dotted" w:color="auto" w:sz="4" w:space="0"/>
          </w:tblBorders>
          <w:tblCellMar>
            <w:top w:w="0" w:type="dxa"/>
            <w:left w:w="28" w:type="dxa"/>
            <w:bottom w:w="0" w:type="dxa"/>
            <w:right w:w="28" w:type="dxa"/>
          </w:tblCellMar>
        </w:tblPrEx>
        <w:trPr>
          <w:cantSplit/>
          <w:trHeight w:val="340" w:hRule="atLeast"/>
          <w:jc w:val="center"/>
        </w:trPr>
        <w:tc>
          <w:tcPr>
            <w:tcW w:w="1392" w:type="dxa"/>
            <w:tcBorders>
              <w:top w:val="single" w:color="auto" w:sz="4" w:space="0"/>
              <w:bottom w:val="double" w:color="auto" w:sz="4" w:space="0"/>
              <w:right w:val="single" w:color="auto" w:sz="4" w:space="0"/>
            </w:tcBorders>
            <w:shd w:val="clear" w:color="auto" w:fill="auto"/>
            <w:noWrap/>
            <w:vAlign w:val="center"/>
          </w:tcPr>
          <w:p>
            <w:pPr>
              <w:widowControl/>
              <w:snapToGrid w:val="0"/>
              <w:spacing w:line="240" w:lineRule="auto"/>
              <w:ind w:left="17" w:right="17" w:firstLine="6" w:firstLineChars="3"/>
              <w:jc w:val="center"/>
              <w:rPr>
                <w:rFonts w:ascii="Arial Narrow" w:hAnsi="宋体" w:cs="宋体"/>
                <w:color w:val="000000"/>
                <w:kern w:val="0"/>
                <w:sz w:val="21"/>
                <w:szCs w:val="32"/>
              </w:rPr>
            </w:pPr>
            <w:r>
              <w:rPr>
                <w:rFonts w:hint="eastAsia" w:ascii="Arial Narrow" w:hAnsi="宋体" w:cs="宋体"/>
                <w:color w:val="000000"/>
                <w:kern w:val="0"/>
                <w:sz w:val="21"/>
                <w:szCs w:val="32"/>
              </w:rPr>
              <w:t>得分</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10.75</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19.00</w:t>
            </w:r>
          </w:p>
        </w:tc>
        <w:tc>
          <w:tcPr>
            <w:tcW w:w="1393"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25.00</w:t>
            </w:r>
          </w:p>
        </w:tc>
        <w:tc>
          <w:tcPr>
            <w:tcW w:w="1395" w:type="dxa"/>
            <w:tcBorders>
              <w:top w:val="single" w:color="auto" w:sz="4" w:space="0"/>
              <w:left w:val="single" w:color="auto" w:sz="4" w:space="0"/>
              <w:bottom w:val="double" w:color="auto" w:sz="4" w:space="0"/>
              <w:right w:val="sing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28.66</w:t>
            </w:r>
          </w:p>
        </w:tc>
        <w:tc>
          <w:tcPr>
            <w:tcW w:w="1392" w:type="dxa"/>
            <w:tcBorders>
              <w:top w:val="single" w:color="auto" w:sz="4" w:space="0"/>
              <w:left w:val="single" w:color="auto" w:sz="4" w:space="0"/>
              <w:bottom w:val="double" w:color="auto" w:sz="4" w:space="0"/>
            </w:tcBorders>
            <w:shd w:val="clear" w:color="auto" w:fill="auto"/>
            <w:noWrap/>
            <w:vAlign w:val="center"/>
          </w:tcPr>
          <w:p>
            <w:pPr>
              <w:widowControl/>
              <w:spacing w:line="240" w:lineRule="auto"/>
              <w:ind w:firstLine="360"/>
              <w:jc w:val="center"/>
              <w:textAlignment w:val="center"/>
              <w:rPr>
                <w:rFonts w:ascii="方正仿宋_GBK" w:hAnsi="方正仿宋_GBK" w:eastAsia="方正仿宋_GBK" w:cs="方正仿宋_GBK"/>
                <w:color w:val="000000"/>
                <w:kern w:val="0"/>
                <w:sz w:val="18"/>
                <w:szCs w:val="18"/>
              </w:rPr>
            </w:pPr>
            <w:r>
              <w:rPr>
                <w:rFonts w:hint="eastAsia" w:ascii="方正仿宋_GBK" w:hAnsi="方正仿宋_GBK" w:eastAsia="方正仿宋_GBK" w:cs="方正仿宋_GBK"/>
                <w:color w:val="000000"/>
                <w:kern w:val="0"/>
                <w:sz w:val="18"/>
                <w:szCs w:val="18"/>
              </w:rPr>
              <w:t>83.41</w:t>
            </w:r>
          </w:p>
        </w:tc>
      </w:tr>
    </w:tbl>
    <w:p>
      <w:pPr>
        <w:snapToGrid w:val="0"/>
        <w:spacing w:line="560" w:lineRule="atLeast"/>
        <w:ind w:firstLine="560"/>
        <w:rPr>
          <w:rFonts w:ascii="宋体" w:hAnsi="宋体"/>
          <w:szCs w:val="28"/>
        </w:rPr>
      </w:pPr>
      <w:r>
        <w:rPr>
          <w:rFonts w:hint="eastAsia" w:ascii="宋体" w:hAnsi="宋体"/>
          <w:szCs w:val="28"/>
        </w:rPr>
        <w:t>注：详见铜梁区土地整理项目绩效评价指标表。</w:t>
      </w:r>
    </w:p>
    <w:p>
      <w:pPr>
        <w:pStyle w:val="25"/>
        <w:snapToGrid w:val="0"/>
        <w:spacing w:line="560" w:lineRule="exact"/>
        <w:ind w:left="562" w:firstLine="0" w:firstLineChars="0"/>
        <w:outlineLvl w:val="0"/>
        <w:rPr>
          <w:rFonts w:ascii="宋体" w:hAnsi="宋体"/>
          <w:b/>
          <w:szCs w:val="28"/>
        </w:rPr>
      </w:pPr>
      <w:r>
        <w:rPr>
          <w:rFonts w:hint="eastAsia" w:ascii="宋体" w:hAnsi="宋体"/>
          <w:b/>
          <w:szCs w:val="28"/>
        </w:rPr>
        <w:t>五、存在的主要问题及建议</w:t>
      </w:r>
    </w:p>
    <w:p>
      <w:pPr>
        <w:snapToGrid w:val="0"/>
        <w:spacing w:line="560" w:lineRule="atLeast"/>
        <w:ind w:firstLine="560"/>
        <w:rPr>
          <w:rFonts w:ascii="宋体" w:hAnsi="宋体"/>
          <w:szCs w:val="28"/>
        </w:rPr>
      </w:pPr>
      <w:r>
        <w:rPr>
          <w:rFonts w:hint="eastAsia" w:ascii="宋体" w:hAnsi="宋体"/>
          <w:szCs w:val="28"/>
        </w:rPr>
        <w:t>1.超标准修建田间道路。据现场查勘，铜发改委审[2022]663号批准石鱼镇兴红村新建田间道路3.5m宽</w:t>
      </w:r>
      <w:r>
        <w:rPr>
          <w:rFonts w:hint="eastAsia" w:ascii="宋体" w:hAnsi="宋体"/>
          <w:szCs w:val="28"/>
          <w:lang w:eastAsia="zh-CN"/>
        </w:rPr>
        <w:t>，</w:t>
      </w:r>
      <w:r>
        <w:rPr>
          <w:rFonts w:hint="eastAsia" w:ascii="宋体" w:hAnsi="宋体"/>
          <w:szCs w:val="28"/>
        </w:rPr>
        <w:t>690m</w:t>
      </w:r>
      <w:r>
        <w:rPr>
          <w:rFonts w:hint="eastAsia" w:ascii="宋体" w:hAnsi="宋体"/>
          <w:szCs w:val="28"/>
          <w:lang w:eastAsia="zh-CN"/>
        </w:rPr>
        <w:t>长</w:t>
      </w:r>
      <w:r>
        <w:rPr>
          <w:rFonts w:hint="eastAsia" w:ascii="宋体" w:hAnsi="宋体"/>
          <w:szCs w:val="28"/>
        </w:rPr>
        <w:t>，实际建成4.5m宽</w:t>
      </w:r>
      <w:r>
        <w:rPr>
          <w:rFonts w:hint="eastAsia" w:ascii="宋体" w:hAnsi="宋体"/>
          <w:szCs w:val="28"/>
          <w:lang w:eastAsia="zh-CN"/>
        </w:rPr>
        <w:t>，</w:t>
      </w:r>
      <w:r>
        <w:rPr>
          <w:rFonts w:hint="eastAsia" w:ascii="宋体" w:hAnsi="宋体"/>
          <w:szCs w:val="28"/>
        </w:rPr>
        <w:t>480m</w:t>
      </w:r>
      <w:r>
        <w:rPr>
          <w:rFonts w:hint="eastAsia" w:ascii="宋体" w:hAnsi="宋体"/>
          <w:szCs w:val="28"/>
          <w:lang w:eastAsia="zh-CN"/>
        </w:rPr>
        <w:t>长</w:t>
      </w:r>
      <w:r>
        <w:rPr>
          <w:rFonts w:hint="eastAsia" w:ascii="宋体" w:hAnsi="宋体"/>
          <w:szCs w:val="28"/>
        </w:rPr>
        <w:t>，田间道路建成了公路；铜发改委审[2022]666号批准永嘉镇蓝山村新建田间道路3.0m宽，实际建成3.5m宽。</w:t>
      </w:r>
    </w:p>
    <w:p>
      <w:pPr>
        <w:snapToGrid w:val="0"/>
        <w:spacing w:line="560" w:lineRule="atLeast"/>
        <w:ind w:firstLine="560"/>
        <w:rPr>
          <w:rFonts w:ascii="宋体" w:hAnsi="宋体"/>
          <w:szCs w:val="28"/>
        </w:rPr>
      </w:pPr>
      <w:r>
        <w:rPr>
          <w:rFonts w:hint="eastAsia" w:ascii="宋体" w:hAnsi="宋体"/>
          <w:szCs w:val="28"/>
        </w:rPr>
        <w:t>建议在以后建设项目中，严格按批准的内容及标准实施。</w:t>
      </w:r>
    </w:p>
    <w:p>
      <w:pPr>
        <w:snapToGrid w:val="0"/>
        <w:spacing w:line="560" w:lineRule="atLeast"/>
        <w:ind w:firstLine="560"/>
        <w:rPr>
          <w:rFonts w:ascii="宋体" w:hAnsi="宋体"/>
          <w:szCs w:val="28"/>
        </w:rPr>
      </w:pPr>
      <w:r>
        <w:rPr>
          <w:rFonts w:hint="eastAsia" w:ascii="宋体" w:hAnsi="宋体"/>
          <w:szCs w:val="28"/>
        </w:rPr>
        <w:t>2.工程建设质量较差。2024年验收的16个项目，一次性验收合格的只有4个，占比25%，项目经整改后合格12个，占比75%。根据调查问卷，永嘉镇万年村村民反映沟渠关不住水,永嘉镇和益村村民反映土地整理质量差。</w:t>
      </w:r>
    </w:p>
    <w:p>
      <w:pPr>
        <w:snapToGrid w:val="0"/>
        <w:spacing w:line="560" w:lineRule="atLeast"/>
        <w:ind w:firstLine="560"/>
        <w:rPr>
          <w:rFonts w:ascii="宋体" w:hAnsi="宋体"/>
          <w:szCs w:val="28"/>
        </w:rPr>
      </w:pPr>
      <w:r>
        <w:rPr>
          <w:rFonts w:hint="eastAsia" w:ascii="宋体" w:hAnsi="宋体"/>
          <w:szCs w:val="28"/>
        </w:rPr>
        <w:t>建议在以后建设项目中，增强工程建设质量意识，加强工程建设质量监督的力度，确保建设工程质量。</w:t>
      </w:r>
    </w:p>
    <w:p>
      <w:pPr>
        <w:snapToGrid w:val="0"/>
        <w:spacing w:line="560" w:lineRule="exact"/>
        <w:ind w:firstLine="560"/>
        <w:rPr>
          <w:rFonts w:ascii="宋体" w:hAnsi="宋体"/>
          <w:szCs w:val="28"/>
        </w:rPr>
      </w:pPr>
      <w:r>
        <w:rPr>
          <w:rFonts w:hint="eastAsia" w:ascii="宋体" w:hAnsi="宋体"/>
          <w:szCs w:val="28"/>
        </w:rPr>
        <w:t>3.合同审核不严，引用立项文件文号错误。经查，二标施工合同立项文件</w:t>
      </w:r>
      <w:r>
        <w:rPr>
          <w:rFonts w:hint="eastAsia" w:ascii="方正仿宋_GBK" w:hAnsi="方正仿宋_GBK" w:cs="方正仿宋_GBK"/>
          <w:color w:val="000000"/>
          <w:sz w:val="31"/>
          <w:szCs w:val="31"/>
        </w:rPr>
        <w:t>文号</w:t>
      </w:r>
      <w:r>
        <w:rPr>
          <w:rFonts w:hint="eastAsia" w:ascii="宋体" w:hAnsi="宋体"/>
          <w:szCs w:val="28"/>
        </w:rPr>
        <w:t>应为铜发改【2022】666号、667号，写为铜发改【2022】667号、668号、674号，三标施工合同立项文件</w:t>
      </w:r>
      <w:r>
        <w:rPr>
          <w:rFonts w:hint="eastAsia" w:ascii="方正仿宋_GBK" w:hAnsi="方正仿宋_GBK" w:cs="方正仿宋_GBK"/>
          <w:color w:val="000000"/>
          <w:sz w:val="31"/>
          <w:szCs w:val="31"/>
        </w:rPr>
        <w:t>文号</w:t>
      </w:r>
      <w:r>
        <w:rPr>
          <w:rFonts w:hint="eastAsia" w:ascii="宋体" w:hAnsi="宋体"/>
          <w:szCs w:val="28"/>
        </w:rPr>
        <w:t>应为铜发改【2022】672号、669号，写为铜发改【2022】667号、668号、674号。</w:t>
      </w:r>
    </w:p>
    <w:p>
      <w:pPr>
        <w:snapToGrid w:val="0"/>
        <w:spacing w:line="560" w:lineRule="exact"/>
        <w:ind w:firstLine="560"/>
        <w:rPr>
          <w:rFonts w:ascii="宋体" w:hAnsi="宋体"/>
          <w:szCs w:val="28"/>
        </w:rPr>
      </w:pPr>
      <w:r>
        <w:rPr>
          <w:rFonts w:hint="eastAsia" w:ascii="宋体" w:hAnsi="宋体"/>
          <w:szCs w:val="28"/>
        </w:rPr>
        <w:t>建议在以后建设项目中，加强合同审核。</w:t>
      </w:r>
    </w:p>
    <w:p>
      <w:pPr>
        <w:spacing w:line="560" w:lineRule="exact"/>
        <w:ind w:firstLine="0" w:firstLineChars="0"/>
        <w:jc w:val="left"/>
        <w:rPr>
          <w:rFonts w:cs="仿宋" w:asciiTheme="majorEastAsia" w:hAnsiTheme="majorEastAsia" w:eastAsiaTheme="majorEastAsia"/>
          <w:b/>
          <w:bCs/>
          <w:szCs w:val="28"/>
        </w:rPr>
      </w:pPr>
    </w:p>
    <w:p>
      <w:pPr>
        <w:spacing w:line="560" w:lineRule="exact"/>
        <w:ind w:firstLine="0" w:firstLineChars="0"/>
        <w:jc w:val="left"/>
        <w:rPr>
          <w:rFonts w:cs="仿宋" w:asciiTheme="majorEastAsia" w:hAnsiTheme="majorEastAsia" w:eastAsiaTheme="majorEastAsia"/>
          <w:b/>
          <w:bCs/>
          <w:szCs w:val="28"/>
        </w:rPr>
      </w:pPr>
    </w:p>
    <w:p>
      <w:pPr>
        <w:spacing w:line="560" w:lineRule="exact"/>
        <w:ind w:firstLine="0" w:firstLineChars="0"/>
        <w:jc w:val="left"/>
        <w:rPr>
          <w:rFonts w:cs="仿宋" w:asciiTheme="majorEastAsia" w:hAnsiTheme="majorEastAsia" w:eastAsiaTheme="majorEastAsia"/>
          <w:b/>
          <w:bCs/>
          <w:szCs w:val="28"/>
        </w:rPr>
      </w:pPr>
      <w:r>
        <w:rPr>
          <w:rFonts w:hint="eastAsia" w:cs="仿宋" w:asciiTheme="majorEastAsia" w:hAnsiTheme="majorEastAsia" w:eastAsiaTheme="majorEastAsia"/>
          <w:b/>
          <w:bCs/>
          <w:szCs w:val="28"/>
        </w:rPr>
        <w:t>重庆凯弘会计师事务所有限公司           中国注册会计师：</w:t>
      </w:r>
    </w:p>
    <w:p>
      <w:pPr>
        <w:spacing w:line="560" w:lineRule="exact"/>
        <w:ind w:firstLine="562"/>
        <w:rPr>
          <w:rFonts w:cs="仿宋" w:asciiTheme="majorEastAsia" w:hAnsiTheme="majorEastAsia" w:eastAsiaTheme="majorEastAsia"/>
          <w:b/>
          <w:bCs/>
          <w:szCs w:val="28"/>
        </w:rPr>
      </w:pPr>
    </w:p>
    <w:p>
      <w:pPr>
        <w:snapToGrid w:val="0"/>
        <w:spacing w:line="560" w:lineRule="exact"/>
        <w:ind w:firstLine="562"/>
        <w:rPr>
          <w:rFonts w:ascii="宋体" w:hAnsi="宋体"/>
          <w:szCs w:val="28"/>
        </w:rPr>
      </w:pPr>
      <w:r>
        <w:rPr>
          <w:rFonts w:hint="eastAsia" w:cs="仿宋" w:asciiTheme="majorEastAsia" w:hAnsiTheme="majorEastAsia" w:eastAsiaTheme="majorEastAsia"/>
          <w:b/>
          <w:bCs/>
          <w:szCs w:val="28"/>
        </w:rPr>
        <w:t xml:space="preserve">     中国*重庆                     中国注册会计师：</w:t>
      </w:r>
    </w:p>
    <w:p>
      <w:pPr>
        <w:snapToGrid w:val="0"/>
        <w:spacing w:line="560" w:lineRule="exact"/>
        <w:ind w:firstLine="562"/>
        <w:jc w:val="right"/>
        <w:rPr>
          <w:rFonts w:ascii="宋体" w:hAnsi="宋体"/>
          <w:b/>
          <w:bCs/>
          <w:szCs w:val="28"/>
        </w:rPr>
      </w:pPr>
    </w:p>
    <w:p>
      <w:pPr>
        <w:snapToGrid w:val="0"/>
        <w:spacing w:line="560" w:lineRule="exact"/>
        <w:ind w:firstLine="562"/>
        <w:jc w:val="right"/>
        <w:rPr>
          <w:rFonts w:ascii="宋体" w:hAnsi="宋体"/>
          <w:szCs w:val="28"/>
        </w:rPr>
      </w:pPr>
      <w:r>
        <w:rPr>
          <w:rFonts w:hint="eastAsia" w:ascii="宋体" w:hAnsi="宋体"/>
          <w:b/>
          <w:bCs/>
          <w:szCs w:val="28"/>
        </w:rPr>
        <w:t>二○二四年六月二十八日</w:t>
      </w:r>
    </w:p>
    <w:p>
      <w:pPr>
        <w:snapToGrid w:val="0"/>
        <w:spacing w:line="560" w:lineRule="exact"/>
        <w:ind w:firstLine="560"/>
        <w:rPr>
          <w:rFonts w:ascii="宋体" w:hAnsi="宋体"/>
          <w:szCs w:val="28"/>
        </w:rPr>
      </w:pPr>
    </w:p>
    <w:p>
      <w:pPr>
        <w:spacing w:line="20" w:lineRule="exact"/>
        <w:ind w:right="1123" w:firstLine="0" w:firstLineChars="0"/>
        <w:rPr>
          <w:rFonts w:ascii="宋体" w:hAnsi="宋体"/>
          <w:szCs w:val="28"/>
        </w:rPr>
      </w:pPr>
    </w:p>
    <w:sectPr>
      <w:headerReference r:id="rId13" w:type="default"/>
      <w:type w:val="continuous"/>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roman"/>
    <w:pitch w:val="default"/>
    <w:sig w:usb0="E4002EFF" w:usb1="C0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方正仿宋_GBK">
    <w:panose1 w:val="03000509000000000000"/>
    <w:charset w:val="86"/>
    <w:family w:val="script"/>
    <w:pitch w:val="default"/>
    <w:sig w:usb0="00000001" w:usb1="080E0000" w:usb2="00000000" w:usb3="00000000" w:csb0="00040000" w:csb1="00000000"/>
  </w:font>
  <w:font w:name="Arial Narrow">
    <w:altName w:val="Arial"/>
    <w:panose1 w:val="020B0606020202030204"/>
    <w:charset w:val="00"/>
    <w:family w:val="swiss"/>
    <w:pitch w:val="default"/>
    <w:sig w:usb0="00000000" w:usb1="00000000" w:usb2="00000000" w:usb3="00000000" w:csb0="2000009F" w:csb1="DFD7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等线">
    <w:panose1 w:val="02010600030101010101"/>
    <w:charset w:val="86"/>
    <w:family w:val="auto"/>
    <w:pitch w:val="default"/>
    <w:sig w:usb0="A00002BF" w:usb1="38CF7CFA" w:usb2="00000016" w:usb3="00000000" w:csb0="0004000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framePr w:wrap="around" w:vAnchor="text" w:hAnchor="margin" w:xAlign="center" w:y="1"/>
      <w:ind w:firstLine="360"/>
      <w:rPr>
        <w:rStyle w:val="22"/>
      </w:rPr>
    </w:pPr>
    <w:r>
      <w:fldChar w:fldCharType="begin"/>
    </w:r>
    <w:r>
      <w:rPr>
        <w:rStyle w:val="22"/>
      </w:rPr>
      <w:instrText xml:space="preserve">PAGE  </w:instrText>
    </w:r>
    <w:r>
      <w:fldChar w:fldCharType="separate"/>
    </w:r>
    <w:r>
      <w:rPr>
        <w:rStyle w:val="22"/>
      </w:rPr>
      <w:t>2</w:t>
    </w:r>
    <w:r>
      <w:fldChar w:fldCharType="end"/>
    </w:r>
  </w:p>
  <w:p>
    <w:pPr>
      <w:pStyle w:val="12"/>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
    </w:sdtPr>
    <w:sdtContent>
      <w:p>
        <w:pPr>
          <w:pStyle w:val="12"/>
          <w:ind w:firstLine="360"/>
          <w:jc w:val="center"/>
        </w:pPr>
        <w:r>
          <w:fldChar w:fldCharType="begin"/>
        </w:r>
        <w:r>
          <w:instrText xml:space="preserve">PAGE   \* MERGEFORMAT</w:instrText>
        </w:r>
        <w:r>
          <w:fldChar w:fldCharType="separate"/>
        </w:r>
        <w:r>
          <w:rPr>
            <w:lang w:val="zh-CN"/>
          </w:rPr>
          <w:t>11</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360" w:lineRule="auto"/>
        <w:ind w:firstLine="560"/>
      </w:pPr>
      <w:r>
        <w:separator/>
      </w:r>
    </w:p>
  </w:footnote>
  <w:footnote w:type="continuationSeparator" w:id="1">
    <w:p>
      <w:pPr>
        <w:spacing w:line="360" w:lineRule="auto"/>
        <w:ind w:firstLine="5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left="560" w:firstLine="0" w:firstLineChars="0"/>
    </w:pPr>
    <w:r>
      <w:tab/>
    </w: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0" w:firstLineChars="0"/>
      <w:rPr>
        <w:rFonts w:eastAsia="楷体_GB2312"/>
        <w:b/>
        <w:bCs/>
        <w:sz w:val="84"/>
      </w:rPr>
    </w:pPr>
    <w:r>
      <w:rPr>
        <w:rFonts w:hint="eastAsia" w:eastAsia="楷体_GB2312"/>
        <w:b/>
        <w:bCs/>
        <w:spacing w:val="1"/>
        <w:w w:val="71"/>
        <w:kern w:val="0"/>
        <w:sz w:val="84"/>
        <w:fitText w:val="8465" w:id="2107275755"/>
      </w:rPr>
      <w:t>重庆凯弘会计师事务所有限公</w:t>
    </w:r>
    <w:r>
      <w:rPr>
        <w:rFonts w:hint="eastAsia" w:eastAsia="楷体_GB2312"/>
        <w:b/>
        <w:bCs/>
        <w:spacing w:val="22"/>
        <w:w w:val="71"/>
        <w:kern w:val="0"/>
        <w:sz w:val="84"/>
        <w:fitText w:val="8465" w:id="2107275755"/>
      </w:rPr>
      <w:t>司</w:t>
    </w:r>
  </w:p>
  <w:p>
    <w:pPr>
      <w:pStyle w:val="3"/>
      <w:numPr>
        <w:ilvl w:val="0"/>
        <w:numId w:val="0"/>
      </w:numPr>
      <w:pBdr>
        <w:top w:val="none" w:color="auto" w:sz="0" w:space="1"/>
        <w:left w:val="none" w:color="auto" w:sz="0" w:space="4"/>
        <w:bottom w:val="single" w:color="000000" w:sz="4" w:space="0"/>
        <w:right w:val="none" w:color="auto" w:sz="0" w:space="4"/>
      </w:pBdr>
      <w:jc w:val="both"/>
      <w:rPr>
        <w:rFonts w:hint="eastAsia"/>
        <w:kern w:val="0"/>
        <w:sz w:val="32"/>
      </w:rPr>
    </w:pPr>
    <w:r>
      <w:rPr>
        <w:rFonts w:hint="eastAsia"/>
        <w:spacing w:val="0"/>
        <w:w w:val="99"/>
        <w:kern w:val="0"/>
        <w:sz w:val="32"/>
        <w:fitText w:val="8512" w:id="1"/>
      </w:rPr>
      <w:t xml:space="preserve">CHONGQING </w:t>
    </w:r>
    <w:r>
      <w:rPr>
        <w:spacing w:val="0"/>
        <w:w w:val="99"/>
        <w:kern w:val="0"/>
        <w:sz w:val="32"/>
        <w:fitText w:val="8512" w:id="1"/>
      </w:rPr>
      <w:t>KAIHONG</w:t>
    </w:r>
    <w:r>
      <w:rPr>
        <w:rFonts w:hint="eastAsia"/>
        <w:spacing w:val="0"/>
        <w:w w:val="99"/>
        <w:kern w:val="0"/>
        <w:sz w:val="32"/>
        <w:fitText w:val="8512" w:id="1"/>
      </w:rPr>
      <w:t xml:space="preserve"> CERTIFIED PUBLIC ACCOUNTANTS CO.,LTD</w:t>
    </w:r>
    <w:r>
      <w:rPr>
        <w:rFonts w:hint="eastAsia"/>
        <w:spacing w:val="19"/>
        <w:w w:val="99"/>
        <w:kern w:val="0"/>
        <w:sz w:val="32"/>
        <w:fitText w:val="8512" w:id="1"/>
      </w:rPr>
      <w:t>.</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3"/>
      <w:ind w:firstLine="0" w:firstLineChars="0"/>
      <w:jc w:val="both"/>
      <w:rPr>
        <w:spacing w:val="-18"/>
        <w:kern w:val="10"/>
      </w:rPr>
    </w:pPr>
    <w:r>
      <w:rPr>
        <w:rFonts w:hint="eastAsia" w:ascii="仿宋" w:hAnsi="仿宋" w:eastAsia="仿宋" w:cs="仿宋"/>
        <w:i/>
        <w:iCs/>
        <w:spacing w:val="-18"/>
        <w:kern w:val="10"/>
        <w:shd w:val="clear" w:color="auto" w:fill="D9D9D9"/>
      </w:rPr>
      <w:t>铜梁区土地整理项目                                                                                                           绩效评价报告</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AF75A2B"/>
    <w:multiLevelType w:val="multilevel"/>
    <w:tmpl w:val="0AF75A2B"/>
    <w:lvl w:ilvl="0" w:tentative="0">
      <w:start w:val="1"/>
      <w:numFmt w:val="japaneseCounting"/>
      <w:lvlText w:val="%1、"/>
      <w:lvlJc w:val="left"/>
      <w:pPr>
        <w:ind w:left="1280" w:hanging="720"/>
      </w:pPr>
      <w:rPr>
        <w:rFonts w:hint="default"/>
      </w:rPr>
    </w:lvl>
    <w:lvl w:ilvl="1" w:tentative="0">
      <w:start w:val="1"/>
      <w:numFmt w:val="lowerLetter"/>
      <w:lvlText w:val="%2)"/>
      <w:lvlJc w:val="left"/>
      <w:pPr>
        <w:ind w:left="1440" w:hanging="440"/>
      </w:pPr>
    </w:lvl>
    <w:lvl w:ilvl="2" w:tentative="0">
      <w:start w:val="1"/>
      <w:numFmt w:val="lowerRoman"/>
      <w:lvlText w:val="%3."/>
      <w:lvlJc w:val="right"/>
      <w:pPr>
        <w:ind w:left="1880" w:hanging="440"/>
      </w:pPr>
    </w:lvl>
    <w:lvl w:ilvl="3" w:tentative="0">
      <w:start w:val="1"/>
      <w:numFmt w:val="decimal"/>
      <w:lvlText w:val="%4."/>
      <w:lvlJc w:val="left"/>
      <w:pPr>
        <w:ind w:left="2320" w:hanging="440"/>
      </w:pPr>
    </w:lvl>
    <w:lvl w:ilvl="4" w:tentative="0">
      <w:start w:val="1"/>
      <w:numFmt w:val="lowerLetter"/>
      <w:lvlText w:val="%5)"/>
      <w:lvlJc w:val="left"/>
      <w:pPr>
        <w:ind w:left="2760" w:hanging="440"/>
      </w:pPr>
    </w:lvl>
    <w:lvl w:ilvl="5" w:tentative="0">
      <w:start w:val="1"/>
      <w:numFmt w:val="lowerRoman"/>
      <w:lvlText w:val="%6."/>
      <w:lvlJc w:val="right"/>
      <w:pPr>
        <w:ind w:left="3200" w:hanging="440"/>
      </w:pPr>
    </w:lvl>
    <w:lvl w:ilvl="6" w:tentative="0">
      <w:start w:val="1"/>
      <w:numFmt w:val="decimal"/>
      <w:lvlText w:val="%7."/>
      <w:lvlJc w:val="left"/>
      <w:pPr>
        <w:ind w:left="3640" w:hanging="440"/>
      </w:pPr>
    </w:lvl>
    <w:lvl w:ilvl="7" w:tentative="0">
      <w:start w:val="1"/>
      <w:numFmt w:val="lowerLetter"/>
      <w:lvlText w:val="%8)"/>
      <w:lvlJc w:val="left"/>
      <w:pPr>
        <w:ind w:left="4080" w:hanging="440"/>
      </w:pPr>
    </w:lvl>
    <w:lvl w:ilvl="8" w:tentative="0">
      <w:start w:val="1"/>
      <w:numFmt w:val="lowerRoman"/>
      <w:lvlText w:val="%9."/>
      <w:lvlJc w:val="right"/>
      <w:pPr>
        <w:ind w:left="4520" w:hanging="440"/>
      </w:pPr>
    </w:lvl>
  </w:abstractNum>
  <w:abstractNum w:abstractNumId="1">
    <w:nsid w:val="11BA52B8"/>
    <w:multiLevelType w:val="multilevel"/>
    <w:tmpl w:val="11BA52B8"/>
    <w:lvl w:ilvl="0" w:tentative="0">
      <w:start w:val="1"/>
      <w:numFmt w:val="chineseCountingThousand"/>
      <w:pStyle w:val="3"/>
      <w:lvlText w:val="(%1)"/>
      <w:lvlJc w:val="left"/>
      <w:pPr>
        <w:ind w:left="5826" w:hanging="440"/>
      </w:pPr>
      <w:rPr>
        <w:rFonts w:hint="eastAsia"/>
      </w:rPr>
    </w:lvl>
    <w:lvl w:ilvl="1" w:tentative="0">
      <w:start w:val="1"/>
      <w:numFmt w:val="lowerLetter"/>
      <w:lvlText w:val="%2)"/>
      <w:lvlJc w:val="left"/>
      <w:pPr>
        <w:ind w:left="1080" w:hanging="440"/>
      </w:pPr>
      <w:rPr>
        <w:rFonts w:hint="eastAsia"/>
      </w:rPr>
    </w:lvl>
    <w:lvl w:ilvl="2" w:tentative="0">
      <w:start w:val="1"/>
      <w:numFmt w:val="lowerRoman"/>
      <w:lvlText w:val="%3."/>
      <w:lvlJc w:val="right"/>
      <w:pPr>
        <w:ind w:left="1520" w:hanging="440"/>
      </w:pPr>
      <w:rPr>
        <w:rFonts w:hint="eastAsia"/>
      </w:rPr>
    </w:lvl>
    <w:lvl w:ilvl="3" w:tentative="0">
      <w:start w:val="1"/>
      <w:numFmt w:val="decimal"/>
      <w:lvlText w:val="%4."/>
      <w:lvlJc w:val="left"/>
      <w:pPr>
        <w:ind w:left="1960" w:hanging="440"/>
      </w:pPr>
      <w:rPr>
        <w:rFonts w:hint="eastAsia"/>
      </w:rPr>
    </w:lvl>
    <w:lvl w:ilvl="4" w:tentative="0">
      <w:start w:val="1"/>
      <w:numFmt w:val="lowerLetter"/>
      <w:lvlText w:val="%5)"/>
      <w:lvlJc w:val="left"/>
      <w:pPr>
        <w:ind w:left="2400" w:hanging="440"/>
      </w:pPr>
      <w:rPr>
        <w:rFonts w:hint="eastAsia"/>
      </w:rPr>
    </w:lvl>
    <w:lvl w:ilvl="5" w:tentative="0">
      <w:start w:val="1"/>
      <w:numFmt w:val="lowerRoman"/>
      <w:lvlText w:val="%6."/>
      <w:lvlJc w:val="right"/>
      <w:pPr>
        <w:ind w:left="2840" w:hanging="440"/>
      </w:pPr>
      <w:rPr>
        <w:rFonts w:hint="eastAsia"/>
      </w:rPr>
    </w:lvl>
    <w:lvl w:ilvl="6" w:tentative="0">
      <w:start w:val="1"/>
      <w:numFmt w:val="decimal"/>
      <w:lvlText w:val="%7."/>
      <w:lvlJc w:val="left"/>
      <w:pPr>
        <w:ind w:left="3280" w:hanging="440"/>
      </w:pPr>
      <w:rPr>
        <w:rFonts w:hint="eastAsia"/>
      </w:rPr>
    </w:lvl>
    <w:lvl w:ilvl="7" w:tentative="0">
      <w:start w:val="1"/>
      <w:numFmt w:val="lowerLetter"/>
      <w:lvlText w:val="%8)"/>
      <w:lvlJc w:val="left"/>
      <w:pPr>
        <w:ind w:left="3720" w:hanging="440"/>
      </w:pPr>
      <w:rPr>
        <w:rFonts w:hint="eastAsia"/>
      </w:rPr>
    </w:lvl>
    <w:lvl w:ilvl="8" w:tentative="0">
      <w:start w:val="1"/>
      <w:numFmt w:val="lowerRoman"/>
      <w:lvlText w:val="%9."/>
      <w:lvlJc w:val="right"/>
      <w:pPr>
        <w:ind w:left="4160" w:hanging="440"/>
      </w:pPr>
      <w:rPr>
        <w:rFonts w:hint="eastAsia"/>
      </w:rPr>
    </w:lvl>
  </w:abstractNum>
  <w:abstractNum w:abstractNumId="2">
    <w:nsid w:val="342D66D4"/>
    <w:multiLevelType w:val="multilevel"/>
    <w:tmpl w:val="342D66D4"/>
    <w:lvl w:ilvl="0" w:tentative="0">
      <w:start w:val="1"/>
      <w:numFmt w:val="decimal"/>
      <w:pStyle w:val="15"/>
      <w:lvlText w:val="（%1）"/>
      <w:lvlJc w:val="left"/>
      <w:pPr>
        <w:ind w:left="640" w:hanging="440"/>
      </w:pPr>
      <w:rPr>
        <w:rFonts w:hint="eastAsia"/>
      </w:rPr>
    </w:lvl>
    <w:lvl w:ilvl="1" w:tentative="0">
      <w:start w:val="1"/>
      <w:numFmt w:val="lowerLetter"/>
      <w:lvlText w:val="%2)"/>
      <w:lvlJc w:val="left"/>
      <w:pPr>
        <w:ind w:left="1080" w:hanging="440"/>
      </w:pPr>
    </w:lvl>
    <w:lvl w:ilvl="2" w:tentative="0">
      <w:start w:val="1"/>
      <w:numFmt w:val="lowerRoman"/>
      <w:lvlText w:val="%3."/>
      <w:lvlJc w:val="right"/>
      <w:pPr>
        <w:ind w:left="1520" w:hanging="440"/>
      </w:pPr>
    </w:lvl>
    <w:lvl w:ilvl="3" w:tentative="0">
      <w:start w:val="1"/>
      <w:numFmt w:val="decimal"/>
      <w:lvlText w:val="%4."/>
      <w:lvlJc w:val="left"/>
      <w:pPr>
        <w:ind w:left="1960" w:hanging="440"/>
      </w:pPr>
    </w:lvl>
    <w:lvl w:ilvl="4" w:tentative="0">
      <w:start w:val="1"/>
      <w:numFmt w:val="lowerLetter"/>
      <w:lvlText w:val="%5)"/>
      <w:lvlJc w:val="left"/>
      <w:pPr>
        <w:ind w:left="2400" w:hanging="440"/>
      </w:pPr>
    </w:lvl>
    <w:lvl w:ilvl="5" w:tentative="0">
      <w:start w:val="1"/>
      <w:numFmt w:val="lowerRoman"/>
      <w:lvlText w:val="%6."/>
      <w:lvlJc w:val="right"/>
      <w:pPr>
        <w:ind w:left="2840" w:hanging="440"/>
      </w:pPr>
    </w:lvl>
    <w:lvl w:ilvl="6" w:tentative="0">
      <w:start w:val="1"/>
      <w:numFmt w:val="decimal"/>
      <w:lvlText w:val="%7."/>
      <w:lvlJc w:val="left"/>
      <w:pPr>
        <w:ind w:left="3280" w:hanging="440"/>
      </w:pPr>
    </w:lvl>
    <w:lvl w:ilvl="7" w:tentative="0">
      <w:start w:val="1"/>
      <w:numFmt w:val="lowerLetter"/>
      <w:lvlText w:val="%8)"/>
      <w:lvlJc w:val="left"/>
      <w:pPr>
        <w:ind w:left="3720" w:hanging="440"/>
      </w:pPr>
    </w:lvl>
    <w:lvl w:ilvl="8" w:tentative="0">
      <w:start w:val="1"/>
      <w:numFmt w:val="lowerRoman"/>
      <w:lvlText w:val="%9."/>
      <w:lvlJc w:val="right"/>
      <w:pPr>
        <w:ind w:left="4160" w:hanging="440"/>
      </w:pPr>
    </w:lvl>
  </w:abstractNum>
  <w:abstractNum w:abstractNumId="3">
    <w:nsid w:val="54D24375"/>
    <w:multiLevelType w:val="multilevel"/>
    <w:tmpl w:val="54D24375"/>
    <w:lvl w:ilvl="0" w:tentative="0">
      <w:start w:val="1"/>
      <w:numFmt w:val="decimal"/>
      <w:pStyle w:val="4"/>
      <w:lvlText w:val="%1."/>
      <w:lvlJc w:val="left"/>
      <w:pPr>
        <w:ind w:left="567" w:firstLine="1"/>
      </w:pPr>
      <w:rPr>
        <w:rFonts w:hint="eastAsia"/>
      </w:rPr>
    </w:lvl>
    <w:lvl w:ilvl="1" w:tentative="0">
      <w:start w:val="1"/>
      <w:numFmt w:val="lowerLetter"/>
      <w:lvlText w:val="%2)"/>
      <w:lvlJc w:val="left"/>
      <w:pPr>
        <w:ind w:left="1441" w:hanging="440"/>
      </w:pPr>
      <w:rPr>
        <w:rFonts w:hint="eastAsia"/>
      </w:rPr>
    </w:lvl>
    <w:lvl w:ilvl="2" w:tentative="0">
      <w:start w:val="1"/>
      <w:numFmt w:val="lowerRoman"/>
      <w:lvlText w:val="%3."/>
      <w:lvlJc w:val="right"/>
      <w:pPr>
        <w:ind w:left="1881" w:hanging="440"/>
      </w:pPr>
      <w:rPr>
        <w:rFonts w:hint="eastAsia"/>
      </w:rPr>
    </w:lvl>
    <w:lvl w:ilvl="3" w:tentative="0">
      <w:start w:val="1"/>
      <w:numFmt w:val="decimal"/>
      <w:lvlText w:val="%4."/>
      <w:lvlJc w:val="left"/>
      <w:pPr>
        <w:ind w:left="2321" w:hanging="440"/>
      </w:pPr>
      <w:rPr>
        <w:rFonts w:hint="eastAsia"/>
      </w:rPr>
    </w:lvl>
    <w:lvl w:ilvl="4" w:tentative="0">
      <w:start w:val="1"/>
      <w:numFmt w:val="lowerLetter"/>
      <w:lvlText w:val="%5)"/>
      <w:lvlJc w:val="left"/>
      <w:pPr>
        <w:ind w:left="2761" w:hanging="440"/>
      </w:pPr>
      <w:rPr>
        <w:rFonts w:hint="eastAsia"/>
      </w:rPr>
    </w:lvl>
    <w:lvl w:ilvl="5" w:tentative="0">
      <w:start w:val="1"/>
      <w:numFmt w:val="lowerRoman"/>
      <w:lvlText w:val="%6."/>
      <w:lvlJc w:val="right"/>
      <w:pPr>
        <w:ind w:left="3201" w:hanging="440"/>
      </w:pPr>
      <w:rPr>
        <w:rFonts w:hint="eastAsia"/>
      </w:rPr>
    </w:lvl>
    <w:lvl w:ilvl="6" w:tentative="0">
      <w:start w:val="1"/>
      <w:numFmt w:val="decimal"/>
      <w:lvlText w:val="%7."/>
      <w:lvlJc w:val="left"/>
      <w:pPr>
        <w:ind w:left="3641" w:hanging="440"/>
      </w:pPr>
      <w:rPr>
        <w:rFonts w:hint="eastAsia"/>
      </w:rPr>
    </w:lvl>
    <w:lvl w:ilvl="7" w:tentative="0">
      <w:start w:val="1"/>
      <w:numFmt w:val="lowerLetter"/>
      <w:lvlText w:val="%8)"/>
      <w:lvlJc w:val="left"/>
      <w:pPr>
        <w:ind w:left="4081" w:hanging="440"/>
      </w:pPr>
      <w:rPr>
        <w:rFonts w:hint="eastAsia"/>
      </w:rPr>
    </w:lvl>
    <w:lvl w:ilvl="8" w:tentative="0">
      <w:start w:val="1"/>
      <w:numFmt w:val="lowerRoman"/>
      <w:lvlText w:val="%9."/>
      <w:lvlJc w:val="right"/>
      <w:pPr>
        <w:ind w:left="4521" w:hanging="440"/>
      </w:pPr>
      <w:rPr>
        <w:rFonts w:hint="eastAsia"/>
      </w:rPr>
    </w:lvl>
  </w:abstractNum>
  <w:abstractNum w:abstractNumId="4">
    <w:nsid w:val="76C70969"/>
    <w:multiLevelType w:val="multilevel"/>
    <w:tmpl w:val="76C70969"/>
    <w:lvl w:ilvl="0" w:tentative="0">
      <w:start w:val="1"/>
      <w:numFmt w:val="chineseCountingThousand"/>
      <w:pStyle w:val="2"/>
      <w:lvlText w:val="%1、"/>
      <w:lvlJc w:val="left"/>
      <w:pPr>
        <w:ind w:left="1008" w:hanging="440"/>
      </w:pPr>
    </w:lvl>
    <w:lvl w:ilvl="1" w:tentative="0">
      <w:start w:val="1"/>
      <w:numFmt w:val="lowerLetter"/>
      <w:lvlText w:val="%2)"/>
      <w:lvlJc w:val="left"/>
      <w:pPr>
        <w:ind w:left="1441" w:hanging="440"/>
      </w:pPr>
    </w:lvl>
    <w:lvl w:ilvl="2" w:tentative="0">
      <w:start w:val="1"/>
      <w:numFmt w:val="lowerRoman"/>
      <w:lvlText w:val="%3."/>
      <w:lvlJc w:val="right"/>
      <w:pPr>
        <w:ind w:left="1881" w:hanging="440"/>
      </w:pPr>
    </w:lvl>
    <w:lvl w:ilvl="3" w:tentative="0">
      <w:start w:val="1"/>
      <w:numFmt w:val="decimal"/>
      <w:lvlText w:val="%4."/>
      <w:lvlJc w:val="left"/>
      <w:pPr>
        <w:ind w:left="2321" w:hanging="440"/>
      </w:pPr>
    </w:lvl>
    <w:lvl w:ilvl="4" w:tentative="0">
      <w:start w:val="1"/>
      <w:numFmt w:val="lowerLetter"/>
      <w:lvlText w:val="%5)"/>
      <w:lvlJc w:val="left"/>
      <w:pPr>
        <w:ind w:left="2761" w:hanging="440"/>
      </w:pPr>
    </w:lvl>
    <w:lvl w:ilvl="5" w:tentative="0">
      <w:start w:val="1"/>
      <w:numFmt w:val="lowerRoman"/>
      <w:lvlText w:val="%6."/>
      <w:lvlJc w:val="right"/>
      <w:pPr>
        <w:ind w:left="3201" w:hanging="440"/>
      </w:pPr>
    </w:lvl>
    <w:lvl w:ilvl="6" w:tentative="0">
      <w:start w:val="1"/>
      <w:numFmt w:val="decimal"/>
      <w:lvlText w:val="%7."/>
      <w:lvlJc w:val="left"/>
      <w:pPr>
        <w:ind w:left="3641" w:hanging="440"/>
      </w:pPr>
    </w:lvl>
    <w:lvl w:ilvl="7" w:tentative="0">
      <w:start w:val="1"/>
      <w:numFmt w:val="lowerLetter"/>
      <w:lvlText w:val="%8)"/>
      <w:lvlJc w:val="left"/>
      <w:pPr>
        <w:ind w:left="4081" w:hanging="440"/>
      </w:pPr>
    </w:lvl>
    <w:lvl w:ilvl="8" w:tentative="0">
      <w:start w:val="1"/>
      <w:numFmt w:val="lowerRoman"/>
      <w:lvlText w:val="%9."/>
      <w:lvlJc w:val="right"/>
      <w:pPr>
        <w:ind w:left="4521" w:hanging="440"/>
      </w:pPr>
    </w:lvl>
  </w:abstractNum>
  <w:num w:numId="1">
    <w:abstractNumId w:val="4"/>
  </w:num>
  <w:num w:numId="2">
    <w:abstractNumId w:val="1"/>
  </w:num>
  <w:num w:numId="3">
    <w:abstractNumId w:val="3"/>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2"/>
  </w:compat>
  <w:docVars>
    <w:docVar w:name="commondata" w:val="eyJoZGlkIjoiZWFkMWJkNzdkODFiMjE3ZDcyMTYzYTBjYzkxNGY2MTkifQ=="/>
  </w:docVars>
  <w:rsids>
    <w:rsidRoot w:val="72422AE2"/>
    <w:rsid w:val="0000184C"/>
    <w:rsid w:val="00002DD3"/>
    <w:rsid w:val="0000631C"/>
    <w:rsid w:val="00007179"/>
    <w:rsid w:val="0000763F"/>
    <w:rsid w:val="00010422"/>
    <w:rsid w:val="000108FD"/>
    <w:rsid w:val="00011646"/>
    <w:rsid w:val="00014034"/>
    <w:rsid w:val="00014FE8"/>
    <w:rsid w:val="0001519C"/>
    <w:rsid w:val="00017D46"/>
    <w:rsid w:val="000221B3"/>
    <w:rsid w:val="000229FB"/>
    <w:rsid w:val="00023756"/>
    <w:rsid w:val="00023D85"/>
    <w:rsid w:val="00024955"/>
    <w:rsid w:val="0003065D"/>
    <w:rsid w:val="00030862"/>
    <w:rsid w:val="00032A55"/>
    <w:rsid w:val="00036260"/>
    <w:rsid w:val="000411ED"/>
    <w:rsid w:val="00042AB9"/>
    <w:rsid w:val="000439AC"/>
    <w:rsid w:val="00050797"/>
    <w:rsid w:val="000519FA"/>
    <w:rsid w:val="00052244"/>
    <w:rsid w:val="00053307"/>
    <w:rsid w:val="00053594"/>
    <w:rsid w:val="00053921"/>
    <w:rsid w:val="00054192"/>
    <w:rsid w:val="00055857"/>
    <w:rsid w:val="00060D8A"/>
    <w:rsid w:val="0006378A"/>
    <w:rsid w:val="00063973"/>
    <w:rsid w:val="00063BE9"/>
    <w:rsid w:val="00064043"/>
    <w:rsid w:val="000641FD"/>
    <w:rsid w:val="000655E7"/>
    <w:rsid w:val="0006739D"/>
    <w:rsid w:val="000679ED"/>
    <w:rsid w:val="000708F7"/>
    <w:rsid w:val="00070E63"/>
    <w:rsid w:val="00071FE6"/>
    <w:rsid w:val="0007249D"/>
    <w:rsid w:val="00073A84"/>
    <w:rsid w:val="00074FEC"/>
    <w:rsid w:val="0007594E"/>
    <w:rsid w:val="000767C4"/>
    <w:rsid w:val="000768E3"/>
    <w:rsid w:val="000772F3"/>
    <w:rsid w:val="00080E51"/>
    <w:rsid w:val="000810AE"/>
    <w:rsid w:val="00081D5F"/>
    <w:rsid w:val="00083306"/>
    <w:rsid w:val="000849E7"/>
    <w:rsid w:val="00087DFF"/>
    <w:rsid w:val="00090FCF"/>
    <w:rsid w:val="00090FFB"/>
    <w:rsid w:val="00093626"/>
    <w:rsid w:val="00094104"/>
    <w:rsid w:val="00094FD0"/>
    <w:rsid w:val="0009634C"/>
    <w:rsid w:val="00096664"/>
    <w:rsid w:val="000A0F31"/>
    <w:rsid w:val="000A2995"/>
    <w:rsid w:val="000A3693"/>
    <w:rsid w:val="000A4100"/>
    <w:rsid w:val="000A7055"/>
    <w:rsid w:val="000A7289"/>
    <w:rsid w:val="000B20E3"/>
    <w:rsid w:val="000B3072"/>
    <w:rsid w:val="000B72D5"/>
    <w:rsid w:val="000C04DE"/>
    <w:rsid w:val="000C3D3D"/>
    <w:rsid w:val="000C4DCB"/>
    <w:rsid w:val="000C563A"/>
    <w:rsid w:val="000D080C"/>
    <w:rsid w:val="000D2887"/>
    <w:rsid w:val="000D3013"/>
    <w:rsid w:val="000D3CBC"/>
    <w:rsid w:val="000D3E05"/>
    <w:rsid w:val="000D6284"/>
    <w:rsid w:val="000D691A"/>
    <w:rsid w:val="000E3FEF"/>
    <w:rsid w:val="000E730D"/>
    <w:rsid w:val="000F579E"/>
    <w:rsid w:val="000F5D20"/>
    <w:rsid w:val="000F6366"/>
    <w:rsid w:val="000F7E0E"/>
    <w:rsid w:val="00101854"/>
    <w:rsid w:val="00105C22"/>
    <w:rsid w:val="0010697D"/>
    <w:rsid w:val="001113D6"/>
    <w:rsid w:val="0011305C"/>
    <w:rsid w:val="001134D8"/>
    <w:rsid w:val="001151B7"/>
    <w:rsid w:val="0011526E"/>
    <w:rsid w:val="00115951"/>
    <w:rsid w:val="00117886"/>
    <w:rsid w:val="00120D0B"/>
    <w:rsid w:val="0012170E"/>
    <w:rsid w:val="00121C5F"/>
    <w:rsid w:val="00123DDC"/>
    <w:rsid w:val="00124D4C"/>
    <w:rsid w:val="0012644E"/>
    <w:rsid w:val="00127031"/>
    <w:rsid w:val="00127F46"/>
    <w:rsid w:val="00130F2F"/>
    <w:rsid w:val="0013216A"/>
    <w:rsid w:val="0013312B"/>
    <w:rsid w:val="00134176"/>
    <w:rsid w:val="00134D23"/>
    <w:rsid w:val="001355B2"/>
    <w:rsid w:val="001363CA"/>
    <w:rsid w:val="00136BBC"/>
    <w:rsid w:val="00137DA1"/>
    <w:rsid w:val="0014048F"/>
    <w:rsid w:val="00142069"/>
    <w:rsid w:val="00142EC3"/>
    <w:rsid w:val="0014324A"/>
    <w:rsid w:val="00143417"/>
    <w:rsid w:val="001439FD"/>
    <w:rsid w:val="001471E9"/>
    <w:rsid w:val="00147F7F"/>
    <w:rsid w:val="0015032E"/>
    <w:rsid w:val="00152C2F"/>
    <w:rsid w:val="00153164"/>
    <w:rsid w:val="00155C1F"/>
    <w:rsid w:val="00156736"/>
    <w:rsid w:val="00156C69"/>
    <w:rsid w:val="00160D20"/>
    <w:rsid w:val="00160D51"/>
    <w:rsid w:val="001619F6"/>
    <w:rsid w:val="001637E9"/>
    <w:rsid w:val="00166637"/>
    <w:rsid w:val="00171A4F"/>
    <w:rsid w:val="00171A57"/>
    <w:rsid w:val="00171BA7"/>
    <w:rsid w:val="00172290"/>
    <w:rsid w:val="001728F4"/>
    <w:rsid w:val="00173AB1"/>
    <w:rsid w:val="00173DAC"/>
    <w:rsid w:val="001741FC"/>
    <w:rsid w:val="00174C43"/>
    <w:rsid w:val="001760F7"/>
    <w:rsid w:val="00177BA1"/>
    <w:rsid w:val="00181FDF"/>
    <w:rsid w:val="001841D8"/>
    <w:rsid w:val="00184DC1"/>
    <w:rsid w:val="0018761D"/>
    <w:rsid w:val="00187F71"/>
    <w:rsid w:val="001924CE"/>
    <w:rsid w:val="00193794"/>
    <w:rsid w:val="001972AA"/>
    <w:rsid w:val="001A01DF"/>
    <w:rsid w:val="001A1110"/>
    <w:rsid w:val="001A1252"/>
    <w:rsid w:val="001A51B6"/>
    <w:rsid w:val="001A57F1"/>
    <w:rsid w:val="001A5C39"/>
    <w:rsid w:val="001A5FB9"/>
    <w:rsid w:val="001A65DB"/>
    <w:rsid w:val="001A7C67"/>
    <w:rsid w:val="001A7D8F"/>
    <w:rsid w:val="001B60C6"/>
    <w:rsid w:val="001C0EC8"/>
    <w:rsid w:val="001C1BEC"/>
    <w:rsid w:val="001C323E"/>
    <w:rsid w:val="001C4E9F"/>
    <w:rsid w:val="001C6EAE"/>
    <w:rsid w:val="001D0D08"/>
    <w:rsid w:val="001D1741"/>
    <w:rsid w:val="001D5C79"/>
    <w:rsid w:val="001D6EF4"/>
    <w:rsid w:val="001D7100"/>
    <w:rsid w:val="001E052D"/>
    <w:rsid w:val="001E05D0"/>
    <w:rsid w:val="001E2904"/>
    <w:rsid w:val="001E3B54"/>
    <w:rsid w:val="001E44F9"/>
    <w:rsid w:val="001E7B80"/>
    <w:rsid w:val="001F3835"/>
    <w:rsid w:val="001F3A90"/>
    <w:rsid w:val="001F5B92"/>
    <w:rsid w:val="001F6730"/>
    <w:rsid w:val="001F679C"/>
    <w:rsid w:val="001F7F9B"/>
    <w:rsid w:val="00201924"/>
    <w:rsid w:val="00203B13"/>
    <w:rsid w:val="0020436B"/>
    <w:rsid w:val="002046E7"/>
    <w:rsid w:val="00206312"/>
    <w:rsid w:val="0020691B"/>
    <w:rsid w:val="00207815"/>
    <w:rsid w:val="002110F6"/>
    <w:rsid w:val="002118A7"/>
    <w:rsid w:val="00214B63"/>
    <w:rsid w:val="00222C1C"/>
    <w:rsid w:val="00223CBB"/>
    <w:rsid w:val="002244FF"/>
    <w:rsid w:val="00224C80"/>
    <w:rsid w:val="00224D14"/>
    <w:rsid w:val="00225625"/>
    <w:rsid w:val="0022655F"/>
    <w:rsid w:val="00226F1B"/>
    <w:rsid w:val="002272E7"/>
    <w:rsid w:val="00231EB1"/>
    <w:rsid w:val="0023229C"/>
    <w:rsid w:val="00233691"/>
    <w:rsid w:val="00233DDD"/>
    <w:rsid w:val="00234601"/>
    <w:rsid w:val="0023530B"/>
    <w:rsid w:val="002360E1"/>
    <w:rsid w:val="002363D4"/>
    <w:rsid w:val="00236E32"/>
    <w:rsid w:val="00243295"/>
    <w:rsid w:val="0024338F"/>
    <w:rsid w:val="00247412"/>
    <w:rsid w:val="0025426D"/>
    <w:rsid w:val="00255D07"/>
    <w:rsid w:val="00256777"/>
    <w:rsid w:val="002604D9"/>
    <w:rsid w:val="00261444"/>
    <w:rsid w:val="00262933"/>
    <w:rsid w:val="002643DD"/>
    <w:rsid w:val="00266A32"/>
    <w:rsid w:val="00266AFE"/>
    <w:rsid w:val="00267F24"/>
    <w:rsid w:val="00270091"/>
    <w:rsid w:val="002735D3"/>
    <w:rsid w:val="00275436"/>
    <w:rsid w:val="00277622"/>
    <w:rsid w:val="00277CCD"/>
    <w:rsid w:val="0028144A"/>
    <w:rsid w:val="002906FB"/>
    <w:rsid w:val="00290E75"/>
    <w:rsid w:val="0029149A"/>
    <w:rsid w:val="002916D3"/>
    <w:rsid w:val="002958AF"/>
    <w:rsid w:val="002974DE"/>
    <w:rsid w:val="00297C64"/>
    <w:rsid w:val="002A0FCB"/>
    <w:rsid w:val="002A2AB2"/>
    <w:rsid w:val="002A46DA"/>
    <w:rsid w:val="002A5EF2"/>
    <w:rsid w:val="002A676C"/>
    <w:rsid w:val="002A7326"/>
    <w:rsid w:val="002A7CD3"/>
    <w:rsid w:val="002A7E0E"/>
    <w:rsid w:val="002B0E66"/>
    <w:rsid w:val="002B2245"/>
    <w:rsid w:val="002B2FA9"/>
    <w:rsid w:val="002C0199"/>
    <w:rsid w:val="002C1C19"/>
    <w:rsid w:val="002C406E"/>
    <w:rsid w:val="002C4C7A"/>
    <w:rsid w:val="002C4F3C"/>
    <w:rsid w:val="002C4FA8"/>
    <w:rsid w:val="002C5068"/>
    <w:rsid w:val="002C5D20"/>
    <w:rsid w:val="002C725C"/>
    <w:rsid w:val="002D03A5"/>
    <w:rsid w:val="002D1C5F"/>
    <w:rsid w:val="002D30EC"/>
    <w:rsid w:val="002D7429"/>
    <w:rsid w:val="002D7AC1"/>
    <w:rsid w:val="002E2794"/>
    <w:rsid w:val="002E61B8"/>
    <w:rsid w:val="002E7298"/>
    <w:rsid w:val="002F2A9A"/>
    <w:rsid w:val="002F6593"/>
    <w:rsid w:val="003005E2"/>
    <w:rsid w:val="003013B2"/>
    <w:rsid w:val="003030A7"/>
    <w:rsid w:val="00306202"/>
    <w:rsid w:val="00310BAA"/>
    <w:rsid w:val="00310F1B"/>
    <w:rsid w:val="00311A20"/>
    <w:rsid w:val="00312145"/>
    <w:rsid w:val="003131CA"/>
    <w:rsid w:val="0031637D"/>
    <w:rsid w:val="00317851"/>
    <w:rsid w:val="0031793C"/>
    <w:rsid w:val="003208C8"/>
    <w:rsid w:val="00321A39"/>
    <w:rsid w:val="003234EB"/>
    <w:rsid w:val="00324308"/>
    <w:rsid w:val="0033315E"/>
    <w:rsid w:val="003349F3"/>
    <w:rsid w:val="00334C38"/>
    <w:rsid w:val="003410D3"/>
    <w:rsid w:val="00343090"/>
    <w:rsid w:val="00346737"/>
    <w:rsid w:val="0034784D"/>
    <w:rsid w:val="00347A00"/>
    <w:rsid w:val="00351826"/>
    <w:rsid w:val="00351913"/>
    <w:rsid w:val="003519FE"/>
    <w:rsid w:val="00351B6F"/>
    <w:rsid w:val="00355081"/>
    <w:rsid w:val="00355436"/>
    <w:rsid w:val="003577CD"/>
    <w:rsid w:val="003579B0"/>
    <w:rsid w:val="00360FDF"/>
    <w:rsid w:val="0036389B"/>
    <w:rsid w:val="00363ABA"/>
    <w:rsid w:val="00363EEB"/>
    <w:rsid w:val="00363F3E"/>
    <w:rsid w:val="00365602"/>
    <w:rsid w:val="00365645"/>
    <w:rsid w:val="00365E84"/>
    <w:rsid w:val="00366252"/>
    <w:rsid w:val="003663C4"/>
    <w:rsid w:val="00367A2E"/>
    <w:rsid w:val="0037001C"/>
    <w:rsid w:val="00370411"/>
    <w:rsid w:val="00370B8C"/>
    <w:rsid w:val="003711CA"/>
    <w:rsid w:val="00373221"/>
    <w:rsid w:val="00375CEE"/>
    <w:rsid w:val="0037682F"/>
    <w:rsid w:val="00377440"/>
    <w:rsid w:val="00377D4A"/>
    <w:rsid w:val="00377E25"/>
    <w:rsid w:val="00380016"/>
    <w:rsid w:val="003811D9"/>
    <w:rsid w:val="00381C59"/>
    <w:rsid w:val="00381D07"/>
    <w:rsid w:val="00384881"/>
    <w:rsid w:val="00384E91"/>
    <w:rsid w:val="0038739E"/>
    <w:rsid w:val="00391696"/>
    <w:rsid w:val="00391769"/>
    <w:rsid w:val="003918B6"/>
    <w:rsid w:val="003924E3"/>
    <w:rsid w:val="00395A43"/>
    <w:rsid w:val="00395AE6"/>
    <w:rsid w:val="003A0998"/>
    <w:rsid w:val="003A1936"/>
    <w:rsid w:val="003A19D1"/>
    <w:rsid w:val="003A1A0D"/>
    <w:rsid w:val="003A206A"/>
    <w:rsid w:val="003A2602"/>
    <w:rsid w:val="003A2FCC"/>
    <w:rsid w:val="003A4730"/>
    <w:rsid w:val="003A73EC"/>
    <w:rsid w:val="003A7789"/>
    <w:rsid w:val="003B173D"/>
    <w:rsid w:val="003B59EC"/>
    <w:rsid w:val="003B790A"/>
    <w:rsid w:val="003C0CF0"/>
    <w:rsid w:val="003C211D"/>
    <w:rsid w:val="003C3353"/>
    <w:rsid w:val="003C696D"/>
    <w:rsid w:val="003C72A9"/>
    <w:rsid w:val="003C75A0"/>
    <w:rsid w:val="003D0D0E"/>
    <w:rsid w:val="003D0F64"/>
    <w:rsid w:val="003D3240"/>
    <w:rsid w:val="003D3F54"/>
    <w:rsid w:val="003E0136"/>
    <w:rsid w:val="003E0D1E"/>
    <w:rsid w:val="003E2424"/>
    <w:rsid w:val="003E267C"/>
    <w:rsid w:val="003E378E"/>
    <w:rsid w:val="003E3B11"/>
    <w:rsid w:val="003E5215"/>
    <w:rsid w:val="003E74A7"/>
    <w:rsid w:val="003E7FD7"/>
    <w:rsid w:val="003F27B1"/>
    <w:rsid w:val="003F58CB"/>
    <w:rsid w:val="003F697F"/>
    <w:rsid w:val="003F69B2"/>
    <w:rsid w:val="004030B5"/>
    <w:rsid w:val="00403870"/>
    <w:rsid w:val="004039DD"/>
    <w:rsid w:val="004045B1"/>
    <w:rsid w:val="00404C6D"/>
    <w:rsid w:val="0040526B"/>
    <w:rsid w:val="00412E34"/>
    <w:rsid w:val="0041311F"/>
    <w:rsid w:val="00413672"/>
    <w:rsid w:val="00413D40"/>
    <w:rsid w:val="00414631"/>
    <w:rsid w:val="004156B8"/>
    <w:rsid w:val="00417574"/>
    <w:rsid w:val="0041759A"/>
    <w:rsid w:val="004177AE"/>
    <w:rsid w:val="00420019"/>
    <w:rsid w:val="004209AE"/>
    <w:rsid w:val="00422299"/>
    <w:rsid w:val="004235BA"/>
    <w:rsid w:val="004249F7"/>
    <w:rsid w:val="00425061"/>
    <w:rsid w:val="00426DFA"/>
    <w:rsid w:val="00426F22"/>
    <w:rsid w:val="00430420"/>
    <w:rsid w:val="00430D37"/>
    <w:rsid w:val="0043165E"/>
    <w:rsid w:val="00432262"/>
    <w:rsid w:val="004328DB"/>
    <w:rsid w:val="0043383F"/>
    <w:rsid w:val="004338BD"/>
    <w:rsid w:val="00434809"/>
    <w:rsid w:val="00443950"/>
    <w:rsid w:val="004448F7"/>
    <w:rsid w:val="004462F3"/>
    <w:rsid w:val="00452E4A"/>
    <w:rsid w:val="00454DB4"/>
    <w:rsid w:val="00460F0D"/>
    <w:rsid w:val="00462E9E"/>
    <w:rsid w:val="00463A7B"/>
    <w:rsid w:val="00463DEA"/>
    <w:rsid w:val="004643C3"/>
    <w:rsid w:val="004655A0"/>
    <w:rsid w:val="00465B15"/>
    <w:rsid w:val="00465BAD"/>
    <w:rsid w:val="004660FF"/>
    <w:rsid w:val="0046734B"/>
    <w:rsid w:val="00467B42"/>
    <w:rsid w:val="00470699"/>
    <w:rsid w:val="004710AA"/>
    <w:rsid w:val="004710FD"/>
    <w:rsid w:val="00473436"/>
    <w:rsid w:val="0047359A"/>
    <w:rsid w:val="004746CD"/>
    <w:rsid w:val="00474AC7"/>
    <w:rsid w:val="004755DD"/>
    <w:rsid w:val="00475938"/>
    <w:rsid w:val="00476B01"/>
    <w:rsid w:val="00476E0B"/>
    <w:rsid w:val="0048047A"/>
    <w:rsid w:val="004816C4"/>
    <w:rsid w:val="004847D6"/>
    <w:rsid w:val="00484CD6"/>
    <w:rsid w:val="00486503"/>
    <w:rsid w:val="00486D9C"/>
    <w:rsid w:val="0049383C"/>
    <w:rsid w:val="00495119"/>
    <w:rsid w:val="00496AE1"/>
    <w:rsid w:val="00496B82"/>
    <w:rsid w:val="00496BC4"/>
    <w:rsid w:val="004A00E1"/>
    <w:rsid w:val="004A0744"/>
    <w:rsid w:val="004A1C0F"/>
    <w:rsid w:val="004A233C"/>
    <w:rsid w:val="004A261C"/>
    <w:rsid w:val="004A2894"/>
    <w:rsid w:val="004A3434"/>
    <w:rsid w:val="004A6B8D"/>
    <w:rsid w:val="004A796A"/>
    <w:rsid w:val="004A7DE3"/>
    <w:rsid w:val="004B2A32"/>
    <w:rsid w:val="004B4558"/>
    <w:rsid w:val="004B46FB"/>
    <w:rsid w:val="004B5E9D"/>
    <w:rsid w:val="004B652D"/>
    <w:rsid w:val="004B73F9"/>
    <w:rsid w:val="004C03FB"/>
    <w:rsid w:val="004C0932"/>
    <w:rsid w:val="004C63FA"/>
    <w:rsid w:val="004C6F26"/>
    <w:rsid w:val="004D0ADE"/>
    <w:rsid w:val="004D0E87"/>
    <w:rsid w:val="004D178D"/>
    <w:rsid w:val="004D2492"/>
    <w:rsid w:val="004D2887"/>
    <w:rsid w:val="004D48CA"/>
    <w:rsid w:val="004D5DFD"/>
    <w:rsid w:val="004D78B4"/>
    <w:rsid w:val="004D7E8F"/>
    <w:rsid w:val="004E13D2"/>
    <w:rsid w:val="004E2701"/>
    <w:rsid w:val="004E2CD9"/>
    <w:rsid w:val="004E3519"/>
    <w:rsid w:val="004E3D3A"/>
    <w:rsid w:val="004E3F23"/>
    <w:rsid w:val="004E5A7E"/>
    <w:rsid w:val="004F05AF"/>
    <w:rsid w:val="004F0E3C"/>
    <w:rsid w:val="004F2F89"/>
    <w:rsid w:val="004F3F65"/>
    <w:rsid w:val="005000F2"/>
    <w:rsid w:val="0050113C"/>
    <w:rsid w:val="005018F5"/>
    <w:rsid w:val="00503A26"/>
    <w:rsid w:val="005110C2"/>
    <w:rsid w:val="00511D7E"/>
    <w:rsid w:val="00513DE2"/>
    <w:rsid w:val="00514B0B"/>
    <w:rsid w:val="00514D77"/>
    <w:rsid w:val="00516B91"/>
    <w:rsid w:val="00516C9C"/>
    <w:rsid w:val="005221E8"/>
    <w:rsid w:val="00527DB1"/>
    <w:rsid w:val="00531338"/>
    <w:rsid w:val="00532953"/>
    <w:rsid w:val="0053611C"/>
    <w:rsid w:val="00537799"/>
    <w:rsid w:val="00541457"/>
    <w:rsid w:val="00543CFA"/>
    <w:rsid w:val="00546903"/>
    <w:rsid w:val="00551567"/>
    <w:rsid w:val="00552AB7"/>
    <w:rsid w:val="00552ED5"/>
    <w:rsid w:val="00553166"/>
    <w:rsid w:val="005546C1"/>
    <w:rsid w:val="00560604"/>
    <w:rsid w:val="00562FFD"/>
    <w:rsid w:val="00565002"/>
    <w:rsid w:val="005666DE"/>
    <w:rsid w:val="00566B02"/>
    <w:rsid w:val="00570056"/>
    <w:rsid w:val="00570862"/>
    <w:rsid w:val="00572166"/>
    <w:rsid w:val="0057335C"/>
    <w:rsid w:val="00577376"/>
    <w:rsid w:val="00581837"/>
    <w:rsid w:val="0058604D"/>
    <w:rsid w:val="005860D0"/>
    <w:rsid w:val="0058656A"/>
    <w:rsid w:val="00586834"/>
    <w:rsid w:val="00587108"/>
    <w:rsid w:val="00592318"/>
    <w:rsid w:val="005963F4"/>
    <w:rsid w:val="00597D0A"/>
    <w:rsid w:val="005A42E8"/>
    <w:rsid w:val="005A5985"/>
    <w:rsid w:val="005A6638"/>
    <w:rsid w:val="005A7538"/>
    <w:rsid w:val="005A7621"/>
    <w:rsid w:val="005A765A"/>
    <w:rsid w:val="005B1250"/>
    <w:rsid w:val="005B1A77"/>
    <w:rsid w:val="005B1A7A"/>
    <w:rsid w:val="005B4E3B"/>
    <w:rsid w:val="005B5BAF"/>
    <w:rsid w:val="005B5F59"/>
    <w:rsid w:val="005B70FF"/>
    <w:rsid w:val="005C255B"/>
    <w:rsid w:val="005C2FC1"/>
    <w:rsid w:val="005C4D42"/>
    <w:rsid w:val="005C51E7"/>
    <w:rsid w:val="005C578A"/>
    <w:rsid w:val="005C5B4F"/>
    <w:rsid w:val="005C6CAD"/>
    <w:rsid w:val="005C6FE5"/>
    <w:rsid w:val="005D08F3"/>
    <w:rsid w:val="005D0E22"/>
    <w:rsid w:val="005D2180"/>
    <w:rsid w:val="005D604A"/>
    <w:rsid w:val="005D6746"/>
    <w:rsid w:val="005E038D"/>
    <w:rsid w:val="005E0DE9"/>
    <w:rsid w:val="005E14AD"/>
    <w:rsid w:val="005E154C"/>
    <w:rsid w:val="005E17B0"/>
    <w:rsid w:val="005E2FDE"/>
    <w:rsid w:val="005E479F"/>
    <w:rsid w:val="005E7AC0"/>
    <w:rsid w:val="005F279F"/>
    <w:rsid w:val="005F29F5"/>
    <w:rsid w:val="005F3610"/>
    <w:rsid w:val="005F49D6"/>
    <w:rsid w:val="005F4D96"/>
    <w:rsid w:val="005F7FC7"/>
    <w:rsid w:val="0060040B"/>
    <w:rsid w:val="00600990"/>
    <w:rsid w:val="006017F5"/>
    <w:rsid w:val="00605885"/>
    <w:rsid w:val="006112F7"/>
    <w:rsid w:val="0061197E"/>
    <w:rsid w:val="00613943"/>
    <w:rsid w:val="00614C97"/>
    <w:rsid w:val="0061629F"/>
    <w:rsid w:val="00616682"/>
    <w:rsid w:val="0061780B"/>
    <w:rsid w:val="00621505"/>
    <w:rsid w:val="00621DBC"/>
    <w:rsid w:val="00622B00"/>
    <w:rsid w:val="00623494"/>
    <w:rsid w:val="006243E3"/>
    <w:rsid w:val="0062792E"/>
    <w:rsid w:val="00630C81"/>
    <w:rsid w:val="0063153B"/>
    <w:rsid w:val="00632590"/>
    <w:rsid w:val="0063290E"/>
    <w:rsid w:val="00633103"/>
    <w:rsid w:val="0063365A"/>
    <w:rsid w:val="00633BBE"/>
    <w:rsid w:val="0063403C"/>
    <w:rsid w:val="006367B3"/>
    <w:rsid w:val="006369F9"/>
    <w:rsid w:val="00637C4C"/>
    <w:rsid w:val="00641069"/>
    <w:rsid w:val="00641423"/>
    <w:rsid w:val="00646424"/>
    <w:rsid w:val="006467D2"/>
    <w:rsid w:val="00646D19"/>
    <w:rsid w:val="00650746"/>
    <w:rsid w:val="0065164E"/>
    <w:rsid w:val="006519AE"/>
    <w:rsid w:val="006541E9"/>
    <w:rsid w:val="0065428F"/>
    <w:rsid w:val="00654361"/>
    <w:rsid w:val="00655432"/>
    <w:rsid w:val="0065595F"/>
    <w:rsid w:val="00655B9B"/>
    <w:rsid w:val="00655ECB"/>
    <w:rsid w:val="00655F1A"/>
    <w:rsid w:val="0066047D"/>
    <w:rsid w:val="00661D20"/>
    <w:rsid w:val="006635CA"/>
    <w:rsid w:val="0066549E"/>
    <w:rsid w:val="0066767C"/>
    <w:rsid w:val="00671AA4"/>
    <w:rsid w:val="006731BF"/>
    <w:rsid w:val="00673FEF"/>
    <w:rsid w:val="00674796"/>
    <w:rsid w:val="00674DD5"/>
    <w:rsid w:val="00675C41"/>
    <w:rsid w:val="006806D9"/>
    <w:rsid w:val="006818D1"/>
    <w:rsid w:val="006842EE"/>
    <w:rsid w:val="006844DD"/>
    <w:rsid w:val="00685883"/>
    <w:rsid w:val="00686554"/>
    <w:rsid w:val="00690C5D"/>
    <w:rsid w:val="00692733"/>
    <w:rsid w:val="00694834"/>
    <w:rsid w:val="006973F2"/>
    <w:rsid w:val="0069770D"/>
    <w:rsid w:val="00697CFC"/>
    <w:rsid w:val="006A0077"/>
    <w:rsid w:val="006A13EF"/>
    <w:rsid w:val="006A279D"/>
    <w:rsid w:val="006A5E32"/>
    <w:rsid w:val="006A7042"/>
    <w:rsid w:val="006B014F"/>
    <w:rsid w:val="006B04AD"/>
    <w:rsid w:val="006B1120"/>
    <w:rsid w:val="006B2B34"/>
    <w:rsid w:val="006B36FD"/>
    <w:rsid w:val="006B55B7"/>
    <w:rsid w:val="006C4B7C"/>
    <w:rsid w:val="006C6AA1"/>
    <w:rsid w:val="006D15A2"/>
    <w:rsid w:val="006D36FC"/>
    <w:rsid w:val="006D573E"/>
    <w:rsid w:val="006D6821"/>
    <w:rsid w:val="006E0854"/>
    <w:rsid w:val="006E24AD"/>
    <w:rsid w:val="006E5CF7"/>
    <w:rsid w:val="006E66CD"/>
    <w:rsid w:val="006E6D45"/>
    <w:rsid w:val="006F2553"/>
    <w:rsid w:val="006F2D0F"/>
    <w:rsid w:val="006F3B94"/>
    <w:rsid w:val="006F3FEA"/>
    <w:rsid w:val="006F4AD1"/>
    <w:rsid w:val="006F4F87"/>
    <w:rsid w:val="006F7915"/>
    <w:rsid w:val="00705352"/>
    <w:rsid w:val="00705A13"/>
    <w:rsid w:val="00712B70"/>
    <w:rsid w:val="00712BDF"/>
    <w:rsid w:val="007131BB"/>
    <w:rsid w:val="00713A39"/>
    <w:rsid w:val="00714BD0"/>
    <w:rsid w:val="007154DF"/>
    <w:rsid w:val="00715B9A"/>
    <w:rsid w:val="00716394"/>
    <w:rsid w:val="00717A13"/>
    <w:rsid w:val="00720AD9"/>
    <w:rsid w:val="00722759"/>
    <w:rsid w:val="00723FCB"/>
    <w:rsid w:val="007255C2"/>
    <w:rsid w:val="00730517"/>
    <w:rsid w:val="00732119"/>
    <w:rsid w:val="00736803"/>
    <w:rsid w:val="00737DE9"/>
    <w:rsid w:val="0074040E"/>
    <w:rsid w:val="007419B1"/>
    <w:rsid w:val="0074724F"/>
    <w:rsid w:val="00751C0F"/>
    <w:rsid w:val="0075368D"/>
    <w:rsid w:val="007537DE"/>
    <w:rsid w:val="0075514B"/>
    <w:rsid w:val="007601EC"/>
    <w:rsid w:val="00762CA4"/>
    <w:rsid w:val="00764D4A"/>
    <w:rsid w:val="0076722C"/>
    <w:rsid w:val="00772090"/>
    <w:rsid w:val="00773AEE"/>
    <w:rsid w:val="00774FC7"/>
    <w:rsid w:val="0077535C"/>
    <w:rsid w:val="00776713"/>
    <w:rsid w:val="007808EE"/>
    <w:rsid w:val="00781C4A"/>
    <w:rsid w:val="00784D2D"/>
    <w:rsid w:val="0079467E"/>
    <w:rsid w:val="00794BC6"/>
    <w:rsid w:val="007950B6"/>
    <w:rsid w:val="007952FB"/>
    <w:rsid w:val="007956D3"/>
    <w:rsid w:val="0079789E"/>
    <w:rsid w:val="007A16EF"/>
    <w:rsid w:val="007A3CF6"/>
    <w:rsid w:val="007A5BF7"/>
    <w:rsid w:val="007B1CD9"/>
    <w:rsid w:val="007B251E"/>
    <w:rsid w:val="007B38B7"/>
    <w:rsid w:val="007B41CE"/>
    <w:rsid w:val="007B44BA"/>
    <w:rsid w:val="007B491D"/>
    <w:rsid w:val="007B5191"/>
    <w:rsid w:val="007B544E"/>
    <w:rsid w:val="007B5E57"/>
    <w:rsid w:val="007B6408"/>
    <w:rsid w:val="007B66C3"/>
    <w:rsid w:val="007B6A6A"/>
    <w:rsid w:val="007B7386"/>
    <w:rsid w:val="007B7FCE"/>
    <w:rsid w:val="007C0551"/>
    <w:rsid w:val="007C13C5"/>
    <w:rsid w:val="007C165C"/>
    <w:rsid w:val="007C16EF"/>
    <w:rsid w:val="007C1E0D"/>
    <w:rsid w:val="007C324E"/>
    <w:rsid w:val="007C5F77"/>
    <w:rsid w:val="007C6029"/>
    <w:rsid w:val="007C695C"/>
    <w:rsid w:val="007C782F"/>
    <w:rsid w:val="007C7938"/>
    <w:rsid w:val="007C7F7F"/>
    <w:rsid w:val="007D42D0"/>
    <w:rsid w:val="007D482E"/>
    <w:rsid w:val="007D4CB3"/>
    <w:rsid w:val="007D558E"/>
    <w:rsid w:val="007D58E4"/>
    <w:rsid w:val="007D7C69"/>
    <w:rsid w:val="007E1336"/>
    <w:rsid w:val="007E1D10"/>
    <w:rsid w:val="007E1E4A"/>
    <w:rsid w:val="007E2D9F"/>
    <w:rsid w:val="007E5840"/>
    <w:rsid w:val="007E6465"/>
    <w:rsid w:val="007E71CA"/>
    <w:rsid w:val="007F06A5"/>
    <w:rsid w:val="007F3259"/>
    <w:rsid w:val="007F3785"/>
    <w:rsid w:val="007F4ED3"/>
    <w:rsid w:val="007F52F0"/>
    <w:rsid w:val="007F5D17"/>
    <w:rsid w:val="007F5D9D"/>
    <w:rsid w:val="008008CA"/>
    <w:rsid w:val="00801539"/>
    <w:rsid w:val="00802674"/>
    <w:rsid w:val="00802798"/>
    <w:rsid w:val="00804727"/>
    <w:rsid w:val="00804931"/>
    <w:rsid w:val="00805CC0"/>
    <w:rsid w:val="00806841"/>
    <w:rsid w:val="00806B0A"/>
    <w:rsid w:val="008118F6"/>
    <w:rsid w:val="008119DF"/>
    <w:rsid w:val="00812826"/>
    <w:rsid w:val="00814767"/>
    <w:rsid w:val="008153B8"/>
    <w:rsid w:val="0081588A"/>
    <w:rsid w:val="008166E6"/>
    <w:rsid w:val="00816A3B"/>
    <w:rsid w:val="00816E68"/>
    <w:rsid w:val="00817AC6"/>
    <w:rsid w:val="00817D8F"/>
    <w:rsid w:val="00820E83"/>
    <w:rsid w:val="00822355"/>
    <w:rsid w:val="00822A76"/>
    <w:rsid w:val="0082387A"/>
    <w:rsid w:val="00824980"/>
    <w:rsid w:val="008271F4"/>
    <w:rsid w:val="00827C66"/>
    <w:rsid w:val="00831005"/>
    <w:rsid w:val="00833680"/>
    <w:rsid w:val="0083415D"/>
    <w:rsid w:val="0083480E"/>
    <w:rsid w:val="00834D08"/>
    <w:rsid w:val="00835236"/>
    <w:rsid w:val="008364F1"/>
    <w:rsid w:val="008367A9"/>
    <w:rsid w:val="00842DBC"/>
    <w:rsid w:val="0084356F"/>
    <w:rsid w:val="008439D1"/>
    <w:rsid w:val="0084414F"/>
    <w:rsid w:val="00846494"/>
    <w:rsid w:val="00852F9D"/>
    <w:rsid w:val="00854129"/>
    <w:rsid w:val="00860AE9"/>
    <w:rsid w:val="00864255"/>
    <w:rsid w:val="00864299"/>
    <w:rsid w:val="008650B5"/>
    <w:rsid w:val="00865592"/>
    <w:rsid w:val="00865B0B"/>
    <w:rsid w:val="00867491"/>
    <w:rsid w:val="00872F6F"/>
    <w:rsid w:val="008747F1"/>
    <w:rsid w:val="00874B2C"/>
    <w:rsid w:val="00881445"/>
    <w:rsid w:val="00882192"/>
    <w:rsid w:val="0088298E"/>
    <w:rsid w:val="0088352A"/>
    <w:rsid w:val="00884D5B"/>
    <w:rsid w:val="00886011"/>
    <w:rsid w:val="00886B38"/>
    <w:rsid w:val="00890549"/>
    <w:rsid w:val="00892835"/>
    <w:rsid w:val="008932C1"/>
    <w:rsid w:val="00893432"/>
    <w:rsid w:val="00893788"/>
    <w:rsid w:val="00894447"/>
    <w:rsid w:val="00894D02"/>
    <w:rsid w:val="00896FF5"/>
    <w:rsid w:val="008A28E0"/>
    <w:rsid w:val="008A2CA0"/>
    <w:rsid w:val="008A3290"/>
    <w:rsid w:val="008A3E34"/>
    <w:rsid w:val="008A5B68"/>
    <w:rsid w:val="008B191E"/>
    <w:rsid w:val="008B25A6"/>
    <w:rsid w:val="008B68EA"/>
    <w:rsid w:val="008B6A27"/>
    <w:rsid w:val="008B7B40"/>
    <w:rsid w:val="008C0A0F"/>
    <w:rsid w:val="008C2FE1"/>
    <w:rsid w:val="008C4E43"/>
    <w:rsid w:val="008C4FA6"/>
    <w:rsid w:val="008C549E"/>
    <w:rsid w:val="008C6B8D"/>
    <w:rsid w:val="008D078F"/>
    <w:rsid w:val="008D1324"/>
    <w:rsid w:val="008E5A06"/>
    <w:rsid w:val="008E5A27"/>
    <w:rsid w:val="008E64C5"/>
    <w:rsid w:val="008E679A"/>
    <w:rsid w:val="008F23E9"/>
    <w:rsid w:val="008F2F4A"/>
    <w:rsid w:val="008F4330"/>
    <w:rsid w:val="008F4A42"/>
    <w:rsid w:val="00900E58"/>
    <w:rsid w:val="00902589"/>
    <w:rsid w:val="0090299D"/>
    <w:rsid w:val="00902E85"/>
    <w:rsid w:val="0090475E"/>
    <w:rsid w:val="00905034"/>
    <w:rsid w:val="009074DF"/>
    <w:rsid w:val="009107D8"/>
    <w:rsid w:val="009119CA"/>
    <w:rsid w:val="00911B0A"/>
    <w:rsid w:val="00917AE6"/>
    <w:rsid w:val="00922AA6"/>
    <w:rsid w:val="009237C2"/>
    <w:rsid w:val="00924CC6"/>
    <w:rsid w:val="00927735"/>
    <w:rsid w:val="0093291E"/>
    <w:rsid w:val="00934EDF"/>
    <w:rsid w:val="009358B2"/>
    <w:rsid w:val="0094027E"/>
    <w:rsid w:val="00941C0D"/>
    <w:rsid w:val="009426AB"/>
    <w:rsid w:val="00952FA5"/>
    <w:rsid w:val="009537FB"/>
    <w:rsid w:val="00954CE7"/>
    <w:rsid w:val="009560D3"/>
    <w:rsid w:val="009577B9"/>
    <w:rsid w:val="00957C76"/>
    <w:rsid w:val="0096067D"/>
    <w:rsid w:val="00961412"/>
    <w:rsid w:val="00961464"/>
    <w:rsid w:val="00962998"/>
    <w:rsid w:val="009638F2"/>
    <w:rsid w:val="00963CB4"/>
    <w:rsid w:val="00963DE5"/>
    <w:rsid w:val="00966F73"/>
    <w:rsid w:val="00967157"/>
    <w:rsid w:val="0096747D"/>
    <w:rsid w:val="00970588"/>
    <w:rsid w:val="009707F2"/>
    <w:rsid w:val="00971A89"/>
    <w:rsid w:val="0097431C"/>
    <w:rsid w:val="00975C8E"/>
    <w:rsid w:val="00977A5A"/>
    <w:rsid w:val="00977E47"/>
    <w:rsid w:val="009808ED"/>
    <w:rsid w:val="00980E7A"/>
    <w:rsid w:val="00981E2C"/>
    <w:rsid w:val="0098429E"/>
    <w:rsid w:val="00985C6C"/>
    <w:rsid w:val="00985CDE"/>
    <w:rsid w:val="00991FC1"/>
    <w:rsid w:val="00992C5E"/>
    <w:rsid w:val="009953E0"/>
    <w:rsid w:val="00995D2D"/>
    <w:rsid w:val="00995D56"/>
    <w:rsid w:val="0099612C"/>
    <w:rsid w:val="00996EF7"/>
    <w:rsid w:val="0099722C"/>
    <w:rsid w:val="009A1A1F"/>
    <w:rsid w:val="009A22EF"/>
    <w:rsid w:val="009A2FE7"/>
    <w:rsid w:val="009A317F"/>
    <w:rsid w:val="009A5C31"/>
    <w:rsid w:val="009A5C64"/>
    <w:rsid w:val="009B49F2"/>
    <w:rsid w:val="009B580D"/>
    <w:rsid w:val="009B5A07"/>
    <w:rsid w:val="009B66A1"/>
    <w:rsid w:val="009B719E"/>
    <w:rsid w:val="009C0CB6"/>
    <w:rsid w:val="009C1DD8"/>
    <w:rsid w:val="009C225E"/>
    <w:rsid w:val="009C228F"/>
    <w:rsid w:val="009C4544"/>
    <w:rsid w:val="009C5F05"/>
    <w:rsid w:val="009D09EC"/>
    <w:rsid w:val="009D27E0"/>
    <w:rsid w:val="009E0529"/>
    <w:rsid w:val="009E0F10"/>
    <w:rsid w:val="009E3212"/>
    <w:rsid w:val="009E6BDA"/>
    <w:rsid w:val="009F110A"/>
    <w:rsid w:val="009F163B"/>
    <w:rsid w:val="009F1AF9"/>
    <w:rsid w:val="009F2BEC"/>
    <w:rsid w:val="009F2FA4"/>
    <w:rsid w:val="009F30AA"/>
    <w:rsid w:val="009F3CCD"/>
    <w:rsid w:val="009F4FBE"/>
    <w:rsid w:val="009F5356"/>
    <w:rsid w:val="009F5BAC"/>
    <w:rsid w:val="009F5C14"/>
    <w:rsid w:val="009F7AB6"/>
    <w:rsid w:val="00A0102C"/>
    <w:rsid w:val="00A0311C"/>
    <w:rsid w:val="00A05A24"/>
    <w:rsid w:val="00A064D1"/>
    <w:rsid w:val="00A0650D"/>
    <w:rsid w:val="00A06D5F"/>
    <w:rsid w:val="00A13D37"/>
    <w:rsid w:val="00A1734F"/>
    <w:rsid w:val="00A24F48"/>
    <w:rsid w:val="00A25918"/>
    <w:rsid w:val="00A26A7F"/>
    <w:rsid w:val="00A274FC"/>
    <w:rsid w:val="00A278AF"/>
    <w:rsid w:val="00A337E9"/>
    <w:rsid w:val="00A35CD9"/>
    <w:rsid w:val="00A40C8C"/>
    <w:rsid w:val="00A40D7F"/>
    <w:rsid w:val="00A44F87"/>
    <w:rsid w:val="00A453C3"/>
    <w:rsid w:val="00A479E3"/>
    <w:rsid w:val="00A47C78"/>
    <w:rsid w:val="00A5076B"/>
    <w:rsid w:val="00A50AC5"/>
    <w:rsid w:val="00A5122C"/>
    <w:rsid w:val="00A51D97"/>
    <w:rsid w:val="00A537D9"/>
    <w:rsid w:val="00A55538"/>
    <w:rsid w:val="00A55B33"/>
    <w:rsid w:val="00A561C2"/>
    <w:rsid w:val="00A573E4"/>
    <w:rsid w:val="00A60B97"/>
    <w:rsid w:val="00A62CA7"/>
    <w:rsid w:val="00A6365F"/>
    <w:rsid w:val="00A646F7"/>
    <w:rsid w:val="00A65FBA"/>
    <w:rsid w:val="00A65FFE"/>
    <w:rsid w:val="00A70A73"/>
    <w:rsid w:val="00A71769"/>
    <w:rsid w:val="00A71A7A"/>
    <w:rsid w:val="00A72845"/>
    <w:rsid w:val="00A73E50"/>
    <w:rsid w:val="00A748B1"/>
    <w:rsid w:val="00A76F61"/>
    <w:rsid w:val="00A80CDD"/>
    <w:rsid w:val="00A80F01"/>
    <w:rsid w:val="00A818F2"/>
    <w:rsid w:val="00A81940"/>
    <w:rsid w:val="00A831A9"/>
    <w:rsid w:val="00A873EC"/>
    <w:rsid w:val="00A9198D"/>
    <w:rsid w:val="00A94F72"/>
    <w:rsid w:val="00A95C39"/>
    <w:rsid w:val="00A95FA8"/>
    <w:rsid w:val="00A97025"/>
    <w:rsid w:val="00A971B9"/>
    <w:rsid w:val="00AA01B0"/>
    <w:rsid w:val="00AA07FA"/>
    <w:rsid w:val="00AA08C0"/>
    <w:rsid w:val="00AA2CA8"/>
    <w:rsid w:val="00AA4451"/>
    <w:rsid w:val="00AA5DE0"/>
    <w:rsid w:val="00AB15A2"/>
    <w:rsid w:val="00AB1634"/>
    <w:rsid w:val="00AB1650"/>
    <w:rsid w:val="00AB4608"/>
    <w:rsid w:val="00AB699B"/>
    <w:rsid w:val="00AB6EFB"/>
    <w:rsid w:val="00AC00DC"/>
    <w:rsid w:val="00AC0439"/>
    <w:rsid w:val="00AC129F"/>
    <w:rsid w:val="00AC13CF"/>
    <w:rsid w:val="00AC36CF"/>
    <w:rsid w:val="00AC4383"/>
    <w:rsid w:val="00AD1017"/>
    <w:rsid w:val="00AD3EE4"/>
    <w:rsid w:val="00AD4D18"/>
    <w:rsid w:val="00AD5ECB"/>
    <w:rsid w:val="00AD64DF"/>
    <w:rsid w:val="00AD6D85"/>
    <w:rsid w:val="00AD7094"/>
    <w:rsid w:val="00AE0A5E"/>
    <w:rsid w:val="00AE0C05"/>
    <w:rsid w:val="00AE10E0"/>
    <w:rsid w:val="00AE2335"/>
    <w:rsid w:val="00AE3660"/>
    <w:rsid w:val="00AE5317"/>
    <w:rsid w:val="00AE5F04"/>
    <w:rsid w:val="00AE60C9"/>
    <w:rsid w:val="00AE7DDF"/>
    <w:rsid w:val="00AF1C3E"/>
    <w:rsid w:val="00AF24E7"/>
    <w:rsid w:val="00AF26C1"/>
    <w:rsid w:val="00AF29F8"/>
    <w:rsid w:val="00AF424A"/>
    <w:rsid w:val="00AF4325"/>
    <w:rsid w:val="00AF51FF"/>
    <w:rsid w:val="00AF5374"/>
    <w:rsid w:val="00AF584C"/>
    <w:rsid w:val="00AF5A8E"/>
    <w:rsid w:val="00AF6E72"/>
    <w:rsid w:val="00B00B7D"/>
    <w:rsid w:val="00B05144"/>
    <w:rsid w:val="00B10D3F"/>
    <w:rsid w:val="00B12930"/>
    <w:rsid w:val="00B1655B"/>
    <w:rsid w:val="00B2391E"/>
    <w:rsid w:val="00B26D11"/>
    <w:rsid w:val="00B27F33"/>
    <w:rsid w:val="00B30A4E"/>
    <w:rsid w:val="00B33887"/>
    <w:rsid w:val="00B35314"/>
    <w:rsid w:val="00B35543"/>
    <w:rsid w:val="00B360E5"/>
    <w:rsid w:val="00B361C1"/>
    <w:rsid w:val="00B37B71"/>
    <w:rsid w:val="00B4006C"/>
    <w:rsid w:val="00B43883"/>
    <w:rsid w:val="00B44871"/>
    <w:rsid w:val="00B462B5"/>
    <w:rsid w:val="00B46E90"/>
    <w:rsid w:val="00B46E95"/>
    <w:rsid w:val="00B528C1"/>
    <w:rsid w:val="00B5290E"/>
    <w:rsid w:val="00B53E7E"/>
    <w:rsid w:val="00B5407E"/>
    <w:rsid w:val="00B54BFC"/>
    <w:rsid w:val="00B5595F"/>
    <w:rsid w:val="00B57BF5"/>
    <w:rsid w:val="00B63B60"/>
    <w:rsid w:val="00B64374"/>
    <w:rsid w:val="00B700B7"/>
    <w:rsid w:val="00B72C63"/>
    <w:rsid w:val="00B72FD3"/>
    <w:rsid w:val="00B73171"/>
    <w:rsid w:val="00B7385A"/>
    <w:rsid w:val="00B74457"/>
    <w:rsid w:val="00B77640"/>
    <w:rsid w:val="00B82512"/>
    <w:rsid w:val="00B82963"/>
    <w:rsid w:val="00B83490"/>
    <w:rsid w:val="00B83DEA"/>
    <w:rsid w:val="00B85858"/>
    <w:rsid w:val="00B861FF"/>
    <w:rsid w:val="00B862AF"/>
    <w:rsid w:val="00B87A1B"/>
    <w:rsid w:val="00B90835"/>
    <w:rsid w:val="00B910A4"/>
    <w:rsid w:val="00B92505"/>
    <w:rsid w:val="00B9291F"/>
    <w:rsid w:val="00B9387C"/>
    <w:rsid w:val="00B94FE1"/>
    <w:rsid w:val="00B956D9"/>
    <w:rsid w:val="00B9585B"/>
    <w:rsid w:val="00B97B71"/>
    <w:rsid w:val="00BA0CED"/>
    <w:rsid w:val="00BA3467"/>
    <w:rsid w:val="00BA482F"/>
    <w:rsid w:val="00BA59E3"/>
    <w:rsid w:val="00BA5DCB"/>
    <w:rsid w:val="00BA669A"/>
    <w:rsid w:val="00BA6B36"/>
    <w:rsid w:val="00BA7154"/>
    <w:rsid w:val="00BB0445"/>
    <w:rsid w:val="00BB6EE0"/>
    <w:rsid w:val="00BB7E60"/>
    <w:rsid w:val="00BC2393"/>
    <w:rsid w:val="00BC353D"/>
    <w:rsid w:val="00BD16BD"/>
    <w:rsid w:val="00BD2956"/>
    <w:rsid w:val="00BD30BF"/>
    <w:rsid w:val="00BD4331"/>
    <w:rsid w:val="00BD445B"/>
    <w:rsid w:val="00BD458B"/>
    <w:rsid w:val="00BD6D3E"/>
    <w:rsid w:val="00BD79CB"/>
    <w:rsid w:val="00BE43BF"/>
    <w:rsid w:val="00BE4B65"/>
    <w:rsid w:val="00BF01B9"/>
    <w:rsid w:val="00BF057C"/>
    <w:rsid w:val="00BF08D3"/>
    <w:rsid w:val="00BF120B"/>
    <w:rsid w:val="00BF17AD"/>
    <w:rsid w:val="00BF3D30"/>
    <w:rsid w:val="00BF4871"/>
    <w:rsid w:val="00BF56DB"/>
    <w:rsid w:val="00BF6950"/>
    <w:rsid w:val="00C0217A"/>
    <w:rsid w:val="00C03BF1"/>
    <w:rsid w:val="00C04395"/>
    <w:rsid w:val="00C056DA"/>
    <w:rsid w:val="00C057FE"/>
    <w:rsid w:val="00C10029"/>
    <w:rsid w:val="00C103A0"/>
    <w:rsid w:val="00C106AE"/>
    <w:rsid w:val="00C11B92"/>
    <w:rsid w:val="00C12380"/>
    <w:rsid w:val="00C135E4"/>
    <w:rsid w:val="00C14345"/>
    <w:rsid w:val="00C209AE"/>
    <w:rsid w:val="00C209CE"/>
    <w:rsid w:val="00C2191D"/>
    <w:rsid w:val="00C21C89"/>
    <w:rsid w:val="00C220AB"/>
    <w:rsid w:val="00C226A5"/>
    <w:rsid w:val="00C22F66"/>
    <w:rsid w:val="00C2334C"/>
    <w:rsid w:val="00C248AF"/>
    <w:rsid w:val="00C24A42"/>
    <w:rsid w:val="00C265E3"/>
    <w:rsid w:val="00C27F30"/>
    <w:rsid w:val="00C33061"/>
    <w:rsid w:val="00C3312C"/>
    <w:rsid w:val="00C33313"/>
    <w:rsid w:val="00C33F93"/>
    <w:rsid w:val="00C3505D"/>
    <w:rsid w:val="00C36A42"/>
    <w:rsid w:val="00C37938"/>
    <w:rsid w:val="00C407F9"/>
    <w:rsid w:val="00C424B4"/>
    <w:rsid w:val="00C42F6F"/>
    <w:rsid w:val="00C4304C"/>
    <w:rsid w:val="00C47926"/>
    <w:rsid w:val="00C4797D"/>
    <w:rsid w:val="00C50048"/>
    <w:rsid w:val="00C50E3E"/>
    <w:rsid w:val="00C56288"/>
    <w:rsid w:val="00C577B4"/>
    <w:rsid w:val="00C579B8"/>
    <w:rsid w:val="00C60237"/>
    <w:rsid w:val="00C61203"/>
    <w:rsid w:val="00C64922"/>
    <w:rsid w:val="00C652F9"/>
    <w:rsid w:val="00C66159"/>
    <w:rsid w:val="00C67181"/>
    <w:rsid w:val="00C70C1D"/>
    <w:rsid w:val="00C73F20"/>
    <w:rsid w:val="00C740B3"/>
    <w:rsid w:val="00C74F74"/>
    <w:rsid w:val="00C760E6"/>
    <w:rsid w:val="00C76448"/>
    <w:rsid w:val="00C77662"/>
    <w:rsid w:val="00C80AAF"/>
    <w:rsid w:val="00C8270E"/>
    <w:rsid w:val="00C834A0"/>
    <w:rsid w:val="00C86731"/>
    <w:rsid w:val="00C87C5D"/>
    <w:rsid w:val="00C90B4F"/>
    <w:rsid w:val="00C948F2"/>
    <w:rsid w:val="00C94A36"/>
    <w:rsid w:val="00C95210"/>
    <w:rsid w:val="00C96110"/>
    <w:rsid w:val="00CA2D74"/>
    <w:rsid w:val="00CA4325"/>
    <w:rsid w:val="00CA555F"/>
    <w:rsid w:val="00CA66FE"/>
    <w:rsid w:val="00CB2002"/>
    <w:rsid w:val="00CB2E4E"/>
    <w:rsid w:val="00CB347B"/>
    <w:rsid w:val="00CB57FB"/>
    <w:rsid w:val="00CB5BFA"/>
    <w:rsid w:val="00CB6801"/>
    <w:rsid w:val="00CB7489"/>
    <w:rsid w:val="00CC00D2"/>
    <w:rsid w:val="00CC0FE2"/>
    <w:rsid w:val="00CC2CD8"/>
    <w:rsid w:val="00CC3120"/>
    <w:rsid w:val="00CC4596"/>
    <w:rsid w:val="00CC5571"/>
    <w:rsid w:val="00CC647F"/>
    <w:rsid w:val="00CC66B8"/>
    <w:rsid w:val="00CC686E"/>
    <w:rsid w:val="00CC6DCB"/>
    <w:rsid w:val="00CD0A8A"/>
    <w:rsid w:val="00CD49FB"/>
    <w:rsid w:val="00CD4FE6"/>
    <w:rsid w:val="00CD59FB"/>
    <w:rsid w:val="00CD5E08"/>
    <w:rsid w:val="00CD62A8"/>
    <w:rsid w:val="00CD6CAC"/>
    <w:rsid w:val="00CD7B38"/>
    <w:rsid w:val="00CE301E"/>
    <w:rsid w:val="00CE32C2"/>
    <w:rsid w:val="00CE34AC"/>
    <w:rsid w:val="00CE6562"/>
    <w:rsid w:val="00CE675D"/>
    <w:rsid w:val="00CE6AA7"/>
    <w:rsid w:val="00CF025E"/>
    <w:rsid w:val="00CF1CCF"/>
    <w:rsid w:val="00CF1F56"/>
    <w:rsid w:val="00CF4FDF"/>
    <w:rsid w:val="00D00A41"/>
    <w:rsid w:val="00D02068"/>
    <w:rsid w:val="00D04AD4"/>
    <w:rsid w:val="00D07D6E"/>
    <w:rsid w:val="00D10528"/>
    <w:rsid w:val="00D14D92"/>
    <w:rsid w:val="00D16670"/>
    <w:rsid w:val="00D167F3"/>
    <w:rsid w:val="00D171F2"/>
    <w:rsid w:val="00D2036C"/>
    <w:rsid w:val="00D238B1"/>
    <w:rsid w:val="00D253D3"/>
    <w:rsid w:val="00D255FE"/>
    <w:rsid w:val="00D266DB"/>
    <w:rsid w:val="00D26C06"/>
    <w:rsid w:val="00D2718C"/>
    <w:rsid w:val="00D2790D"/>
    <w:rsid w:val="00D303D5"/>
    <w:rsid w:val="00D33A23"/>
    <w:rsid w:val="00D34F42"/>
    <w:rsid w:val="00D36A3B"/>
    <w:rsid w:val="00D37337"/>
    <w:rsid w:val="00D434D3"/>
    <w:rsid w:val="00D4466C"/>
    <w:rsid w:val="00D45EA8"/>
    <w:rsid w:val="00D46E67"/>
    <w:rsid w:val="00D520E3"/>
    <w:rsid w:val="00D54BCC"/>
    <w:rsid w:val="00D56DB1"/>
    <w:rsid w:val="00D62BD9"/>
    <w:rsid w:val="00D6629D"/>
    <w:rsid w:val="00D67F12"/>
    <w:rsid w:val="00D706A4"/>
    <w:rsid w:val="00D70D98"/>
    <w:rsid w:val="00D73726"/>
    <w:rsid w:val="00D73B35"/>
    <w:rsid w:val="00D762F2"/>
    <w:rsid w:val="00D76CFE"/>
    <w:rsid w:val="00D774EA"/>
    <w:rsid w:val="00D81AF5"/>
    <w:rsid w:val="00D82C88"/>
    <w:rsid w:val="00D86CC4"/>
    <w:rsid w:val="00D8713E"/>
    <w:rsid w:val="00D90117"/>
    <w:rsid w:val="00D92BCD"/>
    <w:rsid w:val="00D95477"/>
    <w:rsid w:val="00D97F5F"/>
    <w:rsid w:val="00DA06C7"/>
    <w:rsid w:val="00DA5D9B"/>
    <w:rsid w:val="00DA777B"/>
    <w:rsid w:val="00DA77E1"/>
    <w:rsid w:val="00DB08C3"/>
    <w:rsid w:val="00DB4601"/>
    <w:rsid w:val="00DB4D1C"/>
    <w:rsid w:val="00DB5A06"/>
    <w:rsid w:val="00DB5C80"/>
    <w:rsid w:val="00DB62BB"/>
    <w:rsid w:val="00DB650B"/>
    <w:rsid w:val="00DB747D"/>
    <w:rsid w:val="00DC0565"/>
    <w:rsid w:val="00DC098A"/>
    <w:rsid w:val="00DC196E"/>
    <w:rsid w:val="00DC2FE4"/>
    <w:rsid w:val="00DC3F0E"/>
    <w:rsid w:val="00DC4CB8"/>
    <w:rsid w:val="00DC4F78"/>
    <w:rsid w:val="00DC5D90"/>
    <w:rsid w:val="00DD00D1"/>
    <w:rsid w:val="00DD1C5A"/>
    <w:rsid w:val="00DD2B6D"/>
    <w:rsid w:val="00DD326D"/>
    <w:rsid w:val="00DD79F1"/>
    <w:rsid w:val="00DD7D45"/>
    <w:rsid w:val="00DE1149"/>
    <w:rsid w:val="00DE159E"/>
    <w:rsid w:val="00DE333E"/>
    <w:rsid w:val="00DE454A"/>
    <w:rsid w:val="00DE5278"/>
    <w:rsid w:val="00DE6D16"/>
    <w:rsid w:val="00DE7486"/>
    <w:rsid w:val="00DF2051"/>
    <w:rsid w:val="00DF40C2"/>
    <w:rsid w:val="00DF6465"/>
    <w:rsid w:val="00E011BD"/>
    <w:rsid w:val="00E0135E"/>
    <w:rsid w:val="00E04B3D"/>
    <w:rsid w:val="00E07F28"/>
    <w:rsid w:val="00E1078B"/>
    <w:rsid w:val="00E11970"/>
    <w:rsid w:val="00E1284E"/>
    <w:rsid w:val="00E12854"/>
    <w:rsid w:val="00E12C20"/>
    <w:rsid w:val="00E13757"/>
    <w:rsid w:val="00E137B5"/>
    <w:rsid w:val="00E160B9"/>
    <w:rsid w:val="00E1776D"/>
    <w:rsid w:val="00E20743"/>
    <w:rsid w:val="00E220D1"/>
    <w:rsid w:val="00E22A9B"/>
    <w:rsid w:val="00E23825"/>
    <w:rsid w:val="00E25FB2"/>
    <w:rsid w:val="00E260F3"/>
    <w:rsid w:val="00E273CD"/>
    <w:rsid w:val="00E27C93"/>
    <w:rsid w:val="00E30126"/>
    <w:rsid w:val="00E311E3"/>
    <w:rsid w:val="00E32607"/>
    <w:rsid w:val="00E330ED"/>
    <w:rsid w:val="00E336D9"/>
    <w:rsid w:val="00E33826"/>
    <w:rsid w:val="00E33A28"/>
    <w:rsid w:val="00E3410B"/>
    <w:rsid w:val="00E34E06"/>
    <w:rsid w:val="00E35D8C"/>
    <w:rsid w:val="00E367F6"/>
    <w:rsid w:val="00E370CA"/>
    <w:rsid w:val="00E37435"/>
    <w:rsid w:val="00E409FC"/>
    <w:rsid w:val="00E40CAC"/>
    <w:rsid w:val="00E42859"/>
    <w:rsid w:val="00E432E9"/>
    <w:rsid w:val="00E46213"/>
    <w:rsid w:val="00E4775D"/>
    <w:rsid w:val="00E50378"/>
    <w:rsid w:val="00E53434"/>
    <w:rsid w:val="00E542B2"/>
    <w:rsid w:val="00E577B3"/>
    <w:rsid w:val="00E649CE"/>
    <w:rsid w:val="00E654F3"/>
    <w:rsid w:val="00E65792"/>
    <w:rsid w:val="00E65D7E"/>
    <w:rsid w:val="00E67F5A"/>
    <w:rsid w:val="00E70E0E"/>
    <w:rsid w:val="00E71786"/>
    <w:rsid w:val="00E72319"/>
    <w:rsid w:val="00E76BA2"/>
    <w:rsid w:val="00E77617"/>
    <w:rsid w:val="00E8215C"/>
    <w:rsid w:val="00E8273D"/>
    <w:rsid w:val="00E82CB0"/>
    <w:rsid w:val="00E833F9"/>
    <w:rsid w:val="00E83E90"/>
    <w:rsid w:val="00E84566"/>
    <w:rsid w:val="00E91CB5"/>
    <w:rsid w:val="00E936C9"/>
    <w:rsid w:val="00E9558B"/>
    <w:rsid w:val="00E957B2"/>
    <w:rsid w:val="00EA0E4A"/>
    <w:rsid w:val="00EA11B0"/>
    <w:rsid w:val="00EA1F23"/>
    <w:rsid w:val="00EA3352"/>
    <w:rsid w:val="00EA4763"/>
    <w:rsid w:val="00EA6177"/>
    <w:rsid w:val="00EA689C"/>
    <w:rsid w:val="00EA6ED0"/>
    <w:rsid w:val="00EA7D9C"/>
    <w:rsid w:val="00EB0A20"/>
    <w:rsid w:val="00EB279E"/>
    <w:rsid w:val="00EB335B"/>
    <w:rsid w:val="00EB36C7"/>
    <w:rsid w:val="00EB3D19"/>
    <w:rsid w:val="00EB53AA"/>
    <w:rsid w:val="00EB730E"/>
    <w:rsid w:val="00EC1D89"/>
    <w:rsid w:val="00EC3916"/>
    <w:rsid w:val="00EC6824"/>
    <w:rsid w:val="00EC687C"/>
    <w:rsid w:val="00EC7315"/>
    <w:rsid w:val="00ED0F2E"/>
    <w:rsid w:val="00ED1439"/>
    <w:rsid w:val="00ED14C4"/>
    <w:rsid w:val="00ED14FE"/>
    <w:rsid w:val="00ED20FD"/>
    <w:rsid w:val="00ED243A"/>
    <w:rsid w:val="00ED2D33"/>
    <w:rsid w:val="00ED5EE9"/>
    <w:rsid w:val="00ED7B80"/>
    <w:rsid w:val="00EE0B26"/>
    <w:rsid w:val="00EE0B9D"/>
    <w:rsid w:val="00EE0E44"/>
    <w:rsid w:val="00EE3836"/>
    <w:rsid w:val="00EE5477"/>
    <w:rsid w:val="00EE54E0"/>
    <w:rsid w:val="00EE611C"/>
    <w:rsid w:val="00EE657E"/>
    <w:rsid w:val="00EE6FC3"/>
    <w:rsid w:val="00EF03BA"/>
    <w:rsid w:val="00EF77C3"/>
    <w:rsid w:val="00F058F4"/>
    <w:rsid w:val="00F07810"/>
    <w:rsid w:val="00F1024B"/>
    <w:rsid w:val="00F10B56"/>
    <w:rsid w:val="00F11C4D"/>
    <w:rsid w:val="00F11E06"/>
    <w:rsid w:val="00F12CD5"/>
    <w:rsid w:val="00F131A3"/>
    <w:rsid w:val="00F1325D"/>
    <w:rsid w:val="00F13CF6"/>
    <w:rsid w:val="00F141BE"/>
    <w:rsid w:val="00F14C5B"/>
    <w:rsid w:val="00F14F25"/>
    <w:rsid w:val="00F16C06"/>
    <w:rsid w:val="00F17BB5"/>
    <w:rsid w:val="00F17CEE"/>
    <w:rsid w:val="00F20C1F"/>
    <w:rsid w:val="00F21EEB"/>
    <w:rsid w:val="00F22D72"/>
    <w:rsid w:val="00F240D8"/>
    <w:rsid w:val="00F26008"/>
    <w:rsid w:val="00F26BD0"/>
    <w:rsid w:val="00F31DDC"/>
    <w:rsid w:val="00F32A19"/>
    <w:rsid w:val="00F32E64"/>
    <w:rsid w:val="00F350D7"/>
    <w:rsid w:val="00F3595E"/>
    <w:rsid w:val="00F35AB3"/>
    <w:rsid w:val="00F369C8"/>
    <w:rsid w:val="00F36B80"/>
    <w:rsid w:val="00F36C2E"/>
    <w:rsid w:val="00F40767"/>
    <w:rsid w:val="00F40F07"/>
    <w:rsid w:val="00F42114"/>
    <w:rsid w:val="00F43F98"/>
    <w:rsid w:val="00F46104"/>
    <w:rsid w:val="00F47A46"/>
    <w:rsid w:val="00F52CC3"/>
    <w:rsid w:val="00F5566F"/>
    <w:rsid w:val="00F605EB"/>
    <w:rsid w:val="00F60A3F"/>
    <w:rsid w:val="00F64B75"/>
    <w:rsid w:val="00F70480"/>
    <w:rsid w:val="00F713BA"/>
    <w:rsid w:val="00F71EB0"/>
    <w:rsid w:val="00F72741"/>
    <w:rsid w:val="00F72A34"/>
    <w:rsid w:val="00F730B8"/>
    <w:rsid w:val="00F73CDE"/>
    <w:rsid w:val="00F7536E"/>
    <w:rsid w:val="00F7663B"/>
    <w:rsid w:val="00F77558"/>
    <w:rsid w:val="00F838C7"/>
    <w:rsid w:val="00F841C0"/>
    <w:rsid w:val="00F85DF3"/>
    <w:rsid w:val="00F8771E"/>
    <w:rsid w:val="00F87EE5"/>
    <w:rsid w:val="00F901CE"/>
    <w:rsid w:val="00F91363"/>
    <w:rsid w:val="00F934B6"/>
    <w:rsid w:val="00FA0CCE"/>
    <w:rsid w:val="00FA0E3C"/>
    <w:rsid w:val="00FA20EA"/>
    <w:rsid w:val="00FA307F"/>
    <w:rsid w:val="00FA7E71"/>
    <w:rsid w:val="00FB1244"/>
    <w:rsid w:val="00FB21C8"/>
    <w:rsid w:val="00FB4D5D"/>
    <w:rsid w:val="00FB5430"/>
    <w:rsid w:val="00FB64A1"/>
    <w:rsid w:val="00FB6A09"/>
    <w:rsid w:val="00FB75A6"/>
    <w:rsid w:val="00FC12D4"/>
    <w:rsid w:val="00FC198A"/>
    <w:rsid w:val="00FC2750"/>
    <w:rsid w:val="00FC6ECF"/>
    <w:rsid w:val="00FC713E"/>
    <w:rsid w:val="00FC7DFA"/>
    <w:rsid w:val="00FD11DD"/>
    <w:rsid w:val="00FD220B"/>
    <w:rsid w:val="00FD3A14"/>
    <w:rsid w:val="00FD3DF0"/>
    <w:rsid w:val="00FD4673"/>
    <w:rsid w:val="00FD4B9E"/>
    <w:rsid w:val="00FD789A"/>
    <w:rsid w:val="00FD7A39"/>
    <w:rsid w:val="00FE14EC"/>
    <w:rsid w:val="00FE2AC1"/>
    <w:rsid w:val="00FE5A00"/>
    <w:rsid w:val="00FE7F94"/>
    <w:rsid w:val="00FF1227"/>
    <w:rsid w:val="00FF2649"/>
    <w:rsid w:val="00FF4818"/>
    <w:rsid w:val="01CC1A40"/>
    <w:rsid w:val="025039E1"/>
    <w:rsid w:val="025D4F82"/>
    <w:rsid w:val="02C94459"/>
    <w:rsid w:val="03595555"/>
    <w:rsid w:val="04081968"/>
    <w:rsid w:val="05054C8B"/>
    <w:rsid w:val="051E77F4"/>
    <w:rsid w:val="05814D5B"/>
    <w:rsid w:val="06F947E6"/>
    <w:rsid w:val="08431942"/>
    <w:rsid w:val="090212A1"/>
    <w:rsid w:val="094E18C4"/>
    <w:rsid w:val="09B4115B"/>
    <w:rsid w:val="09F65A96"/>
    <w:rsid w:val="0C2506CA"/>
    <w:rsid w:val="0EB140DD"/>
    <w:rsid w:val="0FBF585C"/>
    <w:rsid w:val="10D75E44"/>
    <w:rsid w:val="11B67681"/>
    <w:rsid w:val="12117246"/>
    <w:rsid w:val="127358E4"/>
    <w:rsid w:val="12E0359D"/>
    <w:rsid w:val="16A83361"/>
    <w:rsid w:val="178B3958"/>
    <w:rsid w:val="19AE476B"/>
    <w:rsid w:val="19F82AFF"/>
    <w:rsid w:val="1A5C7852"/>
    <w:rsid w:val="1AB77B50"/>
    <w:rsid w:val="1B5D6EDB"/>
    <w:rsid w:val="1C7479D2"/>
    <w:rsid w:val="1C9D46DC"/>
    <w:rsid w:val="1CF806C3"/>
    <w:rsid w:val="1D69418F"/>
    <w:rsid w:val="1DB60896"/>
    <w:rsid w:val="1F1F7F88"/>
    <w:rsid w:val="1F7142BB"/>
    <w:rsid w:val="201E5F05"/>
    <w:rsid w:val="20D714C9"/>
    <w:rsid w:val="20EF0E4F"/>
    <w:rsid w:val="213056EF"/>
    <w:rsid w:val="227F6E46"/>
    <w:rsid w:val="23472730"/>
    <w:rsid w:val="23B440F0"/>
    <w:rsid w:val="254758A3"/>
    <w:rsid w:val="25D34863"/>
    <w:rsid w:val="25F37E62"/>
    <w:rsid w:val="265A320F"/>
    <w:rsid w:val="26EF7B95"/>
    <w:rsid w:val="27C85860"/>
    <w:rsid w:val="28BE2E43"/>
    <w:rsid w:val="29D364EB"/>
    <w:rsid w:val="2A874F1C"/>
    <w:rsid w:val="2AAF1D7B"/>
    <w:rsid w:val="2AC65B3D"/>
    <w:rsid w:val="2C080BAA"/>
    <w:rsid w:val="2C8D33D4"/>
    <w:rsid w:val="2CDF621C"/>
    <w:rsid w:val="2D0921D4"/>
    <w:rsid w:val="2DA07C26"/>
    <w:rsid w:val="2EA10CD8"/>
    <w:rsid w:val="2FA63B62"/>
    <w:rsid w:val="2FCF4DFD"/>
    <w:rsid w:val="319012C1"/>
    <w:rsid w:val="319A4B1E"/>
    <w:rsid w:val="320E59EA"/>
    <w:rsid w:val="34684C5B"/>
    <w:rsid w:val="34D47D54"/>
    <w:rsid w:val="350C7DCA"/>
    <w:rsid w:val="362853ED"/>
    <w:rsid w:val="36E84BE6"/>
    <w:rsid w:val="375630CB"/>
    <w:rsid w:val="38D676C9"/>
    <w:rsid w:val="3953432E"/>
    <w:rsid w:val="39A607ED"/>
    <w:rsid w:val="39E862DD"/>
    <w:rsid w:val="39EC6E57"/>
    <w:rsid w:val="3A6479D5"/>
    <w:rsid w:val="3B295B82"/>
    <w:rsid w:val="3C173538"/>
    <w:rsid w:val="3C8368C4"/>
    <w:rsid w:val="3E472DE6"/>
    <w:rsid w:val="3E664BC9"/>
    <w:rsid w:val="3E8C50D4"/>
    <w:rsid w:val="3E930198"/>
    <w:rsid w:val="3EF44A8C"/>
    <w:rsid w:val="41852526"/>
    <w:rsid w:val="428A31E3"/>
    <w:rsid w:val="436808C1"/>
    <w:rsid w:val="438862AB"/>
    <w:rsid w:val="43E02B4D"/>
    <w:rsid w:val="44A20857"/>
    <w:rsid w:val="460355F1"/>
    <w:rsid w:val="4662706A"/>
    <w:rsid w:val="46685D37"/>
    <w:rsid w:val="46E30137"/>
    <w:rsid w:val="4B321EE0"/>
    <w:rsid w:val="4B7614FD"/>
    <w:rsid w:val="4B810673"/>
    <w:rsid w:val="4BE63515"/>
    <w:rsid w:val="4C6C1422"/>
    <w:rsid w:val="4D2B34E9"/>
    <w:rsid w:val="4D6B32FE"/>
    <w:rsid w:val="4E6A2BDB"/>
    <w:rsid w:val="4E6A7BE3"/>
    <w:rsid w:val="4F7043CC"/>
    <w:rsid w:val="4FA1148B"/>
    <w:rsid w:val="4FED6DF9"/>
    <w:rsid w:val="512B1A49"/>
    <w:rsid w:val="520605DB"/>
    <w:rsid w:val="570515DE"/>
    <w:rsid w:val="58555E2B"/>
    <w:rsid w:val="58AF078D"/>
    <w:rsid w:val="5AA224B3"/>
    <w:rsid w:val="5B0F6FF0"/>
    <w:rsid w:val="5C2956DB"/>
    <w:rsid w:val="5CED37AC"/>
    <w:rsid w:val="5CFD10CB"/>
    <w:rsid w:val="5F294F51"/>
    <w:rsid w:val="614D518B"/>
    <w:rsid w:val="61E12853"/>
    <w:rsid w:val="62FD40BD"/>
    <w:rsid w:val="63593AA3"/>
    <w:rsid w:val="638929C2"/>
    <w:rsid w:val="646A24DD"/>
    <w:rsid w:val="649E25E0"/>
    <w:rsid w:val="668352A7"/>
    <w:rsid w:val="668B33D4"/>
    <w:rsid w:val="668B51BE"/>
    <w:rsid w:val="67FC4F5C"/>
    <w:rsid w:val="68620580"/>
    <w:rsid w:val="692300C4"/>
    <w:rsid w:val="6A07014E"/>
    <w:rsid w:val="6A2A361C"/>
    <w:rsid w:val="6C5F0204"/>
    <w:rsid w:val="6C6354DC"/>
    <w:rsid w:val="6D8B3589"/>
    <w:rsid w:val="6E6813FF"/>
    <w:rsid w:val="6EF72976"/>
    <w:rsid w:val="6F000C2A"/>
    <w:rsid w:val="6F9438C6"/>
    <w:rsid w:val="6FE436CB"/>
    <w:rsid w:val="71451292"/>
    <w:rsid w:val="722A4E10"/>
    <w:rsid w:val="72422AE2"/>
    <w:rsid w:val="72DC1889"/>
    <w:rsid w:val="72DF026D"/>
    <w:rsid w:val="730C76FE"/>
    <w:rsid w:val="754B7411"/>
    <w:rsid w:val="75D349E1"/>
    <w:rsid w:val="769729BA"/>
    <w:rsid w:val="76BD2199"/>
    <w:rsid w:val="76F85C52"/>
    <w:rsid w:val="778139C7"/>
    <w:rsid w:val="79D816A4"/>
    <w:rsid w:val="7A1775D3"/>
    <w:rsid w:val="7A5F5873"/>
    <w:rsid w:val="7BBC5E34"/>
    <w:rsid w:val="7C963097"/>
    <w:rsid w:val="7D322864"/>
    <w:rsid w:val="7D7A2E66"/>
    <w:rsid w:val="7ECF2FC7"/>
    <w:rsid w:val="DF8BC5B3"/>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qFormat="1" w:unhideWhenUsed="0" w:uiPriority="0" w:semiHidden="0" w:name="endnote reference"/>
    <w:lsdException w:qFormat="1"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imes New Roman"/>
      <w:kern w:val="2"/>
      <w:sz w:val="28"/>
      <w:lang w:val="en-US" w:eastAsia="zh-CN" w:bidi="ar-SA"/>
    </w:rPr>
  </w:style>
  <w:style w:type="paragraph" w:styleId="2">
    <w:name w:val="heading 1"/>
    <w:basedOn w:val="1"/>
    <w:next w:val="1"/>
    <w:link w:val="28"/>
    <w:qFormat/>
    <w:uiPriority w:val="0"/>
    <w:pPr>
      <w:keepNext/>
      <w:keepLines/>
      <w:numPr>
        <w:ilvl w:val="0"/>
        <w:numId w:val="1"/>
      </w:numPr>
      <w:spacing w:beforeLines="100"/>
      <w:ind w:firstLine="0" w:firstLineChars="0"/>
      <w:outlineLvl w:val="0"/>
    </w:pPr>
    <w:rPr>
      <w:b/>
      <w:bCs/>
      <w:kern w:val="44"/>
      <w:szCs w:val="44"/>
    </w:rPr>
  </w:style>
  <w:style w:type="paragraph" w:styleId="3">
    <w:name w:val="heading 2"/>
    <w:basedOn w:val="1"/>
    <w:next w:val="1"/>
    <w:link w:val="29"/>
    <w:unhideWhenUsed/>
    <w:qFormat/>
    <w:uiPriority w:val="0"/>
    <w:pPr>
      <w:keepNext/>
      <w:keepLines/>
      <w:numPr>
        <w:ilvl w:val="0"/>
        <w:numId w:val="2"/>
      </w:numPr>
      <w:ind w:firstLine="0" w:firstLineChars="0"/>
      <w:jc w:val="left"/>
      <w:outlineLvl w:val="1"/>
    </w:pPr>
    <w:rPr>
      <w:rFonts w:asciiTheme="majorHAnsi" w:hAnsiTheme="majorHAnsi" w:cstheme="majorBidi"/>
      <w:b/>
      <w:bCs/>
      <w:szCs w:val="32"/>
    </w:rPr>
  </w:style>
  <w:style w:type="paragraph" w:styleId="4">
    <w:name w:val="heading 3"/>
    <w:basedOn w:val="1"/>
    <w:next w:val="1"/>
    <w:link w:val="30"/>
    <w:unhideWhenUsed/>
    <w:qFormat/>
    <w:uiPriority w:val="0"/>
    <w:pPr>
      <w:keepNext/>
      <w:keepLines/>
      <w:numPr>
        <w:ilvl w:val="0"/>
        <w:numId w:val="3"/>
      </w:numPr>
      <w:spacing w:line="240" w:lineRule="auto"/>
      <w:ind w:firstLine="0" w:firstLineChars="0"/>
      <w:outlineLvl w:val="2"/>
    </w:pPr>
    <w:rPr>
      <w:b/>
      <w:bCs/>
      <w:szCs w:val="32"/>
    </w:rPr>
  </w:style>
  <w:style w:type="paragraph" w:styleId="5">
    <w:name w:val="heading 4"/>
    <w:basedOn w:val="1"/>
    <w:next w:val="1"/>
    <w:link w:val="32"/>
    <w:semiHidden/>
    <w:unhideWhenUsed/>
    <w:qFormat/>
    <w:uiPriority w:val="0"/>
    <w:pPr>
      <w:keepNext/>
      <w:keepLines/>
      <w:spacing w:before="280" w:after="290" w:line="376" w:lineRule="auto"/>
      <w:outlineLvl w:val="3"/>
    </w:pPr>
    <w:rPr>
      <w:rFonts w:asciiTheme="majorHAnsi" w:hAnsiTheme="majorHAnsi" w:eastAsiaTheme="majorEastAsia" w:cstheme="majorBidi"/>
      <w:b/>
      <w:bCs/>
      <w:szCs w:val="28"/>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link w:val="26"/>
    <w:qFormat/>
    <w:uiPriority w:val="0"/>
    <w:pPr>
      <w:jc w:val="left"/>
    </w:pPr>
  </w:style>
  <w:style w:type="paragraph" w:styleId="7">
    <w:name w:val="Body Text"/>
    <w:basedOn w:val="1"/>
    <w:unhideWhenUsed/>
    <w:qFormat/>
    <w:uiPriority w:val="0"/>
    <w:pPr>
      <w:spacing w:after="120"/>
    </w:pPr>
  </w:style>
  <w:style w:type="paragraph" w:styleId="8">
    <w:name w:val="Body Text Indent"/>
    <w:basedOn w:val="1"/>
    <w:link w:val="42"/>
    <w:qFormat/>
    <w:uiPriority w:val="0"/>
    <w:pPr>
      <w:spacing w:after="120"/>
      <w:ind w:left="420" w:leftChars="200"/>
    </w:pPr>
  </w:style>
  <w:style w:type="paragraph" w:styleId="9">
    <w:name w:val="Plain Text"/>
    <w:basedOn w:val="1"/>
    <w:qFormat/>
    <w:uiPriority w:val="0"/>
    <w:rPr>
      <w:rFonts w:ascii="宋体" w:hAnsi="Courier New"/>
    </w:rPr>
  </w:style>
  <w:style w:type="paragraph" w:styleId="10">
    <w:name w:val="endnote text"/>
    <w:basedOn w:val="1"/>
    <w:link w:val="33"/>
    <w:qFormat/>
    <w:uiPriority w:val="0"/>
    <w:pPr>
      <w:snapToGrid w:val="0"/>
      <w:jc w:val="left"/>
    </w:pPr>
  </w:style>
  <w:style w:type="paragraph" w:styleId="11">
    <w:name w:val="Balloon Text"/>
    <w:basedOn w:val="1"/>
    <w:link w:val="41"/>
    <w:qFormat/>
    <w:uiPriority w:val="0"/>
    <w:pPr>
      <w:spacing w:line="240" w:lineRule="auto"/>
    </w:pPr>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link w:val="34"/>
    <w:qFormat/>
    <w:uiPriority w:val="99"/>
    <w:pPr>
      <w:pBdr>
        <w:bottom w:val="single" w:color="auto" w:sz="6" w:space="1"/>
      </w:pBdr>
      <w:tabs>
        <w:tab w:val="center" w:pos="4153"/>
        <w:tab w:val="right" w:pos="8306"/>
      </w:tabs>
      <w:snapToGrid w:val="0"/>
      <w:jc w:val="center"/>
    </w:pPr>
    <w:rPr>
      <w:sz w:val="18"/>
      <w:szCs w:val="18"/>
    </w:rPr>
  </w:style>
  <w:style w:type="paragraph" w:styleId="14">
    <w:name w:val="Normal (Web)"/>
    <w:basedOn w:val="1"/>
    <w:unhideWhenUsed/>
    <w:qFormat/>
    <w:uiPriority w:val="99"/>
    <w:pPr>
      <w:widowControl/>
      <w:spacing w:before="100" w:beforeAutospacing="1" w:after="100" w:afterAutospacing="1" w:line="240" w:lineRule="auto"/>
      <w:ind w:firstLine="0" w:firstLineChars="0"/>
      <w:jc w:val="left"/>
    </w:pPr>
    <w:rPr>
      <w:rFonts w:ascii="宋体" w:hAnsi="宋体" w:cs="宋体"/>
      <w:kern w:val="0"/>
      <w:sz w:val="24"/>
      <w:szCs w:val="24"/>
    </w:rPr>
  </w:style>
  <w:style w:type="paragraph" w:styleId="15">
    <w:name w:val="Title"/>
    <w:basedOn w:val="1"/>
    <w:next w:val="1"/>
    <w:link w:val="31"/>
    <w:qFormat/>
    <w:uiPriority w:val="0"/>
    <w:pPr>
      <w:numPr>
        <w:ilvl w:val="0"/>
        <w:numId w:val="4"/>
      </w:numPr>
      <w:spacing w:line="240" w:lineRule="auto"/>
      <w:ind w:firstLine="0" w:firstLineChars="0"/>
      <w:outlineLvl w:val="3"/>
    </w:pPr>
    <w:rPr>
      <w:rFonts w:asciiTheme="majorHAnsi" w:hAnsiTheme="majorHAnsi" w:cstheme="majorBidi"/>
      <w:bCs/>
      <w:szCs w:val="32"/>
    </w:rPr>
  </w:style>
  <w:style w:type="paragraph" w:styleId="16">
    <w:name w:val="annotation subject"/>
    <w:basedOn w:val="6"/>
    <w:next w:val="6"/>
    <w:link w:val="27"/>
    <w:qFormat/>
    <w:uiPriority w:val="0"/>
    <w:rPr>
      <w:b/>
      <w:bCs/>
    </w:rPr>
  </w:style>
  <w:style w:type="paragraph" w:styleId="17">
    <w:name w:val="Body Text First Indent 2"/>
    <w:basedOn w:val="8"/>
    <w:link w:val="43"/>
    <w:qFormat/>
    <w:uiPriority w:val="0"/>
    <w:pPr>
      <w:ind w:firstLine="420"/>
    </w:pPr>
  </w:style>
  <w:style w:type="table" w:styleId="19">
    <w:name w:val="Table Grid"/>
    <w:basedOn w:val="1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1">
    <w:name w:val="endnote reference"/>
    <w:basedOn w:val="20"/>
    <w:qFormat/>
    <w:uiPriority w:val="0"/>
    <w:rPr>
      <w:vertAlign w:val="superscript"/>
    </w:rPr>
  </w:style>
  <w:style w:type="character" w:styleId="22">
    <w:name w:val="page number"/>
    <w:qFormat/>
    <w:uiPriority w:val="0"/>
  </w:style>
  <w:style w:type="character" w:styleId="23">
    <w:name w:val="Hyperlink"/>
    <w:basedOn w:val="20"/>
    <w:unhideWhenUsed/>
    <w:qFormat/>
    <w:uiPriority w:val="0"/>
    <w:rPr>
      <w:color w:val="0000FF"/>
      <w:u w:val="single"/>
    </w:rPr>
  </w:style>
  <w:style w:type="character" w:styleId="24">
    <w:name w:val="annotation reference"/>
    <w:basedOn w:val="20"/>
    <w:qFormat/>
    <w:uiPriority w:val="0"/>
    <w:rPr>
      <w:sz w:val="21"/>
      <w:szCs w:val="21"/>
    </w:rPr>
  </w:style>
  <w:style w:type="paragraph" w:styleId="25">
    <w:name w:val="List Paragraph"/>
    <w:basedOn w:val="1"/>
    <w:qFormat/>
    <w:uiPriority w:val="34"/>
    <w:pPr>
      <w:ind w:firstLine="420"/>
    </w:pPr>
  </w:style>
  <w:style w:type="character" w:customStyle="1" w:styleId="26">
    <w:name w:val="批注文字 Char"/>
    <w:basedOn w:val="20"/>
    <w:link w:val="6"/>
    <w:qFormat/>
    <w:uiPriority w:val="0"/>
    <w:rPr>
      <w:kern w:val="2"/>
      <w:sz w:val="21"/>
    </w:rPr>
  </w:style>
  <w:style w:type="character" w:customStyle="1" w:styleId="27">
    <w:name w:val="批注主题 Char"/>
    <w:basedOn w:val="26"/>
    <w:link w:val="16"/>
    <w:qFormat/>
    <w:uiPriority w:val="0"/>
    <w:rPr>
      <w:b/>
      <w:bCs/>
      <w:kern w:val="2"/>
      <w:sz w:val="21"/>
    </w:rPr>
  </w:style>
  <w:style w:type="character" w:customStyle="1" w:styleId="28">
    <w:name w:val="标题 1 Char"/>
    <w:basedOn w:val="20"/>
    <w:link w:val="2"/>
    <w:qFormat/>
    <w:uiPriority w:val="0"/>
    <w:rPr>
      <w:b/>
      <w:bCs/>
      <w:kern w:val="44"/>
      <w:sz w:val="28"/>
      <w:szCs w:val="44"/>
    </w:rPr>
  </w:style>
  <w:style w:type="character" w:customStyle="1" w:styleId="29">
    <w:name w:val="标题 2 Char"/>
    <w:basedOn w:val="20"/>
    <w:link w:val="3"/>
    <w:qFormat/>
    <w:uiPriority w:val="0"/>
    <w:rPr>
      <w:rFonts w:asciiTheme="majorHAnsi" w:hAnsiTheme="majorHAnsi" w:cstheme="majorBidi"/>
      <w:b/>
      <w:bCs/>
      <w:kern w:val="2"/>
      <w:sz w:val="28"/>
      <w:szCs w:val="32"/>
    </w:rPr>
  </w:style>
  <w:style w:type="character" w:customStyle="1" w:styleId="30">
    <w:name w:val="标题 3 Char"/>
    <w:basedOn w:val="20"/>
    <w:link w:val="4"/>
    <w:qFormat/>
    <w:uiPriority w:val="0"/>
    <w:rPr>
      <w:b/>
      <w:bCs/>
      <w:kern w:val="2"/>
      <w:sz w:val="28"/>
      <w:szCs w:val="32"/>
    </w:rPr>
  </w:style>
  <w:style w:type="character" w:customStyle="1" w:styleId="31">
    <w:name w:val="标题 Char"/>
    <w:basedOn w:val="20"/>
    <w:link w:val="15"/>
    <w:qFormat/>
    <w:uiPriority w:val="0"/>
    <w:rPr>
      <w:rFonts w:asciiTheme="majorHAnsi" w:hAnsiTheme="majorHAnsi" w:cstheme="majorBidi"/>
      <w:bCs/>
      <w:kern w:val="2"/>
      <w:sz w:val="28"/>
      <w:szCs w:val="32"/>
    </w:rPr>
  </w:style>
  <w:style w:type="character" w:customStyle="1" w:styleId="32">
    <w:name w:val="标题 4 Char"/>
    <w:basedOn w:val="20"/>
    <w:link w:val="5"/>
    <w:semiHidden/>
    <w:qFormat/>
    <w:uiPriority w:val="0"/>
    <w:rPr>
      <w:rFonts w:asciiTheme="majorHAnsi" w:hAnsiTheme="majorHAnsi" w:eastAsiaTheme="majorEastAsia" w:cstheme="majorBidi"/>
      <w:b/>
      <w:bCs/>
      <w:kern w:val="2"/>
      <w:sz w:val="28"/>
      <w:szCs w:val="28"/>
    </w:rPr>
  </w:style>
  <w:style w:type="character" w:customStyle="1" w:styleId="33">
    <w:name w:val="尾注文本 Char"/>
    <w:basedOn w:val="20"/>
    <w:link w:val="10"/>
    <w:qFormat/>
    <w:uiPriority w:val="0"/>
    <w:rPr>
      <w:kern w:val="2"/>
      <w:sz w:val="28"/>
    </w:rPr>
  </w:style>
  <w:style w:type="character" w:customStyle="1" w:styleId="34">
    <w:name w:val="页眉 Char"/>
    <w:basedOn w:val="20"/>
    <w:link w:val="13"/>
    <w:qFormat/>
    <w:uiPriority w:val="99"/>
    <w:rPr>
      <w:kern w:val="2"/>
      <w:sz w:val="18"/>
      <w:szCs w:val="18"/>
    </w:rPr>
  </w:style>
  <w:style w:type="character" w:customStyle="1" w:styleId="35">
    <w:name w:val="16"/>
    <w:basedOn w:val="20"/>
    <w:qFormat/>
    <w:uiPriority w:val="0"/>
    <w:rPr>
      <w:rFonts w:hint="default" w:ascii="Arial" w:hAnsi="Arial" w:cs="Arial"/>
    </w:rPr>
  </w:style>
  <w:style w:type="paragraph" w:customStyle="1" w:styleId="36">
    <w:name w:val="修订1"/>
    <w:hidden/>
    <w:semiHidden/>
    <w:qFormat/>
    <w:uiPriority w:val="99"/>
    <w:rPr>
      <w:rFonts w:ascii="Times New Roman" w:hAnsi="Times New Roman" w:eastAsia="宋体" w:cs="Times New Roman"/>
      <w:kern w:val="2"/>
      <w:sz w:val="28"/>
      <w:lang w:val="en-US" w:eastAsia="zh-CN" w:bidi="ar-SA"/>
    </w:rPr>
  </w:style>
  <w:style w:type="paragraph" w:customStyle="1" w:styleId="37">
    <w:name w:val="列表段落1"/>
    <w:basedOn w:val="1"/>
    <w:qFormat/>
    <w:uiPriority w:val="0"/>
    <w:pPr>
      <w:spacing w:line="240" w:lineRule="auto"/>
      <w:ind w:firstLine="420"/>
    </w:pPr>
    <w:rPr>
      <w:rFonts w:ascii="Calibri" w:hAnsi="Calibri" w:cs="宋体"/>
      <w:sz w:val="21"/>
      <w:szCs w:val="21"/>
    </w:rPr>
  </w:style>
  <w:style w:type="paragraph" w:customStyle="1" w:styleId="38">
    <w:name w:val="列出段落1"/>
    <w:basedOn w:val="1"/>
    <w:qFormat/>
    <w:uiPriority w:val="0"/>
    <w:pPr>
      <w:widowControl/>
      <w:spacing w:line="240" w:lineRule="auto"/>
      <w:ind w:firstLine="420"/>
      <w:jc w:val="left"/>
    </w:pPr>
    <w:rPr>
      <w:sz w:val="21"/>
      <w:szCs w:val="21"/>
    </w:rPr>
  </w:style>
  <w:style w:type="paragraph" w:customStyle="1" w:styleId="39">
    <w:name w:val="修订2"/>
    <w:hidden/>
    <w:semiHidden/>
    <w:qFormat/>
    <w:uiPriority w:val="99"/>
    <w:rPr>
      <w:rFonts w:ascii="Times New Roman" w:hAnsi="Times New Roman" w:eastAsia="宋体" w:cs="Times New Roman"/>
      <w:kern w:val="2"/>
      <w:sz w:val="28"/>
      <w:lang w:val="en-US" w:eastAsia="zh-CN" w:bidi="ar-SA"/>
    </w:rPr>
  </w:style>
  <w:style w:type="character" w:customStyle="1" w:styleId="40">
    <w:name w:val="页脚 Char"/>
    <w:basedOn w:val="20"/>
    <w:link w:val="12"/>
    <w:qFormat/>
    <w:uiPriority w:val="99"/>
    <w:rPr>
      <w:kern w:val="2"/>
      <w:sz w:val="18"/>
      <w:szCs w:val="18"/>
    </w:rPr>
  </w:style>
  <w:style w:type="character" w:customStyle="1" w:styleId="41">
    <w:name w:val="批注框文本 Char"/>
    <w:basedOn w:val="20"/>
    <w:link w:val="11"/>
    <w:qFormat/>
    <w:uiPriority w:val="0"/>
    <w:rPr>
      <w:kern w:val="2"/>
      <w:sz w:val="18"/>
      <w:szCs w:val="18"/>
    </w:rPr>
  </w:style>
  <w:style w:type="character" w:customStyle="1" w:styleId="42">
    <w:name w:val="正文文本缩进 Char"/>
    <w:basedOn w:val="20"/>
    <w:link w:val="8"/>
    <w:qFormat/>
    <w:uiPriority w:val="0"/>
    <w:rPr>
      <w:kern w:val="2"/>
      <w:sz w:val="28"/>
    </w:rPr>
  </w:style>
  <w:style w:type="character" w:customStyle="1" w:styleId="43">
    <w:name w:val="正文首行缩进 2 Char"/>
    <w:basedOn w:val="42"/>
    <w:link w:val="17"/>
    <w:qFormat/>
    <w:uiPriority w:val="0"/>
    <w:rPr>
      <w:kern w:val="2"/>
      <w:sz w:val="28"/>
    </w:rPr>
  </w:style>
  <w:style w:type="paragraph" w:customStyle="1" w:styleId="44">
    <w:name w:val="修订3"/>
    <w:hidden/>
    <w:unhideWhenUsed/>
    <w:qFormat/>
    <w:uiPriority w:val="99"/>
    <w:rPr>
      <w:rFonts w:ascii="Times New Roman" w:hAnsi="Times New Roman" w:eastAsia="宋体" w:cs="Times New Roman"/>
      <w:kern w:val="2"/>
      <w:sz w:val="28"/>
      <w:lang w:val="en-US" w:eastAsia="zh-CN" w:bidi="ar-SA"/>
    </w:rPr>
  </w:style>
  <w:style w:type="character" w:customStyle="1" w:styleId="45">
    <w:name w:val="font11"/>
    <w:basedOn w:val="20"/>
    <w:qFormat/>
    <w:uiPriority w:val="0"/>
    <w:rPr>
      <w:rFonts w:hint="eastAsia" w:ascii="宋体" w:hAnsi="宋体" w:eastAsia="宋体"/>
      <w:color w:val="000000"/>
      <w:sz w:val="21"/>
      <w:szCs w:val="21"/>
      <w:u w:val="none"/>
    </w:rPr>
  </w:style>
  <w:style w:type="paragraph" w:customStyle="1" w:styleId="46">
    <w:name w:val="修订4"/>
    <w:hidden/>
    <w:unhideWhenUsed/>
    <w:qFormat/>
    <w:uiPriority w:val="99"/>
    <w:rPr>
      <w:rFonts w:ascii="Times New Roman" w:hAnsi="Times New Roman" w:eastAsia="宋体" w:cs="Times New Roman"/>
      <w:kern w:val="2"/>
      <w:sz w:val="28"/>
      <w:lang w:val="en-US" w:eastAsia="zh-CN" w:bidi="ar-SA"/>
    </w:rPr>
  </w:style>
  <w:style w:type="paragraph" w:customStyle="1" w:styleId="47">
    <w:name w:val="修订5"/>
    <w:hidden/>
    <w:unhideWhenUsed/>
    <w:qFormat/>
    <w:uiPriority w:val="99"/>
    <w:rPr>
      <w:rFonts w:ascii="Times New Roman" w:hAnsi="Times New Roman" w:eastAsia="宋体" w:cs="Times New Roman"/>
      <w:kern w:val="2"/>
      <w:sz w:val="28"/>
      <w:lang w:val="en-US" w:eastAsia="zh-CN" w:bidi="ar-SA"/>
    </w:rPr>
  </w:style>
  <w:style w:type="character" w:customStyle="1" w:styleId="48">
    <w:name w:val="font61"/>
    <w:basedOn w:val="20"/>
    <w:qFormat/>
    <w:uiPriority w:val="0"/>
    <w:rPr>
      <w:rFonts w:hint="default" w:ascii="Cambria Math" w:hAnsi="Cambria Math"/>
      <w:color w:val="000000"/>
      <w:sz w:val="18"/>
      <w:szCs w:val="18"/>
      <w:u w:val="none"/>
    </w:rPr>
  </w:style>
  <w:style w:type="character" w:customStyle="1" w:styleId="49">
    <w:name w:val="font21"/>
    <w:basedOn w:val="20"/>
    <w:qFormat/>
    <w:uiPriority w:val="0"/>
    <w:rPr>
      <w:rFonts w:hint="eastAsia" w:ascii="方正仿宋_GBK" w:eastAsia="方正仿宋_GBK"/>
      <w:color w:val="000000"/>
      <w:sz w:val="18"/>
      <w:szCs w:val="18"/>
      <w:u w:val="none"/>
    </w:rPr>
  </w:style>
  <w:style w:type="character" w:customStyle="1" w:styleId="50">
    <w:name w:val="font51"/>
    <w:basedOn w:val="20"/>
    <w:qFormat/>
    <w:uiPriority w:val="0"/>
    <w:rPr>
      <w:rFonts w:hint="default" w:ascii="Cambria Math" w:hAnsi="Cambria Math"/>
      <w:color w:val="000000"/>
      <w:sz w:val="18"/>
      <w:szCs w:val="18"/>
      <w:u w:val="none"/>
    </w:rPr>
  </w:style>
  <w:style w:type="character" w:customStyle="1" w:styleId="51">
    <w:name w:val="font71"/>
    <w:basedOn w:val="20"/>
    <w:qFormat/>
    <w:uiPriority w:val="0"/>
    <w:rPr>
      <w:rFonts w:ascii="Cambria Math" w:hAnsi="Cambria Math" w:eastAsia="Cambria Math" w:cs="Cambria Math"/>
      <w:color w:val="000000"/>
      <w:sz w:val="18"/>
      <w:szCs w:val="18"/>
      <w:u w:val="none"/>
    </w:rPr>
  </w:style>
  <w:style w:type="character" w:customStyle="1" w:styleId="52">
    <w:name w:val="font31"/>
    <w:basedOn w:val="20"/>
    <w:qFormat/>
    <w:uiPriority w:val="0"/>
    <w:rPr>
      <w:rFonts w:hint="default" w:ascii="方正仿宋_GBK" w:hAnsi="方正仿宋_GBK" w:eastAsia="方正仿宋_GBK" w:cs="方正仿宋_GBK"/>
      <w:color w:val="FF0000"/>
      <w:sz w:val="18"/>
      <w:szCs w:val="18"/>
      <w:u w:val="none"/>
    </w:rPr>
  </w:style>
  <w:style w:type="paragraph" w:customStyle="1" w:styleId="53">
    <w:name w:val="修订6"/>
    <w:hidden/>
    <w:unhideWhenUsed/>
    <w:qFormat/>
    <w:uiPriority w:val="99"/>
    <w:rPr>
      <w:rFonts w:ascii="Times New Roman" w:hAnsi="Times New Roman" w:eastAsia="宋体" w:cs="Times New Roman"/>
      <w:kern w:val="2"/>
      <w:sz w:val="28"/>
      <w:lang w:val="en-US" w:eastAsia="zh-CN" w:bidi="ar-SA"/>
    </w:rPr>
  </w:style>
  <w:style w:type="character" w:customStyle="1" w:styleId="54">
    <w:name w:val="font41"/>
    <w:basedOn w:val="20"/>
    <w:qFormat/>
    <w:uiPriority w:val="0"/>
    <w:rPr>
      <w:rFonts w:hint="eastAsia"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2.xml"/><Relationship Id="rId8" Type="http://schemas.openxmlformats.org/officeDocument/2006/relationships/footer" Target="footer1.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customXml" Target="../customXml/item1.xml"/><Relationship Id="rId15" Type="http://schemas.openxmlformats.org/officeDocument/2006/relationships/numbering" Target="numbering.xml"/><Relationship Id="rId14" Type="http://schemas.openxmlformats.org/officeDocument/2006/relationships/theme" Target="theme/theme1.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tyleName="APA" SelectedStyle="\APASixthEditionOfficeOnline.xsl" Version="6"/>
</file>

<file path=customXml/itemProps1.xml><?xml version="1.0" encoding="utf-8"?>
<ds:datastoreItem xmlns:ds="http://schemas.openxmlformats.org/officeDocument/2006/customXml" ds:itemID="{79D66BC1-BAB3-426C-B709-4BE01E0E3F36}">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22</Pages>
  <Words>10532</Words>
  <Characters>11579</Characters>
  <Lines>85</Lines>
  <Paragraphs>24</Paragraphs>
  <TotalTime>18</TotalTime>
  <ScaleCrop>false</ScaleCrop>
  <LinksUpToDate>false</LinksUpToDate>
  <CharactersWithSpaces>11628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2023-12-22T02:53:00Z</dcterms:created>
  <dc:creator>ThinkPad</dc:creator>
  <cp:lastModifiedBy>Administrator</cp:lastModifiedBy>
  <cp:lastPrinted>2023-10-23T15:36:00Z</cp:lastPrinted>
  <dcterms:modified xsi:type="dcterms:W3CDTF">2026-04-14T02:47:19Z</dcterms:modified>
  <cp:revision>124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57A71751CCCE490EAF343956FB8B2222_12</vt:lpwstr>
  </property>
  <property fmtid="{D5CDD505-2E9C-101B-9397-08002B2CF9AE}" pid="4" name="KSOTemplateDocerSaveRecord">
    <vt:lpwstr>eyJoZGlkIjoiZWFkMWJkNzdkODFiMjE3ZDcyMTYzYTBjYzkxNGY2MTkiLCJ1c2VySWQiOiIxNTUzNTA0MzY3In0=</vt:lpwstr>
  </property>
</Properties>
</file>