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4F490">
      <w:pPr>
        <w:spacing w:line="360" w:lineRule="auto"/>
        <w:jc w:val="center"/>
        <w:rPr>
          <w:rFonts w:ascii="Arial Narrow" w:hAnsi="Arial Narrow"/>
          <w:b/>
          <w:bCs/>
          <w:sz w:val="36"/>
          <w:szCs w:val="36"/>
        </w:rPr>
      </w:pPr>
    </w:p>
    <w:p w14:paraId="4D8F969A">
      <w:pPr>
        <w:spacing w:line="360" w:lineRule="auto"/>
        <w:jc w:val="center"/>
        <w:rPr>
          <w:rFonts w:ascii="Arial Narrow" w:hAnsi="Arial Narrow"/>
          <w:b/>
          <w:bCs/>
          <w:sz w:val="36"/>
          <w:szCs w:val="36"/>
        </w:rPr>
      </w:pPr>
    </w:p>
    <w:p w14:paraId="20F44EF6">
      <w:pPr>
        <w:spacing w:line="360" w:lineRule="auto"/>
        <w:jc w:val="center"/>
        <w:rPr>
          <w:rFonts w:ascii="Arial Narrow" w:hAnsi="Arial Narrow"/>
          <w:b/>
          <w:bCs/>
          <w:sz w:val="36"/>
          <w:szCs w:val="36"/>
        </w:rPr>
      </w:pPr>
    </w:p>
    <w:p w14:paraId="7AB7DBE2">
      <w:pPr>
        <w:spacing w:line="360" w:lineRule="auto"/>
        <w:jc w:val="center"/>
        <w:rPr>
          <w:rFonts w:ascii="Arial Narrow" w:hAnsi="Arial Narrow"/>
          <w:b/>
          <w:bCs/>
          <w:sz w:val="36"/>
          <w:szCs w:val="36"/>
        </w:rPr>
      </w:pPr>
    </w:p>
    <w:p w14:paraId="5F4D450F">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重庆市铜梁区水利局农村饮水提升项目等</w:t>
      </w:r>
      <w:r>
        <w:rPr>
          <w:rFonts w:ascii="Arial Narrow" w:hAnsi="Arial Narrow" w:eastAsia="仿宋"/>
          <w:b/>
          <w:sz w:val="36"/>
          <w:szCs w:val="36"/>
        </w:rPr>
        <w:t>3</w:t>
      </w:r>
      <w:r>
        <w:rPr>
          <w:rFonts w:hint="eastAsia" w:ascii="Arial Narrow" w:hAnsi="Arial Narrow" w:eastAsia="仿宋"/>
          <w:b/>
          <w:sz w:val="36"/>
          <w:szCs w:val="36"/>
        </w:rPr>
        <w:t>个项目</w:t>
      </w:r>
    </w:p>
    <w:p w14:paraId="5D3D7B1B">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5518E6C9">
      <w:pPr>
        <w:adjustRightInd w:val="0"/>
        <w:snapToGrid w:val="0"/>
        <w:spacing w:line="360" w:lineRule="auto"/>
        <w:jc w:val="center"/>
        <w:rPr>
          <w:rFonts w:ascii="Arial Narrow" w:hAnsi="Arial Narrow"/>
          <w:b/>
          <w:sz w:val="36"/>
          <w:szCs w:val="36"/>
        </w:rPr>
      </w:pPr>
    </w:p>
    <w:p w14:paraId="29FD78DB">
      <w:pPr>
        <w:adjustRightInd w:val="0"/>
        <w:snapToGrid w:val="0"/>
        <w:spacing w:line="360" w:lineRule="auto"/>
        <w:jc w:val="center"/>
        <w:rPr>
          <w:rFonts w:ascii="Arial Narrow" w:hAnsi="Arial Narrow"/>
          <w:b/>
          <w:spacing w:val="100"/>
          <w:sz w:val="32"/>
          <w:szCs w:val="32"/>
        </w:rPr>
      </w:pPr>
    </w:p>
    <w:p w14:paraId="5658F880">
      <w:pPr>
        <w:adjustRightInd w:val="0"/>
        <w:snapToGrid w:val="0"/>
        <w:spacing w:line="360" w:lineRule="auto"/>
        <w:jc w:val="center"/>
        <w:rPr>
          <w:rFonts w:ascii="Arial Narrow" w:hAnsi="Arial Narrow"/>
          <w:b/>
          <w:spacing w:val="100"/>
          <w:sz w:val="32"/>
          <w:szCs w:val="32"/>
        </w:rPr>
      </w:pPr>
    </w:p>
    <w:p w14:paraId="513FAF2A">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104BFEE6">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ascii="Arial Narrow" w:hAnsi="Arial Narrow" w:eastAsia="仿宋"/>
          <w:bCs/>
          <w:sz w:val="32"/>
          <w:szCs w:val="32"/>
        </w:rPr>
        <w:t>0</w:t>
      </w:r>
      <w:r>
        <w:rPr>
          <w:rFonts w:hint="eastAsia" w:ascii="Arial Narrow" w:hAnsi="Arial Narrow" w:eastAsia="仿宋"/>
          <w:bCs/>
          <w:sz w:val="32"/>
          <w:szCs w:val="32"/>
          <w:lang w:val="en-US" w:eastAsia="zh-CN"/>
        </w:rPr>
        <w:t>42</w:t>
      </w:r>
      <w:r>
        <w:rPr>
          <w:rFonts w:ascii="Arial Narrow" w:hAnsi="Arial Narrow" w:eastAsia="仿宋"/>
          <w:bCs/>
          <w:sz w:val="32"/>
          <w:szCs w:val="32"/>
        </w:rPr>
        <w:t>号</w:t>
      </w:r>
    </w:p>
    <w:p w14:paraId="5A40397C">
      <w:pPr>
        <w:adjustRightInd w:val="0"/>
        <w:snapToGrid w:val="0"/>
        <w:spacing w:line="360" w:lineRule="auto"/>
        <w:jc w:val="center"/>
        <w:rPr>
          <w:rFonts w:ascii="Arial Narrow" w:hAnsi="Arial Narrow"/>
          <w:b/>
          <w:spacing w:val="100"/>
          <w:sz w:val="32"/>
          <w:szCs w:val="32"/>
        </w:rPr>
      </w:pPr>
    </w:p>
    <w:p w14:paraId="077B1EEF">
      <w:pPr>
        <w:adjustRightInd w:val="0"/>
        <w:snapToGrid w:val="0"/>
        <w:spacing w:line="360" w:lineRule="auto"/>
        <w:jc w:val="center"/>
        <w:rPr>
          <w:rFonts w:ascii="Arial Narrow" w:hAnsi="Arial Narrow"/>
          <w:b/>
          <w:spacing w:val="100"/>
          <w:sz w:val="32"/>
          <w:szCs w:val="32"/>
        </w:rPr>
      </w:pPr>
    </w:p>
    <w:p w14:paraId="3D93EFEC">
      <w:pPr>
        <w:adjustRightInd w:val="0"/>
        <w:snapToGrid w:val="0"/>
        <w:spacing w:line="360" w:lineRule="auto"/>
        <w:jc w:val="center"/>
        <w:rPr>
          <w:rFonts w:ascii="Arial Narrow" w:hAnsi="Arial Narrow"/>
          <w:b/>
          <w:spacing w:val="100"/>
          <w:sz w:val="32"/>
          <w:szCs w:val="32"/>
        </w:rPr>
      </w:pPr>
    </w:p>
    <w:p w14:paraId="7A6CCE9C">
      <w:pPr>
        <w:adjustRightInd w:val="0"/>
        <w:snapToGrid w:val="0"/>
        <w:spacing w:line="360" w:lineRule="auto"/>
        <w:jc w:val="center"/>
        <w:rPr>
          <w:rFonts w:ascii="Arial Narrow" w:hAnsi="Arial Narrow"/>
          <w:b/>
          <w:spacing w:val="100"/>
          <w:sz w:val="32"/>
          <w:szCs w:val="32"/>
        </w:rPr>
      </w:pPr>
    </w:p>
    <w:p w14:paraId="1F391C3C">
      <w:pPr>
        <w:adjustRightInd w:val="0"/>
        <w:snapToGrid w:val="0"/>
        <w:spacing w:line="360" w:lineRule="auto"/>
        <w:jc w:val="center"/>
        <w:rPr>
          <w:rFonts w:ascii="Arial Narrow" w:hAnsi="Arial Narrow"/>
          <w:b/>
          <w:spacing w:val="100"/>
          <w:sz w:val="32"/>
          <w:szCs w:val="32"/>
        </w:rPr>
      </w:pPr>
    </w:p>
    <w:p w14:paraId="3C50D3E3">
      <w:pPr>
        <w:adjustRightInd w:val="0"/>
        <w:snapToGrid w:val="0"/>
        <w:spacing w:line="360" w:lineRule="auto"/>
        <w:jc w:val="center"/>
        <w:rPr>
          <w:rFonts w:ascii="Arial Narrow" w:hAnsi="Arial Narrow"/>
          <w:b/>
          <w:spacing w:val="100"/>
          <w:sz w:val="32"/>
          <w:szCs w:val="32"/>
        </w:rPr>
      </w:pPr>
    </w:p>
    <w:p w14:paraId="2DE95179">
      <w:pPr>
        <w:adjustRightInd w:val="0"/>
        <w:snapToGrid w:val="0"/>
        <w:spacing w:line="360" w:lineRule="auto"/>
        <w:jc w:val="center"/>
        <w:rPr>
          <w:rFonts w:ascii="Arial Narrow" w:hAnsi="Arial Narrow"/>
          <w:b/>
          <w:spacing w:val="100"/>
          <w:sz w:val="32"/>
          <w:szCs w:val="32"/>
        </w:rPr>
      </w:pPr>
    </w:p>
    <w:p w14:paraId="7BC5D794">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重庆铭鸿金全会计师事务所有限公司</w:t>
      </w:r>
    </w:p>
    <w:p w14:paraId="666017AB">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val="en-US"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71803946">
      <w:pPr>
        <w:spacing w:line="360" w:lineRule="auto"/>
        <w:jc w:val="center"/>
        <w:rPr>
          <w:rFonts w:ascii="Arial Narrow" w:hAnsi="Arial Narrow"/>
          <w:sz w:val="24"/>
        </w:rPr>
      </w:pPr>
    </w:p>
    <w:p w14:paraId="4CA8DEB2">
      <w:pPr>
        <w:pStyle w:val="7"/>
        <w:rPr>
          <w:rFonts w:asciiTheme="minorHAnsi" w:hAnsiTheme="minorHAnsi" w:eastAsiaTheme="minorEastAsia" w:cstheme="minorBidi"/>
          <w:b w:val="0"/>
          <w:bCs w:val="0"/>
          <w:szCs w:val="22"/>
        </w:rPr>
      </w:pPr>
      <w:r>
        <w:rPr>
          <w:rStyle w:val="11"/>
          <w:rFonts w:ascii="仿宋" w:hAnsi="仿宋" w:eastAsia="仿宋"/>
          <w:b w:val="0"/>
          <w:bCs w:val="0"/>
          <w:color w:val="auto"/>
          <w:szCs w:val="21"/>
          <w:u w:val="none"/>
        </w:rPr>
        <w:fldChar w:fldCharType="begin"/>
      </w:r>
      <w:r>
        <w:rPr>
          <w:rStyle w:val="11"/>
          <w:rFonts w:ascii="仿宋" w:hAnsi="仿宋" w:eastAsia="仿宋"/>
          <w:b w:val="0"/>
          <w:bCs w:val="0"/>
          <w:color w:val="auto"/>
          <w:szCs w:val="21"/>
          <w:u w:val="none"/>
        </w:rPr>
        <w:instrText xml:space="preserve"> TOC \o "1-3" \h \z \u </w:instrText>
      </w:r>
      <w:r>
        <w:rPr>
          <w:rStyle w:val="11"/>
          <w:rFonts w:ascii="仿宋" w:hAnsi="仿宋" w:eastAsia="仿宋"/>
          <w:b w:val="0"/>
          <w:bCs w:val="0"/>
          <w:color w:val="auto"/>
          <w:szCs w:val="21"/>
          <w:u w:val="none"/>
        </w:rPr>
        <w:fldChar w:fldCharType="separate"/>
      </w:r>
      <w:r>
        <w:fldChar w:fldCharType="begin"/>
      </w:r>
      <w:r>
        <w:instrText xml:space="preserve"> HYPERLINK \l "_Toc169856811" </w:instrText>
      </w:r>
      <w:r>
        <w:fldChar w:fldCharType="separate"/>
      </w:r>
      <w:r>
        <w:rPr>
          <w:rStyle w:val="11"/>
        </w:rPr>
        <w:t>一、基本情况</w:t>
      </w:r>
      <w:r>
        <w:tab/>
      </w:r>
      <w:r>
        <w:fldChar w:fldCharType="begin"/>
      </w:r>
      <w:r>
        <w:instrText xml:space="preserve"> PAGEREF _Toc169856811 \h </w:instrText>
      </w:r>
      <w:r>
        <w:fldChar w:fldCharType="separate"/>
      </w:r>
      <w:r>
        <w:t>3</w:t>
      </w:r>
      <w:r>
        <w:fldChar w:fldCharType="end"/>
      </w:r>
      <w:r>
        <w:fldChar w:fldCharType="end"/>
      </w:r>
    </w:p>
    <w:p w14:paraId="26183098">
      <w:pPr>
        <w:pStyle w:val="7"/>
        <w:rPr>
          <w:rFonts w:asciiTheme="minorHAnsi" w:hAnsiTheme="minorHAnsi" w:eastAsiaTheme="minorEastAsia" w:cstheme="minorBidi"/>
          <w:b w:val="0"/>
          <w:bCs w:val="0"/>
          <w:szCs w:val="22"/>
        </w:rPr>
      </w:pPr>
      <w:r>
        <w:fldChar w:fldCharType="begin"/>
      </w:r>
      <w:r>
        <w:instrText xml:space="preserve"> HYPERLINK \l "_Toc169856812" </w:instrText>
      </w:r>
      <w:r>
        <w:fldChar w:fldCharType="separate"/>
      </w:r>
      <w:r>
        <w:rPr>
          <w:rStyle w:val="11"/>
          <w:rFonts w:eastAsia="仿宋" w:cs="宋体"/>
          <w:kern w:val="0"/>
        </w:rPr>
        <w:t>（一）项目情况</w:t>
      </w:r>
      <w:r>
        <w:tab/>
      </w:r>
      <w:r>
        <w:fldChar w:fldCharType="begin"/>
      </w:r>
      <w:r>
        <w:instrText xml:space="preserve"> PAGEREF _Toc169856812 \h </w:instrText>
      </w:r>
      <w:r>
        <w:fldChar w:fldCharType="separate"/>
      </w:r>
      <w:r>
        <w:t>3</w:t>
      </w:r>
      <w:r>
        <w:fldChar w:fldCharType="end"/>
      </w:r>
      <w:r>
        <w:fldChar w:fldCharType="end"/>
      </w:r>
    </w:p>
    <w:p w14:paraId="735320CB">
      <w:pPr>
        <w:pStyle w:val="7"/>
        <w:rPr>
          <w:rFonts w:asciiTheme="minorHAnsi" w:hAnsiTheme="minorHAnsi" w:eastAsiaTheme="minorEastAsia" w:cstheme="minorBidi"/>
          <w:b w:val="0"/>
          <w:bCs w:val="0"/>
          <w:szCs w:val="22"/>
        </w:rPr>
      </w:pPr>
      <w:r>
        <w:fldChar w:fldCharType="begin"/>
      </w:r>
      <w:r>
        <w:instrText xml:space="preserve"> HYPERLINK \l "_Toc169856813" </w:instrText>
      </w:r>
      <w:r>
        <w:fldChar w:fldCharType="separate"/>
      </w:r>
      <w:r>
        <w:rPr>
          <w:rStyle w:val="11"/>
        </w:rPr>
        <w:t>二、绩效评价工作情况</w:t>
      </w:r>
      <w:r>
        <w:tab/>
      </w:r>
      <w:r>
        <w:fldChar w:fldCharType="begin"/>
      </w:r>
      <w:r>
        <w:instrText xml:space="preserve"> PAGEREF _Toc169856813 \h </w:instrText>
      </w:r>
      <w:r>
        <w:fldChar w:fldCharType="separate"/>
      </w:r>
      <w:r>
        <w:t>4</w:t>
      </w:r>
      <w:r>
        <w:fldChar w:fldCharType="end"/>
      </w:r>
      <w:r>
        <w:fldChar w:fldCharType="end"/>
      </w:r>
    </w:p>
    <w:p w14:paraId="0032793F">
      <w:pPr>
        <w:pStyle w:val="7"/>
        <w:rPr>
          <w:rFonts w:asciiTheme="minorHAnsi" w:hAnsiTheme="minorHAnsi" w:eastAsiaTheme="minorEastAsia" w:cstheme="minorBidi"/>
          <w:b w:val="0"/>
          <w:bCs w:val="0"/>
          <w:szCs w:val="22"/>
        </w:rPr>
      </w:pPr>
      <w:r>
        <w:fldChar w:fldCharType="begin"/>
      </w:r>
      <w:r>
        <w:instrText xml:space="preserve"> HYPERLINK \l "_Toc169856814" </w:instrText>
      </w:r>
      <w:r>
        <w:fldChar w:fldCharType="separate"/>
      </w:r>
      <w:r>
        <w:rPr>
          <w:rStyle w:val="11"/>
        </w:rPr>
        <w:t>（一）绩效评价目的</w:t>
      </w:r>
      <w:r>
        <w:tab/>
      </w:r>
      <w:r>
        <w:fldChar w:fldCharType="begin"/>
      </w:r>
      <w:r>
        <w:instrText xml:space="preserve"> PAGEREF _Toc169856814 \h </w:instrText>
      </w:r>
      <w:r>
        <w:fldChar w:fldCharType="separate"/>
      </w:r>
      <w:r>
        <w:t>4</w:t>
      </w:r>
      <w:r>
        <w:fldChar w:fldCharType="end"/>
      </w:r>
      <w:r>
        <w:fldChar w:fldCharType="end"/>
      </w:r>
    </w:p>
    <w:p w14:paraId="0093CF4D">
      <w:pPr>
        <w:pStyle w:val="7"/>
        <w:rPr>
          <w:rFonts w:asciiTheme="minorHAnsi" w:hAnsiTheme="minorHAnsi" w:eastAsiaTheme="minorEastAsia" w:cstheme="minorBidi"/>
          <w:b w:val="0"/>
          <w:bCs w:val="0"/>
          <w:szCs w:val="22"/>
        </w:rPr>
      </w:pPr>
      <w:r>
        <w:fldChar w:fldCharType="begin"/>
      </w:r>
      <w:r>
        <w:instrText xml:space="preserve"> HYPERLINK \l "_Toc169856815" </w:instrText>
      </w:r>
      <w:r>
        <w:fldChar w:fldCharType="separate"/>
      </w:r>
      <w:r>
        <w:rPr>
          <w:rStyle w:val="11"/>
        </w:rPr>
        <w:t>（二）绩效评价的基本内容</w:t>
      </w:r>
      <w:r>
        <w:tab/>
      </w:r>
      <w:r>
        <w:fldChar w:fldCharType="begin"/>
      </w:r>
      <w:r>
        <w:instrText xml:space="preserve"> PAGEREF _Toc169856815 \h </w:instrText>
      </w:r>
      <w:r>
        <w:fldChar w:fldCharType="separate"/>
      </w:r>
      <w:r>
        <w:t>4</w:t>
      </w:r>
      <w:r>
        <w:fldChar w:fldCharType="end"/>
      </w:r>
      <w:r>
        <w:fldChar w:fldCharType="end"/>
      </w:r>
    </w:p>
    <w:p w14:paraId="1D10A7B0">
      <w:pPr>
        <w:pStyle w:val="7"/>
        <w:rPr>
          <w:rFonts w:asciiTheme="minorHAnsi" w:hAnsiTheme="minorHAnsi" w:eastAsiaTheme="minorEastAsia" w:cstheme="minorBidi"/>
          <w:b w:val="0"/>
          <w:bCs w:val="0"/>
          <w:szCs w:val="22"/>
        </w:rPr>
      </w:pPr>
      <w:r>
        <w:fldChar w:fldCharType="begin"/>
      </w:r>
      <w:r>
        <w:instrText xml:space="preserve"> HYPERLINK \l "_Toc169856816" </w:instrText>
      </w:r>
      <w:r>
        <w:fldChar w:fldCharType="separate"/>
      </w:r>
      <w:r>
        <w:rPr>
          <w:rStyle w:val="11"/>
        </w:rPr>
        <w:t>（三）绩效评价依据</w:t>
      </w:r>
      <w:r>
        <w:tab/>
      </w:r>
      <w:r>
        <w:fldChar w:fldCharType="begin"/>
      </w:r>
      <w:r>
        <w:instrText xml:space="preserve"> PAGEREF _Toc169856816 \h </w:instrText>
      </w:r>
      <w:r>
        <w:fldChar w:fldCharType="separate"/>
      </w:r>
      <w:r>
        <w:t>4</w:t>
      </w:r>
      <w:r>
        <w:fldChar w:fldCharType="end"/>
      </w:r>
      <w:r>
        <w:fldChar w:fldCharType="end"/>
      </w:r>
    </w:p>
    <w:p w14:paraId="0040BDA0">
      <w:pPr>
        <w:pStyle w:val="7"/>
        <w:rPr>
          <w:rFonts w:asciiTheme="minorHAnsi" w:hAnsiTheme="minorHAnsi" w:eastAsiaTheme="minorEastAsia" w:cstheme="minorBidi"/>
          <w:b w:val="0"/>
          <w:bCs w:val="0"/>
          <w:szCs w:val="22"/>
        </w:rPr>
      </w:pPr>
      <w:r>
        <w:fldChar w:fldCharType="begin"/>
      </w:r>
      <w:r>
        <w:instrText xml:space="preserve"> HYPERLINK \l "_Toc169856817" </w:instrText>
      </w:r>
      <w:r>
        <w:fldChar w:fldCharType="separate"/>
      </w:r>
      <w:r>
        <w:rPr>
          <w:rStyle w:val="11"/>
        </w:rPr>
        <w:t>（四）绩效评价原则和指标体系</w:t>
      </w:r>
      <w:r>
        <w:tab/>
      </w:r>
      <w:r>
        <w:fldChar w:fldCharType="begin"/>
      </w:r>
      <w:r>
        <w:instrText xml:space="preserve"> PAGEREF _Toc169856817 \h </w:instrText>
      </w:r>
      <w:r>
        <w:fldChar w:fldCharType="separate"/>
      </w:r>
      <w:r>
        <w:t>5</w:t>
      </w:r>
      <w:r>
        <w:fldChar w:fldCharType="end"/>
      </w:r>
      <w:r>
        <w:fldChar w:fldCharType="end"/>
      </w:r>
    </w:p>
    <w:p w14:paraId="4C01B112">
      <w:pPr>
        <w:pStyle w:val="7"/>
        <w:rPr>
          <w:rFonts w:asciiTheme="minorHAnsi" w:hAnsiTheme="minorHAnsi" w:eastAsiaTheme="minorEastAsia" w:cstheme="minorBidi"/>
          <w:b w:val="0"/>
          <w:bCs w:val="0"/>
          <w:szCs w:val="22"/>
        </w:rPr>
      </w:pPr>
      <w:r>
        <w:fldChar w:fldCharType="begin"/>
      </w:r>
      <w:r>
        <w:instrText xml:space="preserve"> HYPERLINK \l "_Toc169856818" </w:instrText>
      </w:r>
      <w:r>
        <w:fldChar w:fldCharType="separate"/>
      </w:r>
      <w:r>
        <w:rPr>
          <w:rStyle w:val="11"/>
        </w:rPr>
        <w:t>（五）绩效评价标准和评价方法</w:t>
      </w:r>
      <w:r>
        <w:tab/>
      </w:r>
      <w:r>
        <w:fldChar w:fldCharType="begin"/>
      </w:r>
      <w:r>
        <w:instrText xml:space="preserve"> PAGEREF _Toc169856818 \h </w:instrText>
      </w:r>
      <w:r>
        <w:fldChar w:fldCharType="separate"/>
      </w:r>
      <w:r>
        <w:t>8</w:t>
      </w:r>
      <w:r>
        <w:fldChar w:fldCharType="end"/>
      </w:r>
      <w:r>
        <w:fldChar w:fldCharType="end"/>
      </w:r>
    </w:p>
    <w:p w14:paraId="60B71295">
      <w:pPr>
        <w:pStyle w:val="7"/>
        <w:rPr>
          <w:rFonts w:asciiTheme="minorHAnsi" w:hAnsiTheme="minorHAnsi" w:eastAsiaTheme="minorEastAsia" w:cstheme="minorBidi"/>
          <w:b w:val="0"/>
          <w:bCs w:val="0"/>
          <w:szCs w:val="22"/>
        </w:rPr>
      </w:pPr>
      <w:r>
        <w:fldChar w:fldCharType="begin"/>
      </w:r>
      <w:r>
        <w:instrText xml:space="preserve"> HYPERLINK \l "_Toc169856819" </w:instrText>
      </w:r>
      <w:r>
        <w:fldChar w:fldCharType="separate"/>
      </w:r>
      <w:r>
        <w:rPr>
          <w:rStyle w:val="11"/>
        </w:rPr>
        <w:t>（六）绩效评价工作过程</w:t>
      </w:r>
      <w:r>
        <w:tab/>
      </w:r>
      <w:r>
        <w:fldChar w:fldCharType="begin"/>
      </w:r>
      <w:r>
        <w:instrText xml:space="preserve"> PAGEREF _Toc169856819 \h </w:instrText>
      </w:r>
      <w:r>
        <w:fldChar w:fldCharType="separate"/>
      </w:r>
      <w:r>
        <w:t>8</w:t>
      </w:r>
      <w:r>
        <w:fldChar w:fldCharType="end"/>
      </w:r>
      <w:r>
        <w:fldChar w:fldCharType="end"/>
      </w:r>
    </w:p>
    <w:p w14:paraId="40669057">
      <w:pPr>
        <w:pStyle w:val="7"/>
        <w:rPr>
          <w:rFonts w:asciiTheme="minorHAnsi" w:hAnsiTheme="minorHAnsi" w:eastAsiaTheme="minorEastAsia" w:cstheme="minorBidi"/>
          <w:b w:val="0"/>
          <w:bCs w:val="0"/>
          <w:szCs w:val="22"/>
        </w:rPr>
      </w:pPr>
      <w:r>
        <w:fldChar w:fldCharType="begin"/>
      </w:r>
      <w:r>
        <w:instrText xml:space="preserve"> HYPERLINK \l "_Toc169856820" </w:instrText>
      </w:r>
      <w:r>
        <w:fldChar w:fldCharType="separate"/>
      </w:r>
      <w:r>
        <w:rPr>
          <w:rStyle w:val="11"/>
        </w:rPr>
        <w:t>三、项目评价结论</w:t>
      </w:r>
      <w:r>
        <w:tab/>
      </w:r>
      <w:r>
        <w:fldChar w:fldCharType="begin"/>
      </w:r>
      <w:r>
        <w:instrText xml:space="preserve"> PAGEREF _Toc169856820 \h </w:instrText>
      </w:r>
      <w:r>
        <w:fldChar w:fldCharType="separate"/>
      </w:r>
      <w:r>
        <w:t>8</w:t>
      </w:r>
      <w:r>
        <w:fldChar w:fldCharType="end"/>
      </w:r>
      <w:r>
        <w:fldChar w:fldCharType="end"/>
      </w:r>
    </w:p>
    <w:p w14:paraId="62A7A114">
      <w:pPr>
        <w:pStyle w:val="7"/>
        <w:rPr>
          <w:rFonts w:asciiTheme="minorHAnsi" w:hAnsiTheme="minorHAnsi" w:eastAsiaTheme="minorEastAsia" w:cstheme="minorBidi"/>
          <w:b w:val="0"/>
          <w:bCs w:val="0"/>
          <w:szCs w:val="22"/>
        </w:rPr>
      </w:pPr>
      <w:r>
        <w:fldChar w:fldCharType="begin"/>
      </w:r>
      <w:r>
        <w:instrText xml:space="preserve"> HYPERLINK \l "_Toc169856821" </w:instrText>
      </w:r>
      <w:r>
        <w:fldChar w:fldCharType="separate"/>
      </w:r>
      <w:r>
        <w:rPr>
          <w:rStyle w:val="11"/>
        </w:rPr>
        <w:t>四、综合评价情况</w:t>
      </w:r>
      <w:r>
        <w:tab/>
      </w:r>
      <w:r>
        <w:fldChar w:fldCharType="begin"/>
      </w:r>
      <w:r>
        <w:instrText xml:space="preserve"> PAGEREF _Toc169856821 \h </w:instrText>
      </w:r>
      <w:r>
        <w:fldChar w:fldCharType="separate"/>
      </w:r>
      <w:r>
        <w:t>9</w:t>
      </w:r>
      <w:r>
        <w:fldChar w:fldCharType="end"/>
      </w:r>
      <w:r>
        <w:fldChar w:fldCharType="end"/>
      </w:r>
    </w:p>
    <w:p w14:paraId="58323413">
      <w:pPr>
        <w:pStyle w:val="7"/>
        <w:rPr>
          <w:rFonts w:asciiTheme="minorHAnsi" w:hAnsiTheme="minorHAnsi" w:eastAsiaTheme="minorEastAsia" w:cstheme="minorBidi"/>
          <w:b w:val="0"/>
          <w:bCs w:val="0"/>
          <w:szCs w:val="22"/>
        </w:rPr>
      </w:pPr>
      <w:r>
        <w:fldChar w:fldCharType="begin"/>
      </w:r>
      <w:r>
        <w:instrText xml:space="preserve"> HYPERLINK \l "_Toc169856822" </w:instrText>
      </w:r>
      <w:r>
        <w:fldChar w:fldCharType="separate"/>
      </w:r>
      <w:r>
        <w:rPr>
          <w:rStyle w:val="11"/>
          <w:rFonts w:ascii="仿宋_GB2312"/>
        </w:rPr>
        <w:t>（一）资金管理</w:t>
      </w:r>
      <w:r>
        <w:tab/>
      </w:r>
      <w:r>
        <w:fldChar w:fldCharType="begin"/>
      </w:r>
      <w:r>
        <w:instrText xml:space="preserve"> PAGEREF _Toc169856822 \h </w:instrText>
      </w:r>
      <w:r>
        <w:fldChar w:fldCharType="separate"/>
      </w:r>
      <w:r>
        <w:t>9</w:t>
      </w:r>
      <w:r>
        <w:fldChar w:fldCharType="end"/>
      </w:r>
      <w:r>
        <w:fldChar w:fldCharType="end"/>
      </w:r>
    </w:p>
    <w:p w14:paraId="0CD8528F">
      <w:pPr>
        <w:pStyle w:val="7"/>
        <w:rPr>
          <w:rFonts w:asciiTheme="minorHAnsi" w:hAnsiTheme="minorHAnsi" w:eastAsiaTheme="minorEastAsia" w:cstheme="minorBidi"/>
          <w:b w:val="0"/>
          <w:bCs w:val="0"/>
          <w:szCs w:val="22"/>
        </w:rPr>
      </w:pPr>
      <w:r>
        <w:fldChar w:fldCharType="begin"/>
      </w:r>
      <w:r>
        <w:instrText xml:space="preserve"> HYPERLINK \l "_Toc169856823" </w:instrText>
      </w:r>
      <w:r>
        <w:fldChar w:fldCharType="separate"/>
      </w:r>
      <w:r>
        <w:rPr>
          <w:rStyle w:val="11"/>
          <w:rFonts w:ascii="仿宋_GB2312"/>
        </w:rPr>
        <w:t>（二）项目管理</w:t>
      </w:r>
      <w:r>
        <w:tab/>
      </w:r>
      <w:r>
        <w:fldChar w:fldCharType="begin"/>
      </w:r>
      <w:r>
        <w:instrText xml:space="preserve"> PAGEREF _Toc169856823 \h </w:instrText>
      </w:r>
      <w:r>
        <w:fldChar w:fldCharType="separate"/>
      </w:r>
      <w:r>
        <w:t>9</w:t>
      </w:r>
      <w:r>
        <w:fldChar w:fldCharType="end"/>
      </w:r>
      <w:r>
        <w:fldChar w:fldCharType="end"/>
      </w:r>
    </w:p>
    <w:p w14:paraId="7D649B08">
      <w:pPr>
        <w:pStyle w:val="7"/>
        <w:rPr>
          <w:rFonts w:asciiTheme="minorHAnsi" w:hAnsiTheme="minorHAnsi" w:eastAsiaTheme="minorEastAsia" w:cstheme="minorBidi"/>
          <w:b w:val="0"/>
          <w:bCs w:val="0"/>
          <w:szCs w:val="22"/>
        </w:rPr>
      </w:pPr>
      <w:r>
        <w:fldChar w:fldCharType="begin"/>
      </w:r>
      <w:r>
        <w:instrText xml:space="preserve"> HYPERLINK \l "_Toc169856824" </w:instrText>
      </w:r>
      <w:r>
        <w:fldChar w:fldCharType="separate"/>
      </w:r>
      <w:r>
        <w:rPr>
          <w:rStyle w:val="11"/>
          <w:rFonts w:ascii="仿宋_GB2312"/>
        </w:rPr>
        <w:t>（三）使用成效及通报情况</w:t>
      </w:r>
      <w:r>
        <w:tab/>
      </w:r>
      <w:r>
        <w:fldChar w:fldCharType="begin"/>
      </w:r>
      <w:r>
        <w:instrText xml:space="preserve"> PAGEREF _Toc169856824 \h </w:instrText>
      </w:r>
      <w:r>
        <w:fldChar w:fldCharType="separate"/>
      </w:r>
      <w:r>
        <w:t>10</w:t>
      </w:r>
      <w:r>
        <w:fldChar w:fldCharType="end"/>
      </w:r>
      <w:r>
        <w:fldChar w:fldCharType="end"/>
      </w:r>
    </w:p>
    <w:p w14:paraId="4794B3F4">
      <w:pPr>
        <w:pStyle w:val="7"/>
        <w:rPr>
          <w:rFonts w:asciiTheme="minorHAnsi" w:hAnsiTheme="minorHAnsi" w:cstheme="minorBidi"/>
          <w:b w:val="0"/>
          <w:bCs w:val="0"/>
          <w:szCs w:val="22"/>
        </w:rPr>
      </w:pPr>
      <w:r>
        <w:fldChar w:fldCharType="begin"/>
      </w:r>
      <w:r>
        <w:instrText xml:space="preserve"> HYPERLINK \l "_Toc169856825" </w:instrText>
      </w:r>
      <w:r>
        <w:fldChar w:fldCharType="separate"/>
      </w:r>
      <w:r>
        <w:rPr>
          <w:rStyle w:val="11"/>
        </w:rPr>
        <w:t>五、存在的问题和建议</w:t>
      </w:r>
      <w:r>
        <w:tab/>
      </w:r>
      <w:r>
        <w:rPr>
          <w:rFonts w:hint="eastAsia"/>
        </w:rPr>
        <w:t>1</w:t>
      </w:r>
      <w:r>
        <w:rPr>
          <w:rFonts w:hint="eastAsia"/>
        </w:rPr>
        <w:fldChar w:fldCharType="end"/>
      </w:r>
      <w:r>
        <w:rPr>
          <w:rFonts w:hint="eastAsia"/>
        </w:rPr>
        <w:t>1</w:t>
      </w:r>
    </w:p>
    <w:p w14:paraId="6F906BE3">
      <w:pPr>
        <w:pStyle w:val="7"/>
        <w:rPr>
          <w:rFonts w:asciiTheme="minorHAnsi" w:hAnsiTheme="minorHAnsi" w:eastAsiaTheme="minorEastAsia" w:cstheme="minorBidi"/>
          <w:b w:val="0"/>
          <w:bCs w:val="0"/>
          <w:szCs w:val="22"/>
        </w:rPr>
      </w:pPr>
      <w:r>
        <w:fldChar w:fldCharType="begin"/>
      </w:r>
      <w:r>
        <w:instrText xml:space="preserve"> HYPERLINK \l "_Toc169856826" </w:instrText>
      </w:r>
      <w:r>
        <w:fldChar w:fldCharType="separate"/>
      </w:r>
      <w:r>
        <w:rPr>
          <w:rStyle w:val="11"/>
          <w:rFonts w:ascii="仿宋_GB2312"/>
        </w:rPr>
        <w:t>（一）存在问题</w:t>
      </w:r>
      <w:r>
        <w:tab/>
      </w:r>
      <w:r>
        <w:fldChar w:fldCharType="begin"/>
      </w:r>
      <w:r>
        <w:instrText xml:space="preserve"> PAGEREF _Toc169856826 \h </w:instrText>
      </w:r>
      <w:r>
        <w:fldChar w:fldCharType="separate"/>
      </w:r>
      <w:r>
        <w:t>1</w:t>
      </w:r>
      <w:r>
        <w:rPr>
          <w:rFonts w:hint="eastAsia"/>
        </w:rPr>
        <w:t>1</w:t>
      </w:r>
      <w:r>
        <w:fldChar w:fldCharType="end"/>
      </w:r>
      <w:r>
        <w:fldChar w:fldCharType="end"/>
      </w:r>
    </w:p>
    <w:p w14:paraId="5F0FA125">
      <w:pPr>
        <w:pStyle w:val="7"/>
        <w:rPr>
          <w:rFonts w:asciiTheme="minorHAnsi" w:hAnsiTheme="minorHAnsi" w:eastAsiaTheme="minorEastAsia" w:cstheme="minorBidi"/>
          <w:b w:val="0"/>
          <w:bCs w:val="0"/>
          <w:szCs w:val="22"/>
        </w:rPr>
      </w:pPr>
      <w:r>
        <w:fldChar w:fldCharType="begin"/>
      </w:r>
      <w:r>
        <w:instrText xml:space="preserve"> HYPERLINK \l "_Toc169856827" </w:instrText>
      </w:r>
      <w:r>
        <w:fldChar w:fldCharType="separate"/>
      </w:r>
      <w:r>
        <w:rPr>
          <w:rStyle w:val="11"/>
          <w:rFonts w:ascii="仿宋_GB2312"/>
        </w:rPr>
        <w:t>（二）建议</w:t>
      </w:r>
      <w:r>
        <w:tab/>
      </w:r>
      <w:r>
        <w:fldChar w:fldCharType="begin"/>
      </w:r>
      <w:r>
        <w:instrText xml:space="preserve"> PAGEREF _Toc169856827 \h </w:instrText>
      </w:r>
      <w:r>
        <w:fldChar w:fldCharType="separate"/>
      </w:r>
      <w:r>
        <w:t>11</w:t>
      </w:r>
      <w:r>
        <w:fldChar w:fldCharType="end"/>
      </w:r>
      <w:r>
        <w:fldChar w:fldCharType="end"/>
      </w:r>
    </w:p>
    <w:p w14:paraId="7CBF237A">
      <w:pPr>
        <w:pStyle w:val="13"/>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color w:val="auto"/>
          <w:sz w:val="21"/>
          <w:szCs w:val="21"/>
          <w:u w:val="none"/>
        </w:rPr>
        <w:fldChar w:fldCharType="end"/>
      </w:r>
    </w:p>
    <w:p w14:paraId="7A3CB804">
      <w:pPr>
        <w:spacing w:line="360" w:lineRule="auto"/>
        <w:jc w:val="right"/>
        <w:rPr>
          <w:rFonts w:ascii="Arial Narrow" w:hAnsi="Arial Narrow"/>
          <w:bCs/>
          <w:w w:val="80"/>
          <w:sz w:val="28"/>
          <w:szCs w:val="28"/>
        </w:rPr>
      </w:pPr>
    </w:p>
    <w:p w14:paraId="18E87378">
      <w:pPr>
        <w:spacing w:line="360" w:lineRule="auto"/>
        <w:jc w:val="right"/>
        <w:rPr>
          <w:rFonts w:ascii="Arial Narrow" w:hAnsi="Arial Narrow"/>
          <w:bCs/>
          <w:w w:val="80"/>
          <w:sz w:val="28"/>
          <w:szCs w:val="28"/>
        </w:rPr>
      </w:pPr>
    </w:p>
    <w:p w14:paraId="391E58EA">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7BA2868C">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003A4ADD">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ascii="Arial Narrow" w:hAnsi="Arial Narrow" w:eastAsia="仿宋_GB2312"/>
          <w:sz w:val="28"/>
          <w:szCs w:val="28"/>
        </w:rPr>
        <w:t>0</w:t>
      </w:r>
      <w:r>
        <w:rPr>
          <w:rFonts w:hint="eastAsia" w:ascii="Arial Narrow" w:hAnsi="Arial Narrow" w:eastAsia="仿宋_GB2312"/>
          <w:sz w:val="28"/>
          <w:szCs w:val="28"/>
          <w:lang w:val="en-US" w:eastAsia="zh-CN"/>
        </w:rPr>
        <w:t>42</w:t>
      </w:r>
      <w:r>
        <w:rPr>
          <w:rFonts w:hint="eastAsia" w:ascii="Arial Narrow" w:hAnsi="Arial Narrow" w:eastAsia="仿宋_GB2312"/>
          <w:sz w:val="28"/>
          <w:szCs w:val="28"/>
        </w:rPr>
        <w:t>号</w:t>
      </w:r>
    </w:p>
    <w:p w14:paraId="115FED87">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65A53948">
      <w:pPr>
        <w:adjustRightInd w:val="0"/>
        <w:snapToGrid w:val="0"/>
        <w:spacing w:line="360" w:lineRule="auto"/>
        <w:jc w:val="center"/>
        <w:rPr>
          <w:rStyle w:val="11"/>
          <w:rFonts w:ascii="Arial Narrow" w:hAnsi="Arial Narrow" w:eastAsia="仿宋_GB2312"/>
          <w:b/>
          <w:color w:val="auto"/>
          <w:sz w:val="36"/>
          <w:szCs w:val="36"/>
          <w:u w:val="none"/>
        </w:rPr>
      </w:pPr>
      <w:r>
        <w:rPr>
          <w:rStyle w:val="11"/>
          <w:rFonts w:hint="eastAsia" w:ascii="Arial Narrow" w:hAnsi="Arial Narrow" w:eastAsia="仿宋_GB2312"/>
          <w:b/>
          <w:color w:val="auto"/>
          <w:sz w:val="36"/>
          <w:szCs w:val="36"/>
          <w:u w:val="none"/>
        </w:rPr>
        <w:t>重庆市铜梁区水利局农村饮水提升项目等3个项目</w:t>
      </w:r>
    </w:p>
    <w:p w14:paraId="49C4A00F">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153F4DB4">
      <w:pPr>
        <w:pStyle w:val="14"/>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为深入贯彻落实党的十九大“全面实施绩效管理”决策部署，进一步提高政府投入资金的使用效益，促进公共服务资源的优化配置，根据《中华人民共和国预算法》、</w:t>
      </w:r>
      <w:r>
        <w:rPr>
          <w:rFonts w:hint="eastAsia" w:ascii="Arial Narrow" w:hAnsi="Arial Narrow" w:eastAsia="仿宋_GB2312"/>
          <w:color w:val="auto"/>
        </w:rPr>
        <w:t>项目</w:t>
      </w:r>
      <w:r>
        <w:rPr>
          <w:rFonts w:ascii="Arial Narrow" w:hAnsi="Arial Narrow" w:eastAsia="仿宋_GB2312"/>
          <w:color w:val="auto"/>
        </w:rPr>
        <w:t>《项目支出绩效评价管理办法》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重庆市铜梁区水利局（</w:t>
      </w:r>
      <w:r>
        <w:rPr>
          <w:rFonts w:ascii="Arial Narrow" w:hAnsi="Arial Narrow" w:eastAsia="仿宋_GB2312"/>
          <w:color w:val="auto"/>
        </w:rPr>
        <w:t>以下简称“</w:t>
      </w:r>
      <w:r>
        <w:rPr>
          <w:rFonts w:hint="eastAsia" w:ascii="Arial Narrow" w:hAnsi="Arial Narrow" w:eastAsia="仿宋_GB2312"/>
          <w:color w:val="auto"/>
        </w:rPr>
        <w:t>水利局</w:t>
      </w:r>
      <w:r>
        <w:rPr>
          <w:rFonts w:ascii="Arial Narrow" w:hAnsi="Arial Narrow" w:eastAsia="仿宋_GB2312"/>
          <w:color w:val="auto"/>
        </w:rPr>
        <w:t>”</w:t>
      </w:r>
      <w:r>
        <w:rPr>
          <w:rFonts w:hint="eastAsia" w:ascii="Arial Narrow" w:hAnsi="Arial Narrow" w:eastAsia="仿宋_GB2312"/>
          <w:color w:val="auto"/>
        </w:rPr>
        <w:t>）</w:t>
      </w:r>
      <w:r>
        <w:rPr>
          <w:rFonts w:hint="eastAsia"/>
        </w:rPr>
        <w:t xml:space="preserve"> </w:t>
      </w:r>
      <w:r>
        <w:rPr>
          <w:rFonts w:hint="eastAsia" w:ascii="Arial Narrow" w:hAnsi="Arial Narrow" w:eastAsia="仿宋_GB2312"/>
          <w:color w:val="auto"/>
        </w:rPr>
        <w:t>农村饮水提升项目等</w:t>
      </w:r>
      <w:r>
        <w:rPr>
          <w:rFonts w:ascii="Arial Narrow" w:hAnsi="Arial Narrow" w:eastAsia="仿宋_GB2312"/>
          <w:color w:val="auto"/>
        </w:rPr>
        <w:t>3</w:t>
      </w:r>
      <w:r>
        <w:rPr>
          <w:rFonts w:hint="eastAsia" w:ascii="Arial Narrow" w:hAnsi="Arial Narrow" w:eastAsia="仿宋_GB2312"/>
          <w:color w:val="auto"/>
        </w:rPr>
        <w:t>个项目</w:t>
      </w:r>
      <w:r>
        <w:rPr>
          <w:rFonts w:ascii="Arial Narrow" w:hAnsi="Arial Narrow" w:eastAsia="仿宋_GB2312"/>
          <w:color w:val="auto"/>
        </w:rPr>
        <w:t>进行绩效评价，现将评价情况报告如下：</w:t>
      </w:r>
    </w:p>
    <w:p w14:paraId="02E0F320">
      <w:pPr>
        <w:spacing w:line="360" w:lineRule="auto"/>
        <w:ind w:firstLine="482" w:firstLineChars="200"/>
        <w:jc w:val="left"/>
        <w:outlineLvl w:val="0"/>
        <w:rPr>
          <w:rFonts w:ascii="Arial Narrow" w:hAnsi="Arial Narrow" w:eastAsia="仿宋_GB2312"/>
          <w:b/>
          <w:sz w:val="24"/>
        </w:rPr>
      </w:pPr>
      <w:bookmarkStart w:id="3" w:name="_Toc169856811"/>
      <w:r>
        <w:rPr>
          <w:rFonts w:ascii="Arial Narrow" w:hAnsi="Arial Narrow" w:eastAsia="仿宋_GB2312"/>
          <w:b/>
          <w:sz w:val="24"/>
        </w:rPr>
        <w:t>一、基本情况</w:t>
      </w:r>
      <w:bookmarkEnd w:id="3"/>
    </w:p>
    <w:p w14:paraId="0667D60B">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169856812"/>
      <w:r>
        <w:rPr>
          <w:rFonts w:hint="eastAsia" w:ascii="Arial Narrow" w:hAnsi="Arial Narrow" w:eastAsia="仿宋" w:cs="宋体"/>
          <w:b/>
          <w:bCs/>
          <w:kern w:val="0"/>
          <w:sz w:val="24"/>
        </w:rPr>
        <w:t>（一）项目情况</w:t>
      </w:r>
      <w:bookmarkEnd w:id="4"/>
    </w:p>
    <w:p w14:paraId="513C391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1、农村饮水安全巩固提升工程（土桥镇）项目</w:t>
      </w:r>
    </w:p>
    <w:p w14:paraId="7C52DEF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实施单位：重庆市铜梁区水利局</w:t>
      </w:r>
    </w:p>
    <w:p w14:paraId="00DC55A4">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项目内容：对重庆市铜梁区土桥镇六赢村、庆林村、高垭村、河水村、高桥村等5个村管网进行改造。</w:t>
      </w:r>
    </w:p>
    <w:p w14:paraId="0203C951">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w:t>
      </w:r>
      <w:r>
        <w:rPr>
          <w:rFonts w:ascii="Arial Narrow" w:hAnsi="Arial Narrow" w:eastAsia="仿宋_GB2312" w:cs="宋体"/>
          <w:kern w:val="0"/>
          <w:sz w:val="24"/>
        </w:rPr>
        <w:t>463</w:t>
      </w:r>
      <w:r>
        <w:rPr>
          <w:rFonts w:hint="eastAsia" w:ascii="Arial Narrow" w:hAnsi="Arial Narrow" w:eastAsia="仿宋_GB2312" w:cs="宋体"/>
          <w:kern w:val="0"/>
          <w:sz w:val="24"/>
        </w:rPr>
        <w:t>.</w:t>
      </w:r>
      <w:r>
        <w:rPr>
          <w:rFonts w:ascii="Arial Narrow" w:hAnsi="Arial Narrow" w:eastAsia="仿宋_GB2312" w:cs="宋体"/>
          <w:kern w:val="0"/>
          <w:sz w:val="24"/>
        </w:rPr>
        <w:t>00</w:t>
      </w:r>
      <w:r>
        <w:rPr>
          <w:rFonts w:hint="eastAsia" w:ascii="Arial Narrow" w:hAnsi="Arial Narrow" w:eastAsia="仿宋_GB2312" w:cs="宋体"/>
          <w:kern w:val="0"/>
          <w:sz w:val="24"/>
        </w:rPr>
        <w:t>万元，追加投入</w:t>
      </w:r>
      <w:r>
        <w:rPr>
          <w:rFonts w:ascii="Arial Narrow" w:hAnsi="Arial Narrow" w:eastAsia="仿宋_GB2312" w:cs="宋体"/>
          <w:kern w:val="0"/>
          <w:sz w:val="24"/>
        </w:rPr>
        <w:t>20</w:t>
      </w:r>
      <w:r>
        <w:rPr>
          <w:rFonts w:hint="eastAsia" w:ascii="Arial Narrow" w:hAnsi="Arial Narrow" w:eastAsia="仿宋_GB2312" w:cs="宋体"/>
          <w:kern w:val="0"/>
          <w:sz w:val="24"/>
        </w:rPr>
        <w:t>.</w:t>
      </w:r>
      <w:r>
        <w:rPr>
          <w:rFonts w:ascii="Arial Narrow" w:hAnsi="Arial Narrow" w:eastAsia="仿宋_GB2312" w:cs="宋体"/>
          <w:kern w:val="0"/>
          <w:sz w:val="24"/>
        </w:rPr>
        <w:t>19</w:t>
      </w:r>
      <w:r>
        <w:rPr>
          <w:rFonts w:hint="eastAsia" w:ascii="Arial Narrow" w:hAnsi="Arial Narrow" w:eastAsia="仿宋_GB2312" w:cs="宋体"/>
          <w:kern w:val="0"/>
          <w:sz w:val="24"/>
        </w:rPr>
        <w:t>万元，实际投入</w:t>
      </w:r>
      <w:r>
        <w:rPr>
          <w:rFonts w:ascii="Arial Narrow" w:hAnsi="Arial Narrow" w:eastAsia="仿宋_GB2312" w:cs="宋体"/>
          <w:kern w:val="0"/>
          <w:sz w:val="24"/>
        </w:rPr>
        <w:t>483</w:t>
      </w:r>
      <w:r>
        <w:rPr>
          <w:rFonts w:hint="eastAsia" w:ascii="Arial Narrow" w:hAnsi="Arial Narrow" w:eastAsia="仿宋_GB2312" w:cs="宋体"/>
          <w:kern w:val="0"/>
          <w:sz w:val="24"/>
        </w:rPr>
        <w:t>.</w:t>
      </w:r>
      <w:r>
        <w:rPr>
          <w:rFonts w:ascii="Arial Narrow" w:hAnsi="Arial Narrow" w:eastAsia="仿宋_GB2312" w:cs="宋体"/>
          <w:kern w:val="0"/>
          <w:sz w:val="24"/>
        </w:rPr>
        <w:t>19</w:t>
      </w:r>
      <w:r>
        <w:rPr>
          <w:rFonts w:hint="eastAsia" w:ascii="Arial Narrow" w:hAnsi="Arial Narrow" w:eastAsia="仿宋_GB2312" w:cs="宋体"/>
          <w:kern w:val="0"/>
          <w:sz w:val="24"/>
        </w:rPr>
        <w:t>万元，其中：2</w:t>
      </w:r>
      <w:r>
        <w:rPr>
          <w:rFonts w:ascii="Arial Narrow" w:hAnsi="Arial Narrow" w:eastAsia="仿宋_GB2312" w:cs="宋体"/>
          <w:kern w:val="0"/>
          <w:sz w:val="24"/>
        </w:rPr>
        <w:t>023</w:t>
      </w:r>
      <w:r>
        <w:rPr>
          <w:rFonts w:hint="eastAsia" w:ascii="Arial Narrow" w:hAnsi="Arial Narrow" w:eastAsia="仿宋_GB2312" w:cs="宋体"/>
          <w:kern w:val="0"/>
          <w:sz w:val="24"/>
        </w:rPr>
        <w:t>年市财政乡村振兴补助资金4</w:t>
      </w:r>
      <w:r>
        <w:rPr>
          <w:rFonts w:ascii="Arial Narrow" w:hAnsi="Arial Narrow" w:eastAsia="仿宋_GB2312" w:cs="宋体"/>
          <w:kern w:val="0"/>
          <w:sz w:val="24"/>
        </w:rPr>
        <w:t>02</w:t>
      </w:r>
      <w:r>
        <w:rPr>
          <w:rFonts w:hint="eastAsia" w:ascii="Arial Narrow" w:hAnsi="Arial Narrow" w:eastAsia="仿宋_GB2312" w:cs="宋体"/>
          <w:kern w:val="0"/>
          <w:sz w:val="24"/>
        </w:rPr>
        <w:t>.</w:t>
      </w:r>
      <w:r>
        <w:rPr>
          <w:rFonts w:ascii="Arial Narrow" w:hAnsi="Arial Narrow" w:eastAsia="仿宋_GB2312" w:cs="宋体"/>
          <w:kern w:val="0"/>
          <w:sz w:val="24"/>
        </w:rPr>
        <w:t>00</w:t>
      </w:r>
      <w:r>
        <w:rPr>
          <w:rFonts w:hint="eastAsia" w:ascii="Arial Narrow" w:hAnsi="Arial Narrow" w:eastAsia="仿宋_GB2312" w:cs="宋体"/>
          <w:kern w:val="0"/>
          <w:sz w:val="24"/>
        </w:rPr>
        <w:t>万元，自筹资金8</w:t>
      </w:r>
      <w:r>
        <w:rPr>
          <w:rFonts w:ascii="Arial Narrow" w:hAnsi="Arial Narrow" w:eastAsia="仿宋_GB2312" w:cs="宋体"/>
          <w:kern w:val="0"/>
          <w:sz w:val="24"/>
        </w:rPr>
        <w:t>1</w:t>
      </w:r>
      <w:r>
        <w:rPr>
          <w:rFonts w:hint="eastAsia" w:ascii="Arial Narrow" w:hAnsi="Arial Narrow" w:eastAsia="仿宋_GB2312" w:cs="宋体"/>
          <w:kern w:val="0"/>
          <w:sz w:val="24"/>
        </w:rPr>
        <w:t>.</w:t>
      </w:r>
      <w:r>
        <w:rPr>
          <w:rFonts w:ascii="Arial Narrow" w:hAnsi="Arial Narrow" w:eastAsia="仿宋_GB2312" w:cs="宋体"/>
          <w:kern w:val="0"/>
          <w:sz w:val="24"/>
        </w:rPr>
        <w:t>19</w:t>
      </w:r>
      <w:r>
        <w:rPr>
          <w:rFonts w:hint="eastAsia" w:ascii="Arial Narrow" w:hAnsi="Arial Narrow" w:eastAsia="仿宋_GB2312" w:cs="宋体"/>
          <w:kern w:val="0"/>
          <w:sz w:val="24"/>
        </w:rPr>
        <w:t>万元。</w:t>
      </w:r>
    </w:p>
    <w:p w14:paraId="132B7D0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2、</w:t>
      </w:r>
      <w:bookmarkStart w:id="5" w:name="_Hlk169855688"/>
      <w:r>
        <w:rPr>
          <w:rFonts w:hint="eastAsia" w:ascii="Arial Narrow" w:hAnsi="Arial Narrow" w:eastAsia="仿宋_GB2312" w:cs="宋体"/>
          <w:kern w:val="0"/>
          <w:sz w:val="24"/>
        </w:rPr>
        <w:t>农村饮水提升项目（东城）项目</w:t>
      </w:r>
      <w:bookmarkEnd w:id="5"/>
    </w:p>
    <w:p w14:paraId="29646D4F">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实施单位：重庆市铜梁区水利局</w:t>
      </w:r>
    </w:p>
    <w:p w14:paraId="2A4555A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项目内容：铺设输水管道61.678km及安装控制闸阀、排气阀、排泥阀、减压阀、计量水表等合计284个，并新建室外集成式变频供水泵站2座，改造加压泵站1座。</w:t>
      </w:r>
    </w:p>
    <w:p w14:paraId="0AF51900">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w:t>
      </w:r>
      <w:r>
        <w:rPr>
          <w:rFonts w:ascii="Arial Narrow" w:hAnsi="Arial Narrow" w:eastAsia="仿宋_GB2312" w:cs="宋体"/>
          <w:kern w:val="0"/>
          <w:sz w:val="24"/>
        </w:rPr>
        <w:t>370</w:t>
      </w:r>
      <w:r>
        <w:rPr>
          <w:rFonts w:hint="eastAsia" w:ascii="Arial Narrow" w:hAnsi="Arial Narrow" w:eastAsia="仿宋_GB2312" w:cs="宋体"/>
          <w:kern w:val="0"/>
          <w:sz w:val="24"/>
        </w:rPr>
        <w:t>.</w:t>
      </w:r>
      <w:r>
        <w:rPr>
          <w:rFonts w:ascii="Arial Narrow" w:hAnsi="Arial Narrow" w:eastAsia="仿宋_GB2312" w:cs="宋体"/>
          <w:kern w:val="0"/>
          <w:sz w:val="24"/>
        </w:rPr>
        <w:t>00</w:t>
      </w:r>
      <w:r>
        <w:rPr>
          <w:rFonts w:hint="eastAsia" w:ascii="Arial Narrow" w:hAnsi="Arial Narrow" w:eastAsia="仿宋_GB2312" w:cs="宋体"/>
          <w:kern w:val="0"/>
          <w:sz w:val="24"/>
        </w:rPr>
        <w:t>万元，均为中央补助资金。</w:t>
      </w:r>
    </w:p>
    <w:p w14:paraId="6CA9C5E2">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3、公益性岗位项目</w:t>
      </w:r>
    </w:p>
    <w:p w14:paraId="738C4E91">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实施单位：重庆市铜梁区水利局</w:t>
      </w:r>
    </w:p>
    <w:p w14:paraId="67208207">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项目内容：设置水利公益性岗位7</w:t>
      </w:r>
      <w:r>
        <w:rPr>
          <w:rFonts w:ascii="Arial Narrow" w:hAnsi="Arial Narrow" w:eastAsia="仿宋_GB2312" w:cs="宋体"/>
          <w:kern w:val="0"/>
          <w:sz w:val="24"/>
        </w:rPr>
        <w:t>4</w:t>
      </w:r>
      <w:r>
        <w:rPr>
          <w:rFonts w:hint="eastAsia" w:ascii="Arial Narrow" w:hAnsi="Arial Narrow" w:eastAsia="仿宋_GB2312" w:cs="宋体"/>
          <w:kern w:val="0"/>
          <w:sz w:val="24"/>
        </w:rPr>
        <w:t>个</w:t>
      </w:r>
      <w:r>
        <w:rPr>
          <w:rFonts w:ascii="Arial Narrow" w:hAnsi="Arial Narrow" w:eastAsia="仿宋_GB2312" w:cs="宋体"/>
          <w:kern w:val="0"/>
          <w:sz w:val="24"/>
        </w:rPr>
        <w:t xml:space="preserve"> </w:t>
      </w:r>
    </w:p>
    <w:p w14:paraId="028E5445">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w:t>
      </w:r>
      <w:r>
        <w:rPr>
          <w:rFonts w:ascii="Arial Narrow" w:hAnsi="Arial Narrow" w:eastAsia="仿宋_GB2312" w:cs="宋体"/>
          <w:kern w:val="0"/>
          <w:sz w:val="24"/>
        </w:rPr>
        <w:t>44</w:t>
      </w:r>
      <w:r>
        <w:rPr>
          <w:rFonts w:hint="eastAsia" w:ascii="Arial Narrow" w:hAnsi="Arial Narrow" w:eastAsia="仿宋_GB2312" w:cs="宋体"/>
          <w:kern w:val="0"/>
          <w:sz w:val="24"/>
        </w:rPr>
        <w:t>.</w:t>
      </w:r>
      <w:r>
        <w:rPr>
          <w:rFonts w:ascii="Arial Narrow" w:hAnsi="Arial Narrow" w:eastAsia="仿宋_GB2312" w:cs="宋体"/>
          <w:kern w:val="0"/>
          <w:sz w:val="24"/>
        </w:rPr>
        <w:t>40</w:t>
      </w:r>
      <w:r>
        <w:rPr>
          <w:rFonts w:hint="eastAsia" w:ascii="Arial Narrow" w:hAnsi="Arial Narrow" w:eastAsia="仿宋_GB2312" w:cs="宋体"/>
          <w:kern w:val="0"/>
          <w:sz w:val="24"/>
        </w:rPr>
        <w:t>万元，均为上级补助资金。</w:t>
      </w:r>
    </w:p>
    <w:p w14:paraId="3C5E3EDE">
      <w:pPr>
        <w:spacing w:line="360" w:lineRule="auto"/>
        <w:ind w:firstLine="482" w:firstLineChars="200"/>
        <w:jc w:val="left"/>
        <w:outlineLvl w:val="0"/>
        <w:rPr>
          <w:rFonts w:ascii="Arial Narrow" w:hAnsi="Arial Narrow" w:eastAsia="仿宋_GB2312"/>
          <w:b/>
          <w:sz w:val="24"/>
        </w:rPr>
      </w:pPr>
      <w:bookmarkStart w:id="6" w:name="_Toc169856813"/>
      <w:r>
        <w:rPr>
          <w:rFonts w:ascii="Arial Narrow" w:hAnsi="Arial Narrow" w:eastAsia="仿宋_GB2312"/>
          <w:b/>
          <w:sz w:val="24"/>
        </w:rPr>
        <w:t>二、绩效评价工作情况</w:t>
      </w:r>
      <w:bookmarkEnd w:id="6"/>
    </w:p>
    <w:p w14:paraId="5810F5E1">
      <w:pPr>
        <w:spacing w:line="360" w:lineRule="auto"/>
        <w:ind w:firstLine="482" w:firstLineChars="200"/>
        <w:jc w:val="left"/>
        <w:outlineLvl w:val="0"/>
        <w:rPr>
          <w:rFonts w:ascii="Arial Narrow" w:hAnsi="Arial Narrow" w:eastAsia="仿宋_GB2312"/>
          <w:b/>
          <w:sz w:val="24"/>
        </w:rPr>
      </w:pPr>
      <w:bookmarkStart w:id="7" w:name="_Toc169856814"/>
      <w:bookmarkStart w:id="8" w:name="_Toc513775099"/>
      <w:r>
        <w:rPr>
          <w:rFonts w:ascii="Arial Narrow" w:hAnsi="Arial Narrow" w:eastAsia="仿宋_GB2312"/>
          <w:b/>
          <w:sz w:val="24"/>
        </w:rPr>
        <w:t>（一）绩效评价目的</w:t>
      </w:r>
      <w:bookmarkEnd w:id="7"/>
      <w:bookmarkEnd w:id="8"/>
    </w:p>
    <w:p w14:paraId="38CD8864">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7ECDAA0F">
      <w:pPr>
        <w:spacing w:line="360" w:lineRule="auto"/>
        <w:ind w:firstLine="482" w:firstLineChars="200"/>
        <w:jc w:val="left"/>
        <w:outlineLvl w:val="0"/>
        <w:rPr>
          <w:rFonts w:ascii="Arial Narrow" w:hAnsi="Arial Narrow" w:eastAsia="仿宋_GB2312"/>
          <w:b/>
          <w:sz w:val="24"/>
        </w:rPr>
      </w:pPr>
      <w:bookmarkStart w:id="9" w:name="_Toc169856815"/>
      <w:bookmarkStart w:id="10"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9"/>
    </w:p>
    <w:p w14:paraId="6DAF5081">
      <w:pPr>
        <w:pStyle w:val="14"/>
        <w:spacing w:line="360" w:lineRule="auto"/>
        <w:ind w:firstLine="480" w:firstLineChars="200"/>
        <w:rPr>
          <w:rFonts w:ascii="Arial Narrow" w:hAnsi="Arial Narrow" w:eastAsia="仿宋_GB2312"/>
          <w:color w:val="auto"/>
        </w:rPr>
      </w:pPr>
      <w:bookmarkStart w:id="11" w:name="_Toc166332968"/>
      <w:r>
        <w:rPr>
          <w:rFonts w:hint="eastAsia" w:ascii="Arial Narrow" w:hAnsi="Arial Narrow" w:eastAsia="仿宋_GB2312"/>
          <w:color w:val="auto"/>
        </w:rPr>
        <w:t>1、绩效目标的设定情况；</w:t>
      </w:r>
    </w:p>
    <w:p w14:paraId="5819D1D1">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2、资金投入和使用情况；</w:t>
      </w:r>
    </w:p>
    <w:p w14:paraId="258A8CA3">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3、为实现绩效目标制定的制度、采取的措施等；</w:t>
      </w:r>
    </w:p>
    <w:p w14:paraId="44DECCE4">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4、绩效目标的实现程度及效果；</w:t>
      </w:r>
    </w:p>
    <w:p w14:paraId="26ED7BAF">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5、根据实际情况需要评价的其他内容。</w:t>
      </w:r>
    </w:p>
    <w:p w14:paraId="57B6243D">
      <w:pPr>
        <w:spacing w:line="360" w:lineRule="auto"/>
        <w:ind w:firstLine="482" w:firstLineChars="200"/>
        <w:jc w:val="left"/>
        <w:outlineLvl w:val="0"/>
        <w:rPr>
          <w:rFonts w:ascii="Arial Narrow" w:hAnsi="Arial Narrow" w:eastAsia="仿宋_GB2312"/>
          <w:b/>
          <w:sz w:val="24"/>
        </w:rPr>
      </w:pPr>
      <w:bookmarkStart w:id="12" w:name="_Toc169856816"/>
      <w:r>
        <w:rPr>
          <w:rFonts w:ascii="Arial Narrow" w:hAnsi="Arial Narrow" w:eastAsia="仿宋_GB2312"/>
          <w:b/>
          <w:sz w:val="24"/>
        </w:rPr>
        <w:t>（三）绩效评价依据</w:t>
      </w:r>
      <w:bookmarkEnd w:id="10"/>
      <w:bookmarkEnd w:id="11"/>
      <w:bookmarkEnd w:id="12"/>
      <w:bookmarkStart w:id="13" w:name="_Toc335040595"/>
    </w:p>
    <w:bookmarkEnd w:id="13"/>
    <w:p w14:paraId="0A0AE233">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r>
        <w:rPr>
          <w:rFonts w:hint="eastAsia" w:ascii="Arial Narrow" w:hAnsi="Arial Narrow" w:eastAsia="仿宋_GB2312" w:cs="Arial Narrow"/>
          <w:color w:val="auto"/>
        </w:rPr>
        <w:t>；</w:t>
      </w:r>
    </w:p>
    <w:p w14:paraId="1DDAAF7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r>
        <w:rPr>
          <w:rFonts w:hint="eastAsia" w:ascii="Arial Narrow" w:hAnsi="Arial Narrow" w:eastAsia="仿宋_GB2312" w:cs="Arial Narrow"/>
          <w:color w:val="auto"/>
        </w:rPr>
        <w:t>；</w:t>
      </w:r>
    </w:p>
    <w:p w14:paraId="7168AEC4">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r>
        <w:rPr>
          <w:rFonts w:ascii="Arial Narrow" w:hAnsi="Arial Narrow" w:eastAsia="仿宋_GB2312"/>
          <w:color w:val="auto"/>
        </w:rPr>
        <w:t xml:space="preserve"> </w:t>
      </w:r>
      <w:r>
        <w:rPr>
          <w:rFonts w:hint="eastAsia" w:ascii="Arial Narrow" w:hAnsi="Arial Narrow" w:eastAsia="仿宋_GB2312" w:cs="Arial Narrow"/>
          <w:color w:val="auto"/>
        </w:rPr>
        <w:t>；</w:t>
      </w:r>
    </w:p>
    <w:p w14:paraId="0ECCFC2F">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r>
        <w:rPr>
          <w:rFonts w:hint="eastAsia" w:ascii="Arial Narrow" w:hAnsi="Arial Narrow" w:eastAsia="仿宋_GB2312" w:cs="Arial Narrow"/>
          <w:color w:val="auto"/>
        </w:rPr>
        <w:t>；</w:t>
      </w:r>
    </w:p>
    <w:p w14:paraId="7CA5821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r>
        <w:rPr>
          <w:rFonts w:hint="eastAsia" w:ascii="Arial Narrow" w:hAnsi="Arial Narrow" w:eastAsia="仿宋_GB2312" w:cs="Arial Narrow"/>
          <w:color w:val="auto"/>
        </w:rPr>
        <w:t>；</w:t>
      </w:r>
    </w:p>
    <w:p w14:paraId="120EDC81">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r>
        <w:rPr>
          <w:rFonts w:hint="eastAsia" w:ascii="Arial Narrow" w:hAnsi="Arial Narrow" w:eastAsia="仿宋_GB2312" w:cs="Arial Narrow"/>
          <w:color w:val="auto"/>
        </w:rPr>
        <w:t>；</w:t>
      </w:r>
    </w:p>
    <w:p w14:paraId="17404796">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r>
        <w:rPr>
          <w:rFonts w:hint="eastAsia" w:ascii="Arial Narrow" w:hAnsi="Arial Narrow" w:eastAsia="仿宋_GB2312" w:cs="Arial Narrow"/>
          <w:color w:val="auto"/>
        </w:rPr>
        <w:t>；</w:t>
      </w:r>
    </w:p>
    <w:p w14:paraId="206EEA2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s="Arial Narrow"/>
          <w:color w:val="auto"/>
        </w:rPr>
        <w:t>；</w:t>
      </w:r>
    </w:p>
    <w:p w14:paraId="0DC8694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s="Arial Narrow"/>
          <w:color w:val="auto"/>
        </w:rPr>
        <w:t>；</w:t>
      </w:r>
    </w:p>
    <w:p w14:paraId="54D5305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4" w:name="_Hlk162597612"/>
      <w:r>
        <w:rPr>
          <w:rFonts w:hint="eastAsia" w:ascii="Arial Narrow" w:hAnsi="Arial Narrow" w:eastAsia="仿宋_GB2312"/>
          <w:color w:val="auto"/>
        </w:rPr>
        <w:t>〔2016〕</w:t>
      </w:r>
      <w:bookmarkEnd w:id="14"/>
      <w:r>
        <w:rPr>
          <w:rFonts w:ascii="Arial Narrow" w:hAnsi="Arial Narrow" w:eastAsia="仿宋_GB2312"/>
          <w:color w:val="auto"/>
        </w:rPr>
        <w:t>10号）</w:t>
      </w:r>
      <w:r>
        <w:rPr>
          <w:rFonts w:hint="eastAsia" w:ascii="Arial Narrow" w:hAnsi="Arial Narrow" w:eastAsia="仿宋_GB2312" w:cs="Arial Narrow"/>
          <w:color w:val="auto"/>
        </w:rPr>
        <w:t>；</w:t>
      </w:r>
    </w:p>
    <w:p w14:paraId="7E7E2597">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23F4F10B">
      <w:pPr>
        <w:spacing w:line="360" w:lineRule="auto"/>
        <w:ind w:firstLine="482" w:firstLineChars="200"/>
        <w:jc w:val="left"/>
        <w:outlineLvl w:val="0"/>
        <w:rPr>
          <w:rFonts w:ascii="Arial Narrow" w:hAnsi="Arial Narrow" w:eastAsia="仿宋_GB2312"/>
          <w:b/>
          <w:sz w:val="24"/>
        </w:rPr>
      </w:pPr>
      <w:bookmarkStart w:id="15" w:name="_Toc169856817"/>
      <w:r>
        <w:rPr>
          <w:rFonts w:ascii="Arial Narrow" w:hAnsi="Arial Narrow" w:eastAsia="仿宋_GB2312"/>
          <w:b/>
          <w:sz w:val="24"/>
        </w:rPr>
        <w:t>（四）绩效评价原则和指标体系</w:t>
      </w:r>
      <w:bookmarkEnd w:id="15"/>
    </w:p>
    <w:p w14:paraId="4FBBB51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32C15BB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01EC7E05">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w:t>
      </w: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重要性原则。应当优先使用最具评价对象代表性、最能反映评价要求的核心指标。</w:t>
      </w:r>
    </w:p>
    <w:p w14:paraId="047117BC">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1456AC96">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24A79DA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019AEB9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2ECA81A5">
      <w:pPr>
        <w:pStyle w:val="14"/>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tbl>
      <w:tblPr>
        <w:tblStyle w:val="9"/>
        <w:tblW w:w="9571" w:type="dxa"/>
        <w:tblInd w:w="0" w:type="dxa"/>
        <w:tblLayout w:type="fixed"/>
        <w:tblCellMar>
          <w:top w:w="0" w:type="dxa"/>
          <w:left w:w="108" w:type="dxa"/>
          <w:bottom w:w="0" w:type="dxa"/>
          <w:right w:w="108" w:type="dxa"/>
        </w:tblCellMar>
      </w:tblPr>
      <w:tblGrid>
        <w:gridCol w:w="536"/>
        <w:gridCol w:w="857"/>
        <w:gridCol w:w="857"/>
        <w:gridCol w:w="536"/>
        <w:gridCol w:w="2339"/>
        <w:gridCol w:w="4446"/>
      </w:tblGrid>
      <w:tr w14:paraId="2FFF901C">
        <w:tblPrEx>
          <w:tblCellMar>
            <w:top w:w="0" w:type="dxa"/>
            <w:left w:w="108" w:type="dxa"/>
            <w:bottom w:w="0" w:type="dxa"/>
            <w:right w:w="108" w:type="dxa"/>
          </w:tblCellMar>
        </w:tblPrEx>
        <w:trPr>
          <w:cantSplit/>
          <w:trHeight w:val="516" w:hRule="atLeast"/>
          <w:tblHeader/>
        </w:trPr>
        <w:tc>
          <w:tcPr>
            <w:tcW w:w="9571" w:type="dxa"/>
            <w:gridSpan w:val="6"/>
            <w:tcBorders>
              <w:bottom w:val="single" w:color="auto" w:sz="4" w:space="0"/>
            </w:tcBorders>
            <w:shd w:val="clear" w:color="auto" w:fill="auto"/>
            <w:noWrap/>
            <w:vAlign w:val="center"/>
          </w:tcPr>
          <w:p w14:paraId="6076B372">
            <w:pPr>
              <w:pStyle w:val="14"/>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c>
      </w:tr>
      <w:tr w14:paraId="394C3E29">
        <w:tblPrEx>
          <w:tblCellMar>
            <w:top w:w="0" w:type="dxa"/>
            <w:left w:w="108" w:type="dxa"/>
            <w:bottom w:w="0" w:type="dxa"/>
            <w:right w:w="108" w:type="dxa"/>
          </w:tblCellMar>
        </w:tblPrEx>
        <w:trPr>
          <w:cantSplit/>
          <w:trHeight w:val="516"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63B66F">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序号</w:t>
            </w:r>
          </w:p>
        </w:tc>
        <w:tc>
          <w:tcPr>
            <w:tcW w:w="857" w:type="dxa"/>
            <w:tcBorders>
              <w:top w:val="single" w:color="auto" w:sz="4" w:space="0"/>
              <w:left w:val="nil"/>
              <w:bottom w:val="single" w:color="auto" w:sz="4" w:space="0"/>
              <w:right w:val="single" w:color="auto" w:sz="4" w:space="0"/>
            </w:tcBorders>
            <w:shd w:val="clear" w:color="auto" w:fill="auto"/>
            <w:noWrap/>
            <w:vAlign w:val="center"/>
          </w:tcPr>
          <w:p w14:paraId="1226AD07">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一级指标</w:t>
            </w:r>
          </w:p>
        </w:tc>
        <w:tc>
          <w:tcPr>
            <w:tcW w:w="857" w:type="dxa"/>
            <w:tcBorders>
              <w:top w:val="single" w:color="auto" w:sz="4" w:space="0"/>
              <w:left w:val="nil"/>
              <w:bottom w:val="single" w:color="auto" w:sz="4" w:space="0"/>
              <w:right w:val="single" w:color="auto" w:sz="4" w:space="0"/>
            </w:tcBorders>
            <w:shd w:val="clear" w:color="auto" w:fill="auto"/>
            <w:noWrap/>
            <w:vAlign w:val="center"/>
          </w:tcPr>
          <w:p w14:paraId="4EC807E3">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7FB124CF">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分值</w:t>
            </w:r>
          </w:p>
        </w:tc>
        <w:tc>
          <w:tcPr>
            <w:tcW w:w="2339" w:type="dxa"/>
            <w:tcBorders>
              <w:top w:val="single" w:color="auto" w:sz="4" w:space="0"/>
              <w:left w:val="nil"/>
              <w:bottom w:val="single" w:color="auto" w:sz="4" w:space="0"/>
              <w:right w:val="single" w:color="auto" w:sz="4" w:space="0"/>
            </w:tcBorders>
            <w:shd w:val="clear" w:color="auto" w:fill="auto"/>
            <w:noWrap/>
            <w:vAlign w:val="center"/>
          </w:tcPr>
          <w:p w14:paraId="313DD709">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指标释义</w:t>
            </w:r>
          </w:p>
        </w:tc>
        <w:tc>
          <w:tcPr>
            <w:tcW w:w="4446" w:type="dxa"/>
            <w:tcBorders>
              <w:top w:val="single" w:color="auto" w:sz="4" w:space="0"/>
              <w:left w:val="nil"/>
              <w:bottom w:val="single" w:color="auto" w:sz="4" w:space="0"/>
              <w:right w:val="single" w:color="auto" w:sz="4" w:space="0"/>
            </w:tcBorders>
            <w:shd w:val="clear" w:color="auto" w:fill="auto"/>
            <w:noWrap/>
            <w:vAlign w:val="center"/>
          </w:tcPr>
          <w:p w14:paraId="32C31B0A">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评价标准</w:t>
            </w:r>
          </w:p>
        </w:tc>
      </w:tr>
      <w:tr w14:paraId="4D849C9E">
        <w:tblPrEx>
          <w:tblCellMar>
            <w:top w:w="0" w:type="dxa"/>
            <w:left w:w="108" w:type="dxa"/>
            <w:bottom w:w="0" w:type="dxa"/>
            <w:right w:w="108" w:type="dxa"/>
          </w:tblCellMar>
        </w:tblPrEx>
        <w:trPr>
          <w:cantSplit/>
          <w:trHeight w:val="1162"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A21F647">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1</w:t>
            </w:r>
          </w:p>
        </w:tc>
        <w:tc>
          <w:tcPr>
            <w:tcW w:w="857" w:type="dxa"/>
            <w:vMerge w:val="restart"/>
            <w:tcBorders>
              <w:top w:val="nil"/>
              <w:left w:val="single" w:color="auto" w:sz="4" w:space="0"/>
              <w:bottom w:val="single" w:color="auto" w:sz="4" w:space="0"/>
              <w:right w:val="single" w:color="auto" w:sz="4" w:space="0"/>
            </w:tcBorders>
            <w:shd w:val="clear" w:color="auto" w:fill="auto"/>
            <w:vAlign w:val="center"/>
          </w:tcPr>
          <w:p w14:paraId="35305F14">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资金管理（5分）</w:t>
            </w:r>
          </w:p>
        </w:tc>
        <w:tc>
          <w:tcPr>
            <w:tcW w:w="857" w:type="dxa"/>
            <w:tcBorders>
              <w:top w:val="nil"/>
              <w:left w:val="nil"/>
              <w:bottom w:val="single" w:color="auto" w:sz="4" w:space="0"/>
              <w:right w:val="single" w:color="auto" w:sz="4" w:space="0"/>
            </w:tcBorders>
            <w:shd w:val="clear" w:color="auto" w:fill="auto"/>
            <w:vAlign w:val="center"/>
          </w:tcPr>
          <w:p w14:paraId="23014BB1">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373866C4">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2</w:t>
            </w:r>
          </w:p>
        </w:tc>
        <w:tc>
          <w:tcPr>
            <w:tcW w:w="2339" w:type="dxa"/>
            <w:tcBorders>
              <w:top w:val="nil"/>
              <w:left w:val="nil"/>
              <w:bottom w:val="single" w:color="auto" w:sz="4" w:space="0"/>
              <w:right w:val="single" w:color="auto" w:sz="4" w:space="0"/>
            </w:tcBorders>
            <w:shd w:val="clear" w:color="auto" w:fill="auto"/>
            <w:vAlign w:val="center"/>
          </w:tcPr>
          <w:p w14:paraId="08574FE7">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4446" w:type="dxa"/>
            <w:tcBorders>
              <w:top w:val="nil"/>
              <w:left w:val="nil"/>
              <w:bottom w:val="single" w:color="auto" w:sz="4" w:space="0"/>
              <w:right w:val="single" w:color="auto" w:sz="4" w:space="0"/>
            </w:tcBorders>
            <w:shd w:val="clear" w:color="auto" w:fill="auto"/>
            <w:vAlign w:val="center"/>
          </w:tcPr>
          <w:p w14:paraId="0635061B">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资金使用方向符合文件规定（2分）。</w:t>
            </w:r>
          </w:p>
        </w:tc>
      </w:tr>
      <w:tr w14:paraId="75426E0F">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51BFCD4">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2</w:t>
            </w:r>
          </w:p>
        </w:tc>
        <w:tc>
          <w:tcPr>
            <w:tcW w:w="857" w:type="dxa"/>
            <w:vMerge w:val="continue"/>
            <w:tcBorders>
              <w:top w:val="nil"/>
              <w:left w:val="single" w:color="auto" w:sz="4" w:space="0"/>
              <w:bottom w:val="single" w:color="auto" w:sz="4" w:space="0"/>
              <w:right w:val="single" w:color="auto" w:sz="4" w:space="0"/>
            </w:tcBorders>
            <w:vAlign w:val="center"/>
          </w:tcPr>
          <w:p w14:paraId="79EFFBD4">
            <w:pPr>
              <w:widowControl/>
              <w:jc w:val="left"/>
              <w:rPr>
                <w:rFonts w:ascii="仿宋_GB2312" w:hAnsi="宋体" w:eastAsia="仿宋_GB2312" w:cs="宋体"/>
                <w:kern w:val="0"/>
                <w:sz w:val="16"/>
                <w:szCs w:val="16"/>
              </w:rPr>
            </w:pPr>
          </w:p>
        </w:tc>
        <w:tc>
          <w:tcPr>
            <w:tcW w:w="857" w:type="dxa"/>
            <w:tcBorders>
              <w:top w:val="nil"/>
              <w:left w:val="nil"/>
              <w:bottom w:val="single" w:color="auto" w:sz="4" w:space="0"/>
              <w:right w:val="single" w:color="auto" w:sz="4" w:space="0"/>
            </w:tcBorders>
            <w:shd w:val="clear" w:color="auto" w:fill="auto"/>
            <w:vAlign w:val="center"/>
          </w:tcPr>
          <w:p w14:paraId="3D178D7E">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79C4FD23">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3</w:t>
            </w:r>
          </w:p>
        </w:tc>
        <w:tc>
          <w:tcPr>
            <w:tcW w:w="2339" w:type="dxa"/>
            <w:tcBorders>
              <w:top w:val="nil"/>
              <w:left w:val="nil"/>
              <w:bottom w:val="single" w:color="auto" w:sz="4" w:space="0"/>
              <w:right w:val="single" w:color="auto" w:sz="4" w:space="0"/>
            </w:tcBorders>
            <w:shd w:val="clear" w:color="auto" w:fill="auto"/>
            <w:vAlign w:val="center"/>
          </w:tcPr>
          <w:p w14:paraId="4812C484">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评价区级业务主管部门分解下达当年资金及次年提前批资金进度情况。</w:t>
            </w:r>
          </w:p>
        </w:tc>
        <w:tc>
          <w:tcPr>
            <w:tcW w:w="4446" w:type="dxa"/>
            <w:tcBorders>
              <w:top w:val="nil"/>
              <w:left w:val="nil"/>
              <w:bottom w:val="single" w:color="auto" w:sz="4" w:space="0"/>
              <w:right w:val="single" w:color="auto" w:sz="4" w:space="0"/>
            </w:tcBorders>
            <w:shd w:val="clear" w:color="auto" w:fill="auto"/>
            <w:vAlign w:val="center"/>
          </w:tcPr>
          <w:p w14:paraId="4A94AC5A">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区财政局下达资金文件时间到区级业务主管部门下达项目及资金计划文件时间间隔≤30日（3分）。</w:t>
            </w:r>
          </w:p>
        </w:tc>
      </w:tr>
      <w:tr w14:paraId="36F309D5">
        <w:tblPrEx>
          <w:tblCellMar>
            <w:top w:w="0" w:type="dxa"/>
            <w:left w:w="108" w:type="dxa"/>
            <w:bottom w:w="0" w:type="dxa"/>
            <w:right w:w="108" w:type="dxa"/>
          </w:tblCellMar>
        </w:tblPrEx>
        <w:trPr>
          <w:cantSplit/>
          <w:trHeight w:val="1019"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7A600F0">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3</w:t>
            </w:r>
          </w:p>
        </w:tc>
        <w:tc>
          <w:tcPr>
            <w:tcW w:w="857" w:type="dxa"/>
            <w:vMerge w:val="restart"/>
            <w:tcBorders>
              <w:top w:val="nil"/>
              <w:left w:val="single" w:color="auto" w:sz="4" w:space="0"/>
              <w:bottom w:val="single" w:color="auto" w:sz="4" w:space="0"/>
              <w:right w:val="single" w:color="auto" w:sz="4" w:space="0"/>
            </w:tcBorders>
            <w:shd w:val="clear" w:color="auto" w:fill="auto"/>
            <w:vAlign w:val="center"/>
          </w:tcPr>
          <w:p w14:paraId="203D04E4">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项目管理（55分）</w:t>
            </w:r>
          </w:p>
        </w:tc>
        <w:tc>
          <w:tcPr>
            <w:tcW w:w="857" w:type="dxa"/>
            <w:tcBorders>
              <w:top w:val="nil"/>
              <w:left w:val="nil"/>
              <w:bottom w:val="single" w:color="auto" w:sz="4" w:space="0"/>
              <w:right w:val="single" w:color="auto" w:sz="4" w:space="0"/>
            </w:tcBorders>
            <w:shd w:val="clear" w:color="auto" w:fill="auto"/>
            <w:vAlign w:val="center"/>
          </w:tcPr>
          <w:p w14:paraId="5945389A">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4E436030">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5</w:t>
            </w:r>
          </w:p>
        </w:tc>
        <w:tc>
          <w:tcPr>
            <w:tcW w:w="2339" w:type="dxa"/>
            <w:tcBorders>
              <w:top w:val="nil"/>
              <w:left w:val="nil"/>
              <w:bottom w:val="nil"/>
              <w:right w:val="nil"/>
            </w:tcBorders>
            <w:shd w:val="clear" w:color="auto" w:fill="auto"/>
            <w:vAlign w:val="center"/>
          </w:tcPr>
          <w:p w14:paraId="5E8B8F89">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评价落实《铜梁区巩固拓展脱贫攻坚成果和衔接乡村振兴项目库建设管理实施细则》（铜乡振〔2021〕7号）落实情况。根据抽查</w:t>
            </w:r>
            <w:r>
              <w:rPr>
                <w:rFonts w:hint="eastAsia" w:ascii="仿宋_GB2312" w:hAnsi="仿宋_GB2312" w:eastAsia="仿宋_GB2312" w:cs="仿宋_GB2312"/>
                <w:kern w:val="0"/>
                <w:sz w:val="16"/>
                <w:szCs w:val="16"/>
              </w:rPr>
              <w:t>情况赋分。</w:t>
            </w:r>
          </w:p>
        </w:tc>
        <w:tc>
          <w:tcPr>
            <w:tcW w:w="4446" w:type="dxa"/>
            <w:tcBorders>
              <w:top w:val="nil"/>
              <w:left w:val="single" w:color="auto" w:sz="4" w:space="0"/>
              <w:bottom w:val="single" w:color="auto" w:sz="4" w:space="0"/>
              <w:right w:val="single" w:color="auto" w:sz="4" w:space="0"/>
            </w:tcBorders>
            <w:shd w:val="clear" w:color="auto" w:fill="auto"/>
            <w:vAlign w:val="center"/>
          </w:tcPr>
          <w:p w14:paraId="11153325">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1.项目入库及时充分、程序规范、内容完整（3分）；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2.入库项目具备实施条件（2分）；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3.衔接资金用于项目库之外的项目（-5分）。</w:t>
            </w:r>
          </w:p>
        </w:tc>
      </w:tr>
      <w:tr w14:paraId="0D27ACEF">
        <w:tblPrEx>
          <w:tblCellMar>
            <w:top w:w="0" w:type="dxa"/>
            <w:left w:w="108" w:type="dxa"/>
            <w:bottom w:w="0" w:type="dxa"/>
            <w:right w:w="108" w:type="dxa"/>
          </w:tblCellMar>
        </w:tblPrEx>
        <w:trPr>
          <w:cantSplit/>
          <w:trHeight w:val="126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40BDEA6">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4</w:t>
            </w:r>
          </w:p>
        </w:tc>
        <w:tc>
          <w:tcPr>
            <w:tcW w:w="857" w:type="dxa"/>
            <w:vMerge w:val="continue"/>
            <w:tcBorders>
              <w:top w:val="nil"/>
              <w:left w:val="single" w:color="auto" w:sz="4" w:space="0"/>
              <w:bottom w:val="single" w:color="auto" w:sz="4" w:space="0"/>
              <w:right w:val="single" w:color="auto" w:sz="4" w:space="0"/>
            </w:tcBorders>
            <w:vAlign w:val="center"/>
          </w:tcPr>
          <w:p w14:paraId="10BE50A1">
            <w:pPr>
              <w:widowControl/>
              <w:jc w:val="left"/>
              <w:rPr>
                <w:rFonts w:ascii="仿宋_GB2312" w:hAnsi="宋体" w:eastAsia="仿宋_GB2312" w:cs="宋体"/>
                <w:kern w:val="0"/>
                <w:sz w:val="16"/>
                <w:szCs w:val="16"/>
              </w:rPr>
            </w:pPr>
          </w:p>
        </w:tc>
        <w:tc>
          <w:tcPr>
            <w:tcW w:w="857" w:type="dxa"/>
            <w:tcBorders>
              <w:top w:val="nil"/>
              <w:left w:val="nil"/>
              <w:bottom w:val="single" w:color="auto" w:sz="4" w:space="0"/>
              <w:right w:val="single" w:color="auto" w:sz="4" w:space="0"/>
            </w:tcBorders>
            <w:shd w:val="clear" w:color="auto" w:fill="auto"/>
            <w:vAlign w:val="center"/>
          </w:tcPr>
          <w:p w14:paraId="7CA278F6">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5F75FA39">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10</w:t>
            </w:r>
          </w:p>
        </w:tc>
        <w:tc>
          <w:tcPr>
            <w:tcW w:w="2339" w:type="dxa"/>
            <w:tcBorders>
              <w:top w:val="single" w:color="auto" w:sz="4" w:space="0"/>
              <w:left w:val="nil"/>
              <w:bottom w:val="single" w:color="auto" w:sz="4" w:space="0"/>
              <w:right w:val="single" w:color="auto" w:sz="4" w:space="0"/>
            </w:tcBorders>
            <w:shd w:val="clear" w:color="auto" w:fill="auto"/>
            <w:vAlign w:val="center"/>
          </w:tcPr>
          <w:p w14:paraId="028CF09F">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评价具体项目实施方案明确绩效目标情况、开展跟踪监督绩效监控情况、事后评价情况等。根据抽抽</w:t>
            </w:r>
            <w:r>
              <w:rPr>
                <w:rFonts w:hint="eastAsia" w:ascii="仿宋_GB2312" w:hAnsi="仿宋_GB2312" w:eastAsia="仿宋_GB2312" w:cs="仿宋_GB2312"/>
                <w:kern w:val="0"/>
                <w:sz w:val="16"/>
                <w:szCs w:val="16"/>
              </w:rPr>
              <w:t>情况赋分。</w:t>
            </w:r>
          </w:p>
        </w:tc>
        <w:tc>
          <w:tcPr>
            <w:tcW w:w="4446" w:type="dxa"/>
            <w:tcBorders>
              <w:top w:val="nil"/>
              <w:left w:val="nil"/>
              <w:bottom w:val="single" w:color="auto" w:sz="4" w:space="0"/>
              <w:right w:val="single" w:color="auto" w:sz="4" w:space="0"/>
            </w:tcBorders>
            <w:shd w:val="clear" w:color="auto" w:fill="auto"/>
            <w:vAlign w:val="center"/>
          </w:tcPr>
          <w:p w14:paraId="7F419FE2">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1.及时制定绩效目标、审核绩效目标（2分）；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2.开展绩效监控不少于1次（2分）；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3.对绩效目标偏离项目采取纠偏措施（2分）；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4.项目实施完毕后立即开展绩效自评，并形成绩效自评报告及绩效自评表。（2分）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5.项目绩效是否达到预期。（2分）</w:t>
            </w:r>
          </w:p>
        </w:tc>
      </w:tr>
      <w:tr w14:paraId="23FF55EC">
        <w:tblPrEx>
          <w:tblCellMar>
            <w:top w:w="0" w:type="dxa"/>
            <w:left w:w="108" w:type="dxa"/>
            <w:bottom w:w="0" w:type="dxa"/>
            <w:right w:w="108" w:type="dxa"/>
          </w:tblCellMar>
        </w:tblPrEx>
        <w:trPr>
          <w:cantSplit/>
          <w:trHeight w:val="12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694A3F6">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5</w:t>
            </w:r>
          </w:p>
        </w:tc>
        <w:tc>
          <w:tcPr>
            <w:tcW w:w="857" w:type="dxa"/>
            <w:vMerge w:val="continue"/>
            <w:tcBorders>
              <w:top w:val="nil"/>
              <w:left w:val="single" w:color="auto" w:sz="4" w:space="0"/>
              <w:bottom w:val="single" w:color="auto" w:sz="4" w:space="0"/>
              <w:right w:val="single" w:color="auto" w:sz="4" w:space="0"/>
            </w:tcBorders>
            <w:vAlign w:val="center"/>
          </w:tcPr>
          <w:p w14:paraId="525F17E1">
            <w:pPr>
              <w:widowControl/>
              <w:jc w:val="left"/>
              <w:rPr>
                <w:rFonts w:ascii="仿宋_GB2312" w:hAnsi="宋体" w:eastAsia="仿宋_GB2312" w:cs="宋体"/>
                <w:kern w:val="0"/>
                <w:sz w:val="16"/>
                <w:szCs w:val="16"/>
              </w:rPr>
            </w:pPr>
          </w:p>
        </w:tc>
        <w:tc>
          <w:tcPr>
            <w:tcW w:w="857" w:type="dxa"/>
            <w:tcBorders>
              <w:top w:val="nil"/>
              <w:left w:val="nil"/>
              <w:bottom w:val="single" w:color="auto" w:sz="4" w:space="0"/>
              <w:right w:val="single" w:color="auto" w:sz="4" w:space="0"/>
            </w:tcBorders>
            <w:shd w:val="clear" w:color="auto" w:fill="auto"/>
            <w:vAlign w:val="center"/>
          </w:tcPr>
          <w:p w14:paraId="4C83D193">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412A3565">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6</w:t>
            </w:r>
          </w:p>
        </w:tc>
        <w:tc>
          <w:tcPr>
            <w:tcW w:w="2339" w:type="dxa"/>
            <w:tcBorders>
              <w:top w:val="nil"/>
              <w:left w:val="nil"/>
              <w:bottom w:val="single" w:color="auto" w:sz="4" w:space="0"/>
              <w:right w:val="single" w:color="auto" w:sz="4" w:space="0"/>
            </w:tcBorders>
            <w:shd w:val="clear" w:color="auto" w:fill="auto"/>
            <w:vAlign w:val="center"/>
          </w:tcPr>
          <w:p w14:paraId="476FCAB1">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评价有序推进项目前期工作、组织实施、项目验收、资料报送等情况。根据抽抽</w:t>
            </w:r>
            <w:r>
              <w:rPr>
                <w:rFonts w:hint="eastAsia" w:ascii="仿宋_GB2312" w:hAnsi="仿宋_GB2312" w:eastAsia="仿宋_GB2312" w:cs="仿宋_GB2312"/>
                <w:kern w:val="0"/>
                <w:sz w:val="16"/>
                <w:szCs w:val="16"/>
              </w:rPr>
              <w:t>情况赋分。</w:t>
            </w:r>
          </w:p>
        </w:tc>
        <w:tc>
          <w:tcPr>
            <w:tcW w:w="4446" w:type="dxa"/>
            <w:tcBorders>
              <w:top w:val="nil"/>
              <w:left w:val="nil"/>
              <w:bottom w:val="single" w:color="auto" w:sz="4" w:space="0"/>
              <w:right w:val="single" w:color="auto" w:sz="4" w:space="0"/>
            </w:tcBorders>
            <w:shd w:val="clear" w:color="auto" w:fill="auto"/>
            <w:vAlign w:val="center"/>
          </w:tcPr>
          <w:p w14:paraId="3B925196">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1.项目实施方法存在变更是否按规定报批；（1分）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2.是否定期对项目实施情况进行监督检查，对检查中发现的问题进行整改；（2分）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3.是否按照项目实施节点按时提交项目报账资料；（1分）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4.日常管理资料是否及时归档整理；（1分）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5.项目完工后是否在规定时间内进行验收。（1分）</w:t>
            </w:r>
          </w:p>
        </w:tc>
      </w:tr>
      <w:tr w14:paraId="7D14AD11">
        <w:tblPrEx>
          <w:tblCellMar>
            <w:top w:w="0" w:type="dxa"/>
            <w:left w:w="108" w:type="dxa"/>
            <w:bottom w:w="0" w:type="dxa"/>
            <w:right w:w="108" w:type="dxa"/>
          </w:tblCellMar>
        </w:tblPrEx>
        <w:trPr>
          <w:cantSplit/>
          <w:trHeight w:val="218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5AA939D">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6</w:t>
            </w:r>
          </w:p>
        </w:tc>
        <w:tc>
          <w:tcPr>
            <w:tcW w:w="857" w:type="dxa"/>
            <w:vMerge w:val="continue"/>
            <w:tcBorders>
              <w:top w:val="nil"/>
              <w:left w:val="single" w:color="auto" w:sz="4" w:space="0"/>
              <w:bottom w:val="single" w:color="auto" w:sz="4" w:space="0"/>
              <w:right w:val="single" w:color="auto" w:sz="4" w:space="0"/>
            </w:tcBorders>
            <w:vAlign w:val="center"/>
          </w:tcPr>
          <w:p w14:paraId="727B5523">
            <w:pPr>
              <w:widowControl/>
              <w:jc w:val="left"/>
              <w:rPr>
                <w:rFonts w:ascii="仿宋_GB2312" w:hAnsi="宋体" w:eastAsia="仿宋_GB2312" w:cs="宋体"/>
                <w:kern w:val="0"/>
                <w:sz w:val="16"/>
                <w:szCs w:val="16"/>
              </w:rPr>
            </w:pPr>
          </w:p>
        </w:tc>
        <w:tc>
          <w:tcPr>
            <w:tcW w:w="857" w:type="dxa"/>
            <w:tcBorders>
              <w:top w:val="nil"/>
              <w:left w:val="nil"/>
              <w:bottom w:val="single" w:color="auto" w:sz="4" w:space="0"/>
              <w:right w:val="single" w:color="auto" w:sz="4" w:space="0"/>
            </w:tcBorders>
            <w:shd w:val="clear" w:color="auto" w:fill="auto"/>
            <w:vAlign w:val="center"/>
          </w:tcPr>
          <w:p w14:paraId="21F3D7F0">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1EAA7FA7">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12</w:t>
            </w:r>
          </w:p>
        </w:tc>
        <w:tc>
          <w:tcPr>
            <w:tcW w:w="2339" w:type="dxa"/>
            <w:tcBorders>
              <w:top w:val="nil"/>
              <w:left w:val="nil"/>
              <w:bottom w:val="single" w:color="auto" w:sz="4" w:space="0"/>
              <w:right w:val="single" w:color="auto" w:sz="4" w:space="0"/>
            </w:tcBorders>
            <w:shd w:val="clear" w:color="auto" w:fill="auto"/>
            <w:vAlign w:val="center"/>
          </w:tcPr>
          <w:p w14:paraId="74E885FF">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评价有序推进项目工作和资金支付情况。根据抽查</w:t>
            </w:r>
            <w:r>
              <w:rPr>
                <w:rFonts w:hint="eastAsia" w:ascii="仿宋_GB2312" w:hAnsi="仿宋_GB2312" w:eastAsia="仿宋_GB2312" w:cs="仿宋_GB2312"/>
                <w:kern w:val="0"/>
                <w:sz w:val="16"/>
                <w:szCs w:val="16"/>
              </w:rPr>
              <w:t>情况赋分。</w:t>
            </w:r>
          </w:p>
        </w:tc>
        <w:tc>
          <w:tcPr>
            <w:tcW w:w="4446" w:type="dxa"/>
            <w:tcBorders>
              <w:top w:val="nil"/>
              <w:left w:val="nil"/>
              <w:bottom w:val="single" w:color="auto" w:sz="4" w:space="0"/>
              <w:right w:val="single" w:color="auto" w:sz="4" w:space="0"/>
            </w:tcBorders>
            <w:shd w:val="clear" w:color="auto" w:fill="auto"/>
            <w:vAlign w:val="center"/>
          </w:tcPr>
          <w:p w14:paraId="4442C5D4">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主要通过支出进度评价有序推进项目工作和资金支付情况，于7月末、10月中旬定期调度。</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1.7月末支出进度评分4分。资金支出进度达到全区平均进度或者序时进度的，得满分；未达到的按照与序时进度的比例扣分；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2.10月中旬支出进度评分4分。资金支出进度达到全区平均进度或者序时进度的，得满分；未达到的按照与序时进度的比例扣分；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0142E160">
        <w:tblPrEx>
          <w:tblCellMar>
            <w:top w:w="0" w:type="dxa"/>
            <w:left w:w="108" w:type="dxa"/>
            <w:bottom w:w="0" w:type="dxa"/>
            <w:right w:w="108" w:type="dxa"/>
          </w:tblCellMar>
        </w:tblPrEx>
        <w:trPr>
          <w:cantSplit/>
          <w:trHeight w:val="112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DAC3675">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7</w:t>
            </w:r>
          </w:p>
        </w:tc>
        <w:tc>
          <w:tcPr>
            <w:tcW w:w="857" w:type="dxa"/>
            <w:vMerge w:val="continue"/>
            <w:tcBorders>
              <w:top w:val="nil"/>
              <w:left w:val="single" w:color="auto" w:sz="4" w:space="0"/>
              <w:bottom w:val="single" w:color="auto" w:sz="4" w:space="0"/>
              <w:right w:val="single" w:color="auto" w:sz="4" w:space="0"/>
            </w:tcBorders>
            <w:vAlign w:val="center"/>
          </w:tcPr>
          <w:p w14:paraId="2F94618B">
            <w:pPr>
              <w:widowControl/>
              <w:jc w:val="left"/>
              <w:rPr>
                <w:rFonts w:ascii="仿宋_GB2312" w:hAnsi="宋体" w:eastAsia="仿宋_GB2312" w:cs="宋体"/>
                <w:kern w:val="0"/>
                <w:sz w:val="16"/>
                <w:szCs w:val="16"/>
              </w:rPr>
            </w:pPr>
          </w:p>
        </w:tc>
        <w:tc>
          <w:tcPr>
            <w:tcW w:w="857" w:type="dxa"/>
            <w:tcBorders>
              <w:top w:val="nil"/>
              <w:left w:val="nil"/>
              <w:bottom w:val="single" w:color="auto" w:sz="4" w:space="0"/>
              <w:right w:val="single" w:color="auto" w:sz="4" w:space="0"/>
            </w:tcBorders>
            <w:shd w:val="clear" w:color="auto" w:fill="auto"/>
            <w:vAlign w:val="center"/>
          </w:tcPr>
          <w:p w14:paraId="46D1EEBC">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287F24AF">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8</w:t>
            </w:r>
          </w:p>
        </w:tc>
        <w:tc>
          <w:tcPr>
            <w:tcW w:w="2339" w:type="dxa"/>
            <w:tcBorders>
              <w:top w:val="nil"/>
              <w:left w:val="nil"/>
              <w:bottom w:val="single" w:color="auto" w:sz="4" w:space="0"/>
              <w:right w:val="single" w:color="auto" w:sz="4" w:space="0"/>
            </w:tcBorders>
            <w:shd w:val="clear" w:color="auto" w:fill="auto"/>
            <w:vAlign w:val="center"/>
          </w:tcPr>
          <w:p w14:paraId="40417D70">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评价定期开展监督检查情况、发现问题整改情况。根据未处理问题比例扣减。根据抽查</w:t>
            </w:r>
            <w:r>
              <w:rPr>
                <w:rFonts w:hint="eastAsia" w:ascii="仿宋_GB2312" w:hAnsi="仿宋_GB2312" w:eastAsia="仿宋_GB2312" w:cs="仿宋_GB2312"/>
                <w:kern w:val="0"/>
                <w:sz w:val="16"/>
                <w:szCs w:val="16"/>
              </w:rPr>
              <w:t>情况赋分。</w:t>
            </w:r>
          </w:p>
        </w:tc>
        <w:tc>
          <w:tcPr>
            <w:tcW w:w="4446" w:type="dxa"/>
            <w:tcBorders>
              <w:top w:val="nil"/>
              <w:left w:val="nil"/>
              <w:bottom w:val="single" w:color="auto" w:sz="4" w:space="0"/>
              <w:right w:val="single" w:color="auto" w:sz="4" w:space="0"/>
            </w:tcBorders>
            <w:shd w:val="clear" w:color="auto" w:fill="auto"/>
            <w:vAlign w:val="center"/>
          </w:tcPr>
          <w:p w14:paraId="1A5A4168">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1.定期开展项目实施和资金支出进度等跟踪督促情况，落实到位的得2分，未完全落实到位的酌情扣分；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2.跟踪督促及各类检查发现问题整改到位情况，满分5分，根据未整改问题比例扣减；</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3.全国12317防止返贫监测和乡村振兴咨询服务平台（简称12317平台）反馈问题处理情况，满分1分。</w:t>
            </w:r>
          </w:p>
        </w:tc>
      </w:tr>
      <w:tr w14:paraId="484D0ABA">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663B40E">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8</w:t>
            </w:r>
          </w:p>
        </w:tc>
        <w:tc>
          <w:tcPr>
            <w:tcW w:w="857" w:type="dxa"/>
            <w:vMerge w:val="continue"/>
            <w:tcBorders>
              <w:top w:val="nil"/>
              <w:left w:val="single" w:color="auto" w:sz="4" w:space="0"/>
              <w:bottom w:val="single" w:color="auto" w:sz="4" w:space="0"/>
              <w:right w:val="single" w:color="auto" w:sz="4" w:space="0"/>
            </w:tcBorders>
            <w:vAlign w:val="center"/>
          </w:tcPr>
          <w:p w14:paraId="6341C8FC">
            <w:pPr>
              <w:widowControl/>
              <w:jc w:val="left"/>
              <w:rPr>
                <w:rFonts w:ascii="仿宋_GB2312" w:hAnsi="宋体" w:eastAsia="仿宋_GB2312" w:cs="宋体"/>
                <w:kern w:val="0"/>
                <w:sz w:val="16"/>
                <w:szCs w:val="16"/>
              </w:rPr>
            </w:pPr>
          </w:p>
        </w:tc>
        <w:tc>
          <w:tcPr>
            <w:tcW w:w="857" w:type="dxa"/>
            <w:tcBorders>
              <w:top w:val="nil"/>
              <w:left w:val="nil"/>
              <w:bottom w:val="single" w:color="auto" w:sz="4" w:space="0"/>
              <w:right w:val="single" w:color="auto" w:sz="4" w:space="0"/>
            </w:tcBorders>
            <w:shd w:val="clear" w:color="auto" w:fill="auto"/>
            <w:vAlign w:val="center"/>
          </w:tcPr>
          <w:p w14:paraId="56C2839E">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18FCC67B">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5</w:t>
            </w:r>
          </w:p>
        </w:tc>
        <w:tc>
          <w:tcPr>
            <w:tcW w:w="2339" w:type="dxa"/>
            <w:tcBorders>
              <w:top w:val="nil"/>
              <w:left w:val="nil"/>
              <w:bottom w:val="single" w:color="auto" w:sz="4" w:space="0"/>
              <w:right w:val="single" w:color="auto" w:sz="4" w:space="0"/>
            </w:tcBorders>
            <w:shd w:val="clear" w:color="auto" w:fill="auto"/>
            <w:vAlign w:val="center"/>
          </w:tcPr>
          <w:p w14:paraId="150C44F2">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评价账务处理，资产转固，收益管理、档案管理等情况。根据抽查</w:t>
            </w:r>
            <w:r>
              <w:rPr>
                <w:rFonts w:hint="eastAsia" w:ascii="仿宋_GB2312" w:hAnsi="仿宋_GB2312" w:eastAsia="仿宋_GB2312" w:cs="仿宋_GB2312"/>
                <w:kern w:val="0"/>
                <w:sz w:val="16"/>
                <w:szCs w:val="16"/>
              </w:rPr>
              <w:t>情况赋分。</w:t>
            </w:r>
          </w:p>
        </w:tc>
        <w:tc>
          <w:tcPr>
            <w:tcW w:w="4446" w:type="dxa"/>
            <w:tcBorders>
              <w:top w:val="nil"/>
              <w:left w:val="nil"/>
              <w:bottom w:val="single" w:color="auto" w:sz="4" w:space="0"/>
              <w:right w:val="single" w:color="auto" w:sz="4" w:space="0"/>
            </w:tcBorders>
            <w:shd w:val="clear" w:color="auto" w:fill="auto"/>
            <w:vAlign w:val="center"/>
          </w:tcPr>
          <w:p w14:paraId="3A30F2F5">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1.财务处理是否规范，原始凭证是否齐全，建成资产是否及时转固、收益管理是否合规；（4分）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2.档案管理是否完整、合规、真实。（1分）</w:t>
            </w:r>
          </w:p>
        </w:tc>
      </w:tr>
      <w:tr w14:paraId="3A1FBF92">
        <w:tblPrEx>
          <w:tblCellMar>
            <w:top w:w="0" w:type="dxa"/>
            <w:left w:w="108" w:type="dxa"/>
            <w:bottom w:w="0" w:type="dxa"/>
            <w:right w:w="108" w:type="dxa"/>
          </w:tblCellMar>
        </w:tblPrEx>
        <w:trPr>
          <w:cantSplit/>
          <w:trHeight w:val="1152"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A800990">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9</w:t>
            </w:r>
          </w:p>
        </w:tc>
        <w:tc>
          <w:tcPr>
            <w:tcW w:w="857" w:type="dxa"/>
            <w:vMerge w:val="continue"/>
            <w:tcBorders>
              <w:top w:val="nil"/>
              <w:left w:val="single" w:color="auto" w:sz="4" w:space="0"/>
              <w:bottom w:val="single" w:color="auto" w:sz="4" w:space="0"/>
              <w:right w:val="single" w:color="auto" w:sz="4" w:space="0"/>
            </w:tcBorders>
            <w:vAlign w:val="center"/>
          </w:tcPr>
          <w:p w14:paraId="0BB253DF">
            <w:pPr>
              <w:widowControl/>
              <w:jc w:val="left"/>
              <w:rPr>
                <w:rFonts w:ascii="仿宋_GB2312" w:hAnsi="宋体" w:eastAsia="仿宋_GB2312" w:cs="宋体"/>
                <w:kern w:val="0"/>
                <w:sz w:val="16"/>
                <w:szCs w:val="16"/>
              </w:rPr>
            </w:pPr>
          </w:p>
        </w:tc>
        <w:tc>
          <w:tcPr>
            <w:tcW w:w="857" w:type="dxa"/>
            <w:tcBorders>
              <w:top w:val="nil"/>
              <w:left w:val="nil"/>
              <w:bottom w:val="single" w:color="auto" w:sz="4" w:space="0"/>
              <w:right w:val="single" w:color="auto" w:sz="4" w:space="0"/>
            </w:tcBorders>
            <w:shd w:val="clear" w:color="auto" w:fill="auto"/>
            <w:vAlign w:val="center"/>
          </w:tcPr>
          <w:p w14:paraId="1338912F">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0B534F80">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9</w:t>
            </w:r>
          </w:p>
        </w:tc>
        <w:tc>
          <w:tcPr>
            <w:tcW w:w="2339" w:type="dxa"/>
            <w:tcBorders>
              <w:top w:val="nil"/>
              <w:left w:val="nil"/>
              <w:bottom w:val="single" w:color="auto" w:sz="4" w:space="0"/>
              <w:right w:val="single" w:color="auto" w:sz="4" w:space="0"/>
            </w:tcBorders>
            <w:shd w:val="clear" w:color="auto" w:fill="auto"/>
            <w:vAlign w:val="center"/>
          </w:tcPr>
          <w:p w14:paraId="4C098057">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评价区级、镇级、村级落实《铜梁区财政衔接推进乡村振兴补助资金项目公告公示实施办法》（铜委农办〔2021〕19号）文件要求情况。根据抽查</w:t>
            </w:r>
            <w:r>
              <w:rPr>
                <w:rFonts w:hint="eastAsia" w:ascii="仿宋_GB2312" w:hAnsi="仿宋_GB2312" w:eastAsia="仿宋_GB2312" w:cs="仿宋_GB2312"/>
                <w:kern w:val="0"/>
                <w:sz w:val="16"/>
                <w:szCs w:val="16"/>
              </w:rPr>
              <w:t>情况赋分。</w:t>
            </w:r>
          </w:p>
        </w:tc>
        <w:tc>
          <w:tcPr>
            <w:tcW w:w="4446" w:type="dxa"/>
            <w:tcBorders>
              <w:top w:val="nil"/>
              <w:left w:val="nil"/>
              <w:bottom w:val="single" w:color="auto" w:sz="4" w:space="0"/>
              <w:right w:val="single" w:color="auto" w:sz="4" w:space="0"/>
            </w:tcBorders>
            <w:shd w:val="clear" w:color="auto" w:fill="auto"/>
            <w:vAlign w:val="center"/>
          </w:tcPr>
          <w:p w14:paraId="75DAB1D2">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分区级、镇级、村级进行评价。</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1.抽查区级公示公开情况，满分3分，未完整公开酌情扣分；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2.抽查镇级公示公开情况，满分3分，未完整公开酌情扣分；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3.抽查村级公示公开情况，满分3分，未完整公开酌情扣分。</w:t>
            </w:r>
          </w:p>
        </w:tc>
      </w:tr>
      <w:tr w14:paraId="77D77884">
        <w:tblPrEx>
          <w:tblCellMar>
            <w:top w:w="0" w:type="dxa"/>
            <w:left w:w="108" w:type="dxa"/>
            <w:bottom w:w="0" w:type="dxa"/>
            <w:right w:w="108" w:type="dxa"/>
          </w:tblCellMar>
        </w:tblPrEx>
        <w:trPr>
          <w:cantSplit/>
          <w:trHeight w:val="16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6010B0E">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10</w:t>
            </w:r>
          </w:p>
        </w:tc>
        <w:tc>
          <w:tcPr>
            <w:tcW w:w="857" w:type="dxa"/>
            <w:vMerge w:val="restart"/>
            <w:tcBorders>
              <w:top w:val="nil"/>
              <w:left w:val="single" w:color="auto" w:sz="4" w:space="0"/>
              <w:bottom w:val="single" w:color="auto" w:sz="4" w:space="0"/>
              <w:right w:val="single" w:color="auto" w:sz="4" w:space="0"/>
            </w:tcBorders>
            <w:shd w:val="clear" w:color="auto" w:fill="auto"/>
            <w:vAlign w:val="center"/>
          </w:tcPr>
          <w:p w14:paraId="0C004096">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使用成效及通报情况（40分）</w:t>
            </w:r>
          </w:p>
        </w:tc>
        <w:tc>
          <w:tcPr>
            <w:tcW w:w="857" w:type="dxa"/>
            <w:tcBorders>
              <w:top w:val="nil"/>
              <w:left w:val="nil"/>
              <w:bottom w:val="single" w:color="auto" w:sz="4" w:space="0"/>
              <w:right w:val="single" w:color="auto" w:sz="4" w:space="0"/>
            </w:tcBorders>
            <w:shd w:val="clear" w:color="auto" w:fill="auto"/>
            <w:vAlign w:val="center"/>
          </w:tcPr>
          <w:p w14:paraId="3157205F">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2838E76F">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35</w:t>
            </w:r>
          </w:p>
        </w:tc>
        <w:tc>
          <w:tcPr>
            <w:tcW w:w="2339" w:type="dxa"/>
            <w:tcBorders>
              <w:top w:val="nil"/>
              <w:left w:val="nil"/>
              <w:bottom w:val="single" w:color="auto" w:sz="4" w:space="0"/>
              <w:right w:val="single" w:color="auto" w:sz="4" w:space="0"/>
            </w:tcBorders>
            <w:shd w:val="clear" w:color="auto" w:fill="auto"/>
            <w:vAlign w:val="center"/>
          </w:tcPr>
          <w:p w14:paraId="5F69CDE7">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评价项目是否达到预期成效，后续管护是否存在问题等。根据抽查</w:t>
            </w:r>
            <w:r>
              <w:rPr>
                <w:rFonts w:hint="eastAsia" w:ascii="仿宋_GB2312" w:hAnsi="仿宋_GB2312" w:eastAsia="仿宋_GB2312" w:cs="仿宋_GB2312"/>
                <w:kern w:val="0"/>
                <w:sz w:val="16"/>
                <w:szCs w:val="16"/>
              </w:rPr>
              <w:t>情况赋分。</w:t>
            </w:r>
          </w:p>
        </w:tc>
        <w:tc>
          <w:tcPr>
            <w:tcW w:w="4446" w:type="dxa"/>
            <w:tcBorders>
              <w:top w:val="nil"/>
              <w:left w:val="nil"/>
              <w:bottom w:val="single" w:color="auto" w:sz="4" w:space="0"/>
              <w:right w:val="single" w:color="auto" w:sz="4" w:space="0"/>
            </w:tcBorders>
            <w:shd w:val="clear" w:color="auto" w:fill="auto"/>
            <w:vAlign w:val="center"/>
          </w:tcPr>
          <w:p w14:paraId="5DC8D9F0">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满分35分，根据抽查</w:t>
            </w:r>
            <w:r>
              <w:rPr>
                <w:rFonts w:hint="eastAsia" w:ascii="仿宋_GB2312" w:hAnsi="仿宋_GB2312" w:eastAsia="仿宋_GB2312" w:cs="仿宋_GB2312"/>
                <w:kern w:val="0"/>
                <w:sz w:val="16"/>
                <w:szCs w:val="16"/>
              </w:rPr>
              <w:t>项目情况赋分。项目管理各环节，每存在一例不符合相关规定的，扣</w:t>
            </w:r>
            <w:r>
              <w:rPr>
                <w:rFonts w:hint="eastAsia" w:ascii="仿宋_GB2312" w:hAnsi="宋体" w:eastAsia="仿宋_GB2312" w:cs="宋体"/>
                <w:kern w:val="0"/>
                <w:sz w:val="16"/>
                <w:szCs w:val="16"/>
              </w:rPr>
              <w:t>0.5分，扣完为止。</w:t>
            </w:r>
          </w:p>
        </w:tc>
      </w:tr>
      <w:tr w14:paraId="5DFB22F0">
        <w:tblPrEx>
          <w:tblCellMar>
            <w:top w:w="0" w:type="dxa"/>
            <w:left w:w="108" w:type="dxa"/>
            <w:bottom w:w="0" w:type="dxa"/>
            <w:right w:w="108" w:type="dxa"/>
          </w:tblCellMar>
        </w:tblPrEx>
        <w:trPr>
          <w:cantSplit/>
          <w:trHeight w:val="767"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A706D2B">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11</w:t>
            </w:r>
          </w:p>
        </w:tc>
        <w:tc>
          <w:tcPr>
            <w:tcW w:w="857" w:type="dxa"/>
            <w:vMerge w:val="continue"/>
            <w:tcBorders>
              <w:top w:val="nil"/>
              <w:left w:val="single" w:color="auto" w:sz="4" w:space="0"/>
              <w:bottom w:val="single" w:color="auto" w:sz="4" w:space="0"/>
              <w:right w:val="single" w:color="auto" w:sz="4" w:space="0"/>
            </w:tcBorders>
            <w:vAlign w:val="center"/>
          </w:tcPr>
          <w:p w14:paraId="041EF986">
            <w:pPr>
              <w:widowControl/>
              <w:jc w:val="left"/>
              <w:rPr>
                <w:rFonts w:ascii="仿宋_GB2312" w:hAnsi="宋体" w:eastAsia="仿宋_GB2312" w:cs="宋体"/>
                <w:kern w:val="0"/>
                <w:sz w:val="16"/>
                <w:szCs w:val="16"/>
              </w:rPr>
            </w:pPr>
          </w:p>
        </w:tc>
        <w:tc>
          <w:tcPr>
            <w:tcW w:w="857" w:type="dxa"/>
            <w:tcBorders>
              <w:top w:val="nil"/>
              <w:left w:val="nil"/>
              <w:bottom w:val="single" w:color="auto" w:sz="4" w:space="0"/>
              <w:right w:val="single" w:color="auto" w:sz="4" w:space="0"/>
            </w:tcBorders>
            <w:shd w:val="clear" w:color="auto" w:fill="auto"/>
            <w:vAlign w:val="center"/>
          </w:tcPr>
          <w:p w14:paraId="2F4C4182">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17FDE955">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5</w:t>
            </w:r>
          </w:p>
        </w:tc>
        <w:tc>
          <w:tcPr>
            <w:tcW w:w="2339" w:type="dxa"/>
            <w:tcBorders>
              <w:top w:val="nil"/>
              <w:left w:val="nil"/>
              <w:bottom w:val="single" w:color="auto" w:sz="4" w:space="0"/>
              <w:right w:val="single" w:color="auto" w:sz="4" w:space="0"/>
            </w:tcBorders>
            <w:shd w:val="clear" w:color="auto" w:fill="auto"/>
            <w:vAlign w:val="center"/>
          </w:tcPr>
          <w:p w14:paraId="2E9756D0">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评价日常表现情况。</w:t>
            </w:r>
          </w:p>
        </w:tc>
        <w:tc>
          <w:tcPr>
            <w:tcW w:w="4446" w:type="dxa"/>
            <w:tcBorders>
              <w:top w:val="nil"/>
              <w:left w:val="nil"/>
              <w:bottom w:val="single" w:color="auto" w:sz="4" w:space="0"/>
              <w:right w:val="single" w:color="auto" w:sz="4" w:space="0"/>
            </w:tcBorders>
            <w:shd w:val="clear" w:color="auto" w:fill="auto"/>
            <w:vAlign w:val="center"/>
          </w:tcPr>
          <w:p w14:paraId="405B5CA7">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2A879A27">
        <w:tblPrEx>
          <w:tblCellMar>
            <w:top w:w="0" w:type="dxa"/>
            <w:left w:w="108" w:type="dxa"/>
            <w:bottom w:w="0" w:type="dxa"/>
            <w:right w:w="108" w:type="dxa"/>
          </w:tblCellMar>
        </w:tblPrEx>
        <w:trPr>
          <w:cantSplit/>
          <w:trHeight w:val="909"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4EC9BE7">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12</w:t>
            </w:r>
          </w:p>
        </w:tc>
        <w:tc>
          <w:tcPr>
            <w:tcW w:w="857" w:type="dxa"/>
            <w:vMerge w:val="restart"/>
            <w:tcBorders>
              <w:top w:val="nil"/>
              <w:left w:val="single" w:color="auto" w:sz="4" w:space="0"/>
              <w:bottom w:val="single" w:color="000000" w:sz="4" w:space="0"/>
              <w:right w:val="single" w:color="auto" w:sz="4" w:space="0"/>
            </w:tcBorders>
            <w:shd w:val="clear" w:color="auto" w:fill="auto"/>
            <w:vAlign w:val="center"/>
          </w:tcPr>
          <w:p w14:paraId="5993FB08">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加减分指标</w:t>
            </w:r>
          </w:p>
        </w:tc>
        <w:tc>
          <w:tcPr>
            <w:tcW w:w="857" w:type="dxa"/>
            <w:tcBorders>
              <w:top w:val="nil"/>
              <w:left w:val="nil"/>
              <w:bottom w:val="single" w:color="auto" w:sz="4" w:space="0"/>
              <w:right w:val="single" w:color="auto" w:sz="4" w:space="0"/>
            </w:tcBorders>
            <w:shd w:val="clear" w:color="auto" w:fill="auto"/>
            <w:vAlign w:val="center"/>
          </w:tcPr>
          <w:p w14:paraId="2BB75A46">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26CE6B69">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5</w:t>
            </w:r>
          </w:p>
        </w:tc>
        <w:tc>
          <w:tcPr>
            <w:tcW w:w="2339" w:type="dxa"/>
            <w:tcBorders>
              <w:top w:val="nil"/>
              <w:left w:val="nil"/>
              <w:bottom w:val="single" w:color="auto" w:sz="4" w:space="0"/>
              <w:right w:val="single" w:color="auto" w:sz="4" w:space="0"/>
            </w:tcBorders>
            <w:shd w:val="clear" w:color="auto" w:fill="auto"/>
            <w:vAlign w:val="center"/>
          </w:tcPr>
          <w:p w14:paraId="3835E22E">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评价机制创新情况。最高加5分。</w:t>
            </w:r>
          </w:p>
        </w:tc>
        <w:tc>
          <w:tcPr>
            <w:tcW w:w="4446" w:type="dxa"/>
            <w:tcBorders>
              <w:top w:val="nil"/>
              <w:left w:val="nil"/>
              <w:bottom w:val="single" w:color="auto" w:sz="4" w:space="0"/>
              <w:right w:val="single" w:color="auto" w:sz="4" w:space="0"/>
            </w:tcBorders>
            <w:shd w:val="clear" w:color="auto" w:fill="auto"/>
            <w:vAlign w:val="center"/>
          </w:tcPr>
          <w:p w14:paraId="0CBBE510">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1.在财政衔接资金分配、使用、监管等方面存在机制创新；（2分）</w:t>
            </w:r>
            <w:r>
              <w:rPr>
                <w:rFonts w:hint="eastAsia" w:ascii="仿宋_GB2312" w:hAnsi="宋体" w:eastAsia="仿宋_GB2312" w:cs="宋体"/>
                <w:kern w:val="0"/>
                <w:sz w:val="16"/>
                <w:szCs w:val="16"/>
              </w:rPr>
              <w:br w:type="textWrapping"/>
            </w:r>
            <w:r>
              <w:rPr>
                <w:rFonts w:hint="eastAsia" w:ascii="仿宋_GB2312" w:hAnsi="宋体" w:eastAsia="仿宋_GB2312" w:cs="宋体"/>
                <w:kern w:val="0"/>
                <w:sz w:val="16"/>
                <w:szCs w:val="16"/>
              </w:rPr>
              <w:t>2.国家、市级对我区财政衔接资金绩效评价中，被财政部、国家乡村振兴局及其第三方总结经验做法，并调研推广的。（3分）</w:t>
            </w:r>
          </w:p>
        </w:tc>
      </w:tr>
      <w:tr w14:paraId="15D14DCA">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C45B0B2">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13</w:t>
            </w:r>
          </w:p>
        </w:tc>
        <w:tc>
          <w:tcPr>
            <w:tcW w:w="857" w:type="dxa"/>
            <w:vMerge w:val="continue"/>
            <w:tcBorders>
              <w:top w:val="nil"/>
              <w:left w:val="single" w:color="auto" w:sz="4" w:space="0"/>
              <w:bottom w:val="single" w:color="000000" w:sz="4" w:space="0"/>
              <w:right w:val="single" w:color="auto" w:sz="4" w:space="0"/>
            </w:tcBorders>
            <w:vAlign w:val="center"/>
          </w:tcPr>
          <w:p w14:paraId="082C272F">
            <w:pPr>
              <w:widowControl/>
              <w:jc w:val="left"/>
              <w:rPr>
                <w:rFonts w:ascii="仿宋_GB2312" w:hAnsi="宋体" w:eastAsia="仿宋_GB2312" w:cs="宋体"/>
                <w:kern w:val="0"/>
                <w:sz w:val="16"/>
                <w:szCs w:val="16"/>
              </w:rPr>
            </w:pPr>
          </w:p>
        </w:tc>
        <w:tc>
          <w:tcPr>
            <w:tcW w:w="857" w:type="dxa"/>
            <w:tcBorders>
              <w:top w:val="nil"/>
              <w:left w:val="nil"/>
              <w:bottom w:val="single" w:color="auto" w:sz="4" w:space="0"/>
              <w:right w:val="single" w:color="auto" w:sz="4" w:space="0"/>
            </w:tcBorders>
            <w:shd w:val="clear" w:color="auto" w:fill="auto"/>
            <w:vAlign w:val="center"/>
          </w:tcPr>
          <w:p w14:paraId="2F29A698">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6B3D7E48">
            <w:pPr>
              <w:widowControl/>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10</w:t>
            </w:r>
          </w:p>
        </w:tc>
        <w:tc>
          <w:tcPr>
            <w:tcW w:w="2339" w:type="dxa"/>
            <w:tcBorders>
              <w:top w:val="nil"/>
              <w:left w:val="nil"/>
              <w:bottom w:val="single" w:color="auto" w:sz="4" w:space="0"/>
              <w:right w:val="single" w:color="auto" w:sz="4" w:space="0"/>
            </w:tcBorders>
            <w:shd w:val="clear" w:color="auto" w:fill="auto"/>
            <w:vAlign w:val="center"/>
          </w:tcPr>
          <w:p w14:paraId="6849CA45">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反映提供材料的真实性，有效性以及相关工作合法合规情况。（用于负面清单事项）</w:t>
            </w:r>
          </w:p>
        </w:tc>
        <w:tc>
          <w:tcPr>
            <w:tcW w:w="4446" w:type="dxa"/>
            <w:tcBorders>
              <w:top w:val="nil"/>
              <w:left w:val="nil"/>
              <w:bottom w:val="single" w:color="auto" w:sz="4" w:space="0"/>
              <w:right w:val="single" w:color="auto" w:sz="4" w:space="0"/>
            </w:tcBorders>
            <w:shd w:val="clear" w:color="auto" w:fill="auto"/>
            <w:vAlign w:val="center"/>
          </w:tcPr>
          <w:p w14:paraId="641456F2">
            <w:pPr>
              <w:widowControl/>
              <w:jc w:val="left"/>
              <w:rPr>
                <w:rFonts w:ascii="仿宋_GB2312" w:hAnsi="宋体" w:eastAsia="仿宋_GB2312" w:cs="宋体"/>
                <w:kern w:val="0"/>
                <w:sz w:val="16"/>
                <w:szCs w:val="16"/>
              </w:rPr>
            </w:pPr>
            <w:r>
              <w:rPr>
                <w:rFonts w:hint="eastAsia" w:ascii="仿宋_GB2312" w:hAnsi="宋体" w:eastAsia="仿宋_GB2312" w:cs="宋体"/>
                <w:kern w:val="0"/>
                <w:sz w:val="16"/>
                <w:szCs w:val="16"/>
              </w:rPr>
              <w:t>考核材料、数据中存在虚假信息的，或经有关部门监督检查发现问题的，视情节严重程度扣1-10分。</w:t>
            </w:r>
          </w:p>
        </w:tc>
      </w:tr>
    </w:tbl>
    <w:p w14:paraId="1431F969">
      <w:pPr>
        <w:rPr>
          <w:rFonts w:ascii="Arial Narrow" w:hAnsi="Arial Narrow" w:eastAsia="仿宋_GB2312" w:cs="宋体"/>
          <w:kern w:val="0"/>
          <w:sz w:val="24"/>
        </w:rPr>
      </w:pPr>
    </w:p>
    <w:p w14:paraId="3514D6F2">
      <w:pPr>
        <w:spacing w:before="120" w:beforeLines="50" w:line="360" w:lineRule="auto"/>
        <w:ind w:firstLine="482" w:firstLineChars="200"/>
        <w:jc w:val="left"/>
        <w:outlineLvl w:val="0"/>
        <w:rPr>
          <w:rFonts w:ascii="Arial Narrow" w:hAnsi="Arial Narrow" w:eastAsia="仿宋_GB2312"/>
          <w:b/>
          <w:sz w:val="24"/>
        </w:rPr>
      </w:pPr>
      <w:bookmarkStart w:id="16" w:name="_Toc169856818"/>
      <w:r>
        <w:rPr>
          <w:rFonts w:ascii="Arial Narrow" w:hAnsi="Arial Narrow" w:eastAsia="仿宋_GB2312"/>
          <w:b/>
          <w:sz w:val="24"/>
        </w:rPr>
        <w:t>（五）绩效评价标准和评价方法</w:t>
      </w:r>
      <w:bookmarkEnd w:id="16"/>
    </w:p>
    <w:p w14:paraId="6748E44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10617FA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45B06AC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7" w:name="_Hlk162596803"/>
      <w:r>
        <w:rPr>
          <w:rFonts w:ascii="Arial Narrow" w:hAnsi="Arial Narrow" w:eastAsia="仿宋_GB2312"/>
          <w:color w:val="auto"/>
        </w:rPr>
        <w:t>≥90</w:t>
      </w:r>
      <w:bookmarkEnd w:id="17"/>
      <w:r>
        <w:rPr>
          <w:rFonts w:ascii="Arial Narrow" w:hAnsi="Arial Narrow" w:eastAsia="仿宋_GB2312"/>
          <w:color w:val="auto"/>
        </w:rPr>
        <w:t>）、良</w:t>
      </w:r>
      <w:bookmarkStart w:id="18" w:name="_Hlk168473502"/>
      <w:r>
        <w:rPr>
          <w:rFonts w:ascii="Arial Narrow" w:hAnsi="Arial Narrow" w:eastAsia="仿宋_GB2312"/>
          <w:color w:val="auto"/>
        </w:rPr>
        <w:t>（90＞得分≥80）</w:t>
      </w:r>
      <w:bookmarkEnd w:id="18"/>
      <w:r>
        <w:rPr>
          <w:rFonts w:ascii="Arial Narrow" w:hAnsi="Arial Narrow" w:eastAsia="仿宋_GB2312"/>
          <w:color w:val="auto"/>
        </w:rPr>
        <w:t>、中（80＞得分≥60）、差（得分＜60）四个等级，按百分制综合得分高低按分值划段确定。</w:t>
      </w:r>
    </w:p>
    <w:p w14:paraId="28E5DA5A">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4E6C908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7CCB2CA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4EEFA56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006CE506">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6942D96E">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571D9103">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3D2D9B3C">
      <w:pPr>
        <w:spacing w:line="360" w:lineRule="auto"/>
        <w:ind w:firstLine="482" w:firstLineChars="200"/>
        <w:jc w:val="left"/>
        <w:outlineLvl w:val="0"/>
        <w:rPr>
          <w:rFonts w:ascii="Arial Narrow" w:hAnsi="Arial Narrow" w:eastAsia="仿宋_GB2312"/>
          <w:b/>
          <w:sz w:val="24"/>
        </w:rPr>
      </w:pPr>
      <w:bookmarkStart w:id="19" w:name="_Toc437528932"/>
      <w:bookmarkStart w:id="20" w:name="_Toc169856819"/>
      <w:r>
        <w:rPr>
          <w:rFonts w:ascii="Arial Narrow" w:hAnsi="Arial Narrow" w:eastAsia="仿宋_GB2312"/>
          <w:b/>
          <w:sz w:val="24"/>
        </w:rPr>
        <w:t>（六）绩效评价</w:t>
      </w:r>
      <w:bookmarkEnd w:id="19"/>
      <w:r>
        <w:rPr>
          <w:rFonts w:ascii="Arial Narrow" w:hAnsi="Arial Narrow" w:eastAsia="仿宋_GB2312"/>
          <w:b/>
          <w:sz w:val="24"/>
        </w:rPr>
        <w:t>工作过程</w:t>
      </w:r>
      <w:bookmarkEnd w:id="20"/>
    </w:p>
    <w:p w14:paraId="30996E51">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57255D7F">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7035828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3.组织实施现场调查、检查、走访等具体工作。</w:t>
      </w:r>
    </w:p>
    <w:p w14:paraId="0B07B89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7030B52F">
      <w:pPr>
        <w:spacing w:line="360" w:lineRule="auto"/>
        <w:ind w:firstLine="482" w:firstLineChars="200"/>
        <w:jc w:val="left"/>
        <w:outlineLvl w:val="0"/>
        <w:rPr>
          <w:rFonts w:ascii="Arial Narrow" w:hAnsi="Arial Narrow" w:eastAsia="仿宋_GB2312"/>
          <w:b/>
          <w:sz w:val="24"/>
        </w:rPr>
      </w:pPr>
      <w:bookmarkStart w:id="21" w:name="_Toc437528933"/>
      <w:bookmarkStart w:id="22" w:name="_Toc169856820"/>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1"/>
      <w:r>
        <w:rPr>
          <w:rFonts w:ascii="Arial Narrow" w:hAnsi="Arial Narrow" w:eastAsia="仿宋_GB2312"/>
          <w:b/>
          <w:sz w:val="24"/>
        </w:rPr>
        <w:t>结论</w:t>
      </w:r>
      <w:bookmarkEnd w:id="22"/>
    </w:p>
    <w:p w14:paraId="45E9DAC0">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农村饮水提升项目（东城）项目</w:t>
      </w:r>
      <w:r>
        <w:rPr>
          <w:rFonts w:ascii="Arial Narrow" w:hAnsi="Arial Narrow" w:eastAsia="仿宋_GB2312"/>
          <w:sz w:val="24"/>
        </w:rPr>
        <w:t>绩效评价得分</w:t>
      </w:r>
      <w:r>
        <w:rPr>
          <w:rFonts w:hint="eastAsia" w:ascii="Arial Narrow" w:hAnsi="Arial Narrow" w:eastAsia="仿宋_GB2312" w:cs="宋体"/>
          <w:kern w:val="0"/>
          <w:sz w:val="24"/>
        </w:rPr>
        <w:t>98.50</w:t>
      </w:r>
      <w:r>
        <w:rPr>
          <w:rFonts w:ascii="Arial Narrow" w:hAnsi="Arial Narrow" w:eastAsia="仿宋_GB2312"/>
          <w:sz w:val="24"/>
        </w:rPr>
        <w:t>分</w:t>
      </w:r>
      <w:r>
        <w:rPr>
          <w:rFonts w:hint="eastAsia" w:ascii="Arial Narrow" w:hAnsi="Arial Narrow" w:eastAsia="仿宋_GB2312"/>
          <w:sz w:val="24"/>
        </w:rPr>
        <w:t>，</w:t>
      </w:r>
      <w:r>
        <w:rPr>
          <w:rFonts w:ascii="Arial Narrow" w:hAnsi="Arial Narrow" w:eastAsia="仿宋_GB2312"/>
          <w:sz w:val="24"/>
        </w:rPr>
        <w:t>绩效评价等级为：</w:t>
      </w:r>
      <w:r>
        <w:rPr>
          <w:rFonts w:hint="eastAsia" w:ascii="Arial Narrow" w:hAnsi="Arial Narrow" w:eastAsia="仿宋_GB2312"/>
          <w:sz w:val="24"/>
        </w:rPr>
        <w:t>优；</w:t>
      </w:r>
    </w:p>
    <w:p w14:paraId="108A46D6">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农村饮水安全巩固提升工程（土桥镇）项目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89.53</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良；</w:t>
      </w:r>
    </w:p>
    <w:p w14:paraId="745538C9">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公益性岗位项目</w:t>
      </w:r>
      <w:r>
        <w:rPr>
          <w:rFonts w:hint="eastAsia" w:ascii="Arial Narrow" w:hAnsi="Arial Narrow" w:eastAsia="仿宋_GB2312"/>
          <w:sz w:val="24"/>
        </w:rPr>
        <w:t>绩效评价得分</w:t>
      </w:r>
      <w:r>
        <w:rPr>
          <w:rFonts w:hint="eastAsia" w:ascii="Arial Narrow" w:hAnsi="Arial Narrow" w:eastAsia="仿宋_GB2312" w:cs="宋体"/>
          <w:kern w:val="0"/>
          <w:sz w:val="24"/>
        </w:rPr>
        <w:t>100.00</w:t>
      </w:r>
      <w:r>
        <w:rPr>
          <w:rFonts w:hint="eastAsia" w:ascii="Arial Narrow" w:hAnsi="Arial Narrow" w:eastAsia="仿宋_GB2312"/>
          <w:sz w:val="24"/>
        </w:rPr>
        <w:t>分，</w:t>
      </w:r>
      <w:r>
        <w:rPr>
          <w:rFonts w:ascii="Arial Narrow" w:hAnsi="Arial Narrow" w:eastAsia="仿宋_GB2312"/>
          <w:sz w:val="24"/>
        </w:rPr>
        <w:t>绩效评价等级为：</w:t>
      </w:r>
      <w:r>
        <w:rPr>
          <w:rFonts w:hint="eastAsia" w:ascii="Arial Narrow" w:hAnsi="Arial Narrow" w:eastAsia="仿宋_GB2312"/>
          <w:sz w:val="24"/>
        </w:rPr>
        <w:t>优。</w:t>
      </w:r>
    </w:p>
    <w:p w14:paraId="05E64068">
      <w:pPr>
        <w:spacing w:line="360" w:lineRule="auto"/>
        <w:ind w:firstLine="482" w:firstLineChars="200"/>
        <w:outlineLvl w:val="0"/>
        <w:rPr>
          <w:rFonts w:ascii="Arial Narrow" w:hAnsi="Arial Narrow" w:eastAsia="仿宋_GB2312"/>
          <w:b/>
          <w:sz w:val="24"/>
        </w:rPr>
      </w:pPr>
      <w:bookmarkStart w:id="23" w:name="_Toc169856821"/>
      <w:r>
        <w:rPr>
          <w:rFonts w:hint="eastAsia" w:ascii="Arial Narrow" w:hAnsi="Arial Narrow" w:eastAsia="仿宋_GB2312"/>
          <w:b/>
          <w:sz w:val="24"/>
        </w:rPr>
        <w:t>四、</w:t>
      </w:r>
      <w:r>
        <w:rPr>
          <w:rFonts w:ascii="Arial Narrow" w:hAnsi="Arial Narrow" w:eastAsia="仿宋_GB2312"/>
          <w:b/>
          <w:sz w:val="24"/>
        </w:rPr>
        <w:t>综合评价情况</w:t>
      </w:r>
      <w:bookmarkEnd w:id="23"/>
    </w:p>
    <w:p w14:paraId="42FFB0EB">
      <w:pPr>
        <w:spacing w:line="360" w:lineRule="auto"/>
        <w:ind w:firstLine="482" w:firstLineChars="200"/>
        <w:jc w:val="left"/>
        <w:outlineLvl w:val="0"/>
        <w:rPr>
          <w:rFonts w:ascii="仿宋_GB2312" w:eastAsia="仿宋_GB2312"/>
          <w:b/>
          <w:sz w:val="24"/>
        </w:rPr>
      </w:pPr>
      <w:bookmarkStart w:id="24" w:name="_Toc169856822"/>
      <w:r>
        <w:rPr>
          <w:rFonts w:hint="eastAsia" w:ascii="仿宋_GB2312" w:eastAsia="仿宋_GB2312"/>
          <w:b/>
          <w:sz w:val="24"/>
        </w:rPr>
        <w:t>（一）资金管理</w:t>
      </w:r>
      <w:bookmarkEnd w:id="24"/>
    </w:p>
    <w:p w14:paraId="423B6D83">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1、财政衔接资金安排情况</w:t>
      </w:r>
    </w:p>
    <w:p w14:paraId="5BCBD99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w:t>
      </w:r>
      <w:r>
        <w:rPr>
          <w:rFonts w:hint="eastAsia" w:ascii="Arial Narrow" w:hAnsi="Arial Narrow" w:eastAsia="仿宋_GB2312"/>
          <w:sz w:val="24"/>
          <w:lang w:val="en-US" w:eastAsia="zh-CN"/>
        </w:rPr>
        <w:t>号</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0ACB476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4237963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农村饮水安全巩固提升工程（土桥镇）项目</w:t>
      </w:r>
      <w:r>
        <w:rPr>
          <w:rFonts w:hint="eastAsia" w:ascii="Arial Narrow" w:hAnsi="Arial Narrow" w:eastAsia="仿宋_GB2312"/>
          <w:sz w:val="24"/>
        </w:rPr>
        <w:t>区财政局于2022年12月14日发布《重庆市铜梁区财政局关于提前下达2023年市级财政衔接推进乡村振兴补助资金预算的通知》（铜财〔2022〕561号），业务主管部门于2023年1月6日发布《关于下达2023年市级财政衔接推进乡村振兴补助资金项目安排计划的通知》（铜委农办〔2023〕2号）。</w:t>
      </w:r>
    </w:p>
    <w:p w14:paraId="1B3A0E3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农村饮水提升项目（东城）</w:t>
      </w:r>
      <w:r>
        <w:rPr>
          <w:rFonts w:hint="eastAsia" w:ascii="Arial Narrow" w:hAnsi="Arial Narrow" w:eastAsia="仿宋_GB2312"/>
          <w:sz w:val="24"/>
        </w:rPr>
        <w:t>区财政局于2023年5月12日发布《重庆市铜梁区财政局关于下达2023年中央财政衔接推进乡村振兴补助资金预算的通知》（铜财〔2023〕126号），业务主管部门于2023年6月9日发布《关于下达2023年第二批中央财政衔接推进乡村振兴补助资金项目安排计划的通知》（铜委农办〔2023〕9号）。</w:t>
      </w:r>
    </w:p>
    <w:p w14:paraId="0D13241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以上两个项目区财政局下达资金文件时间到区级业务主管部门下达项目及资金计划文件时间间隔小于30日。</w:t>
      </w:r>
    </w:p>
    <w:p w14:paraId="6054656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公益性岗位项目</w:t>
      </w:r>
      <w:r>
        <w:rPr>
          <w:rFonts w:hint="eastAsia" w:ascii="Arial Narrow" w:hAnsi="Arial Narrow" w:eastAsia="仿宋_GB2312"/>
          <w:sz w:val="24"/>
        </w:rPr>
        <w:t>区财政局于2023年2月16日发布《重庆市铜梁区财政局关于下达2023年区级财政衔接推进乡村振兴补助资金预算的通知》（铜财〔2023〕46号），业务主管部门于2023年4月10日发布《关于下达2023年区级财政衔接推进乡村振兴补助资金项目安排计划的通知》（铜委农办〔2023〕3号），区财政局下达资金文件时间到区级业务主管部门下达项目及资金计划文件时间间隔大于30日。</w:t>
      </w:r>
    </w:p>
    <w:p w14:paraId="5385897F">
      <w:pPr>
        <w:spacing w:line="360" w:lineRule="auto"/>
        <w:ind w:firstLine="482" w:firstLineChars="200"/>
        <w:jc w:val="left"/>
        <w:outlineLvl w:val="0"/>
        <w:rPr>
          <w:rFonts w:ascii="仿宋_GB2312" w:eastAsia="仿宋_GB2312"/>
          <w:b/>
          <w:sz w:val="24"/>
        </w:rPr>
      </w:pPr>
      <w:bookmarkStart w:id="25" w:name="_Toc169856823"/>
      <w:r>
        <w:rPr>
          <w:rFonts w:hint="eastAsia" w:ascii="仿宋_GB2312" w:eastAsia="仿宋_GB2312"/>
          <w:b/>
          <w:sz w:val="24"/>
        </w:rPr>
        <w:t>（二）项目管理</w:t>
      </w:r>
      <w:bookmarkEnd w:id="25"/>
    </w:p>
    <w:p w14:paraId="617036EA">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rPr>
        <w:t>、项目库建设管理情况</w:t>
      </w:r>
    </w:p>
    <w:p w14:paraId="4798F76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项目入库及时充分、程序规范、内容完整，制定和切合实际的实施方案，具备实施条件，衔接资金未用于项目库之外的项目。</w:t>
      </w:r>
    </w:p>
    <w:p w14:paraId="1CD73079">
      <w:pPr>
        <w:adjustRightInd w:val="0"/>
        <w:snapToGrid w:val="0"/>
        <w:spacing w:line="360" w:lineRule="auto"/>
        <w:ind w:firstLine="480" w:firstLineChars="200"/>
        <w:rPr>
          <w:rFonts w:ascii="Arial Narrow" w:hAnsi="Arial Narrow" w:eastAsia="仿宋_GB2312"/>
          <w:color w:val="000000" w:themeColor="text1"/>
          <w:sz w:val="24"/>
          <w14:textFill>
            <w14:solidFill>
              <w14:schemeClr w14:val="tx1"/>
            </w14:solidFill>
          </w14:textFill>
        </w:rPr>
      </w:pPr>
      <w:r>
        <w:rPr>
          <w:rFonts w:hint="eastAsia" w:ascii="Arial Narrow" w:hAnsi="Arial Narrow" w:eastAsia="仿宋_GB2312"/>
          <w:color w:val="000000" w:themeColor="text1"/>
          <w:sz w:val="24"/>
          <w14:textFill>
            <w14:solidFill>
              <w14:schemeClr w14:val="tx1"/>
            </w14:solidFill>
          </w14:textFill>
        </w:rPr>
        <w:t>2、</w:t>
      </w:r>
      <w:r>
        <w:rPr>
          <w:rFonts w:hint="eastAsia"/>
          <w:color w:val="000000" w:themeColor="text1"/>
          <w14:textFill>
            <w14:solidFill>
              <w14:schemeClr w14:val="tx1"/>
            </w14:solidFill>
          </w14:textFill>
        </w:rPr>
        <w:t xml:space="preserve"> </w:t>
      </w:r>
      <w:r>
        <w:rPr>
          <w:rFonts w:hint="eastAsia" w:ascii="Arial Narrow" w:hAnsi="Arial Narrow" w:eastAsia="仿宋_GB2312"/>
          <w:color w:val="000000" w:themeColor="text1"/>
          <w:sz w:val="24"/>
          <w14:textFill>
            <w14:solidFill>
              <w14:schemeClr w14:val="tx1"/>
            </w14:solidFill>
          </w14:textFill>
        </w:rPr>
        <w:t>项目绩效管理情况</w:t>
      </w:r>
    </w:p>
    <w:p w14:paraId="2A6C39CB">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农村饮水安全巩固提升工程（土桥镇）项</w:t>
      </w:r>
      <w:r>
        <w:rPr>
          <w:rFonts w:hint="eastAsia" w:ascii="Arial Narrow" w:hAnsi="Arial Narrow" w:eastAsia="仿宋_GB2312" w:cs="宋体"/>
          <w:color w:val="000000" w:themeColor="text1"/>
          <w:kern w:val="0"/>
          <w:sz w:val="24"/>
          <w14:textFill>
            <w14:solidFill>
              <w14:schemeClr w14:val="tx1"/>
            </w14:solidFill>
          </w14:textFill>
        </w:rPr>
        <w:t>目、农村饮水提升项目（东城）项目、公益性岗位项目3个项目</w:t>
      </w:r>
      <w:r>
        <w:rPr>
          <w:rFonts w:hint="eastAsia" w:ascii="Arial Narrow" w:hAnsi="Arial Narrow" w:eastAsia="仿宋_GB2312"/>
          <w:color w:val="000000" w:themeColor="text1"/>
          <w:sz w:val="24"/>
          <w14:textFill>
            <w14:solidFill>
              <w14:schemeClr w14:val="tx1"/>
            </w14:solidFill>
          </w14:textFill>
        </w:rPr>
        <w:t>及时制定了明确的绩效目标，实施过程中对绩效目标进行监控，在项目实施完毕后开展了绩效自评，形成绩效自评表及自评报告。</w:t>
      </w:r>
    </w:p>
    <w:p w14:paraId="21D9ED3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以上</w:t>
      </w:r>
      <w:r>
        <w:rPr>
          <w:rFonts w:ascii="Arial Narrow" w:hAnsi="Arial Narrow" w:eastAsia="仿宋_GB2312"/>
          <w:sz w:val="24"/>
        </w:rPr>
        <w:t>3</w:t>
      </w:r>
      <w:r>
        <w:rPr>
          <w:rFonts w:hint="eastAsia" w:ascii="Arial Narrow" w:hAnsi="Arial Narrow" w:eastAsia="仿宋_GB2312"/>
          <w:sz w:val="24"/>
        </w:rPr>
        <w:t>个项目绩效基本达到预期。</w:t>
      </w:r>
    </w:p>
    <w:p w14:paraId="6F9EBF4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3、项目建设管理情况</w:t>
      </w:r>
    </w:p>
    <w:p w14:paraId="06E9E49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农村饮水安全巩固提升工程（土桥镇）</w:t>
      </w:r>
      <w:r>
        <w:rPr>
          <w:rFonts w:hint="eastAsia" w:ascii="Arial Narrow" w:hAnsi="Arial Narrow" w:eastAsia="仿宋_GB2312"/>
          <w:sz w:val="24"/>
        </w:rPr>
        <w:t>项目按照《重庆市铜梁区水利局关于铜梁区土桥镇2023年农村饮水安全巩固提升工程实施方案变更的批复》（铜水发〔2023〕256号）变更内容，主要包括原设计供水管道长度变化，新增入户管道及水表组件。</w:t>
      </w:r>
    </w:p>
    <w:p w14:paraId="09B0765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农村饮水提升项目（东城）项目按照</w:t>
      </w:r>
      <w:r>
        <w:rPr>
          <w:rFonts w:hint="eastAsia" w:ascii="Arial Narrow" w:hAnsi="Arial Narrow" w:eastAsia="仿宋_GB2312"/>
          <w:sz w:val="24"/>
        </w:rPr>
        <w:t>《重庆市铜梁区水利局关于东城街道2023年农村饮水安全巩固提升工程增加工程量的复函》（铜水发〔2023〕</w:t>
      </w:r>
      <w:r>
        <w:rPr>
          <w:rFonts w:ascii="Arial Narrow" w:hAnsi="Arial Narrow" w:eastAsia="仿宋_GB2312"/>
          <w:sz w:val="24"/>
        </w:rPr>
        <w:t>127</w:t>
      </w:r>
      <w:r>
        <w:rPr>
          <w:rFonts w:hint="eastAsia" w:ascii="Arial Narrow" w:hAnsi="Arial Narrow" w:eastAsia="仿宋_GB2312"/>
          <w:sz w:val="24"/>
        </w:rPr>
        <w:t>号）变更内容，增加水星村、安全村等6个村入户水表及配套管件采购。</w:t>
      </w:r>
    </w:p>
    <w:p w14:paraId="7C037A3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实施过程中由</w:t>
      </w:r>
      <w:r>
        <w:rPr>
          <w:rFonts w:hint="eastAsia" w:ascii="Arial Narrow" w:hAnsi="Arial Narrow" w:eastAsia="仿宋_GB2312" w:cs="宋体"/>
          <w:kern w:val="0"/>
          <w:sz w:val="24"/>
        </w:rPr>
        <w:t>重庆市铜梁区水利局</w:t>
      </w:r>
      <w:r>
        <w:rPr>
          <w:rFonts w:hint="eastAsia" w:ascii="Arial Narrow" w:hAnsi="Arial Narrow" w:eastAsia="仿宋_GB2312"/>
          <w:sz w:val="24"/>
        </w:rPr>
        <w:t>进行监督检查，检查中未发现重大问题，项目按照实施节点按时提交项目报账资料。</w:t>
      </w:r>
    </w:p>
    <w:p w14:paraId="271EBC5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公益性岗位项目不涉及项目建设管理。</w:t>
      </w:r>
    </w:p>
    <w:p w14:paraId="3EA682B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6AFBD90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农村饮水安全巩固提升工程（土桥镇）</w:t>
      </w:r>
      <w:r>
        <w:rPr>
          <w:rFonts w:hint="eastAsia" w:ascii="Arial Narrow" w:hAnsi="Arial Narrow" w:eastAsia="仿宋_GB2312"/>
          <w:sz w:val="24"/>
        </w:rPr>
        <w:t>项目最后一笔款项拨付于2023年12月27日；</w:t>
      </w:r>
      <w:r>
        <w:rPr>
          <w:rFonts w:hint="eastAsia" w:ascii="Arial Narrow" w:hAnsi="Arial Narrow" w:eastAsia="仿宋_GB2312" w:cs="宋体"/>
          <w:kern w:val="0"/>
          <w:sz w:val="24"/>
        </w:rPr>
        <w:t>农村饮水提升项目（东城）项目</w:t>
      </w:r>
      <w:r>
        <w:rPr>
          <w:rFonts w:hint="eastAsia" w:ascii="Arial Narrow" w:hAnsi="Arial Narrow" w:eastAsia="仿宋_GB2312"/>
          <w:sz w:val="24"/>
        </w:rPr>
        <w:t>最后一笔款项拨付于2023年12月21日；以上2个项目整体支付进度较晚。</w:t>
      </w:r>
      <w:r>
        <w:rPr>
          <w:rFonts w:hint="eastAsia" w:ascii="Arial Narrow" w:hAnsi="Arial Narrow" w:eastAsia="仿宋_GB2312" w:cs="宋体"/>
          <w:kern w:val="0"/>
          <w:sz w:val="24"/>
        </w:rPr>
        <w:t>公益性岗位项目</w:t>
      </w:r>
      <w:r>
        <w:rPr>
          <w:rFonts w:hint="eastAsia" w:ascii="Arial Narrow" w:hAnsi="Arial Narrow" w:eastAsia="仿宋_GB2312"/>
          <w:sz w:val="24"/>
        </w:rPr>
        <w:t>最后一笔款项拨付于2023年10月12日，未见明显异常。</w:t>
      </w:r>
    </w:p>
    <w:p w14:paraId="319B83C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29DFF50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4AEF67B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08A1253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4DD3AA2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rPr>
        <w:t>、</w:t>
      </w:r>
      <w:r>
        <w:rPr>
          <w:rFonts w:hint="eastAsia" w:ascii="Arial Narrow" w:hAnsi="Arial Narrow" w:eastAsia="仿宋_GB2312"/>
          <w:sz w:val="24"/>
        </w:rPr>
        <w:t>信息公开和公告公示制度落实情况</w:t>
      </w:r>
    </w:p>
    <w:p w14:paraId="60C6500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项目实施单位</w:t>
      </w:r>
      <w:r>
        <w:rPr>
          <w:rFonts w:hint="eastAsia" w:ascii="Arial Narrow" w:hAnsi="Arial Narrow" w:eastAsia="仿宋_GB2312"/>
          <w:sz w:val="24"/>
        </w:rPr>
        <w:t>对</w:t>
      </w:r>
      <w:r>
        <w:rPr>
          <w:rFonts w:hint="eastAsia" w:ascii="Arial Narrow" w:hAnsi="Arial Narrow" w:eastAsia="仿宋_GB2312" w:cs="宋体"/>
          <w:kern w:val="0"/>
          <w:sz w:val="24"/>
        </w:rPr>
        <w:t>农村饮水安全巩固提升工程（土桥镇）项</w:t>
      </w:r>
      <w:r>
        <w:rPr>
          <w:rFonts w:hint="eastAsia" w:ascii="Arial Narrow" w:hAnsi="Arial Narrow" w:eastAsia="仿宋_GB2312" w:cs="宋体"/>
          <w:color w:val="000000" w:themeColor="text1"/>
          <w:kern w:val="0"/>
          <w:sz w:val="24"/>
          <w14:textFill>
            <w14:solidFill>
              <w14:schemeClr w14:val="tx1"/>
            </w14:solidFill>
          </w14:textFill>
        </w:rPr>
        <w:t>目、农村饮水提升项目（东城）</w:t>
      </w:r>
      <w:r>
        <w:rPr>
          <w:rFonts w:hint="eastAsia" w:ascii="Arial Narrow" w:hAnsi="Arial Narrow" w:eastAsia="仿宋_GB2312"/>
          <w:sz w:val="24"/>
        </w:rPr>
        <w:t>项目入库情况、资金计划完成情况等进行了公告公示，</w:t>
      </w:r>
      <w:r>
        <w:rPr>
          <w:rFonts w:hint="eastAsia" w:ascii="Arial Narrow" w:hAnsi="Arial Narrow" w:eastAsia="仿宋_GB2312" w:cs="宋体"/>
          <w:kern w:val="0"/>
          <w:sz w:val="24"/>
        </w:rPr>
        <w:t>公益性岗位项目资金使用情况、绩效目标公示和公益性岗位人员进行了公告公示</w:t>
      </w:r>
      <w:r>
        <w:rPr>
          <w:rFonts w:hint="eastAsia" w:ascii="Arial Narrow" w:hAnsi="Arial Narrow" w:eastAsia="仿宋_GB2312"/>
          <w:sz w:val="24"/>
        </w:rPr>
        <w:t>。</w:t>
      </w:r>
    </w:p>
    <w:p w14:paraId="05623CC4">
      <w:pPr>
        <w:spacing w:line="360" w:lineRule="auto"/>
        <w:ind w:firstLine="482" w:firstLineChars="200"/>
        <w:jc w:val="left"/>
        <w:outlineLvl w:val="0"/>
        <w:rPr>
          <w:rFonts w:ascii="仿宋_GB2312" w:eastAsia="仿宋_GB2312"/>
          <w:b/>
          <w:sz w:val="24"/>
        </w:rPr>
      </w:pPr>
      <w:bookmarkStart w:id="26" w:name="_Toc169856824"/>
      <w:r>
        <w:rPr>
          <w:rFonts w:hint="eastAsia" w:ascii="仿宋_GB2312" w:eastAsia="仿宋_GB2312"/>
          <w:b/>
          <w:sz w:val="24"/>
        </w:rPr>
        <w:t>（三）使用成效及通报情况</w:t>
      </w:r>
      <w:bookmarkEnd w:id="26"/>
    </w:p>
    <w:p w14:paraId="2BC15965">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rPr>
        <w:t>、资金使用效益</w:t>
      </w:r>
    </w:p>
    <w:p w14:paraId="03105D3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项目总体资金均专款专用，项目完成进度和及时性达到计划预期目的，完成了绩效目标。</w:t>
      </w:r>
    </w:p>
    <w:p w14:paraId="277B6DE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2222DFF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20134260">
      <w:pPr>
        <w:spacing w:line="360" w:lineRule="auto"/>
        <w:ind w:firstLine="482" w:firstLineChars="200"/>
        <w:outlineLvl w:val="0"/>
        <w:rPr>
          <w:rFonts w:ascii="Arial Narrow" w:hAnsi="Arial Narrow" w:eastAsia="仿宋_GB2312"/>
          <w:b/>
          <w:sz w:val="24"/>
        </w:rPr>
      </w:pPr>
      <w:bookmarkStart w:id="27" w:name="_Toc169856825"/>
      <w:r>
        <w:rPr>
          <w:rFonts w:hint="eastAsia" w:ascii="Arial Narrow" w:hAnsi="Arial Narrow" w:eastAsia="仿宋_GB2312"/>
          <w:b/>
          <w:sz w:val="24"/>
        </w:rPr>
        <w:t>五</w:t>
      </w:r>
      <w:r>
        <w:rPr>
          <w:rFonts w:ascii="Arial Narrow" w:hAnsi="Arial Narrow" w:eastAsia="仿宋_GB2312"/>
          <w:b/>
          <w:sz w:val="24"/>
        </w:rPr>
        <w:t>、存在的问题和建议</w:t>
      </w:r>
      <w:bookmarkEnd w:id="27"/>
    </w:p>
    <w:p w14:paraId="5EFA2CE7">
      <w:pPr>
        <w:spacing w:line="360" w:lineRule="auto"/>
        <w:ind w:firstLine="482" w:firstLineChars="200"/>
        <w:jc w:val="left"/>
        <w:outlineLvl w:val="0"/>
        <w:rPr>
          <w:rFonts w:ascii="仿宋_GB2312" w:eastAsia="仿宋_GB2312"/>
          <w:b/>
          <w:sz w:val="24"/>
        </w:rPr>
      </w:pPr>
      <w:bookmarkStart w:id="28" w:name="_Toc169856826"/>
      <w:r>
        <w:rPr>
          <w:rFonts w:hint="eastAsia" w:ascii="仿宋_GB2312" w:eastAsia="仿宋_GB2312"/>
          <w:b/>
          <w:sz w:val="24"/>
        </w:rPr>
        <w:t>（一）存在问题</w:t>
      </w:r>
      <w:bookmarkEnd w:id="28"/>
    </w:p>
    <w:p w14:paraId="7EDD730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ascii="Arial Narrow" w:hAnsi="Arial Narrow" w:eastAsia="仿宋_GB2312" w:cs="宋体"/>
          <w:color w:val="000000" w:themeColor="text1"/>
          <w:kern w:val="0"/>
          <w:sz w:val="24"/>
          <w14:textFill>
            <w14:solidFill>
              <w14:schemeClr w14:val="tx1"/>
            </w14:solidFill>
          </w14:textFill>
        </w:rPr>
        <w:t>农村饮水提升项目（东城）</w:t>
      </w:r>
      <w:r>
        <w:rPr>
          <w:rFonts w:hint="eastAsia" w:ascii="Arial Narrow" w:hAnsi="Arial Narrow" w:eastAsia="仿宋_GB2312"/>
          <w:sz w:val="24"/>
        </w:rPr>
        <w:t>项目未支付完毕形成自评报告，2023年12月21日支付最后一笔款项，2023年11月27日形成自评报告。</w:t>
      </w:r>
    </w:p>
    <w:p w14:paraId="2082AD4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2、部分项目资金拨付进度较晚，最后一笔款于2023年12月支出。</w:t>
      </w:r>
    </w:p>
    <w:p w14:paraId="4C53EE8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3、部分监理报告总监未签阅。</w:t>
      </w:r>
    </w:p>
    <w:p w14:paraId="192BF81C">
      <w:pPr>
        <w:spacing w:line="360" w:lineRule="auto"/>
        <w:ind w:firstLine="482" w:firstLineChars="200"/>
        <w:jc w:val="left"/>
        <w:outlineLvl w:val="0"/>
        <w:rPr>
          <w:rFonts w:ascii="仿宋_GB2312" w:eastAsia="仿宋_GB2312"/>
          <w:b/>
          <w:sz w:val="24"/>
        </w:rPr>
      </w:pPr>
      <w:bookmarkStart w:id="29" w:name="_Toc169856827"/>
      <w:r>
        <w:rPr>
          <w:rFonts w:hint="eastAsia" w:ascii="仿宋_GB2312" w:eastAsia="仿宋_GB2312"/>
          <w:b/>
          <w:sz w:val="24"/>
        </w:rPr>
        <w:t>（二）建议</w:t>
      </w:r>
      <w:bookmarkEnd w:id="29"/>
    </w:p>
    <w:p w14:paraId="073618CF">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1、项目款项支付完毕后再展开自评程序，完善自评表、自评报告，总结项目经验，为巩固拓展脱贫攻坚成果同乡村振兴有效衔接决策和分配财政专项衔接资金提供重要参考。</w:t>
      </w:r>
    </w:p>
    <w:p w14:paraId="5C1232C8">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2、严格按照财政资金预算执行，及时拨付项目资金。针对财政专项资金,建议实施单位在规定时间内支付项目资金,杜绝资金滞留、挤占、截留、挪用等现象的发生。</w:t>
      </w:r>
    </w:p>
    <w:p w14:paraId="7281814A">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3、加强对监理单位的监督，完善监理日志的审签程序。</w:t>
      </w:r>
    </w:p>
    <w:p w14:paraId="216CE1BB">
      <w:pPr>
        <w:adjustRightInd w:val="0"/>
        <w:snapToGrid w:val="0"/>
        <w:spacing w:line="360" w:lineRule="auto"/>
        <w:ind w:firstLine="480" w:firstLineChars="200"/>
        <w:rPr>
          <w:rStyle w:val="11"/>
          <w:rFonts w:ascii="Arial Narrow" w:hAnsi="Arial Narrow" w:eastAsia="仿宋_GB2312"/>
          <w:color w:val="auto"/>
          <w:sz w:val="24"/>
          <w:u w:val="none"/>
        </w:rPr>
      </w:pPr>
    </w:p>
    <w:p w14:paraId="658D11A1">
      <w:pPr>
        <w:adjustRightInd w:val="0"/>
        <w:snapToGrid w:val="0"/>
        <w:spacing w:line="360" w:lineRule="auto"/>
        <w:ind w:firstLine="480" w:firstLineChars="200"/>
        <w:rPr>
          <w:rStyle w:val="11"/>
          <w:rFonts w:ascii="Arial Narrow" w:hAnsi="Arial Narrow" w:eastAsia="仿宋_GB2312"/>
          <w:color w:val="auto"/>
          <w:sz w:val="24"/>
          <w:u w:val="none"/>
        </w:rPr>
      </w:pPr>
    </w:p>
    <w:p w14:paraId="30075321">
      <w:pPr>
        <w:adjustRightInd w:val="0"/>
        <w:snapToGrid w:val="0"/>
        <w:spacing w:line="360" w:lineRule="auto"/>
        <w:ind w:firstLine="480" w:firstLineChars="200"/>
        <w:rPr>
          <w:rStyle w:val="11"/>
          <w:rFonts w:ascii="Arial Narrow" w:hAnsi="Arial Narrow" w:eastAsia="仿宋_GB2312"/>
          <w:color w:val="auto"/>
          <w:sz w:val="24"/>
          <w:u w:val="none"/>
        </w:rPr>
      </w:pPr>
    </w:p>
    <w:p w14:paraId="39899584">
      <w:pPr>
        <w:adjustRightInd w:val="0"/>
        <w:snapToGrid w:val="0"/>
        <w:spacing w:line="360" w:lineRule="auto"/>
        <w:ind w:firstLine="420" w:firstLineChars="200"/>
        <w:rPr>
          <w:rStyle w:val="11"/>
          <w:color w:val="auto"/>
          <w:u w:val="none"/>
        </w:rPr>
      </w:pPr>
    </w:p>
    <w:p w14:paraId="5D2B3A61">
      <w:pPr>
        <w:adjustRightInd w:val="0"/>
        <w:snapToGrid w:val="0"/>
        <w:spacing w:line="360" w:lineRule="auto"/>
        <w:rPr>
          <w:rStyle w:val="11"/>
          <w:rFonts w:ascii="Arial Narrow" w:hAnsi="Arial Narrow" w:eastAsia="仿宋_GB2312"/>
          <w:color w:val="auto"/>
          <w:sz w:val="24"/>
          <w:u w:val="none"/>
        </w:rPr>
      </w:pPr>
      <w:r>
        <w:rPr>
          <w:rStyle w:val="11"/>
          <w:rFonts w:ascii="Arial Narrow" w:hAnsi="Arial Narrow" w:eastAsia="仿宋_GB2312"/>
          <w:color w:val="auto"/>
          <w:sz w:val="24"/>
          <w:u w:val="none"/>
        </w:rPr>
        <w:t>附件：1、绩效评价指标体系及评分结果表；</w:t>
      </w:r>
    </w:p>
    <w:p w14:paraId="5DAF40B0">
      <w:pPr>
        <w:adjustRightInd w:val="0"/>
        <w:snapToGrid w:val="0"/>
        <w:spacing w:line="360" w:lineRule="auto"/>
        <w:ind w:firstLine="720" w:firstLineChars="300"/>
        <w:rPr>
          <w:rStyle w:val="11"/>
          <w:rFonts w:ascii="Arial Narrow" w:hAnsi="Arial Narrow" w:eastAsia="仿宋_GB2312"/>
          <w:color w:val="auto"/>
          <w:sz w:val="24"/>
          <w:u w:val="none"/>
        </w:rPr>
      </w:pPr>
      <w:r>
        <w:rPr>
          <w:rStyle w:val="11"/>
          <w:rFonts w:ascii="Arial Narrow" w:hAnsi="Arial Narrow" w:eastAsia="仿宋_GB2312"/>
          <w:color w:val="auto"/>
          <w:sz w:val="24"/>
          <w:u w:val="none"/>
        </w:rPr>
        <w:t>2、会计师事务所营业执照和资质复印件。</w:t>
      </w:r>
    </w:p>
    <w:p w14:paraId="199CC621">
      <w:pPr>
        <w:adjustRightInd w:val="0"/>
        <w:snapToGrid w:val="0"/>
        <w:spacing w:line="360" w:lineRule="auto"/>
        <w:rPr>
          <w:rStyle w:val="11"/>
          <w:rFonts w:ascii="Arial Narrow" w:hAnsi="Arial Narrow" w:eastAsia="仿宋_GB2312"/>
          <w:color w:val="auto"/>
          <w:sz w:val="24"/>
          <w:u w:val="none"/>
        </w:rPr>
      </w:pPr>
    </w:p>
    <w:p w14:paraId="6BD627BF">
      <w:pPr>
        <w:adjustRightInd w:val="0"/>
        <w:snapToGrid w:val="0"/>
        <w:spacing w:line="360" w:lineRule="auto"/>
        <w:ind w:firstLine="720" w:firstLineChars="300"/>
        <w:rPr>
          <w:rStyle w:val="11"/>
          <w:rFonts w:ascii="Arial Narrow" w:hAnsi="Arial Narrow" w:eastAsia="仿宋_GB2312"/>
          <w:color w:val="auto"/>
          <w:sz w:val="24"/>
          <w:u w:val="none"/>
        </w:rPr>
      </w:pPr>
    </w:p>
    <w:p w14:paraId="28326936">
      <w:pPr>
        <w:adjustRightInd w:val="0"/>
        <w:snapToGrid w:val="0"/>
        <w:spacing w:line="360" w:lineRule="auto"/>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 xml:space="preserve"> 重庆铭鸿金全会计师事务所有限责任公司</w:t>
      </w:r>
    </w:p>
    <w:p w14:paraId="310CEEEA">
      <w:pPr>
        <w:adjustRightInd w:val="0"/>
        <w:snapToGrid w:val="0"/>
        <w:spacing w:line="360" w:lineRule="auto"/>
        <w:ind w:right="960" w:firstLine="4800" w:firstLineChars="2000"/>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二</w:t>
      </w:r>
      <w:r>
        <w:rPr>
          <w:rStyle w:val="11"/>
          <w:rFonts w:hint="eastAsia" w:ascii="Arial Narrow" w:hAnsi="Arial Narrow" w:eastAsia="仿宋_GB2312"/>
          <w:color w:val="auto"/>
          <w:sz w:val="24"/>
          <w:u w:val="none"/>
          <w:lang w:val="en-US" w:eastAsia="zh-CN"/>
        </w:rPr>
        <w:t>〇</w:t>
      </w:r>
      <w:bookmarkStart w:id="30" w:name="_GoBack"/>
      <w:bookmarkEnd w:id="30"/>
      <w:r>
        <w:rPr>
          <w:rStyle w:val="11"/>
          <w:rFonts w:hint="eastAsia" w:ascii="Arial Narrow" w:hAnsi="Arial Narrow" w:eastAsia="仿宋_GB2312"/>
          <w:color w:val="auto"/>
          <w:sz w:val="24"/>
          <w:u w:val="none"/>
        </w:rPr>
        <w:t>二四年六月二十四日</w:t>
      </w:r>
    </w:p>
    <w:sectPr>
      <w:headerReference r:id="rId4" w:type="default"/>
      <w:footerReference r:id="rId5" w:type="default"/>
      <w:pgSz w:w="11907" w:h="16840" w:orient="landscape"/>
      <w:pgMar w:top="1418" w:right="1418"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57B95">
    <w:pPr>
      <w:pStyle w:val="5"/>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FC29A">
    <w:pPr>
      <w:pStyle w:val="5"/>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39B46">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1640C"/>
    <w:rsid w:val="00060BD2"/>
    <w:rsid w:val="00063E0B"/>
    <w:rsid w:val="000769EE"/>
    <w:rsid w:val="00086622"/>
    <w:rsid w:val="00087AFF"/>
    <w:rsid w:val="000D1A3B"/>
    <w:rsid w:val="000E4529"/>
    <w:rsid w:val="000E6A52"/>
    <w:rsid w:val="0010003E"/>
    <w:rsid w:val="00104568"/>
    <w:rsid w:val="00143A99"/>
    <w:rsid w:val="00152152"/>
    <w:rsid w:val="00164C87"/>
    <w:rsid w:val="001A42EB"/>
    <w:rsid w:val="001C6F32"/>
    <w:rsid w:val="001E0132"/>
    <w:rsid w:val="001F3624"/>
    <w:rsid w:val="001F43AE"/>
    <w:rsid w:val="00216472"/>
    <w:rsid w:val="00224D96"/>
    <w:rsid w:val="00226E7E"/>
    <w:rsid w:val="0024139B"/>
    <w:rsid w:val="00276D1C"/>
    <w:rsid w:val="00282997"/>
    <w:rsid w:val="002C083D"/>
    <w:rsid w:val="002C36AE"/>
    <w:rsid w:val="002C5020"/>
    <w:rsid w:val="002C7EFA"/>
    <w:rsid w:val="00324E2F"/>
    <w:rsid w:val="00327BED"/>
    <w:rsid w:val="00331DC5"/>
    <w:rsid w:val="00336ACA"/>
    <w:rsid w:val="0037066E"/>
    <w:rsid w:val="00384C3C"/>
    <w:rsid w:val="003879CE"/>
    <w:rsid w:val="003A00D8"/>
    <w:rsid w:val="003B42BF"/>
    <w:rsid w:val="00414A58"/>
    <w:rsid w:val="004200C2"/>
    <w:rsid w:val="00420AA7"/>
    <w:rsid w:val="00421C71"/>
    <w:rsid w:val="00470930"/>
    <w:rsid w:val="004A6242"/>
    <w:rsid w:val="004C1F3A"/>
    <w:rsid w:val="004C32D1"/>
    <w:rsid w:val="004C38B4"/>
    <w:rsid w:val="004D1145"/>
    <w:rsid w:val="004D2A6E"/>
    <w:rsid w:val="004E6833"/>
    <w:rsid w:val="004F7A0F"/>
    <w:rsid w:val="00501A64"/>
    <w:rsid w:val="00506023"/>
    <w:rsid w:val="00536985"/>
    <w:rsid w:val="005651CB"/>
    <w:rsid w:val="00572DD6"/>
    <w:rsid w:val="005A02C5"/>
    <w:rsid w:val="005A6053"/>
    <w:rsid w:val="005B468B"/>
    <w:rsid w:val="005D6C0A"/>
    <w:rsid w:val="005E133F"/>
    <w:rsid w:val="005F01BA"/>
    <w:rsid w:val="0061001E"/>
    <w:rsid w:val="0061417A"/>
    <w:rsid w:val="00655510"/>
    <w:rsid w:val="00667D26"/>
    <w:rsid w:val="00673D65"/>
    <w:rsid w:val="0069678B"/>
    <w:rsid w:val="006A58E0"/>
    <w:rsid w:val="006D14F7"/>
    <w:rsid w:val="006E75D6"/>
    <w:rsid w:val="006E7DA1"/>
    <w:rsid w:val="006F7CBD"/>
    <w:rsid w:val="0073019B"/>
    <w:rsid w:val="00730A8E"/>
    <w:rsid w:val="00740AB7"/>
    <w:rsid w:val="00740E9D"/>
    <w:rsid w:val="00741402"/>
    <w:rsid w:val="00745A1C"/>
    <w:rsid w:val="00765F46"/>
    <w:rsid w:val="007A6BE6"/>
    <w:rsid w:val="00827385"/>
    <w:rsid w:val="00842151"/>
    <w:rsid w:val="00856815"/>
    <w:rsid w:val="008701B6"/>
    <w:rsid w:val="008952B1"/>
    <w:rsid w:val="008C381D"/>
    <w:rsid w:val="008D4F7C"/>
    <w:rsid w:val="008E609D"/>
    <w:rsid w:val="0090729E"/>
    <w:rsid w:val="009309C0"/>
    <w:rsid w:val="0093667D"/>
    <w:rsid w:val="00950E41"/>
    <w:rsid w:val="00983CB7"/>
    <w:rsid w:val="009957B8"/>
    <w:rsid w:val="0099666C"/>
    <w:rsid w:val="009E4352"/>
    <w:rsid w:val="009F1C42"/>
    <w:rsid w:val="00A066D6"/>
    <w:rsid w:val="00A14650"/>
    <w:rsid w:val="00A352D4"/>
    <w:rsid w:val="00A922C5"/>
    <w:rsid w:val="00A95CA5"/>
    <w:rsid w:val="00AB5FF4"/>
    <w:rsid w:val="00AC3880"/>
    <w:rsid w:val="00AD0284"/>
    <w:rsid w:val="00AE470F"/>
    <w:rsid w:val="00AF58DD"/>
    <w:rsid w:val="00B134A6"/>
    <w:rsid w:val="00B25A79"/>
    <w:rsid w:val="00B7289F"/>
    <w:rsid w:val="00B94CCE"/>
    <w:rsid w:val="00BA0D07"/>
    <w:rsid w:val="00BA212E"/>
    <w:rsid w:val="00BB3674"/>
    <w:rsid w:val="00BC2692"/>
    <w:rsid w:val="00BC7BED"/>
    <w:rsid w:val="00BD6FFD"/>
    <w:rsid w:val="00C02FB6"/>
    <w:rsid w:val="00C107C7"/>
    <w:rsid w:val="00C12443"/>
    <w:rsid w:val="00C35442"/>
    <w:rsid w:val="00C36A73"/>
    <w:rsid w:val="00C60A62"/>
    <w:rsid w:val="00C93C4A"/>
    <w:rsid w:val="00CB54FB"/>
    <w:rsid w:val="00CC769D"/>
    <w:rsid w:val="00CD06CD"/>
    <w:rsid w:val="00CF7B3C"/>
    <w:rsid w:val="00D1562E"/>
    <w:rsid w:val="00D254D3"/>
    <w:rsid w:val="00D26E16"/>
    <w:rsid w:val="00D415D5"/>
    <w:rsid w:val="00DB55F0"/>
    <w:rsid w:val="00DE6E23"/>
    <w:rsid w:val="00DF608E"/>
    <w:rsid w:val="00E065AA"/>
    <w:rsid w:val="00E1059A"/>
    <w:rsid w:val="00E23D6E"/>
    <w:rsid w:val="00E27A95"/>
    <w:rsid w:val="00E66C12"/>
    <w:rsid w:val="00E70852"/>
    <w:rsid w:val="00E709E2"/>
    <w:rsid w:val="00E80BDA"/>
    <w:rsid w:val="00EA1C10"/>
    <w:rsid w:val="00EB4610"/>
    <w:rsid w:val="00EB474C"/>
    <w:rsid w:val="00ED0A8C"/>
    <w:rsid w:val="00F2011E"/>
    <w:rsid w:val="00F36680"/>
    <w:rsid w:val="00F54C3F"/>
    <w:rsid w:val="00F61D28"/>
    <w:rsid w:val="00F64D50"/>
    <w:rsid w:val="00F6551E"/>
    <w:rsid w:val="00F671F2"/>
    <w:rsid w:val="00F71AE8"/>
    <w:rsid w:val="00F84DF0"/>
    <w:rsid w:val="00FA6718"/>
    <w:rsid w:val="00FD0241"/>
    <w:rsid w:val="00FD1A79"/>
    <w:rsid w:val="00FD5F18"/>
    <w:rsid w:val="00FE1E65"/>
    <w:rsid w:val="00FE5705"/>
    <w:rsid w:val="00FF5AA5"/>
    <w:rsid w:val="02717C9D"/>
    <w:rsid w:val="04860380"/>
    <w:rsid w:val="0BF65B71"/>
    <w:rsid w:val="0C955D75"/>
    <w:rsid w:val="10FD0312"/>
    <w:rsid w:val="120E6874"/>
    <w:rsid w:val="16070E41"/>
    <w:rsid w:val="192D0BBE"/>
    <w:rsid w:val="1E224ECF"/>
    <w:rsid w:val="23F8605E"/>
    <w:rsid w:val="24FE1558"/>
    <w:rsid w:val="26856A59"/>
    <w:rsid w:val="270731DD"/>
    <w:rsid w:val="2C205FB5"/>
    <w:rsid w:val="31DB5204"/>
    <w:rsid w:val="31F2509E"/>
    <w:rsid w:val="35284C04"/>
    <w:rsid w:val="357129F4"/>
    <w:rsid w:val="371050B8"/>
    <w:rsid w:val="3AE11637"/>
    <w:rsid w:val="406D67E3"/>
    <w:rsid w:val="45947F31"/>
    <w:rsid w:val="4633219A"/>
    <w:rsid w:val="482653F1"/>
    <w:rsid w:val="49770F0E"/>
    <w:rsid w:val="4C5C4D3B"/>
    <w:rsid w:val="4DF1278B"/>
    <w:rsid w:val="4E406076"/>
    <w:rsid w:val="567C0004"/>
    <w:rsid w:val="5FB441EA"/>
    <w:rsid w:val="5FBD0ACB"/>
    <w:rsid w:val="5FD812D6"/>
    <w:rsid w:val="60087B46"/>
    <w:rsid w:val="611A3823"/>
    <w:rsid w:val="629B4EDD"/>
    <w:rsid w:val="6414372C"/>
    <w:rsid w:val="667B2BD9"/>
    <w:rsid w:val="68941F02"/>
    <w:rsid w:val="6C0B491D"/>
    <w:rsid w:val="6C4165D3"/>
    <w:rsid w:val="6E551B35"/>
    <w:rsid w:val="7653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8"/>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3A147-1451-4890-A3E1-0B1D996672B0}">
  <ds:schemaRefs/>
</ds:datastoreItem>
</file>

<file path=docProps/app.xml><?xml version="1.0" encoding="utf-8"?>
<Properties xmlns="http://schemas.openxmlformats.org/officeDocument/2006/extended-properties" xmlns:vt="http://schemas.openxmlformats.org/officeDocument/2006/docPropsVTypes">
  <Template>Normal</Template>
  <Pages>10</Pages>
  <Words>6636</Words>
  <Characters>7070</Characters>
  <Lines>60</Lines>
  <Paragraphs>16</Paragraphs>
  <TotalTime>14</TotalTime>
  <ScaleCrop>false</ScaleCrop>
  <LinksUpToDate>false</LinksUpToDate>
  <CharactersWithSpaces>7103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2024-11-19T09:45:22Z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