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3CBD4">
      <w:pPr>
        <w:spacing w:line="360" w:lineRule="auto"/>
        <w:jc w:val="center"/>
        <w:rPr>
          <w:rFonts w:ascii="Arial Narrow" w:hAnsi="Arial Narrow" w:eastAsiaTheme="minorEastAsia"/>
          <w:b/>
          <w:bCs/>
          <w:sz w:val="36"/>
          <w:szCs w:val="36"/>
        </w:rPr>
      </w:pPr>
    </w:p>
    <w:p w14:paraId="666D09DB">
      <w:pPr>
        <w:spacing w:line="360" w:lineRule="auto"/>
        <w:jc w:val="center"/>
        <w:rPr>
          <w:rFonts w:ascii="Arial Narrow" w:hAnsi="Arial Narrow" w:eastAsiaTheme="minorEastAsia"/>
          <w:b/>
          <w:bCs/>
          <w:sz w:val="36"/>
          <w:szCs w:val="36"/>
        </w:rPr>
      </w:pPr>
    </w:p>
    <w:p w14:paraId="12A11292">
      <w:pPr>
        <w:spacing w:line="360" w:lineRule="auto"/>
        <w:jc w:val="center"/>
        <w:rPr>
          <w:rFonts w:ascii="Arial Narrow" w:hAnsi="Arial Narrow" w:eastAsiaTheme="minorEastAsia"/>
          <w:b/>
          <w:bCs/>
          <w:sz w:val="36"/>
          <w:szCs w:val="36"/>
        </w:rPr>
      </w:pPr>
    </w:p>
    <w:p w14:paraId="04421A78">
      <w:pPr>
        <w:spacing w:line="360" w:lineRule="auto"/>
        <w:jc w:val="center"/>
        <w:rPr>
          <w:rFonts w:ascii="Arial Narrow" w:hAnsi="Arial Narrow" w:eastAsiaTheme="minorEastAsia"/>
          <w:b/>
          <w:bCs/>
          <w:sz w:val="36"/>
          <w:szCs w:val="36"/>
        </w:rPr>
      </w:pPr>
    </w:p>
    <w:p w14:paraId="679E98F0">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重庆市铜梁区城市管理局</w:t>
      </w:r>
      <w:bookmarkStart w:id="0" w:name="_Hlk169979876"/>
      <w:r>
        <w:rPr>
          <w:rFonts w:ascii="Arial Narrow" w:hAnsi="Arial Narrow" w:eastAsiaTheme="minorEastAsia"/>
          <w:b/>
          <w:sz w:val="44"/>
          <w:szCs w:val="44"/>
        </w:rPr>
        <w:t>农村环境卫生治理专项补助资金</w:t>
      </w:r>
      <w:bookmarkEnd w:id="0"/>
      <w:r>
        <w:rPr>
          <w:rFonts w:ascii="Arial Narrow" w:hAnsi="Arial Narrow" w:eastAsiaTheme="minorEastAsia"/>
          <w:b/>
          <w:sz w:val="44"/>
          <w:szCs w:val="44"/>
        </w:rPr>
        <w:t>项目财政专项衔接资金</w:t>
      </w:r>
    </w:p>
    <w:p w14:paraId="35800FB2">
      <w:pPr>
        <w:adjustRightInd w:val="0"/>
        <w:snapToGrid w:val="0"/>
        <w:spacing w:line="360" w:lineRule="auto"/>
        <w:jc w:val="center"/>
        <w:rPr>
          <w:rFonts w:ascii="Arial Narrow" w:hAnsi="Arial Narrow" w:eastAsiaTheme="minorEastAsia"/>
          <w:b/>
          <w:sz w:val="44"/>
          <w:szCs w:val="44"/>
        </w:rPr>
      </w:pPr>
    </w:p>
    <w:p w14:paraId="5F2D6F48">
      <w:pPr>
        <w:adjustRightInd w:val="0"/>
        <w:snapToGrid w:val="0"/>
        <w:spacing w:line="360" w:lineRule="auto"/>
        <w:jc w:val="center"/>
        <w:rPr>
          <w:rFonts w:ascii="Arial Narrow" w:hAnsi="Arial Narrow" w:eastAsiaTheme="minorEastAsia"/>
          <w:b/>
          <w:sz w:val="44"/>
          <w:szCs w:val="44"/>
        </w:rPr>
      </w:pPr>
    </w:p>
    <w:p w14:paraId="2E2E0A6A">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1" w:name="_Toc488637980"/>
      <w:bookmarkStart w:id="2" w:name="_Toc488804777"/>
      <w:r>
        <w:rPr>
          <w:rFonts w:ascii="Arial Narrow" w:hAnsi="Arial Narrow" w:eastAsiaTheme="minorEastAsia"/>
          <w:b/>
          <w:w w:val="102"/>
          <w:sz w:val="44"/>
          <w:szCs w:val="44"/>
        </w:rPr>
        <w:t>报告</w:t>
      </w:r>
    </w:p>
    <w:p w14:paraId="486BF1AA">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铭鸿咨字【2024】第0031号</w:t>
      </w:r>
    </w:p>
    <w:p w14:paraId="7C070B57">
      <w:pPr>
        <w:adjustRightInd w:val="0"/>
        <w:snapToGrid w:val="0"/>
        <w:spacing w:line="360" w:lineRule="auto"/>
        <w:jc w:val="center"/>
        <w:rPr>
          <w:rFonts w:ascii="Arial Narrow" w:hAnsi="Arial Narrow" w:eastAsiaTheme="minorEastAsia"/>
          <w:b/>
          <w:spacing w:val="100"/>
          <w:sz w:val="32"/>
          <w:szCs w:val="32"/>
        </w:rPr>
      </w:pPr>
    </w:p>
    <w:p w14:paraId="5B2FA9B9">
      <w:pPr>
        <w:adjustRightInd w:val="0"/>
        <w:snapToGrid w:val="0"/>
        <w:spacing w:line="360" w:lineRule="auto"/>
        <w:jc w:val="center"/>
        <w:rPr>
          <w:rFonts w:ascii="Arial Narrow" w:hAnsi="Arial Narrow" w:eastAsiaTheme="minorEastAsia"/>
          <w:b/>
          <w:spacing w:val="100"/>
          <w:sz w:val="32"/>
          <w:szCs w:val="32"/>
        </w:rPr>
      </w:pPr>
    </w:p>
    <w:p w14:paraId="55EFDA93">
      <w:pPr>
        <w:adjustRightInd w:val="0"/>
        <w:snapToGrid w:val="0"/>
        <w:spacing w:line="360" w:lineRule="auto"/>
        <w:jc w:val="center"/>
        <w:rPr>
          <w:rFonts w:ascii="Arial Narrow" w:hAnsi="Arial Narrow" w:eastAsiaTheme="minorEastAsia"/>
          <w:b/>
          <w:spacing w:val="100"/>
          <w:sz w:val="32"/>
          <w:szCs w:val="32"/>
        </w:rPr>
      </w:pPr>
    </w:p>
    <w:p w14:paraId="006AF547">
      <w:pPr>
        <w:adjustRightInd w:val="0"/>
        <w:snapToGrid w:val="0"/>
        <w:spacing w:line="360" w:lineRule="auto"/>
        <w:jc w:val="center"/>
        <w:rPr>
          <w:rFonts w:ascii="Arial Narrow" w:hAnsi="Arial Narrow" w:eastAsiaTheme="minorEastAsia"/>
          <w:b/>
          <w:spacing w:val="100"/>
          <w:sz w:val="32"/>
          <w:szCs w:val="32"/>
        </w:rPr>
      </w:pPr>
    </w:p>
    <w:p w14:paraId="522A462A">
      <w:pPr>
        <w:adjustRightInd w:val="0"/>
        <w:snapToGrid w:val="0"/>
        <w:spacing w:line="360" w:lineRule="auto"/>
        <w:jc w:val="center"/>
        <w:rPr>
          <w:rFonts w:ascii="Arial Narrow" w:hAnsi="Arial Narrow" w:eastAsiaTheme="minorEastAsia"/>
          <w:b/>
          <w:spacing w:val="100"/>
          <w:sz w:val="32"/>
          <w:szCs w:val="32"/>
        </w:rPr>
      </w:pPr>
    </w:p>
    <w:p w14:paraId="6B7D9C9E">
      <w:pPr>
        <w:adjustRightInd w:val="0"/>
        <w:snapToGrid w:val="0"/>
        <w:spacing w:line="360" w:lineRule="auto"/>
        <w:jc w:val="center"/>
        <w:rPr>
          <w:rFonts w:ascii="Arial Narrow" w:hAnsi="Arial Narrow" w:eastAsiaTheme="minorEastAsia"/>
          <w:b/>
          <w:spacing w:val="100"/>
          <w:sz w:val="32"/>
          <w:szCs w:val="32"/>
        </w:rPr>
      </w:pPr>
    </w:p>
    <w:p w14:paraId="7F8CD846">
      <w:pPr>
        <w:adjustRightInd w:val="0"/>
        <w:snapToGrid w:val="0"/>
        <w:spacing w:line="360" w:lineRule="auto"/>
        <w:jc w:val="center"/>
        <w:rPr>
          <w:rFonts w:ascii="Arial Narrow" w:hAnsi="Arial Narrow" w:eastAsiaTheme="minorEastAsia"/>
          <w:b/>
          <w:spacing w:val="100"/>
          <w:sz w:val="32"/>
          <w:szCs w:val="32"/>
        </w:rPr>
      </w:pPr>
    </w:p>
    <w:p w14:paraId="5B3CEF4E">
      <w:pPr>
        <w:adjustRightInd w:val="0"/>
        <w:snapToGrid w:val="0"/>
        <w:spacing w:line="360" w:lineRule="auto"/>
        <w:jc w:val="center"/>
        <w:rPr>
          <w:rFonts w:ascii="Arial Narrow" w:hAnsi="Arial Narrow" w:eastAsiaTheme="minorEastAsia"/>
          <w:b/>
          <w:spacing w:val="100"/>
          <w:sz w:val="32"/>
          <w:szCs w:val="32"/>
        </w:rPr>
      </w:pPr>
    </w:p>
    <w:p w14:paraId="185F49E7">
      <w:pPr>
        <w:adjustRightInd w:val="0"/>
        <w:snapToGrid w:val="0"/>
        <w:spacing w:line="360" w:lineRule="auto"/>
        <w:jc w:val="center"/>
        <w:rPr>
          <w:rFonts w:ascii="Arial Narrow" w:hAnsi="Arial Narrow" w:eastAsiaTheme="minorEastAsia"/>
          <w:b/>
          <w:spacing w:val="100"/>
          <w:sz w:val="32"/>
          <w:szCs w:val="32"/>
        </w:rPr>
      </w:pPr>
    </w:p>
    <w:p w14:paraId="3D8431F3">
      <w:pPr>
        <w:adjustRightInd w:val="0"/>
        <w:snapToGrid w:val="0"/>
        <w:spacing w:line="360" w:lineRule="auto"/>
        <w:jc w:val="both"/>
        <w:rPr>
          <w:rFonts w:ascii="Arial Narrow" w:hAnsi="Arial Narrow" w:eastAsiaTheme="minorEastAsia"/>
          <w:b/>
          <w:spacing w:val="100"/>
          <w:sz w:val="32"/>
          <w:szCs w:val="32"/>
        </w:rPr>
      </w:pPr>
    </w:p>
    <w:p w14:paraId="689D2275">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lang w:val="en-US" w:eastAsia="zh-CN"/>
        </w:rPr>
        <w:t>责任</w:t>
      </w:r>
      <w:r>
        <w:rPr>
          <w:rFonts w:ascii="Arial Narrow" w:hAnsi="Arial Narrow" w:eastAsiaTheme="minorEastAsia"/>
          <w:sz w:val="32"/>
          <w:szCs w:val="32"/>
        </w:rPr>
        <w:t>公司</w:t>
      </w:r>
    </w:p>
    <w:p w14:paraId="6756BA77">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四</w:t>
      </w:r>
      <w:r>
        <w:rPr>
          <w:rFonts w:ascii="Arial Narrow" w:hAnsi="Arial Narrow" w:eastAsiaTheme="minorEastAsia"/>
          <w:sz w:val="32"/>
          <w:szCs w:val="32"/>
        </w:rPr>
        <w:t>年六月</w:t>
      </w:r>
    </w:p>
    <w:p w14:paraId="2CCFD6E2">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1"/>
      <w:bookmarkEnd w:id="2"/>
      <w:r>
        <w:rPr>
          <w:rFonts w:ascii="Arial Narrow" w:hAnsi="Arial Narrow" w:eastAsiaTheme="minorEastAsia"/>
          <w:sz w:val="44"/>
          <w:szCs w:val="44"/>
        </w:rPr>
        <w:t>目   录</w:t>
      </w:r>
    </w:p>
    <w:p w14:paraId="0A5118F5">
      <w:pPr>
        <w:spacing w:line="360" w:lineRule="auto"/>
        <w:jc w:val="center"/>
        <w:rPr>
          <w:rFonts w:ascii="Arial Narrow" w:hAnsi="Arial Narrow" w:eastAsiaTheme="minorEastAsia"/>
          <w:sz w:val="24"/>
        </w:rPr>
      </w:pPr>
    </w:p>
    <w:p w14:paraId="0E5F64AF">
      <w:pPr>
        <w:pStyle w:val="7"/>
        <w:spacing w:line="500" w:lineRule="exact"/>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"_Toc171610161" </w:instrText>
      </w:r>
      <w:r>
        <w:fldChar w:fldCharType="separate"/>
      </w:r>
      <w:r>
        <w:rPr>
          <w:rStyle w:val="11"/>
        </w:rPr>
        <w:t>一、基本情况</w:t>
      </w:r>
      <w:r>
        <w:tab/>
      </w:r>
      <w:r>
        <w:fldChar w:fldCharType="begin"/>
      </w:r>
      <w:r>
        <w:instrText xml:space="preserve"> PAGEREF _Toc171610161 \h </w:instrText>
      </w:r>
      <w:r>
        <w:fldChar w:fldCharType="separate"/>
      </w:r>
      <w:r>
        <w:t>1</w:t>
      </w:r>
      <w:r>
        <w:fldChar w:fldCharType="end"/>
      </w:r>
      <w:r>
        <w:fldChar w:fldCharType="end"/>
      </w:r>
    </w:p>
    <w:p w14:paraId="20EDE345">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"_Toc171610162" </w:instrText>
      </w:r>
      <w:r>
        <w:fldChar w:fldCharType="separate"/>
      </w:r>
      <w:r>
        <w:rPr>
          <w:rStyle w:val="11"/>
          <w:rFonts w:cs="宋体"/>
          <w:kern w:val="0"/>
        </w:rPr>
        <w:t>（一）项目情况</w:t>
      </w:r>
      <w:r>
        <w:tab/>
      </w:r>
      <w:r>
        <w:fldChar w:fldCharType="begin"/>
      </w:r>
      <w:r>
        <w:instrText xml:space="preserve"> PAGEREF _Toc171610162 \h </w:instrText>
      </w:r>
      <w:r>
        <w:fldChar w:fldCharType="separate"/>
      </w:r>
      <w:r>
        <w:t>1</w:t>
      </w:r>
      <w:r>
        <w:fldChar w:fldCharType="end"/>
      </w:r>
      <w:r>
        <w:fldChar w:fldCharType="end"/>
      </w:r>
    </w:p>
    <w:p w14:paraId="66ECAB0D">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"_Toc171610163" </w:instrText>
      </w:r>
      <w:r>
        <w:fldChar w:fldCharType="separate"/>
      </w:r>
      <w:r>
        <w:rPr>
          <w:rStyle w:val="11"/>
        </w:rPr>
        <w:t>二、绩效评价工作情况</w:t>
      </w:r>
      <w:r>
        <w:tab/>
      </w:r>
      <w:r>
        <w:fldChar w:fldCharType="begin"/>
      </w:r>
      <w:r>
        <w:instrText xml:space="preserve"> PAGEREF _Toc171610163 \h </w:instrText>
      </w:r>
      <w:r>
        <w:fldChar w:fldCharType="separate"/>
      </w:r>
      <w:r>
        <w:t>1</w:t>
      </w:r>
      <w:r>
        <w:fldChar w:fldCharType="end"/>
      </w:r>
      <w:r>
        <w:fldChar w:fldCharType="end"/>
      </w:r>
    </w:p>
    <w:p w14:paraId="214CEFF3">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"_Toc171610164" </w:instrText>
      </w:r>
      <w:r>
        <w:fldChar w:fldCharType="separate"/>
      </w:r>
      <w:r>
        <w:rPr>
          <w:rStyle w:val="11"/>
        </w:rPr>
        <w:t>（一）绩效评价目的</w:t>
      </w:r>
      <w:r>
        <w:tab/>
      </w:r>
      <w:r>
        <w:fldChar w:fldCharType="begin"/>
      </w:r>
      <w:r>
        <w:instrText xml:space="preserve"> PAGEREF _Toc171610164 \h </w:instrText>
      </w:r>
      <w:r>
        <w:fldChar w:fldCharType="separate"/>
      </w:r>
      <w:r>
        <w:t>1</w:t>
      </w:r>
      <w:r>
        <w:fldChar w:fldCharType="end"/>
      </w:r>
      <w:r>
        <w:fldChar w:fldCharType="end"/>
      </w:r>
    </w:p>
    <w:p w14:paraId="5BB73A9A">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"_Toc171610165" </w:instrText>
      </w:r>
      <w:r>
        <w:fldChar w:fldCharType="separate"/>
      </w:r>
      <w:r>
        <w:rPr>
          <w:rStyle w:val="11"/>
        </w:rPr>
        <w:t>（二）绩效评价的基本内容</w:t>
      </w:r>
      <w:r>
        <w:tab/>
      </w:r>
      <w:r>
        <w:fldChar w:fldCharType="begin"/>
      </w:r>
      <w:r>
        <w:instrText xml:space="preserve"> PAGEREF _Toc171610165 \h </w:instrText>
      </w:r>
      <w:r>
        <w:fldChar w:fldCharType="separate"/>
      </w:r>
      <w:r>
        <w:t>2</w:t>
      </w:r>
      <w:r>
        <w:fldChar w:fldCharType="end"/>
      </w:r>
      <w:r>
        <w:fldChar w:fldCharType="end"/>
      </w:r>
    </w:p>
    <w:p w14:paraId="20F3400E">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"_Toc171610166" </w:instrText>
      </w:r>
      <w:r>
        <w:fldChar w:fldCharType="separate"/>
      </w:r>
      <w:r>
        <w:rPr>
          <w:rStyle w:val="11"/>
        </w:rPr>
        <w:t>（三）绩效评价依据</w:t>
      </w:r>
      <w:r>
        <w:tab/>
      </w:r>
      <w:r>
        <w:fldChar w:fldCharType="begin"/>
      </w:r>
      <w:r>
        <w:instrText xml:space="preserve"> PAGEREF _Toc171610166 \h </w:instrText>
      </w:r>
      <w:r>
        <w:fldChar w:fldCharType="separate"/>
      </w:r>
      <w:r>
        <w:t>2</w:t>
      </w:r>
      <w:r>
        <w:fldChar w:fldCharType="end"/>
      </w:r>
      <w:r>
        <w:fldChar w:fldCharType="end"/>
      </w:r>
    </w:p>
    <w:p w14:paraId="1E0C499E">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"_Toc171610167" </w:instrText>
      </w:r>
      <w:r>
        <w:fldChar w:fldCharType="separate"/>
      </w:r>
      <w:r>
        <w:rPr>
          <w:rStyle w:val="11"/>
        </w:rPr>
        <w:t>（四）绩效评价原则和指标体系</w:t>
      </w:r>
      <w:r>
        <w:tab/>
      </w:r>
      <w:r>
        <w:fldChar w:fldCharType="begin"/>
      </w:r>
      <w:r>
        <w:instrText xml:space="preserve"> PAGEREF _Toc171610167 \h </w:instrText>
      </w:r>
      <w:r>
        <w:fldChar w:fldCharType="separate"/>
      </w:r>
      <w:r>
        <w:t>2</w:t>
      </w:r>
      <w:r>
        <w:fldChar w:fldCharType="end"/>
      </w:r>
      <w:r>
        <w:fldChar w:fldCharType="end"/>
      </w:r>
    </w:p>
    <w:p w14:paraId="2CFD503F">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"_Toc171610168" </w:instrText>
      </w:r>
      <w:r>
        <w:fldChar w:fldCharType="separate"/>
      </w:r>
      <w:r>
        <w:rPr>
          <w:rStyle w:val="11"/>
        </w:rPr>
        <w:t>（五）绩效评价标准和评价方法</w:t>
      </w:r>
      <w:r>
        <w:tab/>
      </w:r>
      <w:r>
        <w:fldChar w:fldCharType="begin"/>
      </w:r>
      <w:r>
        <w:instrText xml:space="preserve"> PAGEREF _Toc171610168 \h </w:instrText>
      </w:r>
      <w:r>
        <w:fldChar w:fldCharType="separate"/>
      </w:r>
      <w:r>
        <w:t>5</w:t>
      </w:r>
      <w:r>
        <w:fldChar w:fldCharType="end"/>
      </w:r>
      <w:r>
        <w:fldChar w:fldCharType="end"/>
      </w:r>
    </w:p>
    <w:p w14:paraId="39DB6DEA">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"_Toc171610169" </w:instrText>
      </w:r>
      <w:r>
        <w:fldChar w:fldCharType="separate"/>
      </w:r>
      <w:r>
        <w:rPr>
          <w:rStyle w:val="11"/>
        </w:rPr>
        <w:t>（六）绩效评价工作过程</w:t>
      </w:r>
      <w:r>
        <w:tab/>
      </w:r>
      <w:r>
        <w:fldChar w:fldCharType="begin"/>
      </w:r>
      <w:r>
        <w:instrText xml:space="preserve"> PAGEREF _Toc171610169 \h </w:instrText>
      </w:r>
      <w:r>
        <w:fldChar w:fldCharType="separate"/>
      </w:r>
      <w:r>
        <w:t>5</w:t>
      </w:r>
      <w:r>
        <w:fldChar w:fldCharType="end"/>
      </w:r>
      <w:r>
        <w:fldChar w:fldCharType="end"/>
      </w:r>
    </w:p>
    <w:p w14:paraId="46B0E684">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"_Toc171610170" </w:instrText>
      </w:r>
      <w:r>
        <w:fldChar w:fldCharType="separate"/>
      </w:r>
      <w:r>
        <w:rPr>
          <w:rStyle w:val="11"/>
        </w:rPr>
        <w:t>三、项目评价结论</w:t>
      </w:r>
      <w:r>
        <w:tab/>
      </w:r>
      <w:r>
        <w:fldChar w:fldCharType="begin"/>
      </w:r>
      <w:r>
        <w:instrText xml:space="preserve"> PAGEREF _Toc171610170 \h </w:instrText>
      </w:r>
      <w:r>
        <w:fldChar w:fldCharType="separate"/>
      </w:r>
      <w:r>
        <w:t>6</w:t>
      </w:r>
      <w:r>
        <w:fldChar w:fldCharType="end"/>
      </w:r>
      <w:r>
        <w:fldChar w:fldCharType="end"/>
      </w:r>
    </w:p>
    <w:p w14:paraId="17D9F37D">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"_Toc171610171" </w:instrText>
      </w:r>
      <w:r>
        <w:fldChar w:fldCharType="separate"/>
      </w:r>
      <w:r>
        <w:rPr>
          <w:rStyle w:val="11"/>
        </w:rPr>
        <w:t>四、综合评价情况</w:t>
      </w:r>
      <w:r>
        <w:tab/>
      </w:r>
      <w:r>
        <w:fldChar w:fldCharType="begin"/>
      </w:r>
      <w:r>
        <w:instrText xml:space="preserve"> PAGEREF _Toc171610171 \h </w:instrText>
      </w:r>
      <w:r>
        <w:fldChar w:fldCharType="separate"/>
      </w:r>
      <w:r>
        <w:t>6</w:t>
      </w:r>
      <w:r>
        <w:fldChar w:fldCharType="end"/>
      </w:r>
      <w:r>
        <w:fldChar w:fldCharType="end"/>
      </w:r>
    </w:p>
    <w:p w14:paraId="63CCFDAE">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"_Toc171610172" </w:instrText>
      </w:r>
      <w:r>
        <w:fldChar w:fldCharType="separate"/>
      </w:r>
      <w:r>
        <w:rPr>
          <w:rStyle w:val="11"/>
        </w:rPr>
        <w:t>（一）资金管理</w:t>
      </w:r>
      <w:r>
        <w:tab/>
      </w:r>
      <w:r>
        <w:fldChar w:fldCharType="begin"/>
      </w:r>
      <w:r>
        <w:instrText xml:space="preserve"> PAGEREF _Toc171610172 \h </w:instrText>
      </w:r>
      <w:r>
        <w:fldChar w:fldCharType="separate"/>
      </w:r>
      <w:r>
        <w:t>6</w:t>
      </w:r>
      <w:r>
        <w:fldChar w:fldCharType="end"/>
      </w:r>
      <w:r>
        <w:fldChar w:fldCharType="end"/>
      </w:r>
    </w:p>
    <w:p w14:paraId="23BDB56B">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"_Toc171610173" </w:instrText>
      </w:r>
      <w:r>
        <w:fldChar w:fldCharType="separate"/>
      </w:r>
      <w:r>
        <w:rPr>
          <w:rStyle w:val="11"/>
        </w:rPr>
        <w:t>（二）项目管理</w:t>
      </w:r>
      <w:r>
        <w:tab/>
      </w:r>
      <w:r>
        <w:fldChar w:fldCharType="begin"/>
      </w:r>
      <w:r>
        <w:instrText xml:space="preserve"> PAGEREF _Toc171610173 \h </w:instrText>
      </w:r>
      <w:r>
        <w:fldChar w:fldCharType="separate"/>
      </w:r>
      <w:r>
        <w:t>6</w:t>
      </w:r>
      <w:r>
        <w:fldChar w:fldCharType="end"/>
      </w:r>
      <w:r>
        <w:fldChar w:fldCharType="end"/>
      </w:r>
    </w:p>
    <w:p w14:paraId="1DB1AC4C">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"_Toc171610174" </w:instrText>
      </w:r>
      <w:r>
        <w:fldChar w:fldCharType="separate"/>
      </w:r>
      <w:r>
        <w:rPr>
          <w:rStyle w:val="11"/>
        </w:rPr>
        <w:t>（三）使用成效及通报情况</w:t>
      </w:r>
      <w:r>
        <w:tab/>
      </w:r>
      <w:r>
        <w:fldChar w:fldCharType="begin"/>
      </w:r>
      <w:r>
        <w:instrText xml:space="preserve"> PAGEREF _Toc171610174 \h </w:instrText>
      </w:r>
      <w:r>
        <w:fldChar w:fldCharType="separate"/>
      </w:r>
      <w:r>
        <w:t>7</w:t>
      </w:r>
      <w:r>
        <w:fldChar w:fldCharType="end"/>
      </w:r>
      <w:r>
        <w:fldChar w:fldCharType="end"/>
      </w:r>
    </w:p>
    <w:p w14:paraId="6F91A4BA">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"_Toc171610175" </w:instrText>
      </w:r>
      <w:r>
        <w:fldChar w:fldCharType="separate"/>
      </w:r>
      <w:r>
        <w:rPr>
          <w:rStyle w:val="11"/>
        </w:rPr>
        <w:t>五、存在的问题和建议</w:t>
      </w:r>
      <w:r>
        <w:tab/>
      </w:r>
      <w:r>
        <w:fldChar w:fldCharType="begin"/>
      </w:r>
      <w:r>
        <w:instrText xml:space="preserve"> PAGEREF _Toc171610175 \h </w:instrText>
      </w:r>
      <w:r>
        <w:fldChar w:fldCharType="separate"/>
      </w:r>
      <w:r>
        <w:t>7</w:t>
      </w:r>
      <w:r>
        <w:fldChar w:fldCharType="end"/>
      </w:r>
      <w:r>
        <w:fldChar w:fldCharType="end"/>
      </w:r>
    </w:p>
    <w:p w14:paraId="4E19728E">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"_Toc171610176" </w:instrText>
      </w:r>
      <w:r>
        <w:fldChar w:fldCharType="separate"/>
      </w:r>
      <w:r>
        <w:rPr>
          <w:rStyle w:val="11"/>
        </w:rPr>
        <w:t>（一）存在问题</w:t>
      </w:r>
      <w:r>
        <w:tab/>
      </w:r>
      <w:r>
        <w:fldChar w:fldCharType="begin"/>
      </w:r>
      <w:r>
        <w:instrText xml:space="preserve"> PAGEREF _Toc171610176 \h </w:instrText>
      </w:r>
      <w:r>
        <w:fldChar w:fldCharType="separate"/>
      </w:r>
      <w:r>
        <w:t>7</w:t>
      </w:r>
      <w:r>
        <w:fldChar w:fldCharType="end"/>
      </w:r>
      <w:r>
        <w:fldChar w:fldCharType="end"/>
      </w:r>
    </w:p>
    <w:p w14:paraId="57DDC536">
      <w:pPr>
        <w:pStyle w:val="7"/>
        <w:spacing w:line="500" w:lineRule="exact"/>
        <w:rPr>
          <w:rFonts w:asciiTheme="minorHAnsi" w:hAnsiTheme="minorHAnsi" w:eastAsiaTheme="minorEastAsia" w:cstheme="minorBidi"/>
          <w:b w:val="0"/>
          <w:bCs w:val="0"/>
          <w:szCs w:val="22"/>
          <w14:ligatures w14:val="standardContextual"/>
        </w:rPr>
      </w:pPr>
      <w:r>
        <w:fldChar w:fldCharType="begin"/>
      </w:r>
      <w:r>
        <w:instrText xml:space="preserve"> HYPERLINK \l "_Toc171610177" </w:instrText>
      </w:r>
      <w:r>
        <w:fldChar w:fldCharType="separate"/>
      </w:r>
      <w:r>
        <w:rPr>
          <w:rStyle w:val="11"/>
        </w:rPr>
        <w:t>（二）建议</w:t>
      </w:r>
      <w:r>
        <w:tab/>
      </w:r>
      <w:r>
        <w:fldChar w:fldCharType="begin"/>
      </w:r>
      <w:r>
        <w:instrText xml:space="preserve"> PAGEREF _Toc171610177 \h </w:instrText>
      </w:r>
      <w:r>
        <w:fldChar w:fldCharType="separate"/>
      </w:r>
      <w:r>
        <w:t>7</w:t>
      </w:r>
      <w:r>
        <w:fldChar w:fldCharType="end"/>
      </w:r>
      <w:r>
        <w:fldChar w:fldCharType="end"/>
      </w:r>
    </w:p>
    <w:p w14:paraId="19BEB38B">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0C6FE4B2">
      <w:pPr>
        <w:spacing w:line="360" w:lineRule="auto"/>
        <w:jc w:val="right"/>
        <w:rPr>
          <w:rFonts w:ascii="Arial Narrow" w:hAnsi="Arial Narrow" w:eastAsiaTheme="minorEastAsia"/>
          <w:bCs/>
          <w:w w:val="80"/>
          <w:sz w:val="28"/>
          <w:szCs w:val="28"/>
        </w:rPr>
      </w:pPr>
    </w:p>
    <w:p w14:paraId="41596BFA">
      <w:pPr>
        <w:spacing w:line="360" w:lineRule="auto"/>
        <w:jc w:val="right"/>
        <w:rPr>
          <w:rFonts w:ascii="Arial Narrow" w:hAnsi="Arial Narrow" w:eastAsiaTheme="minorEastAsia"/>
          <w:bCs/>
          <w:w w:val="80"/>
          <w:sz w:val="28"/>
          <w:szCs w:val="28"/>
        </w:rPr>
      </w:pPr>
    </w:p>
    <w:p w14:paraId="1C10E854">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6777DE01">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431C168B">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鸿咨字〔2024〕第0031号</w:t>
      </w:r>
    </w:p>
    <w:p w14:paraId="1DBB7BDF">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6DC23936">
      <w:pPr>
        <w:adjustRightInd w:val="0"/>
        <w:snapToGrid w:val="0"/>
        <w:spacing w:line="360" w:lineRule="auto"/>
        <w:jc w:val="center"/>
        <w:rPr>
          <w:rStyle w:val="11"/>
          <w:rFonts w:ascii="Arial Narrow" w:hAnsi="Arial Narrow" w:eastAsiaTheme="minorEastAsia"/>
          <w:b/>
          <w:color w:val="auto"/>
          <w:sz w:val="36"/>
          <w:szCs w:val="36"/>
          <w:u w:val="none"/>
        </w:rPr>
      </w:pPr>
      <w:r>
        <w:rPr>
          <w:rStyle w:val="11"/>
          <w:rFonts w:ascii="Arial Narrow" w:hAnsi="Arial Narrow" w:eastAsiaTheme="minorEastAsia"/>
          <w:b/>
          <w:color w:val="auto"/>
          <w:sz w:val="36"/>
          <w:szCs w:val="36"/>
          <w:u w:val="none"/>
        </w:rPr>
        <w:t>铜梁区</w:t>
      </w:r>
      <w:r>
        <w:rPr>
          <w:rStyle w:val="11"/>
          <w:rFonts w:hint="eastAsia" w:ascii="仿宋" w:hAnsi="仿宋" w:eastAsia="仿宋" w:cs="仿宋"/>
          <w:b/>
          <w:color w:val="auto"/>
          <w:sz w:val="36"/>
          <w:szCs w:val="36"/>
          <w:u w:val="none"/>
          <w:lang w:eastAsia="zh-CN"/>
        </w:rPr>
        <w:t>“</w:t>
      </w:r>
      <w:r>
        <w:rPr>
          <w:rStyle w:val="11"/>
          <w:rFonts w:ascii="Arial Narrow" w:hAnsi="Arial Narrow" w:eastAsiaTheme="minorEastAsia"/>
          <w:b/>
          <w:color w:val="auto"/>
          <w:sz w:val="36"/>
          <w:szCs w:val="36"/>
          <w:u w:val="none"/>
        </w:rPr>
        <w:t>农村环境卫生治理专项补助资金项目</w:t>
      </w:r>
      <w:r>
        <w:rPr>
          <w:rStyle w:val="11"/>
          <w:rFonts w:hint="eastAsia" w:ascii="仿宋" w:hAnsi="仿宋" w:eastAsia="仿宋" w:cs="仿宋"/>
          <w:b/>
          <w:color w:val="auto"/>
          <w:sz w:val="36"/>
          <w:szCs w:val="36"/>
          <w:u w:val="none"/>
        </w:rPr>
        <w:t>”</w:t>
      </w:r>
    </w:p>
    <w:p w14:paraId="46DD0549">
      <w:pPr>
        <w:adjustRightInd w:val="0"/>
        <w:snapToGrid w:val="0"/>
        <w:spacing w:line="360" w:lineRule="auto"/>
        <w:jc w:val="center"/>
        <w:rPr>
          <w:rFonts w:ascii="Arial Narrow" w:hAnsi="Arial Narrow" w:eastAsiaTheme="minorEastAsia"/>
          <w:b/>
          <w:sz w:val="36"/>
          <w:szCs w:val="36"/>
        </w:rPr>
      </w:pPr>
      <w:r>
        <w:rPr>
          <w:rFonts w:ascii="Arial Narrow" w:hAnsi="Arial Narrow" w:eastAsiaTheme="minorEastAsia"/>
          <w:b/>
          <w:sz w:val="36"/>
          <w:szCs w:val="36"/>
        </w:rPr>
        <w:t>绩效评价报告</w:t>
      </w:r>
    </w:p>
    <w:p w14:paraId="273D5B86">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w:t>
      </w:r>
      <w:r>
        <w:rPr>
          <w:rFonts w:hint="eastAsia" w:ascii="Arial Narrow" w:hAnsi="Arial Narrow" w:eastAsiaTheme="minorEastAsia"/>
          <w:color w:val="auto"/>
          <w:lang w:eastAsia="zh-CN"/>
        </w:rPr>
        <w:t>、</w:t>
      </w:r>
      <w:r>
        <w:rPr>
          <w:rFonts w:ascii="Arial Narrow" w:hAnsi="Arial Narrow" w:eastAsiaTheme="minorEastAsia"/>
          <w:color w:val="auto"/>
        </w:rPr>
        <w:t>《项目支出绩效评价管理办法》（财预〔2020〕10号）</w:t>
      </w:r>
      <w:r>
        <w:rPr>
          <w:rFonts w:hint="eastAsia" w:ascii="Arial Narrow" w:hAnsi="Arial Narrow" w:eastAsiaTheme="minorEastAsia"/>
          <w:color w:val="auto"/>
          <w:lang w:eastAsia="zh-CN"/>
        </w:rPr>
        <w:t>、</w:t>
      </w:r>
      <w:r>
        <w:rPr>
          <w:rFonts w:ascii="Arial Narrow" w:hAnsi="Arial Narrow" w:eastAsiaTheme="minorEastAsia"/>
          <w:color w:val="auto"/>
        </w:rPr>
        <w:t>《重庆市市级政策和项目预算绩效管理办法（试行）》（渝财绩〔2019〕19号），受重庆市铜梁区财政局（以下简称</w:t>
      </w:r>
      <w:r>
        <w:rPr>
          <w:rFonts w:hint="eastAsia" w:ascii="仿宋" w:hAnsi="仿宋" w:eastAsia="仿宋" w:cs="仿宋"/>
          <w:color w:val="auto"/>
        </w:rPr>
        <w:t>“</w:t>
      </w:r>
      <w:r>
        <w:rPr>
          <w:rFonts w:ascii="Arial Narrow" w:hAnsi="Arial Narrow" w:eastAsiaTheme="minorEastAsia"/>
          <w:color w:val="auto"/>
        </w:rPr>
        <w:t>财政</w:t>
      </w:r>
      <w:r>
        <w:rPr>
          <w:rFonts w:hint="eastAsia" w:ascii="仿宋" w:hAnsi="仿宋" w:eastAsia="仿宋" w:cs="仿宋"/>
          <w:color w:val="auto"/>
        </w:rPr>
        <w:t>局”</w:t>
      </w:r>
      <w:r>
        <w:rPr>
          <w:rFonts w:ascii="Arial Narrow" w:hAnsi="Arial Narrow" w:eastAsiaTheme="minorEastAsia"/>
          <w:color w:val="auto"/>
        </w:rPr>
        <w:t>）的委托，我们对重庆市铜梁区城市管理局（以下简称</w:t>
      </w:r>
      <w:r>
        <w:rPr>
          <w:rFonts w:hint="eastAsia" w:ascii="仿宋" w:hAnsi="仿宋" w:eastAsia="仿宋" w:cs="仿宋"/>
          <w:color w:val="auto"/>
        </w:rPr>
        <w:t>“</w:t>
      </w:r>
      <w:r>
        <w:rPr>
          <w:rFonts w:ascii="Arial Narrow" w:hAnsi="Arial Narrow" w:eastAsiaTheme="minorEastAsia"/>
          <w:color w:val="auto"/>
        </w:rPr>
        <w:t>城管局</w:t>
      </w:r>
      <w:r>
        <w:rPr>
          <w:rFonts w:hint="eastAsia" w:ascii="仿宋" w:hAnsi="仿宋" w:eastAsia="仿宋" w:cs="仿宋"/>
          <w:color w:val="auto"/>
        </w:rPr>
        <w:t>”</w:t>
      </w:r>
      <w:r>
        <w:rPr>
          <w:rFonts w:ascii="Arial Narrow" w:hAnsi="Arial Narrow" w:eastAsiaTheme="minorEastAsia"/>
          <w:color w:val="auto"/>
        </w:rPr>
        <w:t>）农村环境卫生治理专项补助资金项目财政专</w:t>
      </w:r>
      <w:r>
        <w:rPr>
          <w:rFonts w:hint="eastAsia" w:ascii="Arial Narrow" w:hAnsi="Arial Narrow" w:eastAsiaTheme="minorEastAsia"/>
          <w:color w:val="auto"/>
          <w:lang w:val="en-US" w:eastAsia="zh-CN"/>
        </w:rPr>
        <w:t>项</w:t>
      </w:r>
      <w:r>
        <w:rPr>
          <w:rFonts w:ascii="Arial Narrow" w:hAnsi="Arial Narrow" w:eastAsiaTheme="minorEastAsia"/>
          <w:color w:val="auto"/>
        </w:rPr>
        <w:t>衔接资金进行绩效评价，现将评价情况报告如下：</w:t>
      </w:r>
    </w:p>
    <w:p w14:paraId="7BBC0E42">
      <w:pPr>
        <w:spacing w:before="240" w:beforeLines="100" w:line="360" w:lineRule="auto"/>
        <w:ind w:firstLine="482" w:firstLineChars="200"/>
        <w:jc w:val="left"/>
        <w:outlineLvl w:val="0"/>
        <w:rPr>
          <w:rFonts w:ascii="Arial Narrow" w:hAnsi="Arial Narrow" w:eastAsiaTheme="minorEastAsia"/>
          <w:b/>
          <w:sz w:val="24"/>
        </w:rPr>
      </w:pPr>
      <w:bookmarkStart w:id="4" w:name="_Toc171610161"/>
      <w:r>
        <w:rPr>
          <w:rFonts w:ascii="Arial Narrow" w:hAnsi="Arial Narrow" w:eastAsiaTheme="minorEastAsia"/>
          <w:b/>
          <w:sz w:val="24"/>
        </w:rPr>
        <w:t>一、基本情况</w:t>
      </w:r>
      <w:bookmarkEnd w:id="4"/>
    </w:p>
    <w:p w14:paraId="61187425">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5" w:name="_Toc171610162"/>
      <w:bookmarkStart w:id="6" w:name="_Toc170299423"/>
      <w:r>
        <w:rPr>
          <w:rFonts w:ascii="Arial Narrow" w:hAnsi="Arial Narrow" w:cs="宋体" w:eastAsiaTheme="minorEastAsia"/>
          <w:b/>
          <w:bCs/>
          <w:kern w:val="0"/>
          <w:sz w:val="24"/>
        </w:rPr>
        <w:t>（一）项目情况</w:t>
      </w:r>
      <w:bookmarkEnd w:id="5"/>
      <w:bookmarkEnd w:id="6"/>
    </w:p>
    <w:p w14:paraId="522A2834">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项目名称：农村环境卫生治理专项补助</w:t>
      </w:r>
    </w:p>
    <w:p w14:paraId="1B847E0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实施单位：重庆市铜梁区城市管理局</w:t>
      </w:r>
    </w:p>
    <w:p w14:paraId="0987CFB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为全区28个镇街采购配发120L垃圾分类桶2000个、240L垃圾分类桶2000个、2立方垃圾箱体50个、3立方垃圾箱体30个、5立方垃圾箱体70个、果皮箱400个、手推车200个、两分类收集桶100个，安排资金230万元。由区市政环卫管理所组织实施。</w:t>
      </w:r>
    </w:p>
    <w:p w14:paraId="0267374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项目资金安排情况：该项目2023年计划投入230万元，实际投入230万元，均为上级补助资金。</w:t>
      </w:r>
    </w:p>
    <w:p w14:paraId="76B8E2BB">
      <w:pPr>
        <w:spacing w:line="360" w:lineRule="auto"/>
        <w:ind w:firstLine="482" w:firstLineChars="200"/>
        <w:jc w:val="left"/>
        <w:outlineLvl w:val="0"/>
        <w:rPr>
          <w:rFonts w:ascii="Arial Narrow" w:hAnsi="Arial Narrow" w:eastAsiaTheme="minorEastAsia"/>
          <w:b/>
          <w:sz w:val="24"/>
        </w:rPr>
      </w:pPr>
      <w:bookmarkStart w:id="7" w:name="_Toc171610163"/>
      <w:r>
        <w:rPr>
          <w:rFonts w:ascii="Arial Narrow" w:hAnsi="Arial Narrow" w:eastAsiaTheme="minorEastAsia"/>
          <w:b/>
          <w:sz w:val="24"/>
        </w:rPr>
        <w:t>二、绩效评价工作情况</w:t>
      </w:r>
      <w:bookmarkEnd w:id="7"/>
    </w:p>
    <w:p w14:paraId="030B9C2D">
      <w:pPr>
        <w:spacing w:line="360" w:lineRule="auto"/>
        <w:ind w:firstLine="482" w:firstLineChars="200"/>
        <w:jc w:val="left"/>
        <w:outlineLvl w:val="0"/>
        <w:rPr>
          <w:rFonts w:ascii="Arial Narrow" w:hAnsi="Arial Narrow" w:eastAsiaTheme="minorEastAsia"/>
          <w:b/>
          <w:sz w:val="24"/>
        </w:rPr>
      </w:pPr>
      <w:bookmarkStart w:id="8" w:name="_Toc513775099"/>
      <w:bookmarkStart w:id="9" w:name="_Toc171610164"/>
      <w:r>
        <w:rPr>
          <w:rFonts w:ascii="Arial Narrow" w:hAnsi="Arial Narrow" w:eastAsiaTheme="minorEastAsia"/>
          <w:b/>
          <w:sz w:val="24"/>
        </w:rPr>
        <w:t>（一）绩效评价目的</w:t>
      </w:r>
      <w:bookmarkEnd w:id="8"/>
      <w:bookmarkEnd w:id="9"/>
    </w:p>
    <w:p w14:paraId="5C1B685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617D400A">
      <w:pPr>
        <w:spacing w:line="360" w:lineRule="auto"/>
        <w:ind w:firstLine="482" w:firstLineChars="200"/>
        <w:jc w:val="left"/>
        <w:outlineLvl w:val="0"/>
        <w:rPr>
          <w:rFonts w:ascii="Arial Narrow" w:hAnsi="Arial Narrow" w:eastAsiaTheme="minorEastAsia"/>
          <w:b/>
          <w:sz w:val="24"/>
        </w:rPr>
      </w:pPr>
      <w:bookmarkStart w:id="10" w:name="_Toc171610165"/>
      <w:bookmarkStart w:id="11" w:name="_Toc513775100"/>
      <w:r>
        <w:rPr>
          <w:rFonts w:ascii="Arial Narrow" w:hAnsi="Arial Narrow" w:eastAsiaTheme="minorEastAsia"/>
          <w:b/>
          <w:sz w:val="24"/>
        </w:rPr>
        <w:t>（二）绩效评价的基本内容</w:t>
      </w:r>
      <w:bookmarkEnd w:id="10"/>
    </w:p>
    <w:p w14:paraId="0E87708E">
      <w:pPr>
        <w:pStyle w:val="14"/>
        <w:spacing w:line="360" w:lineRule="auto"/>
        <w:ind w:firstLine="480" w:firstLineChars="200"/>
        <w:rPr>
          <w:rFonts w:ascii="Arial Narrow" w:hAnsi="Arial Narrow" w:eastAsiaTheme="minorEastAsia"/>
          <w:color w:val="auto"/>
        </w:rPr>
      </w:pPr>
      <w:bookmarkStart w:id="12" w:name="_Toc166332968"/>
      <w:r>
        <w:rPr>
          <w:rFonts w:ascii="Arial Narrow" w:hAnsi="Arial Narrow" w:eastAsiaTheme="minorEastAsia"/>
          <w:color w:val="auto"/>
        </w:rPr>
        <w:t>1.绩效目标的设定情况；</w:t>
      </w:r>
    </w:p>
    <w:p w14:paraId="0A3B3A6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6AA9DD9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0C15CE4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767D541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0C86A2C9">
      <w:pPr>
        <w:spacing w:line="360" w:lineRule="auto"/>
        <w:ind w:firstLine="482" w:firstLineChars="200"/>
        <w:jc w:val="left"/>
        <w:outlineLvl w:val="0"/>
        <w:rPr>
          <w:rFonts w:ascii="Arial Narrow" w:hAnsi="Arial Narrow" w:eastAsiaTheme="minorEastAsia"/>
          <w:b/>
          <w:sz w:val="24"/>
        </w:rPr>
      </w:pPr>
      <w:bookmarkStart w:id="13" w:name="_Toc171610166"/>
      <w:r>
        <w:rPr>
          <w:rFonts w:ascii="Arial Narrow" w:hAnsi="Arial Narrow" w:eastAsiaTheme="minorEastAsia"/>
          <w:b/>
          <w:sz w:val="24"/>
        </w:rPr>
        <w:t>（三）绩效评价依据</w:t>
      </w:r>
      <w:bookmarkEnd w:id="11"/>
      <w:bookmarkEnd w:id="12"/>
      <w:bookmarkEnd w:id="13"/>
      <w:bookmarkStart w:id="14" w:name="_Toc335040595"/>
    </w:p>
    <w:bookmarkEnd w:id="14"/>
    <w:p w14:paraId="59A04C7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w:t>
      </w:r>
      <w:r>
        <w:rPr>
          <w:rFonts w:hint="eastAsia" w:ascii="Arial Narrow" w:hAnsi="Arial Narrow" w:eastAsiaTheme="minorEastAsia"/>
          <w:color w:val="auto"/>
          <w:lang w:eastAsia="zh-CN"/>
        </w:rPr>
        <w:t>》</w:t>
      </w:r>
      <w:r>
        <w:rPr>
          <w:rFonts w:ascii="Arial Narrow" w:hAnsi="Arial Narrow" w:eastAsiaTheme="minorEastAsia"/>
          <w:color w:val="auto"/>
        </w:rPr>
        <w:t>的通知（铜财〔2022〕678号）</w:t>
      </w:r>
    </w:p>
    <w:p w14:paraId="1D8C9BB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3C135751">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p>
    <w:p w14:paraId="4E0D8DB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4.《铜梁区区级政策和项目预算绩效管理办法(试行)》（铜财〔2022〕41号）</w:t>
      </w:r>
    </w:p>
    <w:p w14:paraId="17ABE23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66F7E9A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2492577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7.《铜梁区财政衔接推进乡村振兴补助资金项目公告公示实施办法》（铜委农办〔2021〕19号）</w:t>
      </w:r>
    </w:p>
    <w:p w14:paraId="6DF5E1B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7046867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063AFCB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5" w:name="_Hlk162597612"/>
      <w:r>
        <w:rPr>
          <w:rFonts w:ascii="Arial Narrow" w:hAnsi="Arial Narrow" w:eastAsiaTheme="minorEastAsia"/>
          <w:color w:val="auto"/>
        </w:rPr>
        <w:t>〔2016〕</w:t>
      </w:r>
      <w:bookmarkEnd w:id="15"/>
      <w:r>
        <w:rPr>
          <w:rFonts w:ascii="Arial Narrow" w:hAnsi="Arial Narrow" w:eastAsiaTheme="minorEastAsia"/>
          <w:color w:val="auto"/>
        </w:rPr>
        <w:t>10号）</w:t>
      </w:r>
    </w:p>
    <w:p w14:paraId="103666A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w:t>
      </w:r>
      <w:r>
        <w:rPr>
          <w:rFonts w:hint="eastAsia" w:ascii="Arial Narrow" w:hAnsi="Arial Narrow" w:eastAsiaTheme="minorEastAsia"/>
          <w:color w:val="auto"/>
        </w:rPr>
        <w:t xml:space="preserve"> </w:t>
      </w:r>
      <w:r>
        <w:rPr>
          <w:rFonts w:ascii="Arial Narrow" w:hAnsi="Arial Narrow" w:eastAsiaTheme="minorEastAsia"/>
          <w:color w:val="auto"/>
        </w:rPr>
        <w:t>评价工作人员通过现场调查、核实等获得的资料等</w:t>
      </w:r>
    </w:p>
    <w:p w14:paraId="0A6EBD8D">
      <w:pPr>
        <w:spacing w:line="360" w:lineRule="auto"/>
        <w:ind w:firstLine="482" w:firstLineChars="200"/>
        <w:jc w:val="left"/>
        <w:outlineLvl w:val="0"/>
        <w:rPr>
          <w:rFonts w:ascii="Arial Narrow" w:hAnsi="Arial Narrow" w:eastAsiaTheme="minorEastAsia"/>
          <w:b/>
          <w:sz w:val="24"/>
        </w:rPr>
      </w:pPr>
      <w:bookmarkStart w:id="16" w:name="_Toc171610167"/>
      <w:r>
        <w:rPr>
          <w:rFonts w:ascii="Arial Narrow" w:hAnsi="Arial Narrow" w:eastAsiaTheme="minorEastAsia"/>
          <w:b/>
          <w:sz w:val="24"/>
        </w:rPr>
        <w:t>（四）绩效评价原则和指标体系</w:t>
      </w:r>
      <w:bookmarkEnd w:id="16"/>
    </w:p>
    <w:p w14:paraId="26F96DF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1B76771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0D06027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179BE9C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2923B4F2">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604E08A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2313513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3FE59B24">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0EA25063">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79CC8E31">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E0F87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5362452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2E57E73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2696398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05B4AD5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3017A1C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7F27B33F">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D87B58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87F2D5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74A7266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39520A6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5128AA5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37A39A9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764E2091">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F5851E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55748A11">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5C68FC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0A540BB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605253B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4D2E29A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51BCE7C2">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3E2EA4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F2CF86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0958648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48846FC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nil"/>
              <w:right w:val="nil"/>
            </w:tcBorders>
            <w:shd w:val="clear" w:color="auto" w:fill="auto"/>
            <w:vAlign w:val="center"/>
          </w:tcPr>
          <w:p w14:paraId="2DE7312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1E62DBB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7534E030">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9B1D39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26B0DE10">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8DCCA6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28695A7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043A98C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C73E47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3D302B40">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27FFBC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47FDB9D8">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4F08D0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2497B7B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7C19C76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BC5AE0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0380CC11">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88C7EE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0BAC8BA3">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A011EA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5AB0CEF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1CC067A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5F9AE2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hint="eastAsia" w:ascii="Arial Narrow" w:hAnsi="Arial Narrow" w:cs="宋体" w:eastAsiaTheme="minorEastAsia"/>
                <w:kern w:val="0"/>
                <w:sz w:val="16"/>
                <w:szCs w:val="16"/>
                <w:lang w:val="en-US" w:eastAsia="zh-CN"/>
              </w:rPr>
              <w:t>1</w:t>
            </w:r>
            <w:r>
              <w:rPr>
                <w:rFonts w:ascii="Arial Narrow" w:hAnsi="Arial Narrow" w:cs="宋体" w:eastAsiaTheme="minorEastAsia"/>
                <w:kern w:val="0"/>
                <w:sz w:val="16"/>
                <w:szCs w:val="16"/>
              </w:rPr>
              <w:t>.7月末支出进度评分4分。资金支出进度达到全区平均进度或者序时进度的，得满分；未达到的按照与序时进度的比例扣分；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hint="eastAsia" w:ascii="Arial Narrow" w:hAnsi="Arial Narrow" w:cs="宋体" w:eastAsiaTheme="minorEastAsia"/>
                <w:kern w:val="0"/>
                <w:sz w:val="16"/>
                <w:szCs w:val="16"/>
                <w:lang w:val="en-US" w:eastAsia="zh-CN"/>
              </w:rPr>
              <w:t>2</w:t>
            </w:r>
            <w:r>
              <w:rPr>
                <w:rFonts w:ascii="Arial Narrow" w:hAnsi="Arial Narrow" w:cs="宋体" w:eastAsiaTheme="minorEastAsia"/>
                <w:kern w:val="0"/>
                <w:sz w:val="16"/>
                <w:szCs w:val="16"/>
              </w:rPr>
              <w:t>.10月中旬支出进度评分4分。资金支出进度达到全区平均进度或者序时进度的，得满分；未达到的按照与序时进度的比例扣分；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hint="eastAsia" w:ascii="Arial Narrow" w:hAnsi="Arial Narrow" w:cs="宋体" w:eastAsiaTheme="minorEastAsia"/>
                <w:kern w:val="0"/>
                <w:sz w:val="16"/>
                <w:szCs w:val="16"/>
                <w:lang w:val="en-US" w:eastAsia="zh-CN"/>
              </w:rPr>
              <w:t>3</w:t>
            </w:r>
            <w:r>
              <w:rPr>
                <w:rFonts w:ascii="Arial Narrow" w:hAnsi="Arial Narrow" w:cs="宋体" w:eastAsiaTheme="minorEastAsia"/>
                <w:kern w:val="0"/>
                <w:sz w:val="16"/>
                <w:szCs w:val="16"/>
              </w:rPr>
              <w:t>.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79985E67">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D8E132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D9150A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DFF85D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03604D3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1CED298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71B5FE8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677EB792">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F6AD3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17C6974A">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F9C812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2385D52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0FA693B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D7242E7">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40ED38CC">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FB4114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621BD58E">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6A8975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380B4DF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080EA38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D4F012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34B95BE8">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5D3BDE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63A68DB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64494A5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488DC6D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73945F4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2678452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58732073">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2B2073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04B734A0">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D4FADC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1FC7B53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0F0FFCE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0DFA7BC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51D26660">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77296F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1E45190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6E8D25A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4154758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37F2A63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7EADF8B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271BA366">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C50BBF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1A8ED453">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278AE3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77D31CF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5779945D">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25E356B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71CA8712">
      <w:pPr>
        <w:spacing w:before="120" w:beforeLines="50" w:line="360" w:lineRule="auto"/>
        <w:ind w:firstLine="482" w:firstLineChars="200"/>
        <w:jc w:val="left"/>
        <w:outlineLvl w:val="0"/>
        <w:rPr>
          <w:rFonts w:ascii="Arial Narrow" w:hAnsi="Arial Narrow" w:eastAsiaTheme="minorEastAsia"/>
          <w:b/>
          <w:sz w:val="24"/>
        </w:rPr>
      </w:pPr>
      <w:bookmarkStart w:id="17" w:name="_Toc171610168"/>
      <w:r>
        <w:rPr>
          <w:rFonts w:ascii="Arial Narrow" w:hAnsi="Arial Narrow" w:eastAsiaTheme="minorEastAsia"/>
          <w:b/>
          <w:sz w:val="24"/>
        </w:rPr>
        <w:t>（五）绩效评价标准和评价方法</w:t>
      </w:r>
      <w:bookmarkEnd w:id="17"/>
    </w:p>
    <w:p w14:paraId="052546E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73463F2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7BEA0EB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18" w:name="_Hlk162596803"/>
      <w:r>
        <w:rPr>
          <w:rFonts w:ascii="Arial Narrow" w:hAnsi="Arial Narrow" w:eastAsiaTheme="minorEastAsia"/>
          <w:color w:val="auto"/>
        </w:rPr>
        <w:t>≥90</w:t>
      </w:r>
      <w:bookmarkEnd w:id="18"/>
      <w:r>
        <w:rPr>
          <w:rFonts w:ascii="Arial Narrow" w:hAnsi="Arial Narrow" w:eastAsiaTheme="minorEastAsia"/>
          <w:color w:val="auto"/>
        </w:rPr>
        <w:t>）、良</w:t>
      </w:r>
      <w:bookmarkStart w:id="19" w:name="_Hlk168473502"/>
      <w:r>
        <w:rPr>
          <w:rFonts w:ascii="Arial Narrow" w:hAnsi="Arial Narrow" w:eastAsiaTheme="minorEastAsia"/>
          <w:color w:val="auto"/>
        </w:rPr>
        <w:t>（90＞得分≥80）</w:t>
      </w:r>
      <w:bookmarkEnd w:id="19"/>
      <w:r>
        <w:rPr>
          <w:rFonts w:ascii="Arial Narrow" w:hAnsi="Arial Narrow" w:eastAsiaTheme="minorEastAsia"/>
          <w:color w:val="auto"/>
        </w:rPr>
        <w:t>、中（80＞得分≥60）、差（得分＜60）四个等级，按百分制综合得分高低按分值划段确定。</w:t>
      </w:r>
    </w:p>
    <w:p w14:paraId="53B06E7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591F536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7C0B9E2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1F8B8BE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72298F5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4514DF3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114224E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31FAE951">
      <w:pPr>
        <w:spacing w:line="360" w:lineRule="auto"/>
        <w:ind w:firstLine="482" w:firstLineChars="200"/>
        <w:jc w:val="left"/>
        <w:outlineLvl w:val="0"/>
        <w:rPr>
          <w:rFonts w:ascii="Arial Narrow" w:hAnsi="Arial Narrow" w:eastAsiaTheme="minorEastAsia"/>
          <w:b/>
          <w:sz w:val="24"/>
        </w:rPr>
      </w:pPr>
      <w:bookmarkStart w:id="20" w:name="_Toc437528932"/>
      <w:bookmarkStart w:id="21" w:name="_Toc171610169"/>
      <w:r>
        <w:rPr>
          <w:rFonts w:ascii="Arial Narrow" w:hAnsi="Arial Narrow" w:eastAsiaTheme="minorEastAsia"/>
          <w:b/>
          <w:sz w:val="24"/>
        </w:rPr>
        <w:t>（六）绩效评价</w:t>
      </w:r>
      <w:bookmarkEnd w:id="20"/>
      <w:r>
        <w:rPr>
          <w:rFonts w:ascii="Arial Narrow" w:hAnsi="Arial Narrow" w:eastAsiaTheme="minorEastAsia"/>
          <w:b/>
          <w:sz w:val="24"/>
        </w:rPr>
        <w:t>工作过程</w:t>
      </w:r>
      <w:bookmarkEnd w:id="21"/>
    </w:p>
    <w:p w14:paraId="7406A3E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14D9763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1464E497">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4CA2A91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6DBC133E">
      <w:pPr>
        <w:spacing w:line="360" w:lineRule="auto"/>
        <w:ind w:firstLine="482" w:firstLineChars="200"/>
        <w:jc w:val="left"/>
        <w:outlineLvl w:val="0"/>
        <w:rPr>
          <w:rFonts w:ascii="Arial Narrow" w:hAnsi="Arial Narrow" w:eastAsiaTheme="minorEastAsia"/>
          <w:b/>
          <w:sz w:val="24"/>
        </w:rPr>
      </w:pPr>
      <w:bookmarkStart w:id="22" w:name="_Toc437528933"/>
      <w:bookmarkStart w:id="23" w:name="_Toc171610170"/>
      <w:r>
        <w:rPr>
          <w:rFonts w:ascii="Arial Narrow" w:hAnsi="Arial Narrow" w:eastAsiaTheme="minorEastAsia"/>
          <w:b/>
          <w:sz w:val="24"/>
        </w:rPr>
        <w:t>三、项目评价</w:t>
      </w:r>
      <w:bookmarkEnd w:id="22"/>
      <w:r>
        <w:rPr>
          <w:rFonts w:ascii="Arial Narrow" w:hAnsi="Arial Narrow" w:eastAsiaTheme="minorEastAsia"/>
          <w:b/>
          <w:sz w:val="24"/>
        </w:rPr>
        <w:t>结论</w:t>
      </w:r>
      <w:bookmarkEnd w:id="23"/>
    </w:p>
    <w:p w14:paraId="5152BF0F">
      <w:pPr>
        <w:spacing w:line="360" w:lineRule="auto"/>
        <w:ind w:firstLine="480" w:firstLineChars="200"/>
        <w:jc w:val="left"/>
        <w:rPr>
          <w:rFonts w:ascii="Arial Narrow" w:hAnsi="Arial Narrow" w:eastAsiaTheme="minorEastAsia"/>
          <w:b/>
          <w:bCs/>
          <w:sz w:val="28"/>
          <w:szCs w:val="28"/>
        </w:rPr>
      </w:pPr>
      <w:r>
        <w:rPr>
          <w:rFonts w:ascii="Arial Narrow" w:hAnsi="Arial Narrow" w:eastAsiaTheme="minorEastAsia"/>
          <w:sz w:val="24"/>
        </w:rPr>
        <w:t>重庆市铜梁区城市管理局农村环境卫生治理专项补助资金项目绩效评价得分95.50分，绩效评价等级为：优。</w:t>
      </w:r>
    </w:p>
    <w:p w14:paraId="77F49CD2">
      <w:pPr>
        <w:spacing w:line="360" w:lineRule="auto"/>
        <w:ind w:firstLine="482" w:firstLineChars="200"/>
        <w:outlineLvl w:val="0"/>
        <w:rPr>
          <w:rFonts w:ascii="Arial Narrow" w:hAnsi="Arial Narrow" w:eastAsiaTheme="minorEastAsia"/>
          <w:b/>
          <w:sz w:val="24"/>
        </w:rPr>
      </w:pPr>
      <w:bookmarkStart w:id="24" w:name="_Toc171610171"/>
      <w:r>
        <w:rPr>
          <w:rFonts w:ascii="Arial Narrow" w:hAnsi="Arial Narrow" w:eastAsiaTheme="minorEastAsia"/>
          <w:b/>
          <w:sz w:val="24"/>
        </w:rPr>
        <w:t>四、综合评价情况</w:t>
      </w:r>
      <w:bookmarkEnd w:id="24"/>
    </w:p>
    <w:p w14:paraId="751B06B7">
      <w:pPr>
        <w:spacing w:line="360" w:lineRule="auto"/>
        <w:ind w:firstLine="482" w:firstLineChars="200"/>
        <w:jc w:val="left"/>
        <w:outlineLvl w:val="0"/>
        <w:rPr>
          <w:rFonts w:ascii="Arial Narrow" w:hAnsi="Arial Narrow" w:eastAsiaTheme="minorEastAsia"/>
          <w:b/>
          <w:sz w:val="24"/>
        </w:rPr>
      </w:pPr>
      <w:bookmarkStart w:id="25" w:name="_Toc171610172"/>
      <w:r>
        <w:rPr>
          <w:rFonts w:ascii="Arial Narrow" w:hAnsi="Arial Narrow" w:eastAsiaTheme="minorEastAsia"/>
          <w:b/>
          <w:sz w:val="24"/>
        </w:rPr>
        <w:t>（一）资金管理</w:t>
      </w:r>
      <w:bookmarkEnd w:id="25"/>
    </w:p>
    <w:p w14:paraId="194DF743">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7C8353C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w:t>
      </w:r>
      <w:r>
        <w:rPr>
          <w:rFonts w:hint="eastAsia" w:ascii="Arial Narrow" w:hAnsi="Arial Narrow" w:eastAsiaTheme="minorEastAsia"/>
          <w:sz w:val="24"/>
          <w:lang w:eastAsia="zh-CN"/>
        </w:rPr>
        <w:t>（</w:t>
      </w:r>
      <w:r>
        <w:rPr>
          <w:rFonts w:ascii="Arial Narrow" w:hAnsi="Arial Narrow" w:eastAsiaTheme="minorEastAsia"/>
          <w:sz w:val="24"/>
        </w:rPr>
        <w:t>渝财农〔2022〕146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ascii="Arial Narrow" w:hAnsi="Arial Narrow" w:eastAsiaTheme="minorEastAsia"/>
          <w:sz w:val="24"/>
        </w:rPr>
        <w:t>、《关于下达2023年提前批市级财政衔接推进乡村振兴补助资金项目安排计划的通知》</w:t>
      </w:r>
      <w:r>
        <w:rPr>
          <w:rFonts w:hint="eastAsia" w:ascii="Arial Narrow" w:hAnsi="Arial Narrow" w:eastAsiaTheme="minorEastAsia"/>
          <w:sz w:val="24"/>
          <w:lang w:eastAsia="zh-CN"/>
        </w:rPr>
        <w:t>（</w:t>
      </w:r>
      <w:r>
        <w:rPr>
          <w:rFonts w:ascii="Arial Narrow" w:hAnsi="Arial Narrow" w:eastAsiaTheme="minorEastAsia"/>
          <w:sz w:val="24"/>
        </w:rPr>
        <w:t>铜委农办〔2022〕24号</w:t>
      </w:r>
      <w:r>
        <w:rPr>
          <w:rFonts w:hint="eastAsia" w:ascii="Arial Narrow" w:hAnsi="Arial Narrow" w:eastAsiaTheme="minorEastAsia"/>
          <w:sz w:val="24"/>
          <w:lang w:eastAsia="zh-CN"/>
        </w:rPr>
        <w:t>）</w:t>
      </w:r>
      <w:r>
        <w:rPr>
          <w:rFonts w:ascii="Arial Narrow" w:hAnsi="Arial Narrow" w:eastAsiaTheme="minorEastAsia"/>
          <w:sz w:val="24"/>
        </w:rPr>
        <w:t>、《重庆市铜梁区城市管理局关于下达2023年农村环境卫生治理专项补助资金项目安排计划</w:t>
      </w:r>
      <w:r>
        <w:rPr>
          <w:rFonts w:hint="eastAsia" w:ascii="Arial Narrow" w:hAnsi="Arial Narrow" w:eastAsiaTheme="minorEastAsia"/>
          <w:sz w:val="24"/>
          <w:lang w:eastAsia="zh-CN"/>
        </w:rPr>
        <w:t>的</w:t>
      </w:r>
      <w:r>
        <w:rPr>
          <w:rFonts w:ascii="Arial Narrow" w:hAnsi="Arial Narrow" w:eastAsiaTheme="minorEastAsia"/>
          <w:sz w:val="24"/>
        </w:rPr>
        <w:t>通知》</w:t>
      </w:r>
      <w:r>
        <w:rPr>
          <w:rFonts w:hint="eastAsia" w:ascii="Arial Narrow" w:hAnsi="Arial Narrow" w:eastAsiaTheme="minorEastAsia"/>
          <w:sz w:val="24"/>
          <w:lang w:eastAsia="zh-CN"/>
        </w:rPr>
        <w:t>（</w:t>
      </w:r>
      <w:r>
        <w:rPr>
          <w:rFonts w:ascii="Arial Narrow" w:hAnsi="Arial Narrow" w:eastAsiaTheme="minorEastAsia"/>
          <w:sz w:val="24"/>
        </w:rPr>
        <w:t>铜城管〔2023〕1号</w:t>
      </w:r>
      <w:r>
        <w:rPr>
          <w:rFonts w:hint="eastAsia" w:ascii="Arial Narrow" w:hAnsi="Arial Narrow" w:eastAsiaTheme="minorEastAsia"/>
          <w:sz w:val="24"/>
          <w:lang w:eastAsia="zh-CN"/>
        </w:rPr>
        <w:t>）</w:t>
      </w:r>
      <w:r>
        <w:rPr>
          <w:rFonts w:ascii="Arial Narrow" w:hAnsi="Arial Narrow" w:eastAsiaTheme="minorEastAsia"/>
          <w:sz w:val="24"/>
        </w:rPr>
        <w:t>等相关政策性文件规定落实衔接资金。</w:t>
      </w:r>
    </w:p>
    <w:p w14:paraId="2BD485A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2268DFD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项目资金从区财政局下达资金文件时间到区级业务主管部门下达项目及资金计划文件时间间隔小于30天。</w:t>
      </w:r>
    </w:p>
    <w:p w14:paraId="64F7E60D">
      <w:pPr>
        <w:spacing w:line="360" w:lineRule="auto"/>
        <w:ind w:firstLine="482" w:firstLineChars="200"/>
        <w:jc w:val="left"/>
        <w:outlineLvl w:val="0"/>
        <w:rPr>
          <w:rFonts w:ascii="Arial Narrow" w:hAnsi="Arial Narrow" w:eastAsiaTheme="minorEastAsia"/>
          <w:b/>
          <w:sz w:val="24"/>
        </w:rPr>
      </w:pPr>
      <w:bookmarkStart w:id="26" w:name="_Toc171610173"/>
      <w:r>
        <w:rPr>
          <w:rFonts w:ascii="Arial Narrow" w:hAnsi="Arial Narrow" w:eastAsiaTheme="minorEastAsia"/>
          <w:b/>
          <w:sz w:val="24"/>
        </w:rPr>
        <w:t>（二）项目管理</w:t>
      </w:r>
      <w:bookmarkEnd w:id="26"/>
    </w:p>
    <w:p w14:paraId="24BFD3C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2FBC9EB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32ECA1E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5B07F12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w:t>
      </w:r>
    </w:p>
    <w:p w14:paraId="2AF0F21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2C15954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val="en-US" w:eastAsia="zh-CN"/>
        </w:rPr>
        <w:t>过程</w:t>
      </w:r>
      <w:r>
        <w:rPr>
          <w:rFonts w:ascii="Arial Narrow" w:hAnsi="Arial Narrow" w:eastAsiaTheme="minorEastAsia"/>
          <w:sz w:val="24"/>
        </w:rPr>
        <w:t>中由铜梁区城市管理局进行监督检查，检查中未发现重大问题，项目按照实施节点按时提交项目报账资料，项目资料归档整理及时。</w:t>
      </w:r>
    </w:p>
    <w:p w14:paraId="398E882C">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111BAA2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项目十月末资金支出进度均超过全区平均水平，12月中旬的资金预算执行率达到100%。</w:t>
      </w:r>
    </w:p>
    <w:p w14:paraId="4281A29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03DDEAD5">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通过实施单位提供的监控表、自评表等资料显示，本项目实施单位定期开展项目实施和资金支出进度等跟踪督促，跟踪督促及各类检查发现问题整改到位。</w:t>
      </w:r>
    </w:p>
    <w:p w14:paraId="3385D7F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0A64B84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本项目实施单位对该项目账务处理规范，档案管理完整。</w:t>
      </w:r>
    </w:p>
    <w:p w14:paraId="07E2D2B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028FA7A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铜梁区农村环境卫生治理进行了公示，按照《铜梁区财政衔接推进乡村振兴补助资金项目公告公示实施办法》（铜委农办〔2021〕19号）对年度资金计划完成情况及实施情况进行公示。</w:t>
      </w:r>
    </w:p>
    <w:p w14:paraId="1E46AF8B">
      <w:pPr>
        <w:spacing w:line="360" w:lineRule="auto"/>
        <w:ind w:firstLine="482" w:firstLineChars="200"/>
        <w:jc w:val="left"/>
        <w:outlineLvl w:val="0"/>
        <w:rPr>
          <w:rFonts w:ascii="Arial Narrow" w:hAnsi="Arial Narrow" w:eastAsiaTheme="minorEastAsia"/>
          <w:b/>
          <w:sz w:val="24"/>
        </w:rPr>
      </w:pPr>
      <w:bookmarkStart w:id="27" w:name="_Toc171610174"/>
      <w:r>
        <w:rPr>
          <w:rFonts w:ascii="Arial Narrow" w:hAnsi="Arial Narrow" w:eastAsiaTheme="minorEastAsia"/>
          <w:b/>
          <w:sz w:val="24"/>
        </w:rPr>
        <w:t>（三）使用成效及通报情况</w:t>
      </w:r>
      <w:bookmarkEnd w:id="27"/>
    </w:p>
    <w:p w14:paraId="130543A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05753BA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64CA970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70ACD9E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因项目进度滞后被铜梁区乡村振兴局（铜乡振〔2023〕19号）通报一次（截至10月15日）。</w:t>
      </w:r>
    </w:p>
    <w:p w14:paraId="721AB7F9">
      <w:pPr>
        <w:spacing w:line="360" w:lineRule="auto"/>
        <w:ind w:firstLine="482" w:firstLineChars="200"/>
        <w:outlineLvl w:val="0"/>
        <w:rPr>
          <w:rFonts w:ascii="Arial Narrow" w:hAnsi="Arial Narrow" w:eastAsiaTheme="minorEastAsia"/>
          <w:b/>
          <w:sz w:val="24"/>
        </w:rPr>
      </w:pPr>
      <w:bookmarkStart w:id="28" w:name="_Toc171610175"/>
      <w:r>
        <w:rPr>
          <w:rFonts w:ascii="Arial Narrow" w:hAnsi="Arial Narrow" w:eastAsiaTheme="minorEastAsia"/>
          <w:b/>
          <w:sz w:val="24"/>
        </w:rPr>
        <w:t>五、存在的问题和建议</w:t>
      </w:r>
      <w:bookmarkEnd w:id="28"/>
    </w:p>
    <w:p w14:paraId="2C2B9978">
      <w:pPr>
        <w:spacing w:line="360" w:lineRule="auto"/>
        <w:ind w:firstLine="482" w:firstLineChars="200"/>
        <w:jc w:val="left"/>
        <w:outlineLvl w:val="0"/>
        <w:rPr>
          <w:rFonts w:ascii="Arial Narrow" w:hAnsi="Arial Narrow" w:eastAsiaTheme="minorEastAsia"/>
          <w:b/>
          <w:sz w:val="24"/>
        </w:rPr>
      </w:pPr>
      <w:bookmarkStart w:id="29" w:name="_Toc171610176"/>
      <w:r>
        <w:rPr>
          <w:rFonts w:ascii="Arial Narrow" w:hAnsi="Arial Narrow" w:eastAsiaTheme="minorEastAsia"/>
          <w:b/>
          <w:sz w:val="24"/>
        </w:rPr>
        <w:t>（一）存在问题</w:t>
      </w:r>
      <w:bookmarkEnd w:id="29"/>
    </w:p>
    <w:p w14:paraId="6FB77CD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1.项目资金拨付进度较晚，本项目最后一笔款项于2023年12月06日</w:t>
      </w:r>
      <w:bookmarkStart w:id="31" w:name="_GoBack"/>
      <w:bookmarkEnd w:id="31"/>
      <w:r>
        <w:rPr>
          <w:rFonts w:ascii="Arial Narrow" w:hAnsi="Arial Narrow" w:eastAsiaTheme="minorEastAsia"/>
          <w:sz w:val="24"/>
        </w:rPr>
        <w:t>拨付。</w:t>
      </w:r>
    </w:p>
    <w:p w14:paraId="77358DE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 xml:space="preserve">2.未见日常巡检记录。 </w:t>
      </w:r>
    </w:p>
    <w:p w14:paraId="57F4C735">
      <w:pPr>
        <w:spacing w:line="360" w:lineRule="auto"/>
        <w:ind w:firstLine="482" w:firstLineChars="200"/>
        <w:jc w:val="left"/>
        <w:outlineLvl w:val="0"/>
        <w:rPr>
          <w:rFonts w:ascii="Arial Narrow" w:hAnsi="Arial Narrow" w:eastAsiaTheme="minorEastAsia"/>
          <w:b/>
          <w:sz w:val="24"/>
        </w:rPr>
      </w:pPr>
      <w:bookmarkStart w:id="30" w:name="_Toc171610177"/>
      <w:r>
        <w:rPr>
          <w:rFonts w:ascii="Arial Narrow" w:hAnsi="Arial Narrow" w:eastAsiaTheme="minorEastAsia"/>
          <w:b/>
          <w:sz w:val="24"/>
        </w:rPr>
        <w:t>（二）建议</w:t>
      </w:r>
      <w:bookmarkEnd w:id="30"/>
    </w:p>
    <w:p w14:paraId="107626CF">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1.严格按照财政资金预算执行，及时拨付项目资金。针对财政专项资金,建议实施单位在规定时间内支付项目资金，杜绝资金滞留、挤占、截留、挪用等现象的发生。</w:t>
      </w:r>
    </w:p>
    <w:p w14:paraId="1985D262">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2.建立健全日常巡查管护制度，定期巡查管护，保证项目长期健康运行，持续发挥衔接资金带贫作用。 </w:t>
      </w:r>
    </w:p>
    <w:p w14:paraId="4AEB87A3">
      <w:pPr>
        <w:adjustRightInd w:val="0"/>
        <w:snapToGrid w:val="0"/>
        <w:spacing w:line="360" w:lineRule="auto"/>
        <w:ind w:firstLine="480" w:firstLineChars="200"/>
        <w:rPr>
          <w:rStyle w:val="11"/>
          <w:rFonts w:ascii="Arial Narrow" w:hAnsi="Arial Narrow" w:eastAsiaTheme="minorEastAsia"/>
          <w:color w:val="auto"/>
          <w:sz w:val="24"/>
          <w:u w:val="none"/>
        </w:rPr>
      </w:pPr>
    </w:p>
    <w:p w14:paraId="3DE4FF70">
      <w:pPr>
        <w:adjustRightInd w:val="0"/>
        <w:snapToGrid w:val="0"/>
        <w:spacing w:line="360" w:lineRule="auto"/>
        <w:ind w:firstLine="480" w:firstLineChars="200"/>
        <w:rPr>
          <w:rStyle w:val="11"/>
          <w:rFonts w:ascii="Arial Narrow" w:hAnsi="Arial Narrow" w:eastAsiaTheme="minorEastAsia"/>
          <w:color w:val="auto"/>
          <w:sz w:val="24"/>
          <w:u w:val="none"/>
        </w:rPr>
      </w:pPr>
    </w:p>
    <w:p w14:paraId="272239F8">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铜梁区衔接资金项目绩效评价及考核指标评分表；</w:t>
      </w:r>
    </w:p>
    <w:p w14:paraId="46DEF21F">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3B2B327E">
      <w:pPr>
        <w:adjustRightInd w:val="0"/>
        <w:snapToGrid w:val="0"/>
        <w:spacing w:line="360" w:lineRule="auto"/>
        <w:rPr>
          <w:rStyle w:val="11"/>
          <w:rFonts w:ascii="Arial Narrow" w:hAnsi="Arial Narrow" w:eastAsiaTheme="minorEastAsia"/>
          <w:color w:val="auto"/>
          <w:sz w:val="24"/>
          <w:u w:val="none"/>
        </w:rPr>
      </w:pPr>
    </w:p>
    <w:p w14:paraId="214507D9">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重庆铭鸿金全会计师事务所有限责任公司</w:t>
      </w:r>
    </w:p>
    <w:p w14:paraId="62D943A2">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r>
        <w:rPr>
          <w:rStyle w:val="11"/>
          <w:rFonts w:ascii="Arial Narrow" w:hAnsi="Arial Narrow" w:eastAsiaTheme="minorEastAsia"/>
          <w:color w:val="auto"/>
          <w:sz w:val="24"/>
          <w:u w:val="none"/>
        </w:rPr>
        <w:t>二四年六月三十日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8E140">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E1510">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1A4CF4">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1A4CF4">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D9C32">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102AB"/>
    <w:rsid w:val="0002186C"/>
    <w:rsid w:val="000769EE"/>
    <w:rsid w:val="000B0F58"/>
    <w:rsid w:val="000D3FAA"/>
    <w:rsid w:val="0010003E"/>
    <w:rsid w:val="00101621"/>
    <w:rsid w:val="00104568"/>
    <w:rsid w:val="00142C02"/>
    <w:rsid w:val="00143A99"/>
    <w:rsid w:val="001457FC"/>
    <w:rsid w:val="001632BC"/>
    <w:rsid w:val="00164C87"/>
    <w:rsid w:val="00180BAD"/>
    <w:rsid w:val="0018503E"/>
    <w:rsid w:val="001A34DE"/>
    <w:rsid w:val="001A42EB"/>
    <w:rsid w:val="001C14F0"/>
    <w:rsid w:val="001E0132"/>
    <w:rsid w:val="001E7890"/>
    <w:rsid w:val="001F3624"/>
    <w:rsid w:val="001F43AE"/>
    <w:rsid w:val="00212D8A"/>
    <w:rsid w:val="00216472"/>
    <w:rsid w:val="00226539"/>
    <w:rsid w:val="00226E7E"/>
    <w:rsid w:val="00276D1C"/>
    <w:rsid w:val="00282997"/>
    <w:rsid w:val="00296B27"/>
    <w:rsid w:val="002A1D19"/>
    <w:rsid w:val="002C36AE"/>
    <w:rsid w:val="002C5020"/>
    <w:rsid w:val="002C7EFA"/>
    <w:rsid w:val="002D5AB9"/>
    <w:rsid w:val="002F522E"/>
    <w:rsid w:val="003102F4"/>
    <w:rsid w:val="00324E2F"/>
    <w:rsid w:val="00341504"/>
    <w:rsid w:val="0037066E"/>
    <w:rsid w:val="0038687D"/>
    <w:rsid w:val="003B42BF"/>
    <w:rsid w:val="00405251"/>
    <w:rsid w:val="00414A58"/>
    <w:rsid w:val="004200C2"/>
    <w:rsid w:val="00420AA7"/>
    <w:rsid w:val="00421C71"/>
    <w:rsid w:val="00426B65"/>
    <w:rsid w:val="00456F2F"/>
    <w:rsid w:val="00473F28"/>
    <w:rsid w:val="004978E3"/>
    <w:rsid w:val="004C38B4"/>
    <w:rsid w:val="004D2A6E"/>
    <w:rsid w:val="004F309A"/>
    <w:rsid w:val="00501A64"/>
    <w:rsid w:val="00572DD6"/>
    <w:rsid w:val="005B51A1"/>
    <w:rsid w:val="005F01BA"/>
    <w:rsid w:val="0061417A"/>
    <w:rsid w:val="00672CD6"/>
    <w:rsid w:val="006856F8"/>
    <w:rsid w:val="0069678B"/>
    <w:rsid w:val="006A4744"/>
    <w:rsid w:val="006C74B0"/>
    <w:rsid w:val="006E75D6"/>
    <w:rsid w:val="0073019B"/>
    <w:rsid w:val="00740E9D"/>
    <w:rsid w:val="00741402"/>
    <w:rsid w:val="007545D5"/>
    <w:rsid w:val="00774734"/>
    <w:rsid w:val="007956B7"/>
    <w:rsid w:val="007963CF"/>
    <w:rsid w:val="007A416D"/>
    <w:rsid w:val="007A6BE6"/>
    <w:rsid w:val="007C4723"/>
    <w:rsid w:val="007F3969"/>
    <w:rsid w:val="008043AF"/>
    <w:rsid w:val="00814147"/>
    <w:rsid w:val="00842151"/>
    <w:rsid w:val="00856815"/>
    <w:rsid w:val="0087748C"/>
    <w:rsid w:val="008952B1"/>
    <w:rsid w:val="008B4C0A"/>
    <w:rsid w:val="008C622B"/>
    <w:rsid w:val="008D4F7C"/>
    <w:rsid w:val="008E609D"/>
    <w:rsid w:val="00911EE0"/>
    <w:rsid w:val="0092468D"/>
    <w:rsid w:val="009625A1"/>
    <w:rsid w:val="00983CB7"/>
    <w:rsid w:val="009957B8"/>
    <w:rsid w:val="009C17F3"/>
    <w:rsid w:val="009C21B3"/>
    <w:rsid w:val="009E5514"/>
    <w:rsid w:val="00A352D4"/>
    <w:rsid w:val="00A715BE"/>
    <w:rsid w:val="00A95CA5"/>
    <w:rsid w:val="00AB429D"/>
    <w:rsid w:val="00AB735D"/>
    <w:rsid w:val="00AE470F"/>
    <w:rsid w:val="00AF58DD"/>
    <w:rsid w:val="00B134A6"/>
    <w:rsid w:val="00B27884"/>
    <w:rsid w:val="00B51C34"/>
    <w:rsid w:val="00B87EDE"/>
    <w:rsid w:val="00B967B6"/>
    <w:rsid w:val="00BB3674"/>
    <w:rsid w:val="00BC7BED"/>
    <w:rsid w:val="00C01B8E"/>
    <w:rsid w:val="00C107C7"/>
    <w:rsid w:val="00C12443"/>
    <w:rsid w:val="00C13D94"/>
    <w:rsid w:val="00C1679A"/>
    <w:rsid w:val="00C35442"/>
    <w:rsid w:val="00C41EBB"/>
    <w:rsid w:val="00C60A62"/>
    <w:rsid w:val="00C87ABB"/>
    <w:rsid w:val="00CB54FB"/>
    <w:rsid w:val="00D012BB"/>
    <w:rsid w:val="00D025B2"/>
    <w:rsid w:val="00D054C2"/>
    <w:rsid w:val="00D254D3"/>
    <w:rsid w:val="00D26E16"/>
    <w:rsid w:val="00D33F64"/>
    <w:rsid w:val="00D415D5"/>
    <w:rsid w:val="00D42F1C"/>
    <w:rsid w:val="00D54ADA"/>
    <w:rsid w:val="00DA2762"/>
    <w:rsid w:val="00DB55F0"/>
    <w:rsid w:val="00DC1B33"/>
    <w:rsid w:val="00DE64A3"/>
    <w:rsid w:val="00E1465F"/>
    <w:rsid w:val="00E1547E"/>
    <w:rsid w:val="00E23D6E"/>
    <w:rsid w:val="00E23F30"/>
    <w:rsid w:val="00E27A95"/>
    <w:rsid w:val="00E5531C"/>
    <w:rsid w:val="00E80BDA"/>
    <w:rsid w:val="00E93198"/>
    <w:rsid w:val="00EA195F"/>
    <w:rsid w:val="00EE4B61"/>
    <w:rsid w:val="00F03C39"/>
    <w:rsid w:val="00F167DA"/>
    <w:rsid w:val="00F20D32"/>
    <w:rsid w:val="00F21F47"/>
    <w:rsid w:val="00F2543F"/>
    <w:rsid w:val="00F326E9"/>
    <w:rsid w:val="00F3353C"/>
    <w:rsid w:val="00F44685"/>
    <w:rsid w:val="00F54C3F"/>
    <w:rsid w:val="00F61D28"/>
    <w:rsid w:val="00F62311"/>
    <w:rsid w:val="00F64D50"/>
    <w:rsid w:val="00F6551E"/>
    <w:rsid w:val="00FC592B"/>
    <w:rsid w:val="00FD1A79"/>
    <w:rsid w:val="00FD6255"/>
    <w:rsid w:val="00FE1E65"/>
    <w:rsid w:val="00FE4BB1"/>
    <w:rsid w:val="00FF5AA5"/>
    <w:rsid w:val="0179546C"/>
    <w:rsid w:val="02717C9D"/>
    <w:rsid w:val="0C955D75"/>
    <w:rsid w:val="10FD0312"/>
    <w:rsid w:val="120E6874"/>
    <w:rsid w:val="154B250D"/>
    <w:rsid w:val="1ABE1777"/>
    <w:rsid w:val="1B9B67CC"/>
    <w:rsid w:val="1E990AA4"/>
    <w:rsid w:val="1FAA5330"/>
    <w:rsid w:val="24C0067B"/>
    <w:rsid w:val="250B7A63"/>
    <w:rsid w:val="255F72CC"/>
    <w:rsid w:val="270731DD"/>
    <w:rsid w:val="28A96CB2"/>
    <w:rsid w:val="28F069DC"/>
    <w:rsid w:val="357129F4"/>
    <w:rsid w:val="3680281D"/>
    <w:rsid w:val="371050B8"/>
    <w:rsid w:val="38AF0FE2"/>
    <w:rsid w:val="3AF92717"/>
    <w:rsid w:val="3CBA71B8"/>
    <w:rsid w:val="3F19380F"/>
    <w:rsid w:val="3FF2222E"/>
    <w:rsid w:val="42BC39BD"/>
    <w:rsid w:val="45947F31"/>
    <w:rsid w:val="4CD3679A"/>
    <w:rsid w:val="4DF1278B"/>
    <w:rsid w:val="60087B46"/>
    <w:rsid w:val="622058B2"/>
    <w:rsid w:val="629B4EDD"/>
    <w:rsid w:val="67C577E1"/>
    <w:rsid w:val="6850354E"/>
    <w:rsid w:val="6C0B491D"/>
    <w:rsid w:val="74E072DB"/>
    <w:rsid w:val="7B6F7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5563</Words>
  <Characters>5906</Characters>
  <Lines>51</Lines>
  <Paragraphs>14</Paragraphs>
  <TotalTime>2</TotalTime>
  <ScaleCrop>false</ScaleCrop>
  <LinksUpToDate>false</LinksUpToDate>
  <CharactersWithSpaces>5936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2024-07-29T01:54:00Z</cp:lastPrinted>
  <dcterms:modified xsi:type="dcterms:W3CDTF">2024-11-19T09:39:11Z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F2C715A2D36C481E919CF2E72F4C1BB7_13</vt:lpwstr>
  </property>
</Properties>
</file>